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D78CF" w14:textId="77777777" w:rsidR="00571993" w:rsidRPr="00F94904" w:rsidRDefault="00571993" w:rsidP="00143FD2">
      <w:pPr>
        <w:rPr>
          <w:color w:val="000000" w:themeColor="text1"/>
        </w:rPr>
      </w:pPr>
    </w:p>
    <w:p w14:paraId="2A83E9ED" w14:textId="0FC92C2E" w:rsidR="00731C91" w:rsidRPr="00F94904" w:rsidRDefault="00731C91" w:rsidP="00731C91">
      <w:pPr>
        <w:jc w:val="center"/>
        <w:rPr>
          <w:color w:val="000000" w:themeColor="text1"/>
        </w:rPr>
      </w:pPr>
      <w:r w:rsidRPr="00F94904">
        <w:rPr>
          <w:noProof/>
          <w:color w:val="000000" w:themeColor="text1"/>
        </w:rPr>
        <w:drawing>
          <wp:inline distT="0" distB="0" distL="0" distR="0" wp14:anchorId="6D9B456B" wp14:editId="59438EC6">
            <wp:extent cx="2522220" cy="13874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87475"/>
                    </a:xfrm>
                    <a:prstGeom prst="rect">
                      <a:avLst/>
                    </a:prstGeom>
                    <a:noFill/>
                    <a:ln>
                      <a:noFill/>
                    </a:ln>
                  </pic:spPr>
                </pic:pic>
              </a:graphicData>
            </a:graphic>
          </wp:inline>
        </w:drawing>
      </w:r>
    </w:p>
    <w:p w14:paraId="4BF08EA4" w14:textId="08186268" w:rsidR="00571993" w:rsidRPr="00F94904" w:rsidRDefault="00237399" w:rsidP="00731C91">
      <w:pPr>
        <w:jc w:val="center"/>
        <w:rPr>
          <w:color w:val="000000" w:themeColor="text1"/>
        </w:rPr>
      </w:pPr>
      <w:r w:rsidRPr="00F94904">
        <w:rPr>
          <w:color w:val="000000" w:themeColor="text1"/>
        </w:rPr>
        <w:t>UNIVERSITY OF WALES TRINITY SAINT DAVID</w:t>
      </w:r>
    </w:p>
    <w:p w14:paraId="669D03B7" w14:textId="77777777" w:rsidR="00571993" w:rsidRPr="00F94904" w:rsidRDefault="00237399" w:rsidP="00731C91">
      <w:pPr>
        <w:jc w:val="center"/>
        <w:rPr>
          <w:color w:val="000000" w:themeColor="text1"/>
        </w:rPr>
      </w:pPr>
      <w:r w:rsidRPr="00F94904">
        <w:rPr>
          <w:color w:val="000000" w:themeColor="text1"/>
        </w:rPr>
        <w:t>Swansea Business School</w:t>
      </w:r>
    </w:p>
    <w:p w14:paraId="30A47107" w14:textId="5CE623C3" w:rsidR="00571993" w:rsidRPr="00F94904" w:rsidRDefault="00237399" w:rsidP="00731C91">
      <w:pPr>
        <w:jc w:val="center"/>
        <w:rPr>
          <w:color w:val="000000" w:themeColor="text1"/>
        </w:rPr>
      </w:pPr>
      <w:r w:rsidRPr="00F94904">
        <w:rPr>
          <w:color w:val="000000" w:themeColor="text1"/>
        </w:rPr>
        <w:t>BMMB7003 - Dissertation (Level 7)</w:t>
      </w:r>
    </w:p>
    <w:p w14:paraId="2F90E273" w14:textId="77777777" w:rsidR="00571993" w:rsidRPr="00F94904" w:rsidRDefault="00571993" w:rsidP="00731C91">
      <w:pPr>
        <w:jc w:val="center"/>
        <w:rPr>
          <w:color w:val="000000" w:themeColor="text1"/>
        </w:rPr>
      </w:pPr>
    </w:p>
    <w:p w14:paraId="644C2580" w14:textId="77777777" w:rsidR="00571993" w:rsidRPr="00F94904" w:rsidRDefault="00237399" w:rsidP="00731C91">
      <w:pPr>
        <w:jc w:val="center"/>
        <w:rPr>
          <w:color w:val="000000" w:themeColor="text1"/>
        </w:rPr>
      </w:pPr>
      <w:r w:rsidRPr="00F94904">
        <w:rPr>
          <w:color w:val="000000" w:themeColor="text1"/>
        </w:rPr>
        <w:t>To what extent do work-life balance policies impact employee well-being, engagement, and retention across professional sectors? A qualitative study.</w:t>
      </w:r>
    </w:p>
    <w:p w14:paraId="58478387" w14:textId="77777777" w:rsidR="00571993" w:rsidRPr="00F94904" w:rsidRDefault="00571993" w:rsidP="00731C91">
      <w:pPr>
        <w:jc w:val="center"/>
        <w:rPr>
          <w:color w:val="000000" w:themeColor="text1"/>
        </w:rPr>
      </w:pPr>
    </w:p>
    <w:p w14:paraId="4A8DBEB0" w14:textId="77777777" w:rsidR="00571993" w:rsidRPr="00F94904" w:rsidRDefault="00237399" w:rsidP="00731C91">
      <w:pPr>
        <w:jc w:val="center"/>
        <w:rPr>
          <w:color w:val="000000" w:themeColor="text1"/>
        </w:rPr>
      </w:pPr>
      <w:r w:rsidRPr="00F94904">
        <w:rPr>
          <w:color w:val="000000" w:themeColor="text1"/>
        </w:rPr>
        <w:t>Foyez Ahmed</w:t>
      </w:r>
    </w:p>
    <w:p w14:paraId="3AD94E50" w14:textId="77777777" w:rsidR="00571993" w:rsidRPr="00F94904" w:rsidRDefault="00237399" w:rsidP="00731C91">
      <w:pPr>
        <w:jc w:val="center"/>
        <w:rPr>
          <w:color w:val="000000" w:themeColor="text1"/>
        </w:rPr>
      </w:pPr>
      <w:r w:rsidRPr="00F94904">
        <w:rPr>
          <w:color w:val="000000" w:themeColor="text1"/>
        </w:rPr>
        <w:t>Student ID: 2439525</w:t>
      </w:r>
    </w:p>
    <w:p w14:paraId="3D9E2DE0" w14:textId="77777777" w:rsidR="00571993" w:rsidRPr="00F94904" w:rsidRDefault="00237399" w:rsidP="00731C91">
      <w:pPr>
        <w:jc w:val="center"/>
        <w:rPr>
          <w:color w:val="000000" w:themeColor="text1"/>
        </w:rPr>
      </w:pPr>
      <w:r w:rsidRPr="00F94904">
        <w:rPr>
          <w:color w:val="000000" w:themeColor="text1"/>
        </w:rPr>
        <w:t>Programme of Study: Master of Business Administration (MBA)</w:t>
      </w:r>
    </w:p>
    <w:p w14:paraId="7852C9E8" w14:textId="33567FA0" w:rsidR="00571993" w:rsidRPr="00F94904" w:rsidRDefault="00571993" w:rsidP="00731C91">
      <w:pPr>
        <w:jc w:val="center"/>
        <w:rPr>
          <w:color w:val="000000" w:themeColor="text1"/>
        </w:rPr>
      </w:pPr>
    </w:p>
    <w:p w14:paraId="186ADEEA" w14:textId="6A31D43B" w:rsidR="0098366A" w:rsidRPr="00F94904" w:rsidRDefault="0098366A" w:rsidP="00731C91">
      <w:pPr>
        <w:jc w:val="center"/>
        <w:rPr>
          <w:color w:val="000000" w:themeColor="text1"/>
        </w:rPr>
      </w:pPr>
      <w:r w:rsidRPr="00F94904">
        <w:rPr>
          <w:color w:val="000000" w:themeColor="text1"/>
        </w:rPr>
        <w:t>Supervisor: David Greenshields</w:t>
      </w:r>
    </w:p>
    <w:p w14:paraId="6615B79C" w14:textId="77777777" w:rsidR="0098366A" w:rsidRPr="00F94904" w:rsidRDefault="0098366A" w:rsidP="00731C91">
      <w:pPr>
        <w:jc w:val="center"/>
        <w:rPr>
          <w:color w:val="000000" w:themeColor="text1"/>
        </w:rPr>
      </w:pPr>
    </w:p>
    <w:p w14:paraId="1B18B9D3" w14:textId="77777777" w:rsidR="00571993" w:rsidRPr="00F94904" w:rsidRDefault="00237399" w:rsidP="00731C91">
      <w:pPr>
        <w:jc w:val="center"/>
        <w:rPr>
          <w:color w:val="000000" w:themeColor="text1"/>
        </w:rPr>
      </w:pPr>
      <w:r w:rsidRPr="00F94904">
        <w:rPr>
          <w:color w:val="000000" w:themeColor="text1"/>
        </w:rPr>
        <w:t>A dissertation submitted in partial fulfilment of the requirements for the degree of Master of Business Administration.</w:t>
      </w:r>
    </w:p>
    <w:p w14:paraId="1E9DA6E6" w14:textId="2DF18664" w:rsidR="00571993" w:rsidRPr="00F94904" w:rsidRDefault="00237399" w:rsidP="00731C91">
      <w:pPr>
        <w:jc w:val="center"/>
        <w:rPr>
          <w:color w:val="000000" w:themeColor="text1"/>
        </w:rPr>
      </w:pPr>
      <w:r w:rsidRPr="00F94904">
        <w:rPr>
          <w:color w:val="000000" w:themeColor="text1"/>
        </w:rPr>
        <w:t>2025 - 2026</w:t>
      </w:r>
    </w:p>
    <w:p w14:paraId="211897D4" w14:textId="77777777" w:rsidR="00571993" w:rsidRPr="00F94904" w:rsidRDefault="00237399" w:rsidP="00143FD2">
      <w:pPr>
        <w:rPr>
          <w:color w:val="000000" w:themeColor="text1"/>
        </w:rPr>
      </w:pPr>
      <w:r w:rsidRPr="00F94904">
        <w:rPr>
          <w:color w:val="000000" w:themeColor="text1"/>
        </w:rPr>
        <w:br w:type="page"/>
      </w:r>
    </w:p>
    <w:p w14:paraId="4785646D" w14:textId="77777777" w:rsidR="00571993" w:rsidRPr="00F94904" w:rsidRDefault="00237399" w:rsidP="0098366A">
      <w:pPr>
        <w:pStyle w:val="Heading1"/>
        <w:jc w:val="both"/>
        <w:rPr>
          <w:color w:val="000000" w:themeColor="text1"/>
        </w:rPr>
      </w:pPr>
      <w:bookmarkStart w:id="0" w:name="_Toc241018018"/>
      <w:r w:rsidRPr="00F94904">
        <w:rPr>
          <w:color w:val="000000" w:themeColor="text1"/>
        </w:rPr>
        <w:lastRenderedPageBreak/>
        <w:t>Declaration and Statements</w:t>
      </w:r>
      <w:bookmarkEnd w:id="0"/>
    </w:p>
    <w:p w14:paraId="636A7D37" w14:textId="77777777" w:rsidR="00571993" w:rsidRPr="00F94904" w:rsidRDefault="00237399" w:rsidP="00143FD2">
      <w:pPr>
        <w:rPr>
          <w:color w:val="000000" w:themeColor="text1"/>
        </w:rPr>
      </w:pPr>
      <w:r w:rsidRPr="00F94904">
        <w:rPr>
          <w:color w:val="000000" w:themeColor="text1"/>
        </w:rPr>
        <w:t>DECLARATION</w:t>
      </w:r>
    </w:p>
    <w:p w14:paraId="07529C19" w14:textId="77777777" w:rsidR="00571993" w:rsidRPr="00F94904" w:rsidRDefault="00237399" w:rsidP="00143FD2">
      <w:pPr>
        <w:rPr>
          <w:color w:val="000000" w:themeColor="text1"/>
        </w:rPr>
      </w:pPr>
      <w:r w:rsidRPr="00F94904">
        <w:rPr>
          <w:color w:val="000000" w:themeColor="text1"/>
        </w:rPr>
        <w:t>This work has not previously been accepted in substance for any degree and is not being concurrently submitted in candidature for any degree.</w:t>
      </w:r>
    </w:p>
    <w:p w14:paraId="073B1AE4" w14:textId="0BB0FC10" w:rsidR="00571993" w:rsidRPr="00F94904" w:rsidRDefault="00237399" w:rsidP="00143FD2">
      <w:pPr>
        <w:rPr>
          <w:color w:val="000000" w:themeColor="text1"/>
        </w:rPr>
      </w:pPr>
      <w:r w:rsidRPr="00F94904">
        <w:rPr>
          <w:color w:val="000000" w:themeColor="text1"/>
        </w:rPr>
        <w:t>Signed ............</w:t>
      </w:r>
      <w:r w:rsidRPr="00F94904">
        <w:rPr>
          <w:color w:val="000000" w:themeColor="text1"/>
          <w:sz w:val="26"/>
          <w:szCs w:val="26"/>
        </w:rPr>
        <w:t xml:space="preserve"> Foyez Ahmed</w:t>
      </w:r>
      <w:r w:rsidRPr="00F94904">
        <w:rPr>
          <w:color w:val="000000" w:themeColor="text1"/>
        </w:rPr>
        <w:t>....................... (candidate)     Date ........22/09/2026..................</w:t>
      </w:r>
    </w:p>
    <w:p w14:paraId="01834BF6" w14:textId="77777777" w:rsidR="00571993" w:rsidRPr="00F94904" w:rsidRDefault="00237399" w:rsidP="00143FD2">
      <w:pPr>
        <w:rPr>
          <w:color w:val="000000" w:themeColor="text1"/>
        </w:rPr>
      </w:pPr>
      <w:r w:rsidRPr="00F94904">
        <w:rPr>
          <w:color w:val="000000" w:themeColor="text1"/>
        </w:rPr>
        <w:t>STATEMENT 1</w:t>
      </w:r>
    </w:p>
    <w:p w14:paraId="2505D983" w14:textId="77777777" w:rsidR="00571993" w:rsidRPr="00F94904" w:rsidRDefault="00237399" w:rsidP="00143FD2">
      <w:pPr>
        <w:rPr>
          <w:color w:val="000000" w:themeColor="text1"/>
        </w:rPr>
      </w:pPr>
      <w:r w:rsidRPr="00F94904">
        <w:rPr>
          <w:color w:val="000000" w:themeColor="text1"/>
        </w:rPr>
        <w:t>This work is the result of my own investigations, except where otherwise stated. Other sources are acknowledged by footnotes giving explicit references. A bibliography is appended.</w:t>
      </w:r>
    </w:p>
    <w:p w14:paraId="07FB88B1" w14:textId="77777777" w:rsidR="0098366A" w:rsidRPr="00F94904" w:rsidRDefault="0098366A" w:rsidP="00143FD2">
      <w:pPr>
        <w:rPr>
          <w:color w:val="000000" w:themeColor="text1"/>
        </w:rPr>
      </w:pPr>
      <w:r w:rsidRPr="00F94904">
        <w:rPr>
          <w:color w:val="000000" w:themeColor="text1"/>
        </w:rPr>
        <w:t>Signed ............</w:t>
      </w:r>
      <w:r w:rsidRPr="00F94904">
        <w:rPr>
          <w:color w:val="000000" w:themeColor="text1"/>
          <w:sz w:val="26"/>
          <w:szCs w:val="26"/>
        </w:rPr>
        <w:t xml:space="preserve"> Foyez Ahmed</w:t>
      </w:r>
      <w:r w:rsidRPr="00F94904">
        <w:rPr>
          <w:color w:val="000000" w:themeColor="text1"/>
        </w:rPr>
        <w:t>....................... (candidate)     Date ........22/09/2026..................</w:t>
      </w:r>
    </w:p>
    <w:p w14:paraId="0D7A9CDE" w14:textId="77777777" w:rsidR="00571993" w:rsidRPr="00F94904" w:rsidRDefault="00237399" w:rsidP="00143FD2">
      <w:pPr>
        <w:rPr>
          <w:color w:val="000000" w:themeColor="text1"/>
        </w:rPr>
      </w:pPr>
      <w:r w:rsidRPr="00F94904">
        <w:rPr>
          <w:color w:val="000000" w:themeColor="text1"/>
        </w:rPr>
        <w:t>STATEMENT 2</w:t>
      </w:r>
    </w:p>
    <w:p w14:paraId="33E0B12A" w14:textId="77777777" w:rsidR="00571993" w:rsidRPr="00F94904" w:rsidRDefault="00237399" w:rsidP="00143FD2">
      <w:pPr>
        <w:rPr>
          <w:color w:val="000000" w:themeColor="text1"/>
        </w:rPr>
      </w:pPr>
      <w:r w:rsidRPr="00F94904">
        <w:rPr>
          <w:color w:val="000000" w:themeColor="text1"/>
        </w:rPr>
        <w:t>I hereby give consent for my work, if accepted, to be available for photocopying and for inter-library loan, and for the title and summary to be made available to outside organisations.</w:t>
      </w:r>
    </w:p>
    <w:p w14:paraId="20ABC8CE" w14:textId="0F5BE14A" w:rsidR="0098366A" w:rsidRPr="00F94904" w:rsidRDefault="0098366A" w:rsidP="00143FD2">
      <w:pPr>
        <w:rPr>
          <w:color w:val="000000" w:themeColor="text1"/>
        </w:rPr>
      </w:pPr>
      <w:r w:rsidRPr="00F94904">
        <w:rPr>
          <w:color w:val="000000" w:themeColor="text1"/>
        </w:rPr>
        <w:t>Signed ............</w:t>
      </w:r>
      <w:r w:rsidRPr="00F94904">
        <w:rPr>
          <w:color w:val="000000" w:themeColor="text1"/>
          <w:sz w:val="26"/>
          <w:szCs w:val="26"/>
        </w:rPr>
        <w:t xml:space="preserve"> Foyez Ahmed</w:t>
      </w:r>
      <w:r w:rsidRPr="00F94904">
        <w:rPr>
          <w:color w:val="000000" w:themeColor="text1"/>
        </w:rPr>
        <w:t>....................... (candidate)     Date ........22/09/2026..................</w:t>
      </w:r>
    </w:p>
    <w:p w14:paraId="52DE9CB6" w14:textId="412EE13C" w:rsidR="006228CE" w:rsidRPr="00F94904" w:rsidRDefault="006228CE" w:rsidP="00143FD2">
      <w:pPr>
        <w:rPr>
          <w:color w:val="000000" w:themeColor="text1"/>
        </w:rPr>
      </w:pPr>
    </w:p>
    <w:p w14:paraId="3E83A2F3" w14:textId="5B0F0A2F" w:rsidR="006228CE" w:rsidRPr="00F94904" w:rsidRDefault="006228CE" w:rsidP="00143FD2">
      <w:pPr>
        <w:rPr>
          <w:color w:val="000000" w:themeColor="text1"/>
        </w:rPr>
      </w:pPr>
    </w:p>
    <w:p w14:paraId="6B0698F8" w14:textId="77777777" w:rsidR="006228CE" w:rsidRPr="00F94904" w:rsidRDefault="006228CE" w:rsidP="00143FD2">
      <w:pPr>
        <w:rPr>
          <w:color w:val="000000" w:themeColor="text1"/>
        </w:rPr>
      </w:pPr>
    </w:p>
    <w:p w14:paraId="721D02F9" w14:textId="77777777" w:rsidR="00571993" w:rsidRPr="00F94904" w:rsidRDefault="00237399" w:rsidP="00143FD2">
      <w:pPr>
        <w:rPr>
          <w:color w:val="000000" w:themeColor="text1"/>
        </w:rPr>
      </w:pPr>
      <w:r w:rsidRPr="00F94904">
        <w:rPr>
          <w:color w:val="000000" w:themeColor="text1"/>
        </w:rPr>
        <w:br w:type="page"/>
      </w:r>
    </w:p>
    <w:p w14:paraId="5E07F381" w14:textId="77777777" w:rsidR="00571993" w:rsidRPr="00F94904" w:rsidRDefault="00237399" w:rsidP="0098366A">
      <w:pPr>
        <w:pStyle w:val="Heading1"/>
        <w:jc w:val="both"/>
        <w:rPr>
          <w:color w:val="000000" w:themeColor="text1"/>
        </w:rPr>
      </w:pPr>
      <w:bookmarkStart w:id="1" w:name="_Toc241018019"/>
      <w:r w:rsidRPr="00F94904">
        <w:rPr>
          <w:color w:val="000000" w:themeColor="text1"/>
        </w:rPr>
        <w:lastRenderedPageBreak/>
        <w:t>Acknowledgements</w:t>
      </w:r>
      <w:bookmarkEnd w:id="1"/>
    </w:p>
    <w:p w14:paraId="4022A018" w14:textId="1FAB05FC" w:rsidR="00571993" w:rsidRPr="00F94904" w:rsidRDefault="00237399" w:rsidP="00143FD2">
      <w:pPr>
        <w:rPr>
          <w:color w:val="000000" w:themeColor="text1"/>
        </w:rPr>
      </w:pPr>
      <w:r w:rsidRPr="00F94904">
        <w:rPr>
          <w:color w:val="000000" w:themeColor="text1"/>
        </w:rPr>
        <w:t xml:space="preserve">I would like to express my sincere gratitude to my dissertation supervisor, </w:t>
      </w:r>
      <w:r w:rsidRPr="00F94904">
        <w:rPr>
          <w:b/>
          <w:bCs/>
          <w:color w:val="000000" w:themeColor="text1"/>
        </w:rPr>
        <w:t>David Greenshields,</w:t>
      </w:r>
      <w:r w:rsidRPr="00F94904">
        <w:rPr>
          <w:color w:val="000000" w:themeColor="text1"/>
        </w:rPr>
        <w:t xml:space="preserve"> for</w:t>
      </w:r>
      <w:r w:rsidR="00C75ABD" w:rsidRPr="00F94904">
        <w:rPr>
          <w:color w:val="000000" w:themeColor="text1"/>
        </w:rPr>
        <w:t xml:space="preserve"> his</w:t>
      </w:r>
      <w:r w:rsidRPr="00F94904">
        <w:rPr>
          <w:color w:val="000000" w:themeColor="text1"/>
        </w:rPr>
        <w:t xml:space="preserve"> guidance, patience, and constructive feedback throughout this research. I am also grateful to the ten professionals who generously gave their time to share their experiences, without whom this study would not have been possible. Finally, I would like to thank my family and friends for their continued support and encouragement throughout my studies.</w:t>
      </w:r>
    </w:p>
    <w:p w14:paraId="2587687E" w14:textId="56C070F4" w:rsidR="0098366A" w:rsidRPr="00F94904" w:rsidRDefault="0098366A" w:rsidP="00143FD2">
      <w:pPr>
        <w:rPr>
          <w:color w:val="000000" w:themeColor="text1"/>
        </w:rPr>
      </w:pPr>
    </w:p>
    <w:p w14:paraId="2FBA2FE9" w14:textId="77777777" w:rsidR="0098366A" w:rsidRPr="00F94904" w:rsidRDefault="0098366A" w:rsidP="00143FD2">
      <w:pPr>
        <w:rPr>
          <w:color w:val="000000" w:themeColor="text1"/>
        </w:rPr>
      </w:pPr>
    </w:p>
    <w:p w14:paraId="0B647E2E" w14:textId="77777777" w:rsidR="00571993" w:rsidRPr="00F94904" w:rsidRDefault="00237399" w:rsidP="00143FD2">
      <w:pPr>
        <w:rPr>
          <w:color w:val="000000" w:themeColor="text1"/>
        </w:rPr>
      </w:pPr>
      <w:r w:rsidRPr="00F94904">
        <w:rPr>
          <w:color w:val="000000" w:themeColor="text1"/>
        </w:rPr>
        <w:br w:type="page"/>
      </w:r>
    </w:p>
    <w:p w14:paraId="29496CCD" w14:textId="77777777" w:rsidR="00571993" w:rsidRPr="00F94904" w:rsidRDefault="00237399" w:rsidP="0098366A">
      <w:pPr>
        <w:pStyle w:val="Heading1"/>
        <w:jc w:val="both"/>
        <w:rPr>
          <w:color w:val="000000" w:themeColor="text1"/>
        </w:rPr>
      </w:pPr>
      <w:bookmarkStart w:id="2" w:name="_Toc241018020"/>
      <w:r w:rsidRPr="00F94904">
        <w:rPr>
          <w:color w:val="000000" w:themeColor="text1"/>
        </w:rPr>
        <w:lastRenderedPageBreak/>
        <w:t>Abstract</w:t>
      </w:r>
      <w:bookmarkEnd w:id="2"/>
    </w:p>
    <w:p w14:paraId="00DFAFE5" w14:textId="70FC99CB" w:rsidR="00571993" w:rsidRPr="00F94904" w:rsidRDefault="00237399" w:rsidP="00143FD2">
      <w:pPr>
        <w:rPr>
          <w:color w:val="000000" w:themeColor="text1"/>
        </w:rPr>
      </w:pPr>
      <w:r w:rsidRPr="00F94904">
        <w:rPr>
          <w:color w:val="000000" w:themeColor="text1"/>
        </w:rPr>
        <w:t>The aim of this dissertation is to explore the question of how effective work-life balance (WLB) policies are for employees’ well-being, engagement, and retention across different professional sectors. While organisations invest heavily in a WLB framework, burnout, disengagement and turnover rates continue to be high, and it would seem that having a policy in place is not enough to ensure its value. Current evidence is mostly quantitative (i.e., does the policy exist or not) and does not capture how policies are perceived by employees, which results in a lack of understanding of the psychological mechanisms linking WLB and retention.</w:t>
      </w:r>
    </w:p>
    <w:p w14:paraId="206B993E" w14:textId="25A4E3BA" w:rsidR="00571993" w:rsidRPr="00F94904" w:rsidRDefault="00237399" w:rsidP="00143FD2">
      <w:pPr>
        <w:rPr>
          <w:color w:val="000000" w:themeColor="text1"/>
        </w:rPr>
      </w:pPr>
      <w:r w:rsidRPr="00F94904">
        <w:rPr>
          <w:color w:val="000000" w:themeColor="text1"/>
        </w:rPr>
        <w:t>This prompted the use of an interpretivist, inductive and mono-method qualitative research design to address this gap. Semi-structured interviews were held with professionals from four sectors, namely healthcare (NHS), finance, technology and creative industries, and analysed using reflexive thematic analysis, with the help of NVivo software. The analysis was guided by three theoretical frameworks: Spillover Theory, the Job Demands-Resources (JD-R) model, and Kahn’s theory of engagement; Meyer and Allen’s theory of organisational commitment was used to interpret retention.</w:t>
      </w:r>
    </w:p>
    <w:p w14:paraId="5AE2AA14" w14:textId="14A7BF3E" w:rsidR="00571993" w:rsidRPr="00F94904" w:rsidRDefault="00237399" w:rsidP="00143FD2">
      <w:pPr>
        <w:rPr>
          <w:color w:val="000000" w:themeColor="text1"/>
        </w:rPr>
      </w:pPr>
      <w:r w:rsidRPr="00F94904">
        <w:rPr>
          <w:color w:val="000000" w:themeColor="text1"/>
        </w:rPr>
        <w:t>Five themes emerged: The gap between policy on paper and policy in practice; The cultural cost of using policies; Spillover, exhaustion and protected recovery; Decline from full engagement to mere survival; The difference between wanting to stay and having to stay. The results indicate that WLB policies have a positive impact on the dimensions of well-being, engagement, and retention, but only when they are culturally accessible and core job demands are not unlimited. Flexibility that was available and encouraged by managers (as was the case in the technology firm) yielded protected recovery, high engagement, and true affective commitment. When demands outstripped resources, or policies discouraged employees from taking time off, such as in the NHS, finance and creative cases, policies were, in one nurse’s words, “lovely words sitting on the internet.” One of the most surprising results was that workers who were perceived to be “retained” were often burned out, and retained only by the cost of leaving.</w:t>
      </w:r>
    </w:p>
    <w:p w14:paraId="02605EE8" w14:textId="77777777" w:rsidR="0098366A" w:rsidRPr="00F94904" w:rsidRDefault="0098366A" w:rsidP="00143FD2">
      <w:pPr>
        <w:rPr>
          <w:color w:val="000000" w:themeColor="text1"/>
        </w:rPr>
      </w:pPr>
    </w:p>
    <w:p w14:paraId="44A39C57" w14:textId="77777777" w:rsidR="00571993" w:rsidRPr="00F94904" w:rsidRDefault="00237399" w:rsidP="00143FD2">
      <w:pPr>
        <w:rPr>
          <w:color w:val="000000" w:themeColor="text1"/>
        </w:rPr>
      </w:pPr>
      <w:r w:rsidRPr="00F94904">
        <w:rPr>
          <w:b/>
          <w:bCs/>
          <w:color w:val="000000" w:themeColor="text1"/>
        </w:rPr>
        <w:t xml:space="preserve">Keywords: </w:t>
      </w:r>
      <w:r w:rsidRPr="00F94904">
        <w:rPr>
          <w:color w:val="000000" w:themeColor="text1"/>
        </w:rPr>
        <w:t>work-life balance; employee well-being; engagement; retention; reflexive thematic analysis.</w:t>
      </w:r>
    </w:p>
    <w:p w14:paraId="53B19A4F" w14:textId="77777777" w:rsidR="00571993" w:rsidRPr="00F94904" w:rsidRDefault="00237399" w:rsidP="00143FD2">
      <w:pPr>
        <w:rPr>
          <w:color w:val="000000" w:themeColor="text1"/>
        </w:rPr>
      </w:pPr>
      <w:r w:rsidRPr="00F94904">
        <w:rPr>
          <w:color w:val="000000" w:themeColor="text1"/>
        </w:rPr>
        <w:br w:type="page"/>
      </w:r>
    </w:p>
    <w:p w14:paraId="5F79A755" w14:textId="77777777" w:rsidR="00571993" w:rsidRPr="00F94904" w:rsidRDefault="00237399" w:rsidP="0098366A">
      <w:pPr>
        <w:pStyle w:val="Heading1"/>
        <w:jc w:val="both"/>
        <w:rPr>
          <w:color w:val="000000" w:themeColor="text1"/>
        </w:rPr>
      </w:pPr>
      <w:bookmarkStart w:id="3" w:name="_Toc241018021"/>
      <w:r w:rsidRPr="00F94904">
        <w:rPr>
          <w:color w:val="000000" w:themeColor="text1"/>
        </w:rPr>
        <w:lastRenderedPageBreak/>
        <w:t>Table of Contents</w:t>
      </w:r>
      <w:bookmarkEnd w:id="3"/>
    </w:p>
    <w:sdt>
      <w:sdtPr>
        <w:rPr>
          <w:color w:val="000000" w:themeColor="text1"/>
        </w:rPr>
        <w:alias w:val="Table of Contents"/>
        <w:id w:val="-534810790"/>
      </w:sdtPr>
      <w:sdtEndPr/>
      <w:sdtContent>
        <w:p w14:paraId="35F93E92" w14:textId="35956A62" w:rsidR="00143FD2" w:rsidRPr="00F94904" w:rsidRDefault="00237399">
          <w:pPr>
            <w:pStyle w:val="TOC1"/>
            <w:tabs>
              <w:tab w:val="right" w:leader="dot" w:pos="9016"/>
            </w:tabs>
            <w:rPr>
              <w:rFonts w:asciiTheme="minorHAnsi" w:eastAsiaTheme="minorEastAsia" w:hAnsiTheme="minorHAnsi" w:cstheme="minorBidi"/>
              <w:noProof/>
              <w:color w:val="000000" w:themeColor="text1"/>
              <w:sz w:val="22"/>
              <w:szCs w:val="22"/>
            </w:rPr>
          </w:pPr>
          <w:r w:rsidRPr="00F94904">
            <w:rPr>
              <w:color w:val="000000" w:themeColor="text1"/>
            </w:rPr>
            <w:fldChar w:fldCharType="begin"/>
          </w:r>
          <w:r w:rsidRPr="00F94904">
            <w:rPr>
              <w:color w:val="000000" w:themeColor="text1"/>
            </w:rPr>
            <w:instrText>TOC \h \o "1-3"</w:instrText>
          </w:r>
          <w:r w:rsidRPr="00F94904">
            <w:rPr>
              <w:color w:val="000000" w:themeColor="text1"/>
            </w:rPr>
            <w:fldChar w:fldCharType="separate"/>
          </w:r>
          <w:hyperlink w:anchor="_Toc241018018" w:history="1">
            <w:r w:rsidRPr="00F94904">
              <w:rPr>
                <w:rStyle w:val="Hyperlink"/>
                <w:noProof/>
                <w:color w:val="000000" w:themeColor="text1"/>
              </w:rPr>
              <w:t>Declaration and Statements</w:t>
            </w:r>
            <w:r w:rsidRPr="00F94904">
              <w:rPr>
                <w:noProof/>
                <w:color w:val="000000" w:themeColor="text1"/>
              </w:rPr>
              <w:tab/>
            </w:r>
            <w:r w:rsidRPr="00F94904">
              <w:rPr>
                <w:noProof/>
                <w:color w:val="000000" w:themeColor="text1"/>
              </w:rPr>
              <w:fldChar w:fldCharType="begin"/>
            </w:r>
            <w:r w:rsidRPr="00F94904">
              <w:rPr>
                <w:noProof/>
                <w:color w:val="000000" w:themeColor="text1"/>
              </w:rPr>
              <w:instrText xml:space="preserve"> PAGEREF _Toc241018018 \h </w:instrText>
            </w:r>
            <w:r w:rsidRPr="00F94904">
              <w:rPr>
                <w:noProof/>
                <w:color w:val="000000" w:themeColor="text1"/>
              </w:rPr>
            </w:r>
            <w:r w:rsidRPr="00F94904">
              <w:rPr>
                <w:noProof/>
                <w:color w:val="000000" w:themeColor="text1"/>
              </w:rPr>
              <w:fldChar w:fldCharType="separate"/>
            </w:r>
            <w:r w:rsidR="00806889">
              <w:rPr>
                <w:noProof/>
                <w:color w:val="000000" w:themeColor="text1"/>
              </w:rPr>
              <w:t>2</w:t>
            </w:r>
            <w:r w:rsidRPr="00F94904">
              <w:rPr>
                <w:noProof/>
                <w:color w:val="000000" w:themeColor="text1"/>
              </w:rPr>
              <w:fldChar w:fldCharType="end"/>
            </w:r>
          </w:hyperlink>
        </w:p>
        <w:p w14:paraId="35E244A0" w14:textId="40497915"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19" w:history="1">
            <w:r w:rsidR="00143FD2" w:rsidRPr="00F94904">
              <w:rPr>
                <w:rStyle w:val="Hyperlink"/>
                <w:noProof/>
                <w:color w:val="000000" w:themeColor="text1"/>
              </w:rPr>
              <w:t>Acknowledgements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_Toc241018019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w:t>
            </w:r>
            <w:r w:rsidR="00143FD2" w:rsidRPr="00F94904">
              <w:rPr>
                <w:noProof/>
                <w:color w:val="000000" w:themeColor="text1"/>
              </w:rPr>
              <w:fldChar w:fldCharType="end"/>
            </w:r>
          </w:hyperlink>
        </w:p>
        <w:p w14:paraId="446F82F2" w14:textId="02F103C4"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20" w:history="1">
            <w:r w:rsidR="00143FD2" w:rsidRPr="00F94904">
              <w:rPr>
                <w:rStyle w:val="Hyperlink"/>
                <w:noProof/>
                <w:color w:val="000000" w:themeColor="text1"/>
              </w:rPr>
              <w:t>Abstract</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_Toc241018020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w:t>
            </w:r>
            <w:r w:rsidR="00143FD2" w:rsidRPr="00F94904">
              <w:rPr>
                <w:noProof/>
                <w:color w:val="000000" w:themeColor="text1"/>
              </w:rPr>
              <w:fldChar w:fldCharType="end"/>
            </w:r>
          </w:hyperlink>
        </w:p>
        <w:p w14:paraId="04FF4912" w14:textId="3FBC5133"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21" w:history="1">
            <w:r w:rsidR="00143FD2" w:rsidRPr="00F94904">
              <w:rPr>
                <w:rStyle w:val="Hyperlink"/>
                <w:noProof/>
                <w:color w:val="000000" w:themeColor="text1"/>
              </w:rPr>
              <w:t>Table of Contents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_Toc241018021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5</w:t>
            </w:r>
            <w:r w:rsidR="00143FD2" w:rsidRPr="00F94904">
              <w:rPr>
                <w:noProof/>
                <w:color w:val="000000" w:themeColor="text1"/>
              </w:rPr>
              <w:fldChar w:fldCharType="end"/>
            </w:r>
          </w:hyperlink>
        </w:p>
        <w:p w14:paraId="50A2F222" w14:textId="6F30B9D2"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22" w:history="1">
            <w:r w:rsidR="00143FD2" w:rsidRPr="00F94904">
              <w:rPr>
                <w:rStyle w:val="Hyperlink"/>
                <w:noProof/>
                <w:color w:val="000000" w:themeColor="text1"/>
              </w:rPr>
              <w:t>List of Tables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_Toc241018022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8</w:t>
            </w:r>
            <w:r w:rsidR="00143FD2" w:rsidRPr="00F94904">
              <w:rPr>
                <w:noProof/>
                <w:color w:val="000000" w:themeColor="text1"/>
              </w:rPr>
              <w:fldChar w:fldCharType="end"/>
            </w:r>
          </w:hyperlink>
        </w:p>
        <w:p w14:paraId="162FDDD8" w14:textId="6CB57C1D"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23" w:history="1">
            <w:r w:rsidR="00143FD2" w:rsidRPr="00F94904">
              <w:rPr>
                <w:rStyle w:val="Hyperlink"/>
                <w:noProof/>
                <w:color w:val="000000" w:themeColor="text1"/>
              </w:rPr>
              <w:t>List of Figures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_Toc241018023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9</w:t>
            </w:r>
            <w:r w:rsidR="00143FD2" w:rsidRPr="00F94904">
              <w:rPr>
                <w:noProof/>
                <w:color w:val="000000" w:themeColor="text1"/>
              </w:rPr>
              <w:fldChar w:fldCharType="end"/>
            </w:r>
          </w:hyperlink>
        </w:p>
        <w:p w14:paraId="455E52A1" w14:textId="1F558048"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24" w:history="1">
            <w:r w:rsidR="00143FD2" w:rsidRPr="00F94904">
              <w:rPr>
                <w:rStyle w:val="Hyperlink"/>
                <w:noProof/>
                <w:color w:val="000000" w:themeColor="text1"/>
              </w:rPr>
              <w:t>Chapter One: Introduction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_Toc241018024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10</w:t>
            </w:r>
            <w:r w:rsidR="00143FD2" w:rsidRPr="00F94904">
              <w:rPr>
                <w:noProof/>
                <w:color w:val="000000" w:themeColor="text1"/>
              </w:rPr>
              <w:fldChar w:fldCharType="end"/>
            </w:r>
          </w:hyperlink>
        </w:p>
        <w:p w14:paraId="4E94B5F1" w14:textId="239390D5"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25" w:history="1">
            <w:r w:rsidR="00143FD2" w:rsidRPr="00F94904">
              <w:rPr>
                <w:rStyle w:val="Hyperlink"/>
                <w:noProof/>
                <w:color w:val="000000" w:themeColor="text1"/>
              </w:rPr>
              <w:t>1.1 Background of the Study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_Toc241018025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10</w:t>
            </w:r>
            <w:r w:rsidR="00143FD2" w:rsidRPr="00F94904">
              <w:rPr>
                <w:noProof/>
                <w:color w:val="000000" w:themeColor="text1"/>
              </w:rPr>
              <w:fldChar w:fldCharType="end"/>
            </w:r>
          </w:hyperlink>
        </w:p>
        <w:p w14:paraId="3A14B505" w14:textId="1FB2759B"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26" w:history="1">
            <w:r w:rsidR="00143FD2" w:rsidRPr="00F94904">
              <w:rPr>
                <w:rStyle w:val="Hyperlink"/>
                <w:noProof/>
                <w:color w:val="000000" w:themeColor="text1"/>
              </w:rPr>
              <w:t>1.2 Problem Statement</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_Toc241018026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12</w:t>
            </w:r>
            <w:r w:rsidR="00143FD2" w:rsidRPr="00F94904">
              <w:rPr>
                <w:noProof/>
                <w:color w:val="000000" w:themeColor="text1"/>
              </w:rPr>
              <w:fldChar w:fldCharType="end"/>
            </w:r>
          </w:hyperlink>
        </w:p>
        <w:p w14:paraId="47714BD2" w14:textId="0046B6FE"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27" w:history="1">
            <w:r w:rsidR="00143FD2" w:rsidRPr="00F94904">
              <w:rPr>
                <w:rStyle w:val="Hyperlink"/>
                <w:noProof/>
                <w:color w:val="000000" w:themeColor="text1"/>
              </w:rPr>
              <w:t>1.3 Research Rationale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_Toc241018027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13</w:t>
            </w:r>
            <w:r w:rsidR="00143FD2" w:rsidRPr="00F94904">
              <w:rPr>
                <w:noProof/>
                <w:color w:val="000000" w:themeColor="text1"/>
              </w:rPr>
              <w:fldChar w:fldCharType="end"/>
            </w:r>
          </w:hyperlink>
        </w:p>
        <w:p w14:paraId="60768A4F" w14:textId="11876C74"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28" w:history="1">
            <w:r w:rsidR="00143FD2" w:rsidRPr="00F94904">
              <w:rPr>
                <w:rStyle w:val="Hyperlink"/>
                <w:noProof/>
                <w:color w:val="000000" w:themeColor="text1"/>
              </w:rPr>
              <w:t>1.4 Research Aim</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_Toc241018028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14</w:t>
            </w:r>
            <w:r w:rsidR="00143FD2" w:rsidRPr="00F94904">
              <w:rPr>
                <w:noProof/>
                <w:color w:val="000000" w:themeColor="text1"/>
              </w:rPr>
              <w:fldChar w:fldCharType="end"/>
            </w:r>
          </w:hyperlink>
        </w:p>
        <w:p w14:paraId="3EA4DC6E" w14:textId="1997C913"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29" w:history="1">
            <w:r w:rsidR="00143FD2" w:rsidRPr="00F94904">
              <w:rPr>
                <w:rStyle w:val="Hyperlink"/>
                <w:noProof/>
                <w:color w:val="000000" w:themeColor="text1"/>
              </w:rPr>
              <w:t>1.5 Research Objectives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_Toc241018029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14</w:t>
            </w:r>
            <w:r w:rsidR="00143FD2" w:rsidRPr="00F94904">
              <w:rPr>
                <w:noProof/>
                <w:color w:val="000000" w:themeColor="text1"/>
              </w:rPr>
              <w:fldChar w:fldCharType="end"/>
            </w:r>
          </w:hyperlink>
        </w:p>
        <w:p w14:paraId="55A938BC" w14:textId="21CEB7B4"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30" w:history="1">
            <w:r w:rsidR="00143FD2" w:rsidRPr="00F94904">
              <w:rPr>
                <w:rStyle w:val="Hyperlink"/>
                <w:noProof/>
                <w:color w:val="000000" w:themeColor="text1"/>
              </w:rPr>
              <w:t>1.6 Research Question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_Toc241018030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14</w:t>
            </w:r>
            <w:r w:rsidR="00143FD2" w:rsidRPr="00F94904">
              <w:rPr>
                <w:noProof/>
                <w:color w:val="000000" w:themeColor="text1"/>
              </w:rPr>
              <w:fldChar w:fldCharType="end"/>
            </w:r>
          </w:hyperlink>
        </w:p>
        <w:p w14:paraId="57F256CB" w14:textId="54C61E6A"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31" w:history="1">
            <w:r w:rsidR="00143FD2" w:rsidRPr="00F94904">
              <w:rPr>
                <w:rStyle w:val="Hyperlink"/>
                <w:noProof/>
                <w:color w:val="000000" w:themeColor="text1"/>
              </w:rPr>
              <w:t>1.7 Structure of the Study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_Toc241018031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14</w:t>
            </w:r>
            <w:r w:rsidR="00143FD2" w:rsidRPr="00F94904">
              <w:rPr>
                <w:noProof/>
                <w:color w:val="000000" w:themeColor="text1"/>
              </w:rPr>
              <w:fldChar w:fldCharType="end"/>
            </w:r>
          </w:hyperlink>
        </w:p>
        <w:p w14:paraId="06F88310" w14:textId="6A2A73E2"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32" w:history="1">
            <w:r w:rsidR="00143FD2" w:rsidRPr="00F94904">
              <w:rPr>
                <w:rStyle w:val="Hyperlink"/>
                <w:noProof/>
                <w:color w:val="000000" w:themeColor="text1"/>
              </w:rPr>
              <w:t>Chapter Two: Literature Review</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_Toc241018032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16</w:t>
            </w:r>
            <w:r w:rsidR="00143FD2" w:rsidRPr="00F94904">
              <w:rPr>
                <w:noProof/>
                <w:color w:val="000000" w:themeColor="text1"/>
              </w:rPr>
              <w:fldChar w:fldCharType="end"/>
            </w:r>
          </w:hyperlink>
        </w:p>
        <w:p w14:paraId="06C8C413" w14:textId="02A94C95"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33" w:history="1">
            <w:r w:rsidR="00143FD2" w:rsidRPr="00F94904">
              <w:rPr>
                <w:rStyle w:val="Hyperlink"/>
                <w:noProof/>
                <w:color w:val="000000" w:themeColor="text1"/>
              </w:rPr>
              <w:t>2.1 Introduction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_Toc241018033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16</w:t>
            </w:r>
            <w:r w:rsidR="00143FD2" w:rsidRPr="00F94904">
              <w:rPr>
                <w:noProof/>
                <w:color w:val="000000" w:themeColor="text1"/>
              </w:rPr>
              <w:fldChar w:fldCharType="end"/>
            </w:r>
          </w:hyperlink>
        </w:p>
        <w:p w14:paraId="5F16B669" w14:textId="0BC641C4"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34" w:history="1">
            <w:r w:rsidR="00143FD2" w:rsidRPr="00F94904">
              <w:rPr>
                <w:rStyle w:val="Hyperlink"/>
                <w:noProof/>
                <w:color w:val="000000" w:themeColor="text1"/>
              </w:rPr>
              <w:t>2.2 Theoretical Overview</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_Toc241018034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16</w:t>
            </w:r>
            <w:r w:rsidR="00143FD2" w:rsidRPr="00F94904">
              <w:rPr>
                <w:noProof/>
                <w:color w:val="000000" w:themeColor="text1"/>
              </w:rPr>
              <w:fldChar w:fldCharType="end"/>
            </w:r>
          </w:hyperlink>
        </w:p>
        <w:p w14:paraId="0560CC1D" w14:textId="5589339F" w:rsidR="00143FD2" w:rsidRPr="00F94904" w:rsidRDefault="0092227B">
          <w:pPr>
            <w:pStyle w:val="TOC3"/>
            <w:tabs>
              <w:tab w:val="right" w:leader="dot" w:pos="9016"/>
            </w:tabs>
            <w:rPr>
              <w:rFonts w:asciiTheme="minorHAnsi" w:eastAsiaTheme="minorEastAsia" w:hAnsiTheme="minorHAnsi" w:cstheme="minorBidi"/>
              <w:noProof/>
              <w:color w:val="000000" w:themeColor="text1"/>
              <w:sz w:val="22"/>
              <w:szCs w:val="22"/>
            </w:rPr>
          </w:pPr>
          <w:hyperlink w:anchor="_Toc241018035" w:history="1">
            <w:r w:rsidR="00143FD2" w:rsidRPr="00F94904">
              <w:rPr>
                <w:rStyle w:val="Hyperlink"/>
                <w:noProof/>
                <w:color w:val="000000" w:themeColor="text1"/>
              </w:rPr>
              <w:t>2.2.1 Spillover Theory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_Toc241018035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16</w:t>
            </w:r>
            <w:r w:rsidR="00143FD2" w:rsidRPr="00F94904">
              <w:rPr>
                <w:noProof/>
                <w:color w:val="000000" w:themeColor="text1"/>
              </w:rPr>
              <w:fldChar w:fldCharType="end"/>
            </w:r>
          </w:hyperlink>
        </w:p>
        <w:p w14:paraId="6D833293" w14:textId="3FCAEC5E" w:rsidR="00143FD2" w:rsidRPr="00F94904" w:rsidRDefault="0092227B">
          <w:pPr>
            <w:pStyle w:val="TOC3"/>
            <w:tabs>
              <w:tab w:val="right" w:leader="dot" w:pos="9016"/>
            </w:tabs>
            <w:rPr>
              <w:rFonts w:asciiTheme="minorHAnsi" w:eastAsiaTheme="minorEastAsia" w:hAnsiTheme="minorHAnsi" w:cstheme="minorBidi"/>
              <w:noProof/>
              <w:color w:val="000000" w:themeColor="text1"/>
              <w:sz w:val="22"/>
              <w:szCs w:val="22"/>
            </w:rPr>
          </w:pPr>
          <w:hyperlink w:anchor="_Toc241018036" w:history="1">
            <w:r w:rsidR="00143FD2" w:rsidRPr="00F94904">
              <w:rPr>
                <w:rStyle w:val="Hyperlink"/>
                <w:noProof/>
                <w:color w:val="000000" w:themeColor="text1"/>
              </w:rPr>
              <w:t>2.2.2 The Job Demands-Resources (JD-R) Model</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_Toc241018036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17</w:t>
            </w:r>
            <w:r w:rsidR="00143FD2" w:rsidRPr="00F94904">
              <w:rPr>
                <w:noProof/>
                <w:color w:val="000000" w:themeColor="text1"/>
              </w:rPr>
              <w:fldChar w:fldCharType="end"/>
            </w:r>
          </w:hyperlink>
        </w:p>
        <w:p w14:paraId="5D381A86" w14:textId="0681255D" w:rsidR="00143FD2" w:rsidRPr="00F94904" w:rsidRDefault="0092227B">
          <w:pPr>
            <w:pStyle w:val="TOC3"/>
            <w:tabs>
              <w:tab w:val="right" w:leader="dot" w:pos="9016"/>
            </w:tabs>
            <w:rPr>
              <w:rFonts w:asciiTheme="minorHAnsi" w:eastAsiaTheme="minorEastAsia" w:hAnsiTheme="minorHAnsi" w:cstheme="minorBidi"/>
              <w:noProof/>
              <w:color w:val="000000" w:themeColor="text1"/>
              <w:sz w:val="22"/>
              <w:szCs w:val="22"/>
            </w:rPr>
          </w:pPr>
          <w:hyperlink w:anchor="_Toc241018037" w:history="1">
            <w:r w:rsidR="00143FD2" w:rsidRPr="00F94904">
              <w:rPr>
                <w:rStyle w:val="Hyperlink"/>
                <w:noProof/>
                <w:color w:val="000000" w:themeColor="text1"/>
              </w:rPr>
              <w:t>2.2.3 Kahn's Theory of Personal Engagement</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_Toc241018037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18</w:t>
            </w:r>
            <w:r w:rsidR="00143FD2" w:rsidRPr="00F94904">
              <w:rPr>
                <w:noProof/>
                <w:color w:val="000000" w:themeColor="text1"/>
              </w:rPr>
              <w:fldChar w:fldCharType="end"/>
            </w:r>
          </w:hyperlink>
        </w:p>
        <w:p w14:paraId="4C5E80E3" w14:textId="4963DE8A" w:rsidR="00143FD2" w:rsidRPr="00F94904" w:rsidRDefault="0092227B">
          <w:pPr>
            <w:pStyle w:val="TOC3"/>
            <w:tabs>
              <w:tab w:val="right" w:leader="dot" w:pos="9016"/>
            </w:tabs>
            <w:rPr>
              <w:rFonts w:asciiTheme="minorHAnsi" w:eastAsiaTheme="minorEastAsia" w:hAnsiTheme="minorHAnsi" w:cstheme="minorBidi"/>
              <w:noProof/>
              <w:color w:val="000000" w:themeColor="text1"/>
              <w:sz w:val="22"/>
              <w:szCs w:val="22"/>
            </w:rPr>
          </w:pPr>
          <w:hyperlink w:anchor="_Toc241018038" w:history="1">
            <w:r w:rsidR="00143FD2" w:rsidRPr="00F94904">
              <w:rPr>
                <w:rStyle w:val="Hyperlink"/>
                <w:noProof/>
                <w:color w:val="000000" w:themeColor="text1"/>
              </w:rPr>
              <w:t>2.2.4 The Theoretical Intersection of Policy Failure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_Toc241018038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18</w:t>
            </w:r>
            <w:r w:rsidR="00143FD2" w:rsidRPr="00F94904">
              <w:rPr>
                <w:noProof/>
                <w:color w:val="000000" w:themeColor="text1"/>
              </w:rPr>
              <w:fldChar w:fldCharType="end"/>
            </w:r>
          </w:hyperlink>
        </w:p>
        <w:p w14:paraId="6083681E" w14:textId="32A74988"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39" w:history="1">
            <w:r w:rsidR="00143FD2" w:rsidRPr="00F94904">
              <w:rPr>
                <w:rStyle w:val="Hyperlink"/>
                <w:noProof/>
                <w:color w:val="000000" w:themeColor="text1"/>
              </w:rPr>
              <w:t>2.3 The Cross-Sectoral Landscape of Work-Life Balance Policies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_Toc241018039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19</w:t>
            </w:r>
            <w:r w:rsidR="00143FD2" w:rsidRPr="00F94904">
              <w:rPr>
                <w:noProof/>
                <w:color w:val="000000" w:themeColor="text1"/>
              </w:rPr>
              <w:fldChar w:fldCharType="end"/>
            </w:r>
          </w:hyperlink>
        </w:p>
        <w:p w14:paraId="2C3E3711" w14:textId="7A2821F4"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0" w:history="1">
            <w:r w:rsidR="00143FD2" w:rsidRPr="00F94904">
              <w:rPr>
                <w:rStyle w:val="Hyperlink"/>
                <w:noProof/>
                <w:color w:val="000000" w:themeColor="text1"/>
              </w:rPr>
              <w:t>2.4 The Psychological Impact of WLB on Employee Engagement</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_Toc241018040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21</w:t>
            </w:r>
            <w:r w:rsidR="00143FD2" w:rsidRPr="00F94904">
              <w:rPr>
                <w:noProof/>
                <w:color w:val="000000" w:themeColor="text1"/>
              </w:rPr>
              <w:fldChar w:fldCharType="end"/>
            </w:r>
          </w:hyperlink>
        </w:p>
        <w:p w14:paraId="69D35DCA" w14:textId="7462799F"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1" w:history="1">
            <w:r w:rsidR="00143FD2" w:rsidRPr="00F94904">
              <w:rPr>
                <w:rStyle w:val="Hyperlink"/>
                <w:noProof/>
                <w:color w:val="000000" w:themeColor="text1"/>
              </w:rPr>
              <w:t>2.5 The Nexus Between Policy Effectiveness and Workforce Retention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_Toc241018041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23</w:t>
            </w:r>
            <w:r w:rsidR="00143FD2" w:rsidRPr="00F94904">
              <w:rPr>
                <w:noProof/>
                <w:color w:val="000000" w:themeColor="text1"/>
              </w:rPr>
              <w:fldChar w:fldCharType="end"/>
            </w:r>
          </w:hyperlink>
        </w:p>
        <w:p w14:paraId="6CC20DAF" w14:textId="41BA5F1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2" w:history="1">
            <w:r w:rsidR="00143FD2" w:rsidRPr="00F94904">
              <w:rPr>
                <w:rStyle w:val="Hyperlink"/>
                <w:noProof/>
                <w:color w:val="000000" w:themeColor="text1"/>
              </w:rPr>
              <w:t>2.6 Summary and Conceptual Framework Adopted</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_Toc241018042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24</w:t>
            </w:r>
            <w:r w:rsidR="00143FD2" w:rsidRPr="00F94904">
              <w:rPr>
                <w:noProof/>
                <w:color w:val="000000" w:themeColor="text1"/>
              </w:rPr>
              <w:fldChar w:fldCharType="end"/>
            </w:r>
          </w:hyperlink>
        </w:p>
        <w:p w14:paraId="6B93E3B7" w14:textId="412EA97C"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43" w:history="1">
            <w:r w:rsidR="00143FD2" w:rsidRPr="00F94904">
              <w:rPr>
                <w:rStyle w:val="Hyperlink"/>
                <w:noProof/>
                <w:color w:val="000000" w:themeColor="text1"/>
              </w:rPr>
              <w:t>Chapter Three: Research Methodology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_Toc241018043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26</w:t>
            </w:r>
            <w:r w:rsidR="00143FD2" w:rsidRPr="00F94904">
              <w:rPr>
                <w:noProof/>
                <w:color w:val="000000" w:themeColor="text1"/>
              </w:rPr>
              <w:fldChar w:fldCharType="end"/>
            </w:r>
          </w:hyperlink>
        </w:p>
        <w:p w14:paraId="2393C81C" w14:textId="15DE8A79"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4" w:history="1">
            <w:r w:rsidR="00143FD2" w:rsidRPr="00F94904">
              <w:rPr>
                <w:rStyle w:val="Hyperlink"/>
                <w:noProof/>
                <w:color w:val="000000" w:themeColor="text1"/>
              </w:rPr>
              <w:t>3.1 Introduction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_Toc241018044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26</w:t>
            </w:r>
            <w:r w:rsidR="00143FD2" w:rsidRPr="00F94904">
              <w:rPr>
                <w:noProof/>
                <w:color w:val="000000" w:themeColor="text1"/>
              </w:rPr>
              <w:fldChar w:fldCharType="end"/>
            </w:r>
          </w:hyperlink>
        </w:p>
        <w:p w14:paraId="7770B1E9" w14:textId="07602FDE"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5" w:history="1">
            <w:r w:rsidR="00143FD2" w:rsidRPr="00F94904">
              <w:rPr>
                <w:rStyle w:val="Hyperlink"/>
                <w:noProof/>
                <w:color w:val="000000" w:themeColor="text1"/>
              </w:rPr>
              <w:t>3.2 Research Aim and Objectives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_Toc241018045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26</w:t>
            </w:r>
            <w:r w:rsidR="00143FD2" w:rsidRPr="00F94904">
              <w:rPr>
                <w:noProof/>
                <w:color w:val="000000" w:themeColor="text1"/>
              </w:rPr>
              <w:fldChar w:fldCharType="end"/>
            </w:r>
          </w:hyperlink>
        </w:p>
        <w:p w14:paraId="39662C62" w14:textId="5FC720DF"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6" w:history="1">
            <w:r w:rsidR="00143FD2" w:rsidRPr="00F94904">
              <w:rPr>
                <w:rStyle w:val="Hyperlink"/>
                <w:noProof/>
                <w:color w:val="000000" w:themeColor="text1"/>
              </w:rPr>
              <w:t>3.3 Research Rationale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_Toc241018046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27</w:t>
            </w:r>
            <w:r w:rsidR="00143FD2" w:rsidRPr="00F94904">
              <w:rPr>
                <w:noProof/>
                <w:color w:val="000000" w:themeColor="text1"/>
              </w:rPr>
              <w:fldChar w:fldCharType="end"/>
            </w:r>
          </w:hyperlink>
        </w:p>
        <w:p w14:paraId="1FC18571" w14:textId="7BB3F07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7" w:history="1">
            <w:r w:rsidR="00143FD2" w:rsidRPr="00F94904">
              <w:rPr>
                <w:rStyle w:val="Hyperlink"/>
                <w:noProof/>
                <w:color w:val="000000" w:themeColor="text1"/>
              </w:rPr>
              <w:t>3.4 Research Design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_Toc241018047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27</w:t>
            </w:r>
            <w:r w:rsidR="00143FD2" w:rsidRPr="00F94904">
              <w:rPr>
                <w:noProof/>
                <w:color w:val="000000" w:themeColor="text1"/>
              </w:rPr>
              <w:fldChar w:fldCharType="end"/>
            </w:r>
          </w:hyperlink>
        </w:p>
        <w:p w14:paraId="5E2911B9" w14:textId="04C2BC13"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8" w:history="1">
            <w:r w:rsidR="00143FD2" w:rsidRPr="00F94904">
              <w:rPr>
                <w:rStyle w:val="Hyperlink"/>
                <w:noProof/>
                <w:color w:val="000000" w:themeColor="text1"/>
              </w:rPr>
              <w:t>3.5 Research Philosophy and Approach</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_Toc241018048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29</w:t>
            </w:r>
            <w:r w:rsidR="00143FD2" w:rsidRPr="00F94904">
              <w:rPr>
                <w:noProof/>
                <w:color w:val="000000" w:themeColor="text1"/>
              </w:rPr>
              <w:fldChar w:fldCharType="end"/>
            </w:r>
          </w:hyperlink>
        </w:p>
        <w:p w14:paraId="6899BF98" w14:textId="4645CA9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49" w:history="1">
            <w:r w:rsidR="00143FD2" w:rsidRPr="00F94904">
              <w:rPr>
                <w:rStyle w:val="Hyperlink"/>
                <w:noProof/>
                <w:color w:val="000000" w:themeColor="text1"/>
              </w:rPr>
              <w:t>3.6 Data Collection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_Toc241018049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30</w:t>
            </w:r>
            <w:r w:rsidR="00143FD2" w:rsidRPr="00F94904">
              <w:rPr>
                <w:noProof/>
                <w:color w:val="000000" w:themeColor="text1"/>
              </w:rPr>
              <w:fldChar w:fldCharType="end"/>
            </w:r>
          </w:hyperlink>
        </w:p>
        <w:p w14:paraId="6D581ECE" w14:textId="2D62202E"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0" w:history="1">
            <w:r w:rsidR="00143FD2" w:rsidRPr="00F94904">
              <w:rPr>
                <w:rStyle w:val="Hyperlink"/>
                <w:noProof/>
                <w:color w:val="000000" w:themeColor="text1"/>
              </w:rPr>
              <w:t>3.7 Population and Sample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_Toc241018050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31</w:t>
            </w:r>
            <w:r w:rsidR="00143FD2" w:rsidRPr="00F94904">
              <w:rPr>
                <w:noProof/>
                <w:color w:val="000000" w:themeColor="text1"/>
              </w:rPr>
              <w:fldChar w:fldCharType="end"/>
            </w:r>
          </w:hyperlink>
        </w:p>
        <w:p w14:paraId="68A2B6F3" w14:textId="29F7674B"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1" w:history="1">
            <w:r w:rsidR="00143FD2" w:rsidRPr="00F94904">
              <w:rPr>
                <w:rStyle w:val="Hyperlink"/>
                <w:noProof/>
                <w:color w:val="000000" w:themeColor="text1"/>
              </w:rPr>
              <w:t>3.8 Data Analysis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_Toc241018051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32</w:t>
            </w:r>
            <w:r w:rsidR="00143FD2" w:rsidRPr="00F94904">
              <w:rPr>
                <w:noProof/>
                <w:color w:val="000000" w:themeColor="text1"/>
              </w:rPr>
              <w:fldChar w:fldCharType="end"/>
            </w:r>
          </w:hyperlink>
        </w:p>
        <w:p w14:paraId="45517AB1" w14:textId="1DB6F8B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2" w:history="1">
            <w:r w:rsidR="00143FD2" w:rsidRPr="00F94904">
              <w:rPr>
                <w:rStyle w:val="Hyperlink"/>
                <w:noProof/>
                <w:color w:val="000000" w:themeColor="text1"/>
              </w:rPr>
              <w:t>3.9 Reliability and Validity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_Toc241018052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33</w:t>
            </w:r>
            <w:r w:rsidR="00143FD2" w:rsidRPr="00F94904">
              <w:rPr>
                <w:noProof/>
                <w:color w:val="000000" w:themeColor="text1"/>
              </w:rPr>
              <w:fldChar w:fldCharType="end"/>
            </w:r>
          </w:hyperlink>
        </w:p>
        <w:p w14:paraId="61DCC026" w14:textId="3A2854CB"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3" w:history="1">
            <w:r w:rsidR="00143FD2" w:rsidRPr="00F94904">
              <w:rPr>
                <w:rStyle w:val="Hyperlink"/>
                <w:noProof/>
                <w:color w:val="000000" w:themeColor="text1"/>
              </w:rPr>
              <w:t>3.10 Limitations of the Research</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_Toc241018053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33</w:t>
            </w:r>
            <w:r w:rsidR="00143FD2" w:rsidRPr="00F94904">
              <w:rPr>
                <w:noProof/>
                <w:color w:val="000000" w:themeColor="text1"/>
              </w:rPr>
              <w:fldChar w:fldCharType="end"/>
            </w:r>
          </w:hyperlink>
        </w:p>
        <w:p w14:paraId="6CC46890" w14:textId="3590DB07"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4" w:history="1">
            <w:r w:rsidR="00143FD2" w:rsidRPr="00F94904">
              <w:rPr>
                <w:rStyle w:val="Hyperlink"/>
                <w:noProof/>
                <w:color w:val="000000" w:themeColor="text1"/>
              </w:rPr>
              <w:t>3.11 Research Ethics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_Toc241018054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34</w:t>
            </w:r>
            <w:r w:rsidR="00143FD2" w:rsidRPr="00F94904">
              <w:rPr>
                <w:noProof/>
                <w:color w:val="000000" w:themeColor="text1"/>
              </w:rPr>
              <w:fldChar w:fldCharType="end"/>
            </w:r>
          </w:hyperlink>
        </w:p>
        <w:p w14:paraId="45EC58B2" w14:textId="75918E8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5" w:history="1">
            <w:r w:rsidR="00143FD2" w:rsidRPr="00F94904">
              <w:rPr>
                <w:rStyle w:val="Hyperlink"/>
                <w:noProof/>
                <w:color w:val="000000" w:themeColor="text1"/>
              </w:rPr>
              <w:t>3.12 Chapter Summary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_Toc241018055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35</w:t>
            </w:r>
            <w:r w:rsidR="00143FD2" w:rsidRPr="00F94904">
              <w:rPr>
                <w:noProof/>
                <w:color w:val="000000" w:themeColor="text1"/>
              </w:rPr>
              <w:fldChar w:fldCharType="end"/>
            </w:r>
          </w:hyperlink>
        </w:p>
        <w:p w14:paraId="17136C39" w14:textId="165601AD"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56" w:history="1">
            <w:r w:rsidR="00143FD2" w:rsidRPr="00F94904">
              <w:rPr>
                <w:rStyle w:val="Hyperlink"/>
                <w:noProof/>
                <w:color w:val="000000" w:themeColor="text1"/>
              </w:rPr>
              <w:t>Chapter Four: Findings and Discussion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_Toc241018056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36</w:t>
            </w:r>
            <w:r w:rsidR="00143FD2" w:rsidRPr="00F94904">
              <w:rPr>
                <w:noProof/>
                <w:color w:val="000000" w:themeColor="text1"/>
              </w:rPr>
              <w:fldChar w:fldCharType="end"/>
            </w:r>
          </w:hyperlink>
        </w:p>
        <w:p w14:paraId="5F2B8C17" w14:textId="73B453CF"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7" w:history="1">
            <w:r w:rsidR="00143FD2" w:rsidRPr="00F94904">
              <w:rPr>
                <w:rStyle w:val="Hyperlink"/>
                <w:noProof/>
                <w:color w:val="000000" w:themeColor="text1"/>
              </w:rPr>
              <w:t>4.1 Introduction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_Toc241018057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36</w:t>
            </w:r>
            <w:r w:rsidR="00143FD2" w:rsidRPr="00F94904">
              <w:rPr>
                <w:noProof/>
                <w:color w:val="000000" w:themeColor="text1"/>
              </w:rPr>
              <w:fldChar w:fldCharType="end"/>
            </w:r>
          </w:hyperlink>
        </w:p>
        <w:p w14:paraId="24AA2FD7" w14:textId="0F36593F"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8" w:history="1">
            <w:r w:rsidR="00143FD2" w:rsidRPr="00F94904">
              <w:rPr>
                <w:rStyle w:val="Hyperlink"/>
                <w:noProof/>
                <w:color w:val="000000" w:themeColor="text1"/>
              </w:rPr>
              <w:t>4.2 Overview of the participants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_Toc241018058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36</w:t>
            </w:r>
            <w:r w:rsidR="00143FD2" w:rsidRPr="00F94904">
              <w:rPr>
                <w:noProof/>
                <w:color w:val="000000" w:themeColor="text1"/>
              </w:rPr>
              <w:fldChar w:fldCharType="end"/>
            </w:r>
          </w:hyperlink>
        </w:p>
        <w:p w14:paraId="2FFA0AA5" w14:textId="67DB8DC7"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59" w:history="1">
            <w:r w:rsidR="00143FD2" w:rsidRPr="00F94904">
              <w:rPr>
                <w:rStyle w:val="Hyperlink"/>
                <w:noProof/>
                <w:color w:val="000000" w:themeColor="text1"/>
              </w:rPr>
              <w:t>4.3 Theme 1: Policy on paper versus policy in practice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_Toc241018059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38</w:t>
            </w:r>
            <w:r w:rsidR="00143FD2" w:rsidRPr="00F94904">
              <w:rPr>
                <w:noProof/>
                <w:color w:val="000000" w:themeColor="text1"/>
              </w:rPr>
              <w:fldChar w:fldCharType="end"/>
            </w:r>
          </w:hyperlink>
        </w:p>
        <w:p w14:paraId="267736FB" w14:textId="260626FD"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0" w:history="1">
            <w:r w:rsidR="00143FD2" w:rsidRPr="00F94904">
              <w:rPr>
                <w:rStyle w:val="Hyperlink"/>
                <w:noProof/>
                <w:color w:val="000000" w:themeColor="text1"/>
              </w:rPr>
              <w:t>4.4 Theme 2: The cultural cost of using policies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_Toc241018060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39</w:t>
            </w:r>
            <w:r w:rsidR="00143FD2" w:rsidRPr="00F94904">
              <w:rPr>
                <w:noProof/>
                <w:color w:val="000000" w:themeColor="text1"/>
              </w:rPr>
              <w:fldChar w:fldCharType="end"/>
            </w:r>
          </w:hyperlink>
        </w:p>
        <w:p w14:paraId="46850942" w14:textId="06E0F10B"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1" w:history="1">
            <w:r w:rsidR="00143FD2" w:rsidRPr="00F94904">
              <w:rPr>
                <w:rStyle w:val="Hyperlink"/>
                <w:noProof/>
                <w:color w:val="000000" w:themeColor="text1"/>
              </w:rPr>
              <w:t>4.5 Theme 3: Spillover, exhaustion, and protected recovery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_Toc241018061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40</w:t>
            </w:r>
            <w:r w:rsidR="00143FD2" w:rsidRPr="00F94904">
              <w:rPr>
                <w:noProof/>
                <w:color w:val="000000" w:themeColor="text1"/>
              </w:rPr>
              <w:fldChar w:fldCharType="end"/>
            </w:r>
          </w:hyperlink>
        </w:p>
        <w:p w14:paraId="78C10D27" w14:textId="19325016"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2" w:history="1">
            <w:r w:rsidR="00143FD2" w:rsidRPr="00F94904">
              <w:rPr>
                <w:rStyle w:val="Hyperlink"/>
                <w:noProof/>
                <w:color w:val="000000" w:themeColor="text1"/>
              </w:rPr>
              <w:t>4.6 Theme 4: From "all in" to "just surviving"</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_Toc241018062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41</w:t>
            </w:r>
            <w:r w:rsidR="00143FD2" w:rsidRPr="00F94904">
              <w:rPr>
                <w:noProof/>
                <w:color w:val="000000" w:themeColor="text1"/>
              </w:rPr>
              <w:fldChar w:fldCharType="end"/>
            </w:r>
          </w:hyperlink>
        </w:p>
        <w:p w14:paraId="21228BC1" w14:textId="09A70A07"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3" w:history="1">
            <w:r w:rsidR="00143FD2" w:rsidRPr="00F94904">
              <w:rPr>
                <w:rStyle w:val="Hyperlink"/>
                <w:noProof/>
                <w:color w:val="000000" w:themeColor="text1"/>
              </w:rPr>
              <w:t>4.7 Theme 5: Wanting to stay versus having to stay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_Toc241018063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42</w:t>
            </w:r>
            <w:r w:rsidR="00143FD2" w:rsidRPr="00F94904">
              <w:rPr>
                <w:noProof/>
                <w:color w:val="000000" w:themeColor="text1"/>
              </w:rPr>
              <w:fldChar w:fldCharType="end"/>
            </w:r>
          </w:hyperlink>
        </w:p>
        <w:p w14:paraId="455824E2" w14:textId="731B465E"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4" w:history="1">
            <w:r w:rsidR="00143FD2" w:rsidRPr="00F94904">
              <w:rPr>
                <w:rStyle w:val="Hyperlink"/>
                <w:noProof/>
                <w:color w:val="000000" w:themeColor="text1"/>
              </w:rPr>
              <w:t>4.8 Chapter summary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_Toc241018064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43</w:t>
            </w:r>
            <w:r w:rsidR="00143FD2" w:rsidRPr="00F94904">
              <w:rPr>
                <w:noProof/>
                <w:color w:val="000000" w:themeColor="text1"/>
              </w:rPr>
              <w:fldChar w:fldCharType="end"/>
            </w:r>
          </w:hyperlink>
        </w:p>
        <w:p w14:paraId="618BCDAA" w14:textId="143B9960"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65" w:history="1">
            <w:r w:rsidR="00143FD2" w:rsidRPr="00F94904">
              <w:rPr>
                <w:rStyle w:val="Hyperlink"/>
                <w:noProof/>
                <w:color w:val="000000" w:themeColor="text1"/>
              </w:rPr>
              <w:t>Chapter Five: Conclusions and Recommendations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_Toc241018065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46</w:t>
            </w:r>
            <w:r w:rsidR="00143FD2" w:rsidRPr="00F94904">
              <w:rPr>
                <w:noProof/>
                <w:color w:val="000000" w:themeColor="text1"/>
              </w:rPr>
              <w:fldChar w:fldCharType="end"/>
            </w:r>
          </w:hyperlink>
        </w:p>
        <w:p w14:paraId="4B5DCB3F" w14:textId="655DE225"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6" w:history="1">
            <w:r w:rsidR="00143FD2" w:rsidRPr="00F94904">
              <w:rPr>
                <w:rStyle w:val="Hyperlink"/>
                <w:noProof/>
                <w:color w:val="000000" w:themeColor="text1"/>
              </w:rPr>
              <w:t>5.1 Introduction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_Toc241018066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46</w:t>
            </w:r>
            <w:r w:rsidR="00143FD2" w:rsidRPr="00F94904">
              <w:rPr>
                <w:noProof/>
                <w:color w:val="000000" w:themeColor="text1"/>
              </w:rPr>
              <w:fldChar w:fldCharType="end"/>
            </w:r>
          </w:hyperlink>
        </w:p>
        <w:p w14:paraId="684B1D94" w14:textId="766B87B5"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7" w:history="1">
            <w:r w:rsidR="00143FD2" w:rsidRPr="00F94904">
              <w:rPr>
                <w:rStyle w:val="Hyperlink"/>
                <w:noProof/>
                <w:color w:val="000000" w:themeColor="text1"/>
              </w:rPr>
              <w:t>5.2 Conclusions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_Toc241018067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46</w:t>
            </w:r>
            <w:r w:rsidR="00143FD2" w:rsidRPr="00F94904">
              <w:rPr>
                <w:noProof/>
                <w:color w:val="000000" w:themeColor="text1"/>
              </w:rPr>
              <w:fldChar w:fldCharType="end"/>
            </w:r>
          </w:hyperlink>
        </w:p>
        <w:p w14:paraId="24BAB3F9" w14:textId="6616FED9" w:rsidR="00143FD2" w:rsidRPr="00F94904" w:rsidRDefault="0092227B">
          <w:pPr>
            <w:pStyle w:val="TOC3"/>
            <w:tabs>
              <w:tab w:val="right" w:leader="dot" w:pos="9016"/>
            </w:tabs>
            <w:rPr>
              <w:rFonts w:asciiTheme="minorHAnsi" w:eastAsiaTheme="minorEastAsia" w:hAnsiTheme="minorHAnsi" w:cstheme="minorBidi"/>
              <w:noProof/>
              <w:color w:val="000000" w:themeColor="text1"/>
              <w:sz w:val="22"/>
              <w:szCs w:val="22"/>
            </w:rPr>
          </w:pPr>
          <w:hyperlink w:anchor="_Toc241018068" w:history="1">
            <w:r w:rsidR="00143FD2" w:rsidRPr="00F94904">
              <w:rPr>
                <w:rStyle w:val="Hyperlink"/>
                <w:noProof/>
                <w:color w:val="000000" w:themeColor="text1"/>
              </w:rPr>
              <w:t>Answer to the research question</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_Toc241018068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48</w:t>
            </w:r>
            <w:r w:rsidR="00143FD2" w:rsidRPr="00F94904">
              <w:rPr>
                <w:noProof/>
                <w:color w:val="000000" w:themeColor="text1"/>
              </w:rPr>
              <w:fldChar w:fldCharType="end"/>
            </w:r>
          </w:hyperlink>
        </w:p>
        <w:p w14:paraId="29971EF1" w14:textId="2CF1ECDD"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69" w:history="1">
            <w:r w:rsidR="00143FD2" w:rsidRPr="00F94904">
              <w:rPr>
                <w:rStyle w:val="Hyperlink"/>
                <w:noProof/>
                <w:color w:val="000000" w:themeColor="text1"/>
              </w:rPr>
              <w:t>5.3 Contribution to Knowledge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_Toc241018069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48</w:t>
            </w:r>
            <w:r w:rsidR="00143FD2" w:rsidRPr="00F94904">
              <w:rPr>
                <w:noProof/>
                <w:color w:val="000000" w:themeColor="text1"/>
              </w:rPr>
              <w:fldChar w:fldCharType="end"/>
            </w:r>
          </w:hyperlink>
        </w:p>
        <w:p w14:paraId="258AC1F8" w14:textId="51C92EF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0" w:history="1">
            <w:r w:rsidR="00143FD2" w:rsidRPr="00F94904">
              <w:rPr>
                <w:rStyle w:val="Hyperlink"/>
                <w:noProof/>
                <w:color w:val="000000" w:themeColor="text1"/>
              </w:rPr>
              <w:t>5.4 Recommendations for Management Practice</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_Toc241018070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49</w:t>
            </w:r>
            <w:r w:rsidR="00143FD2" w:rsidRPr="00F94904">
              <w:rPr>
                <w:noProof/>
                <w:color w:val="000000" w:themeColor="text1"/>
              </w:rPr>
              <w:fldChar w:fldCharType="end"/>
            </w:r>
          </w:hyperlink>
        </w:p>
        <w:p w14:paraId="57400655" w14:textId="09718803"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1" w:history="1">
            <w:r w:rsidR="00143FD2" w:rsidRPr="00F94904">
              <w:rPr>
                <w:rStyle w:val="Hyperlink"/>
                <w:noProof/>
                <w:color w:val="000000" w:themeColor="text1"/>
              </w:rPr>
              <w:t>5.5 Limitations of the Study</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_Toc241018071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51</w:t>
            </w:r>
            <w:r w:rsidR="00143FD2" w:rsidRPr="00F94904">
              <w:rPr>
                <w:noProof/>
                <w:color w:val="000000" w:themeColor="text1"/>
              </w:rPr>
              <w:fldChar w:fldCharType="end"/>
            </w:r>
          </w:hyperlink>
        </w:p>
        <w:p w14:paraId="4E3FD068" w14:textId="56D82EE3"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2" w:history="1">
            <w:r w:rsidR="00143FD2" w:rsidRPr="00F94904">
              <w:rPr>
                <w:rStyle w:val="Hyperlink"/>
                <w:noProof/>
                <w:color w:val="000000" w:themeColor="text1"/>
              </w:rPr>
              <w:t>5.6 Directions for Future Research</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_Toc241018072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51</w:t>
            </w:r>
            <w:r w:rsidR="00143FD2" w:rsidRPr="00F94904">
              <w:rPr>
                <w:noProof/>
                <w:color w:val="000000" w:themeColor="text1"/>
              </w:rPr>
              <w:fldChar w:fldCharType="end"/>
            </w:r>
          </w:hyperlink>
        </w:p>
        <w:p w14:paraId="012B0458" w14:textId="2BA520DC"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3" w:history="1">
            <w:r w:rsidR="00143FD2" w:rsidRPr="00F94904">
              <w:rPr>
                <w:rStyle w:val="Hyperlink"/>
                <w:noProof/>
                <w:color w:val="000000" w:themeColor="text1"/>
              </w:rPr>
              <w:t>5.7 Concluding Remarks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_Toc241018073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52</w:t>
            </w:r>
            <w:r w:rsidR="00143FD2" w:rsidRPr="00F94904">
              <w:rPr>
                <w:noProof/>
                <w:color w:val="000000" w:themeColor="text1"/>
              </w:rPr>
              <w:fldChar w:fldCharType="end"/>
            </w:r>
          </w:hyperlink>
        </w:p>
        <w:p w14:paraId="6A526049" w14:textId="34C7E8C1"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74" w:history="1">
            <w:r w:rsidR="00143FD2" w:rsidRPr="00F94904">
              <w:rPr>
                <w:rStyle w:val="Hyperlink"/>
                <w:noProof/>
                <w:color w:val="000000" w:themeColor="text1"/>
              </w:rPr>
              <w:t>References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_Toc241018074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53</w:t>
            </w:r>
            <w:r w:rsidR="00143FD2" w:rsidRPr="00F94904">
              <w:rPr>
                <w:noProof/>
                <w:color w:val="000000" w:themeColor="text1"/>
              </w:rPr>
              <w:fldChar w:fldCharType="end"/>
            </w:r>
          </w:hyperlink>
        </w:p>
        <w:p w14:paraId="7544B2D3" w14:textId="0C7ED543" w:rsidR="00143FD2" w:rsidRPr="00F94904" w:rsidRDefault="0092227B">
          <w:pPr>
            <w:pStyle w:val="TOC1"/>
            <w:tabs>
              <w:tab w:val="right" w:leader="dot" w:pos="9016"/>
            </w:tabs>
            <w:rPr>
              <w:rFonts w:asciiTheme="minorHAnsi" w:eastAsiaTheme="minorEastAsia" w:hAnsiTheme="minorHAnsi" w:cstheme="minorBidi"/>
              <w:noProof/>
              <w:color w:val="000000" w:themeColor="text1"/>
              <w:sz w:val="22"/>
              <w:szCs w:val="22"/>
            </w:rPr>
          </w:pPr>
          <w:hyperlink w:anchor="_Toc241018075" w:history="1">
            <w:r w:rsidR="00143FD2" w:rsidRPr="00F94904">
              <w:rPr>
                <w:rStyle w:val="Hyperlink"/>
                <w:noProof/>
                <w:color w:val="000000" w:themeColor="text1"/>
              </w:rPr>
              <w:t>Appendices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_Toc241018075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63</w:t>
            </w:r>
            <w:r w:rsidR="00143FD2" w:rsidRPr="00F94904">
              <w:rPr>
                <w:noProof/>
                <w:color w:val="000000" w:themeColor="text1"/>
              </w:rPr>
              <w:fldChar w:fldCharType="end"/>
            </w:r>
          </w:hyperlink>
        </w:p>
        <w:p w14:paraId="678D39F1" w14:textId="24041D80"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6" w:history="1">
            <w:r w:rsidR="00143FD2" w:rsidRPr="00F94904">
              <w:rPr>
                <w:rStyle w:val="Hyperlink"/>
                <w:noProof/>
                <w:color w:val="000000" w:themeColor="text1"/>
              </w:rPr>
              <w:t>Appendix A: Semi-Structured Interviews Questions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_Toc241018076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63</w:t>
            </w:r>
            <w:r w:rsidR="00143FD2" w:rsidRPr="00F94904">
              <w:rPr>
                <w:noProof/>
                <w:color w:val="000000" w:themeColor="text1"/>
              </w:rPr>
              <w:fldChar w:fldCharType="end"/>
            </w:r>
          </w:hyperlink>
        </w:p>
        <w:p w14:paraId="2FF4C4F8" w14:textId="159B973B"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7" w:history="1">
            <w:r w:rsidR="00143FD2" w:rsidRPr="00F94904">
              <w:rPr>
                <w:rStyle w:val="Hyperlink"/>
                <w:noProof/>
                <w:color w:val="000000" w:themeColor="text1"/>
              </w:rPr>
              <w:t>Appendix B: Interview Transcripts</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_Toc241018077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65</w:t>
            </w:r>
            <w:r w:rsidR="00143FD2" w:rsidRPr="00F94904">
              <w:rPr>
                <w:noProof/>
                <w:color w:val="000000" w:themeColor="text1"/>
              </w:rPr>
              <w:fldChar w:fldCharType="end"/>
            </w:r>
          </w:hyperlink>
        </w:p>
        <w:p w14:paraId="5C351F94" w14:textId="3874BB03" w:rsidR="00143FD2" w:rsidRPr="00F94904" w:rsidRDefault="0092227B">
          <w:pPr>
            <w:pStyle w:val="TOC2"/>
            <w:tabs>
              <w:tab w:val="right" w:leader="dot" w:pos="9016"/>
            </w:tabs>
            <w:rPr>
              <w:rFonts w:asciiTheme="minorHAnsi" w:eastAsiaTheme="minorEastAsia" w:hAnsiTheme="minorHAnsi" w:cstheme="minorBidi"/>
              <w:noProof/>
              <w:color w:val="000000" w:themeColor="text1"/>
              <w:sz w:val="22"/>
              <w:szCs w:val="22"/>
            </w:rPr>
          </w:pPr>
          <w:hyperlink w:anchor="_Toc241018078" w:history="1">
            <w:r w:rsidR="00143FD2" w:rsidRPr="00F94904">
              <w:rPr>
                <w:rStyle w:val="Hyperlink"/>
                <w:noProof/>
                <w:color w:val="000000" w:themeColor="text1"/>
              </w:rPr>
              <w:t>Appendix C: Completed UWTSD Application for Ethical Approval (PG2)</w:t>
            </w:r>
            <w:r w:rsidR="00143FD2" w:rsidRPr="00F94904">
              <w:rPr>
                <w:noProof/>
                <w:color w:val="000000" w:themeColor="text1"/>
              </w:rPr>
              <w:tab/>
            </w:r>
            <w:r w:rsidR="00143FD2" w:rsidRPr="00F94904">
              <w:rPr>
                <w:noProof/>
                <w:color w:val="000000" w:themeColor="text1"/>
              </w:rPr>
              <w:fldChar w:fldCharType="begin"/>
            </w:r>
            <w:r w:rsidR="00143FD2" w:rsidRPr="00F94904">
              <w:rPr>
                <w:noProof/>
                <w:color w:val="000000" w:themeColor="text1"/>
              </w:rPr>
              <w:instrText xml:space="preserve"> PAGEREF _Toc241018078 \h </w:instrText>
            </w:r>
            <w:r w:rsidR="00143FD2" w:rsidRPr="00F94904">
              <w:rPr>
                <w:noProof/>
                <w:color w:val="000000" w:themeColor="text1"/>
              </w:rPr>
            </w:r>
            <w:r w:rsidR="00143FD2" w:rsidRPr="00F94904">
              <w:rPr>
                <w:noProof/>
                <w:color w:val="000000" w:themeColor="text1"/>
              </w:rPr>
              <w:fldChar w:fldCharType="separate"/>
            </w:r>
            <w:r w:rsidR="00806889">
              <w:rPr>
                <w:noProof/>
                <w:color w:val="000000" w:themeColor="text1"/>
              </w:rPr>
              <w:t>66</w:t>
            </w:r>
            <w:r w:rsidR="00143FD2" w:rsidRPr="00F94904">
              <w:rPr>
                <w:noProof/>
                <w:color w:val="000000" w:themeColor="text1"/>
              </w:rPr>
              <w:fldChar w:fldCharType="end"/>
            </w:r>
          </w:hyperlink>
        </w:p>
        <w:p w14:paraId="5A0C0F95" w14:textId="7D096786" w:rsidR="00571993" w:rsidRPr="00F94904" w:rsidRDefault="00237399" w:rsidP="00143FD2">
          <w:pPr>
            <w:rPr>
              <w:color w:val="000000" w:themeColor="text1"/>
            </w:rPr>
          </w:pPr>
          <w:r w:rsidRPr="00F94904">
            <w:rPr>
              <w:color w:val="000000" w:themeColor="text1"/>
            </w:rPr>
            <w:fldChar w:fldCharType="end"/>
          </w:r>
        </w:p>
      </w:sdtContent>
    </w:sdt>
    <w:p w14:paraId="1BBEB2D7" w14:textId="77777777" w:rsidR="00571993" w:rsidRPr="00F94904" w:rsidRDefault="00237399" w:rsidP="00143FD2">
      <w:pPr>
        <w:rPr>
          <w:color w:val="000000" w:themeColor="text1"/>
        </w:rPr>
      </w:pPr>
      <w:r w:rsidRPr="00F94904">
        <w:rPr>
          <w:color w:val="000000" w:themeColor="text1"/>
        </w:rPr>
        <w:br w:type="page"/>
      </w:r>
    </w:p>
    <w:p w14:paraId="7DDFACE1" w14:textId="77777777" w:rsidR="00571993" w:rsidRPr="00F94904" w:rsidRDefault="00237399" w:rsidP="0098366A">
      <w:pPr>
        <w:pStyle w:val="Heading1"/>
        <w:jc w:val="both"/>
        <w:rPr>
          <w:color w:val="000000" w:themeColor="text1"/>
        </w:rPr>
      </w:pPr>
      <w:bookmarkStart w:id="4" w:name="_Toc241018022"/>
      <w:r w:rsidRPr="00F94904">
        <w:rPr>
          <w:color w:val="000000" w:themeColor="text1"/>
        </w:rPr>
        <w:lastRenderedPageBreak/>
        <w:t>List of Tables</w:t>
      </w:r>
      <w:bookmarkEnd w:id="4"/>
    </w:p>
    <w:p w14:paraId="7D7FE9BF" w14:textId="74455DB1" w:rsidR="00143FD2" w:rsidRPr="00F94904" w:rsidRDefault="00143FD2">
      <w:pPr>
        <w:pStyle w:val="TableofFigures"/>
        <w:tabs>
          <w:tab w:val="right" w:leader="dot" w:pos="9016"/>
        </w:tabs>
        <w:rPr>
          <w:noProof/>
          <w:color w:val="000000" w:themeColor="text1"/>
        </w:rPr>
      </w:pPr>
      <w:r w:rsidRPr="00F94904">
        <w:rPr>
          <w:color w:val="000000" w:themeColor="text1"/>
        </w:rPr>
        <w:fldChar w:fldCharType="begin"/>
      </w:r>
      <w:r w:rsidRPr="00F94904">
        <w:rPr>
          <w:color w:val="000000" w:themeColor="text1"/>
        </w:rPr>
        <w:instrText xml:space="preserve"> TOC \h \z \c "Table" </w:instrText>
      </w:r>
      <w:r w:rsidRPr="00F94904">
        <w:rPr>
          <w:color w:val="000000" w:themeColor="text1"/>
        </w:rPr>
        <w:fldChar w:fldCharType="separate"/>
      </w:r>
      <w:hyperlink w:anchor="_Toc241018193" w:history="1">
        <w:r w:rsidRPr="00F94904">
          <w:rPr>
            <w:rStyle w:val="Hyperlink"/>
            <w:noProof/>
            <w:color w:val="000000" w:themeColor="text1"/>
          </w:rPr>
          <w:t>Table 1 Profile of the interview participants</w:t>
        </w:r>
        <w:r w:rsidRPr="00F94904">
          <w:rPr>
            <w:noProof/>
            <w:webHidden/>
            <w:color w:val="000000" w:themeColor="text1"/>
          </w:rPr>
          <w:tab/>
        </w:r>
        <w:r w:rsidRPr="00F94904">
          <w:rPr>
            <w:noProof/>
            <w:webHidden/>
            <w:color w:val="000000" w:themeColor="text1"/>
          </w:rPr>
          <w:fldChar w:fldCharType="begin"/>
        </w:r>
        <w:r w:rsidRPr="00F94904">
          <w:rPr>
            <w:noProof/>
            <w:webHidden/>
            <w:color w:val="000000" w:themeColor="text1"/>
          </w:rPr>
          <w:instrText xml:space="preserve"> PAGEREF _Toc241018193 \h </w:instrText>
        </w:r>
        <w:r w:rsidRPr="00F94904">
          <w:rPr>
            <w:noProof/>
            <w:webHidden/>
            <w:color w:val="000000" w:themeColor="text1"/>
          </w:rPr>
        </w:r>
        <w:r w:rsidRPr="00F94904">
          <w:rPr>
            <w:noProof/>
            <w:webHidden/>
            <w:color w:val="000000" w:themeColor="text1"/>
          </w:rPr>
          <w:fldChar w:fldCharType="separate"/>
        </w:r>
        <w:r w:rsidR="00806889">
          <w:rPr>
            <w:noProof/>
            <w:webHidden/>
            <w:color w:val="000000" w:themeColor="text1"/>
          </w:rPr>
          <w:t>37</w:t>
        </w:r>
        <w:r w:rsidRPr="00F94904">
          <w:rPr>
            <w:noProof/>
            <w:webHidden/>
            <w:color w:val="000000" w:themeColor="text1"/>
          </w:rPr>
          <w:fldChar w:fldCharType="end"/>
        </w:r>
      </w:hyperlink>
    </w:p>
    <w:p w14:paraId="2F374E2E" w14:textId="216D7327" w:rsidR="00143FD2" w:rsidRPr="00F94904" w:rsidRDefault="0092227B">
      <w:pPr>
        <w:pStyle w:val="TableofFigures"/>
        <w:tabs>
          <w:tab w:val="right" w:leader="dot" w:pos="9016"/>
        </w:tabs>
        <w:rPr>
          <w:noProof/>
          <w:color w:val="000000" w:themeColor="text1"/>
        </w:rPr>
      </w:pPr>
      <w:hyperlink w:anchor="_Toc241018194" w:history="1">
        <w:r w:rsidR="00143FD2" w:rsidRPr="00F94904">
          <w:rPr>
            <w:rStyle w:val="Hyperlink"/>
            <w:noProof/>
            <w:color w:val="000000" w:themeColor="text1"/>
          </w:rPr>
          <w:t>Table 2 Summary of themes, constructs, evidence and interpretation</w:t>
        </w:r>
        <w:r w:rsidR="00143FD2" w:rsidRPr="00F94904">
          <w:rPr>
            <w:noProof/>
            <w:webHidden/>
            <w:color w:val="000000" w:themeColor="text1"/>
          </w:rPr>
          <w:tab/>
        </w:r>
        <w:r w:rsidR="00143FD2" w:rsidRPr="00F94904">
          <w:rPr>
            <w:noProof/>
            <w:webHidden/>
            <w:color w:val="000000" w:themeColor="text1"/>
          </w:rPr>
          <w:fldChar w:fldCharType="begin"/>
        </w:r>
        <w:r w:rsidR="00143FD2" w:rsidRPr="00F94904">
          <w:rPr>
            <w:noProof/>
            <w:webHidden/>
            <w:color w:val="000000" w:themeColor="text1"/>
          </w:rPr>
          <w:instrText xml:space="preserve"> PAGEREF _Toc241018194 \h </w:instrText>
        </w:r>
        <w:r w:rsidR="00143FD2" w:rsidRPr="00F94904">
          <w:rPr>
            <w:noProof/>
            <w:webHidden/>
            <w:color w:val="000000" w:themeColor="text1"/>
          </w:rPr>
        </w:r>
        <w:r w:rsidR="00143FD2" w:rsidRPr="00F94904">
          <w:rPr>
            <w:noProof/>
            <w:webHidden/>
            <w:color w:val="000000" w:themeColor="text1"/>
          </w:rPr>
          <w:fldChar w:fldCharType="separate"/>
        </w:r>
        <w:r w:rsidR="00806889">
          <w:rPr>
            <w:noProof/>
            <w:webHidden/>
            <w:color w:val="000000" w:themeColor="text1"/>
          </w:rPr>
          <w:t>44</w:t>
        </w:r>
        <w:r w:rsidR="00143FD2" w:rsidRPr="00F94904">
          <w:rPr>
            <w:noProof/>
            <w:webHidden/>
            <w:color w:val="000000" w:themeColor="text1"/>
          </w:rPr>
          <w:fldChar w:fldCharType="end"/>
        </w:r>
      </w:hyperlink>
    </w:p>
    <w:p w14:paraId="7EC2BA88" w14:textId="77BF160C" w:rsidR="00143FD2" w:rsidRPr="00F94904" w:rsidRDefault="00143FD2" w:rsidP="00143FD2">
      <w:pPr>
        <w:rPr>
          <w:color w:val="000000" w:themeColor="text1"/>
        </w:rPr>
      </w:pPr>
      <w:r w:rsidRPr="00F94904">
        <w:rPr>
          <w:color w:val="000000" w:themeColor="text1"/>
        </w:rPr>
        <w:fldChar w:fldCharType="end"/>
      </w:r>
    </w:p>
    <w:p w14:paraId="5AE237A8" w14:textId="77777777" w:rsidR="00143FD2" w:rsidRPr="00F94904" w:rsidRDefault="00143FD2" w:rsidP="00143FD2">
      <w:pPr>
        <w:rPr>
          <w:color w:val="000000" w:themeColor="text1"/>
        </w:rPr>
      </w:pPr>
    </w:p>
    <w:p w14:paraId="3FEEDE71" w14:textId="77777777" w:rsidR="00571993" w:rsidRPr="00F94904" w:rsidRDefault="00237399" w:rsidP="00143FD2">
      <w:pPr>
        <w:rPr>
          <w:color w:val="000000" w:themeColor="text1"/>
        </w:rPr>
      </w:pPr>
      <w:r w:rsidRPr="00F94904">
        <w:rPr>
          <w:color w:val="000000" w:themeColor="text1"/>
        </w:rPr>
        <w:br w:type="page"/>
      </w:r>
    </w:p>
    <w:p w14:paraId="49D86DFE" w14:textId="77777777" w:rsidR="00571993" w:rsidRPr="00F94904" w:rsidRDefault="00237399" w:rsidP="0098366A">
      <w:pPr>
        <w:pStyle w:val="Heading1"/>
        <w:jc w:val="both"/>
        <w:rPr>
          <w:color w:val="000000" w:themeColor="text1"/>
        </w:rPr>
      </w:pPr>
      <w:bookmarkStart w:id="5" w:name="_Toc241018023"/>
      <w:r w:rsidRPr="00F94904">
        <w:rPr>
          <w:color w:val="000000" w:themeColor="text1"/>
        </w:rPr>
        <w:lastRenderedPageBreak/>
        <w:t>List of Figures</w:t>
      </w:r>
      <w:bookmarkEnd w:id="5"/>
    </w:p>
    <w:p w14:paraId="519A8108" w14:textId="292BC14F" w:rsidR="00143FD2" w:rsidRPr="00F94904" w:rsidRDefault="00143FD2">
      <w:pPr>
        <w:pStyle w:val="TableofFigures"/>
        <w:tabs>
          <w:tab w:val="right" w:leader="dot" w:pos="9016"/>
        </w:tabs>
        <w:rPr>
          <w:rFonts w:asciiTheme="minorHAnsi" w:eastAsiaTheme="minorEastAsia" w:hAnsiTheme="minorHAnsi" w:cstheme="minorBidi"/>
          <w:noProof/>
          <w:color w:val="000000" w:themeColor="text1"/>
          <w:sz w:val="22"/>
          <w:szCs w:val="22"/>
        </w:rPr>
      </w:pPr>
      <w:r w:rsidRPr="00F94904">
        <w:rPr>
          <w:color w:val="000000" w:themeColor="text1"/>
        </w:rPr>
        <w:fldChar w:fldCharType="begin"/>
      </w:r>
      <w:r w:rsidRPr="00F94904">
        <w:rPr>
          <w:color w:val="000000" w:themeColor="text1"/>
        </w:rPr>
        <w:instrText xml:space="preserve"> TOC \h \z \c "Figure" </w:instrText>
      </w:r>
      <w:r w:rsidRPr="00F94904">
        <w:rPr>
          <w:color w:val="000000" w:themeColor="text1"/>
        </w:rPr>
        <w:fldChar w:fldCharType="separate"/>
      </w:r>
      <w:hyperlink w:anchor="_Toc241018203" w:history="1">
        <w:r w:rsidRPr="00F94904">
          <w:rPr>
            <w:rStyle w:val="Hyperlink"/>
            <w:noProof/>
            <w:color w:val="000000" w:themeColor="text1"/>
          </w:rPr>
          <w:t>Figure 1 The Research Onion (adapted from Saunders, Lewis and Thornhill, 2023)</w:t>
        </w:r>
        <w:r w:rsidRPr="00F94904">
          <w:rPr>
            <w:noProof/>
            <w:webHidden/>
            <w:color w:val="000000" w:themeColor="text1"/>
          </w:rPr>
          <w:tab/>
        </w:r>
        <w:r w:rsidRPr="00F94904">
          <w:rPr>
            <w:noProof/>
            <w:webHidden/>
            <w:color w:val="000000" w:themeColor="text1"/>
          </w:rPr>
          <w:fldChar w:fldCharType="begin"/>
        </w:r>
        <w:r w:rsidRPr="00F94904">
          <w:rPr>
            <w:noProof/>
            <w:webHidden/>
            <w:color w:val="000000" w:themeColor="text1"/>
          </w:rPr>
          <w:instrText xml:space="preserve"> PAGEREF _Toc241018203 \h </w:instrText>
        </w:r>
        <w:r w:rsidRPr="00F94904">
          <w:rPr>
            <w:noProof/>
            <w:webHidden/>
            <w:color w:val="000000" w:themeColor="text1"/>
          </w:rPr>
        </w:r>
        <w:r w:rsidRPr="00F94904">
          <w:rPr>
            <w:noProof/>
            <w:webHidden/>
            <w:color w:val="000000" w:themeColor="text1"/>
          </w:rPr>
          <w:fldChar w:fldCharType="separate"/>
        </w:r>
        <w:r w:rsidR="00F94904">
          <w:rPr>
            <w:noProof/>
            <w:webHidden/>
            <w:color w:val="000000" w:themeColor="text1"/>
          </w:rPr>
          <w:t>28</w:t>
        </w:r>
        <w:r w:rsidRPr="00F94904">
          <w:rPr>
            <w:noProof/>
            <w:webHidden/>
            <w:color w:val="000000" w:themeColor="text1"/>
          </w:rPr>
          <w:fldChar w:fldCharType="end"/>
        </w:r>
      </w:hyperlink>
    </w:p>
    <w:p w14:paraId="203651D4" w14:textId="2F54DFC8" w:rsidR="00143FD2" w:rsidRPr="00F94904" w:rsidRDefault="00143FD2" w:rsidP="00143FD2">
      <w:pPr>
        <w:rPr>
          <w:color w:val="000000" w:themeColor="text1"/>
        </w:rPr>
      </w:pPr>
      <w:r w:rsidRPr="00F94904">
        <w:rPr>
          <w:color w:val="000000" w:themeColor="text1"/>
        </w:rPr>
        <w:fldChar w:fldCharType="end"/>
      </w:r>
    </w:p>
    <w:p w14:paraId="6CA8B4F9" w14:textId="1F339D0F" w:rsidR="00143FD2" w:rsidRPr="00F94904" w:rsidRDefault="00143FD2" w:rsidP="00143FD2">
      <w:pPr>
        <w:rPr>
          <w:color w:val="000000" w:themeColor="text1"/>
        </w:rPr>
      </w:pPr>
    </w:p>
    <w:p w14:paraId="1A1D11CF" w14:textId="77777777" w:rsidR="00143FD2" w:rsidRPr="00F94904" w:rsidRDefault="00143FD2" w:rsidP="00143FD2">
      <w:pPr>
        <w:rPr>
          <w:color w:val="000000" w:themeColor="text1"/>
        </w:rPr>
      </w:pPr>
    </w:p>
    <w:p w14:paraId="1F70FB34" w14:textId="77777777" w:rsidR="00571993" w:rsidRPr="00F94904" w:rsidRDefault="00237399" w:rsidP="00143FD2">
      <w:pPr>
        <w:rPr>
          <w:color w:val="000000" w:themeColor="text1"/>
        </w:rPr>
      </w:pPr>
      <w:r w:rsidRPr="00F94904">
        <w:rPr>
          <w:color w:val="000000" w:themeColor="text1"/>
        </w:rPr>
        <w:br w:type="page"/>
      </w:r>
    </w:p>
    <w:p w14:paraId="4C61C39F" w14:textId="77777777" w:rsidR="00571993" w:rsidRPr="00F94904" w:rsidRDefault="00237399" w:rsidP="0098366A">
      <w:pPr>
        <w:pStyle w:val="Heading1"/>
        <w:jc w:val="both"/>
        <w:rPr>
          <w:color w:val="000000" w:themeColor="text1"/>
        </w:rPr>
      </w:pPr>
      <w:bookmarkStart w:id="6" w:name="_Toc241018024"/>
      <w:r w:rsidRPr="00F94904">
        <w:rPr>
          <w:color w:val="000000" w:themeColor="text1"/>
        </w:rPr>
        <w:lastRenderedPageBreak/>
        <w:t>Chapter One: Introduction</w:t>
      </w:r>
      <w:bookmarkEnd w:id="6"/>
    </w:p>
    <w:p w14:paraId="5D9A7A69" w14:textId="77777777" w:rsidR="00571993" w:rsidRPr="00F94904" w:rsidRDefault="00237399" w:rsidP="0098366A">
      <w:pPr>
        <w:pStyle w:val="Heading2"/>
        <w:rPr>
          <w:color w:val="000000" w:themeColor="text1"/>
        </w:rPr>
      </w:pPr>
      <w:bookmarkStart w:id="7" w:name="_Toc241018025"/>
      <w:r w:rsidRPr="00F94904">
        <w:rPr>
          <w:color w:val="000000" w:themeColor="text1"/>
        </w:rPr>
        <w:t>1.1 Background of the Study</w:t>
      </w:r>
      <w:bookmarkEnd w:id="7"/>
    </w:p>
    <w:p w14:paraId="0A56EB36" w14:textId="77777777" w:rsidR="00571993" w:rsidRPr="00F94904" w:rsidRDefault="00237399" w:rsidP="00143FD2">
      <w:pPr>
        <w:rPr>
          <w:color w:val="000000" w:themeColor="text1"/>
        </w:rPr>
      </w:pPr>
      <w:r w:rsidRPr="00F94904">
        <w:rPr>
          <w:color w:val="000000" w:themeColor="text1"/>
        </w:rPr>
        <w:t>The pressure between the increasing requirements of work and the need for personal life protection shapes work today. For many, the struggle between work and home becomes a permanent reality due to increased competition and communication with employees after hours through digital tools (Guest, 2017). An imbalance is proven as a cause of stress that can erode emotional and daily working lives over time (Ratnaningsih and Idris, 2024). From an organisational perspective, alleviating this pressure not only involves fair employment practice, but also relates to productivity, commitment and competitiveness (Wong, Chan and Teh, 2020).</w:t>
      </w:r>
    </w:p>
    <w:p w14:paraId="438A1AA8" w14:textId="77777777" w:rsidR="00571993" w:rsidRPr="00F94904" w:rsidRDefault="00237399" w:rsidP="00143FD2">
      <w:pPr>
        <w:rPr>
          <w:color w:val="000000" w:themeColor="text1"/>
        </w:rPr>
      </w:pPr>
      <w:r w:rsidRPr="00F94904">
        <w:rPr>
          <w:color w:val="000000" w:themeColor="text1"/>
        </w:rPr>
        <w:t>In response, HR practice has vigorously advocated for formal work-life balance (WLB) policies, including flexible schedules, work from home and hybrid working, and enhanced leave (Kelliher, Richardson and Boiarintseva, 2019). A significant amount of research indicates that these arrangements are correlated with overall organisational outcomes (Wong et al., 2020). But this is the same conclusion in a separate review for the specific relationship between these arrangements and work engagement (Wood et al., 2020). However, a definite contradiction has arisen. Having WLB policies does not always mean that they are being implemented or that they are having a positive effect on people’s well-being (Inegbedion, 2024). What often happens is that the employees find that the culture of their organisations silently punishes those that actually implement the policies, which means that the support given to them is a new source of worry in their careers (Williams, Blair-Loy and Berdahl, 2013).</w:t>
      </w:r>
    </w:p>
    <w:p w14:paraId="242D8709" w14:textId="52BE16A5" w:rsidR="00571993" w:rsidRPr="00F94904" w:rsidRDefault="00237399" w:rsidP="00143FD2">
      <w:pPr>
        <w:rPr>
          <w:color w:val="000000" w:themeColor="text1"/>
        </w:rPr>
      </w:pPr>
      <w:r w:rsidRPr="00F94904">
        <w:rPr>
          <w:color w:val="000000" w:themeColor="text1"/>
        </w:rPr>
        <w:t xml:space="preserve">Work-life balance is defined in this research as a balance that is continually negotiated by people between work and the rest of their life (Clark, 2000). The study is underpinned by three theoretical frameworks, two of which help explain the above paradox: Spillover Theory and the Job Demands-Resources (JD-R) model. Spillover Theory states that stress from work spills over into the family and vice versa, causing conflict between the two areas of life (Staines, 1980). In a related account, border theory, people actively manage the boundary between those domains (Clark, 2000). Exhaustion is likely to occur when the mental effort required for a job is high, but there is little opportunity for recovery (Ratnaningsih and Idris, 2024). According to the JD-R model, WLB policies are supposed to serve as resources for compensating for the demands of the job (Demerouti et al., 2001). Subsequent studies validate this, as such resources are found to be particularly important when demands are high (Bakker and Demerouti, 2017). In the absence of those resources, or when they are present but inaccessible due to culture, the </w:t>
      </w:r>
      <w:r w:rsidRPr="00F94904">
        <w:rPr>
          <w:color w:val="000000" w:themeColor="text1"/>
        </w:rPr>
        <w:lastRenderedPageBreak/>
        <w:t>consequences are likely to be poorer well-being, which is a known contributor to the intention to leave (Kelliher and Anderson, 2010).</w:t>
      </w:r>
    </w:p>
    <w:p w14:paraId="01A21C3F" w14:textId="77777777" w:rsidR="00571993" w:rsidRPr="00F94904" w:rsidRDefault="00237399" w:rsidP="00143FD2">
      <w:pPr>
        <w:rPr>
          <w:color w:val="000000" w:themeColor="text1"/>
        </w:rPr>
      </w:pPr>
      <w:r w:rsidRPr="00F94904">
        <w:rPr>
          <w:color w:val="000000" w:themeColor="text1"/>
        </w:rPr>
        <w:t>The chain is centred around engagement. Engagement is not just job satisfaction, but the level of energy and absorption that employees put into their jobs when they bring their “best self” to their work, and must have the emotional and mental resources to do so (Kahn, 1990). A failure in WLB policies has a negative effect, as it is intended to protect the capacity of engagement, which in turn draws on the capacities of WLB (Rich, LePine and Crawford, 2010). This is a psychological shift, from an administrative question (which policies does a firm offer?) to a psychological question (do those policies feel like support to the person?).</w:t>
      </w:r>
    </w:p>
    <w:p w14:paraId="4322444D" w14:textId="77777777" w:rsidR="00571993" w:rsidRPr="00F94904" w:rsidRDefault="00237399" w:rsidP="00143FD2">
      <w:pPr>
        <w:rPr>
          <w:color w:val="000000" w:themeColor="text1"/>
        </w:rPr>
      </w:pPr>
      <w:r w:rsidRPr="00F94904">
        <w:rPr>
          <w:color w:val="000000" w:themeColor="text1"/>
        </w:rPr>
        <w:t>The retention issue, therefore, can no longer be addressed by just checking off the list of policies that are on paper. Previous research focused on organisational commitment, sometimes with reference to the costs an employee might incur in leaving an organisation (Meyer and Allen, 1991). Other more recent accounts suggest that a true, emotional connection to the job is necessary for workers to remain, rather than a feeling of entrapment (Meyer et al., 2002). What makes that connection become commitment is a supportive organisational climate (Berberoglu, 2018). Here we argue that real retention is an active decision and that having policies which support well-being works best when the needs of the employees align with the goals of the organisation (Inegbedion, 2024).</w:t>
      </w:r>
    </w:p>
    <w:p w14:paraId="14A30648" w14:textId="3ACE0F81" w:rsidR="00571993" w:rsidRPr="00F94904" w:rsidRDefault="00237399" w:rsidP="00143FD2">
      <w:pPr>
        <w:rPr>
          <w:color w:val="000000" w:themeColor="text1"/>
        </w:rPr>
      </w:pPr>
      <w:r w:rsidRPr="00F94904">
        <w:rPr>
          <w:color w:val="000000" w:themeColor="text1"/>
        </w:rPr>
        <w:t>The picture is further complicated by the fact that the spread of WLB provision is not even. Job function can present a variety of remote and hybrid opportunities, particularly in knowledge-based areas, but there is a limit in frontline jobs like healthcare, due to the physical nature of the work (Chung, 2022). Further evidence is found in the UK, where home-working is still limited to particular occupations (Felstead and Reuschke, 2020). The lack of uniformity in the landscape also results in very different realities in the same policy label in different workplaces, which is one of the reasons why it’s beneficial to have a cross-sector perspective. As a result, it is important to understand how WLB policies are perceived, applied and experienced in the workplace of employees first (Putnam, Myers and Gailliard, 2014). This context helps to introduce the importance of investigating employees’ subjective, lived experiences to understand the experiences of WLB policies on actual employee well-being, engagement, and long-term retention (Kahn, 1990).</w:t>
      </w:r>
    </w:p>
    <w:p w14:paraId="0E35A740" w14:textId="3B5DFE7E" w:rsidR="00143FD2" w:rsidRPr="00F94904" w:rsidRDefault="00143FD2" w:rsidP="00143FD2">
      <w:pPr>
        <w:rPr>
          <w:color w:val="000000" w:themeColor="text1"/>
        </w:rPr>
      </w:pPr>
    </w:p>
    <w:p w14:paraId="1FF9031D" w14:textId="77777777" w:rsidR="00143FD2" w:rsidRPr="00F94904" w:rsidRDefault="00143FD2" w:rsidP="00143FD2">
      <w:pPr>
        <w:rPr>
          <w:color w:val="000000" w:themeColor="text1"/>
        </w:rPr>
      </w:pPr>
    </w:p>
    <w:p w14:paraId="4D34C1F6" w14:textId="77777777" w:rsidR="00571993" w:rsidRPr="00F94904" w:rsidRDefault="00237399" w:rsidP="0098366A">
      <w:pPr>
        <w:pStyle w:val="Heading2"/>
        <w:rPr>
          <w:color w:val="000000" w:themeColor="text1"/>
        </w:rPr>
      </w:pPr>
      <w:bookmarkStart w:id="8" w:name="_Toc241018026"/>
      <w:r w:rsidRPr="00F94904">
        <w:rPr>
          <w:color w:val="000000" w:themeColor="text1"/>
        </w:rPr>
        <w:lastRenderedPageBreak/>
        <w:t>1.2 Problem Statement</w:t>
      </w:r>
      <w:bookmarkEnd w:id="8"/>
    </w:p>
    <w:p w14:paraId="7C01D0FB" w14:textId="77777777" w:rsidR="00571993" w:rsidRPr="00F94904" w:rsidRDefault="00237399" w:rsidP="00143FD2">
      <w:pPr>
        <w:rPr>
          <w:color w:val="000000" w:themeColor="text1"/>
        </w:rPr>
      </w:pPr>
      <w:r w:rsidRPr="00F94904">
        <w:rPr>
          <w:color w:val="000000" w:themeColor="text1"/>
        </w:rPr>
        <w:t>Although there are significant investments being made in WLB models, many professions report increased burnout, disengagement and turnover. However, there is a lack of clarity in the literature on the implementation of WLB, despite the positive correlation between WLB availability and overall organisational performance (Wong, Chan and Teh, 2020). The real challenge is that providing formal WLB policies does not necessarily result in the desired outcomes of attachment, engagement and retention (Inegbedion, 2024).</w:t>
      </w:r>
    </w:p>
    <w:p w14:paraId="6CBB2C7C" w14:textId="77777777" w:rsidR="00571993" w:rsidRPr="00F94904" w:rsidRDefault="00237399" w:rsidP="00143FD2">
      <w:pPr>
        <w:rPr>
          <w:color w:val="000000" w:themeColor="text1"/>
        </w:rPr>
      </w:pPr>
      <w:r w:rsidRPr="00F94904">
        <w:rPr>
          <w:color w:val="000000" w:themeColor="text1"/>
        </w:rPr>
        <w:t>Often staff are trapped in a paradox: policies are laid out in the staff handbook but are difficult to implement in practice. Flexible offers can be seen as a burden on the person and a cultural taboo, and when combined with heavy workloads can cause a feeling of career anxiety for those who choose to take them up (Williams, Blair-Loy and Berdahl, 2013). Recent studies reveal that flexible workers are perceived as less committed than those who are always on-site (Munsch, 2016). When this occurs, low well-being and increased workload are powerful motivators of an employee’s desire to quit the organisation (Kelliher and Anderson, 2010).</w:t>
      </w:r>
    </w:p>
    <w:p w14:paraId="63A68243" w14:textId="77777777" w:rsidR="00571993" w:rsidRPr="00F94904" w:rsidRDefault="00237399" w:rsidP="00143FD2">
      <w:pPr>
        <w:rPr>
          <w:color w:val="000000" w:themeColor="text1"/>
        </w:rPr>
      </w:pPr>
      <w:r w:rsidRPr="00F94904">
        <w:rPr>
          <w:color w:val="000000" w:themeColor="text1"/>
        </w:rPr>
        <w:t>In the light of JD-R, this is a resource failure since WLB policies are not readily available resources to buffer the constant demands of modern work (Bakker and Demerouti, 2017). This unrelieved work stress then spills over into personal life and increases the conflict, known as Spillover Theory (Staines, 1980). The negative spillover is proven to be a real route to exhaustion (Ratnaningsih and Idris, 2024). If this support is not actually usable, over time employees tune out emotionally and become disengaged (Kahn, 1990).</w:t>
      </w:r>
    </w:p>
    <w:p w14:paraId="05E02FDE" w14:textId="71AA2FB8" w:rsidR="00571993" w:rsidRPr="00F94904" w:rsidRDefault="00237399" w:rsidP="00143FD2">
      <w:pPr>
        <w:rPr>
          <w:color w:val="000000" w:themeColor="text1"/>
        </w:rPr>
      </w:pPr>
      <w:r w:rsidRPr="00F94904">
        <w:rPr>
          <w:color w:val="000000" w:themeColor="text1"/>
        </w:rPr>
        <w:t>Another issue is the methodology used for studying the topic. Current studies mostly focus on quantitative surveys including counting of policies and measuring turnover, but without providing psychological explanations for the numbers (Wong, Chan and Teh, 2020). This is only a small part of what is not explored in the lived experience of employees. This study then specifically aims to address the scarcity of deep, qualitative evidence of the daily experiences of professionals in relation to the processes of perception, internalisation and response to WLB policies. For organisations, it is important to see that there are more than just policy drivers that need to be considered when retaining valued staff, and understanding these subjective mechanisms should aid in that.</w:t>
      </w:r>
    </w:p>
    <w:p w14:paraId="28F59E41" w14:textId="0FDCAECA" w:rsidR="00143FD2" w:rsidRPr="00F94904" w:rsidRDefault="00143FD2" w:rsidP="00143FD2">
      <w:pPr>
        <w:rPr>
          <w:color w:val="000000" w:themeColor="text1"/>
        </w:rPr>
      </w:pPr>
    </w:p>
    <w:p w14:paraId="202A4411" w14:textId="77777777" w:rsidR="00143FD2" w:rsidRPr="00F94904" w:rsidRDefault="00143FD2" w:rsidP="00143FD2">
      <w:pPr>
        <w:rPr>
          <w:color w:val="000000" w:themeColor="text1"/>
        </w:rPr>
      </w:pPr>
    </w:p>
    <w:p w14:paraId="0498FDDE" w14:textId="77777777" w:rsidR="00571993" w:rsidRPr="00F94904" w:rsidRDefault="00237399" w:rsidP="0098366A">
      <w:pPr>
        <w:pStyle w:val="Heading2"/>
        <w:rPr>
          <w:color w:val="000000" w:themeColor="text1"/>
        </w:rPr>
      </w:pPr>
      <w:bookmarkStart w:id="9" w:name="_Toc241018027"/>
      <w:r w:rsidRPr="00F94904">
        <w:rPr>
          <w:color w:val="000000" w:themeColor="text1"/>
        </w:rPr>
        <w:lastRenderedPageBreak/>
        <w:t>1.3 Research Rationale</w:t>
      </w:r>
      <w:bookmarkEnd w:id="9"/>
    </w:p>
    <w:p w14:paraId="7C4FD32F" w14:textId="77777777" w:rsidR="00571993" w:rsidRPr="00F94904" w:rsidRDefault="00237399" w:rsidP="00143FD2">
      <w:pPr>
        <w:rPr>
          <w:color w:val="000000" w:themeColor="text1"/>
        </w:rPr>
      </w:pPr>
      <w:r w:rsidRPr="00F94904">
        <w:rPr>
          <w:color w:val="000000" w:themeColor="text1"/>
        </w:rPr>
        <w:t>While there is strong evidence that formal WLB policies are associated with organisational performance (Wong, Chan and Teh, 2020), less is known about the psychological mechanisms that underpin this relationship. The link with work engagement in particular is also robust (Wood et al., 2020). The majority of the existing literature has been on the availability of policies and not on their lived experience (Putnam, Myers and Gailliard, 2014). According to the Spillover Theory, high work stress can spill over into the personal life, negatively impacting well-being and attachment (Staines, 1980). As revealed by a recent review, this is an active route to exhaustion (Ratnaningsih and Idris, 2024). Lower well-being is, in turn, a well-known predictor of turnover intent in all industries (Kelliher and Anderson, 2010).</w:t>
      </w:r>
    </w:p>
    <w:p w14:paraId="1D65B25B" w14:textId="77777777" w:rsidR="00571993" w:rsidRPr="00F94904" w:rsidRDefault="00237399" w:rsidP="00143FD2">
      <w:pPr>
        <w:rPr>
          <w:color w:val="000000" w:themeColor="text1"/>
        </w:rPr>
      </w:pPr>
      <w:r w:rsidRPr="00F94904">
        <w:rPr>
          <w:color w:val="000000" w:themeColor="text1"/>
        </w:rPr>
        <w:t>However, the connection may not be sufficient to account for the poor tracking of policy availability to actual engagement. Inegbedion (2024) suggests that the link between support and commitment is more nuanced than simply strengthening, as it only works if it is mediated by job satisfaction. In contemporary writing, another argument is that retention requires more than obligation or the figure of the cost of leaving; it requires active, feeling commitment (Meyer et al., 2002). This is fostered in the organisation’s supportive environment (Berberoglu, 2018). When a culture sanctions the use of flexible arrangements, these purposes can instead be a source of stress (Williams, Blair-Loy and Berdahl, 2013).</w:t>
      </w:r>
    </w:p>
    <w:p w14:paraId="6177FF55" w14:textId="77777777" w:rsidR="00571993" w:rsidRPr="00F94904" w:rsidRDefault="00237399" w:rsidP="00143FD2">
      <w:pPr>
        <w:rPr>
          <w:color w:val="000000" w:themeColor="text1"/>
        </w:rPr>
      </w:pPr>
      <w:r w:rsidRPr="00F94904">
        <w:rPr>
          <w:color w:val="000000" w:themeColor="text1"/>
        </w:rPr>
        <w:t>This study is thus warranted given the need to go beyond surface-level, quantitative policy audits (Wong, Chan and Teh, 2020). Survey approaches overshadow the actual experience and feelings of employees (Saunders, Lewis and Thornhill, 2023). The study employs a qualitative interpretivist approach, which seeks to overcome the negative aspects of designs that convert human experience into statistical variables (Creswell and Creswell, 2018). The point is not to produce a broad range of data but a range of quality data; the opportunity to hear the story behind the numbers in employees’ own voice.</w:t>
      </w:r>
    </w:p>
    <w:p w14:paraId="538B5B82" w14:textId="77777777" w:rsidR="00571993" w:rsidRPr="00F94904" w:rsidRDefault="00237399" w:rsidP="00143FD2">
      <w:pPr>
        <w:rPr>
          <w:color w:val="000000" w:themeColor="text1"/>
        </w:rPr>
      </w:pPr>
      <w:r w:rsidRPr="00F94904">
        <w:rPr>
          <w:color w:val="000000" w:themeColor="text1"/>
        </w:rPr>
        <w:t>This rationale and planning is enhanced by the cross-sector design. The accessibility and utility of WLB policies will vary on the basis of the nature of the work (Chung, 2022); therefore, it is feasible to examine professionals who work across multiple sectors simultaneously in order to observe both patterns of commonality across workplaces and differences that are specific to a given workplace. It is hard to do this in a single-site study, and it is a contribution this project hopes to make.</w:t>
      </w:r>
    </w:p>
    <w:p w14:paraId="24427F31" w14:textId="77777777" w:rsidR="00571993" w:rsidRPr="00F94904" w:rsidRDefault="00237399" w:rsidP="00143FD2">
      <w:pPr>
        <w:rPr>
          <w:color w:val="000000" w:themeColor="text1"/>
        </w:rPr>
      </w:pPr>
      <w:r w:rsidRPr="00F94904">
        <w:rPr>
          <w:color w:val="000000" w:themeColor="text1"/>
        </w:rPr>
        <w:lastRenderedPageBreak/>
        <w:t>Failure to address this implementation gap will mean that sub-optimal practice continues to occur and will contribute to the cost of high turnover, recruitment and sickness absence. This research documents how professionals experience, internalise and enact WLB systems in their context. Knowing about these subjective mechanisms is important for HR practitioners who wish to implement measures that are embedded in culture and actually improve well-being, stimulate engagement and help remedy the retention issue (Kelliher, Richardson and Boiarintseva, 2019).</w:t>
      </w:r>
    </w:p>
    <w:p w14:paraId="26164309" w14:textId="77777777" w:rsidR="00571993" w:rsidRPr="00F94904" w:rsidRDefault="00237399" w:rsidP="0098366A">
      <w:pPr>
        <w:pStyle w:val="Heading2"/>
        <w:rPr>
          <w:color w:val="000000" w:themeColor="text1"/>
        </w:rPr>
      </w:pPr>
      <w:bookmarkStart w:id="10" w:name="_Toc241018028"/>
      <w:r w:rsidRPr="00F94904">
        <w:rPr>
          <w:color w:val="000000" w:themeColor="text1"/>
        </w:rPr>
        <w:t>1.4 Research Aim</w:t>
      </w:r>
      <w:bookmarkEnd w:id="10"/>
    </w:p>
    <w:p w14:paraId="3F1667A4" w14:textId="61778E7B" w:rsidR="00571993" w:rsidRPr="00F94904" w:rsidRDefault="00237399" w:rsidP="00143FD2">
      <w:pPr>
        <w:rPr>
          <w:color w:val="000000" w:themeColor="text1"/>
        </w:rPr>
      </w:pPr>
      <w:r w:rsidRPr="00F94904">
        <w:rPr>
          <w:color w:val="000000" w:themeColor="text1"/>
        </w:rPr>
        <w:t>This research aims to examine employees’ perceptions of the impact of work-life balance (WLB) policies on their well-being, engagement, and retention across different professional sectors.</w:t>
      </w:r>
    </w:p>
    <w:p w14:paraId="5992E155" w14:textId="77777777" w:rsidR="00571993" w:rsidRPr="00F94904" w:rsidRDefault="00237399" w:rsidP="0098366A">
      <w:pPr>
        <w:pStyle w:val="Heading2"/>
        <w:rPr>
          <w:color w:val="000000" w:themeColor="text1"/>
        </w:rPr>
      </w:pPr>
      <w:bookmarkStart w:id="11" w:name="_Toc241018029"/>
      <w:r w:rsidRPr="00F94904">
        <w:rPr>
          <w:color w:val="000000" w:themeColor="text1"/>
        </w:rPr>
        <w:t>1.5 Research Objectives</w:t>
      </w:r>
      <w:bookmarkEnd w:id="11"/>
    </w:p>
    <w:p w14:paraId="72DB6326" w14:textId="42A1FD05" w:rsidR="00571993" w:rsidRPr="00F94904" w:rsidRDefault="00237399" w:rsidP="00143FD2">
      <w:pPr>
        <w:rPr>
          <w:color w:val="000000" w:themeColor="text1"/>
        </w:rPr>
      </w:pPr>
      <w:r w:rsidRPr="00F94904">
        <w:rPr>
          <w:color w:val="000000" w:themeColor="text1"/>
        </w:rPr>
        <w:t>The objectives of this study are to:</w:t>
      </w:r>
    </w:p>
    <w:p w14:paraId="6577B0DF" w14:textId="5B7477B7" w:rsidR="00571993" w:rsidRPr="00F94904" w:rsidRDefault="00237399" w:rsidP="0098366A">
      <w:pPr>
        <w:pStyle w:val="ListParagraph"/>
        <w:numPr>
          <w:ilvl w:val="0"/>
          <w:numId w:val="2"/>
        </w:numPr>
        <w:spacing w:after="120" w:line="360" w:lineRule="auto"/>
        <w:jc w:val="both"/>
        <w:rPr>
          <w:color w:val="000000" w:themeColor="text1"/>
        </w:rPr>
      </w:pPr>
      <w:r w:rsidRPr="00F94904">
        <w:rPr>
          <w:color w:val="000000" w:themeColor="text1"/>
        </w:rPr>
        <w:t>identify and assess the existing WLB policies across the sectors studied;</w:t>
      </w:r>
    </w:p>
    <w:p w14:paraId="3BC955D2" w14:textId="1E218B96" w:rsidR="00571993" w:rsidRPr="00F94904" w:rsidRDefault="00237399" w:rsidP="0098366A">
      <w:pPr>
        <w:pStyle w:val="ListParagraph"/>
        <w:numPr>
          <w:ilvl w:val="0"/>
          <w:numId w:val="2"/>
        </w:numPr>
        <w:spacing w:after="120" w:line="360" w:lineRule="auto"/>
        <w:jc w:val="both"/>
        <w:rPr>
          <w:color w:val="000000" w:themeColor="text1"/>
        </w:rPr>
      </w:pPr>
      <w:r w:rsidRPr="00F94904">
        <w:rPr>
          <w:color w:val="000000" w:themeColor="text1"/>
        </w:rPr>
        <w:t>review employees’ experiences of the impact of WLB policies on their psychological health, well-being, and engagement at work;</w:t>
      </w:r>
    </w:p>
    <w:p w14:paraId="35EE27F7" w14:textId="54794B47" w:rsidR="00571993" w:rsidRPr="00F94904" w:rsidRDefault="00237399" w:rsidP="0098366A">
      <w:pPr>
        <w:pStyle w:val="ListParagraph"/>
        <w:numPr>
          <w:ilvl w:val="0"/>
          <w:numId w:val="2"/>
        </w:numPr>
        <w:spacing w:after="120" w:line="360" w:lineRule="auto"/>
        <w:jc w:val="both"/>
        <w:rPr>
          <w:color w:val="000000" w:themeColor="text1"/>
        </w:rPr>
      </w:pPr>
      <w:r w:rsidRPr="00F94904">
        <w:rPr>
          <w:color w:val="000000" w:themeColor="text1"/>
        </w:rPr>
        <w:t>evaluate the relationship between the perceived effectiveness of WLB policies and employees’ intention to stay; and</w:t>
      </w:r>
    </w:p>
    <w:p w14:paraId="0C7FFDEF" w14:textId="440A2232" w:rsidR="00571993" w:rsidRPr="00F94904" w:rsidRDefault="00237399" w:rsidP="0098366A">
      <w:pPr>
        <w:pStyle w:val="ListParagraph"/>
        <w:numPr>
          <w:ilvl w:val="0"/>
          <w:numId w:val="2"/>
        </w:numPr>
        <w:spacing w:after="120" w:line="360" w:lineRule="auto"/>
        <w:jc w:val="both"/>
        <w:rPr>
          <w:color w:val="000000" w:themeColor="text1"/>
        </w:rPr>
      </w:pPr>
      <w:r w:rsidRPr="00F94904">
        <w:rPr>
          <w:color w:val="000000" w:themeColor="text1"/>
        </w:rPr>
        <w:t>make evidence-based recommendations for management to enhance WLB policies and support workforce retention.</w:t>
      </w:r>
    </w:p>
    <w:p w14:paraId="253D6D14" w14:textId="77777777" w:rsidR="00571993" w:rsidRPr="00F94904" w:rsidRDefault="00237399" w:rsidP="0098366A">
      <w:pPr>
        <w:pStyle w:val="Heading2"/>
        <w:rPr>
          <w:color w:val="000000" w:themeColor="text1"/>
        </w:rPr>
      </w:pPr>
      <w:bookmarkStart w:id="12" w:name="_Toc241018030"/>
      <w:r w:rsidRPr="00F94904">
        <w:rPr>
          <w:color w:val="000000" w:themeColor="text1"/>
        </w:rPr>
        <w:t>1.6 Research Question</w:t>
      </w:r>
      <w:bookmarkEnd w:id="12"/>
    </w:p>
    <w:p w14:paraId="408E5508" w14:textId="53CEB41A" w:rsidR="00571993" w:rsidRPr="00F94904" w:rsidRDefault="00237399" w:rsidP="00143FD2">
      <w:pPr>
        <w:rPr>
          <w:color w:val="000000" w:themeColor="text1"/>
        </w:rPr>
      </w:pPr>
      <w:r w:rsidRPr="00F94904">
        <w:rPr>
          <w:color w:val="000000" w:themeColor="text1"/>
        </w:rPr>
        <w:t>The research question is: How effective are work-life balance policies in affecting employee well-being, engagement and retention across different professional sectors?</w:t>
      </w:r>
    </w:p>
    <w:p w14:paraId="2F60F9A9" w14:textId="77777777" w:rsidR="00571993" w:rsidRPr="00F94904" w:rsidRDefault="00237399" w:rsidP="0098366A">
      <w:pPr>
        <w:pStyle w:val="Heading2"/>
        <w:rPr>
          <w:color w:val="000000" w:themeColor="text1"/>
        </w:rPr>
      </w:pPr>
      <w:bookmarkStart w:id="13" w:name="_Toc241018031"/>
      <w:r w:rsidRPr="00F94904">
        <w:rPr>
          <w:color w:val="000000" w:themeColor="text1"/>
        </w:rPr>
        <w:t>1.7 Structure of the Study</w:t>
      </w:r>
      <w:bookmarkEnd w:id="13"/>
    </w:p>
    <w:p w14:paraId="3656957F" w14:textId="77777777" w:rsidR="00571993" w:rsidRPr="00F94904" w:rsidRDefault="00237399" w:rsidP="00143FD2">
      <w:pPr>
        <w:rPr>
          <w:color w:val="000000" w:themeColor="text1"/>
        </w:rPr>
      </w:pPr>
      <w:r w:rsidRPr="00F94904">
        <w:rPr>
          <w:color w:val="000000" w:themeColor="text1"/>
        </w:rPr>
        <w:t>Chapter One (Introduction) has established the background, problem statement and rationale, along with the aim, objectives, and research question, which will guide this qualitative study.</w:t>
      </w:r>
    </w:p>
    <w:p w14:paraId="32B1FF75" w14:textId="77777777" w:rsidR="00571993" w:rsidRPr="00F94904" w:rsidRDefault="00237399" w:rsidP="00143FD2">
      <w:pPr>
        <w:rPr>
          <w:color w:val="000000" w:themeColor="text1"/>
        </w:rPr>
      </w:pPr>
      <w:r w:rsidRPr="00F94904">
        <w:rPr>
          <w:color w:val="000000" w:themeColor="text1"/>
        </w:rPr>
        <w:t xml:space="preserve">Chapter Two (Literature Review) presents the most salient theories that support the study such as Spillover Theory, the JD-R model and the theory of engagement by Kahn. It provides an </w:t>
      </w:r>
      <w:r w:rsidRPr="00F94904">
        <w:rPr>
          <w:color w:val="000000" w:themeColor="text1"/>
        </w:rPr>
        <w:lastRenderedPageBreak/>
        <w:t>overview of the status of WLB policy in each sector, looks at the psychological impact of these policies on engagement, and explores the relationship between perceived effectiveness of these policies and intention to leave, and then outlines the gap this study will fill.</w:t>
      </w:r>
    </w:p>
    <w:p w14:paraId="71A1E891" w14:textId="77777777" w:rsidR="00571993" w:rsidRPr="00F94904" w:rsidRDefault="00237399" w:rsidP="00143FD2">
      <w:pPr>
        <w:rPr>
          <w:color w:val="000000" w:themeColor="text1"/>
        </w:rPr>
      </w:pPr>
      <w:r w:rsidRPr="00F94904">
        <w:rPr>
          <w:color w:val="000000" w:themeColor="text1"/>
        </w:rPr>
        <w:t>Chapter Three (Research Methodology) clarifies and rationalises the interpretivist philosophy, the inductive approach, and mono-method qualitative design. It lays out the use of semi-structured interviews, purposive sampling, reflexive thematic analysis, and how the quality of the findings was ensured as well as how the ethical requirements were met.</w:t>
      </w:r>
    </w:p>
    <w:p w14:paraId="6B64044D" w14:textId="77777777" w:rsidR="00571993" w:rsidRPr="00F94904" w:rsidRDefault="00237399" w:rsidP="00143FD2">
      <w:pPr>
        <w:rPr>
          <w:color w:val="000000" w:themeColor="text1"/>
        </w:rPr>
      </w:pPr>
      <w:r w:rsidRPr="00F94904">
        <w:rPr>
          <w:color w:val="000000" w:themeColor="text1"/>
        </w:rPr>
        <w:t>Chapter Four (Findings and Discussion) addresses each research objective and presents the themes that emerged from the data gathered in the interviews and how the themes relate to the literature and/or the conceptual framework.</w:t>
      </w:r>
    </w:p>
    <w:p w14:paraId="7705E11A" w14:textId="004CAF49" w:rsidR="00571993" w:rsidRPr="00F94904" w:rsidRDefault="00237399" w:rsidP="00143FD2">
      <w:pPr>
        <w:rPr>
          <w:color w:val="000000" w:themeColor="text1"/>
        </w:rPr>
      </w:pPr>
      <w:r w:rsidRPr="00F94904">
        <w:rPr>
          <w:color w:val="000000" w:themeColor="text1"/>
        </w:rPr>
        <w:t>Chapter Five (Conclusions and Recommendations) provides the findings of each objective, the answer to the research question, the contribution to knowledge, recommendations for management, limitations of the study and future research directions.</w:t>
      </w:r>
    </w:p>
    <w:p w14:paraId="18ED29BC" w14:textId="285741EA" w:rsidR="00143FD2" w:rsidRPr="00F94904" w:rsidRDefault="00143FD2" w:rsidP="00143FD2">
      <w:pPr>
        <w:rPr>
          <w:color w:val="000000" w:themeColor="text1"/>
        </w:rPr>
      </w:pPr>
    </w:p>
    <w:p w14:paraId="36886E13" w14:textId="77777777" w:rsidR="00143FD2" w:rsidRPr="00F94904" w:rsidRDefault="00143FD2" w:rsidP="00143FD2">
      <w:pPr>
        <w:rPr>
          <w:color w:val="000000" w:themeColor="text1"/>
        </w:rPr>
      </w:pPr>
    </w:p>
    <w:p w14:paraId="37998846" w14:textId="77777777" w:rsidR="00571993" w:rsidRPr="00F94904" w:rsidRDefault="00237399" w:rsidP="00143FD2">
      <w:pPr>
        <w:rPr>
          <w:color w:val="000000" w:themeColor="text1"/>
        </w:rPr>
      </w:pPr>
      <w:r w:rsidRPr="00F94904">
        <w:rPr>
          <w:color w:val="000000" w:themeColor="text1"/>
        </w:rPr>
        <w:br w:type="page"/>
      </w:r>
    </w:p>
    <w:p w14:paraId="180DB994" w14:textId="77777777" w:rsidR="00571993" w:rsidRPr="00F94904" w:rsidRDefault="00237399" w:rsidP="0098366A">
      <w:pPr>
        <w:pStyle w:val="Heading1"/>
        <w:jc w:val="both"/>
        <w:rPr>
          <w:color w:val="000000" w:themeColor="text1"/>
        </w:rPr>
      </w:pPr>
      <w:bookmarkStart w:id="14" w:name="_Toc241018032"/>
      <w:r w:rsidRPr="00F94904">
        <w:rPr>
          <w:color w:val="000000" w:themeColor="text1"/>
        </w:rPr>
        <w:lastRenderedPageBreak/>
        <w:t>Chapter Two: Literature Review</w:t>
      </w:r>
      <w:bookmarkEnd w:id="14"/>
    </w:p>
    <w:p w14:paraId="61951591" w14:textId="77777777" w:rsidR="00571993" w:rsidRPr="00F94904" w:rsidRDefault="00237399" w:rsidP="0098366A">
      <w:pPr>
        <w:pStyle w:val="Heading2"/>
        <w:rPr>
          <w:color w:val="000000" w:themeColor="text1"/>
        </w:rPr>
      </w:pPr>
      <w:bookmarkStart w:id="15" w:name="_Toc241018033"/>
      <w:r w:rsidRPr="00F94904">
        <w:rPr>
          <w:color w:val="000000" w:themeColor="text1"/>
        </w:rPr>
        <w:t>2.1 Introduction</w:t>
      </w:r>
      <w:bookmarkEnd w:id="15"/>
    </w:p>
    <w:p w14:paraId="2F693B5C" w14:textId="77777777" w:rsidR="00571993" w:rsidRPr="00F94904" w:rsidRDefault="00237399" w:rsidP="00143FD2">
      <w:pPr>
        <w:rPr>
          <w:color w:val="000000" w:themeColor="text1"/>
        </w:rPr>
      </w:pPr>
      <w:r w:rsidRPr="00F94904">
        <w:rPr>
          <w:color w:val="000000" w:themeColor="text1"/>
        </w:rPr>
        <w:t>This chapter provides a literature review of work-life balance (WLB) policies, employee engagement and employee retention. It first introduces theoretical underpinnings of occupational well-being, namely the Spillover Theory, the Job Demands-Resources (JD-R) model and Kahn’s theory of engagement. It then explores the present situation of the WLB policy in various sectors and then focuses on how such policies impact on engagement on a day-to-day basis, psychologically. Last but not least, it examines the relationship between the perception of policy effectiveness and intention to turn over, as well as the discrepancy between perceived and actual policy experiences. In common usage the word is used in a broad sense and at the start of this document it is important to note that there is no single agreed definition of WLB. A large integrative review showed that the concept represents a general evaluation of the integration of the work and non-work domains (Sirgy and Lee, 2018). As a result, an earlier review had already highlighted that care must be taken to define the word “balance”, as it has a number of different meanings used by researchers (Kalliath and Brough, 2008).</w:t>
      </w:r>
    </w:p>
    <w:p w14:paraId="73171089" w14:textId="77777777" w:rsidR="00571993" w:rsidRPr="00F94904" w:rsidRDefault="00237399" w:rsidP="0098366A">
      <w:pPr>
        <w:pStyle w:val="Heading2"/>
        <w:rPr>
          <w:color w:val="000000" w:themeColor="text1"/>
        </w:rPr>
      </w:pPr>
      <w:bookmarkStart w:id="16" w:name="_Toc241018034"/>
      <w:r w:rsidRPr="00F94904">
        <w:rPr>
          <w:color w:val="000000" w:themeColor="text1"/>
        </w:rPr>
        <w:t>2.2 Theoretical Overview</w:t>
      </w:r>
      <w:bookmarkEnd w:id="16"/>
    </w:p>
    <w:p w14:paraId="56E248FC" w14:textId="77777777" w:rsidR="00571993" w:rsidRPr="00F94904" w:rsidRDefault="00237399" w:rsidP="00143FD2">
      <w:pPr>
        <w:rPr>
          <w:color w:val="000000" w:themeColor="text1"/>
        </w:rPr>
      </w:pPr>
      <w:r w:rsidRPr="00F94904">
        <w:rPr>
          <w:color w:val="000000" w:themeColor="text1"/>
        </w:rPr>
        <w:t>This study uses three existing frameworks to elucidate the psychological processes involved in retention. The Spillover Theory is a theory of the transfer of strain from work to home. The JD-R model is a model that explains how policies alleviate or exacerbate that strain. Kahn’s theory of engagement describes how the resulting well-being influences the effort that an employee will give.</w:t>
      </w:r>
    </w:p>
    <w:p w14:paraId="4216D712" w14:textId="77777777" w:rsidR="00571993" w:rsidRPr="00F94904" w:rsidRDefault="00237399" w:rsidP="0098366A">
      <w:pPr>
        <w:pStyle w:val="Heading3"/>
        <w:jc w:val="both"/>
        <w:rPr>
          <w:color w:val="000000" w:themeColor="text1"/>
        </w:rPr>
      </w:pPr>
      <w:bookmarkStart w:id="17" w:name="_Toc241018035"/>
      <w:r w:rsidRPr="00F94904">
        <w:rPr>
          <w:color w:val="000000" w:themeColor="text1"/>
        </w:rPr>
        <w:t>2.2.1 Spillover Theory</w:t>
      </w:r>
      <w:bookmarkEnd w:id="17"/>
    </w:p>
    <w:p w14:paraId="01459A1F" w14:textId="77777777" w:rsidR="00571993" w:rsidRPr="00F94904" w:rsidRDefault="00237399" w:rsidP="00143FD2">
      <w:pPr>
        <w:rPr>
          <w:color w:val="000000" w:themeColor="text1"/>
        </w:rPr>
      </w:pPr>
      <w:r w:rsidRPr="00F94904">
        <w:rPr>
          <w:color w:val="000000" w:themeColor="text1"/>
        </w:rPr>
        <w:t xml:space="preserve">The concepts of work-life interface have evolved from initial notions that work and life are distinct to the notion that work and home domains are permeable. This permeability is the main tenet of Spillover Theory which proposes that the emotions and behaviours developed at work permeate into the personal life sphere (Staines, 1980). A complementary view of psychological research, work-family border theory, suggests that people actively cross and negotiate the boundary between two life worlds instead of passively experiencing spillover effects (Clark, 2000). Spillover can be positive or negative and resources developed at home can enhance functioning at work, while the reverse can also be true (Grzywacz and Marks, 2000). But in </w:t>
      </w:r>
      <w:r w:rsidRPr="00F94904">
        <w:rPr>
          <w:color w:val="000000" w:themeColor="text1"/>
        </w:rPr>
        <w:lastRenderedPageBreak/>
        <w:t>stressful occupations, negative spillover prevails, and recent studies have shown that it is a dynamic pathway leading to emotional exhaustion (Ratnaningsih and Idris, 2024).</w:t>
      </w:r>
    </w:p>
    <w:p w14:paraId="66363CCC" w14:textId="77777777" w:rsidR="00571993" w:rsidRPr="00F94904" w:rsidRDefault="00237399" w:rsidP="00143FD2">
      <w:pPr>
        <w:rPr>
          <w:color w:val="000000" w:themeColor="text1"/>
        </w:rPr>
      </w:pPr>
      <w:r w:rsidRPr="00F94904">
        <w:rPr>
          <w:color w:val="000000" w:themeColor="text1"/>
        </w:rPr>
        <w:t>The amount of stress that crosses the border is not predetermined but it is partly dependent upon how workers cross the border between work and home. Some employees have a very clear separation of the two, others a less clear separation; and the level of control that a person has over the boundary determines the amount of stress that radiates across it (Kossek and Lautsch, 2012). This matters for this study because a WLB policy needs to be more than just another policy; it needs to reinforce that boundary. Negative spillover effects can occur in the workplace when policies are put in place without working on the root causes of negative spillover effects, and in a short time, the intensification of the work will take away the protection of the policy (Kelliher and Anderson, 2010). Broadly speaking, this is a topic of employee well-being, a growing focus for HRM rather than an outcome of it (Guest, 2017). The Spillover Theory is thus a framework for understanding the spillover issue, but does not provide an explanation for why policies either work or fail; the JD-R model will help in explaining this.</w:t>
      </w:r>
    </w:p>
    <w:p w14:paraId="49C75E63" w14:textId="77777777" w:rsidR="00571993" w:rsidRPr="00F94904" w:rsidRDefault="00237399" w:rsidP="0098366A">
      <w:pPr>
        <w:pStyle w:val="Heading3"/>
        <w:jc w:val="both"/>
        <w:rPr>
          <w:color w:val="000000" w:themeColor="text1"/>
        </w:rPr>
      </w:pPr>
      <w:bookmarkStart w:id="18" w:name="_Toc241018036"/>
      <w:r w:rsidRPr="00F94904">
        <w:rPr>
          <w:color w:val="000000" w:themeColor="text1"/>
        </w:rPr>
        <w:t>2.2.2 The Job Demands-Resources (JD-R) Model</w:t>
      </w:r>
      <w:bookmarkEnd w:id="18"/>
    </w:p>
    <w:p w14:paraId="007CE013" w14:textId="77777777" w:rsidR="00571993" w:rsidRPr="00F94904" w:rsidRDefault="00237399" w:rsidP="00143FD2">
      <w:pPr>
        <w:rPr>
          <w:color w:val="000000" w:themeColor="text1"/>
        </w:rPr>
      </w:pPr>
      <w:r w:rsidRPr="00F94904">
        <w:rPr>
          <w:color w:val="000000" w:themeColor="text1"/>
        </w:rPr>
        <w:t>The JD-R model (first proposed as a burnout model by Demerouti et al., 2001) is employed in the study for the purpose of explaining how policies ease or worsen this spillover. The model categorises working conditions into two streams: job demands, which drain an employee’s energy; and job resources, which help to motivate workers and cushion the impact of demands (Bakker and Demerouti, 2007). In this context, policies for working hours flexibility or autonomy of remote working are also interpreted as “job resources”. Later, a restatement of the theory was made that validated the increase in value of resources when demands are high, meaning that it is precisely in the most pressured contexts in which it is the least likely to be used that the policy is most important (Bakker and Demerouti, 2017). This mechanism of demands and resources as a central and well-supported proposition remains as the most recent review of the model stipulates (Bakker, Demerouti and Sanz-Vergel, 2023).</w:t>
      </w:r>
    </w:p>
    <w:p w14:paraId="51ACDFCA" w14:textId="77777777" w:rsidR="00571993" w:rsidRPr="00F94904" w:rsidRDefault="00237399" w:rsidP="00143FD2">
      <w:pPr>
        <w:rPr>
          <w:color w:val="000000" w:themeColor="text1"/>
        </w:rPr>
      </w:pPr>
      <w:r w:rsidRPr="00F94904">
        <w:rPr>
          <w:color w:val="000000" w:themeColor="text1"/>
        </w:rPr>
        <w:t xml:space="preserve">The buffer hypothesis is directly supported by empirical research with one study indicating that buffering of job resources reduces the relationship between job demands and burnout (Bakker, Demerouti and Euwema, 2005). A meta-analytic review of longitudinal studies has more recently been able to confirm that the resources reliably predict engagement over time, and the demands predict exhaustion over time (Lesener, Gusy and Wolter, 2019). In addition to job </w:t>
      </w:r>
      <w:r w:rsidRPr="00F94904">
        <w:rPr>
          <w:color w:val="000000" w:themeColor="text1"/>
        </w:rPr>
        <w:lastRenderedPageBreak/>
        <w:t>resources, personal resources (e.g., personal sense of control) also operate in a protective manner (Xanthopoulou et al., 2007). Nevertheless, this buffering is limited as resources can never be unlimited; there will be times when the demands are too great and sustained (Schaufeli and Taris, 2014). More recent work expands on the model by demonstrating that, for example, employees are active agents in their own demands and resources through, for instance, job crafting, which accounts for the different experiences with job tactics of two employees in the same role (Bakker and de Vries, 2021). The takeaway from this study is that adding a resource is not sufficient if the underlying demands remain overwhelming, as is often the case with seemingly progressive WLB policies and their disappointing retention outcomes.</w:t>
      </w:r>
    </w:p>
    <w:p w14:paraId="70122CA3" w14:textId="77777777" w:rsidR="00571993" w:rsidRPr="00F94904" w:rsidRDefault="00237399" w:rsidP="0098366A">
      <w:pPr>
        <w:pStyle w:val="Heading3"/>
        <w:jc w:val="both"/>
        <w:rPr>
          <w:color w:val="000000" w:themeColor="text1"/>
        </w:rPr>
      </w:pPr>
      <w:bookmarkStart w:id="19" w:name="_Toc241018037"/>
      <w:r w:rsidRPr="00F94904">
        <w:rPr>
          <w:color w:val="000000" w:themeColor="text1"/>
        </w:rPr>
        <w:t>2.2.3 Kahn's Theory of Personal Engagement</w:t>
      </w:r>
      <w:bookmarkEnd w:id="19"/>
    </w:p>
    <w:p w14:paraId="04474FDF" w14:textId="77777777" w:rsidR="00571993" w:rsidRPr="00F94904" w:rsidRDefault="00237399" w:rsidP="00143FD2">
      <w:pPr>
        <w:rPr>
          <w:color w:val="000000" w:themeColor="text1"/>
        </w:rPr>
      </w:pPr>
      <w:r w:rsidRPr="00F94904">
        <w:rPr>
          <w:color w:val="000000" w:themeColor="text1"/>
        </w:rPr>
        <w:t>Finally, buffering and avoiding negative spillover is an effort to make active engagement possible. The concept of engagement has been originally described as the way people bring and express their preferred self to their work under three conditions of meaningfulness, safety and availability (Kahn, 1990). The sense of being available, physically and emotionally attuned to the demands of the role, is the most clearly and immediately compromised by WLB deficits, and fatigued workers are unable to bring their whole selves to the job (Rich, LePine and Crawford, 2010). Another aspect of safety is also applicable, in that if a culture does not allow for flexible working methods, then workers are not likely to feel safe using these methods and become entrenched in a defensive stance (Saks, 2006).</w:t>
      </w:r>
    </w:p>
    <w:p w14:paraId="3ECFCBCB" w14:textId="77777777" w:rsidR="00571993" w:rsidRPr="00F94904" w:rsidRDefault="00237399" w:rsidP="00143FD2">
      <w:pPr>
        <w:rPr>
          <w:color w:val="000000" w:themeColor="text1"/>
        </w:rPr>
      </w:pPr>
      <w:r w:rsidRPr="00F94904">
        <w:rPr>
          <w:color w:val="000000" w:themeColor="text1"/>
        </w:rPr>
        <w:t>It is important to note that engagement does not mean the lack of burnout; engagement and burnout exist on a continuum, but are separate states (Cole et al., 2012). The concept of burnout has long been recognised as a syndrome of exhaustion, cynicism and diminished productivity that occurs when the demands of the work outweigh one’s ability to cope (Maslach, Schaufeli and Leiter, 2001). There is also some evidence that engagement is not fixed and can be created, as a meta-analysis of interventions has identified interventions that can increase engagement (Knight, Patterson and Dawson, 2017). A longitudinal study also confirms that over time job resources and personal resources are the best predictors of engagement (Lesener et al., 2020). In sum, the studies here provide an explanation of how the study uses engagement as the outcome to be protected by WLB policies, rather than just satisfaction.</w:t>
      </w:r>
    </w:p>
    <w:p w14:paraId="44CA03E9" w14:textId="77777777" w:rsidR="00571993" w:rsidRPr="00F94904" w:rsidRDefault="00237399" w:rsidP="0098366A">
      <w:pPr>
        <w:pStyle w:val="Heading3"/>
        <w:jc w:val="both"/>
        <w:rPr>
          <w:color w:val="000000" w:themeColor="text1"/>
        </w:rPr>
      </w:pPr>
      <w:bookmarkStart w:id="20" w:name="_Toc241018038"/>
      <w:r w:rsidRPr="00F94904">
        <w:rPr>
          <w:color w:val="000000" w:themeColor="text1"/>
        </w:rPr>
        <w:t>2.2.4 The Theoretical Intersection of Policy Failure</w:t>
      </w:r>
      <w:bookmarkEnd w:id="20"/>
    </w:p>
    <w:p w14:paraId="1504E155" w14:textId="77777777" w:rsidR="00571993" w:rsidRPr="00F94904" w:rsidRDefault="00237399" w:rsidP="00143FD2">
      <w:pPr>
        <w:rPr>
          <w:color w:val="000000" w:themeColor="text1"/>
        </w:rPr>
      </w:pPr>
      <w:r w:rsidRPr="00F94904">
        <w:rPr>
          <w:color w:val="000000" w:themeColor="text1"/>
        </w:rPr>
        <w:t xml:space="preserve">When combined, the three frameworks provide a nice lens to view the retention issue. The unchecked work stress leads to damage to well-being, seen in the Spillover Theory </w:t>
      </w:r>
      <w:r w:rsidRPr="00F94904">
        <w:rPr>
          <w:color w:val="000000" w:themeColor="text1"/>
        </w:rPr>
        <w:lastRenderedPageBreak/>
        <w:t>(Ratnaningsih and Idris, 2024). The JD-R model suggests that the purpose of the introduction of WLB policies is indeed to reduce that stress; however, it also indicates that the stress has to be mitigated through additional reduction in core demands (Bakker and Demerouti, 2017). Withdrawal of emotional commitment to reduce risk occurs because of resource failure and negative spillover, according to Kahn’s theory (1990). Superficial WLB policies, therefore, tend to be unsuccessful since they provide a resource that can’t be accessed that treats the symptom rather than the unsustainable demands that are responsible for the spillover. This is one of the reasons why the outcomes of the performances reported in the wider literature are so mixed, as is explored in the next section (Wong, Chan and Teh, 2020).</w:t>
      </w:r>
    </w:p>
    <w:p w14:paraId="77452BA1" w14:textId="77777777" w:rsidR="00571993" w:rsidRPr="00F94904" w:rsidRDefault="00237399" w:rsidP="0098366A">
      <w:pPr>
        <w:pStyle w:val="Heading2"/>
        <w:rPr>
          <w:color w:val="000000" w:themeColor="text1"/>
        </w:rPr>
      </w:pPr>
      <w:bookmarkStart w:id="21" w:name="_Toc241018039"/>
      <w:r w:rsidRPr="00F94904">
        <w:rPr>
          <w:color w:val="000000" w:themeColor="text1"/>
        </w:rPr>
        <w:t>2.3 The Cross-Sectoral Landscape of Work-Life Balance Policies</w:t>
      </w:r>
      <w:bookmarkEnd w:id="21"/>
    </w:p>
    <w:p w14:paraId="33A7B0B5" w14:textId="77777777" w:rsidR="00571993" w:rsidRPr="00F94904" w:rsidRDefault="00237399" w:rsidP="00143FD2">
      <w:pPr>
        <w:rPr>
          <w:color w:val="000000" w:themeColor="text1"/>
        </w:rPr>
      </w:pPr>
      <w:r w:rsidRPr="00F94904">
        <w:rPr>
          <w:color w:val="000000" w:themeColor="text1"/>
        </w:rPr>
        <w:t>There has been a significant transformation of the understanding and institutionalisation of WLB policies in the UK labour market. One major development was the Employment Relations (Flexible Working) Act 2023, which enabled staff to make a request for flexible working from their first day of work. This measure is part of a broader process of normalisation of remote/hybrid work due to the pandemic, as highlighted in a briefing note from the UK Parliament (Dobbins, 2021). That change has been confirmed by official statistics which reveal that a significant minority of workers in the UK are now working from home at least some of the time (Office for National Statistics, 2023). Evidence from employers’ surveys also confirms that flexible and hybrid working are now part of the mainstream of UK businesses, and not just a fringe activity (Chartered Institute of Personnel and Development, 2023). However, despite its greater availability, the impact of it has still not been resolved due to mixed performance results found in the various studies (Wong, Chan and Teh, 2020). This implies that the implementation of policies is as important as the policy itself (Allen et al., 2013).</w:t>
      </w:r>
    </w:p>
    <w:p w14:paraId="4332D4EA" w14:textId="77777777" w:rsidR="00571993" w:rsidRPr="00F94904" w:rsidRDefault="00237399" w:rsidP="00143FD2">
      <w:pPr>
        <w:rPr>
          <w:color w:val="000000" w:themeColor="text1"/>
        </w:rPr>
      </w:pPr>
      <w:r w:rsidRPr="00F94904">
        <w:rPr>
          <w:color w:val="000000" w:themeColor="text1"/>
        </w:rPr>
        <w:t xml:space="preserve">It is helpful to distinguish between temporal flexibility and spatial flexibility because flexitime is flexible in terms of when people work, while remote working is flexible in terms of where they work (Chung, 2022). In this regard, it can be said that spatial flexibility is found in sectors that are knowledge-based, while frontline sectors are constrained because of the physical nature of the job (Felstead and Reuschke, 2020). Early evidence in the UK also indicated remote work can increase one’s efforts and create a grey zone that is not intended to be created (Felstead and Henseke, 2017). Recently, a review model has suggested that it is the management and implementation of the flexibility policy that determines its value, not the policy name (Kossek, Perrigino and Lautsch, 2023). This is why assessing the WLB provision cannot be done by </w:t>
      </w:r>
      <w:r w:rsidRPr="00F94904">
        <w:rPr>
          <w:color w:val="000000" w:themeColor="text1"/>
        </w:rPr>
        <w:lastRenderedPageBreak/>
        <w:t>counting on policies and why the relationship between WLB and organisational performance is felt as indirect (Beauregard and Henry, 2009).</w:t>
      </w:r>
    </w:p>
    <w:p w14:paraId="101EE196" w14:textId="77777777" w:rsidR="00571993" w:rsidRPr="00F94904" w:rsidRDefault="00237399" w:rsidP="00143FD2">
      <w:pPr>
        <w:rPr>
          <w:color w:val="000000" w:themeColor="text1"/>
        </w:rPr>
      </w:pPr>
      <w:r w:rsidRPr="00F94904">
        <w:rPr>
          <w:color w:val="000000" w:themeColor="text1"/>
        </w:rPr>
        <w:t>One of the primary debates in the literature is between the structural availability of a policy and the cultural accessibility (Putnam, Myers and Gailliard, 2014). A common implementation problem is that while progressive policies are in place in many organisations, cultures are not (Kelly et al., 2014). This gap is partly because of the “ideal worker” norm, believing that being always present is a sign of a person’s commitment (Williams, Blair-Loy and Berdahl, 2013). Tacitly denigrating the use of an approved arrangement mirrors that norm, and experimental evidence indicates that flexible workers may be perceived as less committed and less promotable than other workers who are always in the workplace (Munsch, 2016). This flexibility stigma is a gendered phenomenon as schedule control yields different results for men and women (Lott and Chung, 2016). Survey data from the UK also indicates that there is a significant proportion of working people who feel that there are real career disadvantages to working flexibly at work (Chung, 2020). One of the consequences of the stigma is that it defines who can access policies, and flexitime and teleworking have helped mothers in particular to stay in the labour force after having a child (Chung and van der Horst, 2018).</w:t>
      </w:r>
    </w:p>
    <w:p w14:paraId="0BC10366" w14:textId="2AF38DFE" w:rsidR="00571993" w:rsidRPr="00F94904" w:rsidRDefault="00237399" w:rsidP="00143FD2">
      <w:pPr>
        <w:rPr>
          <w:color w:val="000000" w:themeColor="text1"/>
        </w:rPr>
      </w:pPr>
      <w:r w:rsidRPr="00F94904">
        <w:rPr>
          <w:color w:val="000000" w:themeColor="text1"/>
        </w:rPr>
        <w:t>This stigma has another layer of equity. The impact of flexible working has been theorised to either increase or decrease gender inequalities, depending on the cultural context in which it is implemented (Chung and van der Lippe, 2020). If the culture isn’t supportive, flexibility may be more likely to add unpaid overtime, without the parent or employee realising it, particularly for parents (Chung and van der Horst, 2020). The net effect is that a culturally blind policy, by itself, fails to soften the blow of demands, but instead introduces another source of anxiety, and when demands are heightened, the very well-being a policy had hoped to protect is eroded (Kelliher and Anderson, 2010). Employees are likely to suffer from presenteeism in such work environments, which involves feeling unwell or unproductive at work, but showing up anyway, as a form of communicating commitment (Johns, 2010). According to Miraglia and Johns (2016), in a meta-analysis of presenteeism, its link to health issues and to job and cultural pressures was revealed. In total, the literature indicates that the impact of WLB frameworks on reducing strain lies within a supportive climate and that WLB is a concept that needs to be reconceptualised around lived accessibility and not formal provision (Kelliher, Richardson and Boiarintseva, 2019).</w:t>
      </w:r>
    </w:p>
    <w:p w14:paraId="5C9B20DD" w14:textId="77777777" w:rsidR="00143FD2" w:rsidRPr="00F94904" w:rsidRDefault="00143FD2" w:rsidP="00143FD2">
      <w:pPr>
        <w:rPr>
          <w:color w:val="000000" w:themeColor="text1"/>
        </w:rPr>
      </w:pPr>
    </w:p>
    <w:p w14:paraId="06AC139C" w14:textId="77777777" w:rsidR="00571993" w:rsidRPr="00F94904" w:rsidRDefault="00237399" w:rsidP="0098366A">
      <w:pPr>
        <w:pStyle w:val="Heading2"/>
        <w:rPr>
          <w:color w:val="000000" w:themeColor="text1"/>
        </w:rPr>
      </w:pPr>
      <w:bookmarkStart w:id="22" w:name="_Toc241018040"/>
      <w:r w:rsidRPr="00F94904">
        <w:rPr>
          <w:color w:val="000000" w:themeColor="text1"/>
        </w:rPr>
        <w:lastRenderedPageBreak/>
        <w:t>2.4 The Psychological Impact of WLB on Employee Engagement</w:t>
      </w:r>
      <w:bookmarkEnd w:id="22"/>
    </w:p>
    <w:p w14:paraId="1278F9F4" w14:textId="1FFBA19A" w:rsidR="00571993" w:rsidRPr="00F94904" w:rsidRDefault="00237399" w:rsidP="00143FD2">
      <w:pPr>
        <w:rPr>
          <w:color w:val="000000" w:themeColor="text1"/>
        </w:rPr>
      </w:pPr>
      <w:r w:rsidRPr="00F94904">
        <w:rPr>
          <w:color w:val="000000" w:themeColor="text1"/>
        </w:rPr>
        <w:t>The second step is to zoom in from the broad picture, recognising that on-the-ground engagement depends on psychological availability as described previously (Kahn, 1990), and that WLB policies can have an impact on that. The empirical evidence presented shows a consistent relationship between the positive scores of WLB and work engagement in the studies (Wood et al., 2020). A meta-analysis shows that the organisational level of WLB arrangements is positively related to performance outcomes (Wong, Chan and Teh, 2020). Much of this benefit has been credited to autonomy, and a preliminary meta-analysis showed that telecommuting was associated with higher job satisfaction and lower work-family conflict (Gajendran and Harrison, 2007). Qualitative research with remote workers also highlighted increased awareness of control of the working day as a positive aspect (Grant, Wallace and Spurgeon, 2013). The benefits were later broken down into distinct well-being dimensions and it was concluded that remote working has different impacts on affective, cognitive and social well-being (Charalampous et al., 2019).</w:t>
      </w:r>
    </w:p>
    <w:p w14:paraId="4619B48C" w14:textId="77777777" w:rsidR="00571993" w:rsidRPr="00F94904" w:rsidRDefault="00237399" w:rsidP="00143FD2">
      <w:pPr>
        <w:rPr>
          <w:color w:val="000000" w:themeColor="text1"/>
        </w:rPr>
      </w:pPr>
      <w:r w:rsidRPr="00F94904">
        <w:rPr>
          <w:color w:val="000000" w:themeColor="text1"/>
        </w:rPr>
        <w:t>The results of the most authoritative early review of the effects of telecommuting on well-being were that the effects are real, although modest, and that the moderation of the effects is heavily influenced by the amount of time spent telecommuting (Allen, Golden and Shockley, 2015). A rare causal study, using a randomised field experiment, showed that working at home resulted in improvements to performance and satisfaction, as well as greater feelings of isolation (Bloom et al., 2015). A previous study had demonstrated that the nature of the association between telework and satisfaction is not monotonic, but is a function of the amount of telework (Golden and Veiga, 2005). As a combined result of these studies, it is not advised to view flexibility as an unqualified good.</w:t>
      </w:r>
    </w:p>
    <w:p w14:paraId="63302D75" w14:textId="77777777" w:rsidR="00571993" w:rsidRPr="00F94904" w:rsidRDefault="00237399" w:rsidP="00143FD2">
      <w:pPr>
        <w:rPr>
          <w:color w:val="000000" w:themeColor="text1"/>
        </w:rPr>
      </w:pPr>
      <w:r w:rsidRPr="00F94904">
        <w:rPr>
          <w:color w:val="000000" w:themeColor="text1"/>
        </w:rPr>
        <w:t xml:space="preserve">But there is a contradiction when read closer, as the same policies that are intended to give autonomy can also take it away. This “autonomy paradox” occurs when flexible working is coupled with an “always on” digital culture which removes the distinction between work and home (Mazmanian, Orlikowski and Yates, 2013). A diary study revealed that the use of the smartphone at work was related to lower psychological detachment (Derks, van Mierlo and Schmitz, 2014) and higher exhaustion. Switching off one’s mind during downtime is, in turn, a significant factor in determining recovery and next-day well-being (Sonnentag and Bayer, 2005). In the broader culture of hyper-connectivity, flexibility can be an unseen agent that speeds up and extends the nature and intensity of work (Wajcman, 2015). For these reasons, </w:t>
      </w:r>
      <w:r w:rsidRPr="00F94904">
        <w:rPr>
          <w:color w:val="000000" w:themeColor="text1"/>
        </w:rPr>
        <w:lastRenderedPageBreak/>
        <w:t>alternative policies have been termed as providing two competing images, one freeing, the other limiting (Spreitzer, Cameron and Garrett, 2017), and the results as being shaped less by the policy than by how the worker manages the work-home boundary (Kossek and Lautsch, 2012).</w:t>
      </w:r>
    </w:p>
    <w:p w14:paraId="4A4CD019" w14:textId="77777777" w:rsidR="00571993" w:rsidRPr="00F94904" w:rsidRDefault="00237399" w:rsidP="00143FD2">
      <w:pPr>
        <w:rPr>
          <w:color w:val="000000" w:themeColor="text1"/>
        </w:rPr>
      </w:pPr>
      <w:r w:rsidRPr="00F94904">
        <w:rPr>
          <w:color w:val="000000" w:themeColor="text1"/>
        </w:rPr>
        <w:t>There has been an abundance of evidence from the pandemic period that further refines this image. However, a big European study highlighted the benefits and drawbacks of home-working, including a better work-life balance, and home constraints and blurred boundaries (Ipsen et al., 2021). In their mixed-methods study, Wang et al. (2021) contend that job characteristics and not location are the key to effective remote working, and, consequently, to well-being. This resonates with a previous finding that it was job characteristics, and not the level of telecommuting, that predicted well-being rather than the actual telecommuting time (Vander Elst et al., 2017). Job crafting has been found to mitigate remote worker behavioural stress resulting from techno-overload (Ingusci et al., 2021). The term technostress itself came to the fore as a quantifiable cost of intensive technology use during forced home-working (Molino et al., 2020). This is in line with one study that found that working remotely is a double-edged sword with both pros and cons (Gillet et al., 2021).</w:t>
      </w:r>
    </w:p>
    <w:p w14:paraId="7FD82CD0" w14:textId="77777777" w:rsidR="00571993" w:rsidRPr="00F94904" w:rsidRDefault="00237399" w:rsidP="00143FD2">
      <w:pPr>
        <w:rPr>
          <w:color w:val="000000" w:themeColor="text1"/>
        </w:rPr>
      </w:pPr>
      <w:r w:rsidRPr="00F94904">
        <w:rPr>
          <w:color w:val="000000" w:themeColor="text1"/>
        </w:rPr>
        <w:t xml:space="preserve">There have been a number of attempts to balance these benefits and risks in a systematic review. A review of evidence identified that remote working can be used to benefit both performance and well-being, if done appropriately (Ferrara et al., 2022). A more comprehensive integrative review revealed that virtual work does indeed have dual effects, and that moderating factors have an impact, including autonomy and support (Hill et al., 2024). A specific study on telework and health came to the same conclusion and suggested a multi-level structure of telework and well-being (Beckel and Fisher, 2022). Oakman et al. (2020) conducted a brief review of working at home and found that organisational and colleague support and work-family conflict were the key factors to health. A diary study in the UK added details, demonstrating that each of autonomy, psychological detachment, and loneliness had an impact on homeworkers’ well-being (Wood et al., 2021). In another study, autonomy and self-leadership were the ones that enabled home-workers to remain engaged and productive (Galanti et al., 2021). In contexts where those conditions did not exist, social isolation was related to decreased satisfaction with the remote work (Toscano and Zappalà, 2020). The studies of the remote, hybrid and on-site staff showed that the mode of working does not directly influence stress and engagement, but rather it interacts with them (Wontorczyk and Rożnowski, 2022). Last, the leadership adaptation is important, as it may either be supportive </w:t>
      </w:r>
      <w:r w:rsidRPr="00F94904">
        <w:rPr>
          <w:color w:val="000000" w:themeColor="text1"/>
        </w:rPr>
        <w:lastRenderedPageBreak/>
        <w:t>or unhelpful to the individuals who are confronted with it (Contreras, Baykal and Abid, 2020). This study uses a qualitative approach since its sole aim is to rely on the subjective factors that will determine the outcome and not just on a survey of the presence of the policy.</w:t>
      </w:r>
    </w:p>
    <w:p w14:paraId="233C30AF" w14:textId="77777777" w:rsidR="00571993" w:rsidRPr="00F94904" w:rsidRDefault="00237399" w:rsidP="0098366A">
      <w:pPr>
        <w:pStyle w:val="Heading2"/>
        <w:rPr>
          <w:color w:val="000000" w:themeColor="text1"/>
        </w:rPr>
      </w:pPr>
      <w:bookmarkStart w:id="23" w:name="_Toc241018041"/>
      <w:r w:rsidRPr="00F94904">
        <w:rPr>
          <w:color w:val="000000" w:themeColor="text1"/>
        </w:rPr>
        <w:t>2.5 The Nexus Between Policy Effectiveness and Workforce Retention</w:t>
      </w:r>
      <w:bookmarkEnd w:id="23"/>
    </w:p>
    <w:p w14:paraId="57246CA2" w14:textId="77777777" w:rsidR="00571993" w:rsidRPr="00F94904" w:rsidRDefault="00237399" w:rsidP="00143FD2">
      <w:pPr>
        <w:rPr>
          <w:color w:val="000000" w:themeColor="text1"/>
        </w:rPr>
      </w:pPr>
      <w:r w:rsidRPr="00F94904">
        <w:rPr>
          <w:color w:val="000000" w:themeColor="text1"/>
        </w:rPr>
        <w:t>After reviewing the psychological impact of WLB, the review focuses on the final focus of the study, retention. Turnover intention, which is the opposite of retention, is the best predictor of actual turnover, and is a measure often used to represent retention in the HR literature (Meyer et al., 2002). One hundred years of turnover research has confirmed that attitudes and perceived alternatives, not just the money, are factors that influence turnover (Hom et al., 2017). A sizeable meta-analysis also reveals that job attitudes and the work environment are the most critical antecedents of voluntary turnover (Rubenstein et al., 2018). When policies are not supportive of well-being, there is an increase in turnover intention, with initial separation becoming a plan to separate (Kelliher and Anderson, 2010).</w:t>
      </w:r>
    </w:p>
    <w:p w14:paraId="2B68727F" w14:textId="77777777" w:rsidR="00571993" w:rsidRPr="00F94904" w:rsidRDefault="00237399" w:rsidP="00143FD2">
      <w:pPr>
        <w:rPr>
          <w:color w:val="000000" w:themeColor="text1"/>
        </w:rPr>
      </w:pPr>
      <w:r w:rsidRPr="00F94904">
        <w:rPr>
          <w:color w:val="000000" w:themeColor="text1"/>
        </w:rPr>
        <w:t>It is useful to reflect on the predominant model of commitment, which presents affective, normative, and continuance commitment (Meyer and Allen, 1991), to assess the link. The emotional attachment part of commitment has been suggested to be the most fundamental aspect of commitment and to be the most closely related to retention (Mercurio, 2015). In the past, organisations have relied on continuance commitment, that is, they have been able to retain employees who do not really value them because of the perceived cost of leaving the organisation (Meyer et al., 2002). Staffing on this basis has little impact on performance as it is a supportive organisational climate that makes commitment translate into effort (Berberoglu, 2018). The other way to build commitment is to build affective commitment, and evidence reveals that when the affective commitment is mediated by job satisfaction, then WLB support strengthens commitment (Inegbedion, 2024).</w:t>
      </w:r>
    </w:p>
    <w:p w14:paraId="60FD3E56" w14:textId="77777777" w:rsidR="00571993" w:rsidRPr="00F94904" w:rsidRDefault="00237399" w:rsidP="00143FD2">
      <w:pPr>
        <w:rPr>
          <w:color w:val="000000" w:themeColor="text1"/>
        </w:rPr>
      </w:pPr>
      <w:r w:rsidRPr="00F94904">
        <w:rPr>
          <w:color w:val="000000" w:themeColor="text1"/>
        </w:rPr>
        <w:t xml:space="preserve">Perceived organisational support plays a key role in this, and a meta-analysis shows that it is a strong predictor of affective commitment and decreased withdrawal (Kurtessis et al., 2017). Support communicated specifically via managers is also relevant and a field experiment showed that human resource managers’ training in family-supportive behaviours decreased employees’ turnover intention (Hammer et al., 2011). In the workplace, the links between WLB support and job satisfaction and subsequently performance have been established and supportive supervision has been observed to enhance the relationship between the two (Susanto et al., 2022). The flip side of this is obvious: if employers outlay resources on employee health, </w:t>
      </w:r>
      <w:r w:rsidRPr="00F94904">
        <w:rPr>
          <w:color w:val="000000" w:themeColor="text1"/>
        </w:rPr>
        <w:lastRenderedPageBreak/>
        <w:t>employees will reciprocate their loyalty, and if the employers don’t, the counterproductive contract of flexibility rapidly comes undone, diminishing attachment (Williams, Blair-Loy and Berdahl, 2013).</w:t>
      </w:r>
    </w:p>
    <w:p w14:paraId="6E4D5F07" w14:textId="77777777" w:rsidR="00571993" w:rsidRPr="00F94904" w:rsidRDefault="00237399" w:rsidP="00143FD2">
      <w:pPr>
        <w:rPr>
          <w:color w:val="000000" w:themeColor="text1"/>
        </w:rPr>
      </w:pPr>
      <w:r w:rsidRPr="00F94904">
        <w:rPr>
          <w:color w:val="000000" w:themeColor="text1"/>
        </w:rPr>
        <w:t>This is particularly evident in healthcare, where practitioners can act as test cases for this argument. Organisational support and workload were consistent factors impacting on intention to leave amongst healthcare workers, as identified in a systematic review (Poon et al., 2022). In a meta-analysis of nurse-related studies, it was found that perceived organisational support decreased the intention to leave among nurses (Galanis et al., 2024). The role of demands is also obvious as a large cross-national study revealed a relationship between long shifts and increased intention to leave and burnout among nurses (Dall’Ora et al., 2015). A theoretical conceptualisation of nursing burnout identifies these as being associated with chronic understaffing and unsustainable workloads (Dall’Ora et al., 2020). In the era of the pandemic, distress and dissatisfaction were found to further increase frontline nurses’ turnover intention (Labrague and de los Santos, 2021). This is a real workforce issue and there are significant vacancy and retention issues in the NHS (Buchan et al., 2019) in the UK sector analysis. With a survey, a nurse who is burnt out but not resigned would still be recorded as “retained”, and a qualitative approach would need to be used to differentiate between the two.</w:t>
      </w:r>
    </w:p>
    <w:p w14:paraId="29437E10" w14:textId="77777777" w:rsidR="00571993" w:rsidRPr="00F94904" w:rsidRDefault="00237399" w:rsidP="0098366A">
      <w:pPr>
        <w:pStyle w:val="Heading2"/>
        <w:rPr>
          <w:color w:val="000000" w:themeColor="text1"/>
        </w:rPr>
      </w:pPr>
      <w:bookmarkStart w:id="24" w:name="_Toc241018042"/>
      <w:r w:rsidRPr="00F94904">
        <w:rPr>
          <w:color w:val="000000" w:themeColor="text1"/>
        </w:rPr>
        <w:t>2.6 Summary and Conceptual Framework Adopted</w:t>
      </w:r>
      <w:bookmarkEnd w:id="24"/>
    </w:p>
    <w:p w14:paraId="1D4802A8" w14:textId="77777777" w:rsidR="00571993" w:rsidRPr="00F94904" w:rsidRDefault="00237399" w:rsidP="00143FD2">
      <w:pPr>
        <w:rPr>
          <w:color w:val="000000" w:themeColor="text1"/>
        </w:rPr>
      </w:pPr>
      <w:r w:rsidRPr="00F94904">
        <w:rPr>
          <w:color w:val="000000" w:themeColor="text1"/>
        </w:rPr>
        <w:t>Based on this review, the conceptual model of this study was developed based on five main variables, namely: job demands, WLB resources, emotional spillover, psychological engagement and turnover intention. These two components of the workplace experience, the demands and resources of the job, are the foundation under which the workplace experience is shaped, and an imbalance of this foundation is what the JD-R model defines as a trigger for strain (Bakker and Demerouti, 2017). If demands exceed available resources, then the negative spillover into personal life occurs as predicted by Spillover Theory (Staines, 1980). That spillover reduces the “psychological availability” that engagement demands (Kahn, 1990). Less involvement, consequently, drives turnover intent when commitment is just of the continuance type (Meyer and Allen, 1991).</w:t>
      </w:r>
    </w:p>
    <w:p w14:paraId="6E9AAE83" w14:textId="77777777" w:rsidR="00571993" w:rsidRPr="00F94904" w:rsidRDefault="00237399" w:rsidP="00143FD2">
      <w:pPr>
        <w:rPr>
          <w:color w:val="000000" w:themeColor="text1"/>
        </w:rPr>
      </w:pPr>
      <w:r w:rsidRPr="00F94904">
        <w:rPr>
          <w:color w:val="000000" w:themeColor="text1"/>
        </w:rPr>
        <w:t xml:space="preserve">These five interacting constructs comprise the thematic lens that is used to interpret the data. The researcher pays attention to how the participants describe the tension between demands and resources, the reality of their emotional spillover, and its impact on their engagement and intention to stay as an initial orientation towards the constructs and is open to other themes. </w:t>
      </w:r>
      <w:r w:rsidRPr="00F94904">
        <w:rPr>
          <w:color w:val="000000" w:themeColor="text1"/>
        </w:rPr>
        <w:lastRenderedPageBreak/>
        <w:t>This study’s research gap is now evident. There is evidence in the literature that WLB policies have an impact on performance; however, the literature has not adequately explained why availability is not always genuine support in the eyes of employees. The methodology that is intended to fill that gap is outlined in the next chapter.</w:t>
      </w:r>
    </w:p>
    <w:p w14:paraId="3F25BC5E" w14:textId="77777777" w:rsidR="00571993" w:rsidRPr="00F94904" w:rsidRDefault="00237399" w:rsidP="00143FD2">
      <w:pPr>
        <w:rPr>
          <w:color w:val="000000" w:themeColor="text1"/>
        </w:rPr>
      </w:pPr>
      <w:r w:rsidRPr="00F94904">
        <w:rPr>
          <w:color w:val="000000" w:themeColor="text1"/>
        </w:rPr>
        <w:br w:type="page"/>
      </w:r>
    </w:p>
    <w:p w14:paraId="25B847D4" w14:textId="77777777" w:rsidR="00571993" w:rsidRPr="00F94904" w:rsidRDefault="00237399" w:rsidP="0098366A">
      <w:pPr>
        <w:pStyle w:val="Heading1"/>
        <w:jc w:val="both"/>
        <w:rPr>
          <w:color w:val="000000" w:themeColor="text1"/>
        </w:rPr>
      </w:pPr>
      <w:bookmarkStart w:id="25" w:name="_Toc241018043"/>
      <w:r w:rsidRPr="00F94904">
        <w:rPr>
          <w:color w:val="000000" w:themeColor="text1"/>
        </w:rPr>
        <w:lastRenderedPageBreak/>
        <w:t>Chapter Three: Research Methodology</w:t>
      </w:r>
      <w:bookmarkEnd w:id="25"/>
    </w:p>
    <w:p w14:paraId="29A85626" w14:textId="77777777" w:rsidR="00571993" w:rsidRPr="00F94904" w:rsidRDefault="00237399" w:rsidP="0098366A">
      <w:pPr>
        <w:pStyle w:val="Heading2"/>
        <w:rPr>
          <w:color w:val="000000" w:themeColor="text1"/>
        </w:rPr>
      </w:pPr>
      <w:bookmarkStart w:id="26" w:name="_Toc241018044"/>
      <w:r w:rsidRPr="00F94904">
        <w:rPr>
          <w:color w:val="000000" w:themeColor="text1"/>
        </w:rPr>
        <w:t>3.1 Introduction</w:t>
      </w:r>
      <w:bookmarkEnd w:id="26"/>
    </w:p>
    <w:p w14:paraId="39FDCA3E" w14:textId="77777777" w:rsidR="00571993" w:rsidRPr="00F94904" w:rsidRDefault="00237399" w:rsidP="00143FD2">
      <w:pPr>
        <w:rPr>
          <w:color w:val="000000" w:themeColor="text1"/>
        </w:rPr>
      </w:pPr>
      <w:r w:rsidRPr="00F94904">
        <w:rPr>
          <w:color w:val="000000" w:themeColor="text1"/>
        </w:rPr>
        <w:t>The study methodology is described in this chapter. It outlines the philosophical stance of the research, the rationale, the strategy and the methods of data collection and analysis. The “research onion” (Saunders, Lewis and Thornhill, 2023) is used to structure the discussion, which shows research design as a series of concentric rings ranging from the broad philosophical assumptions on the outer ring to the most practical data collection techniques on the inner ring. The rationale behind each layer is explained and justified in relation to the aim of the study, which is to explore how the employees perceive work-life balance (WLB) policies. The chapter also outlines the sampling strategy, the analytical process, the quality control measures implemented, and the limitations of the approach, as well as the ethical protections that were adopted.</w:t>
      </w:r>
    </w:p>
    <w:p w14:paraId="58448F94" w14:textId="77777777" w:rsidR="00571993" w:rsidRPr="00F94904" w:rsidRDefault="00237399" w:rsidP="0098366A">
      <w:pPr>
        <w:pStyle w:val="Heading2"/>
        <w:rPr>
          <w:color w:val="000000" w:themeColor="text1"/>
        </w:rPr>
      </w:pPr>
      <w:bookmarkStart w:id="27" w:name="_Toc241018045"/>
      <w:r w:rsidRPr="00F94904">
        <w:rPr>
          <w:color w:val="000000" w:themeColor="text1"/>
        </w:rPr>
        <w:t>3.2 Research Aim and Objectives</w:t>
      </w:r>
      <w:bookmarkEnd w:id="27"/>
    </w:p>
    <w:p w14:paraId="5944FF8C" w14:textId="1373434D" w:rsidR="00571993" w:rsidRPr="00F94904" w:rsidRDefault="00237399" w:rsidP="00143FD2">
      <w:pPr>
        <w:rPr>
          <w:color w:val="000000" w:themeColor="text1"/>
        </w:rPr>
      </w:pPr>
      <w:r w:rsidRPr="00F94904">
        <w:rPr>
          <w:color w:val="000000" w:themeColor="text1"/>
        </w:rPr>
        <w:t>The purpose and the goals are restated here in order to evaluate the methodological decisions in the light of the purpose and the goals of the study. This research aims to examine employees’ perceptions of the impact of WLB policies on their well-being, engagement, and retention across different professional sectors. The objectives of this study are to:</w:t>
      </w:r>
    </w:p>
    <w:p w14:paraId="470C9572" w14:textId="47E996D9" w:rsidR="00571993" w:rsidRPr="00F94904" w:rsidRDefault="00143FD2" w:rsidP="00143FD2">
      <w:pPr>
        <w:pStyle w:val="ListParagraph"/>
        <w:numPr>
          <w:ilvl w:val="0"/>
          <w:numId w:val="4"/>
        </w:numPr>
        <w:spacing w:after="120" w:line="360" w:lineRule="auto"/>
        <w:jc w:val="both"/>
        <w:rPr>
          <w:color w:val="000000" w:themeColor="text1"/>
        </w:rPr>
      </w:pPr>
      <w:r w:rsidRPr="00F94904">
        <w:rPr>
          <w:color w:val="000000" w:themeColor="text1"/>
        </w:rPr>
        <w:t>identify and assess the existing WLB policies across the sectors studied;</w:t>
      </w:r>
    </w:p>
    <w:p w14:paraId="48CE0C5B" w14:textId="674CCD4F" w:rsidR="00571993" w:rsidRPr="00F94904" w:rsidRDefault="00143FD2" w:rsidP="00143FD2">
      <w:pPr>
        <w:pStyle w:val="ListParagraph"/>
        <w:numPr>
          <w:ilvl w:val="0"/>
          <w:numId w:val="4"/>
        </w:numPr>
        <w:spacing w:after="120" w:line="360" w:lineRule="auto"/>
        <w:jc w:val="both"/>
        <w:rPr>
          <w:color w:val="000000" w:themeColor="text1"/>
        </w:rPr>
      </w:pPr>
      <w:r w:rsidRPr="00F94904">
        <w:rPr>
          <w:color w:val="000000" w:themeColor="text1"/>
        </w:rPr>
        <w:t>review employees’ experiences of the impact of WLB policies on their psychological health, well-being, and engagement at work;</w:t>
      </w:r>
    </w:p>
    <w:p w14:paraId="23BCE603" w14:textId="086D3EAC" w:rsidR="00571993" w:rsidRPr="00F94904" w:rsidRDefault="00143FD2" w:rsidP="00143FD2">
      <w:pPr>
        <w:pStyle w:val="ListParagraph"/>
        <w:numPr>
          <w:ilvl w:val="0"/>
          <w:numId w:val="4"/>
        </w:numPr>
        <w:spacing w:after="120" w:line="360" w:lineRule="auto"/>
        <w:jc w:val="both"/>
        <w:rPr>
          <w:color w:val="000000" w:themeColor="text1"/>
        </w:rPr>
      </w:pPr>
      <w:r w:rsidRPr="00F94904">
        <w:rPr>
          <w:color w:val="000000" w:themeColor="text1"/>
        </w:rPr>
        <w:t>evaluate the relationship between the perceived effectiveness of WLB policies and employees’ intention to stay; and</w:t>
      </w:r>
    </w:p>
    <w:p w14:paraId="20D0CA99" w14:textId="620A0055" w:rsidR="00571993" w:rsidRPr="00F94904" w:rsidRDefault="00143FD2" w:rsidP="00143FD2">
      <w:pPr>
        <w:pStyle w:val="ListParagraph"/>
        <w:numPr>
          <w:ilvl w:val="0"/>
          <w:numId w:val="4"/>
        </w:numPr>
        <w:spacing w:after="120" w:line="360" w:lineRule="auto"/>
        <w:jc w:val="both"/>
        <w:rPr>
          <w:color w:val="000000" w:themeColor="text1"/>
        </w:rPr>
      </w:pPr>
      <w:r w:rsidRPr="00F94904">
        <w:rPr>
          <w:color w:val="000000" w:themeColor="text1"/>
        </w:rPr>
        <w:t>make evidence-based recommendations for management to enhance WLB policies and support workforce retention.</w:t>
      </w:r>
    </w:p>
    <w:p w14:paraId="04F90A54" w14:textId="77777777" w:rsidR="00571993" w:rsidRPr="00F94904" w:rsidRDefault="00237399" w:rsidP="00143FD2">
      <w:pPr>
        <w:rPr>
          <w:color w:val="000000" w:themeColor="text1"/>
        </w:rPr>
      </w:pPr>
      <w:r w:rsidRPr="00F94904">
        <w:rPr>
          <w:color w:val="000000" w:themeColor="text1"/>
        </w:rPr>
        <w:t>These objectives are based on perception, meaning and lived experience. Such questions are related to meaning rather than measuring given variables and thus it is best to use a qualitative design (Saunders, Lewis and Thornhill, 2023). This is congruent with known guidance for aligning the design of the research process to the research question (Creswell and Creswell, 2018).</w:t>
      </w:r>
    </w:p>
    <w:p w14:paraId="610DFB93" w14:textId="77777777" w:rsidR="00571993" w:rsidRPr="00F94904" w:rsidRDefault="00237399" w:rsidP="0098366A">
      <w:pPr>
        <w:pStyle w:val="Heading2"/>
        <w:rPr>
          <w:color w:val="000000" w:themeColor="text1"/>
        </w:rPr>
      </w:pPr>
      <w:bookmarkStart w:id="28" w:name="_Toc241018046"/>
      <w:r w:rsidRPr="00F94904">
        <w:rPr>
          <w:color w:val="000000" w:themeColor="text1"/>
        </w:rPr>
        <w:lastRenderedPageBreak/>
        <w:t>3.3 Research Rationale</w:t>
      </w:r>
      <w:bookmarkEnd w:id="28"/>
    </w:p>
    <w:p w14:paraId="7079260B" w14:textId="77777777" w:rsidR="00571993" w:rsidRPr="00F94904" w:rsidRDefault="00237399" w:rsidP="00143FD2">
      <w:pPr>
        <w:rPr>
          <w:color w:val="000000" w:themeColor="text1"/>
        </w:rPr>
      </w:pPr>
      <w:r w:rsidRPr="00F94904">
        <w:rPr>
          <w:color w:val="000000" w:themeColor="text1"/>
        </w:rPr>
        <w:t>The methodological approach is based on the research problem presented in the previous chapters. The literature reviewed revealed that, rather than whether there are WLB policies, it is the way in which employees experience, understand and react to them in their work lives that is the central issue. This type of question cannot be answered using numerical measurement, but rather through rich accounts of personal experience (Creswell and Creswell, 2018). Qualitative design is suitable as it permits the researcher to examine meaning, feelings and context at a deep level, which is not possible with closed questions used in a survey (Saunders, Lewis and Thornhill, 2023).</w:t>
      </w:r>
    </w:p>
    <w:p w14:paraId="72B5668F" w14:textId="77777777" w:rsidR="00571993" w:rsidRPr="00F94904" w:rsidRDefault="00237399" w:rsidP="00143FD2">
      <w:pPr>
        <w:rPr>
          <w:color w:val="000000" w:themeColor="text1"/>
        </w:rPr>
      </w:pPr>
      <w:r w:rsidRPr="00F94904">
        <w:rPr>
          <w:color w:val="000000" w:themeColor="text1"/>
        </w:rPr>
        <w:t>The rationale also responds to a gap in the existing evidence. Research on WLB and retention has been conducted on a large scale and reports correlations but does not fully explain the psychological reasons for these correlations. A qualitative study can overcome this limitation by allowing employees to tell their own story as to how a policy is perceived as supportive or restrictive (Braun and Clarke, 2022). This is also appropriate for a master’s-level project as it creates depth of understanding from a manageable number of participants and not a large number required for reliable statistical testing (Braun and Clarke, 2021b).</w:t>
      </w:r>
    </w:p>
    <w:p w14:paraId="342C71D0" w14:textId="77777777" w:rsidR="00571993" w:rsidRPr="00F94904" w:rsidRDefault="00237399" w:rsidP="00143FD2">
      <w:pPr>
        <w:rPr>
          <w:color w:val="000000" w:themeColor="text1"/>
        </w:rPr>
      </w:pPr>
      <w:r w:rsidRPr="00F94904">
        <w:rPr>
          <w:color w:val="000000" w:themeColor="text1"/>
        </w:rPr>
        <w:t>Last but not least, a qualitative approach is suitable for the exploratory research question. The study is not a test of a specific hypothesis, but it aims to develop understanding of a complex and personal topic. For these reasons, a mono-method qualitative research approach was chosen over quantitative or mixed-methods research, so that the subjective experiences of the research participants would not be removed from the study; rather, they would remain the focus of this study (Saunders, Lewis and Thornhill, 2023).</w:t>
      </w:r>
    </w:p>
    <w:p w14:paraId="281707C3" w14:textId="77777777" w:rsidR="00571993" w:rsidRPr="00F94904" w:rsidRDefault="00237399" w:rsidP="0098366A">
      <w:pPr>
        <w:pStyle w:val="Heading2"/>
        <w:rPr>
          <w:color w:val="000000" w:themeColor="text1"/>
        </w:rPr>
      </w:pPr>
      <w:bookmarkStart w:id="29" w:name="_Toc241018047"/>
      <w:r w:rsidRPr="00F94904">
        <w:rPr>
          <w:color w:val="000000" w:themeColor="text1"/>
        </w:rPr>
        <w:t>3.4 Research Design</w:t>
      </w:r>
      <w:bookmarkEnd w:id="29"/>
    </w:p>
    <w:p w14:paraId="16919D75" w14:textId="0D3618C9" w:rsidR="00571993" w:rsidRPr="00F94904" w:rsidRDefault="00237399" w:rsidP="00143FD2">
      <w:pPr>
        <w:rPr>
          <w:color w:val="000000" w:themeColor="text1"/>
        </w:rPr>
      </w:pPr>
      <w:r w:rsidRPr="00F94904">
        <w:rPr>
          <w:color w:val="000000" w:themeColor="text1"/>
        </w:rPr>
        <w:t>The overall design of this study is exploratory and qualitative. The research onion, developed by Saunders, Lewis and Thornhill (2023), is used to explain and justify the design in a systematic manner as shown in Figure 1. The research onion is a series of six interdependent layers that gives insight into the research design chosen: research philosophy, theory-building approach, methodological choice, research strategy, time frame, and techniques and procedures. When working through the layers from the outside inwards, it is important to make sure that each of the practical decisions made is consistent with the underlying assumptions of the study (Saunders, Lewis and Thornhill, 2023).</w:t>
      </w:r>
    </w:p>
    <w:p w14:paraId="05F19AA1" w14:textId="77777777" w:rsidR="00143FD2" w:rsidRPr="00F94904" w:rsidRDefault="00237399" w:rsidP="00143FD2">
      <w:pPr>
        <w:keepNext/>
        <w:rPr>
          <w:color w:val="000000" w:themeColor="text1"/>
        </w:rPr>
      </w:pPr>
      <w:r w:rsidRPr="00F94904">
        <w:rPr>
          <w:noProof/>
          <w:color w:val="000000" w:themeColor="text1"/>
        </w:rPr>
        <w:lastRenderedPageBreak/>
        <w:drawing>
          <wp:inline distT="0" distB="0" distL="0" distR="0" wp14:anchorId="38F00820" wp14:editId="397D8444">
            <wp:extent cx="5139559" cy="5253771"/>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144261" cy="5258578"/>
                    </a:xfrm>
                    <a:prstGeom prst="rect">
                      <a:avLst/>
                    </a:prstGeom>
                  </pic:spPr>
                </pic:pic>
              </a:graphicData>
            </a:graphic>
          </wp:inline>
        </w:drawing>
      </w:r>
    </w:p>
    <w:p w14:paraId="6B524E45" w14:textId="423F6040" w:rsidR="00571993" w:rsidRPr="00F94904" w:rsidRDefault="00143FD2" w:rsidP="00143FD2">
      <w:pPr>
        <w:pStyle w:val="Caption"/>
      </w:pPr>
      <w:bookmarkStart w:id="30" w:name="_Toc241018203"/>
      <w:r w:rsidRPr="00F94904">
        <w:t xml:space="preserve">Figure </w:t>
      </w:r>
      <w:fldSimple w:instr=" SEQ Figure \* ARABIC ">
        <w:r w:rsidRPr="00F94904">
          <w:rPr>
            <w:noProof/>
          </w:rPr>
          <w:t>1</w:t>
        </w:r>
      </w:fldSimple>
      <w:r w:rsidRPr="00F94904">
        <w:t xml:space="preserve"> The Research Onion (adapted from Saunders, Lewis and Thornhill, 2023)</w:t>
      </w:r>
      <w:bookmarkEnd w:id="30"/>
    </w:p>
    <w:p w14:paraId="1EBA4F8B" w14:textId="77777777" w:rsidR="00571993" w:rsidRPr="00F94904" w:rsidRDefault="00237399" w:rsidP="00143FD2">
      <w:pPr>
        <w:rPr>
          <w:color w:val="000000" w:themeColor="text1"/>
        </w:rPr>
      </w:pPr>
      <w:r w:rsidRPr="00F94904">
        <w:rPr>
          <w:color w:val="000000" w:themeColor="text1"/>
        </w:rPr>
        <w:t>In this study, the layers were separated in the following manner. Interpretivism is the philosophy that will be used since it deals with subjective meaning. Theory development is inductive as themes are drawn from the data, not tested against a pre-set model. The methodological approach is mono-method qualitative with only one qualitative technique. The strategy is a series of semi-structured interviews, which suit an exploration of personal experience. The data are collected cross-sectionally as they are collected at one point, or in a short time, rather than over time. The purposive sampling, semi-structured interviewing, and reflexive thematic analysis techniques and procedures were used. These layers are explained in further detail in the following sections.</w:t>
      </w:r>
    </w:p>
    <w:p w14:paraId="6C8A4562" w14:textId="77777777" w:rsidR="00571993" w:rsidRPr="00F94904" w:rsidRDefault="00237399" w:rsidP="00143FD2">
      <w:pPr>
        <w:rPr>
          <w:color w:val="000000" w:themeColor="text1"/>
        </w:rPr>
      </w:pPr>
      <w:r w:rsidRPr="00F94904">
        <w:rPr>
          <w:color w:val="000000" w:themeColor="text1"/>
        </w:rPr>
        <w:t xml:space="preserve">Designing the study as a cohesive whole in this way reinforces the relationship between the aim of the study and the research question, and helps the reader to understand why the selected </w:t>
      </w:r>
      <w:r w:rsidRPr="00F94904">
        <w:rPr>
          <w:color w:val="000000" w:themeColor="text1"/>
        </w:rPr>
        <w:lastRenderedPageBreak/>
        <w:t>methods are appropriate for the aim (Saunders, Lewis and Thornhill, 2023). It also helps to highlight the weaknesses in the design, as one weakness may be related to another, and the effect of the weakness will be apparent at that level.</w:t>
      </w:r>
    </w:p>
    <w:p w14:paraId="0F94C228" w14:textId="77777777" w:rsidR="00571993" w:rsidRPr="00F94904" w:rsidRDefault="00237399" w:rsidP="0098366A">
      <w:pPr>
        <w:pStyle w:val="Heading2"/>
        <w:rPr>
          <w:color w:val="000000" w:themeColor="text1"/>
        </w:rPr>
      </w:pPr>
      <w:bookmarkStart w:id="31" w:name="_Toc241018048"/>
      <w:r w:rsidRPr="00F94904">
        <w:rPr>
          <w:color w:val="000000" w:themeColor="text1"/>
        </w:rPr>
        <w:t>3.5 Research Philosophy and Approach</w:t>
      </w:r>
      <w:bookmarkEnd w:id="31"/>
    </w:p>
    <w:p w14:paraId="58E92E41" w14:textId="77777777" w:rsidR="00571993" w:rsidRPr="00F94904" w:rsidRDefault="00237399" w:rsidP="00143FD2">
      <w:pPr>
        <w:rPr>
          <w:color w:val="000000" w:themeColor="text1"/>
        </w:rPr>
      </w:pPr>
      <w:r w:rsidRPr="00F94904">
        <w:rPr>
          <w:color w:val="000000" w:themeColor="text1"/>
        </w:rPr>
        <w:t>Research philosophy refers to the beliefs a researcher has regarding the nature of knowledge and the world that underlie the researcher’s later decisions (Saunders, Lewis and Thornhill, 2023). There are three broad philosophical positions that are highlighted and contrasted in business research: positivism, interpretivism and pragmatism (Saunders, Lewis and Thornhill, 2023).</w:t>
      </w:r>
    </w:p>
    <w:p w14:paraId="04A05686" w14:textId="77777777" w:rsidR="00571993" w:rsidRPr="00F94904" w:rsidRDefault="00237399" w:rsidP="00143FD2">
      <w:pPr>
        <w:rPr>
          <w:color w:val="000000" w:themeColor="text1"/>
        </w:rPr>
      </w:pPr>
      <w:r w:rsidRPr="00F94904">
        <w:rPr>
          <w:color w:val="000000" w:themeColor="text1"/>
        </w:rPr>
        <w:t>In positivism, the researcher is expected to have an attitude of objectivity and measurability and to be detached in order to test the hypothesis and generate generalisable laws (Crotty, 1998). This is a good place for studies to measure the cause and effect, but here this position is not appropriate because it is about personal meaning, not objective measurement. Pragmatism, on the other hand, is concerned with what is effective and working on a practical level and tends to involve both qualitative and quantitative approaches to tackle a practical problem (Saunders, Lewis and Thornhill, 2023). While appealing, a mixed approach would disperse the scarce time and money of a master’s project and would distract attention from the depth called for in this study.</w:t>
      </w:r>
    </w:p>
    <w:p w14:paraId="1623FD2B" w14:textId="77777777" w:rsidR="00571993" w:rsidRPr="00F94904" w:rsidRDefault="00237399" w:rsidP="00143FD2">
      <w:pPr>
        <w:rPr>
          <w:color w:val="000000" w:themeColor="text1"/>
        </w:rPr>
      </w:pPr>
      <w:r w:rsidRPr="00F94904">
        <w:rPr>
          <w:color w:val="000000" w:themeColor="text1"/>
        </w:rPr>
        <w:t>It was therefore decided to use interpretivism. Interpretivism is based on the premise that reality is socially constructed and that people experience the same situation differently (Crotty, 1998). Meanings that people give to their experiences are what is created, and the researcher’s job is to understand the meanings, not to measure them (Saunders, Lewis and Thornhill, 2023). This position aligns with the goal of the study: to identify how employees experience WLB policies on an individual level and the impact of WLB policies on employee well-being, engagement and intention to leave.</w:t>
      </w:r>
    </w:p>
    <w:p w14:paraId="7DB40DB8" w14:textId="77777777" w:rsidR="00571993" w:rsidRPr="00F94904" w:rsidRDefault="00237399" w:rsidP="00143FD2">
      <w:pPr>
        <w:rPr>
          <w:color w:val="000000" w:themeColor="text1"/>
        </w:rPr>
      </w:pPr>
      <w:r w:rsidRPr="00F94904">
        <w:rPr>
          <w:color w:val="000000" w:themeColor="text1"/>
        </w:rPr>
        <w:t xml:space="preserve">An inductive approach to theory development is also used in the study. Whereas a deductive approach is more of a theory-driven research method, an inductive approach is data-driven, whereby the researcher develops explanations and themes from the data (Saunders, Lewis and Thornhill, 2023). A study like this is best suited to an inductive logic as it is trying to open up to experience and let the new insights arise from what the participants share. At the same time, the theoretical ideas discussed in the literature review, such as spillover, job demands and </w:t>
      </w:r>
      <w:r w:rsidRPr="00F94904">
        <w:rPr>
          <w:color w:val="000000" w:themeColor="text1"/>
        </w:rPr>
        <w:lastRenderedPageBreak/>
        <w:t>resources, and engagement, provide a sensitising background that helps to focus the analysis without forcing the data into a fixed framework (Braun and Clarke, 2022). An interpretivist philosophy and an inductive approach combine to offer a coherent basis for the qualitative methods discussed below.</w:t>
      </w:r>
    </w:p>
    <w:p w14:paraId="7F7F4766" w14:textId="77777777" w:rsidR="00571993" w:rsidRPr="00F94904" w:rsidRDefault="00237399" w:rsidP="0098366A">
      <w:pPr>
        <w:pStyle w:val="Heading2"/>
        <w:rPr>
          <w:color w:val="000000" w:themeColor="text1"/>
        </w:rPr>
      </w:pPr>
      <w:bookmarkStart w:id="32" w:name="_Toc241018049"/>
      <w:r w:rsidRPr="00F94904">
        <w:rPr>
          <w:color w:val="000000" w:themeColor="text1"/>
        </w:rPr>
        <w:t>3.6 Data Collection</w:t>
      </w:r>
      <w:bookmarkEnd w:id="32"/>
    </w:p>
    <w:p w14:paraId="50E30220" w14:textId="77777777" w:rsidR="00571993" w:rsidRPr="00F94904" w:rsidRDefault="00237399" w:rsidP="00143FD2">
      <w:pPr>
        <w:rPr>
          <w:color w:val="000000" w:themeColor="text1"/>
        </w:rPr>
      </w:pPr>
      <w:r w:rsidRPr="00F94904">
        <w:rPr>
          <w:color w:val="000000" w:themeColor="text1"/>
        </w:rPr>
        <w:t>Semi-structured interviews were used to collect data. The interpretivist approach is appropriate to use in an interview because it enables the respondents to interpret their experiences in their own words and in detail, and the researcher to pursue interesting aspects of the experience (Saunders, Lewis and Thornhill, 2023). The preferred format was semi-structured over a structured or a fully unstructured format. A structured interview, which has a set of questions to be answered and little flexibility in terms of scope, would be more like a spoken questionnaire and would not allow for much depth, whilst a fully unstructured interview would allow for depth but could lead away from the research objectives. The semi-structured approach is used to balance these, having a set of open questions to use and the freedom to probe (Saunders, Lewis and Thornhill, 2023).</w:t>
      </w:r>
    </w:p>
    <w:p w14:paraId="2FD55906" w14:textId="77777777" w:rsidR="00571993" w:rsidRPr="00F94904" w:rsidRDefault="00237399" w:rsidP="00143FD2">
      <w:pPr>
        <w:rPr>
          <w:color w:val="000000" w:themeColor="text1"/>
        </w:rPr>
      </w:pPr>
      <w:r w:rsidRPr="00F94904">
        <w:rPr>
          <w:color w:val="000000" w:themeColor="text1"/>
        </w:rPr>
        <w:t>The interview guide was created directly from the research objectives and the themes that emerged from the literature review. Questions were clustered around issues of awareness of WLB policies, actual use of WLB policies on a day-to-day basis, impact on well-being and engagement, and attitudes towards remaining with their employer. The questions were open-ended, meaning that they were not leading, in order not to guide the respondent to a specific response (Saunders, Lewis and Thornhill, 2023). Follow-up prompts were created to encourage participants to go further in their answers, if appropriate.</w:t>
      </w:r>
    </w:p>
    <w:p w14:paraId="26C4F507" w14:textId="1FDE14B2" w:rsidR="00571993" w:rsidRPr="00F94904" w:rsidRDefault="00237399" w:rsidP="00143FD2">
      <w:pPr>
        <w:rPr>
          <w:color w:val="000000" w:themeColor="text1"/>
        </w:rPr>
      </w:pPr>
      <w:r w:rsidRPr="00F94904">
        <w:rPr>
          <w:color w:val="000000" w:themeColor="text1"/>
        </w:rPr>
        <w:t>The interview guide was pretested with a pilot participant to ensure that the questions were understood as intended, were clearly worded and were in an appropriate order before the main data collection. Piloting is recommended as it could uncover issues with the wording and timing of the main study before it starts (Saunders, Lewis and Thornhill, 2023). Some minor modifications to the wording were made after the pilot. With participants’ consent, interviews were audio-recorded and then transcribed in full, so that an accurate record was available for analysis. The researcher was also able to focus on listening and asking questions during the interview, instead of taking notes.</w:t>
      </w:r>
    </w:p>
    <w:p w14:paraId="25CCA591" w14:textId="77777777" w:rsidR="00143FD2" w:rsidRPr="00F94904" w:rsidRDefault="00143FD2" w:rsidP="00143FD2">
      <w:pPr>
        <w:rPr>
          <w:color w:val="000000" w:themeColor="text1"/>
        </w:rPr>
      </w:pPr>
    </w:p>
    <w:p w14:paraId="6CF8C9B5" w14:textId="77777777" w:rsidR="00571993" w:rsidRPr="00F94904" w:rsidRDefault="00237399" w:rsidP="0098366A">
      <w:pPr>
        <w:pStyle w:val="Heading2"/>
        <w:rPr>
          <w:color w:val="000000" w:themeColor="text1"/>
        </w:rPr>
      </w:pPr>
      <w:bookmarkStart w:id="33" w:name="_Toc241018050"/>
      <w:r w:rsidRPr="00F94904">
        <w:rPr>
          <w:color w:val="000000" w:themeColor="text1"/>
        </w:rPr>
        <w:lastRenderedPageBreak/>
        <w:t>3.7 Population and Sample</w:t>
      </w:r>
      <w:bookmarkEnd w:id="33"/>
    </w:p>
    <w:p w14:paraId="1F5F1F7D" w14:textId="77777777" w:rsidR="00571993" w:rsidRPr="00F94904" w:rsidRDefault="00237399" w:rsidP="00143FD2">
      <w:pPr>
        <w:rPr>
          <w:color w:val="000000" w:themeColor="text1"/>
        </w:rPr>
      </w:pPr>
      <w:r w:rsidRPr="00F94904">
        <w:rPr>
          <w:color w:val="000000" w:themeColor="text1"/>
        </w:rPr>
        <w:t>The study involves professionals from various sectors of organisations in the United Kingdom as its target population. This broad population is suitable for this research question because it asks about experiences across professional sectors, and including participants from different sectors will enable the study to explore commonalities and differences in the sectors.</w:t>
      </w:r>
    </w:p>
    <w:p w14:paraId="1F47C645" w14:textId="77777777" w:rsidR="00571993" w:rsidRPr="00F94904" w:rsidRDefault="00237399" w:rsidP="00143FD2">
      <w:pPr>
        <w:rPr>
          <w:color w:val="000000" w:themeColor="text1"/>
        </w:rPr>
      </w:pPr>
      <w:r w:rsidRPr="00F94904">
        <w:rPr>
          <w:color w:val="000000" w:themeColor="text1"/>
        </w:rPr>
        <w:t>A purposive (non-probability) sampling strategy was used. Purposive sampling is based on the logic of choosing information-rich cases instead of a statistically representative sample (Campbell et al., 2020). Purposive sampling involves careful selection of participants because they have the pertinent information or experience needed to address the research question, not random selection (Saunders, Lewis and Thornhill, 2023). This is typically the way to go in qualitative interview studies in which the objective is to capture rich and deep information from information-rich participants rather than to find a statistically representative sample. For the purposes of the study, only those who were working professionals in their organisations with some kind of WLB policy could participate and speak from experience. The participants were identified and approached via professional groups on LinkedIn and institutional networks.</w:t>
      </w:r>
    </w:p>
    <w:p w14:paraId="1F8DFFF6" w14:textId="77777777" w:rsidR="00571993" w:rsidRPr="00F94904" w:rsidRDefault="00237399" w:rsidP="00143FD2">
      <w:pPr>
        <w:rPr>
          <w:color w:val="000000" w:themeColor="text1"/>
        </w:rPr>
      </w:pPr>
      <w:r w:rsidRPr="00F94904">
        <w:rPr>
          <w:color w:val="000000" w:themeColor="text1"/>
        </w:rPr>
        <w:t>Ten subjects were selected for the study. This is in line with the recommendations for qualitative interview studies at the master’s level, where a smaller sample enables detailed and in-depth analysis, as required by the design. It does not regard sample size as a point of “data saturation” but more as an informed judgement made when the richness of the data is taken into account, along with the scope of the question (Braun and Clarke, 2021b). After considering the time available, ten rich interviews were thought to be enough to develop meaningful themes. The main issues in a relatively uniform interview set have been shown to be apparent in the first few interviews (Guest, Bunce and Johnson, 2006). Hennink and Kaiser (2022) conclude similarly to the above systematic review in a more recent review of the literature regarding sample size.</w:t>
      </w:r>
    </w:p>
    <w:p w14:paraId="25A1515E" w14:textId="36F8684B" w:rsidR="00571993" w:rsidRPr="00F94904" w:rsidRDefault="00237399" w:rsidP="00143FD2">
      <w:pPr>
        <w:rPr>
          <w:color w:val="000000" w:themeColor="text1"/>
        </w:rPr>
      </w:pPr>
      <w:r w:rsidRPr="00F94904">
        <w:rPr>
          <w:color w:val="000000" w:themeColor="text1"/>
        </w:rPr>
        <w:t>Using convenience sampling as the primary basis for selection was deliberately avoided, as this can limit the relevance and credibility of the data (Saunders, Lewis and Thornhill, 2023). If personal or professional networks were used to make initial contact, participants had to still meet the above selection criteria.</w:t>
      </w:r>
    </w:p>
    <w:p w14:paraId="72C5DD0F" w14:textId="386C316D" w:rsidR="00143FD2" w:rsidRPr="00F94904" w:rsidRDefault="00143FD2" w:rsidP="00143FD2">
      <w:pPr>
        <w:rPr>
          <w:color w:val="000000" w:themeColor="text1"/>
        </w:rPr>
      </w:pPr>
    </w:p>
    <w:p w14:paraId="29B0FC97" w14:textId="77777777" w:rsidR="00143FD2" w:rsidRPr="00F94904" w:rsidRDefault="00143FD2" w:rsidP="00143FD2">
      <w:pPr>
        <w:rPr>
          <w:color w:val="000000" w:themeColor="text1"/>
        </w:rPr>
      </w:pPr>
    </w:p>
    <w:p w14:paraId="38BB4430" w14:textId="77777777" w:rsidR="00571993" w:rsidRPr="00F94904" w:rsidRDefault="00237399" w:rsidP="0098366A">
      <w:pPr>
        <w:pStyle w:val="Heading2"/>
        <w:rPr>
          <w:color w:val="000000" w:themeColor="text1"/>
        </w:rPr>
      </w:pPr>
      <w:bookmarkStart w:id="34" w:name="_Toc241018051"/>
      <w:r w:rsidRPr="00F94904">
        <w:rPr>
          <w:color w:val="000000" w:themeColor="text1"/>
        </w:rPr>
        <w:lastRenderedPageBreak/>
        <w:t>3.8 Data Analysis</w:t>
      </w:r>
      <w:bookmarkEnd w:id="34"/>
    </w:p>
    <w:p w14:paraId="0333B265" w14:textId="77777777" w:rsidR="00571993" w:rsidRPr="00F94904" w:rsidRDefault="00237399" w:rsidP="00143FD2">
      <w:pPr>
        <w:rPr>
          <w:color w:val="000000" w:themeColor="text1"/>
        </w:rPr>
      </w:pPr>
      <w:r w:rsidRPr="00F94904">
        <w:rPr>
          <w:color w:val="000000" w:themeColor="text1"/>
        </w:rPr>
        <w:t>The reflexive thematic analysis used to analyse the interview data consists of the six phases outlined by Braun and Clarke (2006). A similar approach has been expanded into a practical guide for the reflexive version in their later work (Braun and Clarke, 2022). A recent methodological article demonstrates that a systematic thematic process can be applied to the construction of a conceptual model similar to the conceptual model presented in this study (Naeem et al., 2023). Thematic analysis is a flexible method for discovering, analysing and reporting meaningful patterns from a collection of qualitative data, which is appropriate for interpretive research in which patterns of meaning are being sought as a way of understanding experience (Braun and Clarke, 2022). The reflexive version emphasises the researcher’s active role in the creation of themes and that this role should be acknowledged rather than concealed (Braun and Clarke, 2021a).</w:t>
      </w:r>
    </w:p>
    <w:p w14:paraId="714F6EB5" w14:textId="77777777" w:rsidR="00571993" w:rsidRPr="00F94904" w:rsidRDefault="00237399" w:rsidP="00143FD2">
      <w:pPr>
        <w:rPr>
          <w:color w:val="000000" w:themeColor="text1"/>
        </w:rPr>
      </w:pPr>
      <w:r w:rsidRPr="00F94904">
        <w:rPr>
          <w:color w:val="000000" w:themeColor="text1"/>
        </w:rPr>
        <w:t>The six phases were used as described: The researcher first got to know the data by transcribing the interviews and reading the transcriptions several times. Second, initial codes were developed to identify aspects of the data pertinent to the research question. Third, codes that were related to each other were clustered together into candidate themes. Fourth, these themes were checked with the coded extracts and the entire data set to ensure that they were coherent and well supported. Fifth, every theme was well elaborated and given a name. Sixth, themes were written up and quotes taken from the interviews were used as evidence and were correlated with the literature (Braun and Clarke, 2006). A worked example published in the book shows the same step-by-step coding technique in action (Byrne, 2022). This is a systematic and transparent process while still being flexible, which helps to ensure transparency and systematicity of the analysis (Kiger and Varpio, 2020).</w:t>
      </w:r>
    </w:p>
    <w:p w14:paraId="0F57016E" w14:textId="77777777" w:rsidR="00571993" w:rsidRPr="00F94904" w:rsidRDefault="00237399" w:rsidP="00143FD2">
      <w:pPr>
        <w:rPr>
          <w:color w:val="000000" w:themeColor="text1"/>
        </w:rPr>
      </w:pPr>
      <w:r w:rsidRPr="00F94904">
        <w:rPr>
          <w:color w:val="000000" w:themeColor="text1"/>
        </w:rPr>
        <w:t>Based on the results of the literature review, five constructs were identified, namely job demands, WLB resources, emotional spillover, psychological engagement and turnover intention, which served as a thematic framework for coding. In line with the inductive and reflexive approach of the analysis, the themes developed from the participants’ accounts remained open to development in the analysis (Braun and Clarke, 2022). NVivo software was used to store transcripts, to code them and to retrieve coded extracts to assist in organising and managing the coding process. NVivo facilitates the systematic management of qualitative data, but it should not be used to replace the interpretive work of the researcher, which remains central to reflexive thematic analysis (Braun and Clarke, 2022).</w:t>
      </w:r>
    </w:p>
    <w:p w14:paraId="17DEA41E" w14:textId="77777777" w:rsidR="00571993" w:rsidRPr="00F94904" w:rsidRDefault="00237399" w:rsidP="0098366A">
      <w:pPr>
        <w:pStyle w:val="Heading2"/>
        <w:rPr>
          <w:color w:val="000000" w:themeColor="text1"/>
        </w:rPr>
      </w:pPr>
      <w:bookmarkStart w:id="35" w:name="_Toc241018052"/>
      <w:r w:rsidRPr="00F94904">
        <w:rPr>
          <w:color w:val="000000" w:themeColor="text1"/>
        </w:rPr>
        <w:lastRenderedPageBreak/>
        <w:t>3.9 Reliability and Validity</w:t>
      </w:r>
      <w:bookmarkEnd w:id="35"/>
    </w:p>
    <w:p w14:paraId="534ACD7E" w14:textId="77777777" w:rsidR="00571993" w:rsidRPr="00F94904" w:rsidRDefault="00237399" w:rsidP="00143FD2">
      <w:pPr>
        <w:rPr>
          <w:color w:val="000000" w:themeColor="text1"/>
        </w:rPr>
      </w:pPr>
      <w:r w:rsidRPr="00F94904">
        <w:rPr>
          <w:color w:val="000000" w:themeColor="text1"/>
        </w:rPr>
        <w:t>Reliability and validity were conceptualised primarily in quantitative research and cannot be directly applied to a qualitative study of subjective experience. In qualitative research, the concept of “trustworthiness” is more useful; this is composed of several criteria, including credibility, transferability, dependability, and confirmability (Lincoln and Guba, 1985). These criteria have since been applied specifically to the conduct of thematic analysis (Kiger and Varpio, 2020). The steps taken here were informed by practical guidance on how they can be met in a thematic study (Nowell et al., 2017). Similar recommendations for trustworthiness in qualitative studies supported this (Korstjens and Moser, 2018).</w:t>
      </w:r>
    </w:p>
    <w:p w14:paraId="77BA3642" w14:textId="77777777" w:rsidR="00571993" w:rsidRPr="00F94904" w:rsidRDefault="00237399" w:rsidP="00143FD2">
      <w:pPr>
        <w:rPr>
          <w:color w:val="000000" w:themeColor="text1"/>
        </w:rPr>
      </w:pPr>
      <w:r w:rsidRPr="00F94904">
        <w:rPr>
          <w:color w:val="000000" w:themeColor="text1"/>
        </w:rPr>
        <w:t>Credibility is the degree to which the results are believable and accurately represent the view of the participants. It was facilitated through the use of open, non-leading questions, audio-recording and transcribing the interviews in full, and by basing each theme on extracts from the interviews that were verbatim (Kiger and Varpio, 2020). Transferability relates to the extent to which the results are generalisable to other contexts. Due to the small and purposive sample size, the study is not statistically generalisable; rather, it is intended to offer a description of the participants and context to enable readers to assess how applicable the results are to their context (Lincoln and Guba, 1985). Dependability is related to the consistency of the process, and this was aided by the use of the clearly defined analytical process of six phases as well as the audit trail of decisions (Byrne, 2022). Confirmability is related to the question of whether the findings are influenced by the data or the researcher’s bias.</w:t>
      </w:r>
    </w:p>
    <w:p w14:paraId="3DC079DD" w14:textId="77777777" w:rsidR="00571993" w:rsidRPr="00F94904" w:rsidRDefault="00237399" w:rsidP="00143FD2">
      <w:pPr>
        <w:rPr>
          <w:color w:val="000000" w:themeColor="text1"/>
        </w:rPr>
      </w:pPr>
      <w:r w:rsidRPr="00F94904">
        <w:rPr>
          <w:color w:val="000000" w:themeColor="text1"/>
        </w:rPr>
        <w:t>As reflexive thematic analysis requires the researcher to be a necessary part of the process, reflexivity was utilised as another quality practice: the researcher maintained notes on their own assumptions and how they may influence interpretation, ensuring that the analysis remained rooted in participants’ accounts (Braun and Clarke, 2021a). The same authors have outlined this reflexive position in detail in their practical guide (Braun and Clarke, 2022). All of these steps help to build the trustworthiness of the study.</w:t>
      </w:r>
    </w:p>
    <w:p w14:paraId="1C0FDEBE" w14:textId="77777777" w:rsidR="00571993" w:rsidRPr="00F94904" w:rsidRDefault="00237399" w:rsidP="0098366A">
      <w:pPr>
        <w:pStyle w:val="Heading2"/>
        <w:rPr>
          <w:color w:val="000000" w:themeColor="text1"/>
        </w:rPr>
      </w:pPr>
      <w:bookmarkStart w:id="36" w:name="_Toc241018053"/>
      <w:r w:rsidRPr="00F94904">
        <w:rPr>
          <w:color w:val="000000" w:themeColor="text1"/>
        </w:rPr>
        <w:t>3.10 Limitations of the Research</w:t>
      </w:r>
      <w:bookmarkEnd w:id="36"/>
    </w:p>
    <w:p w14:paraId="27E0CF21" w14:textId="77777777" w:rsidR="00571993" w:rsidRPr="00F94904" w:rsidRDefault="00237399" w:rsidP="00143FD2">
      <w:pPr>
        <w:rPr>
          <w:color w:val="000000" w:themeColor="text1"/>
        </w:rPr>
      </w:pPr>
      <w:r w:rsidRPr="00F94904">
        <w:rPr>
          <w:color w:val="000000" w:themeColor="text1"/>
        </w:rPr>
        <w:t xml:space="preserve">There are some drawbacks of the selected design which should be recognised. First, the sample is small and purposive and therefore findings cannot be generalised to the wider community of professionals or sectors as a whole, as would be possible with a larger quantitative survey (Saunders, Lewis and Thornhill, 2023). The intention is not to draw statistical conclusions, but </w:t>
      </w:r>
      <w:r w:rsidRPr="00F94904">
        <w:rPr>
          <w:color w:val="000000" w:themeColor="text1"/>
        </w:rPr>
        <w:lastRenderedPageBreak/>
        <w:t>rather to gain deeper insight into the subject; hence, this is a legitimate aspect of the study and not a weakness.</w:t>
      </w:r>
    </w:p>
    <w:p w14:paraId="7676EFFD" w14:textId="77777777" w:rsidR="00571993" w:rsidRPr="00F94904" w:rsidRDefault="00237399" w:rsidP="00143FD2">
      <w:pPr>
        <w:rPr>
          <w:color w:val="000000" w:themeColor="text1"/>
        </w:rPr>
      </w:pPr>
      <w:r w:rsidRPr="00F94904">
        <w:rPr>
          <w:color w:val="000000" w:themeColor="text1"/>
        </w:rPr>
        <w:t>Second, using LinkedIn and institutional networks to recruit can create self-selection bias as those who elect to participate might be more likely to have stronger views on WLB than those who do not. This is noted so that the results are interpreted with due caution. Third, the study was cross-sectional, meaning that perceptions were captured at one point in time and therefore cannot reveal how employees’ perceptions change over time with the implementation of policy or with their own changes (Saunders, Lewis and Thornhill, 2023).</w:t>
      </w:r>
    </w:p>
    <w:p w14:paraId="4BE1B64B" w14:textId="77777777" w:rsidR="00571993" w:rsidRPr="00F94904" w:rsidRDefault="00237399" w:rsidP="00143FD2">
      <w:pPr>
        <w:rPr>
          <w:color w:val="000000" w:themeColor="text1"/>
        </w:rPr>
      </w:pPr>
      <w:r w:rsidRPr="00F94904">
        <w:rPr>
          <w:color w:val="000000" w:themeColor="text1"/>
        </w:rPr>
        <w:t>Fourth, the researcher’s interpretation is the basis for reflexive thematic analysis, which means that themes can be generated in a way that may be biased. This risk was dealt with through reflexivity and a transparent analytical process, though it is not completely eliminated (Braun and Clarke, 2022). Finally, the study was constrained by limitations in time and resources as a single-researcher master’s thesis, which influenced the sample size and scope. The restrictions are common to small-scale, qualitative research, and they do not detract from the benefits of the findings generated.</w:t>
      </w:r>
    </w:p>
    <w:p w14:paraId="2D1B3EFA" w14:textId="77777777" w:rsidR="00571993" w:rsidRPr="00F94904" w:rsidRDefault="00237399" w:rsidP="0098366A">
      <w:pPr>
        <w:pStyle w:val="Heading2"/>
        <w:rPr>
          <w:color w:val="000000" w:themeColor="text1"/>
        </w:rPr>
      </w:pPr>
      <w:bookmarkStart w:id="37" w:name="_Toc241018054"/>
      <w:r w:rsidRPr="00F94904">
        <w:rPr>
          <w:color w:val="000000" w:themeColor="text1"/>
        </w:rPr>
        <w:t>3.11 Research Ethics</w:t>
      </w:r>
      <w:bookmarkEnd w:id="37"/>
    </w:p>
    <w:p w14:paraId="094BCD99" w14:textId="51A367D7" w:rsidR="00571993" w:rsidRPr="00F94904" w:rsidRDefault="00237399" w:rsidP="00143FD2">
      <w:pPr>
        <w:rPr>
          <w:color w:val="000000" w:themeColor="text1"/>
        </w:rPr>
      </w:pPr>
      <w:r w:rsidRPr="00F94904">
        <w:rPr>
          <w:color w:val="000000" w:themeColor="text1"/>
        </w:rPr>
        <w:t>This study was carried out in accordance with the University of Wales Trinity Saint David (UWTSD) Research Ethics and Integrity Code of Practice, and prior to any data collection, formal ethical approval was obtained. Ethical practice is crucial in research involving humans, both to protect the participants and to safeguard the integrity of the results of the research (Saunders, Lewis and Thornhill, 2023).</w:t>
      </w:r>
    </w:p>
    <w:p w14:paraId="3C1B12B7" w14:textId="77777777" w:rsidR="00571993" w:rsidRPr="00F94904" w:rsidRDefault="00237399" w:rsidP="00143FD2">
      <w:pPr>
        <w:rPr>
          <w:color w:val="000000" w:themeColor="text1"/>
        </w:rPr>
      </w:pPr>
      <w:r w:rsidRPr="00F94904">
        <w:rPr>
          <w:color w:val="000000" w:themeColor="text1"/>
        </w:rPr>
        <w:t>Various precautions were taken. Participants received a participant information sheet detailing the research, their involvement and the use of their data as part of this research project, and they were asked to carefully consider this information and make a decision on participation in this study within seven days. Permission was requested in writing before interviewing, and the interviewees were given the option to participate or not. It was explained to participants that they could withdraw from the interview at any time and for up to two weeks afterwards, after which the data would be used in the analysis (Saunders, Lewis and Thornhill, 2023).</w:t>
      </w:r>
    </w:p>
    <w:p w14:paraId="75A9CFCB" w14:textId="77777777" w:rsidR="00571993" w:rsidRPr="00F94904" w:rsidRDefault="00237399" w:rsidP="00143FD2">
      <w:pPr>
        <w:rPr>
          <w:color w:val="000000" w:themeColor="text1"/>
        </w:rPr>
      </w:pPr>
      <w:r w:rsidRPr="00F94904">
        <w:rPr>
          <w:color w:val="000000" w:themeColor="text1"/>
        </w:rPr>
        <w:t xml:space="preserve">The anonymity and confidentiality of the participants were provided by assigning each participant a unique identifier (R1, R2), as well as by omitting names and other identifying information from transcripts and quotations. All data were kept in password-protected </w:t>
      </w:r>
      <w:r w:rsidRPr="00F94904">
        <w:rPr>
          <w:color w:val="000000" w:themeColor="text1"/>
        </w:rPr>
        <w:lastRenderedPageBreak/>
        <w:t>university systems, and audio recordings and transcripts were available to the researcher, and only to the supervisor if necessary. Data will be stored until the completion of the project and then removed in accordance with data-protection requirements. The aim of the questions was not to cause distress, and any participant could refuse to answer any question.</w:t>
      </w:r>
    </w:p>
    <w:p w14:paraId="0E958C5F" w14:textId="77777777" w:rsidR="00571993" w:rsidRPr="00F94904" w:rsidRDefault="00237399" w:rsidP="0098366A">
      <w:pPr>
        <w:pStyle w:val="Heading2"/>
        <w:rPr>
          <w:color w:val="000000" w:themeColor="text1"/>
        </w:rPr>
      </w:pPr>
      <w:bookmarkStart w:id="38" w:name="_Toc241018055"/>
      <w:r w:rsidRPr="00F94904">
        <w:rPr>
          <w:color w:val="000000" w:themeColor="text1"/>
        </w:rPr>
        <w:t>3.12 Chapter Summary</w:t>
      </w:r>
      <w:bookmarkEnd w:id="38"/>
    </w:p>
    <w:p w14:paraId="1A36C219" w14:textId="42C24A31" w:rsidR="00571993" w:rsidRPr="00F94904" w:rsidRDefault="00237399" w:rsidP="00143FD2">
      <w:pPr>
        <w:rPr>
          <w:color w:val="000000" w:themeColor="text1"/>
        </w:rPr>
      </w:pPr>
      <w:r w:rsidRPr="00F94904">
        <w:rPr>
          <w:color w:val="000000" w:themeColor="text1"/>
        </w:rPr>
        <w:t>In this chapter, the methodology has been explained and justified for the study. Guided by the research onion, the research is interpretivist in philosophy, inductive in approach and mono-method qualitative in design. Semi-structured interviews are conducted with ten purposively selected professionals and analysed using reflexive thematic analysis with NVivo. Quality is dealt with in terms of the four criteria of trustworthiness, and researcher reflexivity is discussed, with the main limitations of the design being clearly identified. The study follows UWTSD ethical guidelines. The results of this process are included and discussed in the next chapter.</w:t>
      </w:r>
    </w:p>
    <w:p w14:paraId="32A524E0" w14:textId="217ACC71" w:rsidR="00143FD2" w:rsidRPr="00F94904" w:rsidRDefault="00143FD2" w:rsidP="00143FD2">
      <w:pPr>
        <w:rPr>
          <w:color w:val="000000" w:themeColor="text1"/>
        </w:rPr>
      </w:pPr>
    </w:p>
    <w:p w14:paraId="7F01D274" w14:textId="77777777" w:rsidR="00143FD2" w:rsidRPr="00F94904" w:rsidRDefault="00143FD2" w:rsidP="00143FD2">
      <w:pPr>
        <w:rPr>
          <w:color w:val="000000" w:themeColor="text1"/>
        </w:rPr>
      </w:pPr>
    </w:p>
    <w:p w14:paraId="41C10BA7" w14:textId="77777777" w:rsidR="00571993" w:rsidRPr="00F94904" w:rsidRDefault="00237399" w:rsidP="00143FD2">
      <w:pPr>
        <w:rPr>
          <w:color w:val="000000" w:themeColor="text1"/>
        </w:rPr>
      </w:pPr>
      <w:r w:rsidRPr="00F94904">
        <w:rPr>
          <w:color w:val="000000" w:themeColor="text1"/>
        </w:rPr>
        <w:br w:type="page"/>
      </w:r>
    </w:p>
    <w:p w14:paraId="25E8E5F4" w14:textId="77777777" w:rsidR="00571993" w:rsidRPr="00F94904" w:rsidRDefault="00237399" w:rsidP="0098366A">
      <w:pPr>
        <w:pStyle w:val="Heading1"/>
        <w:jc w:val="both"/>
        <w:rPr>
          <w:color w:val="000000" w:themeColor="text1"/>
        </w:rPr>
      </w:pPr>
      <w:bookmarkStart w:id="39" w:name="_Toc241018056"/>
      <w:r w:rsidRPr="00F94904">
        <w:rPr>
          <w:color w:val="000000" w:themeColor="text1"/>
        </w:rPr>
        <w:lastRenderedPageBreak/>
        <w:t>Chapter Four: Findings and Discussion</w:t>
      </w:r>
      <w:bookmarkEnd w:id="39"/>
    </w:p>
    <w:p w14:paraId="72CA84C6" w14:textId="77777777" w:rsidR="00571993" w:rsidRPr="00F94904" w:rsidRDefault="00237399" w:rsidP="0098366A">
      <w:pPr>
        <w:pStyle w:val="Heading2"/>
        <w:rPr>
          <w:color w:val="000000" w:themeColor="text1"/>
        </w:rPr>
      </w:pPr>
      <w:bookmarkStart w:id="40" w:name="_Toc241018057"/>
      <w:r w:rsidRPr="00F94904">
        <w:rPr>
          <w:color w:val="000000" w:themeColor="text1"/>
        </w:rPr>
        <w:t>4.1 Introduction</w:t>
      </w:r>
      <w:bookmarkEnd w:id="40"/>
    </w:p>
    <w:p w14:paraId="64BAF647" w14:textId="63F6BC99" w:rsidR="0098366A" w:rsidRPr="00F94904" w:rsidRDefault="00FA6414" w:rsidP="00143FD2">
      <w:pPr>
        <w:rPr>
          <w:color w:val="000000" w:themeColor="text1"/>
        </w:rPr>
      </w:pPr>
      <w:r w:rsidRPr="00F94904">
        <w:rPr>
          <w:color w:val="000000" w:themeColor="text1"/>
        </w:rPr>
        <w:t>The results of this study are presented and discussed in this chapter. Following the advice for qualitative work, the findings are then linked with the discussion, with each pattern in the data described, analysed and then discussed with the literature in a continuous account (Braun and Clarke, 2022). The chapter describes the findings from 10 semi-structured interviews with individuals from four industries - healthcare, finance, technology, and creative industry - and presents the reflexive thematic analysis conducted in line with Chapter Three. The aim is to help address the focus research question: How effective are work-life balance (WLB) policies at influencing employee well-being, engagement and retention across professional sectors?</w:t>
      </w:r>
    </w:p>
    <w:p w14:paraId="19AFCFFD" w14:textId="77777777" w:rsidR="0098366A" w:rsidRPr="00F94904" w:rsidRDefault="0098366A" w:rsidP="00143FD2">
      <w:pPr>
        <w:rPr>
          <w:color w:val="000000" w:themeColor="text1"/>
        </w:rPr>
      </w:pPr>
    </w:p>
    <w:p w14:paraId="6E201AA6" w14:textId="2096FC6C" w:rsidR="00571993" w:rsidRPr="00F94904" w:rsidRDefault="00FA6414" w:rsidP="00143FD2">
      <w:pPr>
        <w:rPr>
          <w:color w:val="000000" w:themeColor="text1"/>
        </w:rPr>
      </w:pPr>
      <w:r w:rsidRPr="00F94904">
        <w:rPr>
          <w:color w:val="000000" w:themeColor="text1"/>
        </w:rPr>
        <w:t>The data were analysed to produce five themes. They are: (1) policy on paper versus policy in practice; (2) the cultural cost of using policies; (3) spillover, exhaustion and protected recovery; (4) from "all in" to "just surviving"; and (5) wanting to stay versus having to stay. Selected extracts of the interviews are used to illustrate each theme and are indented and numbered (R1 to R10). Minor verbal fillers have been deleted from the extracts to facilitate reading without changing the content. The five constructs that finish the literature review are adopted as the interpretive lens in the course of the study.</w:t>
      </w:r>
    </w:p>
    <w:p w14:paraId="60AB4F6F" w14:textId="77777777" w:rsidR="00571993" w:rsidRPr="00F94904" w:rsidRDefault="00237399" w:rsidP="0098366A">
      <w:pPr>
        <w:pStyle w:val="Heading2"/>
        <w:rPr>
          <w:color w:val="000000" w:themeColor="text1"/>
        </w:rPr>
      </w:pPr>
      <w:bookmarkStart w:id="41" w:name="_Toc241018058"/>
      <w:r w:rsidRPr="00F94904">
        <w:rPr>
          <w:color w:val="000000" w:themeColor="text1"/>
        </w:rPr>
        <w:t>4.2 Overview of the participants</w:t>
      </w:r>
      <w:bookmarkEnd w:id="41"/>
    </w:p>
    <w:p w14:paraId="518A63CF" w14:textId="530D7733" w:rsidR="009D782E" w:rsidRPr="00F94904" w:rsidRDefault="00FA6414" w:rsidP="00143FD2">
      <w:pPr>
        <w:rPr>
          <w:b/>
          <w:bCs/>
          <w:color w:val="000000" w:themeColor="text1"/>
        </w:rPr>
      </w:pPr>
      <w:r w:rsidRPr="00F94904">
        <w:rPr>
          <w:color w:val="000000" w:themeColor="text1"/>
        </w:rPr>
        <w:t>Ten professionals took part in the study. The sample was intentionally selected from a variety of sectors in order to study the common patterns as well as the differences between sectors as stated in the first research objective. The three NHS registered nurses, the two risk analysts in a large bank, the three software developers in a medium-sized software company, and the two marketing managers in a small creative agency were all interviewed. The role, tenure and typical working pattern of each one of these is summarised in Table 1. The detail is given in order for readers to evaluate the extent to which they might be generalisable to other settings (Lincoln and Guba, 1985, as discussed in Chapter Three).</w:t>
      </w:r>
    </w:p>
    <w:p w14:paraId="0DCB0D4C" w14:textId="77777777" w:rsidR="009D782E" w:rsidRPr="00F94904" w:rsidRDefault="009D782E" w:rsidP="00143FD2">
      <w:pPr>
        <w:rPr>
          <w:color w:val="000000" w:themeColor="text1"/>
        </w:rPr>
      </w:pPr>
    </w:p>
    <w:p w14:paraId="0CB72BF0" w14:textId="77777777" w:rsidR="00FA6414" w:rsidRPr="00F94904" w:rsidRDefault="00FA6414" w:rsidP="00143FD2">
      <w:pPr>
        <w:rPr>
          <w:color w:val="000000" w:themeColor="text1"/>
        </w:rPr>
      </w:pPr>
    </w:p>
    <w:p w14:paraId="27FF192C" w14:textId="0E6989AE" w:rsidR="00571993" w:rsidRPr="00F94904" w:rsidRDefault="00571993" w:rsidP="00143FD2">
      <w:pPr>
        <w:rPr>
          <w:color w:val="000000" w:themeColor="text1"/>
        </w:rPr>
      </w:pPr>
    </w:p>
    <w:p w14:paraId="2CBDA570" w14:textId="700A59AC" w:rsidR="00143FD2" w:rsidRPr="00F94904" w:rsidRDefault="00143FD2" w:rsidP="00143FD2">
      <w:pPr>
        <w:pStyle w:val="Caption"/>
        <w:keepNext/>
      </w:pPr>
      <w:bookmarkStart w:id="42" w:name="_Toc241018193"/>
      <w:r w:rsidRPr="00F94904">
        <w:t xml:space="preserve">Table </w:t>
      </w:r>
      <w:fldSimple w:instr=" SEQ Table \* ARABIC ">
        <w:r w:rsidRPr="00F94904">
          <w:rPr>
            <w:noProof/>
          </w:rPr>
          <w:t>1</w:t>
        </w:r>
      </w:fldSimple>
      <w:r w:rsidRPr="00F94904">
        <w:t xml:space="preserve"> Profile of the interview participants</w:t>
      </w:r>
      <w:bookmarkEnd w:id="42"/>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0"/>
        <w:gridCol w:w="1500"/>
        <w:gridCol w:w="2620"/>
        <w:gridCol w:w="1100"/>
        <w:gridCol w:w="3100"/>
      </w:tblGrid>
      <w:tr w:rsidR="00F94904" w:rsidRPr="00F94904" w14:paraId="030EF29A" w14:textId="77777777">
        <w:trPr>
          <w:tblHeader/>
        </w:trPr>
        <w:tc>
          <w:tcPr>
            <w:tcW w:w="720" w:type="dxa"/>
            <w:shd w:val="clear" w:color="auto" w:fill="D9D9D9"/>
            <w:tcMar>
              <w:top w:w="40" w:type="dxa"/>
              <w:left w:w="80" w:type="dxa"/>
              <w:bottom w:w="40" w:type="dxa"/>
              <w:right w:w="80" w:type="dxa"/>
            </w:tcMar>
          </w:tcPr>
          <w:p w14:paraId="0075639C" w14:textId="77777777" w:rsidR="00571993" w:rsidRPr="00F94904" w:rsidRDefault="00237399" w:rsidP="00143FD2">
            <w:pPr>
              <w:rPr>
                <w:color w:val="000000" w:themeColor="text1"/>
              </w:rPr>
            </w:pPr>
            <w:r w:rsidRPr="00F94904">
              <w:rPr>
                <w:color w:val="000000" w:themeColor="text1"/>
              </w:rPr>
              <w:t>ID</w:t>
            </w:r>
          </w:p>
        </w:tc>
        <w:tc>
          <w:tcPr>
            <w:tcW w:w="1500" w:type="dxa"/>
            <w:shd w:val="clear" w:color="auto" w:fill="D9D9D9"/>
            <w:tcMar>
              <w:top w:w="40" w:type="dxa"/>
              <w:left w:w="80" w:type="dxa"/>
              <w:bottom w:w="40" w:type="dxa"/>
              <w:right w:w="80" w:type="dxa"/>
            </w:tcMar>
          </w:tcPr>
          <w:p w14:paraId="327B1B1C" w14:textId="77777777" w:rsidR="00571993" w:rsidRPr="00F94904" w:rsidRDefault="00237399" w:rsidP="00143FD2">
            <w:pPr>
              <w:rPr>
                <w:color w:val="000000" w:themeColor="text1"/>
              </w:rPr>
            </w:pPr>
            <w:r w:rsidRPr="00F94904">
              <w:rPr>
                <w:color w:val="000000" w:themeColor="text1"/>
              </w:rPr>
              <w:t>Sector</w:t>
            </w:r>
          </w:p>
        </w:tc>
        <w:tc>
          <w:tcPr>
            <w:tcW w:w="2620" w:type="dxa"/>
            <w:shd w:val="clear" w:color="auto" w:fill="D9D9D9"/>
            <w:tcMar>
              <w:top w:w="40" w:type="dxa"/>
              <w:left w:w="80" w:type="dxa"/>
              <w:bottom w:w="40" w:type="dxa"/>
              <w:right w:w="80" w:type="dxa"/>
            </w:tcMar>
          </w:tcPr>
          <w:p w14:paraId="37CBC6EF" w14:textId="77777777" w:rsidR="00571993" w:rsidRPr="00F94904" w:rsidRDefault="00237399" w:rsidP="00143FD2">
            <w:pPr>
              <w:rPr>
                <w:color w:val="000000" w:themeColor="text1"/>
              </w:rPr>
            </w:pPr>
            <w:r w:rsidRPr="00F94904">
              <w:rPr>
                <w:color w:val="000000" w:themeColor="text1"/>
              </w:rPr>
              <w:t>Role</w:t>
            </w:r>
          </w:p>
        </w:tc>
        <w:tc>
          <w:tcPr>
            <w:tcW w:w="1100" w:type="dxa"/>
            <w:shd w:val="clear" w:color="auto" w:fill="D9D9D9"/>
            <w:tcMar>
              <w:top w:w="40" w:type="dxa"/>
              <w:left w:w="80" w:type="dxa"/>
              <w:bottom w:w="40" w:type="dxa"/>
              <w:right w:w="80" w:type="dxa"/>
            </w:tcMar>
          </w:tcPr>
          <w:p w14:paraId="1F9B81ED" w14:textId="77777777" w:rsidR="00571993" w:rsidRPr="00F94904" w:rsidRDefault="00237399" w:rsidP="00143FD2">
            <w:pPr>
              <w:rPr>
                <w:color w:val="000000" w:themeColor="text1"/>
              </w:rPr>
            </w:pPr>
            <w:r w:rsidRPr="00F94904">
              <w:rPr>
                <w:color w:val="000000" w:themeColor="text1"/>
              </w:rPr>
              <w:t>Tenure</w:t>
            </w:r>
          </w:p>
        </w:tc>
        <w:tc>
          <w:tcPr>
            <w:tcW w:w="3100" w:type="dxa"/>
            <w:shd w:val="clear" w:color="auto" w:fill="D9D9D9"/>
            <w:tcMar>
              <w:top w:w="40" w:type="dxa"/>
              <w:left w:w="80" w:type="dxa"/>
              <w:bottom w:w="40" w:type="dxa"/>
              <w:right w:w="80" w:type="dxa"/>
            </w:tcMar>
          </w:tcPr>
          <w:p w14:paraId="2BD41AA5" w14:textId="77777777" w:rsidR="00571993" w:rsidRPr="00F94904" w:rsidRDefault="00237399" w:rsidP="00143FD2">
            <w:pPr>
              <w:rPr>
                <w:color w:val="000000" w:themeColor="text1"/>
              </w:rPr>
            </w:pPr>
            <w:r w:rsidRPr="00F94904">
              <w:rPr>
                <w:color w:val="000000" w:themeColor="text1"/>
              </w:rPr>
              <w:t>Typical working week</w:t>
            </w:r>
          </w:p>
        </w:tc>
      </w:tr>
      <w:tr w:rsidR="00F94904" w:rsidRPr="00F94904" w14:paraId="6DAEDF39" w14:textId="77777777">
        <w:tc>
          <w:tcPr>
            <w:tcW w:w="720" w:type="dxa"/>
            <w:tcMar>
              <w:top w:w="40" w:type="dxa"/>
              <w:left w:w="80" w:type="dxa"/>
              <w:bottom w:w="40" w:type="dxa"/>
              <w:right w:w="80" w:type="dxa"/>
            </w:tcMar>
          </w:tcPr>
          <w:p w14:paraId="6F7DBC6F" w14:textId="77777777" w:rsidR="00571993" w:rsidRPr="00F94904" w:rsidRDefault="00237399" w:rsidP="00143FD2">
            <w:pPr>
              <w:rPr>
                <w:color w:val="000000" w:themeColor="text1"/>
              </w:rPr>
            </w:pPr>
            <w:r w:rsidRPr="00F94904">
              <w:rPr>
                <w:color w:val="000000" w:themeColor="text1"/>
              </w:rPr>
              <w:t>R1</w:t>
            </w:r>
          </w:p>
        </w:tc>
        <w:tc>
          <w:tcPr>
            <w:tcW w:w="1500" w:type="dxa"/>
            <w:tcMar>
              <w:top w:w="40" w:type="dxa"/>
              <w:left w:w="80" w:type="dxa"/>
              <w:bottom w:w="40" w:type="dxa"/>
              <w:right w:w="80" w:type="dxa"/>
            </w:tcMar>
          </w:tcPr>
          <w:p w14:paraId="45B2DAE6" w14:textId="77777777" w:rsidR="00571993" w:rsidRPr="00F94904" w:rsidRDefault="00237399" w:rsidP="00143FD2">
            <w:pPr>
              <w:rPr>
                <w:color w:val="000000" w:themeColor="text1"/>
              </w:rPr>
            </w:pPr>
            <w:r w:rsidRPr="00F94904">
              <w:rPr>
                <w:color w:val="000000" w:themeColor="text1"/>
              </w:rPr>
              <w:t>Healthcare (NHS)</w:t>
            </w:r>
          </w:p>
        </w:tc>
        <w:tc>
          <w:tcPr>
            <w:tcW w:w="2620" w:type="dxa"/>
            <w:tcMar>
              <w:top w:w="40" w:type="dxa"/>
              <w:left w:w="80" w:type="dxa"/>
              <w:bottom w:w="40" w:type="dxa"/>
              <w:right w:w="80" w:type="dxa"/>
            </w:tcMar>
          </w:tcPr>
          <w:p w14:paraId="79847B99" w14:textId="77777777" w:rsidR="00571993" w:rsidRPr="00F94904" w:rsidRDefault="00237399" w:rsidP="00143FD2">
            <w:pPr>
              <w:rPr>
                <w:color w:val="000000" w:themeColor="text1"/>
              </w:rPr>
            </w:pPr>
            <w:r w:rsidRPr="00F94904">
              <w:rPr>
                <w:color w:val="000000" w:themeColor="text1"/>
              </w:rPr>
              <w:t>Registered nurse, acute medical ward</w:t>
            </w:r>
          </w:p>
        </w:tc>
        <w:tc>
          <w:tcPr>
            <w:tcW w:w="1100" w:type="dxa"/>
            <w:tcMar>
              <w:top w:w="40" w:type="dxa"/>
              <w:left w:w="80" w:type="dxa"/>
              <w:bottom w:w="40" w:type="dxa"/>
              <w:right w:w="80" w:type="dxa"/>
            </w:tcMar>
          </w:tcPr>
          <w:p w14:paraId="6A8698D0" w14:textId="77777777" w:rsidR="00571993" w:rsidRPr="00F94904" w:rsidRDefault="00237399" w:rsidP="00143FD2">
            <w:pPr>
              <w:rPr>
                <w:color w:val="000000" w:themeColor="text1"/>
              </w:rPr>
            </w:pPr>
            <w:r w:rsidRPr="00F94904">
              <w:rPr>
                <w:color w:val="000000" w:themeColor="text1"/>
              </w:rPr>
              <w:t>9 years</w:t>
            </w:r>
          </w:p>
        </w:tc>
        <w:tc>
          <w:tcPr>
            <w:tcW w:w="3100" w:type="dxa"/>
            <w:tcMar>
              <w:top w:w="40" w:type="dxa"/>
              <w:left w:w="80" w:type="dxa"/>
              <w:bottom w:w="40" w:type="dxa"/>
              <w:right w:w="80" w:type="dxa"/>
            </w:tcMar>
          </w:tcPr>
          <w:p w14:paraId="48A143B2" w14:textId="314E3AD8" w:rsidR="00571993" w:rsidRPr="00F94904" w:rsidRDefault="00237399" w:rsidP="00143FD2">
            <w:pPr>
              <w:rPr>
                <w:color w:val="000000" w:themeColor="text1"/>
              </w:rPr>
            </w:pPr>
            <w:r w:rsidRPr="00F94904">
              <w:rPr>
                <w:color w:val="000000" w:themeColor="text1"/>
              </w:rPr>
              <w:t>3-4 long shifts (~12.5 hrs) plus regular overtime/bank shifts</w:t>
            </w:r>
          </w:p>
        </w:tc>
      </w:tr>
      <w:tr w:rsidR="00F94904" w:rsidRPr="00F94904" w14:paraId="6B62A044" w14:textId="77777777">
        <w:tc>
          <w:tcPr>
            <w:tcW w:w="720" w:type="dxa"/>
            <w:tcMar>
              <w:top w:w="40" w:type="dxa"/>
              <w:left w:w="80" w:type="dxa"/>
              <w:bottom w:w="40" w:type="dxa"/>
              <w:right w:w="80" w:type="dxa"/>
            </w:tcMar>
          </w:tcPr>
          <w:p w14:paraId="68B68C8F" w14:textId="77777777" w:rsidR="00571993" w:rsidRPr="00F94904" w:rsidRDefault="00237399" w:rsidP="00143FD2">
            <w:pPr>
              <w:rPr>
                <w:color w:val="000000" w:themeColor="text1"/>
              </w:rPr>
            </w:pPr>
            <w:r w:rsidRPr="00F94904">
              <w:rPr>
                <w:color w:val="000000" w:themeColor="text1"/>
              </w:rPr>
              <w:t>R2</w:t>
            </w:r>
          </w:p>
        </w:tc>
        <w:tc>
          <w:tcPr>
            <w:tcW w:w="1500" w:type="dxa"/>
            <w:tcMar>
              <w:top w:w="40" w:type="dxa"/>
              <w:left w:w="80" w:type="dxa"/>
              <w:bottom w:w="40" w:type="dxa"/>
              <w:right w:w="80" w:type="dxa"/>
            </w:tcMar>
          </w:tcPr>
          <w:p w14:paraId="3E3B37B8" w14:textId="77777777" w:rsidR="00571993" w:rsidRPr="00F94904" w:rsidRDefault="00237399" w:rsidP="00143FD2">
            <w:pPr>
              <w:rPr>
                <w:color w:val="000000" w:themeColor="text1"/>
              </w:rPr>
            </w:pPr>
            <w:r w:rsidRPr="00F94904">
              <w:rPr>
                <w:color w:val="000000" w:themeColor="text1"/>
              </w:rPr>
              <w:t>Healthcare (NHS)</w:t>
            </w:r>
          </w:p>
        </w:tc>
        <w:tc>
          <w:tcPr>
            <w:tcW w:w="2620" w:type="dxa"/>
            <w:tcMar>
              <w:top w:w="40" w:type="dxa"/>
              <w:left w:w="80" w:type="dxa"/>
              <w:bottom w:w="40" w:type="dxa"/>
              <w:right w:w="80" w:type="dxa"/>
            </w:tcMar>
          </w:tcPr>
          <w:p w14:paraId="00D56BA8" w14:textId="77777777" w:rsidR="00571993" w:rsidRPr="00F94904" w:rsidRDefault="00237399" w:rsidP="00143FD2">
            <w:pPr>
              <w:rPr>
                <w:color w:val="000000" w:themeColor="text1"/>
              </w:rPr>
            </w:pPr>
            <w:r w:rsidRPr="00F94904">
              <w:rPr>
                <w:color w:val="000000" w:themeColor="text1"/>
              </w:rPr>
              <w:t>Registered nurse, acute medical ward</w:t>
            </w:r>
          </w:p>
        </w:tc>
        <w:tc>
          <w:tcPr>
            <w:tcW w:w="1100" w:type="dxa"/>
            <w:tcMar>
              <w:top w:w="40" w:type="dxa"/>
              <w:left w:w="80" w:type="dxa"/>
              <w:bottom w:w="40" w:type="dxa"/>
              <w:right w:w="80" w:type="dxa"/>
            </w:tcMar>
          </w:tcPr>
          <w:p w14:paraId="168FCF65" w14:textId="77777777" w:rsidR="00571993" w:rsidRPr="00F94904" w:rsidRDefault="00237399" w:rsidP="00143FD2">
            <w:pPr>
              <w:rPr>
                <w:color w:val="000000" w:themeColor="text1"/>
              </w:rPr>
            </w:pPr>
            <w:r w:rsidRPr="00F94904">
              <w:rPr>
                <w:color w:val="000000" w:themeColor="text1"/>
              </w:rPr>
              <w:t>9 years</w:t>
            </w:r>
          </w:p>
        </w:tc>
        <w:tc>
          <w:tcPr>
            <w:tcW w:w="3100" w:type="dxa"/>
            <w:tcMar>
              <w:top w:w="40" w:type="dxa"/>
              <w:left w:w="80" w:type="dxa"/>
              <w:bottom w:w="40" w:type="dxa"/>
              <w:right w:w="80" w:type="dxa"/>
            </w:tcMar>
          </w:tcPr>
          <w:p w14:paraId="2614147C" w14:textId="6EDFA130" w:rsidR="00571993" w:rsidRPr="00F94904" w:rsidRDefault="00237399" w:rsidP="00143FD2">
            <w:pPr>
              <w:rPr>
                <w:color w:val="000000" w:themeColor="text1"/>
              </w:rPr>
            </w:pPr>
            <w:r w:rsidRPr="00F94904">
              <w:rPr>
                <w:color w:val="000000" w:themeColor="text1"/>
              </w:rPr>
              <w:t>3-4 long shifts plus frequent bank shifts</w:t>
            </w:r>
          </w:p>
        </w:tc>
      </w:tr>
      <w:tr w:rsidR="00F94904" w:rsidRPr="00F94904" w14:paraId="3769D5B7" w14:textId="77777777">
        <w:tc>
          <w:tcPr>
            <w:tcW w:w="720" w:type="dxa"/>
            <w:tcMar>
              <w:top w:w="40" w:type="dxa"/>
              <w:left w:w="80" w:type="dxa"/>
              <w:bottom w:w="40" w:type="dxa"/>
              <w:right w:w="80" w:type="dxa"/>
            </w:tcMar>
          </w:tcPr>
          <w:p w14:paraId="41AB3046" w14:textId="77777777" w:rsidR="00571993" w:rsidRPr="00F94904" w:rsidRDefault="00237399" w:rsidP="00143FD2">
            <w:pPr>
              <w:rPr>
                <w:color w:val="000000" w:themeColor="text1"/>
              </w:rPr>
            </w:pPr>
            <w:r w:rsidRPr="00F94904">
              <w:rPr>
                <w:color w:val="000000" w:themeColor="text1"/>
              </w:rPr>
              <w:t>R3</w:t>
            </w:r>
          </w:p>
        </w:tc>
        <w:tc>
          <w:tcPr>
            <w:tcW w:w="1500" w:type="dxa"/>
            <w:tcMar>
              <w:top w:w="40" w:type="dxa"/>
              <w:left w:w="80" w:type="dxa"/>
              <w:bottom w:w="40" w:type="dxa"/>
              <w:right w:w="80" w:type="dxa"/>
            </w:tcMar>
          </w:tcPr>
          <w:p w14:paraId="5F67CE4F" w14:textId="77777777" w:rsidR="00571993" w:rsidRPr="00F94904" w:rsidRDefault="00237399" w:rsidP="00143FD2">
            <w:pPr>
              <w:rPr>
                <w:color w:val="000000" w:themeColor="text1"/>
              </w:rPr>
            </w:pPr>
            <w:r w:rsidRPr="00F94904">
              <w:rPr>
                <w:color w:val="000000" w:themeColor="text1"/>
              </w:rPr>
              <w:t>Healthcare (NHS)</w:t>
            </w:r>
          </w:p>
        </w:tc>
        <w:tc>
          <w:tcPr>
            <w:tcW w:w="2620" w:type="dxa"/>
            <w:tcMar>
              <w:top w:w="40" w:type="dxa"/>
              <w:left w:w="80" w:type="dxa"/>
              <w:bottom w:w="40" w:type="dxa"/>
              <w:right w:w="80" w:type="dxa"/>
            </w:tcMar>
          </w:tcPr>
          <w:p w14:paraId="2C62A795" w14:textId="77777777" w:rsidR="00571993" w:rsidRPr="00F94904" w:rsidRDefault="00237399" w:rsidP="00143FD2">
            <w:pPr>
              <w:rPr>
                <w:color w:val="000000" w:themeColor="text1"/>
              </w:rPr>
            </w:pPr>
            <w:r w:rsidRPr="00F94904">
              <w:rPr>
                <w:color w:val="000000" w:themeColor="text1"/>
              </w:rPr>
              <w:t>Registered nurse, acute medical ward</w:t>
            </w:r>
          </w:p>
        </w:tc>
        <w:tc>
          <w:tcPr>
            <w:tcW w:w="1100" w:type="dxa"/>
            <w:tcMar>
              <w:top w:w="40" w:type="dxa"/>
              <w:left w:w="80" w:type="dxa"/>
              <w:bottom w:w="40" w:type="dxa"/>
              <w:right w:w="80" w:type="dxa"/>
            </w:tcMar>
          </w:tcPr>
          <w:p w14:paraId="5FC3D4C5" w14:textId="77777777" w:rsidR="00571993" w:rsidRPr="00F94904" w:rsidRDefault="00237399" w:rsidP="00143FD2">
            <w:pPr>
              <w:rPr>
                <w:color w:val="000000" w:themeColor="text1"/>
              </w:rPr>
            </w:pPr>
            <w:r w:rsidRPr="00F94904">
              <w:rPr>
                <w:color w:val="000000" w:themeColor="text1"/>
              </w:rPr>
              <w:t>9 years</w:t>
            </w:r>
          </w:p>
        </w:tc>
        <w:tc>
          <w:tcPr>
            <w:tcW w:w="3100" w:type="dxa"/>
            <w:tcMar>
              <w:top w:w="40" w:type="dxa"/>
              <w:left w:w="80" w:type="dxa"/>
              <w:bottom w:w="40" w:type="dxa"/>
              <w:right w:w="80" w:type="dxa"/>
            </w:tcMar>
          </w:tcPr>
          <w:p w14:paraId="76C67B01" w14:textId="3387A58A" w:rsidR="00571993" w:rsidRPr="00F94904" w:rsidRDefault="00237399" w:rsidP="00143FD2">
            <w:pPr>
              <w:rPr>
                <w:color w:val="000000" w:themeColor="text1"/>
              </w:rPr>
            </w:pPr>
            <w:r w:rsidRPr="00F94904">
              <w:rPr>
                <w:color w:val="000000" w:themeColor="text1"/>
              </w:rPr>
              <w:t>3-4 long shifts plus overtime</w:t>
            </w:r>
          </w:p>
        </w:tc>
      </w:tr>
      <w:tr w:rsidR="00F94904" w:rsidRPr="00F94904" w14:paraId="5193769F" w14:textId="77777777">
        <w:tc>
          <w:tcPr>
            <w:tcW w:w="720" w:type="dxa"/>
            <w:tcMar>
              <w:top w:w="40" w:type="dxa"/>
              <w:left w:w="80" w:type="dxa"/>
              <w:bottom w:w="40" w:type="dxa"/>
              <w:right w:w="80" w:type="dxa"/>
            </w:tcMar>
          </w:tcPr>
          <w:p w14:paraId="7238AD29" w14:textId="77777777" w:rsidR="00571993" w:rsidRPr="00F94904" w:rsidRDefault="00237399" w:rsidP="00143FD2">
            <w:pPr>
              <w:rPr>
                <w:color w:val="000000" w:themeColor="text1"/>
              </w:rPr>
            </w:pPr>
            <w:r w:rsidRPr="00F94904">
              <w:rPr>
                <w:color w:val="000000" w:themeColor="text1"/>
              </w:rPr>
              <w:t>R4</w:t>
            </w:r>
          </w:p>
        </w:tc>
        <w:tc>
          <w:tcPr>
            <w:tcW w:w="1500" w:type="dxa"/>
            <w:tcMar>
              <w:top w:w="40" w:type="dxa"/>
              <w:left w:w="80" w:type="dxa"/>
              <w:bottom w:w="40" w:type="dxa"/>
              <w:right w:w="80" w:type="dxa"/>
            </w:tcMar>
          </w:tcPr>
          <w:p w14:paraId="0357FC61" w14:textId="77777777" w:rsidR="00571993" w:rsidRPr="00F94904" w:rsidRDefault="00237399" w:rsidP="00143FD2">
            <w:pPr>
              <w:rPr>
                <w:color w:val="000000" w:themeColor="text1"/>
              </w:rPr>
            </w:pPr>
            <w:r w:rsidRPr="00F94904">
              <w:rPr>
                <w:color w:val="000000" w:themeColor="text1"/>
              </w:rPr>
              <w:t>Finance</w:t>
            </w:r>
          </w:p>
        </w:tc>
        <w:tc>
          <w:tcPr>
            <w:tcW w:w="2620" w:type="dxa"/>
            <w:tcMar>
              <w:top w:w="40" w:type="dxa"/>
              <w:left w:w="80" w:type="dxa"/>
              <w:bottom w:w="40" w:type="dxa"/>
              <w:right w:w="80" w:type="dxa"/>
            </w:tcMar>
          </w:tcPr>
          <w:p w14:paraId="6179B9BA" w14:textId="77777777" w:rsidR="00571993" w:rsidRPr="00F94904" w:rsidRDefault="00237399" w:rsidP="00143FD2">
            <w:pPr>
              <w:rPr>
                <w:color w:val="000000" w:themeColor="text1"/>
              </w:rPr>
            </w:pPr>
            <w:r w:rsidRPr="00F94904">
              <w:rPr>
                <w:color w:val="000000" w:themeColor="text1"/>
              </w:rPr>
              <w:t>Risk analyst, large bank</w:t>
            </w:r>
          </w:p>
        </w:tc>
        <w:tc>
          <w:tcPr>
            <w:tcW w:w="1100" w:type="dxa"/>
            <w:tcMar>
              <w:top w:w="40" w:type="dxa"/>
              <w:left w:w="80" w:type="dxa"/>
              <w:bottom w:w="40" w:type="dxa"/>
              <w:right w:w="80" w:type="dxa"/>
            </w:tcMar>
          </w:tcPr>
          <w:p w14:paraId="15D70005" w14:textId="77777777" w:rsidR="00571993" w:rsidRPr="00F94904" w:rsidRDefault="00237399" w:rsidP="00143FD2">
            <w:pPr>
              <w:rPr>
                <w:color w:val="000000" w:themeColor="text1"/>
              </w:rPr>
            </w:pPr>
            <w:r w:rsidRPr="00F94904">
              <w:rPr>
                <w:color w:val="000000" w:themeColor="text1"/>
              </w:rPr>
              <w:t>11 years</w:t>
            </w:r>
          </w:p>
        </w:tc>
        <w:tc>
          <w:tcPr>
            <w:tcW w:w="3100" w:type="dxa"/>
            <w:tcMar>
              <w:top w:w="40" w:type="dxa"/>
              <w:left w:w="80" w:type="dxa"/>
              <w:bottom w:w="40" w:type="dxa"/>
              <w:right w:w="80" w:type="dxa"/>
            </w:tcMar>
          </w:tcPr>
          <w:p w14:paraId="7428856C" w14:textId="26655280" w:rsidR="00571993" w:rsidRPr="00F94904" w:rsidRDefault="00237399" w:rsidP="00143FD2">
            <w:pPr>
              <w:rPr>
                <w:color w:val="000000" w:themeColor="text1"/>
              </w:rPr>
            </w:pPr>
            <w:r w:rsidRPr="00F94904">
              <w:rPr>
                <w:color w:val="000000" w:themeColor="text1"/>
              </w:rPr>
              <w:t>52-55 hrs; 3 office days, more at quarter end</w:t>
            </w:r>
          </w:p>
        </w:tc>
      </w:tr>
      <w:tr w:rsidR="00F94904" w:rsidRPr="00F94904" w14:paraId="7A273F05" w14:textId="77777777">
        <w:tc>
          <w:tcPr>
            <w:tcW w:w="720" w:type="dxa"/>
            <w:tcMar>
              <w:top w:w="40" w:type="dxa"/>
              <w:left w:w="80" w:type="dxa"/>
              <w:bottom w:w="40" w:type="dxa"/>
              <w:right w:w="80" w:type="dxa"/>
            </w:tcMar>
          </w:tcPr>
          <w:p w14:paraId="213A8B4E" w14:textId="77777777" w:rsidR="00571993" w:rsidRPr="00F94904" w:rsidRDefault="00237399" w:rsidP="00143FD2">
            <w:pPr>
              <w:rPr>
                <w:color w:val="000000" w:themeColor="text1"/>
              </w:rPr>
            </w:pPr>
            <w:r w:rsidRPr="00F94904">
              <w:rPr>
                <w:color w:val="000000" w:themeColor="text1"/>
              </w:rPr>
              <w:t>R5</w:t>
            </w:r>
          </w:p>
        </w:tc>
        <w:tc>
          <w:tcPr>
            <w:tcW w:w="1500" w:type="dxa"/>
            <w:tcMar>
              <w:top w:w="40" w:type="dxa"/>
              <w:left w:w="80" w:type="dxa"/>
              <w:bottom w:w="40" w:type="dxa"/>
              <w:right w:w="80" w:type="dxa"/>
            </w:tcMar>
          </w:tcPr>
          <w:p w14:paraId="5DFEE522" w14:textId="77777777" w:rsidR="00571993" w:rsidRPr="00F94904" w:rsidRDefault="00237399" w:rsidP="00143FD2">
            <w:pPr>
              <w:rPr>
                <w:color w:val="000000" w:themeColor="text1"/>
              </w:rPr>
            </w:pPr>
            <w:r w:rsidRPr="00F94904">
              <w:rPr>
                <w:color w:val="000000" w:themeColor="text1"/>
              </w:rPr>
              <w:t>Finance</w:t>
            </w:r>
          </w:p>
        </w:tc>
        <w:tc>
          <w:tcPr>
            <w:tcW w:w="2620" w:type="dxa"/>
            <w:tcMar>
              <w:top w:w="40" w:type="dxa"/>
              <w:left w:w="80" w:type="dxa"/>
              <w:bottom w:w="40" w:type="dxa"/>
              <w:right w:w="80" w:type="dxa"/>
            </w:tcMar>
          </w:tcPr>
          <w:p w14:paraId="16A9333A" w14:textId="77777777" w:rsidR="00571993" w:rsidRPr="00F94904" w:rsidRDefault="00237399" w:rsidP="00143FD2">
            <w:pPr>
              <w:rPr>
                <w:color w:val="000000" w:themeColor="text1"/>
              </w:rPr>
            </w:pPr>
            <w:r w:rsidRPr="00F94904">
              <w:rPr>
                <w:color w:val="000000" w:themeColor="text1"/>
              </w:rPr>
              <w:t>Risk analyst, large bank</w:t>
            </w:r>
          </w:p>
        </w:tc>
        <w:tc>
          <w:tcPr>
            <w:tcW w:w="1100" w:type="dxa"/>
            <w:tcMar>
              <w:top w:w="40" w:type="dxa"/>
              <w:left w:w="80" w:type="dxa"/>
              <w:bottom w:w="40" w:type="dxa"/>
              <w:right w:w="80" w:type="dxa"/>
            </w:tcMar>
          </w:tcPr>
          <w:p w14:paraId="741F04CB" w14:textId="77777777" w:rsidR="00571993" w:rsidRPr="00F94904" w:rsidRDefault="00237399" w:rsidP="00143FD2">
            <w:pPr>
              <w:rPr>
                <w:color w:val="000000" w:themeColor="text1"/>
              </w:rPr>
            </w:pPr>
            <w:r w:rsidRPr="00F94904">
              <w:rPr>
                <w:color w:val="000000" w:themeColor="text1"/>
              </w:rPr>
              <w:t>11 years</w:t>
            </w:r>
          </w:p>
        </w:tc>
        <w:tc>
          <w:tcPr>
            <w:tcW w:w="3100" w:type="dxa"/>
            <w:tcMar>
              <w:top w:w="40" w:type="dxa"/>
              <w:left w:w="80" w:type="dxa"/>
              <w:bottom w:w="40" w:type="dxa"/>
              <w:right w:w="80" w:type="dxa"/>
            </w:tcMar>
          </w:tcPr>
          <w:p w14:paraId="6507DFF2" w14:textId="56047C4C" w:rsidR="00571993" w:rsidRPr="00F94904" w:rsidRDefault="00237399" w:rsidP="00143FD2">
            <w:pPr>
              <w:rPr>
                <w:color w:val="000000" w:themeColor="text1"/>
              </w:rPr>
            </w:pPr>
            <w:r w:rsidRPr="00F94904">
              <w:rPr>
                <w:color w:val="000000" w:themeColor="text1"/>
              </w:rPr>
              <w:t>50-55 hrs; hybrid, heavier at reporting periods</w:t>
            </w:r>
          </w:p>
        </w:tc>
      </w:tr>
      <w:tr w:rsidR="00F94904" w:rsidRPr="00F94904" w14:paraId="7E87F83A" w14:textId="77777777">
        <w:tc>
          <w:tcPr>
            <w:tcW w:w="720" w:type="dxa"/>
            <w:tcMar>
              <w:top w:w="40" w:type="dxa"/>
              <w:left w:w="80" w:type="dxa"/>
              <w:bottom w:w="40" w:type="dxa"/>
              <w:right w:w="80" w:type="dxa"/>
            </w:tcMar>
          </w:tcPr>
          <w:p w14:paraId="4EA9A989" w14:textId="77777777" w:rsidR="00571993" w:rsidRPr="00F94904" w:rsidRDefault="00237399" w:rsidP="00143FD2">
            <w:pPr>
              <w:rPr>
                <w:color w:val="000000" w:themeColor="text1"/>
              </w:rPr>
            </w:pPr>
            <w:r w:rsidRPr="00F94904">
              <w:rPr>
                <w:color w:val="000000" w:themeColor="text1"/>
              </w:rPr>
              <w:t>R6</w:t>
            </w:r>
          </w:p>
        </w:tc>
        <w:tc>
          <w:tcPr>
            <w:tcW w:w="1500" w:type="dxa"/>
            <w:tcMar>
              <w:top w:w="40" w:type="dxa"/>
              <w:left w:w="80" w:type="dxa"/>
              <w:bottom w:w="40" w:type="dxa"/>
              <w:right w:w="80" w:type="dxa"/>
            </w:tcMar>
          </w:tcPr>
          <w:p w14:paraId="5DD9DD63" w14:textId="77777777" w:rsidR="00571993" w:rsidRPr="00F94904" w:rsidRDefault="00237399" w:rsidP="00143FD2">
            <w:pPr>
              <w:rPr>
                <w:color w:val="000000" w:themeColor="text1"/>
              </w:rPr>
            </w:pPr>
            <w:r w:rsidRPr="00F94904">
              <w:rPr>
                <w:color w:val="000000" w:themeColor="text1"/>
              </w:rPr>
              <w:t>Technology</w:t>
            </w:r>
          </w:p>
        </w:tc>
        <w:tc>
          <w:tcPr>
            <w:tcW w:w="2620" w:type="dxa"/>
            <w:tcMar>
              <w:top w:w="40" w:type="dxa"/>
              <w:left w:w="80" w:type="dxa"/>
              <w:bottom w:w="40" w:type="dxa"/>
              <w:right w:w="80" w:type="dxa"/>
            </w:tcMar>
          </w:tcPr>
          <w:p w14:paraId="0A0EF908" w14:textId="77777777" w:rsidR="00571993" w:rsidRPr="00F94904" w:rsidRDefault="00237399" w:rsidP="00143FD2">
            <w:pPr>
              <w:rPr>
                <w:color w:val="000000" w:themeColor="text1"/>
              </w:rPr>
            </w:pPr>
            <w:r w:rsidRPr="00F94904">
              <w:rPr>
                <w:color w:val="000000" w:themeColor="text1"/>
              </w:rPr>
              <w:t>Software developer, mid-sized SaaS firm</w:t>
            </w:r>
          </w:p>
        </w:tc>
        <w:tc>
          <w:tcPr>
            <w:tcW w:w="1100" w:type="dxa"/>
            <w:tcMar>
              <w:top w:w="40" w:type="dxa"/>
              <w:left w:w="80" w:type="dxa"/>
              <w:bottom w:w="40" w:type="dxa"/>
              <w:right w:w="80" w:type="dxa"/>
            </w:tcMar>
          </w:tcPr>
          <w:p w14:paraId="7B74681E" w14:textId="77777777" w:rsidR="00571993" w:rsidRPr="00F94904" w:rsidRDefault="00237399" w:rsidP="00143FD2">
            <w:pPr>
              <w:rPr>
                <w:color w:val="000000" w:themeColor="text1"/>
              </w:rPr>
            </w:pPr>
            <w:r w:rsidRPr="00F94904">
              <w:rPr>
                <w:color w:val="000000" w:themeColor="text1"/>
              </w:rPr>
              <w:t>4 years</w:t>
            </w:r>
          </w:p>
        </w:tc>
        <w:tc>
          <w:tcPr>
            <w:tcW w:w="3100" w:type="dxa"/>
            <w:tcMar>
              <w:top w:w="40" w:type="dxa"/>
              <w:left w:w="80" w:type="dxa"/>
              <w:bottom w:w="40" w:type="dxa"/>
              <w:right w:w="80" w:type="dxa"/>
            </w:tcMar>
          </w:tcPr>
          <w:p w14:paraId="3BCB3A4A" w14:textId="77777777" w:rsidR="00571993" w:rsidRPr="00F94904" w:rsidRDefault="00237399" w:rsidP="00143FD2">
            <w:pPr>
              <w:rPr>
                <w:color w:val="000000" w:themeColor="text1"/>
              </w:rPr>
            </w:pPr>
            <w:r w:rsidRPr="00F94904">
              <w:rPr>
                <w:color w:val="000000" w:themeColor="text1"/>
              </w:rPr>
              <w:t>~40 hrs; hybrid with flexible core hours</w:t>
            </w:r>
          </w:p>
        </w:tc>
      </w:tr>
      <w:tr w:rsidR="00F94904" w:rsidRPr="00F94904" w14:paraId="79E4095B" w14:textId="77777777">
        <w:tc>
          <w:tcPr>
            <w:tcW w:w="720" w:type="dxa"/>
            <w:tcMar>
              <w:top w:w="40" w:type="dxa"/>
              <w:left w:w="80" w:type="dxa"/>
              <w:bottom w:w="40" w:type="dxa"/>
              <w:right w:w="80" w:type="dxa"/>
            </w:tcMar>
          </w:tcPr>
          <w:p w14:paraId="414AD6FC" w14:textId="77777777" w:rsidR="00571993" w:rsidRPr="00F94904" w:rsidRDefault="00237399" w:rsidP="00143FD2">
            <w:pPr>
              <w:rPr>
                <w:color w:val="000000" w:themeColor="text1"/>
              </w:rPr>
            </w:pPr>
            <w:r w:rsidRPr="00F94904">
              <w:rPr>
                <w:color w:val="000000" w:themeColor="text1"/>
              </w:rPr>
              <w:t>R7</w:t>
            </w:r>
          </w:p>
        </w:tc>
        <w:tc>
          <w:tcPr>
            <w:tcW w:w="1500" w:type="dxa"/>
            <w:tcMar>
              <w:top w:w="40" w:type="dxa"/>
              <w:left w:w="80" w:type="dxa"/>
              <w:bottom w:w="40" w:type="dxa"/>
              <w:right w:w="80" w:type="dxa"/>
            </w:tcMar>
          </w:tcPr>
          <w:p w14:paraId="6F265C95" w14:textId="77777777" w:rsidR="00571993" w:rsidRPr="00F94904" w:rsidRDefault="00237399" w:rsidP="00143FD2">
            <w:pPr>
              <w:rPr>
                <w:color w:val="000000" w:themeColor="text1"/>
              </w:rPr>
            </w:pPr>
            <w:r w:rsidRPr="00F94904">
              <w:rPr>
                <w:color w:val="000000" w:themeColor="text1"/>
              </w:rPr>
              <w:t>Technology</w:t>
            </w:r>
          </w:p>
        </w:tc>
        <w:tc>
          <w:tcPr>
            <w:tcW w:w="2620" w:type="dxa"/>
            <w:tcMar>
              <w:top w:w="40" w:type="dxa"/>
              <w:left w:w="80" w:type="dxa"/>
              <w:bottom w:w="40" w:type="dxa"/>
              <w:right w:w="80" w:type="dxa"/>
            </w:tcMar>
          </w:tcPr>
          <w:p w14:paraId="2DBAB492" w14:textId="77777777" w:rsidR="00571993" w:rsidRPr="00F94904" w:rsidRDefault="00237399" w:rsidP="00143FD2">
            <w:pPr>
              <w:rPr>
                <w:color w:val="000000" w:themeColor="text1"/>
              </w:rPr>
            </w:pPr>
            <w:r w:rsidRPr="00F94904">
              <w:rPr>
                <w:color w:val="000000" w:themeColor="text1"/>
              </w:rPr>
              <w:t>Software developer, mid-sized SaaS firm</w:t>
            </w:r>
          </w:p>
        </w:tc>
        <w:tc>
          <w:tcPr>
            <w:tcW w:w="1100" w:type="dxa"/>
            <w:tcMar>
              <w:top w:w="40" w:type="dxa"/>
              <w:left w:w="80" w:type="dxa"/>
              <w:bottom w:w="40" w:type="dxa"/>
              <w:right w:w="80" w:type="dxa"/>
            </w:tcMar>
          </w:tcPr>
          <w:p w14:paraId="6EAE0301" w14:textId="77777777" w:rsidR="00571993" w:rsidRPr="00F94904" w:rsidRDefault="00237399" w:rsidP="00143FD2">
            <w:pPr>
              <w:rPr>
                <w:color w:val="000000" w:themeColor="text1"/>
              </w:rPr>
            </w:pPr>
            <w:r w:rsidRPr="00F94904">
              <w:rPr>
                <w:color w:val="000000" w:themeColor="text1"/>
              </w:rPr>
              <w:t>4 years</w:t>
            </w:r>
          </w:p>
        </w:tc>
        <w:tc>
          <w:tcPr>
            <w:tcW w:w="3100" w:type="dxa"/>
            <w:tcMar>
              <w:top w:w="40" w:type="dxa"/>
              <w:left w:w="80" w:type="dxa"/>
              <w:bottom w:w="40" w:type="dxa"/>
              <w:right w:w="80" w:type="dxa"/>
            </w:tcMar>
          </w:tcPr>
          <w:p w14:paraId="24B61F85" w14:textId="77777777" w:rsidR="00571993" w:rsidRPr="00F94904" w:rsidRDefault="00237399" w:rsidP="00143FD2">
            <w:pPr>
              <w:rPr>
                <w:color w:val="000000" w:themeColor="text1"/>
              </w:rPr>
            </w:pPr>
            <w:r w:rsidRPr="00F94904">
              <w:rPr>
                <w:color w:val="000000" w:themeColor="text1"/>
              </w:rPr>
              <w:t>~40 hrs; hybrid, three remote days</w:t>
            </w:r>
          </w:p>
        </w:tc>
      </w:tr>
      <w:tr w:rsidR="00F94904" w:rsidRPr="00F94904" w14:paraId="0B404A30" w14:textId="77777777">
        <w:tc>
          <w:tcPr>
            <w:tcW w:w="720" w:type="dxa"/>
            <w:tcMar>
              <w:top w:w="40" w:type="dxa"/>
              <w:left w:w="80" w:type="dxa"/>
              <w:bottom w:w="40" w:type="dxa"/>
              <w:right w:w="80" w:type="dxa"/>
            </w:tcMar>
          </w:tcPr>
          <w:p w14:paraId="3C47D24F" w14:textId="77777777" w:rsidR="00571993" w:rsidRPr="00F94904" w:rsidRDefault="00237399" w:rsidP="00143FD2">
            <w:pPr>
              <w:rPr>
                <w:color w:val="000000" w:themeColor="text1"/>
              </w:rPr>
            </w:pPr>
            <w:r w:rsidRPr="00F94904">
              <w:rPr>
                <w:color w:val="000000" w:themeColor="text1"/>
              </w:rPr>
              <w:t>R8</w:t>
            </w:r>
          </w:p>
        </w:tc>
        <w:tc>
          <w:tcPr>
            <w:tcW w:w="1500" w:type="dxa"/>
            <w:tcMar>
              <w:top w:w="40" w:type="dxa"/>
              <w:left w:w="80" w:type="dxa"/>
              <w:bottom w:w="40" w:type="dxa"/>
              <w:right w:w="80" w:type="dxa"/>
            </w:tcMar>
          </w:tcPr>
          <w:p w14:paraId="2A5BEA0E" w14:textId="77777777" w:rsidR="00571993" w:rsidRPr="00F94904" w:rsidRDefault="00237399" w:rsidP="00143FD2">
            <w:pPr>
              <w:rPr>
                <w:color w:val="000000" w:themeColor="text1"/>
              </w:rPr>
            </w:pPr>
            <w:r w:rsidRPr="00F94904">
              <w:rPr>
                <w:color w:val="000000" w:themeColor="text1"/>
              </w:rPr>
              <w:t>Technology</w:t>
            </w:r>
          </w:p>
        </w:tc>
        <w:tc>
          <w:tcPr>
            <w:tcW w:w="2620" w:type="dxa"/>
            <w:tcMar>
              <w:top w:w="40" w:type="dxa"/>
              <w:left w:w="80" w:type="dxa"/>
              <w:bottom w:w="40" w:type="dxa"/>
              <w:right w:w="80" w:type="dxa"/>
            </w:tcMar>
          </w:tcPr>
          <w:p w14:paraId="232EEE42" w14:textId="77777777" w:rsidR="00571993" w:rsidRPr="00F94904" w:rsidRDefault="00237399" w:rsidP="00143FD2">
            <w:pPr>
              <w:rPr>
                <w:color w:val="000000" w:themeColor="text1"/>
              </w:rPr>
            </w:pPr>
            <w:r w:rsidRPr="00F94904">
              <w:rPr>
                <w:color w:val="000000" w:themeColor="text1"/>
              </w:rPr>
              <w:t>Software developer, mid-sized SaaS firm</w:t>
            </w:r>
          </w:p>
        </w:tc>
        <w:tc>
          <w:tcPr>
            <w:tcW w:w="1100" w:type="dxa"/>
            <w:tcMar>
              <w:top w:w="40" w:type="dxa"/>
              <w:left w:w="80" w:type="dxa"/>
              <w:bottom w:w="40" w:type="dxa"/>
              <w:right w:w="80" w:type="dxa"/>
            </w:tcMar>
          </w:tcPr>
          <w:p w14:paraId="5A772547" w14:textId="77777777" w:rsidR="00571993" w:rsidRPr="00F94904" w:rsidRDefault="00237399" w:rsidP="00143FD2">
            <w:pPr>
              <w:rPr>
                <w:color w:val="000000" w:themeColor="text1"/>
              </w:rPr>
            </w:pPr>
            <w:r w:rsidRPr="00F94904">
              <w:rPr>
                <w:color w:val="000000" w:themeColor="text1"/>
              </w:rPr>
              <w:t>4 years</w:t>
            </w:r>
          </w:p>
        </w:tc>
        <w:tc>
          <w:tcPr>
            <w:tcW w:w="3100" w:type="dxa"/>
            <w:tcMar>
              <w:top w:w="40" w:type="dxa"/>
              <w:left w:w="80" w:type="dxa"/>
              <w:bottom w:w="40" w:type="dxa"/>
              <w:right w:w="80" w:type="dxa"/>
            </w:tcMar>
          </w:tcPr>
          <w:p w14:paraId="27DE03B0" w14:textId="77777777" w:rsidR="00571993" w:rsidRPr="00F94904" w:rsidRDefault="00237399" w:rsidP="00143FD2">
            <w:pPr>
              <w:rPr>
                <w:color w:val="000000" w:themeColor="text1"/>
              </w:rPr>
            </w:pPr>
            <w:r w:rsidRPr="00F94904">
              <w:rPr>
                <w:color w:val="000000" w:themeColor="text1"/>
              </w:rPr>
              <w:t>~40 hrs; hybrid with flexible core hours</w:t>
            </w:r>
          </w:p>
        </w:tc>
      </w:tr>
      <w:tr w:rsidR="00F94904" w:rsidRPr="00F94904" w14:paraId="42FD8E16" w14:textId="77777777">
        <w:tc>
          <w:tcPr>
            <w:tcW w:w="720" w:type="dxa"/>
            <w:tcMar>
              <w:top w:w="40" w:type="dxa"/>
              <w:left w:w="80" w:type="dxa"/>
              <w:bottom w:w="40" w:type="dxa"/>
              <w:right w:w="80" w:type="dxa"/>
            </w:tcMar>
          </w:tcPr>
          <w:p w14:paraId="3C6ABF59" w14:textId="77777777" w:rsidR="00571993" w:rsidRPr="00F94904" w:rsidRDefault="00237399" w:rsidP="00143FD2">
            <w:pPr>
              <w:rPr>
                <w:color w:val="000000" w:themeColor="text1"/>
              </w:rPr>
            </w:pPr>
            <w:r w:rsidRPr="00F94904">
              <w:rPr>
                <w:color w:val="000000" w:themeColor="text1"/>
              </w:rPr>
              <w:t>R9</w:t>
            </w:r>
          </w:p>
        </w:tc>
        <w:tc>
          <w:tcPr>
            <w:tcW w:w="1500" w:type="dxa"/>
            <w:tcMar>
              <w:top w:w="40" w:type="dxa"/>
              <w:left w:w="80" w:type="dxa"/>
              <w:bottom w:w="40" w:type="dxa"/>
              <w:right w:w="80" w:type="dxa"/>
            </w:tcMar>
          </w:tcPr>
          <w:p w14:paraId="663B7DBD" w14:textId="77777777" w:rsidR="00571993" w:rsidRPr="00F94904" w:rsidRDefault="00237399" w:rsidP="00143FD2">
            <w:pPr>
              <w:rPr>
                <w:color w:val="000000" w:themeColor="text1"/>
              </w:rPr>
            </w:pPr>
            <w:r w:rsidRPr="00F94904">
              <w:rPr>
                <w:color w:val="000000" w:themeColor="text1"/>
              </w:rPr>
              <w:t>Creative</w:t>
            </w:r>
          </w:p>
        </w:tc>
        <w:tc>
          <w:tcPr>
            <w:tcW w:w="2620" w:type="dxa"/>
            <w:tcMar>
              <w:top w:w="40" w:type="dxa"/>
              <w:left w:w="80" w:type="dxa"/>
              <w:bottom w:w="40" w:type="dxa"/>
              <w:right w:w="80" w:type="dxa"/>
            </w:tcMar>
          </w:tcPr>
          <w:p w14:paraId="1353B5A5" w14:textId="77777777" w:rsidR="00571993" w:rsidRPr="00F94904" w:rsidRDefault="00237399" w:rsidP="00143FD2">
            <w:pPr>
              <w:rPr>
                <w:color w:val="000000" w:themeColor="text1"/>
              </w:rPr>
            </w:pPr>
            <w:r w:rsidRPr="00F94904">
              <w:rPr>
                <w:color w:val="000000" w:themeColor="text1"/>
              </w:rPr>
              <w:t>Marketing manager, small creative agency</w:t>
            </w:r>
          </w:p>
        </w:tc>
        <w:tc>
          <w:tcPr>
            <w:tcW w:w="1100" w:type="dxa"/>
            <w:tcMar>
              <w:top w:w="40" w:type="dxa"/>
              <w:left w:w="80" w:type="dxa"/>
              <w:bottom w:w="40" w:type="dxa"/>
              <w:right w:w="80" w:type="dxa"/>
            </w:tcMar>
          </w:tcPr>
          <w:p w14:paraId="0D6C49B2" w14:textId="77777777" w:rsidR="00571993" w:rsidRPr="00F94904" w:rsidRDefault="00237399" w:rsidP="00143FD2">
            <w:pPr>
              <w:rPr>
                <w:color w:val="000000" w:themeColor="text1"/>
              </w:rPr>
            </w:pPr>
            <w:r w:rsidRPr="00F94904">
              <w:rPr>
                <w:color w:val="000000" w:themeColor="text1"/>
              </w:rPr>
              <w:t>6 years</w:t>
            </w:r>
          </w:p>
        </w:tc>
        <w:tc>
          <w:tcPr>
            <w:tcW w:w="3100" w:type="dxa"/>
            <w:tcMar>
              <w:top w:w="40" w:type="dxa"/>
              <w:left w:w="80" w:type="dxa"/>
              <w:bottom w:w="40" w:type="dxa"/>
              <w:right w:w="80" w:type="dxa"/>
            </w:tcMar>
          </w:tcPr>
          <w:p w14:paraId="0E53E179" w14:textId="69AC8B34" w:rsidR="00571993" w:rsidRPr="00F94904" w:rsidRDefault="00237399" w:rsidP="00143FD2">
            <w:pPr>
              <w:rPr>
                <w:color w:val="000000" w:themeColor="text1"/>
              </w:rPr>
            </w:pPr>
            <w:r w:rsidRPr="00F94904">
              <w:rPr>
                <w:color w:val="000000" w:themeColor="text1"/>
              </w:rPr>
              <w:t>45-50 hrs; informal flexibility, deadline-driven</w:t>
            </w:r>
          </w:p>
        </w:tc>
      </w:tr>
      <w:tr w:rsidR="00571993" w:rsidRPr="00F94904" w14:paraId="6287FC20" w14:textId="77777777">
        <w:tc>
          <w:tcPr>
            <w:tcW w:w="720" w:type="dxa"/>
            <w:tcMar>
              <w:top w:w="40" w:type="dxa"/>
              <w:left w:w="80" w:type="dxa"/>
              <w:bottom w:w="40" w:type="dxa"/>
              <w:right w:w="80" w:type="dxa"/>
            </w:tcMar>
          </w:tcPr>
          <w:p w14:paraId="1440C580" w14:textId="77777777" w:rsidR="00571993" w:rsidRPr="00F94904" w:rsidRDefault="00237399" w:rsidP="00143FD2">
            <w:pPr>
              <w:rPr>
                <w:color w:val="000000" w:themeColor="text1"/>
              </w:rPr>
            </w:pPr>
            <w:r w:rsidRPr="00F94904">
              <w:rPr>
                <w:color w:val="000000" w:themeColor="text1"/>
              </w:rPr>
              <w:t>R10</w:t>
            </w:r>
          </w:p>
        </w:tc>
        <w:tc>
          <w:tcPr>
            <w:tcW w:w="1500" w:type="dxa"/>
            <w:tcMar>
              <w:top w:w="40" w:type="dxa"/>
              <w:left w:w="80" w:type="dxa"/>
              <w:bottom w:w="40" w:type="dxa"/>
              <w:right w:w="80" w:type="dxa"/>
            </w:tcMar>
          </w:tcPr>
          <w:p w14:paraId="13E57B5F" w14:textId="77777777" w:rsidR="00571993" w:rsidRPr="00F94904" w:rsidRDefault="00237399" w:rsidP="00143FD2">
            <w:pPr>
              <w:rPr>
                <w:color w:val="000000" w:themeColor="text1"/>
              </w:rPr>
            </w:pPr>
            <w:r w:rsidRPr="00F94904">
              <w:rPr>
                <w:color w:val="000000" w:themeColor="text1"/>
              </w:rPr>
              <w:t>Creative</w:t>
            </w:r>
          </w:p>
        </w:tc>
        <w:tc>
          <w:tcPr>
            <w:tcW w:w="2620" w:type="dxa"/>
            <w:tcMar>
              <w:top w:w="40" w:type="dxa"/>
              <w:left w:w="80" w:type="dxa"/>
              <w:bottom w:w="40" w:type="dxa"/>
              <w:right w:w="80" w:type="dxa"/>
            </w:tcMar>
          </w:tcPr>
          <w:p w14:paraId="65BAA401" w14:textId="77777777" w:rsidR="00571993" w:rsidRPr="00F94904" w:rsidRDefault="00237399" w:rsidP="00143FD2">
            <w:pPr>
              <w:rPr>
                <w:color w:val="000000" w:themeColor="text1"/>
              </w:rPr>
            </w:pPr>
            <w:r w:rsidRPr="00F94904">
              <w:rPr>
                <w:color w:val="000000" w:themeColor="text1"/>
              </w:rPr>
              <w:t>Marketing manager, small creative agency</w:t>
            </w:r>
          </w:p>
        </w:tc>
        <w:tc>
          <w:tcPr>
            <w:tcW w:w="1100" w:type="dxa"/>
            <w:tcMar>
              <w:top w:w="40" w:type="dxa"/>
              <w:left w:w="80" w:type="dxa"/>
              <w:bottom w:w="40" w:type="dxa"/>
              <w:right w:w="80" w:type="dxa"/>
            </w:tcMar>
          </w:tcPr>
          <w:p w14:paraId="4432B8EB" w14:textId="77777777" w:rsidR="00571993" w:rsidRPr="00F94904" w:rsidRDefault="00237399" w:rsidP="00143FD2">
            <w:pPr>
              <w:rPr>
                <w:color w:val="000000" w:themeColor="text1"/>
              </w:rPr>
            </w:pPr>
            <w:r w:rsidRPr="00F94904">
              <w:rPr>
                <w:color w:val="000000" w:themeColor="text1"/>
              </w:rPr>
              <w:t>6 years</w:t>
            </w:r>
          </w:p>
        </w:tc>
        <w:tc>
          <w:tcPr>
            <w:tcW w:w="3100" w:type="dxa"/>
            <w:tcMar>
              <w:top w:w="40" w:type="dxa"/>
              <w:left w:w="80" w:type="dxa"/>
              <w:bottom w:w="40" w:type="dxa"/>
              <w:right w:w="80" w:type="dxa"/>
            </w:tcMar>
          </w:tcPr>
          <w:p w14:paraId="68ECE131" w14:textId="17B00E34" w:rsidR="00571993" w:rsidRPr="00F94904" w:rsidRDefault="00237399" w:rsidP="00143FD2">
            <w:pPr>
              <w:rPr>
                <w:color w:val="000000" w:themeColor="text1"/>
              </w:rPr>
            </w:pPr>
            <w:r w:rsidRPr="00F94904">
              <w:rPr>
                <w:color w:val="000000" w:themeColor="text1"/>
              </w:rPr>
              <w:t>45-50 hrs; informal flexibility, deadline-driven</w:t>
            </w:r>
          </w:p>
        </w:tc>
      </w:tr>
    </w:tbl>
    <w:p w14:paraId="15E043F9" w14:textId="72BB6775" w:rsidR="00571993" w:rsidRPr="00F94904" w:rsidRDefault="00571993" w:rsidP="00143FD2">
      <w:pPr>
        <w:rPr>
          <w:color w:val="000000" w:themeColor="text1"/>
        </w:rPr>
      </w:pPr>
    </w:p>
    <w:p w14:paraId="1A7CF1D6" w14:textId="77777777" w:rsidR="00143FD2" w:rsidRPr="00F94904" w:rsidRDefault="00143FD2" w:rsidP="00143FD2">
      <w:pPr>
        <w:rPr>
          <w:color w:val="000000" w:themeColor="text1"/>
        </w:rPr>
      </w:pPr>
    </w:p>
    <w:p w14:paraId="579C73F5" w14:textId="77777777" w:rsidR="00571993" w:rsidRPr="00F94904" w:rsidRDefault="00237399" w:rsidP="0098366A">
      <w:pPr>
        <w:pStyle w:val="Heading2"/>
        <w:rPr>
          <w:color w:val="000000" w:themeColor="text1"/>
        </w:rPr>
      </w:pPr>
      <w:bookmarkStart w:id="43" w:name="_Toc241018059"/>
      <w:r w:rsidRPr="00F94904">
        <w:rPr>
          <w:color w:val="000000" w:themeColor="text1"/>
        </w:rPr>
        <w:lastRenderedPageBreak/>
        <w:t>4.3 Theme 1: Policy on paper versus policy in practice</w:t>
      </w:r>
      <w:bookmarkEnd w:id="43"/>
    </w:p>
    <w:p w14:paraId="61B416F8" w14:textId="4FB2D1BC" w:rsidR="00922750" w:rsidRPr="00F94904" w:rsidRDefault="00922750" w:rsidP="00143FD2">
      <w:pPr>
        <w:rPr>
          <w:color w:val="000000" w:themeColor="text1"/>
        </w:rPr>
      </w:pPr>
      <w:r w:rsidRPr="00F94904">
        <w:rPr>
          <w:color w:val="000000" w:themeColor="text1"/>
        </w:rPr>
        <w:t>The most obvious finding was the difference between the policies organisations had and those that employees were able to access. All participants were able to identify a range of formal and informal WLB arrangements but experienced different journeys to these arrangements by sector. The written offer to the NHS nurses was good, but the most cherished policy never worked on the ground:</w:t>
      </w:r>
    </w:p>
    <w:p w14:paraId="7C23F08A" w14:textId="09CFE947" w:rsidR="00922750" w:rsidRPr="00F94904" w:rsidRDefault="00237399" w:rsidP="00143FD2">
      <w:pPr>
        <w:rPr>
          <w:color w:val="000000" w:themeColor="text1"/>
        </w:rPr>
      </w:pPr>
      <w:r w:rsidRPr="00F94904">
        <w:rPr>
          <w:color w:val="000000" w:themeColor="text1"/>
        </w:rPr>
        <w:t>"Flexible rostering is the obvious one. In theory it is available, but when staffing is tight your request simply gets turned down. So the policy technically exists, yet it is not something you can genuinely rely on." (R1, NHS nurse)</w:t>
      </w:r>
    </w:p>
    <w:p w14:paraId="3DBDD5F8" w14:textId="116F98A3" w:rsidR="00922750" w:rsidRPr="00F94904" w:rsidRDefault="00922750" w:rsidP="00143FD2">
      <w:pPr>
        <w:rPr>
          <w:color w:val="000000" w:themeColor="text1"/>
        </w:rPr>
      </w:pPr>
      <w:r w:rsidRPr="00F94904">
        <w:rPr>
          <w:color w:val="000000" w:themeColor="text1"/>
        </w:rPr>
        <w:t>Informal learning by the same nurses, of their entitlements, created a gap between availability and access. When asked about how he learned about it R2 replied that he primarily learned it through the internet and through his union representative rather than through his manager; "The way it's communicated is quite hit and miss." In the finance sector the opposite was true: there was no shortage of communication, but the impact was the same. Strict policies were well advertised on the HR portal which were very detailed, but some parts were not easy to use in the everyday context (R4). R4 said the right to disconnect was "strong on paper and weak in practice; leaving on time - you can but it's frowned upon culturally."</w:t>
      </w:r>
    </w:p>
    <w:p w14:paraId="666A826D" w14:textId="55711D68" w:rsidR="00922750" w:rsidRPr="00F94904" w:rsidRDefault="00922750" w:rsidP="00143FD2">
      <w:pPr>
        <w:rPr>
          <w:color w:val="000000" w:themeColor="text1"/>
        </w:rPr>
      </w:pPr>
      <w:r w:rsidRPr="00F94904">
        <w:rPr>
          <w:color w:val="000000" w:themeColor="text1"/>
        </w:rPr>
        <w:t>In the creative agency, the issue was that there was no policy at all. There was flexibility but only in an informal favour:</w:t>
      </w:r>
    </w:p>
    <w:p w14:paraId="3EC6B2C2" w14:textId="77777777" w:rsidR="00571993" w:rsidRPr="00F94904" w:rsidRDefault="00237399" w:rsidP="00143FD2">
      <w:pPr>
        <w:rPr>
          <w:color w:val="000000" w:themeColor="text1"/>
        </w:rPr>
      </w:pPr>
      <w:r w:rsidRPr="00F94904">
        <w:rPr>
          <w:color w:val="000000" w:themeColor="text1"/>
        </w:rPr>
        <w:t>"The flexibility itself is the example. It is entirely informal, so it comes down to favour rather than any actual policy. There is no document spelling out what I am entitled to, which makes it all feel arbitrary." (R9, marketing manager)</w:t>
      </w:r>
    </w:p>
    <w:p w14:paraId="76A2FAE6" w14:textId="77777777" w:rsidR="00922750" w:rsidRPr="00F94904" w:rsidRDefault="00922750" w:rsidP="00143FD2">
      <w:pPr>
        <w:rPr>
          <w:color w:val="000000" w:themeColor="text1"/>
        </w:rPr>
      </w:pPr>
      <w:r w:rsidRPr="00F94904">
        <w:rPr>
          <w:color w:val="000000" w:themeColor="text1"/>
        </w:rPr>
        <w:t>How employees initially were introduced to their entitlements also played a role in the sense of how these entitlements were felt to be usable. The nurses found their options via informal sources (union and internet) whilst the finance staff found their options via a formal HR portal and the technology staff found their options via a structured induction supported by managerial encouragement. The first objective is affected by this as it is the first step in a policy becoming a resource, where communication was patchy, employees have had to find information themselves, creating another barrier on top of the practical one. Good WLB provision requires policy and the staff who implement it but also that it is clearly and consistently communicated to those who it is intended to support.</w:t>
      </w:r>
    </w:p>
    <w:p w14:paraId="6A2D1AAA" w14:textId="244229A2" w:rsidR="0098366A" w:rsidRPr="00F94904" w:rsidRDefault="00922750" w:rsidP="00143FD2">
      <w:pPr>
        <w:rPr>
          <w:b/>
          <w:bCs/>
          <w:color w:val="000000" w:themeColor="text1"/>
        </w:rPr>
      </w:pPr>
      <w:r w:rsidRPr="00F94904">
        <w:rPr>
          <w:color w:val="000000" w:themeColor="text1"/>
        </w:rPr>
        <w:lastRenderedPageBreak/>
        <w:t>The technology firm was the only case where policy and practice coincided. It was documented, explained, and encouraged: "it was covered properly during onboarding and set out clearly in the handbook - my manager reminds people to actually use it” (R6). Based on the Job Demands-Resources model (JD-R model), the interpretation of these accounts is that a WLB policy is only a genuine resource when it can be accessed, but is neutralised when it cannot (Demerouti et al., 2001). Later expressions of the model emphasise that the buffering effects occur when the resources can actually be accessed (Bakker and Demerouti, 2017). When the job demands exceed the resources, as they did with the nurses, in this case due to chronic understaffing, the flexible rostering resource was not offset by the demands (Lesener et al., 2019). The contrast between structural availability and cultural accessibility for the literature search review is thus well substantiated by the data, and the sector pattern is echoed by previous evidence of spatial flexibility in knowledge work, and structural rigidity in frontline healthcare. This theme relates directly to the first research goal, demonstrating that determining whether a policy works is not the same as identifying a policy.</w:t>
      </w:r>
    </w:p>
    <w:p w14:paraId="3D4FD2F4" w14:textId="77777777" w:rsidR="0098366A" w:rsidRPr="00F94904" w:rsidRDefault="0098366A" w:rsidP="0098366A">
      <w:pPr>
        <w:pStyle w:val="Heading2"/>
        <w:rPr>
          <w:color w:val="000000" w:themeColor="text1"/>
        </w:rPr>
      </w:pPr>
    </w:p>
    <w:p w14:paraId="3532EFBA" w14:textId="5F64E91C" w:rsidR="00571993" w:rsidRPr="00F94904" w:rsidRDefault="00922750" w:rsidP="0098366A">
      <w:pPr>
        <w:pStyle w:val="Heading2"/>
        <w:rPr>
          <w:color w:val="000000" w:themeColor="text1"/>
        </w:rPr>
      </w:pPr>
      <w:bookmarkStart w:id="44" w:name="_Toc241018060"/>
      <w:r w:rsidRPr="00F94904">
        <w:rPr>
          <w:color w:val="000000" w:themeColor="text1"/>
        </w:rPr>
        <w:t>4.4 Theme 2: The cultural cost of using policies</w:t>
      </w:r>
      <w:bookmarkEnd w:id="44"/>
    </w:p>
    <w:p w14:paraId="285D093C" w14:textId="70ACA22E" w:rsidR="00922750" w:rsidRPr="00F94904" w:rsidRDefault="00922750" w:rsidP="00143FD2">
      <w:pPr>
        <w:rPr>
          <w:color w:val="000000" w:themeColor="text1"/>
        </w:rPr>
      </w:pPr>
      <w:r w:rsidRPr="00F94904">
        <w:rPr>
          <w:color w:val="000000" w:themeColor="text1"/>
        </w:rPr>
        <w:t>If there was a policy, implementation was not without social or emotional cost. The cost of this took various forms in the three sectors with higher pressures, being extremely pronounced in the fourth sector. For finance, the barrier was presenteeism. The formal policies were good, but a tacit rule to be seen was undermining them:</w:t>
      </w:r>
    </w:p>
    <w:p w14:paraId="3569A2D5" w14:textId="77777777" w:rsidR="00571993" w:rsidRPr="00F94904" w:rsidRDefault="00237399" w:rsidP="00143FD2">
      <w:pPr>
        <w:rPr>
          <w:color w:val="000000" w:themeColor="text1"/>
        </w:rPr>
      </w:pPr>
      <w:r w:rsidRPr="00F94904">
        <w:rPr>
          <w:color w:val="000000" w:themeColor="text1"/>
        </w:rPr>
        <w:t>"The policies themselves are fine, but there is genuine presenteeism. The senior people stay late, so there is a subtle pressure to be seen doing likewise, even when your work is finished." (R4, risk analyst)</w:t>
      </w:r>
    </w:p>
    <w:p w14:paraId="73167C86" w14:textId="2648BB34" w:rsidR="00922750" w:rsidRPr="00F94904" w:rsidRDefault="00922750" w:rsidP="00143FD2">
      <w:pPr>
        <w:rPr>
          <w:color w:val="000000" w:themeColor="text1"/>
        </w:rPr>
      </w:pPr>
      <w:r w:rsidRPr="00F94904">
        <w:rPr>
          <w:color w:val="000000" w:themeColor="text1"/>
        </w:rPr>
        <w:t>For the NHS nurses, it was a felt sense of guilt but not a risk to their livelihoods. R1 explained that her manager supports her in a way, but because of the roster, “sometimes I feel bad asking him for a day off, it's like I'm letting the team down in what he says.” The same disquiet was experienced in the creative agency: "If I log off at an appropriate time, I still feel guilty like I should be doing more" (R9). The workers in the technology sector, on the other hand, reported no such punishment:</w:t>
      </w:r>
    </w:p>
    <w:p w14:paraId="3BA58613" w14:textId="58154F8B" w:rsidR="00922750" w:rsidRPr="00F94904" w:rsidRDefault="00237399" w:rsidP="00143FD2">
      <w:pPr>
        <w:rPr>
          <w:color w:val="000000" w:themeColor="text1"/>
        </w:rPr>
      </w:pPr>
      <w:r w:rsidRPr="00F94904">
        <w:rPr>
          <w:color w:val="000000" w:themeColor="text1"/>
        </w:rPr>
        <w:t>"Completely normal. There is no stigma at all. The managers work flexibly themselves, so it feels safe rather than something you have to justify." (R6, software developer)</w:t>
      </w:r>
    </w:p>
    <w:p w14:paraId="084E5316" w14:textId="4EE6DE46" w:rsidR="00AC7F43" w:rsidRPr="00F94904" w:rsidRDefault="00922750" w:rsidP="00143FD2">
      <w:pPr>
        <w:rPr>
          <w:color w:val="000000" w:themeColor="text1"/>
        </w:rPr>
      </w:pPr>
      <w:r w:rsidRPr="00F94904">
        <w:rPr>
          <w:color w:val="000000" w:themeColor="text1"/>
        </w:rPr>
        <w:lastRenderedPageBreak/>
        <w:t>These findings are congruent with Kahn's (1990) psychological safety: feel safe to use a provision without compromising one's place. When managers themselves embraced flexible working there was a perception of safety and the policy was not constrained; when the culture was based on the concept of the "ideal worker" with an emphasis on being seen and working long hours, there was a culture of the flexibility stigma (as defined in the literature by Williams, Blair-Loy and Berdahl, 2013). Experimental evidence shows such workers are judged less committed than their always-present peers (Munsch, 2016). The finance case is a textbook example; a complete resource base is being underutilised and undermined by a culture of presenteeism, and R5 captured this very well: “There may be all the policies in the world in big firms, or not, depending on the culture.” The data therefore serve to corroborate the main finding of the review that using structural provision is culturally penalised when it is deemed to be (Lott and Chung, 2016), and they directly address the second objective by demonstrating how perceptions of managerial and peer judgement can influence policy use or not.</w:t>
      </w:r>
    </w:p>
    <w:p w14:paraId="1D522B3D" w14:textId="2EFF0422" w:rsidR="00571993" w:rsidRPr="00F94904" w:rsidRDefault="00237399" w:rsidP="0098366A">
      <w:pPr>
        <w:pStyle w:val="Heading2"/>
        <w:rPr>
          <w:color w:val="000000" w:themeColor="text1"/>
        </w:rPr>
      </w:pPr>
      <w:bookmarkStart w:id="45" w:name="_Toc241018061"/>
      <w:r w:rsidRPr="00F94904">
        <w:rPr>
          <w:color w:val="000000" w:themeColor="text1"/>
        </w:rPr>
        <w:t>4.5 Theme 3: Spillover, exhaustion, and protected recovery</w:t>
      </w:r>
      <w:bookmarkEnd w:id="45"/>
    </w:p>
    <w:p w14:paraId="1FFB9A69" w14:textId="3BF028A6" w:rsidR="00922750" w:rsidRPr="00F94904" w:rsidRDefault="00922750" w:rsidP="00143FD2">
      <w:pPr>
        <w:rPr>
          <w:color w:val="000000" w:themeColor="text1"/>
        </w:rPr>
      </w:pPr>
      <w:r w:rsidRPr="00F94904">
        <w:rPr>
          <w:color w:val="000000" w:themeColor="text1"/>
        </w:rPr>
        <w:t>The third theme is about well-being, particularly the permeable boundary between the workplace and the home. Three of the four sectors had strong, and extreme, negative spillover described. Exhaustion was the most critical and was related to family relationships in the NHS accounts:</w:t>
      </w:r>
    </w:p>
    <w:p w14:paraId="7443FCC1" w14:textId="1943F80E" w:rsidR="00571993" w:rsidRPr="00F94904" w:rsidRDefault="00143FD2" w:rsidP="00143FD2">
      <w:pPr>
        <w:rPr>
          <w:color w:val="000000" w:themeColor="text1"/>
        </w:rPr>
      </w:pPr>
      <w:r w:rsidRPr="00F94904">
        <w:rPr>
          <w:color w:val="000000" w:themeColor="text1"/>
        </w:rPr>
        <w:t>“After a rough shift I just cannot wind down. I lie awake going over whether I missed anything. I end up snappy with my children because there is nothing left in the tank, and then I feel like a terrible parent on top of it all." (R2, NHS nurse)</w:t>
      </w:r>
    </w:p>
    <w:p w14:paraId="336925FB" w14:textId="327069BF" w:rsidR="00922750" w:rsidRPr="00F94904" w:rsidRDefault="00922750" w:rsidP="00143FD2">
      <w:pPr>
        <w:rPr>
          <w:color w:val="000000" w:themeColor="text1"/>
        </w:rPr>
      </w:pPr>
      <w:r w:rsidRPr="00F94904">
        <w:rPr>
          <w:color w:val="000000" w:themeColor="text1"/>
        </w:rPr>
        <w:t>Further, there was no protection for rest days, "days off do help, although I am often phoned to check if I will come in" (R3), which further undermined recovery. In finance, the spillover was centred on missing out on family time and always being reachable. While R5 appreciated the annual leave, he said, "I am still reachable on the phone, so it's not like it's a complete break; it's not really the culture that allows you to take a break." The creative manager said that he was witnessing a gradual deterioration of family life:</w:t>
      </w:r>
    </w:p>
    <w:p w14:paraId="301C14EF" w14:textId="77777777" w:rsidR="00571993" w:rsidRPr="00F94904" w:rsidRDefault="00237399" w:rsidP="00143FD2">
      <w:pPr>
        <w:rPr>
          <w:color w:val="000000" w:themeColor="text1"/>
        </w:rPr>
      </w:pPr>
      <w:r w:rsidRPr="00F94904">
        <w:rPr>
          <w:color w:val="000000" w:themeColor="text1"/>
        </w:rPr>
        <w:t>"I find myself checking emails late into the evening and struggle to switch off, and my partner has pointed out that I am there but not there at weekends. It has begun to affect our relationship." (R9, marketing manager)</w:t>
      </w:r>
    </w:p>
    <w:p w14:paraId="2D812D2D" w14:textId="1D959B28" w:rsidR="00922750" w:rsidRPr="00F94904" w:rsidRDefault="00922750" w:rsidP="00143FD2">
      <w:pPr>
        <w:rPr>
          <w:color w:val="000000" w:themeColor="text1"/>
        </w:rPr>
      </w:pPr>
      <w:r w:rsidRPr="00F94904">
        <w:rPr>
          <w:color w:val="000000" w:themeColor="text1"/>
        </w:rPr>
        <w:lastRenderedPageBreak/>
        <w:t>The workers in the technology sector once again had the counter case. Recovery was considered a shared responsibility rather than a personal choice: “I turn off notifications at night and they respect that - it's part of who we are to be recovering, not something I have to fight for” (R6) and after that big product launch “they gave us time off in lieu, and they really wanted us to take it” (R7). These accountings validated the foundation of Spillover Theory, which posits that workplace stress permeates personal life and vice versa (Staines, 1980), and the presence of actively managed boundary between workplace and personal life as posited by the Border Theory (Clark, 2000), as well as the recent evidence that unmitigated conflict harms well-being (Ratnaningsih and Idris, 2024). Importantly, the finance and creative cases show that flexibility, when taken together with an always-on culture, does not protect employees, but leaves them permanently bound (Mazmanian, Orlikowski and Yates, 2013). A diary study also related constant use of the smartphone to lower levels of detachment and increased levels of exhaustion (Derks, van Mierlo and Schmitz, 2014). It is not a question of whether there is flexibility, but whether the organisation guards the boundary needed for psychological detachment and for true recovery to happen (Sonnentag and Bayer, 2005). This theme addresses the second objective on well-being, highlighting the need to have an enforced right to disconnect to support well-being, and therefore improve it.</w:t>
      </w:r>
    </w:p>
    <w:p w14:paraId="1FAC5AC8" w14:textId="440621F6" w:rsidR="00571993" w:rsidRPr="00F94904" w:rsidRDefault="00237399" w:rsidP="0098366A">
      <w:pPr>
        <w:pStyle w:val="Heading2"/>
        <w:rPr>
          <w:color w:val="000000" w:themeColor="text1"/>
        </w:rPr>
      </w:pPr>
      <w:bookmarkStart w:id="46" w:name="_Toc241018062"/>
      <w:r w:rsidRPr="00F94904">
        <w:rPr>
          <w:color w:val="000000" w:themeColor="text1"/>
        </w:rPr>
        <w:t>4.6 Theme 4: From “all in” to “just surviving</w:t>
      </w:r>
      <w:bookmarkEnd w:id="46"/>
      <w:r w:rsidRPr="00F94904">
        <w:rPr>
          <w:color w:val="000000" w:themeColor="text1"/>
        </w:rPr>
        <w:t>”</w:t>
      </w:r>
    </w:p>
    <w:p w14:paraId="3D13782B" w14:textId="338670FC" w:rsidR="00922750" w:rsidRPr="00F94904" w:rsidRDefault="00922750" w:rsidP="00143FD2">
      <w:pPr>
        <w:rPr>
          <w:color w:val="000000" w:themeColor="text1"/>
        </w:rPr>
      </w:pPr>
      <w:r w:rsidRPr="00F94904">
        <w:rPr>
          <w:color w:val="000000" w:themeColor="text1"/>
        </w:rPr>
        <w:t>The fourth theme relates WLB to the energy and absorption that employees bring to their work (what we call engagement). To the nurses, there was an explicit dimension of conditionality in terms of whether the ward had a sufficient number of nurses:</w:t>
      </w:r>
    </w:p>
    <w:p w14:paraId="121E4D2E" w14:textId="77777777" w:rsidR="00571993" w:rsidRPr="00F94904" w:rsidRDefault="00237399" w:rsidP="00143FD2">
      <w:pPr>
        <w:rPr>
          <w:color w:val="000000" w:themeColor="text1"/>
        </w:rPr>
      </w:pPr>
      <w:r w:rsidRPr="00F94904">
        <w:rPr>
          <w:color w:val="000000" w:themeColor="text1"/>
        </w:rPr>
        <w:t>"When we are staffed properly, I am completely engaged and I will go above and beyond for my patients. When we are stretched, I am just getting through it, ticking off tasks, with far less warmth to give, which is not the nurse I want to be." (R1, NHS nurse)</w:t>
      </w:r>
    </w:p>
    <w:p w14:paraId="79F054A1" w14:textId="0C1DA4E6" w:rsidR="00922750" w:rsidRPr="00F94904" w:rsidRDefault="00922750" w:rsidP="00143FD2">
      <w:pPr>
        <w:rPr>
          <w:color w:val="000000" w:themeColor="text1"/>
        </w:rPr>
      </w:pPr>
      <w:r w:rsidRPr="00F94904">
        <w:rPr>
          <w:color w:val="000000" w:themeColor="text1"/>
        </w:rPr>
        <w:t xml:space="preserve">At its extreme, it became a detachment that was dangerous: having covered a double shift she was "totally detached, just mechanically working and watching the clock, that scared me, that's not safe in this line of work." During the busiest reporting season, the finance participants talked of a "bare minimum" (R5) and indicated they were "mentally checked out" (R5), whereas the work was "more duty than passion these days" (R4). The creative manager thought that her motivation was fading under the pressure of the always-on culture, but she also saw her own potential when she struck a balance: "When you find that balance, you come back with ideas in your head and a new level of motivation; I saw my own potential when I found that balance, </w:t>
      </w:r>
      <w:r w:rsidRPr="00F94904">
        <w:rPr>
          <w:color w:val="000000" w:themeColor="text1"/>
        </w:rPr>
        <w:lastRenderedPageBreak/>
        <w:t>and my motivation faded when I wasn't finding it" (R9). On the other side, the employees of the technology sector spoke of the opposite process:</w:t>
      </w:r>
    </w:p>
    <w:p w14:paraId="68FD86B9" w14:textId="77777777" w:rsidR="00571993" w:rsidRPr="00F94904" w:rsidRDefault="00237399" w:rsidP="00143FD2">
      <w:pPr>
        <w:rPr>
          <w:color w:val="000000" w:themeColor="text1"/>
        </w:rPr>
      </w:pPr>
      <w:r w:rsidRPr="00F94904">
        <w:rPr>
          <w:color w:val="000000" w:themeColor="text1"/>
        </w:rPr>
        <w:t>"Having the autonomy makes me want to give more. I am more absorbed in the work because I do not feel micromanaged or drained." (R6, software developer)</w:t>
      </w:r>
    </w:p>
    <w:p w14:paraId="019BE80B" w14:textId="54875C51" w:rsidR="00922750" w:rsidRPr="00F94904" w:rsidRDefault="00922750" w:rsidP="00143FD2">
      <w:pPr>
        <w:rPr>
          <w:color w:val="000000" w:themeColor="text1"/>
        </w:rPr>
      </w:pPr>
      <w:r w:rsidRPr="00F94904">
        <w:rPr>
          <w:color w:val="000000" w:themeColor="text1"/>
        </w:rPr>
        <w:t>These patterns support closely Kahn's (1990) suggestion that psychological availability (physical and emotional energy to invest in) is a necessary ingredient for engagement. When employees are exhausted, they will not be able to be there, and they will try to avoid it in order to keep themselves safe, a process that has been shown to be accurate in a later engagement scholarship (Rich, LePine and Crawford, 2010). This protective withdrawal has been shown more generally in the engagement literature (Saks, 2006). The technology company indicates that resources are effectively alleviating demands and allowing discretionary resources to be released, while the NHS company indicates that resources are being overwhelmed by demands, with engagement slipping into mere task completion (Bakker and Demerouti, 2017). Both cases are examples of the two opposing spirals in JD-R theory. In the tech company, sufficient resources and safe recovery seem to create a positive spiral of restored energy that is then, in turn, reinvested as discretionary effort; in the NHS, the never-ending need and the unprotected nature of recovery raise a depleting spiral, where recovered energy bleeds out of the process that requires it (Bakker and Demerouti, 2017). Remarkably, the nurses' comments on safety also stand out; the management of disengagement here is not only about well-being, it is also about patient safety and has a particular significance for management. The engagement half of the answer to this second objective thus comes from this theme.</w:t>
      </w:r>
    </w:p>
    <w:p w14:paraId="1720D26D" w14:textId="77777777" w:rsidR="00571993" w:rsidRPr="00F94904" w:rsidRDefault="00237399" w:rsidP="0098366A">
      <w:pPr>
        <w:pStyle w:val="Heading2"/>
        <w:rPr>
          <w:color w:val="000000" w:themeColor="text1"/>
        </w:rPr>
      </w:pPr>
      <w:bookmarkStart w:id="47" w:name="_Toc241018063"/>
      <w:r w:rsidRPr="00F94904">
        <w:rPr>
          <w:color w:val="000000" w:themeColor="text1"/>
        </w:rPr>
        <w:t>4.7 Theme 5: Wanting to stay versus having to stay</w:t>
      </w:r>
      <w:bookmarkEnd w:id="47"/>
    </w:p>
    <w:p w14:paraId="62DDF432" w14:textId="3E34211A" w:rsidR="00922750" w:rsidRPr="00F94904" w:rsidRDefault="00922750" w:rsidP="00143FD2">
      <w:pPr>
        <w:rPr>
          <w:color w:val="000000" w:themeColor="text1"/>
        </w:rPr>
      </w:pPr>
      <w:r w:rsidRPr="00F94904">
        <w:rPr>
          <w:color w:val="000000" w:themeColor="text1"/>
        </w:rPr>
        <w:t>The last theme was retention, and the data made a stark distinction between those who wished to remain and those who just found it tough to leave. The NHS nurses were actively thinking about leaving and were clear that only the cost of leaving was keeping them there:</w:t>
      </w:r>
    </w:p>
    <w:p w14:paraId="573C4081" w14:textId="77777777" w:rsidR="00571993" w:rsidRPr="00F94904" w:rsidRDefault="00237399" w:rsidP="00143FD2">
      <w:pPr>
        <w:rPr>
          <w:color w:val="000000" w:themeColor="text1"/>
        </w:rPr>
      </w:pPr>
      <w:r w:rsidRPr="00F94904">
        <w:rPr>
          <w:color w:val="000000" w:themeColor="text1"/>
        </w:rPr>
        <w:t>"I love my patients and I have accumulated years in the pension, which keeps me tied in. But if it were purely about how I feel week to week, I would already be gone." (R3, NHS nurse)</w:t>
      </w:r>
    </w:p>
    <w:p w14:paraId="4C5D7878" w14:textId="19E94782" w:rsidR="00922750" w:rsidRPr="00F94904" w:rsidRDefault="00922750" w:rsidP="00143FD2">
      <w:pPr>
        <w:rPr>
          <w:color w:val="000000" w:themeColor="text1"/>
        </w:rPr>
      </w:pPr>
      <w:r w:rsidRPr="00F94904">
        <w:rPr>
          <w:color w:val="000000" w:themeColor="text1"/>
        </w:rPr>
        <w:t xml:space="preserve">With turnover, it was definitely flexibility and not pay, as the driver reported that, "I would stay a hundred times a day if I could actually take it easy and not have to work around the clock, it's the burnout more than the money that's pushing me out the door." The finance analysts used a more palatable phrase for their entrapment. R4 planned to “probably stay” but </w:t>
      </w:r>
      <w:r w:rsidRPr="00F94904">
        <w:rPr>
          <w:color w:val="000000" w:themeColor="text1"/>
        </w:rPr>
        <w:lastRenderedPageBreak/>
        <w:t>“not out of any great enthusiasm,” most likely because of “the mortgage, the pension, eleven years invested - the golden handcuffs.” The creative manager was on the fence but made her decision directly tie to WLB:</w:t>
      </w:r>
    </w:p>
    <w:p w14:paraId="75210DBC" w14:textId="77777777" w:rsidR="00571993" w:rsidRPr="00F94904" w:rsidRDefault="00237399" w:rsidP="00143FD2">
      <w:pPr>
        <w:rPr>
          <w:color w:val="000000" w:themeColor="text1"/>
        </w:rPr>
      </w:pPr>
      <w:r w:rsidRPr="00F94904">
        <w:rPr>
          <w:color w:val="000000" w:themeColor="text1"/>
        </w:rPr>
        <w:t>"If they sorted the boundaries out and made the flexibility official and fair, I would happily stay because I like the people around me." (R10, marketing manager)</w:t>
      </w:r>
    </w:p>
    <w:p w14:paraId="5586BA47" w14:textId="0294183C" w:rsidR="00922750" w:rsidRPr="00F94904" w:rsidRDefault="00922750" w:rsidP="00143FD2">
      <w:pPr>
        <w:rPr>
          <w:color w:val="000000" w:themeColor="text1"/>
        </w:rPr>
      </w:pPr>
      <w:r w:rsidRPr="00F94904">
        <w:rPr>
          <w:color w:val="000000" w:themeColor="text1"/>
        </w:rPr>
        <w:t>Finally, the technology workers indicated a positive, but voluntary desire to stay: "Very positive, if the company offered a little more money, but rigid hours, I would turn it down" (R6). Almost all of these accounts correspond to Meyer and Allen's (1991) separation of affective and continuance commitment. The literature relates high continuance commitment to disengagement and defensive presenteeism, and low affective commitment to lack of loyalty, and this was the case for the nurses and analysts in this study. The affective commitment, however, was displayed by the technology workers, who feel their organisation is genuinely interested in them and they feel the same way about them (Inegbedion, 2024). This is a reciprocal learning pattern and a good management lesson. In the absence of flexibility when it is available, and when it is culturally accepted, it was considered a sign of the organisation caring for the employees beyond the workplace and they responded with loyalty; when flexibility was not in the policy or when it was not openly supported or it was tacitly sanctioned, the implicit agreement was broken and their attachment was reduced (Inegbedion, 2024). The data also reveal the methodological weakness highlighted in the review, a quantitative survey would have registered the nurses and analysts as "retained", but the interviews uncover an at riskness state of being, and a burn-out situation. This theme directly fulfils the third research objective, which was to establish the relationship between an employee's perceived effectiveness of WLB and the type of commitment the employee has, which will consequently link to actual retention.</w:t>
      </w:r>
    </w:p>
    <w:p w14:paraId="23605152" w14:textId="77777777" w:rsidR="00571993" w:rsidRPr="00F94904" w:rsidRDefault="00237399" w:rsidP="0098366A">
      <w:pPr>
        <w:pStyle w:val="Heading2"/>
        <w:rPr>
          <w:color w:val="000000" w:themeColor="text1"/>
        </w:rPr>
      </w:pPr>
      <w:bookmarkStart w:id="48" w:name="_Toc241018064"/>
      <w:r w:rsidRPr="00F94904">
        <w:rPr>
          <w:color w:val="000000" w:themeColor="text1"/>
        </w:rPr>
        <w:t>4.8 Chapter summary</w:t>
      </w:r>
      <w:bookmarkEnd w:id="48"/>
    </w:p>
    <w:p w14:paraId="0FE6F0B8" w14:textId="7546160C" w:rsidR="00354A4C" w:rsidRPr="00F94904" w:rsidRDefault="00354A4C" w:rsidP="00143FD2">
      <w:pPr>
        <w:rPr>
          <w:color w:val="000000" w:themeColor="text1"/>
        </w:rPr>
      </w:pPr>
      <w:r w:rsidRPr="00F94904">
        <w:rPr>
          <w:color w:val="000000" w:themeColor="text1"/>
        </w:rPr>
        <w:t xml:space="preserve">The five themes emerging from the 10 cross-sector interviews are presented and discussed in this chapter. Combined, these demonstrate that the effect of WLB policies is more dependent on three interacting conditions - that they are actually accessible, that they are not penalised by the culture, and that core job demands are not so intense that the policies cannot be applied. This is seen in a spectrum in the 4 sectors. The technology firm is a noble example, where availability of resources, norm and commitment to the work environment, along with manageable demands, jointly contributed to protected recovery, high engagement, and </w:t>
      </w:r>
      <w:r w:rsidRPr="00F94904">
        <w:rPr>
          <w:color w:val="000000" w:themeColor="text1"/>
        </w:rPr>
        <w:lastRenderedPageBreak/>
        <w:t>affective commitment. The opposite is the NHS, where lavish resources were dampened by too many demands, resulting in significant spillover, conditional engagement and a retention maintained only by pension and vocation. The finance sector had a broad policy package that was poorly enforced (presenteeism) and the creative agency had informal flexibility with little protection in reality. In response to the research question, WLB policy has a positive impact on well-being, engagement and retention to the degree that it is culturally accessible and demand containing; if it is not, it is, in the words of one nurse, "lovely words sitting on the internet." The results of this research are used to draw the conclusions and recommendations outlined in the following chapter. There are two points that should be stressed prior to the summary table. First, the cross-sector design did do some serious analytical work because the same policy emerged in various climates, and such data allowed us to uncover the policy effect when we were able to isolate it from the climate and work of the setting. Secondly, the results also have a strong cautionary message about the way organisations interpret these results because the "burnt out" and "semi-detached" nurses and analysts would be counted as "retained" in any employment figure. The points made here will directly relate to the conclusions and recommendations of the following chapter.</w:t>
      </w:r>
    </w:p>
    <w:p w14:paraId="0C45C558" w14:textId="3E8D7CDC" w:rsidR="00AC7F43" w:rsidRPr="00F94904" w:rsidRDefault="00354A4C" w:rsidP="00143FD2">
      <w:pPr>
        <w:rPr>
          <w:b/>
          <w:bCs/>
          <w:color w:val="000000" w:themeColor="text1"/>
        </w:rPr>
      </w:pPr>
      <w:r w:rsidRPr="00F94904">
        <w:rPr>
          <w:color w:val="000000" w:themeColor="text1"/>
        </w:rPr>
        <w:t>Themes can be helpful to present in tabular form.</w:t>
      </w:r>
    </w:p>
    <w:p w14:paraId="74C24C1A" w14:textId="3B5D297D" w:rsidR="00143FD2" w:rsidRPr="00F94904" w:rsidRDefault="00143FD2" w:rsidP="00143FD2">
      <w:pPr>
        <w:pStyle w:val="Caption"/>
        <w:keepNext/>
      </w:pPr>
      <w:bookmarkStart w:id="49" w:name="_Toc241018194"/>
      <w:r w:rsidRPr="00F94904">
        <w:t xml:space="preserve">Table </w:t>
      </w:r>
      <w:fldSimple w:instr=" SEQ Table \* ARABIC ">
        <w:r w:rsidRPr="00F94904">
          <w:rPr>
            <w:noProof/>
          </w:rPr>
          <w:t>2</w:t>
        </w:r>
      </w:fldSimple>
      <w:r w:rsidRPr="00F94904">
        <w:t xml:space="preserve"> Summary of themes, constructs, evidence and interpretation</w:t>
      </w:r>
      <w:bookmarkEnd w:id="49"/>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900"/>
        <w:gridCol w:w="2500"/>
        <w:gridCol w:w="2740"/>
      </w:tblGrid>
      <w:tr w:rsidR="00F94904" w:rsidRPr="00F94904" w14:paraId="070607DB" w14:textId="77777777">
        <w:trPr>
          <w:tblHeader/>
        </w:trPr>
        <w:tc>
          <w:tcPr>
            <w:tcW w:w="1900" w:type="dxa"/>
            <w:shd w:val="clear" w:color="auto" w:fill="D9D9D9"/>
            <w:tcMar>
              <w:top w:w="40" w:type="dxa"/>
              <w:left w:w="80" w:type="dxa"/>
              <w:bottom w:w="40" w:type="dxa"/>
              <w:right w:w="80" w:type="dxa"/>
            </w:tcMar>
          </w:tcPr>
          <w:p w14:paraId="6D827313" w14:textId="77777777" w:rsidR="00571993" w:rsidRPr="00F94904" w:rsidRDefault="00237399" w:rsidP="00143FD2">
            <w:pPr>
              <w:rPr>
                <w:color w:val="000000" w:themeColor="text1"/>
              </w:rPr>
            </w:pPr>
            <w:r w:rsidRPr="00F94904">
              <w:rPr>
                <w:color w:val="000000" w:themeColor="text1"/>
              </w:rPr>
              <w:t>Theme</w:t>
            </w:r>
          </w:p>
        </w:tc>
        <w:tc>
          <w:tcPr>
            <w:tcW w:w="1900" w:type="dxa"/>
            <w:shd w:val="clear" w:color="auto" w:fill="D9D9D9"/>
            <w:tcMar>
              <w:top w:w="40" w:type="dxa"/>
              <w:left w:w="80" w:type="dxa"/>
              <w:bottom w:w="40" w:type="dxa"/>
              <w:right w:w="80" w:type="dxa"/>
            </w:tcMar>
          </w:tcPr>
          <w:p w14:paraId="40858E59" w14:textId="77777777" w:rsidR="00571993" w:rsidRPr="00F94904" w:rsidRDefault="00237399" w:rsidP="00143FD2">
            <w:pPr>
              <w:rPr>
                <w:color w:val="000000" w:themeColor="text1"/>
              </w:rPr>
            </w:pPr>
            <w:r w:rsidRPr="00F94904">
              <w:rPr>
                <w:color w:val="000000" w:themeColor="text1"/>
              </w:rPr>
              <w:t>Related construct(s)</w:t>
            </w:r>
          </w:p>
        </w:tc>
        <w:tc>
          <w:tcPr>
            <w:tcW w:w="2500" w:type="dxa"/>
            <w:shd w:val="clear" w:color="auto" w:fill="D9D9D9"/>
            <w:tcMar>
              <w:top w:w="40" w:type="dxa"/>
              <w:left w:w="80" w:type="dxa"/>
              <w:bottom w:w="40" w:type="dxa"/>
              <w:right w:w="80" w:type="dxa"/>
            </w:tcMar>
          </w:tcPr>
          <w:p w14:paraId="5EB2BC47" w14:textId="77777777" w:rsidR="00571993" w:rsidRPr="00F94904" w:rsidRDefault="00237399" w:rsidP="00143FD2">
            <w:pPr>
              <w:rPr>
                <w:color w:val="000000" w:themeColor="text1"/>
              </w:rPr>
            </w:pPr>
            <w:r w:rsidRPr="00F94904">
              <w:rPr>
                <w:color w:val="000000" w:themeColor="text1"/>
              </w:rPr>
              <w:t>Illustrative evidence</w:t>
            </w:r>
          </w:p>
        </w:tc>
        <w:tc>
          <w:tcPr>
            <w:tcW w:w="2740" w:type="dxa"/>
            <w:shd w:val="clear" w:color="auto" w:fill="D9D9D9"/>
            <w:tcMar>
              <w:top w:w="40" w:type="dxa"/>
              <w:left w:w="80" w:type="dxa"/>
              <w:bottom w:w="40" w:type="dxa"/>
              <w:right w:w="80" w:type="dxa"/>
            </w:tcMar>
          </w:tcPr>
          <w:p w14:paraId="09EDE8BB" w14:textId="77777777" w:rsidR="00571993" w:rsidRPr="00F94904" w:rsidRDefault="00237399" w:rsidP="00143FD2">
            <w:pPr>
              <w:rPr>
                <w:color w:val="000000" w:themeColor="text1"/>
              </w:rPr>
            </w:pPr>
            <w:r w:rsidRPr="00F94904">
              <w:rPr>
                <w:color w:val="000000" w:themeColor="text1"/>
              </w:rPr>
              <w:t>Interpretation (link to literature)</w:t>
            </w:r>
          </w:p>
        </w:tc>
      </w:tr>
      <w:tr w:rsidR="00F94904" w:rsidRPr="00F94904" w14:paraId="37B298E8" w14:textId="77777777">
        <w:tc>
          <w:tcPr>
            <w:tcW w:w="1900" w:type="dxa"/>
            <w:tcMar>
              <w:top w:w="40" w:type="dxa"/>
              <w:left w:w="80" w:type="dxa"/>
              <w:bottom w:w="40" w:type="dxa"/>
              <w:right w:w="80" w:type="dxa"/>
            </w:tcMar>
          </w:tcPr>
          <w:p w14:paraId="0D681FB3" w14:textId="77777777" w:rsidR="00571993" w:rsidRPr="00F94904" w:rsidRDefault="00237399" w:rsidP="00143FD2">
            <w:pPr>
              <w:rPr>
                <w:color w:val="000000" w:themeColor="text1"/>
              </w:rPr>
            </w:pPr>
            <w:r w:rsidRPr="00F94904">
              <w:rPr>
                <w:color w:val="000000" w:themeColor="text1"/>
              </w:rPr>
              <w:t>1. Policy on paper vs practice</w:t>
            </w:r>
          </w:p>
        </w:tc>
        <w:tc>
          <w:tcPr>
            <w:tcW w:w="1900" w:type="dxa"/>
            <w:tcMar>
              <w:top w:w="40" w:type="dxa"/>
              <w:left w:w="80" w:type="dxa"/>
              <w:bottom w:w="40" w:type="dxa"/>
              <w:right w:w="80" w:type="dxa"/>
            </w:tcMar>
          </w:tcPr>
          <w:p w14:paraId="6E94BFE9" w14:textId="77777777" w:rsidR="00571993" w:rsidRPr="00F94904" w:rsidRDefault="00237399" w:rsidP="00143FD2">
            <w:pPr>
              <w:rPr>
                <w:color w:val="000000" w:themeColor="text1"/>
              </w:rPr>
            </w:pPr>
            <w:r w:rsidRPr="00F94904">
              <w:rPr>
                <w:color w:val="000000" w:themeColor="text1"/>
              </w:rPr>
              <w:t>WLB resources; job demands</w:t>
            </w:r>
          </w:p>
        </w:tc>
        <w:tc>
          <w:tcPr>
            <w:tcW w:w="2500" w:type="dxa"/>
            <w:tcMar>
              <w:top w:w="40" w:type="dxa"/>
              <w:left w:w="80" w:type="dxa"/>
              <w:bottom w:w="40" w:type="dxa"/>
              <w:right w:w="80" w:type="dxa"/>
            </w:tcMar>
          </w:tcPr>
          <w:p w14:paraId="5B933C16" w14:textId="77777777" w:rsidR="00571993" w:rsidRPr="00F94904" w:rsidRDefault="00237399" w:rsidP="00143FD2">
            <w:pPr>
              <w:rPr>
                <w:color w:val="000000" w:themeColor="text1"/>
              </w:rPr>
            </w:pPr>
            <w:r w:rsidRPr="00F94904">
              <w:rPr>
                <w:color w:val="000000" w:themeColor="text1"/>
              </w:rPr>
              <w:t>NHS rostering refused when short-staffed; finance right to disconnect "weak in practice"; creative flexibility informal; tech embedded</w:t>
            </w:r>
          </w:p>
        </w:tc>
        <w:tc>
          <w:tcPr>
            <w:tcW w:w="2740" w:type="dxa"/>
            <w:tcMar>
              <w:top w:w="40" w:type="dxa"/>
              <w:left w:w="80" w:type="dxa"/>
              <w:bottom w:w="40" w:type="dxa"/>
              <w:right w:w="80" w:type="dxa"/>
            </w:tcMar>
          </w:tcPr>
          <w:p w14:paraId="3A750E4E" w14:textId="77777777" w:rsidR="00571993" w:rsidRPr="00F94904" w:rsidRDefault="00237399" w:rsidP="00143FD2">
            <w:pPr>
              <w:rPr>
                <w:color w:val="000000" w:themeColor="text1"/>
              </w:rPr>
            </w:pPr>
            <w:r w:rsidRPr="00F94904">
              <w:rPr>
                <w:color w:val="000000" w:themeColor="text1"/>
              </w:rPr>
              <w:t>Availability is not accessibility; a resource is neutralised when demands are high (Demerouti et al., 2001; Bakker and Demerouti, 2017)</w:t>
            </w:r>
          </w:p>
        </w:tc>
      </w:tr>
      <w:tr w:rsidR="00F94904" w:rsidRPr="00F94904" w14:paraId="7831F0BD" w14:textId="77777777">
        <w:tc>
          <w:tcPr>
            <w:tcW w:w="1900" w:type="dxa"/>
            <w:tcMar>
              <w:top w:w="40" w:type="dxa"/>
              <w:left w:w="80" w:type="dxa"/>
              <w:bottom w:w="40" w:type="dxa"/>
              <w:right w:w="80" w:type="dxa"/>
            </w:tcMar>
          </w:tcPr>
          <w:p w14:paraId="59A0DC90" w14:textId="77777777" w:rsidR="00571993" w:rsidRPr="00F94904" w:rsidRDefault="00237399" w:rsidP="00143FD2">
            <w:pPr>
              <w:rPr>
                <w:color w:val="000000" w:themeColor="text1"/>
              </w:rPr>
            </w:pPr>
            <w:r w:rsidRPr="00F94904">
              <w:rPr>
                <w:color w:val="000000" w:themeColor="text1"/>
              </w:rPr>
              <w:t>2. The cultural cost of using policies</w:t>
            </w:r>
          </w:p>
        </w:tc>
        <w:tc>
          <w:tcPr>
            <w:tcW w:w="1900" w:type="dxa"/>
            <w:tcMar>
              <w:top w:w="40" w:type="dxa"/>
              <w:left w:w="80" w:type="dxa"/>
              <w:bottom w:w="40" w:type="dxa"/>
              <w:right w:w="80" w:type="dxa"/>
            </w:tcMar>
          </w:tcPr>
          <w:p w14:paraId="0B3A69D1" w14:textId="77777777" w:rsidR="00571993" w:rsidRPr="00F94904" w:rsidRDefault="00237399" w:rsidP="00143FD2">
            <w:pPr>
              <w:rPr>
                <w:color w:val="000000" w:themeColor="text1"/>
              </w:rPr>
            </w:pPr>
            <w:r w:rsidRPr="00F94904">
              <w:rPr>
                <w:color w:val="000000" w:themeColor="text1"/>
              </w:rPr>
              <w:t>Psychological safety</w:t>
            </w:r>
          </w:p>
        </w:tc>
        <w:tc>
          <w:tcPr>
            <w:tcW w:w="2500" w:type="dxa"/>
            <w:tcMar>
              <w:top w:w="40" w:type="dxa"/>
              <w:left w:w="80" w:type="dxa"/>
              <w:bottom w:w="40" w:type="dxa"/>
              <w:right w:w="80" w:type="dxa"/>
            </w:tcMar>
          </w:tcPr>
          <w:p w14:paraId="5AFA20CF" w14:textId="77777777" w:rsidR="00571993" w:rsidRPr="00F94904" w:rsidRDefault="00237399" w:rsidP="00143FD2">
            <w:pPr>
              <w:rPr>
                <w:color w:val="000000" w:themeColor="text1"/>
              </w:rPr>
            </w:pPr>
            <w:r w:rsidRPr="00F94904">
              <w:rPr>
                <w:color w:val="000000" w:themeColor="text1"/>
              </w:rPr>
              <w:t>Finance presenteeism; NHS and creative guilt; tech "no stigma at all"</w:t>
            </w:r>
          </w:p>
        </w:tc>
        <w:tc>
          <w:tcPr>
            <w:tcW w:w="2740" w:type="dxa"/>
            <w:tcMar>
              <w:top w:w="40" w:type="dxa"/>
              <w:left w:w="80" w:type="dxa"/>
              <w:bottom w:w="40" w:type="dxa"/>
              <w:right w:w="80" w:type="dxa"/>
            </w:tcMar>
          </w:tcPr>
          <w:p w14:paraId="48C993A5" w14:textId="77777777" w:rsidR="00571993" w:rsidRPr="00F94904" w:rsidRDefault="00237399" w:rsidP="00143FD2">
            <w:pPr>
              <w:rPr>
                <w:color w:val="000000" w:themeColor="text1"/>
              </w:rPr>
            </w:pPr>
            <w:r w:rsidRPr="00F94904">
              <w:rPr>
                <w:color w:val="000000" w:themeColor="text1"/>
              </w:rPr>
              <w:t xml:space="preserve">Flexibility stigma and the "ideal worker" norm (Williams, Blair-Loy and </w:t>
            </w:r>
            <w:r w:rsidRPr="00F94904">
              <w:rPr>
                <w:color w:val="000000" w:themeColor="text1"/>
              </w:rPr>
              <w:lastRenderedPageBreak/>
              <w:t>Berdahl, 2013; Munsch, 2016; Kahn, 1990)</w:t>
            </w:r>
          </w:p>
        </w:tc>
      </w:tr>
      <w:tr w:rsidR="00F94904" w:rsidRPr="00F94904" w14:paraId="2E34FAB3" w14:textId="77777777">
        <w:tc>
          <w:tcPr>
            <w:tcW w:w="1900" w:type="dxa"/>
            <w:tcMar>
              <w:top w:w="40" w:type="dxa"/>
              <w:left w:w="80" w:type="dxa"/>
              <w:bottom w:w="40" w:type="dxa"/>
              <w:right w:w="80" w:type="dxa"/>
            </w:tcMar>
          </w:tcPr>
          <w:p w14:paraId="2EED6DA9" w14:textId="77777777" w:rsidR="00571993" w:rsidRPr="00F94904" w:rsidRDefault="00237399" w:rsidP="00143FD2">
            <w:pPr>
              <w:rPr>
                <w:color w:val="000000" w:themeColor="text1"/>
              </w:rPr>
            </w:pPr>
            <w:r w:rsidRPr="00F94904">
              <w:rPr>
                <w:color w:val="000000" w:themeColor="text1"/>
              </w:rPr>
              <w:lastRenderedPageBreak/>
              <w:t>3. Spillover, exhaustion, protected recovery</w:t>
            </w:r>
          </w:p>
        </w:tc>
        <w:tc>
          <w:tcPr>
            <w:tcW w:w="1900" w:type="dxa"/>
            <w:tcMar>
              <w:top w:w="40" w:type="dxa"/>
              <w:left w:w="80" w:type="dxa"/>
              <w:bottom w:w="40" w:type="dxa"/>
              <w:right w:w="80" w:type="dxa"/>
            </w:tcMar>
          </w:tcPr>
          <w:p w14:paraId="6594AE8E" w14:textId="77777777" w:rsidR="00571993" w:rsidRPr="00F94904" w:rsidRDefault="00237399" w:rsidP="00143FD2">
            <w:pPr>
              <w:rPr>
                <w:color w:val="000000" w:themeColor="text1"/>
              </w:rPr>
            </w:pPr>
            <w:r w:rsidRPr="00F94904">
              <w:rPr>
                <w:color w:val="000000" w:themeColor="text1"/>
              </w:rPr>
              <w:t>Emotional spillover; recovery</w:t>
            </w:r>
          </w:p>
        </w:tc>
        <w:tc>
          <w:tcPr>
            <w:tcW w:w="2500" w:type="dxa"/>
            <w:tcMar>
              <w:top w:w="40" w:type="dxa"/>
              <w:left w:w="80" w:type="dxa"/>
              <w:bottom w:w="40" w:type="dxa"/>
              <w:right w:w="80" w:type="dxa"/>
            </w:tcMar>
          </w:tcPr>
          <w:p w14:paraId="13F96657" w14:textId="77777777" w:rsidR="00571993" w:rsidRPr="00F94904" w:rsidRDefault="00237399" w:rsidP="00143FD2">
            <w:pPr>
              <w:rPr>
                <w:color w:val="000000" w:themeColor="text1"/>
              </w:rPr>
            </w:pPr>
            <w:r w:rsidRPr="00F94904">
              <w:rPr>
                <w:color w:val="000000" w:themeColor="text1"/>
              </w:rPr>
              <w:t>Nurses cannot "wind down"; finance always contactable; tech protects recovery</w:t>
            </w:r>
          </w:p>
        </w:tc>
        <w:tc>
          <w:tcPr>
            <w:tcW w:w="2740" w:type="dxa"/>
            <w:tcMar>
              <w:top w:w="40" w:type="dxa"/>
              <w:left w:w="80" w:type="dxa"/>
              <w:bottom w:w="40" w:type="dxa"/>
              <w:right w:w="80" w:type="dxa"/>
            </w:tcMar>
          </w:tcPr>
          <w:p w14:paraId="61D7C888" w14:textId="77777777" w:rsidR="00571993" w:rsidRPr="00F94904" w:rsidRDefault="00237399" w:rsidP="00143FD2">
            <w:pPr>
              <w:rPr>
                <w:color w:val="000000" w:themeColor="text1"/>
              </w:rPr>
            </w:pPr>
            <w:r w:rsidRPr="00F94904">
              <w:rPr>
                <w:color w:val="000000" w:themeColor="text1"/>
              </w:rPr>
              <w:t>Spillover Theory; autonomy paradox; detachment (Staines, 1980; Mazmanian et al., 2013; Sonnentag and Bayer, 2005)</w:t>
            </w:r>
          </w:p>
        </w:tc>
      </w:tr>
      <w:tr w:rsidR="00F94904" w:rsidRPr="00F94904" w14:paraId="740E680B" w14:textId="77777777">
        <w:tc>
          <w:tcPr>
            <w:tcW w:w="1900" w:type="dxa"/>
            <w:tcMar>
              <w:top w:w="40" w:type="dxa"/>
              <w:left w:w="80" w:type="dxa"/>
              <w:bottom w:w="40" w:type="dxa"/>
              <w:right w:w="80" w:type="dxa"/>
            </w:tcMar>
          </w:tcPr>
          <w:p w14:paraId="41827114" w14:textId="77777777" w:rsidR="00571993" w:rsidRPr="00F94904" w:rsidRDefault="00237399" w:rsidP="00143FD2">
            <w:pPr>
              <w:rPr>
                <w:color w:val="000000" w:themeColor="text1"/>
              </w:rPr>
            </w:pPr>
            <w:r w:rsidRPr="00F94904">
              <w:rPr>
                <w:color w:val="000000" w:themeColor="text1"/>
              </w:rPr>
              <w:t>4. From "all in" to "just surviving"</w:t>
            </w:r>
          </w:p>
        </w:tc>
        <w:tc>
          <w:tcPr>
            <w:tcW w:w="1900" w:type="dxa"/>
            <w:tcMar>
              <w:top w:w="40" w:type="dxa"/>
              <w:left w:w="80" w:type="dxa"/>
              <w:bottom w:w="40" w:type="dxa"/>
              <w:right w:w="80" w:type="dxa"/>
            </w:tcMar>
          </w:tcPr>
          <w:p w14:paraId="4438F41E" w14:textId="77777777" w:rsidR="00571993" w:rsidRPr="00F94904" w:rsidRDefault="00237399" w:rsidP="00143FD2">
            <w:pPr>
              <w:rPr>
                <w:color w:val="000000" w:themeColor="text1"/>
              </w:rPr>
            </w:pPr>
            <w:r w:rsidRPr="00F94904">
              <w:rPr>
                <w:color w:val="000000" w:themeColor="text1"/>
              </w:rPr>
              <w:t>Psychological engagement</w:t>
            </w:r>
          </w:p>
        </w:tc>
        <w:tc>
          <w:tcPr>
            <w:tcW w:w="2500" w:type="dxa"/>
            <w:tcMar>
              <w:top w:w="40" w:type="dxa"/>
              <w:left w:w="80" w:type="dxa"/>
              <w:bottom w:w="40" w:type="dxa"/>
              <w:right w:w="80" w:type="dxa"/>
            </w:tcMar>
          </w:tcPr>
          <w:p w14:paraId="57F9F34C" w14:textId="77777777" w:rsidR="00571993" w:rsidRPr="00F94904" w:rsidRDefault="00237399" w:rsidP="00143FD2">
            <w:pPr>
              <w:rPr>
                <w:color w:val="000000" w:themeColor="text1"/>
              </w:rPr>
            </w:pPr>
            <w:r w:rsidRPr="00F94904">
              <w:rPr>
                <w:color w:val="000000" w:themeColor="text1"/>
              </w:rPr>
              <w:t>Nurses conditional on staffing; finance "checked out"; tech "want to give more"</w:t>
            </w:r>
          </w:p>
        </w:tc>
        <w:tc>
          <w:tcPr>
            <w:tcW w:w="2740" w:type="dxa"/>
            <w:tcMar>
              <w:top w:w="40" w:type="dxa"/>
              <w:left w:w="80" w:type="dxa"/>
              <w:bottom w:w="40" w:type="dxa"/>
              <w:right w:w="80" w:type="dxa"/>
            </w:tcMar>
          </w:tcPr>
          <w:p w14:paraId="2AF780A1" w14:textId="77777777" w:rsidR="00571993" w:rsidRPr="00F94904" w:rsidRDefault="00237399" w:rsidP="00143FD2">
            <w:pPr>
              <w:rPr>
                <w:color w:val="000000" w:themeColor="text1"/>
              </w:rPr>
            </w:pPr>
            <w:r w:rsidRPr="00F94904">
              <w:rPr>
                <w:color w:val="000000" w:themeColor="text1"/>
              </w:rPr>
              <w:t>Availability is a precondition for engagement (Kahn, 1990; Rich, LePine and Crawford, 2010)</w:t>
            </w:r>
          </w:p>
        </w:tc>
      </w:tr>
      <w:tr w:rsidR="00571993" w:rsidRPr="00F94904" w14:paraId="6ED77FBE" w14:textId="77777777">
        <w:tc>
          <w:tcPr>
            <w:tcW w:w="1900" w:type="dxa"/>
            <w:tcMar>
              <w:top w:w="40" w:type="dxa"/>
              <w:left w:w="80" w:type="dxa"/>
              <w:bottom w:w="40" w:type="dxa"/>
              <w:right w:w="80" w:type="dxa"/>
            </w:tcMar>
          </w:tcPr>
          <w:p w14:paraId="67BA59BE" w14:textId="77777777" w:rsidR="00571993" w:rsidRPr="00F94904" w:rsidRDefault="00237399" w:rsidP="00143FD2">
            <w:pPr>
              <w:rPr>
                <w:color w:val="000000" w:themeColor="text1"/>
              </w:rPr>
            </w:pPr>
            <w:r w:rsidRPr="00F94904">
              <w:rPr>
                <w:color w:val="000000" w:themeColor="text1"/>
              </w:rPr>
              <w:t>5. Wanting to stay vs having to stay</w:t>
            </w:r>
          </w:p>
        </w:tc>
        <w:tc>
          <w:tcPr>
            <w:tcW w:w="1900" w:type="dxa"/>
            <w:tcMar>
              <w:top w:w="40" w:type="dxa"/>
              <w:left w:w="80" w:type="dxa"/>
              <w:bottom w:w="40" w:type="dxa"/>
              <w:right w:w="80" w:type="dxa"/>
            </w:tcMar>
          </w:tcPr>
          <w:p w14:paraId="7311AFA7" w14:textId="77777777" w:rsidR="00571993" w:rsidRPr="00F94904" w:rsidRDefault="00237399" w:rsidP="00143FD2">
            <w:pPr>
              <w:rPr>
                <w:color w:val="000000" w:themeColor="text1"/>
              </w:rPr>
            </w:pPr>
            <w:r w:rsidRPr="00F94904">
              <w:rPr>
                <w:color w:val="000000" w:themeColor="text1"/>
              </w:rPr>
              <w:t>Turnover intention; commitment</w:t>
            </w:r>
          </w:p>
        </w:tc>
        <w:tc>
          <w:tcPr>
            <w:tcW w:w="2500" w:type="dxa"/>
            <w:tcMar>
              <w:top w:w="40" w:type="dxa"/>
              <w:left w:w="80" w:type="dxa"/>
              <w:bottom w:w="40" w:type="dxa"/>
              <w:right w:w="80" w:type="dxa"/>
            </w:tcMar>
          </w:tcPr>
          <w:p w14:paraId="088C8D83" w14:textId="77777777" w:rsidR="00571993" w:rsidRPr="00F94904" w:rsidRDefault="00237399" w:rsidP="00143FD2">
            <w:pPr>
              <w:rPr>
                <w:color w:val="000000" w:themeColor="text1"/>
              </w:rPr>
            </w:pPr>
            <w:r w:rsidRPr="00F94904">
              <w:rPr>
                <w:color w:val="000000" w:themeColor="text1"/>
              </w:rPr>
              <w:t>Nurses and analysts held by pension/mortgage; tech voluntary</w:t>
            </w:r>
          </w:p>
        </w:tc>
        <w:tc>
          <w:tcPr>
            <w:tcW w:w="2740" w:type="dxa"/>
            <w:tcMar>
              <w:top w:w="40" w:type="dxa"/>
              <w:left w:w="80" w:type="dxa"/>
              <w:bottom w:w="40" w:type="dxa"/>
              <w:right w:w="80" w:type="dxa"/>
            </w:tcMar>
          </w:tcPr>
          <w:p w14:paraId="131D872D" w14:textId="77777777" w:rsidR="00571993" w:rsidRPr="00F94904" w:rsidRDefault="00237399" w:rsidP="00143FD2">
            <w:pPr>
              <w:rPr>
                <w:color w:val="000000" w:themeColor="text1"/>
              </w:rPr>
            </w:pPr>
            <w:r w:rsidRPr="00F94904">
              <w:rPr>
                <w:color w:val="000000" w:themeColor="text1"/>
              </w:rPr>
              <w:t>Continuance versus affective commitment (Meyer and Allen, 1991; Inegbedion, 2024)</w:t>
            </w:r>
          </w:p>
        </w:tc>
      </w:tr>
    </w:tbl>
    <w:p w14:paraId="5C4C9747" w14:textId="77777777" w:rsidR="00571993" w:rsidRPr="00F94904" w:rsidRDefault="00571993" w:rsidP="00143FD2">
      <w:pPr>
        <w:rPr>
          <w:color w:val="000000" w:themeColor="text1"/>
        </w:rPr>
      </w:pPr>
    </w:p>
    <w:p w14:paraId="0154775B" w14:textId="77777777" w:rsidR="00571993" w:rsidRPr="00F94904" w:rsidRDefault="00237399" w:rsidP="00143FD2">
      <w:pPr>
        <w:rPr>
          <w:color w:val="000000" w:themeColor="text1"/>
        </w:rPr>
      </w:pPr>
      <w:r w:rsidRPr="00F94904">
        <w:rPr>
          <w:color w:val="000000" w:themeColor="text1"/>
        </w:rPr>
        <w:br w:type="page"/>
      </w:r>
    </w:p>
    <w:p w14:paraId="20739B81" w14:textId="77777777" w:rsidR="00571993" w:rsidRPr="00F94904" w:rsidRDefault="00237399" w:rsidP="0098366A">
      <w:pPr>
        <w:pStyle w:val="Heading1"/>
        <w:jc w:val="both"/>
        <w:rPr>
          <w:color w:val="000000" w:themeColor="text1"/>
        </w:rPr>
      </w:pPr>
      <w:bookmarkStart w:id="50" w:name="_Toc241018065"/>
      <w:r w:rsidRPr="00F94904">
        <w:rPr>
          <w:color w:val="000000" w:themeColor="text1"/>
        </w:rPr>
        <w:lastRenderedPageBreak/>
        <w:t>Chapter Five: Conclusions and Recommendations</w:t>
      </w:r>
      <w:bookmarkEnd w:id="50"/>
    </w:p>
    <w:p w14:paraId="0E21553F" w14:textId="77777777" w:rsidR="00571993" w:rsidRPr="00F94904" w:rsidRDefault="00237399" w:rsidP="0098366A">
      <w:pPr>
        <w:pStyle w:val="Heading2"/>
        <w:rPr>
          <w:color w:val="000000" w:themeColor="text1"/>
        </w:rPr>
      </w:pPr>
      <w:bookmarkStart w:id="51" w:name="_Toc241018066"/>
      <w:r w:rsidRPr="00F94904">
        <w:rPr>
          <w:color w:val="000000" w:themeColor="text1"/>
        </w:rPr>
        <w:t>5.1 Introduction</w:t>
      </w:r>
      <w:bookmarkEnd w:id="51"/>
    </w:p>
    <w:p w14:paraId="00B861A8" w14:textId="1CC8CFBC" w:rsidR="00B37498" w:rsidRPr="00F94904" w:rsidRDefault="00B37498" w:rsidP="00143FD2">
      <w:pPr>
        <w:rPr>
          <w:color w:val="000000" w:themeColor="text1"/>
        </w:rPr>
      </w:pPr>
      <w:r w:rsidRPr="00F94904">
        <w:rPr>
          <w:color w:val="000000" w:themeColor="text1"/>
        </w:rPr>
        <w:t>This is the conclusion to the study. It restates the aim and then details the conclusions drawn in relation to the four research objectives - how the aim was achieved is evident; it then provides a direct response to the research question. It expands on the contributions to knowledge that the study makes, presents a series of actionable SMART recommendations for managing the research problem in light of the fourth objective, recognises the limitations of the study, and lays out some useful directions for future research. The conclusions and recommendations are firmly rooted throughout in the five themes that have emerged in Chapter Four and the theoretical framework developed in Chapter Two.</w:t>
      </w:r>
    </w:p>
    <w:p w14:paraId="5A6C0264" w14:textId="77777777" w:rsidR="00571993" w:rsidRPr="00F94904" w:rsidRDefault="00237399" w:rsidP="0098366A">
      <w:pPr>
        <w:pStyle w:val="Heading2"/>
        <w:rPr>
          <w:color w:val="000000" w:themeColor="text1"/>
        </w:rPr>
      </w:pPr>
      <w:bookmarkStart w:id="52" w:name="_Toc241018067"/>
      <w:r w:rsidRPr="00F94904">
        <w:rPr>
          <w:color w:val="000000" w:themeColor="text1"/>
        </w:rPr>
        <w:t>5.2 Conclusions</w:t>
      </w:r>
      <w:bookmarkEnd w:id="52"/>
    </w:p>
    <w:p w14:paraId="63E0C330" w14:textId="57727264" w:rsidR="00B37498" w:rsidRPr="00F94904" w:rsidRDefault="00B37498" w:rsidP="00143FD2">
      <w:pPr>
        <w:rPr>
          <w:color w:val="000000" w:themeColor="text1"/>
        </w:rPr>
      </w:pPr>
      <w:r w:rsidRPr="00F94904">
        <w:rPr>
          <w:color w:val="000000" w:themeColor="text1"/>
        </w:rPr>
        <w:t>This research sought to examine employees’ perceptions of the impact of WLB policies on their well-being, engagement, and retention across different professional sectors. Ten cross-sector interviews were used to achieve this aim and the findings around the first three objectives are presented below, with the fourth objective, which is to make recommendations, discussed in Section 5.4.</w:t>
      </w:r>
    </w:p>
    <w:p w14:paraId="52BB267B" w14:textId="4D1BAAB8" w:rsidR="00571993" w:rsidRPr="00F94904" w:rsidRDefault="00237399" w:rsidP="00143FD2">
      <w:pPr>
        <w:rPr>
          <w:color w:val="000000" w:themeColor="text1"/>
        </w:rPr>
      </w:pPr>
      <w:r w:rsidRPr="00F94904">
        <w:rPr>
          <w:color w:val="000000" w:themeColor="text1"/>
        </w:rPr>
        <w:t>*Objective 1: To identify and assess existing WLB policies across sectors*</w:t>
      </w:r>
    </w:p>
    <w:p w14:paraId="2D016340" w14:textId="397144DD" w:rsidR="00B37498" w:rsidRPr="00F94904" w:rsidRDefault="00B37498" w:rsidP="00143FD2">
      <w:pPr>
        <w:rPr>
          <w:color w:val="000000" w:themeColor="text1"/>
        </w:rPr>
      </w:pPr>
      <w:r w:rsidRPr="00F94904">
        <w:rPr>
          <w:color w:val="000000" w:themeColor="text1"/>
        </w:rPr>
        <w:t xml:space="preserve">The study finds that WLB policies in one form or another are now in place in all sectors studied, but that the reach and shape is highly varied, and that a mere existence of such policies is not a lot to learn from in terms of value. One of the most salient points of Theme 1 ("policy on paper versus policy in practice") is that a policy is not an accessible one. The NHS has a flexible rostering policy on paper, but it was often not actually put into practice when staffing was low; the creative agency had a policy in place but this was not well communicated and included the right to disconnect, which was favoured but not used; the technology agency had a policy in place and communicated it well at induction but was not used by staff; the other agency had no policy at all, only informal favour. Assessing WLB provision so is an assessment of accessibility, not a count of policies. This directly confirms the difference between structural availability and cultural accessibility that was highlighted in the literature review (Putnam et al., 2014), as well as that large-scale change to the nature of work-family conflict (Kelly et al., 2014), and that, while knowledge workers are more structurally flexible, frontline healthcare workers are not (Chung, 2022). The findings from their initial approaches to their entitlements </w:t>
      </w:r>
      <w:r w:rsidRPr="00F94904">
        <w:rPr>
          <w:color w:val="000000" w:themeColor="text1"/>
        </w:rPr>
        <w:lastRenderedPageBreak/>
        <w:t>confirmed this: the nurses had been first informed about their entitlements informally via the union and via the internet, while finance staff had been informed formally via a portal to the internet, and technology staff had been informed formally during their induction programme with support from their manager. Where communication was not good, there was an additional hurdle for employees as well as the practical hurdle, and the policy was undermined before it could be used.</w:t>
      </w:r>
    </w:p>
    <w:p w14:paraId="142CE45B" w14:textId="496B9AF7" w:rsidR="00571993" w:rsidRPr="00F94904" w:rsidRDefault="00237399" w:rsidP="00143FD2">
      <w:pPr>
        <w:rPr>
          <w:color w:val="000000" w:themeColor="text1"/>
        </w:rPr>
      </w:pPr>
      <w:r w:rsidRPr="00F94904">
        <w:rPr>
          <w:color w:val="000000" w:themeColor="text1"/>
        </w:rPr>
        <w:t>*Objective 2: To review employees’ experiences of the impact of WLB policies on well-being and engagement*</w:t>
      </w:r>
    </w:p>
    <w:p w14:paraId="7EA7A891" w14:textId="09495187" w:rsidR="00B37498" w:rsidRPr="00F94904" w:rsidRDefault="00B37498" w:rsidP="00143FD2">
      <w:pPr>
        <w:rPr>
          <w:color w:val="000000" w:themeColor="text1"/>
        </w:rPr>
      </w:pPr>
      <w:r w:rsidRPr="00F94904">
        <w:rPr>
          <w:color w:val="000000" w:themeColor="text1"/>
        </w:rPr>
        <w:t>The study comes to the conclusion that WLB policies are only effective at protecting employees if they help to keep the boundary that allows for authentic recovery intact. For Theme 3, the consequences for the four sectors were very negative, with the nurses unable to "wind down" and become "snappy" with their kids, the finance staff never being able to have a "break" and remain "contactable", and the creative manager "there but not there" at the weekend. The only exception to this was the technology firm, in which case recovery was a protected norm. It brings to bear Spillover Theory's argument that work stress permeates home life (Staines, 1980) and that this is represented by a managed border between the work and home domains (Clark, 2000), and that it illustrates the autonomy paradox in which flexibility and an always-on culture leaves employees permanently bound up in work (Mazmanian, Orlikowski and Yates, 2013). Even a diary study came to that same conclusion regarding work-related smartphone usage (Derks, van Mierlo and Schmitz, 2014). It is the presence or absence of psychological detachment (Sonnentag and Bayer, 2005) and not flexibility that matters.</w:t>
      </w:r>
    </w:p>
    <w:p w14:paraId="53D3AB97" w14:textId="60559909" w:rsidR="00B37498" w:rsidRPr="00F94904" w:rsidRDefault="00B37498" w:rsidP="00143FD2">
      <w:pPr>
        <w:rPr>
          <w:color w:val="000000" w:themeColor="text1"/>
        </w:rPr>
      </w:pPr>
      <w:r w:rsidRPr="00F94904">
        <w:rPr>
          <w:color w:val="000000" w:themeColor="text1"/>
        </w:rPr>
        <w:t>The study finds that, on engagement, psychological availability required for engagement is consumed as a result of WLB shortfalls. Theme 4 found that when understaffed, nurses go from "above and beyond" to "just surviving" and finance analysts report being "mentally checked out" at busy times, and the technology workers, who are relatively autonomous, would like to "give more." The results support Kahn's (1990) argument, which was that availability is a precondition for engagement, and the JD-R prediction that resources release discretionary effort when not overwhelmed by demands (Bakker and Demerouti, 2017). However, flexibility stigma, linked to the "ideal worker" norm (Williams, Blair-Loy and Berdahl, 2013), was also found as an important barrier to the implementation of policies, with "flexibility" being a cultural cost, added by Theme 2. Experiments show this penalty is realised (Munsch, 2016).</w:t>
      </w:r>
    </w:p>
    <w:p w14:paraId="27198FFF" w14:textId="77777777" w:rsidR="00B37498" w:rsidRPr="00F94904" w:rsidRDefault="00B37498" w:rsidP="00143FD2">
      <w:pPr>
        <w:rPr>
          <w:color w:val="000000" w:themeColor="text1"/>
        </w:rPr>
      </w:pPr>
    </w:p>
    <w:p w14:paraId="76836FE0" w14:textId="4EDCD9CB" w:rsidR="00571993" w:rsidRPr="00F94904" w:rsidRDefault="00237399" w:rsidP="00143FD2">
      <w:pPr>
        <w:rPr>
          <w:color w:val="000000" w:themeColor="text1"/>
        </w:rPr>
      </w:pPr>
      <w:r w:rsidRPr="00F94904">
        <w:rPr>
          <w:color w:val="000000" w:themeColor="text1"/>
        </w:rPr>
        <w:lastRenderedPageBreak/>
        <w:t>*Objective 3: To evaluate the relationship between perceived policy effectiveness and intention to stay*</w:t>
      </w:r>
    </w:p>
    <w:p w14:paraId="0EB4C783" w14:textId="600374D8" w:rsidR="0098366A" w:rsidRPr="00F94904" w:rsidRDefault="00B37498" w:rsidP="00143FD2">
      <w:pPr>
        <w:rPr>
          <w:b/>
          <w:bCs/>
          <w:i/>
          <w:iCs/>
          <w:color w:val="000000" w:themeColor="text1"/>
        </w:rPr>
      </w:pPr>
      <w:r w:rsidRPr="00F94904">
        <w:rPr>
          <w:color w:val="000000" w:themeColor="text1"/>
        </w:rPr>
        <w:t>The amount of perceived WLB effectiveness is highly correlated with the type of commitment that an employee has, as well as actual retention. Theme 5 was an obvious distinction between a desire to stay and a necessity to stay. The nurses and analysts had high continuance and low affective commitment (attachment) (as well as pensions and mortgages and "golden handcuffs") and one of the technology employees had high continuance and low affective commitment. It neatly fits Meyer and Allen's (1991) model and reinforces the idea that accessible, culturally accepted flexibility promotes a reciprocal loyalty, while lack or penalisation of such flexibility undermines the negotiation (Inegbedion, 2024). Primarily, the study validates a methodological gap identified in the review: a survey would show that the burnt-out nurses and analysts are "retained" while they are, in fact, at risk of leaving. The interviews also revealed that for some of the participants, flexibility was the final triggering point. One nurse said she would leave "in a heartbeat" if it were not offered, while it was "the burnout more than the money" that was making her consider leaving. This implies that in the context of a protected work-life boundary, retention strategies based on remuneration might be misguided when the initial motivation for leaving a job is an unprotected work-life boundary.</w:t>
      </w:r>
    </w:p>
    <w:p w14:paraId="3DF141BA" w14:textId="77777777" w:rsidR="0098366A" w:rsidRPr="00F94904" w:rsidRDefault="0098366A" w:rsidP="00143FD2">
      <w:pPr>
        <w:rPr>
          <w:b/>
          <w:bCs/>
          <w:i/>
          <w:iCs/>
          <w:color w:val="000000" w:themeColor="text1"/>
        </w:rPr>
      </w:pPr>
    </w:p>
    <w:p w14:paraId="49C4AA04" w14:textId="48569DD1" w:rsidR="00571993" w:rsidRPr="00F94904" w:rsidRDefault="00B37498" w:rsidP="0098366A">
      <w:pPr>
        <w:pStyle w:val="Heading3"/>
        <w:jc w:val="both"/>
        <w:rPr>
          <w:color w:val="000000" w:themeColor="text1"/>
        </w:rPr>
      </w:pPr>
      <w:bookmarkStart w:id="53" w:name="_Toc241018068"/>
      <w:r w:rsidRPr="00F94904">
        <w:rPr>
          <w:color w:val="000000" w:themeColor="text1"/>
        </w:rPr>
        <w:t>Answer to the research question</w:t>
      </w:r>
      <w:bookmarkEnd w:id="53"/>
    </w:p>
    <w:p w14:paraId="18BB2FFA" w14:textId="3F912A8B" w:rsidR="00571993" w:rsidRPr="00F94904" w:rsidRDefault="00B37498" w:rsidP="00143FD2">
      <w:pPr>
        <w:rPr>
          <w:color w:val="000000" w:themeColor="text1"/>
        </w:rPr>
      </w:pPr>
      <w:r w:rsidRPr="00F94904">
        <w:rPr>
          <w:color w:val="000000" w:themeColor="text1"/>
        </w:rPr>
        <w:t>The results collectively provide a clear response to the research question. The effect of WLB policies on employees' well-being, engagement and retention depends entirely on their cultural accessibility and demand-containment. On their own, their formal presence in the organisation is of little consequence, so long as they are not penalised by the organisation when their workers use them and so long as the core job demands are not so overwhelming that they cannot be accommodated within the policies. Under the two conditions, as in a technology company, the policies resulted in protected recovery, high engagement and affective commitment; as in the NHS, the same policies were found to co-exist with burnout and a safety-related loss of engagement.</w:t>
      </w:r>
    </w:p>
    <w:p w14:paraId="602C3919" w14:textId="77777777" w:rsidR="00571993" w:rsidRPr="00F94904" w:rsidRDefault="00237399" w:rsidP="0098366A">
      <w:pPr>
        <w:pStyle w:val="Heading2"/>
        <w:rPr>
          <w:color w:val="000000" w:themeColor="text1"/>
        </w:rPr>
      </w:pPr>
      <w:bookmarkStart w:id="54" w:name="_Toc241018069"/>
      <w:r w:rsidRPr="00F94904">
        <w:rPr>
          <w:color w:val="000000" w:themeColor="text1"/>
        </w:rPr>
        <w:t>5.3 Contribution to Knowledge</w:t>
      </w:r>
      <w:bookmarkEnd w:id="54"/>
    </w:p>
    <w:p w14:paraId="00B2EA84" w14:textId="3F19FFC5" w:rsidR="0098366A" w:rsidRPr="00F94904" w:rsidRDefault="00B37498" w:rsidP="00143FD2">
      <w:pPr>
        <w:rPr>
          <w:color w:val="000000" w:themeColor="text1"/>
        </w:rPr>
      </w:pPr>
      <w:r w:rsidRPr="00F94904">
        <w:rPr>
          <w:color w:val="000000" w:themeColor="text1"/>
        </w:rPr>
        <w:t xml:space="preserve">This study is a small but helpful piece of research to the field of WLB and retention. It supports the argument that WLB policies should be considered a JD-R resource, and that its value </w:t>
      </w:r>
      <w:r w:rsidRPr="00F94904">
        <w:rPr>
          <w:color w:val="000000" w:themeColor="text1"/>
        </w:rPr>
        <w:lastRenderedPageBreak/>
        <w:t>depends on the demands it faces - a new qualitative data that suggests that it is a neutral resource when demands are too high (e.g., NHS) or when the culture punishes its use (e.g., finance) - rather than a resource in itself. It also connects three theories that are typically applied independently, namely the Spillover Theory, the JD-R model, and Kahn's engagement theory, in a single explanatory continuum from unmanaged demand to drained availability, to disengagement, and to decreased affective commitment as conceptualised by Meyer and Allen (1991).</w:t>
      </w:r>
    </w:p>
    <w:p w14:paraId="02FA2488" w14:textId="77777777" w:rsidR="0098366A" w:rsidRPr="00F94904" w:rsidRDefault="0098366A" w:rsidP="00143FD2">
      <w:pPr>
        <w:rPr>
          <w:color w:val="000000" w:themeColor="text1"/>
        </w:rPr>
      </w:pPr>
    </w:p>
    <w:p w14:paraId="1A9F74AE" w14:textId="63760A45" w:rsidR="00B37498" w:rsidRPr="00F94904" w:rsidRDefault="00B37498" w:rsidP="00143FD2">
      <w:pPr>
        <w:rPr>
          <w:color w:val="000000" w:themeColor="text1"/>
        </w:rPr>
      </w:pPr>
      <w:r w:rsidRPr="00F94904">
        <w:rPr>
          <w:color w:val="000000" w:themeColor="text1"/>
        </w:rPr>
        <w:t>In practice, the cross-sector design provides a contribution that is not possible from single-site studies. Four different workplaces are juxtaposed in the study, providing greater analytical transferability of the accessibility-demand mechanism across these strikingly different settings (Lincoln and Guba, 1985). Most practically, however, it helps to identify the person who is still employed but has already gone "trapped but retained", a person who is not yet out but is already disengaged, and therefore at risk, who quantitative retention metrics will classify as a success. The study's most obvious contribution to knowledge is surfacing this distinction, which has a direct warning for how organisations read their own retention data. Last, the study offers a warning regarding the autonomy paradox: it shows that the same flexibility can be a good thing in one context, and a bad thing in another, depending on whether the organisation sets a boundary around it. This further supports the notion that flexibility does not have to be assumed to be a desirable quality and should be researched by the lived experiences of those who use it (Mazmanian, Orlikowski and Yates, 2013).</w:t>
      </w:r>
    </w:p>
    <w:p w14:paraId="23E042BB" w14:textId="77777777" w:rsidR="00571993" w:rsidRPr="00F94904" w:rsidRDefault="00237399" w:rsidP="0098366A">
      <w:pPr>
        <w:pStyle w:val="Heading2"/>
        <w:rPr>
          <w:color w:val="000000" w:themeColor="text1"/>
        </w:rPr>
      </w:pPr>
      <w:bookmarkStart w:id="55" w:name="_Toc241018070"/>
      <w:r w:rsidRPr="00F94904">
        <w:rPr>
          <w:color w:val="000000" w:themeColor="text1"/>
        </w:rPr>
        <w:t>5.4 Recommendations for Management Practice</w:t>
      </w:r>
      <w:bookmarkEnd w:id="55"/>
    </w:p>
    <w:p w14:paraId="45571C46" w14:textId="2EE0BC20" w:rsidR="00B37498" w:rsidRPr="00F94904" w:rsidRDefault="00B37498" w:rsidP="00143FD2">
      <w:pPr>
        <w:rPr>
          <w:color w:val="000000" w:themeColor="text1"/>
        </w:rPr>
      </w:pPr>
      <w:r w:rsidRPr="00F94904">
        <w:rPr>
          <w:color w:val="000000" w:themeColor="text1"/>
        </w:rPr>
        <w:t>A set of evidence-based recommendations follows from the findings for the fourth objective. All are as specific, measurable, achievable, relevant and time-based (SMART) as is possible based on evidence.</w:t>
      </w:r>
    </w:p>
    <w:p w14:paraId="029DE19B" w14:textId="2F616CEC" w:rsidR="00571993" w:rsidRPr="00F94904" w:rsidRDefault="00237399" w:rsidP="00143FD2">
      <w:pPr>
        <w:pStyle w:val="ListParagraph"/>
        <w:numPr>
          <w:ilvl w:val="0"/>
          <w:numId w:val="5"/>
        </w:numPr>
        <w:spacing w:after="120" w:line="360" w:lineRule="auto"/>
        <w:jc w:val="both"/>
        <w:rPr>
          <w:color w:val="000000" w:themeColor="text1"/>
        </w:rPr>
      </w:pPr>
      <w:r w:rsidRPr="00F94904">
        <w:rPr>
          <w:b/>
          <w:bCs/>
          <w:color w:val="000000" w:themeColor="text1"/>
        </w:rPr>
        <w:t>Protect recovery with an enforced right to disconnect.</w:t>
      </w:r>
      <w:r w:rsidRPr="00F94904">
        <w:rPr>
          <w:color w:val="000000" w:themeColor="text1"/>
        </w:rPr>
        <w:t xml:space="preserve"> There should be a written right to disconnect standard for organisations, particularly in the finance and creative industries which establishes clear no-contact hours and is monitored via quarterly staff pulse surveys, with a target of a measurable decrease in the volume of out-of-hours contact within 12 months. The results demonstrate that flexibility without a protected </w:t>
      </w:r>
      <w:r w:rsidRPr="00F94904">
        <w:rPr>
          <w:color w:val="000000" w:themeColor="text1"/>
        </w:rPr>
        <w:lastRenderedPageBreak/>
        <w:t>boundary results in being "tethered," which has a negative effect on recovery (Sonnentag and Bayer, 2005).</w:t>
      </w:r>
    </w:p>
    <w:p w14:paraId="7DE4BC2A" w14:textId="3E34E0F3" w:rsidR="00571993" w:rsidRPr="00F94904" w:rsidRDefault="00237399" w:rsidP="00143FD2">
      <w:pPr>
        <w:pStyle w:val="ListParagraph"/>
        <w:numPr>
          <w:ilvl w:val="0"/>
          <w:numId w:val="5"/>
        </w:numPr>
        <w:spacing w:after="120" w:line="360" w:lineRule="auto"/>
        <w:jc w:val="both"/>
        <w:rPr>
          <w:color w:val="000000" w:themeColor="text1"/>
        </w:rPr>
      </w:pPr>
      <w:r w:rsidRPr="00F94904">
        <w:rPr>
          <w:b/>
          <w:bCs/>
          <w:color w:val="000000" w:themeColor="text1"/>
        </w:rPr>
        <w:t>Tackle presenteeism by having managers model flexible working.</w:t>
      </w:r>
      <w:r w:rsidRPr="00F94904">
        <w:rPr>
          <w:color w:val="000000" w:themeColor="text1"/>
        </w:rPr>
        <w:t xml:space="preserve"> Managers in cultures that are strongly associated with presenteeism should not be hesitant to visibly implement WLB arrangements and also refrain from giving long hours bonuses to their senior staff. Progress can be monitored by adding a target for a year-on-year improvement, and adding a "safe to use flexibility" item in the annual engagement survey. This can help with the flexibility stigma and Kahn's (1990) state of psychological safety.</w:t>
      </w:r>
    </w:p>
    <w:p w14:paraId="4B1394B1" w14:textId="479C7359" w:rsidR="00571993" w:rsidRPr="00F94904" w:rsidRDefault="00237399" w:rsidP="00143FD2">
      <w:pPr>
        <w:pStyle w:val="ListParagraph"/>
        <w:numPr>
          <w:ilvl w:val="0"/>
          <w:numId w:val="5"/>
        </w:numPr>
        <w:spacing w:after="120" w:line="360" w:lineRule="auto"/>
        <w:jc w:val="both"/>
        <w:rPr>
          <w:color w:val="000000" w:themeColor="text1"/>
        </w:rPr>
      </w:pPr>
      <w:r w:rsidRPr="00F94904">
        <w:rPr>
          <w:b/>
          <w:bCs/>
          <w:color w:val="000000" w:themeColor="text1"/>
        </w:rPr>
        <w:t>Contain job demands before adding resources.</w:t>
      </w:r>
      <w:r w:rsidRPr="00F94904">
        <w:rPr>
          <w:color w:val="000000" w:themeColor="text1"/>
        </w:rPr>
        <w:t xml:space="preserve"> The NHS case demonstrates that a flexible rostering resource is a waste of time where there is chronic understaffing. Organisations that have established safe-staffing levels should ensure those levels are implemented and monitored by them, and that the approved leave and rest days are kept, and review the refusal rates quarterly, to allow existing policies to work (Bakker and Demerouti, 2017).</w:t>
      </w:r>
    </w:p>
    <w:p w14:paraId="493C1767" w14:textId="72C77AE7" w:rsidR="00571993" w:rsidRPr="00F94904" w:rsidRDefault="00237399" w:rsidP="00143FD2">
      <w:pPr>
        <w:pStyle w:val="ListParagraph"/>
        <w:numPr>
          <w:ilvl w:val="0"/>
          <w:numId w:val="5"/>
        </w:numPr>
        <w:spacing w:after="120" w:line="360" w:lineRule="auto"/>
        <w:jc w:val="both"/>
        <w:rPr>
          <w:color w:val="000000" w:themeColor="text1"/>
        </w:rPr>
      </w:pPr>
      <w:r w:rsidRPr="00F94904">
        <w:rPr>
          <w:b/>
          <w:bCs/>
          <w:color w:val="000000" w:themeColor="text1"/>
        </w:rPr>
        <w:t>Formalise informal flexibility.</w:t>
      </w:r>
      <w:r w:rsidRPr="00F94904">
        <w:rPr>
          <w:color w:val="000000" w:themeColor="text1"/>
        </w:rPr>
        <w:t xml:space="preserve"> The flexibility of the creative agency was based on favour and seemed arbitrary and did not provide adequately for protection. Where informal arrangements are being used, smaller organisations should formalise this into a short written WLB policy communicated to all members of staff within one review cycle, thus ensuring that entitlements are clear, fair and consistent, and not reliant on individual goodwill.</w:t>
      </w:r>
    </w:p>
    <w:p w14:paraId="215AA0BD" w14:textId="0B23E82E" w:rsidR="00571993" w:rsidRPr="00F94904" w:rsidRDefault="00237399" w:rsidP="00143FD2">
      <w:pPr>
        <w:pStyle w:val="ListParagraph"/>
        <w:numPr>
          <w:ilvl w:val="0"/>
          <w:numId w:val="5"/>
        </w:numPr>
        <w:spacing w:after="120" w:line="360" w:lineRule="auto"/>
        <w:jc w:val="both"/>
        <w:rPr>
          <w:color w:val="000000" w:themeColor="text1"/>
        </w:rPr>
      </w:pPr>
      <w:r w:rsidRPr="00F94904">
        <w:rPr>
          <w:b/>
          <w:bCs/>
          <w:color w:val="000000" w:themeColor="text1"/>
        </w:rPr>
        <w:t>Communicate policies clearly and consistently.</w:t>
      </w:r>
      <w:r w:rsidRPr="00F94904">
        <w:rPr>
          <w:color w:val="000000" w:themeColor="text1"/>
        </w:rPr>
        <w:t xml:space="preserve"> As nurses would only discover their rights via unions and the web, it is imperative that all organisations make sure that WLB policies are communicated at induction and published in an accessible handbook where all new starters can find the policy within their first month. The first step to a policy that is useful is that it must be communicated.</w:t>
      </w:r>
    </w:p>
    <w:p w14:paraId="2CD52FBA" w14:textId="07271952" w:rsidR="00571993" w:rsidRPr="00F94904" w:rsidRDefault="00237399" w:rsidP="00143FD2">
      <w:pPr>
        <w:pStyle w:val="ListParagraph"/>
        <w:numPr>
          <w:ilvl w:val="0"/>
          <w:numId w:val="5"/>
        </w:numPr>
        <w:spacing w:after="120" w:line="360" w:lineRule="auto"/>
        <w:jc w:val="both"/>
        <w:rPr>
          <w:color w:val="000000" w:themeColor="text1"/>
        </w:rPr>
      </w:pPr>
      <w:r w:rsidRPr="00F94904">
        <w:rPr>
          <w:b/>
          <w:bCs/>
          <w:color w:val="000000" w:themeColor="text1"/>
        </w:rPr>
        <w:t>Reframe retention around affective, not continuance, commitment.</w:t>
      </w:r>
      <w:r w:rsidRPr="00F94904">
        <w:rPr>
          <w:color w:val="000000" w:themeColor="text1"/>
        </w:rPr>
        <w:t xml:space="preserve"> Managers need to not just take a low headline turnover figure as a measure of success, but also measure engagement and well-being, with short yearly interviews or focus groups to find out if staff are ‘trapped but retained'. It is intended that costly entrapment be replaced with real attachment, that is, that WLB support be evident in success (Meyer and Allen, </w:t>
      </w:r>
      <w:r w:rsidRPr="00F94904">
        <w:rPr>
          <w:color w:val="000000" w:themeColor="text1"/>
        </w:rPr>
        <w:lastRenderedPageBreak/>
        <w:t>1991). More recent evidence indicates that WLB support contributes to this commitment when it increases job satisfaction (Inegbedion, 2024).</w:t>
      </w:r>
    </w:p>
    <w:p w14:paraId="521AD676" w14:textId="77777777" w:rsidR="00B37498" w:rsidRPr="00F94904" w:rsidRDefault="00B37498" w:rsidP="0098366A">
      <w:pPr>
        <w:pStyle w:val="Heading2"/>
        <w:rPr>
          <w:color w:val="000000" w:themeColor="text1"/>
        </w:rPr>
      </w:pPr>
    </w:p>
    <w:p w14:paraId="0994CDD6" w14:textId="226D31C3" w:rsidR="00571993" w:rsidRPr="00F94904" w:rsidRDefault="00237399" w:rsidP="0098366A">
      <w:pPr>
        <w:pStyle w:val="Heading2"/>
        <w:rPr>
          <w:color w:val="000000" w:themeColor="text1"/>
        </w:rPr>
      </w:pPr>
      <w:bookmarkStart w:id="56" w:name="_Toc241018071"/>
      <w:r w:rsidRPr="00F94904">
        <w:rPr>
          <w:color w:val="000000" w:themeColor="text1"/>
        </w:rPr>
        <w:t>5.5 Limitations of the Study</w:t>
      </w:r>
      <w:bookmarkEnd w:id="56"/>
    </w:p>
    <w:p w14:paraId="3F952739" w14:textId="45F341C9" w:rsidR="0098366A" w:rsidRPr="00F94904" w:rsidRDefault="00B37498" w:rsidP="00143FD2">
      <w:pPr>
        <w:rPr>
          <w:b/>
          <w:bCs/>
          <w:color w:val="000000" w:themeColor="text1"/>
        </w:rPr>
      </w:pPr>
      <w:r w:rsidRPr="00F94904">
        <w:rPr>
          <w:color w:val="000000" w:themeColor="text1"/>
        </w:rPr>
        <w:t xml:space="preserve">There are several limitations to the conclusions that should be considered when reading the </w:t>
      </w:r>
      <w:r w:rsidR="00CE6285" w:rsidRPr="00F94904">
        <w:rPr>
          <w:color w:val="000000" w:themeColor="text1"/>
        </w:rPr>
        <w:t>study</w:t>
      </w:r>
      <w:r w:rsidRPr="00F94904">
        <w:rPr>
          <w:color w:val="000000" w:themeColor="text1"/>
        </w:rPr>
        <w:t>, the majority of which arose from the design selected. It was small and purposive - ten professionals across four sectors do not provide a statistically generalisable picture of all workplaces, therefore the findings are only analytic rather than statistical generalisation (Saunders, Lewis and Thornhill, 2023). Second, recruitment via professional/institutional connections may have led to self-selection bias as those who volunteered may have had stronger opinions about WLB than those who did not. Thirdly, the study was cross-sectional, which meant that the perceptions were only gathered at one point in time, so that it was not possible to determine how views change as policies or individual situations change. Fourth, reflexive thematic analysis (Braun and Clarke, 2022) is a process dependent on the researcher's interpretation, and there is a risk of interpretive bias which was dealt with by reflexivity and by a transparent six-phase process, but cannot be eradicated. These are the hallmarks of small-scale qualitative research and are not a detriment to the depth of understanding that the study offers.</w:t>
      </w:r>
    </w:p>
    <w:p w14:paraId="40B72A44" w14:textId="77777777" w:rsidR="0098366A" w:rsidRPr="00F94904" w:rsidRDefault="0098366A" w:rsidP="0098366A">
      <w:pPr>
        <w:pStyle w:val="Heading2"/>
        <w:rPr>
          <w:color w:val="000000" w:themeColor="text1"/>
        </w:rPr>
      </w:pPr>
    </w:p>
    <w:p w14:paraId="75236C3C" w14:textId="580E8953" w:rsidR="00571993" w:rsidRPr="00F94904" w:rsidRDefault="00B37498" w:rsidP="0098366A">
      <w:pPr>
        <w:pStyle w:val="Heading2"/>
        <w:rPr>
          <w:color w:val="000000" w:themeColor="text1"/>
        </w:rPr>
      </w:pPr>
      <w:bookmarkStart w:id="57" w:name="_Toc241018072"/>
      <w:r w:rsidRPr="00F94904">
        <w:rPr>
          <w:color w:val="000000" w:themeColor="text1"/>
        </w:rPr>
        <w:t>5.6 Directions for Future Research</w:t>
      </w:r>
      <w:bookmarkEnd w:id="57"/>
    </w:p>
    <w:p w14:paraId="6D591745" w14:textId="5FD8949E" w:rsidR="0098366A" w:rsidRPr="00F94904" w:rsidRDefault="00B37498" w:rsidP="00143FD2">
      <w:pPr>
        <w:rPr>
          <w:b/>
          <w:bCs/>
          <w:color w:val="000000" w:themeColor="text1"/>
        </w:rPr>
      </w:pPr>
      <w:r w:rsidRPr="00F94904">
        <w:rPr>
          <w:color w:val="000000" w:themeColor="text1"/>
        </w:rPr>
        <w:t xml:space="preserve">The restrictions suggest some promising avenues for future exploration. First, as the researcher observed while conducting the analysis, the focus groups would be a useful complement to the individual interviews, as the cultural (shared, collective) aspect of presenteeism and stigma could be explored in group discussion as well as in individual interview. Secondly, a longitudinal study that tracked the same employees over 1-2 years would help answer questions about the extent to which the “trapped but retained” employees eventually leave, and whether improvements in accessibility over time affect that commitment. Third, a larger scale (mixed-methods) study could further test the accessibility-demand mechanism found here on a broader range of respondents by developing a survey based on the qualitative themes found in this study that separates affective from continuance commitment. Finally, further single-sector work, especially in the NHS which this research confirmed is a hotspot for demand, should explore </w:t>
      </w:r>
      <w:r w:rsidRPr="00F94904">
        <w:rPr>
          <w:color w:val="000000" w:themeColor="text1"/>
        </w:rPr>
        <w:lastRenderedPageBreak/>
        <w:t>the interaction of safe staffing and rostering reforms with WLB policy, taking into account the research findings of risks to patient safety.</w:t>
      </w:r>
    </w:p>
    <w:p w14:paraId="32364094" w14:textId="77777777" w:rsidR="0098366A" w:rsidRPr="00F94904" w:rsidRDefault="0098366A" w:rsidP="0098366A">
      <w:pPr>
        <w:pStyle w:val="Heading2"/>
        <w:rPr>
          <w:color w:val="000000" w:themeColor="text1"/>
        </w:rPr>
      </w:pPr>
    </w:p>
    <w:p w14:paraId="689D6B81" w14:textId="0DDEAA41" w:rsidR="00571993" w:rsidRPr="00F94904" w:rsidRDefault="00B37498" w:rsidP="0098366A">
      <w:pPr>
        <w:pStyle w:val="Heading2"/>
        <w:rPr>
          <w:color w:val="000000" w:themeColor="text1"/>
        </w:rPr>
      </w:pPr>
      <w:bookmarkStart w:id="58" w:name="_Toc241018073"/>
      <w:r w:rsidRPr="00F94904">
        <w:rPr>
          <w:color w:val="000000" w:themeColor="text1"/>
        </w:rPr>
        <w:t>5.7 Concluding Remarks</w:t>
      </w:r>
      <w:bookmarkEnd w:id="58"/>
    </w:p>
    <w:p w14:paraId="70D0DB31" w14:textId="798C4899" w:rsidR="00571993" w:rsidRPr="00F94904" w:rsidRDefault="00B37498" w:rsidP="00143FD2">
      <w:pPr>
        <w:rPr>
          <w:color w:val="000000" w:themeColor="text1"/>
        </w:rPr>
      </w:pPr>
      <w:r w:rsidRPr="00F94904">
        <w:rPr>
          <w:color w:val="000000" w:themeColor="text1"/>
        </w:rPr>
        <w:t>This study aimed to find out not if WLB policies were present, but if they are effective and for whom. The thrust of its message is that a policy is no better than an employee's ability to implement it without penalty in a reasonable workload. Formal provision is beginning, not the end result. It is a practice that can be lived and protected and endorsed by the culture, and can lead to real engagement and loyalty; it is a document to be published and handed out, and will only continue to produce more burnt-out, disengaged staff who stay because it costs more to leave the organisation. The most important practical result of this research is to identify the difference between these two outcomes, and to not confuse the first with the second.</w:t>
      </w:r>
      <w:r w:rsidRPr="00F94904">
        <w:rPr>
          <w:color w:val="000000" w:themeColor="text1"/>
        </w:rPr>
        <w:br w:type="page"/>
      </w:r>
    </w:p>
    <w:p w14:paraId="1775E8CE" w14:textId="77777777" w:rsidR="00571993" w:rsidRPr="00F94904" w:rsidRDefault="00237399" w:rsidP="0098366A">
      <w:pPr>
        <w:pStyle w:val="Heading1"/>
        <w:jc w:val="both"/>
        <w:rPr>
          <w:color w:val="000000" w:themeColor="text1"/>
        </w:rPr>
      </w:pPr>
      <w:bookmarkStart w:id="59" w:name="_Toc241018074"/>
      <w:r w:rsidRPr="00F94904">
        <w:rPr>
          <w:color w:val="000000" w:themeColor="text1"/>
        </w:rPr>
        <w:lastRenderedPageBreak/>
        <w:t>References</w:t>
      </w:r>
      <w:bookmarkEnd w:id="59"/>
    </w:p>
    <w:p w14:paraId="2170E002" w14:textId="3DA424A5" w:rsidR="00571993" w:rsidRPr="00F94904" w:rsidRDefault="00237399" w:rsidP="00143FD2">
      <w:pPr>
        <w:rPr>
          <w:color w:val="000000" w:themeColor="text1"/>
        </w:rPr>
      </w:pPr>
      <w:r w:rsidRPr="00F94904">
        <w:rPr>
          <w:color w:val="000000" w:themeColor="text1"/>
        </w:rPr>
        <w:t>Allen, T.D., Golden, T.D. and Shockley, K.M. (2015) 'How effective is telecommuting? Assessing the status of our scientific findings', Psychological Science in the Public Interest, 16(2), pp. 40-68.</w:t>
      </w:r>
    </w:p>
    <w:p w14:paraId="024E76E9" w14:textId="67E4FD95" w:rsidR="00571993" w:rsidRPr="00F94904" w:rsidRDefault="00237399" w:rsidP="00143FD2">
      <w:pPr>
        <w:rPr>
          <w:color w:val="000000" w:themeColor="text1"/>
        </w:rPr>
      </w:pPr>
      <w:r w:rsidRPr="00F94904">
        <w:rPr>
          <w:color w:val="000000" w:themeColor="text1"/>
        </w:rPr>
        <w:t>Allen, T.D., Johnson, R.C., Kiburz, K.M. and Shockley, K.M. (2013) 'Work-family conflict and flexible work arrangements: Deconstructing flexibility', Personnel Psychology, 66(2), pp. 345-376.</w:t>
      </w:r>
    </w:p>
    <w:p w14:paraId="17347561" w14:textId="17A1F295" w:rsidR="00571993" w:rsidRPr="00F94904" w:rsidRDefault="00237399" w:rsidP="00143FD2">
      <w:pPr>
        <w:rPr>
          <w:color w:val="000000" w:themeColor="text1"/>
        </w:rPr>
      </w:pPr>
      <w:r w:rsidRPr="00F94904">
        <w:rPr>
          <w:color w:val="000000" w:themeColor="text1"/>
        </w:rPr>
        <w:t>Bakker, A.B. and de Vries, J.D. (2021) 'Job demands-resources theory and self-regulation: New explanations and remedies for job burnout', Anxiety, Stress &amp; Coping, 34(1), pp. 1-21.</w:t>
      </w:r>
    </w:p>
    <w:p w14:paraId="5287CE93" w14:textId="583F5BE2" w:rsidR="00571993" w:rsidRPr="00F94904" w:rsidRDefault="00237399" w:rsidP="00143FD2">
      <w:pPr>
        <w:rPr>
          <w:color w:val="000000" w:themeColor="text1"/>
        </w:rPr>
      </w:pPr>
      <w:r w:rsidRPr="00F94904">
        <w:rPr>
          <w:color w:val="000000" w:themeColor="text1"/>
        </w:rPr>
        <w:t>Bakker, A.B. and Demerouti, E. (2007) 'The job demands-resources model: State of the art', Journal of Managerial Psychology, 22(3), pp. 309-328.</w:t>
      </w:r>
    </w:p>
    <w:p w14:paraId="3F0CC10F" w14:textId="7C0B4372" w:rsidR="00571993" w:rsidRPr="00F94904" w:rsidRDefault="00237399" w:rsidP="00143FD2">
      <w:pPr>
        <w:rPr>
          <w:color w:val="000000" w:themeColor="text1"/>
        </w:rPr>
      </w:pPr>
      <w:r w:rsidRPr="00F94904">
        <w:rPr>
          <w:color w:val="000000" w:themeColor="text1"/>
        </w:rPr>
        <w:t>Bakker, A.B. and Demerouti, E. (2017) 'Job demands-resources theory: Taking stock and looking forward', Journal of Occupational Health Psychology, 22(3), pp. 273-285.</w:t>
      </w:r>
    </w:p>
    <w:p w14:paraId="67572640" w14:textId="1F78CFF9" w:rsidR="00571993" w:rsidRPr="00F94904" w:rsidRDefault="00237399" w:rsidP="00143FD2">
      <w:pPr>
        <w:rPr>
          <w:color w:val="000000" w:themeColor="text1"/>
        </w:rPr>
      </w:pPr>
      <w:r w:rsidRPr="00F94904">
        <w:rPr>
          <w:color w:val="000000" w:themeColor="text1"/>
        </w:rPr>
        <w:t>Bakker, A.B., Demerouti, E. and Euwema, M.C. (2005) 'Job resources buffer the impact of job demands on burnout', Journal of Occupational Health Psychology, 10(2), pp. 170-180.</w:t>
      </w:r>
    </w:p>
    <w:p w14:paraId="1563623C" w14:textId="4083E01C" w:rsidR="00571993" w:rsidRPr="00F94904" w:rsidRDefault="00237399" w:rsidP="00143FD2">
      <w:pPr>
        <w:rPr>
          <w:color w:val="000000" w:themeColor="text1"/>
        </w:rPr>
      </w:pPr>
      <w:r w:rsidRPr="00F94904">
        <w:rPr>
          <w:color w:val="000000" w:themeColor="text1"/>
        </w:rPr>
        <w:t>Bakker, A.B., Demerouti, E. and Sanz-Vergel, A. (2023) 'Job demands-resources theory: Ten years later', Annual Review of Organizational Psychology and Organizational Behavior, 10, pp. 25-53.</w:t>
      </w:r>
    </w:p>
    <w:p w14:paraId="20BC4A60" w14:textId="1A08D6C0" w:rsidR="00571993" w:rsidRPr="00F94904" w:rsidRDefault="00237399" w:rsidP="00143FD2">
      <w:pPr>
        <w:rPr>
          <w:color w:val="000000" w:themeColor="text1"/>
        </w:rPr>
      </w:pPr>
      <w:r w:rsidRPr="00F94904">
        <w:rPr>
          <w:color w:val="000000" w:themeColor="text1"/>
        </w:rPr>
        <w:t>Beauregard, T.A. and Henry, L.C. (2009) 'Making the link between work-life balance practices and organizational performance', Human Resource Management Review, 19(1), pp. 9-22.</w:t>
      </w:r>
    </w:p>
    <w:p w14:paraId="727E0FA7" w14:textId="77777777" w:rsidR="00571993" w:rsidRPr="00F94904" w:rsidRDefault="00237399" w:rsidP="00143FD2">
      <w:pPr>
        <w:rPr>
          <w:color w:val="000000" w:themeColor="text1"/>
        </w:rPr>
      </w:pPr>
      <w:r w:rsidRPr="00F94904">
        <w:rPr>
          <w:color w:val="000000" w:themeColor="text1"/>
        </w:rPr>
        <w:t>Beckel, J.L.O. and Fisher, G.G. (2022) 'Telework and worker health and well-being: A review and recommendations for research and practice', International Journal of Environmental Research and Public Health, 19(7), 3879.</w:t>
      </w:r>
    </w:p>
    <w:p w14:paraId="692B5E25" w14:textId="77777777" w:rsidR="00571993" w:rsidRPr="00F94904" w:rsidRDefault="00237399" w:rsidP="00143FD2">
      <w:pPr>
        <w:rPr>
          <w:color w:val="000000" w:themeColor="text1"/>
        </w:rPr>
      </w:pPr>
      <w:r w:rsidRPr="00F94904">
        <w:rPr>
          <w:color w:val="000000" w:themeColor="text1"/>
        </w:rPr>
        <w:t>Berberoglu, A. (2018) 'Impact of organizational climate on organizational commitment and perceived organizational performance: empirical evidence from public hospitals', BMC Health Services Research, 18, 399.</w:t>
      </w:r>
    </w:p>
    <w:p w14:paraId="3FC7A19C" w14:textId="437A6D30" w:rsidR="00571993" w:rsidRPr="00F94904" w:rsidRDefault="00237399" w:rsidP="00143FD2">
      <w:pPr>
        <w:rPr>
          <w:color w:val="000000" w:themeColor="text1"/>
        </w:rPr>
      </w:pPr>
      <w:r w:rsidRPr="00F94904">
        <w:rPr>
          <w:color w:val="000000" w:themeColor="text1"/>
        </w:rPr>
        <w:t>Bloom, N., Liang, J., Roberts, J. and Ying, Z.J. (2015) 'Does working from home work? Evidence from a Chinese experiment', The Quarterly Journal of Economics, 130(1), pp. 165-218.</w:t>
      </w:r>
    </w:p>
    <w:p w14:paraId="688FB449" w14:textId="1CF8B9B1" w:rsidR="00571993" w:rsidRPr="00F94904" w:rsidRDefault="00237399" w:rsidP="00143FD2">
      <w:pPr>
        <w:rPr>
          <w:color w:val="000000" w:themeColor="text1"/>
        </w:rPr>
      </w:pPr>
      <w:r w:rsidRPr="00F94904">
        <w:rPr>
          <w:color w:val="000000" w:themeColor="text1"/>
        </w:rPr>
        <w:lastRenderedPageBreak/>
        <w:t>Braun, V. and Clarke, V. (2006) 'Using thematic analysis in psychology', Qualitative Research in Psychology, 3(2), pp. 77-101.</w:t>
      </w:r>
    </w:p>
    <w:p w14:paraId="6C0453D2" w14:textId="311221BA" w:rsidR="00571993" w:rsidRPr="00F94904" w:rsidRDefault="00237399" w:rsidP="00143FD2">
      <w:pPr>
        <w:rPr>
          <w:color w:val="000000" w:themeColor="text1"/>
        </w:rPr>
      </w:pPr>
      <w:r w:rsidRPr="00F94904">
        <w:rPr>
          <w:color w:val="000000" w:themeColor="text1"/>
        </w:rPr>
        <w:t>Braun, V. and Clarke, V. (2021a) 'One size fits all? What counts as quality practice in (reflexive) thematic analysis?', Qualitative Research in Psychology, 18(3), pp. 328-352.</w:t>
      </w:r>
    </w:p>
    <w:p w14:paraId="7D10906D" w14:textId="09B51153" w:rsidR="00571993" w:rsidRPr="00F94904" w:rsidRDefault="00237399" w:rsidP="00143FD2">
      <w:pPr>
        <w:rPr>
          <w:color w:val="000000" w:themeColor="text1"/>
        </w:rPr>
      </w:pPr>
      <w:r w:rsidRPr="00F94904">
        <w:rPr>
          <w:color w:val="000000" w:themeColor="text1"/>
        </w:rPr>
        <w:t>Braun, V. and Clarke, V. (2021b) 'To saturate or not to saturate? Questioning data saturation as a useful concept for thematic analysis and sample-size rationales', Qualitative Research in Sport, Exercise and Health, 13(2), pp. 201-216.</w:t>
      </w:r>
    </w:p>
    <w:p w14:paraId="7F81B096" w14:textId="77777777" w:rsidR="00571993" w:rsidRPr="00F94904" w:rsidRDefault="00237399" w:rsidP="00143FD2">
      <w:pPr>
        <w:rPr>
          <w:color w:val="000000" w:themeColor="text1"/>
        </w:rPr>
      </w:pPr>
      <w:r w:rsidRPr="00F94904">
        <w:rPr>
          <w:color w:val="000000" w:themeColor="text1"/>
        </w:rPr>
        <w:t>Braun, V. and Clarke, V. (2022) Thematic Analysis: A Practical Guide. London: SAGE.</w:t>
      </w:r>
    </w:p>
    <w:p w14:paraId="2D606899" w14:textId="77777777" w:rsidR="00571993" w:rsidRPr="00F94904" w:rsidRDefault="00237399" w:rsidP="00143FD2">
      <w:pPr>
        <w:rPr>
          <w:color w:val="000000" w:themeColor="text1"/>
        </w:rPr>
      </w:pPr>
      <w:r w:rsidRPr="00F94904">
        <w:rPr>
          <w:color w:val="000000" w:themeColor="text1"/>
        </w:rPr>
        <w:t>Buchan, J., Charlesworth, A., Gershlick, B. and Seccombe, I. (2019) A Critical Moment: NHS Staffing Trends, Retention and Attrition. London: The Health Foundation.</w:t>
      </w:r>
    </w:p>
    <w:p w14:paraId="66998408" w14:textId="2AFEF8DA" w:rsidR="00571993" w:rsidRPr="00F94904" w:rsidRDefault="00237399" w:rsidP="00143FD2">
      <w:pPr>
        <w:rPr>
          <w:color w:val="000000" w:themeColor="text1"/>
        </w:rPr>
      </w:pPr>
      <w:r w:rsidRPr="00F94904">
        <w:rPr>
          <w:color w:val="000000" w:themeColor="text1"/>
        </w:rPr>
        <w:t>Byrne, D. (2022) 'A worked example of Braun and Clarke's approach to reflexive thematic analysis', Quality &amp; Quantity, 56(3), pp. 1391-1412.</w:t>
      </w:r>
    </w:p>
    <w:p w14:paraId="2A6B0791" w14:textId="3F543C59" w:rsidR="00571993" w:rsidRPr="00F94904" w:rsidRDefault="00237399" w:rsidP="00143FD2">
      <w:pPr>
        <w:rPr>
          <w:color w:val="000000" w:themeColor="text1"/>
        </w:rPr>
      </w:pPr>
      <w:r w:rsidRPr="00F94904">
        <w:rPr>
          <w:color w:val="000000" w:themeColor="text1"/>
        </w:rPr>
        <w:t>Campbell, S., Greenwood, M., Prior, S., Shearer, T., Walkem, K., Young, S., Bywaters, D. and Walker, K. (2020) 'Purposive sampling: Complex or simple? Research case examples', Journal of Research in Nursing, 25(8), pp. 652-661.</w:t>
      </w:r>
    </w:p>
    <w:p w14:paraId="670E054A" w14:textId="02ECA3C2" w:rsidR="00571993" w:rsidRPr="00F94904" w:rsidRDefault="00237399" w:rsidP="00143FD2">
      <w:pPr>
        <w:rPr>
          <w:color w:val="000000" w:themeColor="text1"/>
        </w:rPr>
      </w:pPr>
      <w:r w:rsidRPr="00F94904">
        <w:rPr>
          <w:color w:val="000000" w:themeColor="text1"/>
        </w:rPr>
        <w:t>Charalampous, M., Grant, C.A., Tramontano, C. and Michailidis, E. (2019) 'Systematically reviewing remote e-workers' well-being at work: A multidimensional approach', European Journal of Work and Organizational Psychology, 28(1), pp. 51-73.</w:t>
      </w:r>
    </w:p>
    <w:p w14:paraId="1FEDC9E4" w14:textId="77777777" w:rsidR="00571993" w:rsidRPr="00F94904" w:rsidRDefault="00237399" w:rsidP="00143FD2">
      <w:pPr>
        <w:rPr>
          <w:color w:val="000000" w:themeColor="text1"/>
        </w:rPr>
      </w:pPr>
      <w:r w:rsidRPr="00F94904">
        <w:rPr>
          <w:color w:val="000000" w:themeColor="text1"/>
        </w:rPr>
        <w:t>Chartered Institute of Personnel and Development (2023) Flexible and Hybrid Working Practices in 2023. London: CIPD.</w:t>
      </w:r>
    </w:p>
    <w:p w14:paraId="0066F9C9" w14:textId="4801625C" w:rsidR="00571993" w:rsidRPr="00F94904" w:rsidRDefault="00237399" w:rsidP="00143FD2">
      <w:pPr>
        <w:rPr>
          <w:color w:val="000000" w:themeColor="text1"/>
        </w:rPr>
      </w:pPr>
      <w:r w:rsidRPr="00F94904">
        <w:rPr>
          <w:color w:val="000000" w:themeColor="text1"/>
        </w:rPr>
        <w:t>Chung, H. (2020) 'Gender, flexibility stigma and the perceived negative consequences of flexible working in the UK', Social Indicators Research, 151(2), pp. 521-545.</w:t>
      </w:r>
    </w:p>
    <w:p w14:paraId="09895237" w14:textId="77777777" w:rsidR="00571993" w:rsidRPr="00F94904" w:rsidRDefault="00237399" w:rsidP="00143FD2">
      <w:pPr>
        <w:rPr>
          <w:color w:val="000000" w:themeColor="text1"/>
        </w:rPr>
      </w:pPr>
      <w:r w:rsidRPr="00F94904">
        <w:rPr>
          <w:color w:val="000000" w:themeColor="text1"/>
        </w:rPr>
        <w:t>Chung, H. (2022) The Flexibility Paradox: Why Flexible Working Leads to (Self-)Exploitation. Bristol: Policy Press.</w:t>
      </w:r>
    </w:p>
    <w:p w14:paraId="7423B250" w14:textId="15C4B53D" w:rsidR="00571993" w:rsidRPr="00F94904" w:rsidRDefault="00237399" w:rsidP="00143FD2">
      <w:pPr>
        <w:rPr>
          <w:color w:val="000000" w:themeColor="text1"/>
        </w:rPr>
      </w:pPr>
      <w:r w:rsidRPr="00F94904">
        <w:rPr>
          <w:color w:val="000000" w:themeColor="text1"/>
        </w:rPr>
        <w:t>Chung, H. and van der Horst, M. (2018) 'Women's employment patterns after childbirth and the perceived access to and use of flexitime and teleworking', Human Relations, 71(1), pp. 47-72.</w:t>
      </w:r>
    </w:p>
    <w:p w14:paraId="187CA755" w14:textId="0B64FEA6" w:rsidR="00571993" w:rsidRPr="00F94904" w:rsidRDefault="00237399" w:rsidP="00143FD2">
      <w:pPr>
        <w:rPr>
          <w:color w:val="000000" w:themeColor="text1"/>
        </w:rPr>
      </w:pPr>
      <w:r w:rsidRPr="00F94904">
        <w:rPr>
          <w:color w:val="000000" w:themeColor="text1"/>
        </w:rPr>
        <w:lastRenderedPageBreak/>
        <w:t>Chung, H. and van der Horst, M. (2020) 'Flexible working and unpaid overtime in the UK: The role of gender, parental and occupational status', Social Indicators Research, 151(2), pp. 495-520.</w:t>
      </w:r>
    </w:p>
    <w:p w14:paraId="012C3163" w14:textId="11F2C29F" w:rsidR="00571993" w:rsidRPr="00F94904" w:rsidRDefault="00237399" w:rsidP="00143FD2">
      <w:pPr>
        <w:rPr>
          <w:color w:val="000000" w:themeColor="text1"/>
        </w:rPr>
      </w:pPr>
      <w:r w:rsidRPr="00F94904">
        <w:rPr>
          <w:color w:val="000000" w:themeColor="text1"/>
        </w:rPr>
        <w:t>Chung, H. and van der Lippe, T. (2020) 'Flexible working, work-life balance, and gender equality: Introduction', Social Indicators Research, 151(2), pp. 365-381.</w:t>
      </w:r>
    </w:p>
    <w:p w14:paraId="176F5DB6" w14:textId="73084985" w:rsidR="00571993" w:rsidRPr="00F94904" w:rsidRDefault="00237399" w:rsidP="00143FD2">
      <w:pPr>
        <w:rPr>
          <w:color w:val="000000" w:themeColor="text1"/>
        </w:rPr>
      </w:pPr>
      <w:r w:rsidRPr="00F94904">
        <w:rPr>
          <w:color w:val="000000" w:themeColor="text1"/>
        </w:rPr>
        <w:t>Clark, S.C. (2000) 'Work/family border theory: A new theory of work/family balance', Human Relations, 53(6), pp. 747-770.</w:t>
      </w:r>
    </w:p>
    <w:p w14:paraId="266AD22E" w14:textId="3B877877" w:rsidR="00571993" w:rsidRPr="00F94904" w:rsidRDefault="00237399" w:rsidP="00143FD2">
      <w:pPr>
        <w:rPr>
          <w:color w:val="000000" w:themeColor="text1"/>
        </w:rPr>
      </w:pPr>
      <w:r w:rsidRPr="00F94904">
        <w:rPr>
          <w:color w:val="000000" w:themeColor="text1"/>
        </w:rPr>
        <w:t>Cole, M.S., Walter, F., Bedeian, A.G. and O'Boyle, E.H. (2012) 'Job burnout and employee engagement: A meta-analytic examination of construct proliferation', Journal of Management, 38(5), pp. 1550-1581.</w:t>
      </w:r>
    </w:p>
    <w:p w14:paraId="6B0E037D" w14:textId="77777777" w:rsidR="00571993" w:rsidRPr="00F94904" w:rsidRDefault="00237399" w:rsidP="00143FD2">
      <w:pPr>
        <w:rPr>
          <w:color w:val="000000" w:themeColor="text1"/>
        </w:rPr>
      </w:pPr>
      <w:r w:rsidRPr="00F94904">
        <w:rPr>
          <w:color w:val="000000" w:themeColor="text1"/>
        </w:rPr>
        <w:t>Contreras, F., Baykal, E. and Abid, G. (2020) 'E-leadership and teleworking in times of COVID-19 and beyond: What we know and where do we go', Frontiers in Psychology, 11, 590271.</w:t>
      </w:r>
    </w:p>
    <w:p w14:paraId="13A8D3A1" w14:textId="77777777" w:rsidR="00571993" w:rsidRPr="00F94904" w:rsidRDefault="00237399" w:rsidP="00143FD2">
      <w:pPr>
        <w:rPr>
          <w:color w:val="000000" w:themeColor="text1"/>
        </w:rPr>
      </w:pPr>
      <w:r w:rsidRPr="00F94904">
        <w:rPr>
          <w:color w:val="000000" w:themeColor="text1"/>
        </w:rPr>
        <w:t>Creswell, J.W. and Creswell, J.D. (2018) Research Design: Qualitative, Quantitative, and Mixed Methods Approaches. 5th edn. Los Angeles: SAGE.</w:t>
      </w:r>
    </w:p>
    <w:p w14:paraId="4ECB7113" w14:textId="77777777" w:rsidR="00571993" w:rsidRPr="00F94904" w:rsidRDefault="00237399" w:rsidP="00143FD2">
      <w:pPr>
        <w:rPr>
          <w:color w:val="000000" w:themeColor="text1"/>
        </w:rPr>
      </w:pPr>
      <w:r w:rsidRPr="00F94904">
        <w:rPr>
          <w:color w:val="000000" w:themeColor="text1"/>
        </w:rPr>
        <w:t>Crotty, M. (1998) The Foundations of Social Research: Meaning and Perspective in the Research Process. London: SAGE.</w:t>
      </w:r>
    </w:p>
    <w:p w14:paraId="6DBDB879" w14:textId="77777777" w:rsidR="00571993" w:rsidRPr="00F94904" w:rsidRDefault="00237399" w:rsidP="00143FD2">
      <w:pPr>
        <w:rPr>
          <w:color w:val="000000" w:themeColor="text1"/>
        </w:rPr>
      </w:pPr>
      <w:r w:rsidRPr="00F94904">
        <w:rPr>
          <w:color w:val="000000" w:themeColor="text1"/>
        </w:rPr>
        <w:t>Dall'Ora, C., Ball, J., Reinius, M. and Griffiths, P. (2020) 'Burnout in nursing: A theoretical review', Human Resources for Health, 18(1), 41.</w:t>
      </w:r>
    </w:p>
    <w:p w14:paraId="225ADA3E" w14:textId="77777777" w:rsidR="00571993" w:rsidRPr="00F94904" w:rsidRDefault="00237399" w:rsidP="00143FD2">
      <w:pPr>
        <w:rPr>
          <w:color w:val="000000" w:themeColor="text1"/>
        </w:rPr>
      </w:pPr>
      <w:r w:rsidRPr="00F94904">
        <w:rPr>
          <w:color w:val="000000" w:themeColor="text1"/>
        </w:rPr>
        <w:t>Dall'Ora, C., Griffiths, P., Ball, J., Simon, M. and Aiken, L.H. (2015) 'Association of 12 h shifts and nurses' job satisfaction, burnout and intention to leave: Findings from a cross-sectional study of 12 European countries', BMJ Open, 5(9), e008331.</w:t>
      </w:r>
    </w:p>
    <w:p w14:paraId="12733FBD" w14:textId="6F90943D" w:rsidR="00571993" w:rsidRPr="00F94904" w:rsidRDefault="00237399" w:rsidP="00143FD2">
      <w:pPr>
        <w:rPr>
          <w:color w:val="000000" w:themeColor="text1"/>
        </w:rPr>
      </w:pPr>
      <w:r w:rsidRPr="00F94904">
        <w:rPr>
          <w:color w:val="000000" w:themeColor="text1"/>
        </w:rPr>
        <w:t>Demerouti, E., Bakker, A.B., Nachreiner, F. and Schaufeli, W.B. (2001) 'The job demands-resources model of burnout', Journal of Applied Psychology, 86(3), pp. 499-512.</w:t>
      </w:r>
    </w:p>
    <w:p w14:paraId="6A60E683" w14:textId="7D3D69D7" w:rsidR="00571993" w:rsidRPr="00F94904" w:rsidRDefault="00237399" w:rsidP="00143FD2">
      <w:pPr>
        <w:rPr>
          <w:color w:val="000000" w:themeColor="text1"/>
        </w:rPr>
      </w:pPr>
      <w:r w:rsidRPr="00F94904">
        <w:rPr>
          <w:color w:val="000000" w:themeColor="text1"/>
        </w:rPr>
        <w:t>Derks, D., van Mierlo, H. and Schmitz, E.B. (2014) 'A diary study on work-related smartphone use, psychological detachment and exhaustion: Examining the role of the perceived segmentation norm', Journal of Occupational Health Psychology, 19(1), pp. 74-84.</w:t>
      </w:r>
    </w:p>
    <w:p w14:paraId="227819EA" w14:textId="77777777" w:rsidR="00571993" w:rsidRPr="00F94904" w:rsidRDefault="00237399" w:rsidP="00143FD2">
      <w:pPr>
        <w:rPr>
          <w:color w:val="000000" w:themeColor="text1"/>
        </w:rPr>
      </w:pPr>
      <w:r w:rsidRPr="00F94904">
        <w:rPr>
          <w:color w:val="000000" w:themeColor="text1"/>
        </w:rPr>
        <w:t>Dobbins, T. (2021) Flexible Working: Remote and Hybrid Work. Commons Library Research Briefing CBP-9391. London: House of Commons Library.</w:t>
      </w:r>
    </w:p>
    <w:p w14:paraId="7486F62E" w14:textId="77777777" w:rsidR="00571993" w:rsidRPr="00F94904" w:rsidRDefault="00237399" w:rsidP="00143FD2">
      <w:pPr>
        <w:rPr>
          <w:color w:val="000000" w:themeColor="text1"/>
        </w:rPr>
      </w:pPr>
      <w:r w:rsidRPr="00F94904">
        <w:rPr>
          <w:color w:val="000000" w:themeColor="text1"/>
        </w:rPr>
        <w:lastRenderedPageBreak/>
        <w:t>Employment Relations (Flexible Working) Act 2023, c. 30. Available at: https://www.legislation.gov.uk/ukpga/2023/30 (Accessed: 9 September 2026).</w:t>
      </w:r>
    </w:p>
    <w:p w14:paraId="789F2A2F" w14:textId="355B7CF6" w:rsidR="00571993" w:rsidRPr="00F94904" w:rsidRDefault="00237399" w:rsidP="00143FD2">
      <w:pPr>
        <w:rPr>
          <w:color w:val="000000" w:themeColor="text1"/>
        </w:rPr>
      </w:pPr>
      <w:r w:rsidRPr="00F94904">
        <w:rPr>
          <w:color w:val="000000" w:themeColor="text1"/>
        </w:rPr>
        <w:t>Felstead, A. and Henseke, G. (2017) 'Assessing the growth of remote working and its consequences for effort, well-being and work-life balance', New Technology, Work and Employment, 32(3), pp. 195-212.</w:t>
      </w:r>
    </w:p>
    <w:p w14:paraId="0D224770" w14:textId="77777777" w:rsidR="00571993" w:rsidRPr="00F94904" w:rsidRDefault="00237399" w:rsidP="00143FD2">
      <w:pPr>
        <w:rPr>
          <w:color w:val="000000" w:themeColor="text1"/>
        </w:rPr>
      </w:pPr>
      <w:r w:rsidRPr="00F94904">
        <w:rPr>
          <w:color w:val="000000" w:themeColor="text1"/>
        </w:rPr>
        <w:t>Felstead, A. and Reuschke, D. (2020) Homeworking in the UK: Before and During the 2020 Lockdown. WISERD Report. Cardiff: Wales Institute of Social and Economic Research.</w:t>
      </w:r>
    </w:p>
    <w:p w14:paraId="771B38A0" w14:textId="77777777" w:rsidR="00571993" w:rsidRPr="00F94904" w:rsidRDefault="00237399" w:rsidP="00143FD2">
      <w:pPr>
        <w:rPr>
          <w:color w:val="000000" w:themeColor="text1"/>
        </w:rPr>
      </w:pPr>
      <w:r w:rsidRPr="00F94904">
        <w:rPr>
          <w:color w:val="000000" w:themeColor="text1"/>
        </w:rPr>
        <w:t>Ferrara, B., Pansini, M., De Vincenzi, C., Buonomo, I. and Benevene, P. (2022) 'Investigating the role of remote working on employees' performance and well-being: An evidence-based systematic review', International Journal of Environmental Research and Public Health, 19(19), 12373.</w:t>
      </w:r>
    </w:p>
    <w:p w14:paraId="6A584104" w14:textId="4C7E6A2A" w:rsidR="00571993" w:rsidRPr="00F94904" w:rsidRDefault="00237399" w:rsidP="00143FD2">
      <w:pPr>
        <w:rPr>
          <w:color w:val="000000" w:themeColor="text1"/>
        </w:rPr>
      </w:pPr>
      <w:r w:rsidRPr="00F94904">
        <w:rPr>
          <w:color w:val="000000" w:themeColor="text1"/>
        </w:rPr>
        <w:t>Gajendran, R.S. and Harrison, D.A. (2007) 'The good, the bad, and the unknown about telecommuting: Meta-analysis of psychological mediators and individual consequences', Journal of Applied Psychology, 92(6), pp. 1524-1541.</w:t>
      </w:r>
    </w:p>
    <w:p w14:paraId="56C33010" w14:textId="77777777" w:rsidR="00571993" w:rsidRPr="00F94904" w:rsidRDefault="00237399" w:rsidP="00143FD2">
      <w:pPr>
        <w:rPr>
          <w:color w:val="000000" w:themeColor="text1"/>
        </w:rPr>
      </w:pPr>
      <w:r w:rsidRPr="00F94904">
        <w:rPr>
          <w:color w:val="000000" w:themeColor="text1"/>
        </w:rPr>
        <w:t>Galanis, P., Moisoglou, I., Papathanasiou, I.V., Malliarou, M., Katsiroumpa, A., Vraka, I., Siskou, O., Konstantakopoulou, O. and Kaitelidou, D. (2024) 'Association between organizational support and turnover intention in nurses: A systematic review and meta-analysis', Healthcare, 12(3), 291.</w:t>
      </w:r>
    </w:p>
    <w:p w14:paraId="1917A816" w14:textId="42599801" w:rsidR="00571993" w:rsidRPr="00F94904" w:rsidRDefault="00237399" w:rsidP="00143FD2">
      <w:pPr>
        <w:rPr>
          <w:color w:val="000000" w:themeColor="text1"/>
        </w:rPr>
      </w:pPr>
      <w:r w:rsidRPr="00F94904">
        <w:rPr>
          <w:color w:val="000000" w:themeColor="text1"/>
        </w:rPr>
        <w:t>Galanti, T., Guidetti, G., Mazzei, E., Zappalà, S. and Toscano, F. (2021) 'Work from home during the COVID-19 outbreak: The impact on employees' remote work productivity, engagement, and stress', Journal of Occupational and Environmental Medicine, 63(7), pp. e426-e432.</w:t>
      </w:r>
    </w:p>
    <w:p w14:paraId="3B981867" w14:textId="01A31CF9" w:rsidR="00571993" w:rsidRPr="00F94904" w:rsidRDefault="00237399" w:rsidP="00143FD2">
      <w:pPr>
        <w:rPr>
          <w:color w:val="000000" w:themeColor="text1"/>
        </w:rPr>
      </w:pPr>
      <w:r w:rsidRPr="00F94904">
        <w:rPr>
          <w:color w:val="000000" w:themeColor="text1"/>
        </w:rPr>
        <w:t>Gillet, N., Huyghebaert-Zouaghi, T., Austin, S., Fernet, C. and Morin, A.J.S. (2021) 'Remote working: A double-edged sword for workers' personal and professional well-being', Journal of Management &amp; Organization, 27(6), pp. 1060-1082.</w:t>
      </w:r>
    </w:p>
    <w:p w14:paraId="54ECFB09" w14:textId="015FAE70" w:rsidR="00571993" w:rsidRPr="00F94904" w:rsidRDefault="00237399" w:rsidP="00143FD2">
      <w:pPr>
        <w:rPr>
          <w:color w:val="000000" w:themeColor="text1"/>
        </w:rPr>
      </w:pPr>
      <w:r w:rsidRPr="00F94904">
        <w:rPr>
          <w:color w:val="000000" w:themeColor="text1"/>
        </w:rPr>
        <w:t>Golden, T.D. and Veiga, J.F. (2005) 'The impact of extent of telecommuting on job satisfaction: Resolving inconsistent findings', Journal of Management, 31(2), pp. 301-318.</w:t>
      </w:r>
    </w:p>
    <w:p w14:paraId="22677D62" w14:textId="5E006FDA" w:rsidR="00571993" w:rsidRPr="00F94904" w:rsidRDefault="00237399" w:rsidP="00143FD2">
      <w:pPr>
        <w:rPr>
          <w:color w:val="000000" w:themeColor="text1"/>
        </w:rPr>
      </w:pPr>
      <w:r w:rsidRPr="00F94904">
        <w:rPr>
          <w:color w:val="000000" w:themeColor="text1"/>
        </w:rPr>
        <w:t>Grant, C.A., Wallace, L.M. and Spurgeon, P.C. (2013) 'An exploration of the psychological factors affecting remote e-worker's job effectiveness, well-being and work-life balance', Employee Relations, 35(5), pp. 527-546.</w:t>
      </w:r>
    </w:p>
    <w:p w14:paraId="7741EEC4" w14:textId="6826A45D" w:rsidR="00571993" w:rsidRPr="00F94904" w:rsidRDefault="00237399" w:rsidP="00143FD2">
      <w:pPr>
        <w:rPr>
          <w:color w:val="000000" w:themeColor="text1"/>
        </w:rPr>
      </w:pPr>
      <w:r w:rsidRPr="00F94904">
        <w:rPr>
          <w:color w:val="000000" w:themeColor="text1"/>
        </w:rPr>
        <w:lastRenderedPageBreak/>
        <w:t>Grzywacz, J.G. and Marks, N.F. (2000) 'Reconceptualizing the work-family interface: An ecological perspective on the correlates of positive and negative spillover between work and family', Journal of Occupational Health Psychology, 5(1), pp. 111-126.</w:t>
      </w:r>
    </w:p>
    <w:p w14:paraId="3771D10F" w14:textId="1B8D21D8" w:rsidR="00571993" w:rsidRPr="00F94904" w:rsidRDefault="00237399" w:rsidP="00143FD2">
      <w:pPr>
        <w:rPr>
          <w:color w:val="000000" w:themeColor="text1"/>
        </w:rPr>
      </w:pPr>
      <w:r w:rsidRPr="00F94904">
        <w:rPr>
          <w:color w:val="000000" w:themeColor="text1"/>
        </w:rPr>
        <w:t>Guest, D.E. (2017) 'Human resource management and employee well-being: Towards a new analytic framework', Human Resource Management Journal, 27(1), pp. 22-38.</w:t>
      </w:r>
    </w:p>
    <w:p w14:paraId="246E1008" w14:textId="21137F9E" w:rsidR="00571993" w:rsidRPr="00F94904" w:rsidRDefault="00237399" w:rsidP="00143FD2">
      <w:pPr>
        <w:rPr>
          <w:color w:val="000000" w:themeColor="text1"/>
        </w:rPr>
      </w:pPr>
      <w:r w:rsidRPr="00F94904">
        <w:rPr>
          <w:color w:val="000000" w:themeColor="text1"/>
        </w:rPr>
        <w:t>Guest, G., Bunce, A. and Johnson, L. (2006) 'How many interviews are enough? An experiment with data saturation and variability', Field Methods, 18(1), pp. 59-82.</w:t>
      </w:r>
    </w:p>
    <w:p w14:paraId="2D69C5BE" w14:textId="7E631B44" w:rsidR="00571993" w:rsidRPr="00F94904" w:rsidRDefault="00237399" w:rsidP="00143FD2">
      <w:pPr>
        <w:rPr>
          <w:color w:val="000000" w:themeColor="text1"/>
        </w:rPr>
      </w:pPr>
      <w:r w:rsidRPr="00F94904">
        <w:rPr>
          <w:color w:val="000000" w:themeColor="text1"/>
        </w:rPr>
        <w:t>Hammer, L.B., Kossek, E.E., Anger, W.K., Bodner, T. and Zimmerman, K.L. (2011) 'Clarifying work-family intervention processes: The roles of work-family conflict and family-supportive supervisor behaviors', Journal of Applied Psychology, 96(1), pp. 134-150.</w:t>
      </w:r>
    </w:p>
    <w:p w14:paraId="4DD3E4C3" w14:textId="77777777" w:rsidR="00571993" w:rsidRPr="00F94904" w:rsidRDefault="00237399" w:rsidP="00143FD2">
      <w:pPr>
        <w:rPr>
          <w:color w:val="000000" w:themeColor="text1"/>
        </w:rPr>
      </w:pPr>
      <w:r w:rsidRPr="00F94904">
        <w:rPr>
          <w:color w:val="000000" w:themeColor="text1"/>
        </w:rPr>
        <w:t>Hennink, M. and Kaiser, B.N. (2022) 'Sample sizes for saturation in qualitative research: A systematic review of empirical tests', Social Science &amp; Medicine, 292, 114523.</w:t>
      </w:r>
    </w:p>
    <w:p w14:paraId="54FBE567" w14:textId="6C285F4E" w:rsidR="00571993" w:rsidRPr="00F94904" w:rsidRDefault="00237399" w:rsidP="00143FD2">
      <w:pPr>
        <w:rPr>
          <w:color w:val="000000" w:themeColor="text1"/>
        </w:rPr>
      </w:pPr>
      <w:r w:rsidRPr="00F94904">
        <w:rPr>
          <w:color w:val="000000" w:themeColor="text1"/>
        </w:rPr>
        <w:t>Hill, N.S., Axtell, C., Raghuram, S. and Nurmi, N. (2024) 'Unpacking virtual work's dual effects on employee well-being: An integrative review and future research agenda', Journal of Management, 50(2), pp. 752-792.</w:t>
      </w:r>
    </w:p>
    <w:p w14:paraId="5E9C9514" w14:textId="37DE2927" w:rsidR="00571993" w:rsidRPr="00F94904" w:rsidRDefault="00237399" w:rsidP="00143FD2">
      <w:pPr>
        <w:rPr>
          <w:color w:val="000000" w:themeColor="text1"/>
        </w:rPr>
      </w:pPr>
      <w:r w:rsidRPr="00F94904">
        <w:rPr>
          <w:color w:val="000000" w:themeColor="text1"/>
        </w:rPr>
        <w:t>Hom, P.W., Lee, T.W., Shaw, J.D. and Hausknecht, J.P. (2017) 'One hundred years of employee turnover theory and research', Journal of Applied Psychology, 102(3), pp. 530-545.</w:t>
      </w:r>
    </w:p>
    <w:p w14:paraId="3810195A" w14:textId="77777777" w:rsidR="00571993" w:rsidRPr="00F94904" w:rsidRDefault="00237399" w:rsidP="00143FD2">
      <w:pPr>
        <w:rPr>
          <w:color w:val="000000" w:themeColor="text1"/>
        </w:rPr>
      </w:pPr>
      <w:r w:rsidRPr="00F94904">
        <w:rPr>
          <w:color w:val="000000" w:themeColor="text1"/>
        </w:rPr>
        <w:t>Inegbedion, H.E. (2024) 'Work-life balance and employee commitment: mediating effect of job satisfaction', Frontiers in Psychology, 15, 1349555.</w:t>
      </w:r>
    </w:p>
    <w:p w14:paraId="5CA9598D" w14:textId="77777777" w:rsidR="00571993" w:rsidRPr="00F94904" w:rsidRDefault="00237399" w:rsidP="00143FD2">
      <w:pPr>
        <w:rPr>
          <w:color w:val="000000" w:themeColor="text1"/>
        </w:rPr>
      </w:pPr>
      <w:r w:rsidRPr="00F94904">
        <w:rPr>
          <w:color w:val="000000" w:themeColor="text1"/>
        </w:rPr>
        <w:t>Ingusci, E., Signore, F., Giancaspro, M.L., Manuti, A., Molino, M., Russo, V., Zito, M. and Cortese, C.G. (2021) 'Workload, techno overload, and behavioral stress during COVID-19 emergency: The role of job crafting in remote workers', Frontiers in Psychology, 12, 655148.</w:t>
      </w:r>
    </w:p>
    <w:p w14:paraId="67DD577A" w14:textId="77777777" w:rsidR="00571993" w:rsidRPr="00F94904" w:rsidRDefault="00237399" w:rsidP="00143FD2">
      <w:pPr>
        <w:rPr>
          <w:color w:val="000000" w:themeColor="text1"/>
        </w:rPr>
      </w:pPr>
      <w:r w:rsidRPr="00F94904">
        <w:rPr>
          <w:color w:val="000000" w:themeColor="text1"/>
        </w:rPr>
        <w:t>Ipsen, C., van Veldhoven, M., Kirchner, K. and Hansen, J.P. (2021) 'Six key advantages and disadvantages of working from home in Europe during COVID-19', International Journal of Environmental Research and Public Health, 18(4), 1826.</w:t>
      </w:r>
    </w:p>
    <w:p w14:paraId="3171DAAF" w14:textId="30FC8DA2" w:rsidR="00571993" w:rsidRPr="00F94904" w:rsidRDefault="00237399" w:rsidP="00143FD2">
      <w:pPr>
        <w:rPr>
          <w:color w:val="000000" w:themeColor="text1"/>
        </w:rPr>
      </w:pPr>
      <w:r w:rsidRPr="00F94904">
        <w:rPr>
          <w:color w:val="000000" w:themeColor="text1"/>
        </w:rPr>
        <w:t>Johns, G. (2010) 'Presenteeism in the workplace: A review and research agenda', Journal of Organizational Behavior, 31(4), pp. 519-542.</w:t>
      </w:r>
    </w:p>
    <w:p w14:paraId="77DF2C9C" w14:textId="13414118" w:rsidR="00571993" w:rsidRPr="00F94904" w:rsidRDefault="00237399" w:rsidP="00143FD2">
      <w:pPr>
        <w:rPr>
          <w:color w:val="000000" w:themeColor="text1"/>
        </w:rPr>
      </w:pPr>
      <w:r w:rsidRPr="00F94904">
        <w:rPr>
          <w:color w:val="000000" w:themeColor="text1"/>
        </w:rPr>
        <w:t>Kahn, W.A. (1990) 'Psychological conditions of personal engagement and disengagement at work', Academy of Management Journal, 33(4), pp. 692-724.</w:t>
      </w:r>
    </w:p>
    <w:p w14:paraId="47BF4FFD" w14:textId="271C0258" w:rsidR="00571993" w:rsidRPr="00F94904" w:rsidRDefault="00237399" w:rsidP="00143FD2">
      <w:pPr>
        <w:rPr>
          <w:color w:val="000000" w:themeColor="text1"/>
        </w:rPr>
      </w:pPr>
      <w:r w:rsidRPr="00F94904">
        <w:rPr>
          <w:color w:val="000000" w:themeColor="text1"/>
        </w:rPr>
        <w:lastRenderedPageBreak/>
        <w:t>Kalliath, T. and Brough, P. (2008) 'Work-life balance: A review of the meaning of the balance construct', Journal of Management &amp; Organization, 14(3), pp. 323-327.</w:t>
      </w:r>
    </w:p>
    <w:p w14:paraId="116C655E" w14:textId="2F49A693" w:rsidR="00571993" w:rsidRPr="00F94904" w:rsidRDefault="00237399" w:rsidP="00143FD2">
      <w:pPr>
        <w:rPr>
          <w:color w:val="000000" w:themeColor="text1"/>
        </w:rPr>
      </w:pPr>
      <w:r w:rsidRPr="00F94904">
        <w:rPr>
          <w:color w:val="000000" w:themeColor="text1"/>
        </w:rPr>
        <w:t>Kelliher, C. and Anderson, D. (2010) 'Doing more with less? Flexible working practices and the intensification of work', Human Relations, 63(1), pp. 83-106.</w:t>
      </w:r>
    </w:p>
    <w:p w14:paraId="0679936E" w14:textId="7BB4CFC8" w:rsidR="00571993" w:rsidRPr="00F94904" w:rsidRDefault="00237399" w:rsidP="00143FD2">
      <w:pPr>
        <w:rPr>
          <w:color w:val="000000" w:themeColor="text1"/>
        </w:rPr>
      </w:pPr>
      <w:r w:rsidRPr="00F94904">
        <w:rPr>
          <w:color w:val="000000" w:themeColor="text1"/>
        </w:rPr>
        <w:t>Kelliher, C., Richardson, J. and Boiarintseva, G. (2019) 'All of work? All of life? Reconceptualising work-life balance for the 21st century', Human Resource Management Journal, 29(2), pp. 97-112.</w:t>
      </w:r>
    </w:p>
    <w:p w14:paraId="011992FF" w14:textId="69B9A4C9" w:rsidR="00571993" w:rsidRPr="00F94904" w:rsidRDefault="00237399" w:rsidP="00143FD2">
      <w:pPr>
        <w:rPr>
          <w:color w:val="000000" w:themeColor="text1"/>
        </w:rPr>
      </w:pPr>
      <w:r w:rsidRPr="00F94904">
        <w:rPr>
          <w:color w:val="000000" w:themeColor="text1"/>
        </w:rPr>
        <w:t>Kelly, E.L., Moen, P., Oakes, J.M., Fan, W. and Others (2014) 'Changing work and work-family conflict: Evidence from the Work, Family, and Health Network', American Sociological Review, 79(3), pp. 485-516.</w:t>
      </w:r>
    </w:p>
    <w:p w14:paraId="4D28DE4F" w14:textId="4CE1C6DF" w:rsidR="00571993" w:rsidRPr="00F94904" w:rsidRDefault="00237399" w:rsidP="00143FD2">
      <w:pPr>
        <w:rPr>
          <w:color w:val="000000" w:themeColor="text1"/>
        </w:rPr>
      </w:pPr>
      <w:r w:rsidRPr="00F94904">
        <w:rPr>
          <w:color w:val="000000" w:themeColor="text1"/>
        </w:rPr>
        <w:t>Kiger, M.E. and Varpio, L. (2020) 'Thematic analysis of qualitative data: AMEE Guide No. 131', Medical Teacher, 42(8), pp. 846-854.</w:t>
      </w:r>
    </w:p>
    <w:p w14:paraId="33E553D8" w14:textId="1EE2CE3E" w:rsidR="00571993" w:rsidRPr="00F94904" w:rsidRDefault="00237399" w:rsidP="00143FD2">
      <w:pPr>
        <w:rPr>
          <w:color w:val="000000" w:themeColor="text1"/>
        </w:rPr>
      </w:pPr>
      <w:r w:rsidRPr="00F94904">
        <w:rPr>
          <w:color w:val="000000" w:themeColor="text1"/>
        </w:rPr>
        <w:t>Knight, C., Patterson, M. and Dawson, J. (2017) 'Building work engagement: A systematic review and meta-analysis investigating the effectiveness of work engagement interventions', Journal of Organizational Behavior, 38(6), pp. 792-812.</w:t>
      </w:r>
    </w:p>
    <w:p w14:paraId="7FCE4DEC" w14:textId="1A8BAE4E" w:rsidR="00571993" w:rsidRPr="00F94904" w:rsidRDefault="00237399" w:rsidP="00143FD2">
      <w:pPr>
        <w:rPr>
          <w:color w:val="000000" w:themeColor="text1"/>
        </w:rPr>
      </w:pPr>
      <w:r w:rsidRPr="00F94904">
        <w:rPr>
          <w:color w:val="000000" w:themeColor="text1"/>
        </w:rPr>
        <w:t>Korstjens, I. and Moser, A. (2018) 'Series: Practical guidance to qualitative research. Part 4: Trustworthiness and publishing', European Journal of General Practice, 24(1), pp. 120-124.</w:t>
      </w:r>
    </w:p>
    <w:p w14:paraId="28904960" w14:textId="2EDD2E9E" w:rsidR="00571993" w:rsidRPr="00F94904" w:rsidRDefault="00237399" w:rsidP="00143FD2">
      <w:pPr>
        <w:rPr>
          <w:color w:val="000000" w:themeColor="text1"/>
        </w:rPr>
      </w:pPr>
      <w:r w:rsidRPr="00F94904">
        <w:rPr>
          <w:color w:val="000000" w:themeColor="text1"/>
        </w:rPr>
        <w:t>Kossek, E.E. and Lautsch, B.A. (2012) 'Work-family boundary management styles in organizations: A cross-level model', Organizational Psychology Review, 2(2), pp. 152-171.</w:t>
      </w:r>
    </w:p>
    <w:p w14:paraId="425BBE6B" w14:textId="4A0FF556" w:rsidR="00571993" w:rsidRPr="00F94904" w:rsidRDefault="00237399" w:rsidP="00143FD2">
      <w:pPr>
        <w:rPr>
          <w:color w:val="000000" w:themeColor="text1"/>
        </w:rPr>
      </w:pPr>
      <w:r w:rsidRPr="00F94904">
        <w:rPr>
          <w:color w:val="000000" w:themeColor="text1"/>
        </w:rPr>
        <w:t>Kossek, E.E., Perrigino, M.B. and Lautsch, B.A. (2023) 'Work-life flexibility policies from a boundary control and implementation perspective: A review and research framework', Journal of Management, 49(6), pp. 2062-2108.</w:t>
      </w:r>
    </w:p>
    <w:p w14:paraId="54A4E0D7" w14:textId="7D089282" w:rsidR="00571993" w:rsidRPr="00F94904" w:rsidRDefault="00237399" w:rsidP="00143FD2">
      <w:pPr>
        <w:rPr>
          <w:color w:val="000000" w:themeColor="text1"/>
        </w:rPr>
      </w:pPr>
      <w:r w:rsidRPr="00F94904">
        <w:rPr>
          <w:color w:val="000000" w:themeColor="text1"/>
        </w:rPr>
        <w:t>Kurtessis, J.N., Eisenberger, R., Ford, M.T., Buffardi, L.C., Stewart, K.A. and Adis, C.S. (2017) 'Perceived organizational support: A meta-analytic evaluation of organizational support theory', Journal of Management, 43(6), pp. 1854-1884.</w:t>
      </w:r>
    </w:p>
    <w:p w14:paraId="54528D5E" w14:textId="336BF8D5" w:rsidR="00571993" w:rsidRPr="00F94904" w:rsidRDefault="00237399" w:rsidP="00143FD2">
      <w:pPr>
        <w:rPr>
          <w:color w:val="000000" w:themeColor="text1"/>
        </w:rPr>
      </w:pPr>
      <w:r w:rsidRPr="00F94904">
        <w:rPr>
          <w:color w:val="000000" w:themeColor="text1"/>
        </w:rPr>
        <w:t>Labrague, L.J. and de los Santos, J.A.A. (2021) 'Fear of COVID-19, psychological distress, work satisfaction and turnover intention among frontline nurses', Journal of Nursing Management, 29(3), pp. 395-403.</w:t>
      </w:r>
    </w:p>
    <w:p w14:paraId="7E063340" w14:textId="3CB3E7AE" w:rsidR="00571993" w:rsidRPr="00F94904" w:rsidRDefault="00237399" w:rsidP="00143FD2">
      <w:pPr>
        <w:rPr>
          <w:color w:val="000000" w:themeColor="text1"/>
        </w:rPr>
      </w:pPr>
      <w:r w:rsidRPr="00F94904">
        <w:rPr>
          <w:color w:val="000000" w:themeColor="text1"/>
        </w:rPr>
        <w:lastRenderedPageBreak/>
        <w:t>Lesener, T., Gusy, B. and Wolter, C. (2019) 'The job demands-resources model: A meta-analytic review of longitudinal studies', Work &amp; Stress, 33(1), pp. 76-103.</w:t>
      </w:r>
    </w:p>
    <w:p w14:paraId="4EE911DD" w14:textId="143D501D" w:rsidR="00571993" w:rsidRPr="00F94904" w:rsidRDefault="00237399" w:rsidP="00143FD2">
      <w:pPr>
        <w:rPr>
          <w:color w:val="000000" w:themeColor="text1"/>
        </w:rPr>
      </w:pPr>
      <w:r w:rsidRPr="00F94904">
        <w:rPr>
          <w:color w:val="000000" w:themeColor="text1"/>
        </w:rPr>
        <w:t>Lesener, T., Gusy, B., Jochmann, A. and Wolter, C. (2020) 'The drivers of work engagement: A meta-analytic review of longitudinal evidence', Work &amp; Stress, 34(3), pp. 259-278.</w:t>
      </w:r>
    </w:p>
    <w:p w14:paraId="5E5F2F9D" w14:textId="77777777" w:rsidR="00571993" w:rsidRPr="00F94904" w:rsidRDefault="00237399" w:rsidP="00143FD2">
      <w:pPr>
        <w:rPr>
          <w:color w:val="000000" w:themeColor="text1"/>
        </w:rPr>
      </w:pPr>
      <w:r w:rsidRPr="00F94904">
        <w:rPr>
          <w:color w:val="000000" w:themeColor="text1"/>
        </w:rPr>
        <w:t>Lincoln, Y.S. and Guba, E.G. (1985) Naturalistic Inquiry. Beverly Hills, CA: SAGE.</w:t>
      </w:r>
    </w:p>
    <w:p w14:paraId="04B27C32" w14:textId="4EFB5F1E" w:rsidR="00571993" w:rsidRPr="00F94904" w:rsidRDefault="00237399" w:rsidP="00143FD2">
      <w:pPr>
        <w:rPr>
          <w:color w:val="000000" w:themeColor="text1"/>
        </w:rPr>
      </w:pPr>
      <w:r w:rsidRPr="00F94904">
        <w:rPr>
          <w:color w:val="000000" w:themeColor="text1"/>
        </w:rPr>
        <w:t>Lott, Y. and Chung, H. (2016) 'Gender discrepancies in the outcomes of schedule control on overtime hours and income in Germany', European Sociological Review, 32(6), pp. 752-765.</w:t>
      </w:r>
    </w:p>
    <w:p w14:paraId="4E533BB1" w14:textId="7C855926" w:rsidR="00571993" w:rsidRPr="00F94904" w:rsidRDefault="00237399" w:rsidP="00143FD2">
      <w:pPr>
        <w:rPr>
          <w:color w:val="000000" w:themeColor="text1"/>
        </w:rPr>
      </w:pPr>
      <w:r w:rsidRPr="00F94904">
        <w:rPr>
          <w:color w:val="000000" w:themeColor="text1"/>
        </w:rPr>
        <w:t>Maslach, C., Schaufeli, W.B. and Leiter, M.P. (2001) 'Job burnout', Annual Review of Psychology, 52, pp. 397-422.</w:t>
      </w:r>
    </w:p>
    <w:p w14:paraId="6A25D19C" w14:textId="54A6152B" w:rsidR="00571993" w:rsidRPr="00F94904" w:rsidRDefault="00237399" w:rsidP="00143FD2">
      <w:pPr>
        <w:rPr>
          <w:color w:val="000000" w:themeColor="text1"/>
        </w:rPr>
      </w:pPr>
      <w:r w:rsidRPr="00F94904">
        <w:rPr>
          <w:color w:val="000000" w:themeColor="text1"/>
        </w:rPr>
        <w:t>Mazmanian, M., Orlikowski, W.J. and Yates, J. (2013) 'The autonomy paradox: The implications of mobile email devices for knowledge professionals', Organization Science, 24(5), pp. 1337-1357.</w:t>
      </w:r>
    </w:p>
    <w:p w14:paraId="47E7457B" w14:textId="0BCE6C31" w:rsidR="00571993" w:rsidRPr="00F94904" w:rsidRDefault="00237399" w:rsidP="00143FD2">
      <w:pPr>
        <w:rPr>
          <w:color w:val="000000" w:themeColor="text1"/>
        </w:rPr>
      </w:pPr>
      <w:r w:rsidRPr="00F94904">
        <w:rPr>
          <w:color w:val="000000" w:themeColor="text1"/>
        </w:rPr>
        <w:t>Mercurio, Z.A. (2015) 'Affective commitment as a core essence of organizational commitment: An integrative literature review', Human Resource Development Review, 14(4), pp. 389-414.</w:t>
      </w:r>
    </w:p>
    <w:p w14:paraId="0E616A89" w14:textId="29BC385E" w:rsidR="00571993" w:rsidRPr="00F94904" w:rsidRDefault="00237399" w:rsidP="00143FD2">
      <w:pPr>
        <w:rPr>
          <w:color w:val="000000" w:themeColor="text1"/>
        </w:rPr>
      </w:pPr>
      <w:r w:rsidRPr="00F94904">
        <w:rPr>
          <w:color w:val="000000" w:themeColor="text1"/>
        </w:rPr>
        <w:t>Meyer, J.P. and Allen, N.J. (1991) 'A three-component conceptualization of organizational commitment', Human Resource Management Review, 1(1), pp. 61-89.</w:t>
      </w:r>
    </w:p>
    <w:p w14:paraId="4A40BDFF" w14:textId="707215C5" w:rsidR="00571993" w:rsidRPr="00F94904" w:rsidRDefault="00237399" w:rsidP="00143FD2">
      <w:pPr>
        <w:rPr>
          <w:color w:val="000000" w:themeColor="text1"/>
        </w:rPr>
      </w:pPr>
      <w:r w:rsidRPr="00F94904">
        <w:rPr>
          <w:color w:val="000000" w:themeColor="text1"/>
        </w:rPr>
        <w:t>Meyer, J.P., Stanley, D.J., Herscovitch, L. and Topolnytsky, L. (2002) 'Affective, continuance, and normative commitment to the organization: A meta-analysis of antecedents, correlates, and consequences', Journal of Vocational Behavior, 61(1), pp. 20-52.</w:t>
      </w:r>
    </w:p>
    <w:p w14:paraId="30C5AA44" w14:textId="78683A22" w:rsidR="00571993" w:rsidRPr="00F94904" w:rsidRDefault="00237399" w:rsidP="00143FD2">
      <w:pPr>
        <w:rPr>
          <w:color w:val="000000" w:themeColor="text1"/>
        </w:rPr>
      </w:pPr>
      <w:r w:rsidRPr="00F94904">
        <w:rPr>
          <w:color w:val="000000" w:themeColor="text1"/>
        </w:rPr>
        <w:t>Miraglia, M. and Johns, G. (2016) 'Going to work ill: A meta-analysis of the correlates of presenteeism and a dual-path model', Journal of Occupational Health Psychology, 21(3), pp. 261-283.</w:t>
      </w:r>
    </w:p>
    <w:p w14:paraId="2A21C93F" w14:textId="77777777" w:rsidR="00571993" w:rsidRPr="00F94904" w:rsidRDefault="00237399" w:rsidP="00143FD2">
      <w:pPr>
        <w:rPr>
          <w:color w:val="000000" w:themeColor="text1"/>
        </w:rPr>
      </w:pPr>
      <w:r w:rsidRPr="00F94904">
        <w:rPr>
          <w:color w:val="000000" w:themeColor="text1"/>
        </w:rPr>
        <w:t>Molino, M., Ingusci, E., Signore, F., Manuti, A., Giancaspro, M.L., Russo, V., Zito, M. and Cortese, C.G. (2020) 'Wellbeing costs of technology use during Covid-19 remote working: An investigation using the Italian translation of the technostress creators scale', Sustainability, 12(15), 5911.</w:t>
      </w:r>
    </w:p>
    <w:p w14:paraId="6D3247DB" w14:textId="62F4FB05" w:rsidR="00571993" w:rsidRPr="00F94904" w:rsidRDefault="00237399" w:rsidP="00143FD2">
      <w:pPr>
        <w:rPr>
          <w:color w:val="000000" w:themeColor="text1"/>
        </w:rPr>
      </w:pPr>
      <w:r w:rsidRPr="00F94904">
        <w:rPr>
          <w:color w:val="000000" w:themeColor="text1"/>
        </w:rPr>
        <w:t>Munsch, C.L. (2016) 'Flexible work, flexible penalties: The effect of gender, childcare, and type of request on the flexibility bias', Social Forces, 94(4), pp. 1567-1591.</w:t>
      </w:r>
    </w:p>
    <w:p w14:paraId="3CFB91D2" w14:textId="489FC4C3" w:rsidR="00571993" w:rsidRPr="00F94904" w:rsidRDefault="00237399" w:rsidP="00143FD2">
      <w:pPr>
        <w:rPr>
          <w:color w:val="000000" w:themeColor="text1"/>
        </w:rPr>
      </w:pPr>
      <w:r w:rsidRPr="00F94904">
        <w:rPr>
          <w:color w:val="000000" w:themeColor="text1"/>
        </w:rPr>
        <w:lastRenderedPageBreak/>
        <w:t>Naeem, M., Ozuem, W., Howell, K. and Ranfagni, S. (2023) 'A step-by-step process of thematic analysis to develop a conceptual model in qualitative research', International Journal of Qualitative Methods, 22, pp. 1-18.</w:t>
      </w:r>
    </w:p>
    <w:p w14:paraId="1A160979" w14:textId="6F6DF9CA" w:rsidR="00571993" w:rsidRPr="00F94904" w:rsidRDefault="00237399" w:rsidP="00143FD2">
      <w:pPr>
        <w:rPr>
          <w:color w:val="000000" w:themeColor="text1"/>
        </w:rPr>
      </w:pPr>
      <w:r w:rsidRPr="00F94904">
        <w:rPr>
          <w:color w:val="000000" w:themeColor="text1"/>
        </w:rPr>
        <w:t>Nowell, L.S., Norris, J.M., White, D.E. and Moules, N.J. (2017) 'Thematic analysis: Striving to meet the trustworthiness criteria', International Journal of Qualitative Methods, 16(1), pp. 1-13.</w:t>
      </w:r>
    </w:p>
    <w:p w14:paraId="5A7614D0" w14:textId="77777777" w:rsidR="00571993" w:rsidRPr="00F94904" w:rsidRDefault="00237399" w:rsidP="00143FD2">
      <w:pPr>
        <w:rPr>
          <w:color w:val="000000" w:themeColor="text1"/>
        </w:rPr>
      </w:pPr>
      <w:r w:rsidRPr="00F94904">
        <w:rPr>
          <w:color w:val="000000" w:themeColor="text1"/>
        </w:rPr>
        <w:t>Oakman, J., Kinsman, N., Stuckey, R., Graham, M. and Weale, V. (2020) 'A rapid review of mental and physical health effects of working at home: How do we optimise health?', BMC Public Health, 20(1), 1825.</w:t>
      </w:r>
    </w:p>
    <w:p w14:paraId="7F094FB1" w14:textId="77777777" w:rsidR="00571993" w:rsidRPr="00F94904" w:rsidRDefault="00237399" w:rsidP="00143FD2">
      <w:pPr>
        <w:rPr>
          <w:color w:val="000000" w:themeColor="text1"/>
        </w:rPr>
      </w:pPr>
      <w:r w:rsidRPr="00F94904">
        <w:rPr>
          <w:color w:val="000000" w:themeColor="text1"/>
        </w:rPr>
        <w:t>Office for National Statistics (2023) Characteristics of Homeworkers, Great Britain: September 2022 to January 2023. Newport: Office for National Statistics.</w:t>
      </w:r>
    </w:p>
    <w:p w14:paraId="23433B3B" w14:textId="77777777" w:rsidR="00571993" w:rsidRPr="00F94904" w:rsidRDefault="00237399" w:rsidP="00143FD2">
      <w:pPr>
        <w:rPr>
          <w:color w:val="000000" w:themeColor="text1"/>
        </w:rPr>
      </w:pPr>
      <w:r w:rsidRPr="00F94904">
        <w:rPr>
          <w:color w:val="000000" w:themeColor="text1"/>
        </w:rPr>
        <w:t>Poon, Y.S.R., Lin, Y.P., Griffiths, P., Yong, K.K., Seah, B. and Liaw, S.Y. (2022) 'A global overview of healthcare workers' turnover intention amid COVID-19 pandemic: A systematic review with future directions', Human Resources for Health, 20(1), 70.</w:t>
      </w:r>
    </w:p>
    <w:p w14:paraId="6543F8B5" w14:textId="5C215469" w:rsidR="00571993" w:rsidRPr="00F94904" w:rsidRDefault="00237399" w:rsidP="00143FD2">
      <w:pPr>
        <w:rPr>
          <w:color w:val="000000" w:themeColor="text1"/>
        </w:rPr>
      </w:pPr>
      <w:r w:rsidRPr="00F94904">
        <w:rPr>
          <w:color w:val="000000" w:themeColor="text1"/>
        </w:rPr>
        <w:t>Putnam, L.L., Myers, K.K. and Gailliard, B.M. (2014) 'Examining the tensions in workplace flexibility and exploring options for new directions', Human Relations, 67(4), pp. 413-440.</w:t>
      </w:r>
    </w:p>
    <w:p w14:paraId="7BA93362" w14:textId="4B838E21" w:rsidR="00571993" w:rsidRPr="00F94904" w:rsidRDefault="00237399" w:rsidP="00143FD2">
      <w:pPr>
        <w:rPr>
          <w:color w:val="000000" w:themeColor="text1"/>
        </w:rPr>
      </w:pPr>
      <w:r w:rsidRPr="00F94904">
        <w:rPr>
          <w:color w:val="000000" w:themeColor="text1"/>
        </w:rPr>
        <w:t>Ratnaningsih, I.Z. and Idris, M.A. (2024) 'Spillover-crossover effect of work-family interface: A systematic review', The Family Journal. doi:10.1177/10664807241226709.</w:t>
      </w:r>
    </w:p>
    <w:p w14:paraId="25252B91" w14:textId="72F3DC05" w:rsidR="00571993" w:rsidRPr="00F94904" w:rsidRDefault="00237399" w:rsidP="00143FD2">
      <w:pPr>
        <w:rPr>
          <w:color w:val="000000" w:themeColor="text1"/>
        </w:rPr>
      </w:pPr>
      <w:r w:rsidRPr="00F94904">
        <w:rPr>
          <w:color w:val="000000" w:themeColor="text1"/>
        </w:rPr>
        <w:t>Rich, B.L., LePine, J.A. and Crawford, E.R. (2010) 'Job engagement: Antecedents and effects on job performance', Academy of Management Journal, 53(3), pp. 617-635.</w:t>
      </w:r>
    </w:p>
    <w:p w14:paraId="1E0521FC" w14:textId="649619D8" w:rsidR="00571993" w:rsidRPr="00F94904" w:rsidRDefault="00237399" w:rsidP="00143FD2">
      <w:pPr>
        <w:rPr>
          <w:color w:val="000000" w:themeColor="text1"/>
        </w:rPr>
      </w:pPr>
      <w:r w:rsidRPr="00F94904">
        <w:rPr>
          <w:color w:val="000000" w:themeColor="text1"/>
        </w:rPr>
        <w:t>Rubenstein, A.L., Eberly, M.B., Lee, T.W. and Mitchell, T.R. (2018) 'Surveying the forest: A meta-analysis, moderator investigation, and future-oriented discussion of the antecedents of voluntary employee turnover', Personnel Psychology, 71(1), pp. 23-65.</w:t>
      </w:r>
    </w:p>
    <w:p w14:paraId="45F57EE3" w14:textId="26F00A27" w:rsidR="00571993" w:rsidRPr="00F94904" w:rsidRDefault="00237399" w:rsidP="00143FD2">
      <w:pPr>
        <w:rPr>
          <w:color w:val="000000" w:themeColor="text1"/>
        </w:rPr>
      </w:pPr>
      <w:r w:rsidRPr="00F94904">
        <w:rPr>
          <w:color w:val="000000" w:themeColor="text1"/>
        </w:rPr>
        <w:t>Saks, A.M. (2006) 'Antecedents and consequences of employee engagement', Journal of Managerial Psychology, 21(7), pp. 600-619.</w:t>
      </w:r>
    </w:p>
    <w:p w14:paraId="7611A919" w14:textId="77777777" w:rsidR="00571993" w:rsidRPr="00F94904" w:rsidRDefault="00237399" w:rsidP="00143FD2">
      <w:pPr>
        <w:rPr>
          <w:color w:val="000000" w:themeColor="text1"/>
        </w:rPr>
      </w:pPr>
      <w:r w:rsidRPr="00F94904">
        <w:rPr>
          <w:color w:val="000000" w:themeColor="text1"/>
        </w:rPr>
        <w:t>Saunders, M.N.K., Lewis, P. and Thornhill, A. (2023) Research Methods for Business Students. 9th edn. Harlow: Pearson.</w:t>
      </w:r>
    </w:p>
    <w:p w14:paraId="1E910DBC" w14:textId="1A1B7479" w:rsidR="00571993" w:rsidRPr="00F94904" w:rsidRDefault="00237399" w:rsidP="00143FD2">
      <w:pPr>
        <w:rPr>
          <w:color w:val="000000" w:themeColor="text1"/>
        </w:rPr>
      </w:pPr>
      <w:r w:rsidRPr="00F94904">
        <w:rPr>
          <w:color w:val="000000" w:themeColor="text1"/>
        </w:rPr>
        <w:lastRenderedPageBreak/>
        <w:t>Schaufeli, W.B. and Taris, T.W. (2014) 'A critical review of the Job Demands-Resources Model: Implications for improving work and health', in Bauer, G.F. and Hämmig, O. (eds.) Bridging Occupational, Organizational and Public Health. Dordrecht: Springer, pp. 43-68.</w:t>
      </w:r>
    </w:p>
    <w:p w14:paraId="3DC89D45" w14:textId="59D8E0B8" w:rsidR="00571993" w:rsidRPr="00F94904" w:rsidRDefault="00237399" w:rsidP="00143FD2">
      <w:pPr>
        <w:rPr>
          <w:color w:val="000000" w:themeColor="text1"/>
        </w:rPr>
      </w:pPr>
      <w:r w:rsidRPr="00F94904">
        <w:rPr>
          <w:color w:val="000000" w:themeColor="text1"/>
        </w:rPr>
        <w:t>Sirgy, M.J. and Lee, D.-J. (2018) 'Work-life balance: An integrative review', Applied Research in Quality of Life, 13(1), pp. 229-254.</w:t>
      </w:r>
    </w:p>
    <w:p w14:paraId="54462DD7" w14:textId="422CDFBF" w:rsidR="00571993" w:rsidRPr="00F94904" w:rsidRDefault="00237399" w:rsidP="00143FD2">
      <w:pPr>
        <w:rPr>
          <w:color w:val="000000" w:themeColor="text1"/>
        </w:rPr>
      </w:pPr>
      <w:r w:rsidRPr="00F94904">
        <w:rPr>
          <w:color w:val="000000" w:themeColor="text1"/>
        </w:rPr>
        <w:t>Sonnentag, S. and Bayer, U. (2005) 'Switching off mentally: Predictors and consequences of psychological detachment from work during off-job time', Journal of Occupational Health Psychology, 10(4), pp. 393-414.</w:t>
      </w:r>
    </w:p>
    <w:p w14:paraId="23597FC7" w14:textId="16961EC8" w:rsidR="00571993" w:rsidRPr="00F94904" w:rsidRDefault="00237399" w:rsidP="00143FD2">
      <w:pPr>
        <w:rPr>
          <w:color w:val="000000" w:themeColor="text1"/>
        </w:rPr>
      </w:pPr>
      <w:r w:rsidRPr="00F94904">
        <w:rPr>
          <w:color w:val="000000" w:themeColor="text1"/>
        </w:rPr>
        <w:t>Spreitzer, G.M., Cameron, L. and Garrett, L. (2017) 'Alternative work arrangements: Two images of the new world of work', Annual Review of Organizational Psychology and Organizational Behavior, 4, pp. 473-499.</w:t>
      </w:r>
    </w:p>
    <w:p w14:paraId="3B87B3A2" w14:textId="42E41F97" w:rsidR="00571993" w:rsidRPr="00F94904" w:rsidRDefault="00237399" w:rsidP="00143FD2">
      <w:pPr>
        <w:rPr>
          <w:color w:val="000000" w:themeColor="text1"/>
        </w:rPr>
      </w:pPr>
      <w:r w:rsidRPr="00F94904">
        <w:rPr>
          <w:color w:val="000000" w:themeColor="text1"/>
        </w:rPr>
        <w:t>Staines, G.L. (1980) 'Spillover versus compensation: A review of the literature on the relationship between work and nonwork', Human Relations, 33(2), pp. 111-129.</w:t>
      </w:r>
    </w:p>
    <w:p w14:paraId="60032C7C" w14:textId="77777777" w:rsidR="00571993" w:rsidRPr="00F94904" w:rsidRDefault="00237399" w:rsidP="00143FD2">
      <w:pPr>
        <w:rPr>
          <w:color w:val="000000" w:themeColor="text1"/>
        </w:rPr>
      </w:pPr>
      <w:r w:rsidRPr="00F94904">
        <w:rPr>
          <w:color w:val="000000" w:themeColor="text1"/>
        </w:rPr>
        <w:t>Susanto, P., Hoque, M.E., Jannat, T., Emely, B., Zona, M.A. and Islam, M.A. (2022) 'Work-life balance, job satisfaction, and job performance of SMEs employees: The moderating role of family-supportive supervisor behaviors', Frontiers in Psychology, 13, 906876.</w:t>
      </w:r>
    </w:p>
    <w:p w14:paraId="74CE7AB1" w14:textId="77777777" w:rsidR="00571993" w:rsidRPr="00F94904" w:rsidRDefault="00237399" w:rsidP="00143FD2">
      <w:pPr>
        <w:rPr>
          <w:color w:val="000000" w:themeColor="text1"/>
        </w:rPr>
      </w:pPr>
      <w:r w:rsidRPr="00F94904">
        <w:rPr>
          <w:color w:val="000000" w:themeColor="text1"/>
        </w:rPr>
        <w:t>Toscano, F. and Zappalà, S. (2020) 'Social isolation and stress as predictors of productivity perception and remote work satisfaction during the COVID-19 pandemic: The role of concern about the virus in a moderated double mediation', Sustainability, 12(23), 9804.</w:t>
      </w:r>
    </w:p>
    <w:p w14:paraId="3045DCDA" w14:textId="77777777" w:rsidR="00571993" w:rsidRPr="00F94904" w:rsidRDefault="00237399" w:rsidP="00143FD2">
      <w:pPr>
        <w:rPr>
          <w:color w:val="000000" w:themeColor="text1"/>
        </w:rPr>
      </w:pPr>
      <w:r w:rsidRPr="00F94904">
        <w:rPr>
          <w:color w:val="000000" w:themeColor="text1"/>
        </w:rPr>
        <w:t>University of Wales Trinity Saint David (no date) Research Ethics and Integrity Code of Practice. Lampeter: UWTSD.</w:t>
      </w:r>
    </w:p>
    <w:p w14:paraId="0336571D" w14:textId="4C3D264D" w:rsidR="00571993" w:rsidRPr="00F94904" w:rsidRDefault="00237399" w:rsidP="00143FD2">
      <w:pPr>
        <w:rPr>
          <w:color w:val="000000" w:themeColor="text1"/>
        </w:rPr>
      </w:pPr>
      <w:r w:rsidRPr="00F94904">
        <w:rPr>
          <w:color w:val="000000" w:themeColor="text1"/>
        </w:rPr>
        <w:t>Vander Elst, T., Verhoogen, R., Sercu, M., Van den Broeck, A., Baillien, E. and Godderis, L. (2017) 'Not extent of telecommuting, but job characteristics as proximal predictors of work-related well-being', Journal of Occupational and Environmental Medicine, 59(10), pp. e180-e186.</w:t>
      </w:r>
    </w:p>
    <w:p w14:paraId="56B8A4B0" w14:textId="77777777" w:rsidR="00571993" w:rsidRPr="00F94904" w:rsidRDefault="00237399" w:rsidP="00143FD2">
      <w:pPr>
        <w:rPr>
          <w:color w:val="000000" w:themeColor="text1"/>
        </w:rPr>
      </w:pPr>
      <w:r w:rsidRPr="00F94904">
        <w:rPr>
          <w:color w:val="000000" w:themeColor="text1"/>
        </w:rPr>
        <w:t>Wajcman, J. (2015) Pressed for Time: The Acceleration of Life in Digital Capitalism. Chicago: University of Chicago Press.</w:t>
      </w:r>
    </w:p>
    <w:p w14:paraId="0492D3C7" w14:textId="6D8881B2" w:rsidR="00571993" w:rsidRPr="00F94904" w:rsidRDefault="00237399" w:rsidP="00143FD2">
      <w:pPr>
        <w:rPr>
          <w:color w:val="000000" w:themeColor="text1"/>
        </w:rPr>
      </w:pPr>
      <w:r w:rsidRPr="00F94904">
        <w:rPr>
          <w:color w:val="000000" w:themeColor="text1"/>
        </w:rPr>
        <w:t>Wang, B., Liu, Y., Qian, J. and Parker, S.K. (2021) 'Achieving effective remote working during the COVID-19 pandemic: A work design perspective', Applied Psychology: An International Review, 70(1), pp. 16-59.</w:t>
      </w:r>
    </w:p>
    <w:p w14:paraId="0FD329A0" w14:textId="61F4621E" w:rsidR="00571993" w:rsidRPr="00F94904" w:rsidRDefault="00237399" w:rsidP="00143FD2">
      <w:pPr>
        <w:rPr>
          <w:color w:val="000000" w:themeColor="text1"/>
        </w:rPr>
      </w:pPr>
      <w:r w:rsidRPr="00F94904">
        <w:rPr>
          <w:color w:val="000000" w:themeColor="text1"/>
        </w:rPr>
        <w:lastRenderedPageBreak/>
        <w:t>Williams, J.C., Blair-Loy, M. and Berdahl, J.L. (2013) 'Cultural schemas, social class, and the flexibility stigma', Journal of Social Issues, 69(2), pp. 209-234.</w:t>
      </w:r>
    </w:p>
    <w:p w14:paraId="32F098AC" w14:textId="7B197C48" w:rsidR="00571993" w:rsidRPr="00F94904" w:rsidRDefault="00237399" w:rsidP="00143FD2">
      <w:pPr>
        <w:rPr>
          <w:color w:val="000000" w:themeColor="text1"/>
        </w:rPr>
      </w:pPr>
      <w:r w:rsidRPr="00F94904">
        <w:rPr>
          <w:color w:val="000000" w:themeColor="text1"/>
        </w:rPr>
        <w:t>Wong, K., Chan, A.H.S. and Teh, P.-L. (2020) 'How is work-life balance arrangement associated with organisational performance? A meta-analysis', International Journal of Environmental Research and Public Health, 17(12), 4446.</w:t>
      </w:r>
    </w:p>
    <w:p w14:paraId="531DC524" w14:textId="77777777" w:rsidR="00571993" w:rsidRPr="00F94904" w:rsidRDefault="00237399" w:rsidP="00143FD2">
      <w:pPr>
        <w:rPr>
          <w:color w:val="000000" w:themeColor="text1"/>
        </w:rPr>
      </w:pPr>
      <w:r w:rsidRPr="00F94904">
        <w:rPr>
          <w:color w:val="000000" w:themeColor="text1"/>
        </w:rPr>
        <w:t>Wontorczyk, A. and Roznowski, B. (2022) 'Remote, hybrid, and on-site work during the SARS-CoV-2 pandemic and the consequences for stress and work engagement', International Journal of Environmental Research and Public Health, 19(4), 2400.</w:t>
      </w:r>
    </w:p>
    <w:p w14:paraId="3820DAEF" w14:textId="65B358DC" w:rsidR="00571993" w:rsidRPr="00F94904" w:rsidRDefault="00237399" w:rsidP="00143FD2">
      <w:pPr>
        <w:rPr>
          <w:color w:val="000000" w:themeColor="text1"/>
        </w:rPr>
      </w:pPr>
      <w:r w:rsidRPr="00F94904">
        <w:rPr>
          <w:color w:val="000000" w:themeColor="text1"/>
        </w:rPr>
        <w:t>Wood, J., Oh, J., Park, J. and Kim, W. (2020) 'The relationship between work engagement and work-life balance in organizations: A review of the empirical research', Human Resource Development Review, 19(3), pp. 240-262.</w:t>
      </w:r>
    </w:p>
    <w:p w14:paraId="5F7BC908" w14:textId="77777777" w:rsidR="00571993" w:rsidRPr="00F94904" w:rsidRDefault="00237399" w:rsidP="00143FD2">
      <w:pPr>
        <w:rPr>
          <w:color w:val="000000" w:themeColor="text1"/>
        </w:rPr>
      </w:pPr>
      <w:r w:rsidRPr="00F94904">
        <w:rPr>
          <w:color w:val="000000" w:themeColor="text1"/>
        </w:rPr>
        <w:t>Wood, S.J., Michaelides, G., Inceoglu, I., Hurren, E.T., Daniels, K. and Niven, K. (2021) 'Homeworking, well-being and the COVID-19 pandemic: A diary study', International Journal of Environmental Research and Public Health, 18(14), 7575.</w:t>
      </w:r>
    </w:p>
    <w:p w14:paraId="2ADC1951" w14:textId="3759ED6D" w:rsidR="00571993" w:rsidRPr="00F94904" w:rsidRDefault="00237399" w:rsidP="00143FD2">
      <w:pPr>
        <w:rPr>
          <w:color w:val="000000" w:themeColor="text1"/>
        </w:rPr>
      </w:pPr>
      <w:r w:rsidRPr="00F94904">
        <w:rPr>
          <w:color w:val="000000" w:themeColor="text1"/>
        </w:rPr>
        <w:t>Xanthopoulou, D., Bakker, A.B., Demerouti, E. and Schaufeli, W.B. (2007) 'The role of personal resources in the job demands-resources model', International Journal of Stress Management, 14(2), pp. 121-141.</w:t>
      </w:r>
    </w:p>
    <w:p w14:paraId="58C3F0FF" w14:textId="77777777" w:rsidR="00571993" w:rsidRPr="00F94904" w:rsidRDefault="00237399" w:rsidP="00143FD2">
      <w:pPr>
        <w:rPr>
          <w:color w:val="000000" w:themeColor="text1"/>
        </w:rPr>
      </w:pPr>
      <w:r w:rsidRPr="00F94904">
        <w:rPr>
          <w:color w:val="000000" w:themeColor="text1"/>
        </w:rPr>
        <w:br w:type="page"/>
      </w:r>
    </w:p>
    <w:p w14:paraId="700145CB" w14:textId="77777777" w:rsidR="00571993" w:rsidRPr="00F94904" w:rsidRDefault="00237399" w:rsidP="0098366A">
      <w:pPr>
        <w:pStyle w:val="Heading1"/>
        <w:jc w:val="both"/>
        <w:rPr>
          <w:color w:val="000000" w:themeColor="text1"/>
        </w:rPr>
      </w:pPr>
      <w:bookmarkStart w:id="60" w:name="_Toc241018075"/>
      <w:r w:rsidRPr="00F94904">
        <w:rPr>
          <w:color w:val="000000" w:themeColor="text1"/>
        </w:rPr>
        <w:lastRenderedPageBreak/>
        <w:t>Appendices</w:t>
      </w:r>
      <w:bookmarkEnd w:id="60"/>
    </w:p>
    <w:p w14:paraId="7BDF70CF" w14:textId="3C3C2158" w:rsidR="00571993" w:rsidRPr="00F94904" w:rsidRDefault="00237399" w:rsidP="0098366A">
      <w:pPr>
        <w:pStyle w:val="Heading2"/>
        <w:rPr>
          <w:color w:val="000000" w:themeColor="text1"/>
        </w:rPr>
      </w:pPr>
      <w:bookmarkStart w:id="61" w:name="_Toc241018076"/>
      <w:r w:rsidRPr="00F94904">
        <w:rPr>
          <w:color w:val="000000" w:themeColor="text1"/>
        </w:rPr>
        <w:t>Appendix A: Semi-Structured Interviews Questions</w:t>
      </w:r>
      <w:bookmarkEnd w:id="61"/>
    </w:p>
    <w:p w14:paraId="474DEC53" w14:textId="1FBB684B" w:rsidR="00571993" w:rsidRPr="00F94904" w:rsidRDefault="00237399" w:rsidP="00143FD2">
      <w:pPr>
        <w:rPr>
          <w:color w:val="000000" w:themeColor="text1"/>
        </w:rPr>
      </w:pPr>
      <w:r w:rsidRPr="00F94904">
        <w:rPr>
          <w:color w:val="000000" w:themeColor="text1"/>
        </w:rPr>
        <w:t>Opening</w:t>
      </w:r>
    </w:p>
    <w:p w14:paraId="13700D43" w14:textId="77777777" w:rsidR="00571993" w:rsidRPr="00F94904" w:rsidRDefault="00237399" w:rsidP="00143FD2">
      <w:pPr>
        <w:rPr>
          <w:color w:val="000000" w:themeColor="text1"/>
        </w:rPr>
      </w:pPr>
      <w:r w:rsidRPr="00F94904">
        <w:rPr>
          <w:color w:val="000000" w:themeColor="text1"/>
        </w:rPr>
        <w:t>1. Could you tell me a little about your current role and the sector you work in?</w:t>
      </w:r>
    </w:p>
    <w:p w14:paraId="4CB98666" w14:textId="77777777" w:rsidR="00571993" w:rsidRPr="00F94904" w:rsidRDefault="00237399" w:rsidP="00143FD2">
      <w:pPr>
        <w:rPr>
          <w:color w:val="000000" w:themeColor="text1"/>
        </w:rPr>
      </w:pPr>
      <w:r w:rsidRPr="00F94904">
        <w:rPr>
          <w:color w:val="000000" w:themeColor="text1"/>
        </w:rPr>
        <w:t>2. Roughly how long have you worked in this organisation, and what does a typical working week look like for you?</w:t>
      </w:r>
    </w:p>
    <w:p w14:paraId="0465E6B4" w14:textId="77777777" w:rsidR="00571993" w:rsidRPr="00F94904" w:rsidRDefault="00237399" w:rsidP="00143FD2">
      <w:pPr>
        <w:rPr>
          <w:color w:val="000000" w:themeColor="text1"/>
        </w:rPr>
      </w:pPr>
      <w:r w:rsidRPr="00F94904">
        <w:rPr>
          <w:color w:val="000000" w:themeColor="text1"/>
        </w:rPr>
        <w:t>Probe: How manageable does that workload usually feel?</w:t>
      </w:r>
    </w:p>
    <w:p w14:paraId="54502D3A" w14:textId="76D29C05" w:rsidR="00571993" w:rsidRPr="00F94904" w:rsidRDefault="00237399" w:rsidP="00143FD2">
      <w:pPr>
        <w:rPr>
          <w:color w:val="000000" w:themeColor="text1"/>
        </w:rPr>
      </w:pPr>
      <w:r w:rsidRPr="00F94904">
        <w:rPr>
          <w:color w:val="000000" w:themeColor="text1"/>
        </w:rPr>
        <w:t>Section A - Awareness and availability of WLB policies</w:t>
      </w:r>
    </w:p>
    <w:p w14:paraId="22E3FFDC" w14:textId="77777777" w:rsidR="00571993" w:rsidRPr="00F94904" w:rsidRDefault="00237399" w:rsidP="00143FD2">
      <w:pPr>
        <w:rPr>
          <w:color w:val="000000" w:themeColor="text1"/>
        </w:rPr>
      </w:pPr>
      <w:r w:rsidRPr="00F94904">
        <w:rPr>
          <w:color w:val="000000" w:themeColor="text1"/>
        </w:rPr>
        <w:t>3. What work-life balance policies or arrangements does your organisation offer, as far as you are aware?</w:t>
      </w:r>
    </w:p>
    <w:p w14:paraId="1FDB6315" w14:textId="77777777" w:rsidR="00571993" w:rsidRPr="00F94904" w:rsidRDefault="00237399" w:rsidP="00143FD2">
      <w:pPr>
        <w:rPr>
          <w:color w:val="000000" w:themeColor="text1"/>
        </w:rPr>
      </w:pPr>
      <w:r w:rsidRPr="00F94904">
        <w:rPr>
          <w:color w:val="000000" w:themeColor="text1"/>
        </w:rPr>
        <w:t>4. How did you first find out about these policies?</w:t>
      </w:r>
    </w:p>
    <w:p w14:paraId="3E74CD08" w14:textId="77777777" w:rsidR="00571993" w:rsidRPr="00F94904" w:rsidRDefault="00237399" w:rsidP="00143FD2">
      <w:pPr>
        <w:rPr>
          <w:color w:val="000000" w:themeColor="text1"/>
        </w:rPr>
      </w:pPr>
      <w:r w:rsidRPr="00F94904">
        <w:rPr>
          <w:color w:val="000000" w:themeColor="text1"/>
        </w:rPr>
        <w:t>Probe: How clearly are they communicated?</w:t>
      </w:r>
    </w:p>
    <w:p w14:paraId="21EA92C9" w14:textId="247F7FE0" w:rsidR="00571993" w:rsidRPr="00F94904" w:rsidRDefault="00237399" w:rsidP="00143FD2">
      <w:pPr>
        <w:rPr>
          <w:color w:val="000000" w:themeColor="text1"/>
        </w:rPr>
      </w:pPr>
      <w:r w:rsidRPr="00F94904">
        <w:rPr>
          <w:color w:val="000000" w:themeColor="text1"/>
        </w:rPr>
        <w:t>Section B - Experience of using the policies</w:t>
      </w:r>
    </w:p>
    <w:p w14:paraId="3F0DEB8E" w14:textId="77777777" w:rsidR="00571993" w:rsidRPr="00F94904" w:rsidRDefault="00237399" w:rsidP="00143FD2">
      <w:pPr>
        <w:rPr>
          <w:color w:val="000000" w:themeColor="text1"/>
        </w:rPr>
      </w:pPr>
      <w:r w:rsidRPr="00F94904">
        <w:rPr>
          <w:color w:val="000000" w:themeColor="text1"/>
        </w:rPr>
        <w:t>5. Which of these arrangements, if any, do you actually use, and how did you decide to use them?</w:t>
      </w:r>
    </w:p>
    <w:p w14:paraId="14128BD1" w14:textId="77777777" w:rsidR="00571993" w:rsidRPr="00F94904" w:rsidRDefault="00237399" w:rsidP="00143FD2">
      <w:pPr>
        <w:rPr>
          <w:color w:val="000000" w:themeColor="text1"/>
        </w:rPr>
      </w:pPr>
      <w:r w:rsidRPr="00F94904">
        <w:rPr>
          <w:color w:val="000000" w:themeColor="text1"/>
        </w:rPr>
        <w:t>6. When you use a WLB policy, how do you feel it is viewed by your manager or colleagues?</w:t>
      </w:r>
    </w:p>
    <w:p w14:paraId="268A939D" w14:textId="77777777" w:rsidR="00571993" w:rsidRPr="00F94904" w:rsidRDefault="00237399" w:rsidP="00143FD2">
      <w:pPr>
        <w:rPr>
          <w:color w:val="000000" w:themeColor="text1"/>
        </w:rPr>
      </w:pPr>
      <w:r w:rsidRPr="00F94904">
        <w:rPr>
          <w:color w:val="000000" w:themeColor="text1"/>
        </w:rPr>
        <w:t>Probe: Has using a policy, or wanting to, ever affected how you are treated at work?</w:t>
      </w:r>
    </w:p>
    <w:p w14:paraId="2D4DBAD7" w14:textId="77777777" w:rsidR="00571993" w:rsidRPr="00F94904" w:rsidRDefault="00237399" w:rsidP="00143FD2">
      <w:pPr>
        <w:rPr>
          <w:color w:val="000000" w:themeColor="text1"/>
        </w:rPr>
      </w:pPr>
      <w:r w:rsidRPr="00F94904">
        <w:rPr>
          <w:color w:val="000000" w:themeColor="text1"/>
        </w:rPr>
        <w:t>7. Are there policies that exist on paper but feel difficult to use in practice? Could you describe an example?</w:t>
      </w:r>
    </w:p>
    <w:p w14:paraId="1A05848D" w14:textId="65CEE6E3" w:rsidR="00571993" w:rsidRPr="00F94904" w:rsidRDefault="00237399" w:rsidP="00143FD2">
      <w:pPr>
        <w:rPr>
          <w:color w:val="000000" w:themeColor="text1"/>
        </w:rPr>
      </w:pPr>
      <w:r w:rsidRPr="00F94904">
        <w:rPr>
          <w:color w:val="000000" w:themeColor="text1"/>
        </w:rPr>
        <w:t>Section C - Well-being and spillover</w:t>
      </w:r>
    </w:p>
    <w:p w14:paraId="60BAE2C6" w14:textId="77777777" w:rsidR="00571993" w:rsidRPr="00F94904" w:rsidRDefault="00237399" w:rsidP="00143FD2">
      <w:pPr>
        <w:rPr>
          <w:color w:val="000000" w:themeColor="text1"/>
        </w:rPr>
      </w:pPr>
      <w:r w:rsidRPr="00F94904">
        <w:rPr>
          <w:color w:val="000000" w:themeColor="text1"/>
        </w:rPr>
        <w:t>8. How do these arrangements affect the way you feel day to day, both at work and outside work?</w:t>
      </w:r>
    </w:p>
    <w:p w14:paraId="7C9A9FB1" w14:textId="77777777" w:rsidR="00571993" w:rsidRPr="00F94904" w:rsidRDefault="00237399" w:rsidP="00143FD2">
      <w:pPr>
        <w:rPr>
          <w:color w:val="000000" w:themeColor="text1"/>
        </w:rPr>
      </w:pPr>
      <w:r w:rsidRPr="00F94904">
        <w:rPr>
          <w:color w:val="000000" w:themeColor="text1"/>
        </w:rPr>
        <w:t>9. Could you describe a time when work pressures spilled over into your personal life, or the other way around?</w:t>
      </w:r>
    </w:p>
    <w:p w14:paraId="52ED3A5E" w14:textId="77777777" w:rsidR="00571993" w:rsidRPr="00F94904" w:rsidRDefault="00237399" w:rsidP="00143FD2">
      <w:pPr>
        <w:rPr>
          <w:color w:val="000000" w:themeColor="text1"/>
        </w:rPr>
      </w:pPr>
      <w:r w:rsidRPr="00F94904">
        <w:rPr>
          <w:color w:val="000000" w:themeColor="text1"/>
        </w:rPr>
        <w:t>Probe: What role, if any, did WLB arrangements play in that situation?</w:t>
      </w:r>
    </w:p>
    <w:p w14:paraId="71E505BB" w14:textId="77777777" w:rsidR="00571993" w:rsidRPr="00F94904" w:rsidRDefault="00237399" w:rsidP="00143FD2">
      <w:pPr>
        <w:rPr>
          <w:color w:val="000000" w:themeColor="text1"/>
        </w:rPr>
      </w:pPr>
      <w:r w:rsidRPr="00F94904">
        <w:rPr>
          <w:color w:val="000000" w:themeColor="text1"/>
        </w:rPr>
        <w:lastRenderedPageBreak/>
        <w:t>10. When work is demanding, what helps you recover, and how well do your organisation's policies support that?</w:t>
      </w:r>
    </w:p>
    <w:p w14:paraId="7A19D21D" w14:textId="3CC07690" w:rsidR="00571993" w:rsidRPr="00F94904" w:rsidRDefault="00237399" w:rsidP="00143FD2">
      <w:pPr>
        <w:rPr>
          <w:color w:val="000000" w:themeColor="text1"/>
        </w:rPr>
      </w:pPr>
      <w:r w:rsidRPr="00F94904">
        <w:rPr>
          <w:color w:val="000000" w:themeColor="text1"/>
        </w:rPr>
        <w:t>Section D - Engagement</w:t>
      </w:r>
    </w:p>
    <w:p w14:paraId="4B9E940D" w14:textId="77777777" w:rsidR="00571993" w:rsidRPr="00F94904" w:rsidRDefault="00237399" w:rsidP="00143FD2">
      <w:pPr>
        <w:rPr>
          <w:color w:val="000000" w:themeColor="text1"/>
        </w:rPr>
      </w:pPr>
      <w:r w:rsidRPr="00F94904">
        <w:rPr>
          <w:color w:val="000000" w:themeColor="text1"/>
        </w:rPr>
        <w:t>11. How do your WLB arrangements affect how motivated or absorbed you feel in your work?</w:t>
      </w:r>
    </w:p>
    <w:p w14:paraId="1DA297C2" w14:textId="77777777" w:rsidR="00571993" w:rsidRPr="00F94904" w:rsidRDefault="00237399" w:rsidP="00143FD2">
      <w:pPr>
        <w:rPr>
          <w:color w:val="000000" w:themeColor="text1"/>
        </w:rPr>
      </w:pPr>
      <w:r w:rsidRPr="00F94904">
        <w:rPr>
          <w:color w:val="000000" w:themeColor="text1"/>
        </w:rPr>
        <w:t>12. Can you think of a time when your work-life balance influenced how much effort or energy you put into your job?</w:t>
      </w:r>
    </w:p>
    <w:p w14:paraId="01A4A993" w14:textId="77777777" w:rsidR="00571993" w:rsidRPr="00F94904" w:rsidRDefault="00237399" w:rsidP="00143FD2">
      <w:pPr>
        <w:rPr>
          <w:color w:val="000000" w:themeColor="text1"/>
        </w:rPr>
      </w:pPr>
      <w:r w:rsidRPr="00F94904">
        <w:rPr>
          <w:color w:val="000000" w:themeColor="text1"/>
        </w:rPr>
        <w:t>Probe: Were you able to be fully present in your role, or did something hold you back?</w:t>
      </w:r>
    </w:p>
    <w:p w14:paraId="250A1371" w14:textId="686DD6F7" w:rsidR="00571993" w:rsidRPr="00F94904" w:rsidRDefault="00237399" w:rsidP="00143FD2">
      <w:pPr>
        <w:rPr>
          <w:color w:val="000000" w:themeColor="text1"/>
        </w:rPr>
      </w:pPr>
      <w:r w:rsidRPr="00F94904">
        <w:rPr>
          <w:color w:val="000000" w:themeColor="text1"/>
        </w:rPr>
        <w:t>Section E - Intention to stay</w:t>
      </w:r>
    </w:p>
    <w:p w14:paraId="0E98A1E2" w14:textId="77777777" w:rsidR="00571993" w:rsidRPr="00F94904" w:rsidRDefault="00237399" w:rsidP="00143FD2">
      <w:pPr>
        <w:rPr>
          <w:color w:val="000000" w:themeColor="text1"/>
        </w:rPr>
      </w:pPr>
      <w:r w:rsidRPr="00F94904">
        <w:rPr>
          <w:color w:val="000000" w:themeColor="text1"/>
        </w:rPr>
        <w:t>13. How do you feel about staying with your current employer over the next few years?</w:t>
      </w:r>
    </w:p>
    <w:p w14:paraId="10871330" w14:textId="77777777" w:rsidR="00571993" w:rsidRPr="00F94904" w:rsidRDefault="00237399" w:rsidP="00143FD2">
      <w:pPr>
        <w:rPr>
          <w:color w:val="000000" w:themeColor="text1"/>
        </w:rPr>
      </w:pPr>
      <w:r w:rsidRPr="00F94904">
        <w:rPr>
          <w:color w:val="000000" w:themeColor="text1"/>
        </w:rPr>
        <w:t>14. What part, if any, do WLB policies play in that feeling?</w:t>
      </w:r>
    </w:p>
    <w:p w14:paraId="28F7DD7C" w14:textId="77777777" w:rsidR="00571993" w:rsidRPr="00F94904" w:rsidRDefault="00237399" w:rsidP="00143FD2">
      <w:pPr>
        <w:rPr>
          <w:color w:val="000000" w:themeColor="text1"/>
        </w:rPr>
      </w:pPr>
      <w:r w:rsidRPr="00F94904">
        <w:rPr>
          <w:color w:val="000000" w:themeColor="text1"/>
        </w:rPr>
        <w:t>Probe: Can you imagine a WLB-related situation that would make you seriously consider leaving?</w:t>
      </w:r>
    </w:p>
    <w:p w14:paraId="47F8B35A" w14:textId="77777777" w:rsidR="00571993" w:rsidRPr="00F94904" w:rsidRDefault="00237399" w:rsidP="00143FD2">
      <w:pPr>
        <w:rPr>
          <w:color w:val="000000" w:themeColor="text1"/>
        </w:rPr>
      </w:pPr>
      <w:r w:rsidRPr="00F94904">
        <w:rPr>
          <w:color w:val="000000" w:themeColor="text1"/>
        </w:rPr>
        <w:t>15. Do you think you stay mainly because you want to, or because leaving would be difficult? Could you explain?</w:t>
      </w:r>
    </w:p>
    <w:p w14:paraId="2B0568F6" w14:textId="25EF37AF" w:rsidR="00571993" w:rsidRPr="00F94904" w:rsidRDefault="00237399" w:rsidP="00143FD2">
      <w:pPr>
        <w:rPr>
          <w:color w:val="000000" w:themeColor="text1"/>
        </w:rPr>
      </w:pPr>
      <w:r w:rsidRPr="00F94904">
        <w:rPr>
          <w:color w:val="000000" w:themeColor="text1"/>
        </w:rPr>
        <w:t>Section F - Recommendations and closing</w:t>
      </w:r>
    </w:p>
    <w:p w14:paraId="09987EAF" w14:textId="77777777" w:rsidR="00571993" w:rsidRPr="00F94904" w:rsidRDefault="00237399" w:rsidP="00143FD2">
      <w:pPr>
        <w:rPr>
          <w:color w:val="000000" w:themeColor="text1"/>
        </w:rPr>
      </w:pPr>
      <w:r w:rsidRPr="00F94904">
        <w:rPr>
          <w:color w:val="000000" w:themeColor="text1"/>
        </w:rPr>
        <w:t>16. If you could change one thing about how work-life balance is handled where you work, what would it be?</w:t>
      </w:r>
    </w:p>
    <w:p w14:paraId="3A40C6D5" w14:textId="77777777" w:rsidR="00571993" w:rsidRPr="00F94904" w:rsidRDefault="00237399" w:rsidP="00143FD2">
      <w:pPr>
        <w:rPr>
          <w:color w:val="000000" w:themeColor="text1"/>
        </w:rPr>
      </w:pPr>
      <w:r w:rsidRPr="00F94904">
        <w:rPr>
          <w:color w:val="000000" w:themeColor="text1"/>
        </w:rPr>
        <w:t>17. What would a genuinely supportive work-life balance look like for you?</w:t>
      </w:r>
    </w:p>
    <w:p w14:paraId="6218A940" w14:textId="77777777" w:rsidR="00571993" w:rsidRPr="00F94904" w:rsidRDefault="00237399" w:rsidP="00143FD2">
      <w:pPr>
        <w:rPr>
          <w:color w:val="000000" w:themeColor="text1"/>
        </w:rPr>
      </w:pPr>
      <w:r w:rsidRPr="00F94904">
        <w:rPr>
          <w:color w:val="000000" w:themeColor="text1"/>
        </w:rPr>
        <w:t>18. Is there anything else about your experience of WLB policies that we have not covered but you feel is important?</w:t>
      </w:r>
    </w:p>
    <w:p w14:paraId="6721EE37" w14:textId="168DBEF2" w:rsidR="00571993" w:rsidRPr="00F94904" w:rsidRDefault="00237399" w:rsidP="00143FD2">
      <w:pPr>
        <w:rPr>
          <w:color w:val="000000" w:themeColor="text1"/>
        </w:rPr>
      </w:pPr>
      <w:r w:rsidRPr="00F94904">
        <w:rPr>
          <w:color w:val="000000" w:themeColor="text1"/>
        </w:rPr>
        <w:br w:type="page"/>
      </w:r>
    </w:p>
    <w:p w14:paraId="1C0769F7" w14:textId="249E9DC9" w:rsidR="0098366A" w:rsidRPr="00F94904" w:rsidRDefault="0098366A" w:rsidP="0098366A">
      <w:pPr>
        <w:pStyle w:val="Heading2"/>
        <w:rPr>
          <w:color w:val="000000" w:themeColor="text1"/>
        </w:rPr>
      </w:pPr>
      <w:bookmarkStart w:id="62" w:name="_Toc241018077"/>
      <w:r w:rsidRPr="00F94904">
        <w:rPr>
          <w:color w:val="000000" w:themeColor="text1"/>
        </w:rPr>
        <w:lastRenderedPageBreak/>
        <w:t>Appendix B: Interview Transcripts</w:t>
      </w:r>
      <w:bookmarkEnd w:id="62"/>
    </w:p>
    <w:p w14:paraId="4683C001" w14:textId="6B46A328" w:rsidR="009F77FF" w:rsidRPr="00F94904" w:rsidRDefault="009F77FF" w:rsidP="009F77FF">
      <w:pPr>
        <w:rPr>
          <w:color w:val="000000" w:themeColor="text1"/>
        </w:rPr>
      </w:pPr>
      <w:r w:rsidRPr="00F94904">
        <w:rPr>
          <w:color w:val="000000" w:themeColor="text1"/>
        </w:rPr>
        <w:t>The ten semi-structured interviews are reproduced below. All transcripts have been anonymized – every participant has a unique code (R1-R10) to match the demographic table included in Chapter Four, and all names and information that could identify a participant or organisation have been deleted. Transcripts are verbatim – they are lightly edited from the audio recordings for readability by eliminating false starts, fillers and repetitions so that the meaning of the participants' response is retained along with the wording. A common interview guide was followed with all participants.</w:t>
      </w:r>
    </w:p>
    <w:p w14:paraId="440D97D0" w14:textId="2190AB86" w:rsidR="009F77FF" w:rsidRDefault="009F77FF" w:rsidP="00143FD2">
      <w:pPr>
        <w:rPr>
          <w:color w:val="000000" w:themeColor="text1"/>
        </w:rPr>
      </w:pPr>
    </w:p>
    <w:bookmarkStart w:id="63" w:name="_MON_1851815473"/>
    <w:bookmarkEnd w:id="63"/>
    <w:p w14:paraId="4610F70A" w14:textId="45956368" w:rsidR="00806889" w:rsidRPr="00F94904" w:rsidRDefault="00806889" w:rsidP="00143FD2">
      <w:pPr>
        <w:rPr>
          <w:color w:val="000000" w:themeColor="text1"/>
        </w:rPr>
      </w:pPr>
      <w:r>
        <w:rPr>
          <w:color w:val="000000" w:themeColor="text1"/>
        </w:rPr>
        <w:object w:dxaOrig="1543" w:dyaOrig="995" w14:anchorId="0F1378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5pt;height:49.65pt" o:ole="">
            <v:imagedata r:id="rId10" o:title=""/>
          </v:shape>
          <o:OLEObject Type="Embed" ProgID="Word.Document.12" ShapeID="_x0000_i1025" DrawAspect="Icon" ObjectID="_1851815512" r:id="rId11">
            <o:FieldCodes>\s</o:FieldCodes>
          </o:OLEObject>
        </w:object>
      </w:r>
    </w:p>
    <w:p w14:paraId="24AAEDD2" w14:textId="77777777" w:rsidR="009F77FF" w:rsidRPr="00F94904" w:rsidRDefault="009F77FF" w:rsidP="00143FD2">
      <w:pPr>
        <w:rPr>
          <w:color w:val="000000" w:themeColor="text1"/>
        </w:rPr>
      </w:pPr>
    </w:p>
    <w:p w14:paraId="4920BDAD" w14:textId="32E59830" w:rsidR="00907EEF" w:rsidRPr="00F94904" w:rsidRDefault="00907EEF" w:rsidP="00143FD2">
      <w:pPr>
        <w:rPr>
          <w:color w:val="000000" w:themeColor="text1"/>
        </w:rPr>
      </w:pPr>
      <w:r w:rsidRPr="00F94904">
        <w:rPr>
          <w:color w:val="000000" w:themeColor="text1"/>
        </w:rPr>
        <w:t>The audio versions of the interview are available on this link:</w:t>
      </w:r>
    </w:p>
    <w:p w14:paraId="2D0C2B60" w14:textId="7E1ECE40" w:rsidR="00907EEF" w:rsidRPr="00F94904" w:rsidRDefault="0092227B" w:rsidP="00143FD2">
      <w:pPr>
        <w:rPr>
          <w:color w:val="000000" w:themeColor="text1"/>
        </w:rPr>
      </w:pPr>
      <w:hyperlink r:id="rId12" w:history="1">
        <w:r w:rsidR="0040037B" w:rsidRPr="00F94904">
          <w:rPr>
            <w:rStyle w:val="Hyperlink"/>
            <w:color w:val="000000" w:themeColor="text1"/>
          </w:rPr>
          <w:t>https://drive.google.com/file/d/1E7e2OTGAwJZi3cHaww3v1aZ459rM0uEz/view?usp=sharing</w:t>
        </w:r>
      </w:hyperlink>
      <w:r w:rsidR="0040037B" w:rsidRPr="00F94904">
        <w:rPr>
          <w:color w:val="000000" w:themeColor="text1"/>
        </w:rPr>
        <w:t xml:space="preserve"> </w:t>
      </w:r>
    </w:p>
    <w:p w14:paraId="56E311FF" w14:textId="60363EEF" w:rsidR="0098366A" w:rsidRPr="00F94904" w:rsidRDefault="0098366A" w:rsidP="00143FD2">
      <w:pPr>
        <w:rPr>
          <w:color w:val="000000" w:themeColor="text1"/>
        </w:rPr>
      </w:pPr>
    </w:p>
    <w:p w14:paraId="1C195083" w14:textId="1E7F2519" w:rsidR="0098366A" w:rsidRPr="00F94904" w:rsidRDefault="0098366A" w:rsidP="00143FD2">
      <w:pPr>
        <w:rPr>
          <w:color w:val="000000" w:themeColor="text1"/>
        </w:rPr>
      </w:pPr>
    </w:p>
    <w:p w14:paraId="0EBEFB50" w14:textId="1A0BB5AC" w:rsidR="0098366A" w:rsidRPr="00F94904" w:rsidRDefault="0098366A" w:rsidP="00143FD2">
      <w:pPr>
        <w:rPr>
          <w:color w:val="000000" w:themeColor="text1"/>
        </w:rPr>
      </w:pPr>
    </w:p>
    <w:p w14:paraId="4E454F7D" w14:textId="31BBF8CB" w:rsidR="00907EEF" w:rsidRPr="00F94904" w:rsidRDefault="00907EEF" w:rsidP="00143FD2">
      <w:pPr>
        <w:rPr>
          <w:color w:val="000000" w:themeColor="text1"/>
        </w:rPr>
      </w:pPr>
      <w:r w:rsidRPr="00F94904">
        <w:rPr>
          <w:color w:val="000000" w:themeColor="text1"/>
        </w:rPr>
        <w:br w:type="page"/>
      </w:r>
    </w:p>
    <w:p w14:paraId="42FF3151" w14:textId="00E61A5B" w:rsidR="00571993" w:rsidRPr="00F94904" w:rsidRDefault="00237399" w:rsidP="0098366A">
      <w:pPr>
        <w:pStyle w:val="Heading2"/>
        <w:rPr>
          <w:color w:val="000000" w:themeColor="text1"/>
        </w:rPr>
      </w:pPr>
      <w:bookmarkStart w:id="64" w:name="_Toc241018078"/>
      <w:r w:rsidRPr="00F94904">
        <w:rPr>
          <w:color w:val="000000" w:themeColor="text1"/>
        </w:rPr>
        <w:lastRenderedPageBreak/>
        <w:t>Appendix C: Completed UWTSD Application for Ethical Approval (PG2)</w:t>
      </w:r>
      <w:bookmarkEnd w:id="64"/>
    </w:p>
    <w:p w14:paraId="5313C817" w14:textId="249F24EC" w:rsidR="00571993" w:rsidRPr="00F94904" w:rsidRDefault="00571993" w:rsidP="00143FD2">
      <w:pPr>
        <w:rPr>
          <w:color w:val="000000" w:themeColor="text1"/>
        </w:rPr>
      </w:pPr>
    </w:p>
    <w:p w14:paraId="085840CA" w14:textId="1B1A7E23" w:rsidR="0098366A" w:rsidRPr="00F94904" w:rsidRDefault="0098366A" w:rsidP="00143FD2">
      <w:pPr>
        <w:rPr>
          <w:color w:val="000000" w:themeColor="text1"/>
        </w:rPr>
      </w:pPr>
      <w:r w:rsidRPr="00F94904">
        <w:rPr>
          <w:color w:val="000000" w:themeColor="text1"/>
        </w:rPr>
        <w:t xml:space="preserve">It was signed and approved by the supervisor and was submitted to our university portal. </w:t>
      </w:r>
    </w:p>
    <w:p w14:paraId="4D04DA09" w14:textId="77777777" w:rsidR="0098366A" w:rsidRPr="00F94904" w:rsidRDefault="0098366A" w:rsidP="00143FD2">
      <w:pPr>
        <w:rPr>
          <w:color w:val="000000" w:themeColor="text1"/>
        </w:rPr>
      </w:pPr>
    </w:p>
    <w:sectPr w:rsidR="0098366A" w:rsidRPr="00F94904">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F30EE" w14:textId="77777777" w:rsidR="0092227B" w:rsidRDefault="0092227B" w:rsidP="00143FD2">
      <w:r>
        <w:separator/>
      </w:r>
    </w:p>
  </w:endnote>
  <w:endnote w:type="continuationSeparator" w:id="0">
    <w:p w14:paraId="7E108140" w14:textId="77777777" w:rsidR="0092227B" w:rsidRDefault="0092227B" w:rsidP="0014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405D9" w14:textId="77777777" w:rsidR="00571993" w:rsidRDefault="00237399" w:rsidP="00143FD2">
    <w:pPr>
      <w:jc w:val="right"/>
    </w:pPr>
    <w:r>
      <w:fldChar w:fldCharType="begin"/>
    </w:r>
    <w:r>
      <w:instrText>PAGE</w:instrText>
    </w:r>
    <w:r>
      <w:fldChar w:fldCharType="separate"/>
    </w:r>
    <w:r w:rsidR="009D782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5BFF5" w14:textId="77777777" w:rsidR="0092227B" w:rsidRDefault="0092227B" w:rsidP="00143FD2">
      <w:r>
        <w:separator/>
      </w:r>
    </w:p>
  </w:footnote>
  <w:footnote w:type="continuationSeparator" w:id="0">
    <w:p w14:paraId="05C9F4BF" w14:textId="77777777" w:rsidR="0092227B" w:rsidRDefault="0092227B" w:rsidP="00143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1092"/>
    <w:multiLevelType w:val="hybridMultilevel"/>
    <w:tmpl w:val="37288258"/>
    <w:lvl w:ilvl="0" w:tplc="0232B4B0">
      <w:start w:val="1"/>
      <w:numFmt w:val="bullet"/>
      <w:lvlText w:val="●"/>
      <w:lvlJc w:val="left"/>
      <w:pPr>
        <w:ind w:left="720" w:hanging="360"/>
      </w:pPr>
    </w:lvl>
    <w:lvl w:ilvl="1" w:tplc="5C0A547A">
      <w:start w:val="1"/>
      <w:numFmt w:val="bullet"/>
      <w:lvlText w:val="○"/>
      <w:lvlJc w:val="left"/>
      <w:pPr>
        <w:ind w:left="1440" w:hanging="360"/>
      </w:pPr>
    </w:lvl>
    <w:lvl w:ilvl="2" w:tplc="592C887A">
      <w:start w:val="1"/>
      <w:numFmt w:val="bullet"/>
      <w:lvlText w:val="■"/>
      <w:lvlJc w:val="left"/>
      <w:pPr>
        <w:ind w:left="2160" w:hanging="360"/>
      </w:pPr>
    </w:lvl>
    <w:lvl w:ilvl="3" w:tplc="59E059BA">
      <w:start w:val="1"/>
      <w:numFmt w:val="bullet"/>
      <w:lvlText w:val="●"/>
      <w:lvlJc w:val="left"/>
      <w:pPr>
        <w:ind w:left="2880" w:hanging="360"/>
      </w:pPr>
    </w:lvl>
    <w:lvl w:ilvl="4" w:tplc="ABF8BFAE">
      <w:start w:val="1"/>
      <w:numFmt w:val="bullet"/>
      <w:lvlText w:val="○"/>
      <w:lvlJc w:val="left"/>
      <w:pPr>
        <w:ind w:left="3600" w:hanging="360"/>
      </w:pPr>
    </w:lvl>
    <w:lvl w:ilvl="5" w:tplc="191E1A8A">
      <w:start w:val="1"/>
      <w:numFmt w:val="bullet"/>
      <w:lvlText w:val="■"/>
      <w:lvlJc w:val="left"/>
      <w:pPr>
        <w:ind w:left="4320" w:hanging="360"/>
      </w:pPr>
    </w:lvl>
    <w:lvl w:ilvl="6" w:tplc="8EF260AC">
      <w:start w:val="1"/>
      <w:numFmt w:val="bullet"/>
      <w:lvlText w:val="●"/>
      <w:lvlJc w:val="left"/>
      <w:pPr>
        <w:ind w:left="5040" w:hanging="360"/>
      </w:pPr>
    </w:lvl>
    <w:lvl w:ilvl="7" w:tplc="FD10F4A6">
      <w:start w:val="1"/>
      <w:numFmt w:val="bullet"/>
      <w:lvlText w:val="●"/>
      <w:lvlJc w:val="left"/>
      <w:pPr>
        <w:ind w:left="5760" w:hanging="360"/>
      </w:pPr>
    </w:lvl>
    <w:lvl w:ilvl="8" w:tplc="2E62B42E">
      <w:start w:val="1"/>
      <w:numFmt w:val="bullet"/>
      <w:lvlText w:val="●"/>
      <w:lvlJc w:val="left"/>
      <w:pPr>
        <w:ind w:left="6480" w:hanging="360"/>
      </w:pPr>
    </w:lvl>
  </w:abstractNum>
  <w:abstractNum w:abstractNumId="1" w15:restartNumberingAfterBreak="0">
    <w:nsid w:val="42980963"/>
    <w:multiLevelType w:val="hybridMultilevel"/>
    <w:tmpl w:val="6E623044"/>
    <w:lvl w:ilvl="0" w:tplc="F5B4B650">
      <w:start w:val="1"/>
      <w:numFmt w:val="decimal"/>
      <w:lvlText w:val="%1."/>
      <w:lvlJc w:val="left"/>
      <w:pPr>
        <w:ind w:left="720" w:hanging="360"/>
      </w:pPr>
    </w:lvl>
    <w:lvl w:ilvl="1" w:tplc="976EE9C8">
      <w:numFmt w:val="decimal"/>
      <w:lvlText w:val=""/>
      <w:lvlJc w:val="left"/>
    </w:lvl>
    <w:lvl w:ilvl="2" w:tplc="2DEABAC0">
      <w:numFmt w:val="decimal"/>
      <w:lvlText w:val=""/>
      <w:lvlJc w:val="left"/>
    </w:lvl>
    <w:lvl w:ilvl="3" w:tplc="DCB250CE">
      <w:numFmt w:val="decimal"/>
      <w:lvlText w:val=""/>
      <w:lvlJc w:val="left"/>
    </w:lvl>
    <w:lvl w:ilvl="4" w:tplc="76DAFED6">
      <w:numFmt w:val="decimal"/>
      <w:lvlText w:val=""/>
      <w:lvlJc w:val="left"/>
    </w:lvl>
    <w:lvl w:ilvl="5" w:tplc="1D80FFBA">
      <w:numFmt w:val="decimal"/>
      <w:lvlText w:val=""/>
      <w:lvlJc w:val="left"/>
    </w:lvl>
    <w:lvl w:ilvl="6" w:tplc="0D54A440">
      <w:numFmt w:val="decimal"/>
      <w:lvlText w:val=""/>
      <w:lvlJc w:val="left"/>
    </w:lvl>
    <w:lvl w:ilvl="7" w:tplc="944A77BA">
      <w:numFmt w:val="decimal"/>
      <w:lvlText w:val=""/>
      <w:lvlJc w:val="left"/>
    </w:lvl>
    <w:lvl w:ilvl="8" w:tplc="989036AC">
      <w:numFmt w:val="decimal"/>
      <w:lvlText w:val=""/>
      <w:lvlJc w:val="left"/>
    </w:lvl>
  </w:abstractNum>
  <w:abstractNum w:abstractNumId="2" w15:restartNumberingAfterBreak="0">
    <w:nsid w:val="55FC76F7"/>
    <w:multiLevelType w:val="hybridMultilevel"/>
    <w:tmpl w:val="6E623044"/>
    <w:lvl w:ilvl="0" w:tplc="F5B4B650">
      <w:start w:val="1"/>
      <w:numFmt w:val="decimal"/>
      <w:lvlText w:val="%1."/>
      <w:lvlJc w:val="left"/>
      <w:pPr>
        <w:ind w:left="720" w:hanging="360"/>
      </w:pPr>
    </w:lvl>
    <w:lvl w:ilvl="1" w:tplc="976EE9C8">
      <w:numFmt w:val="decimal"/>
      <w:lvlText w:val=""/>
      <w:lvlJc w:val="left"/>
    </w:lvl>
    <w:lvl w:ilvl="2" w:tplc="2DEABAC0">
      <w:numFmt w:val="decimal"/>
      <w:lvlText w:val=""/>
      <w:lvlJc w:val="left"/>
    </w:lvl>
    <w:lvl w:ilvl="3" w:tplc="DCB250CE">
      <w:numFmt w:val="decimal"/>
      <w:lvlText w:val=""/>
      <w:lvlJc w:val="left"/>
    </w:lvl>
    <w:lvl w:ilvl="4" w:tplc="76DAFED6">
      <w:numFmt w:val="decimal"/>
      <w:lvlText w:val=""/>
      <w:lvlJc w:val="left"/>
    </w:lvl>
    <w:lvl w:ilvl="5" w:tplc="1D80FFBA">
      <w:numFmt w:val="decimal"/>
      <w:lvlText w:val=""/>
      <w:lvlJc w:val="left"/>
    </w:lvl>
    <w:lvl w:ilvl="6" w:tplc="0D54A440">
      <w:numFmt w:val="decimal"/>
      <w:lvlText w:val=""/>
      <w:lvlJc w:val="left"/>
    </w:lvl>
    <w:lvl w:ilvl="7" w:tplc="944A77BA">
      <w:numFmt w:val="decimal"/>
      <w:lvlText w:val=""/>
      <w:lvlJc w:val="left"/>
    </w:lvl>
    <w:lvl w:ilvl="8" w:tplc="989036AC">
      <w:numFmt w:val="decimal"/>
      <w:lvlText w:val=""/>
      <w:lvlJc w:val="left"/>
    </w:lvl>
  </w:abstractNum>
  <w:num w:numId="1">
    <w:abstractNumId w:val="0"/>
    <w:lvlOverride w:ilvl="0">
      <w:startOverride w:val="1"/>
    </w:lvlOverride>
  </w:num>
  <w:num w:numId="2">
    <w:abstractNumId w:val="2"/>
    <w:lvlOverride w:ilvl="0">
      <w:startOverride w:val="1"/>
    </w:lvlOverride>
  </w:num>
  <w:num w:numId="3">
    <w:abstractNumId w:val="2"/>
  </w:num>
  <w:num w:numId="4">
    <w:abstractNumId w:val="1"/>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93"/>
    <w:rsid w:val="00143FD2"/>
    <w:rsid w:val="00211BAC"/>
    <w:rsid w:val="00237399"/>
    <w:rsid w:val="00283763"/>
    <w:rsid w:val="00321481"/>
    <w:rsid w:val="00354A4C"/>
    <w:rsid w:val="0040037B"/>
    <w:rsid w:val="0043503A"/>
    <w:rsid w:val="00571993"/>
    <w:rsid w:val="00586B75"/>
    <w:rsid w:val="006228CE"/>
    <w:rsid w:val="006F68A4"/>
    <w:rsid w:val="006F6DA0"/>
    <w:rsid w:val="00731C91"/>
    <w:rsid w:val="007A3DE2"/>
    <w:rsid w:val="007B68DE"/>
    <w:rsid w:val="00806889"/>
    <w:rsid w:val="00907EEF"/>
    <w:rsid w:val="0092227B"/>
    <w:rsid w:val="00922750"/>
    <w:rsid w:val="0098366A"/>
    <w:rsid w:val="009D782E"/>
    <w:rsid w:val="009F77FF"/>
    <w:rsid w:val="00A74544"/>
    <w:rsid w:val="00AC7F43"/>
    <w:rsid w:val="00B37498"/>
    <w:rsid w:val="00B60110"/>
    <w:rsid w:val="00BB6DE4"/>
    <w:rsid w:val="00BC7E9A"/>
    <w:rsid w:val="00BD040E"/>
    <w:rsid w:val="00BD35D9"/>
    <w:rsid w:val="00C63D1E"/>
    <w:rsid w:val="00C75ABD"/>
    <w:rsid w:val="00CE6285"/>
    <w:rsid w:val="00D011A0"/>
    <w:rsid w:val="00D83804"/>
    <w:rsid w:val="00DC687F"/>
    <w:rsid w:val="00E5209A"/>
    <w:rsid w:val="00F150A4"/>
    <w:rsid w:val="00F32B7D"/>
    <w:rsid w:val="00F94904"/>
    <w:rsid w:val="00FA6414"/>
    <w:rsid w:val="00FE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40D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FD2"/>
    <w:pPr>
      <w:spacing w:after="160" w:line="360" w:lineRule="auto"/>
      <w:jc w:val="both"/>
    </w:pPr>
  </w:style>
  <w:style w:type="paragraph" w:styleId="Heading1">
    <w:name w:val="heading 1"/>
    <w:link w:val="Heading1Char"/>
    <w:uiPriority w:val="9"/>
    <w:qFormat/>
    <w:pPr>
      <w:spacing w:before="240" w:after="160" w:line="360" w:lineRule="auto"/>
      <w:outlineLvl w:val="0"/>
    </w:pPr>
    <w:rPr>
      <w:b/>
      <w:bCs/>
      <w:sz w:val="32"/>
      <w:szCs w:val="32"/>
    </w:rPr>
  </w:style>
  <w:style w:type="paragraph" w:styleId="Heading2">
    <w:name w:val="heading 2"/>
    <w:link w:val="Heading2Char"/>
    <w:uiPriority w:val="9"/>
    <w:unhideWhenUsed/>
    <w:qFormat/>
    <w:rsid w:val="0098366A"/>
    <w:pPr>
      <w:spacing w:after="160" w:line="360" w:lineRule="auto"/>
      <w:jc w:val="both"/>
      <w:outlineLvl w:val="1"/>
    </w:pPr>
    <w:rPr>
      <w:b/>
      <w:bCs/>
      <w:sz w:val="28"/>
      <w:szCs w:val="28"/>
    </w:rPr>
  </w:style>
  <w:style w:type="paragraph" w:styleId="Heading3">
    <w:name w:val="heading 3"/>
    <w:uiPriority w:val="9"/>
    <w:unhideWhenUsed/>
    <w:qFormat/>
    <w:pPr>
      <w:spacing w:before="160" w:after="100" w:line="360" w:lineRule="auto"/>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D782E"/>
    <w:pPr>
      <w:spacing w:after="100"/>
    </w:pPr>
  </w:style>
  <w:style w:type="paragraph" w:styleId="TOC2">
    <w:name w:val="toc 2"/>
    <w:basedOn w:val="Normal"/>
    <w:next w:val="Normal"/>
    <w:autoRedefine/>
    <w:uiPriority w:val="39"/>
    <w:unhideWhenUsed/>
    <w:rsid w:val="009D782E"/>
    <w:pPr>
      <w:spacing w:after="100"/>
      <w:ind w:left="240"/>
    </w:pPr>
  </w:style>
  <w:style w:type="paragraph" w:styleId="TOC3">
    <w:name w:val="toc 3"/>
    <w:basedOn w:val="Normal"/>
    <w:next w:val="Normal"/>
    <w:autoRedefine/>
    <w:uiPriority w:val="39"/>
    <w:unhideWhenUsed/>
    <w:rsid w:val="009D782E"/>
    <w:pPr>
      <w:spacing w:after="100"/>
      <w:ind w:left="480"/>
    </w:pPr>
  </w:style>
  <w:style w:type="character" w:customStyle="1" w:styleId="Heading2Char">
    <w:name w:val="Heading 2 Char"/>
    <w:basedOn w:val="DefaultParagraphFont"/>
    <w:link w:val="Heading2"/>
    <w:uiPriority w:val="9"/>
    <w:rsid w:val="0098366A"/>
    <w:rPr>
      <w:b/>
      <w:bCs/>
      <w:sz w:val="28"/>
      <w:szCs w:val="28"/>
    </w:rPr>
  </w:style>
  <w:style w:type="paragraph" w:styleId="Caption">
    <w:name w:val="caption"/>
    <w:basedOn w:val="Normal"/>
    <w:next w:val="Normal"/>
    <w:uiPriority w:val="35"/>
    <w:unhideWhenUsed/>
    <w:qFormat/>
    <w:rsid w:val="00143FD2"/>
    <w:pPr>
      <w:spacing w:after="200"/>
      <w:jc w:val="center"/>
    </w:pPr>
    <w:rPr>
      <w:i/>
      <w:iCs/>
      <w:color w:val="000000" w:themeColor="text1"/>
      <w:szCs w:val="18"/>
    </w:rPr>
  </w:style>
  <w:style w:type="paragraph" w:styleId="Header">
    <w:name w:val="header"/>
    <w:basedOn w:val="Normal"/>
    <w:link w:val="HeaderChar"/>
    <w:uiPriority w:val="99"/>
    <w:unhideWhenUsed/>
    <w:rsid w:val="00143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FD2"/>
  </w:style>
  <w:style w:type="paragraph" w:styleId="Footer">
    <w:name w:val="footer"/>
    <w:basedOn w:val="Normal"/>
    <w:link w:val="FooterChar"/>
    <w:uiPriority w:val="99"/>
    <w:unhideWhenUsed/>
    <w:rsid w:val="00143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FD2"/>
  </w:style>
  <w:style w:type="paragraph" w:styleId="TableofFigures">
    <w:name w:val="table of figures"/>
    <w:basedOn w:val="Normal"/>
    <w:next w:val="Normal"/>
    <w:uiPriority w:val="99"/>
    <w:unhideWhenUsed/>
    <w:rsid w:val="00143FD2"/>
    <w:pPr>
      <w:spacing w:after="0"/>
    </w:pPr>
  </w:style>
  <w:style w:type="character" w:styleId="UnresolvedMention">
    <w:name w:val="Unresolved Mention"/>
    <w:basedOn w:val="DefaultParagraphFont"/>
    <w:uiPriority w:val="99"/>
    <w:semiHidden/>
    <w:unhideWhenUsed/>
    <w:rsid w:val="0040037B"/>
    <w:rPr>
      <w:color w:val="605E5C"/>
      <w:shd w:val="clear" w:color="auto" w:fill="E1DFDD"/>
    </w:rPr>
  </w:style>
  <w:style w:type="paragraph" w:styleId="Revision">
    <w:name w:val="Revision"/>
    <w:hidden/>
    <w:uiPriority w:val="99"/>
    <w:semiHidden/>
    <w:rsid w:val="00D83804"/>
  </w:style>
  <w:style w:type="character" w:styleId="CommentReference">
    <w:name w:val="annotation reference"/>
    <w:basedOn w:val="DefaultParagraphFont"/>
    <w:uiPriority w:val="99"/>
    <w:semiHidden/>
    <w:unhideWhenUsed/>
    <w:rsid w:val="00FE6360"/>
    <w:rPr>
      <w:sz w:val="16"/>
      <w:szCs w:val="16"/>
    </w:rPr>
  </w:style>
  <w:style w:type="paragraph" w:styleId="CommentText">
    <w:name w:val="annotation text"/>
    <w:basedOn w:val="Normal"/>
    <w:link w:val="CommentTextChar"/>
    <w:uiPriority w:val="99"/>
    <w:unhideWhenUsed/>
    <w:rsid w:val="00FE6360"/>
    <w:pPr>
      <w:spacing w:line="240" w:lineRule="auto"/>
    </w:pPr>
    <w:rPr>
      <w:sz w:val="20"/>
      <w:szCs w:val="20"/>
    </w:rPr>
  </w:style>
  <w:style w:type="character" w:customStyle="1" w:styleId="CommentTextChar">
    <w:name w:val="Comment Text Char"/>
    <w:basedOn w:val="DefaultParagraphFont"/>
    <w:link w:val="CommentText"/>
    <w:uiPriority w:val="99"/>
    <w:rsid w:val="00FE6360"/>
    <w:rPr>
      <w:sz w:val="20"/>
      <w:szCs w:val="20"/>
    </w:rPr>
  </w:style>
  <w:style w:type="paragraph" w:styleId="CommentSubject">
    <w:name w:val="annotation subject"/>
    <w:basedOn w:val="CommentText"/>
    <w:next w:val="CommentText"/>
    <w:link w:val="CommentSubjectChar"/>
    <w:uiPriority w:val="99"/>
    <w:semiHidden/>
    <w:unhideWhenUsed/>
    <w:rsid w:val="00FE6360"/>
    <w:rPr>
      <w:b/>
      <w:bCs/>
    </w:rPr>
  </w:style>
  <w:style w:type="character" w:customStyle="1" w:styleId="CommentSubjectChar">
    <w:name w:val="Comment Subject Char"/>
    <w:basedOn w:val="CommentTextChar"/>
    <w:link w:val="CommentSubject"/>
    <w:uiPriority w:val="99"/>
    <w:semiHidden/>
    <w:rsid w:val="00FE6360"/>
    <w:rPr>
      <w:b/>
      <w:bCs/>
      <w:sz w:val="20"/>
      <w:szCs w:val="20"/>
    </w:rPr>
  </w:style>
  <w:style w:type="character" w:customStyle="1" w:styleId="Heading1Char">
    <w:name w:val="Heading 1 Char"/>
    <w:basedOn w:val="DefaultParagraphFont"/>
    <w:link w:val="Heading1"/>
    <w:uiPriority w:val="9"/>
    <w:rsid w:val="009F77FF"/>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E7e2OTGAwJZi3cHaww3v1aZ459rM0uEz/view?usp=shar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12FC2-39D4-4517-978B-422F0EE5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20018</Words>
  <Characters>114108</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2026-09-24T22:21:00Z</dcterms:created>
  <dcterms:modified xsi:type="dcterms:W3CDTF">2026-09-24T22:25:00Z</dcterms:modified>
</cp:coreProperties>
</file>