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27707784"/>
        <w:docPartObj>
          <w:docPartGallery w:val="Cover Pages"/>
          <w:docPartUnique/>
        </w:docPartObj>
      </w:sdtPr>
      <w:sdtEndPr/>
      <w:sdtContent>
        <w:p w14:paraId="3FA942FB" w14:textId="6E59874D" w:rsidR="00AE5416" w:rsidRDefault="00AE5416">
          <w:r>
            <w:rPr>
              <w:noProof/>
            </w:rPr>
            <mc:AlternateContent>
              <mc:Choice Requires="wpg">
                <w:drawing>
                  <wp:anchor distT="0" distB="0" distL="114300" distR="114300" simplePos="0" relativeHeight="251662336" behindDoc="0" locked="0" layoutInCell="1" allowOverlap="1" wp14:anchorId="5B7B6D5A" wp14:editId="291EEB3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AAAD6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98BC583" wp14:editId="7BA8949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B02E2" w14:textId="0357EFB4" w:rsidR="00BD4651" w:rsidRDefault="00BD4651">
                                <w:pPr>
                                  <w:pStyle w:val="NoSpacing"/>
                                  <w:jc w:val="right"/>
                                  <w:rPr>
                                    <w:color w:val="595959" w:themeColor="text1" w:themeTint="A6"/>
                                    <w:sz w:val="20"/>
                                    <w:szCs w:val="20"/>
                                  </w:rPr>
                                </w:pPr>
                                <w:r>
                                  <w:rPr>
                                    <w:color w:val="4472C4" w:themeColor="accent1"/>
                                    <w:sz w:val="28"/>
                                    <w:szCs w:val="28"/>
                                  </w:rPr>
                                  <w:t>Chloe Burgess - 1600608</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98BC583"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25FB02E2" w14:textId="0357EFB4" w:rsidR="00BD4651" w:rsidRDefault="00BD4651">
                          <w:pPr>
                            <w:pStyle w:val="NoSpacing"/>
                            <w:jc w:val="right"/>
                            <w:rPr>
                              <w:color w:val="595959" w:themeColor="text1" w:themeTint="A6"/>
                              <w:sz w:val="20"/>
                              <w:szCs w:val="20"/>
                            </w:rPr>
                          </w:pPr>
                          <w:r>
                            <w:rPr>
                              <w:color w:val="4472C4" w:themeColor="accent1"/>
                              <w:sz w:val="28"/>
                              <w:szCs w:val="28"/>
                            </w:rPr>
                            <w:t>Chloe Burgess - 1600608</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7DB2A43" wp14:editId="0DF133A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E5079B" w14:textId="49E90D69" w:rsidR="00BD4651" w:rsidRDefault="00AE6EF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4651">
                                      <w:rPr>
                                        <w:caps/>
                                        <w:color w:val="4472C4" w:themeColor="accent1"/>
                                        <w:sz w:val="64"/>
                                        <w:szCs w:val="64"/>
                                      </w:rPr>
                                      <w:t>International trade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26189B8" w14:textId="1186BF62" w:rsidR="00BD4651" w:rsidRDefault="00BD4651">
                                    <w:pPr>
                                      <w:jc w:val="right"/>
                                      <w:rPr>
                                        <w:smallCaps/>
                                        <w:color w:val="404040" w:themeColor="text1" w:themeTint="BF"/>
                                        <w:sz w:val="36"/>
                                        <w:szCs w:val="36"/>
                                      </w:rPr>
                                    </w:pPr>
                                    <w:r>
                                      <w:rPr>
                                        <w:color w:val="404040" w:themeColor="text1" w:themeTint="BF"/>
                                        <w:sz w:val="36"/>
                                        <w:szCs w:val="36"/>
                                      </w:rPr>
                                      <w:t>SBUS6113 - IFM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7DB2A43"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9E5079B" w14:textId="49E90D69" w:rsidR="00BD4651" w:rsidRDefault="003C03D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4651">
                                <w:rPr>
                                  <w:caps/>
                                  <w:color w:val="4472C4" w:themeColor="accent1"/>
                                  <w:sz w:val="64"/>
                                  <w:szCs w:val="64"/>
                                </w:rPr>
                                <w:t>International trade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26189B8" w14:textId="1186BF62" w:rsidR="00BD4651" w:rsidRDefault="00BD4651">
                              <w:pPr>
                                <w:jc w:val="right"/>
                                <w:rPr>
                                  <w:smallCaps/>
                                  <w:color w:val="404040" w:themeColor="text1" w:themeTint="BF"/>
                                  <w:sz w:val="36"/>
                                  <w:szCs w:val="36"/>
                                </w:rPr>
                              </w:pPr>
                              <w:r>
                                <w:rPr>
                                  <w:color w:val="404040" w:themeColor="text1" w:themeTint="BF"/>
                                  <w:sz w:val="36"/>
                                  <w:szCs w:val="36"/>
                                </w:rPr>
                                <w:t>SBUS6113 - IFM</w:t>
                              </w:r>
                            </w:p>
                          </w:sdtContent>
                        </w:sdt>
                      </w:txbxContent>
                    </v:textbox>
                    <w10:wrap type="square" anchorx="page" anchory="page"/>
                  </v:shape>
                </w:pict>
              </mc:Fallback>
            </mc:AlternateContent>
          </w:r>
        </w:p>
        <w:p w14:paraId="12AFDB46" w14:textId="7957ED1A" w:rsidR="00AE5416" w:rsidRDefault="00AE5416">
          <w:r>
            <w:br w:type="page"/>
          </w:r>
        </w:p>
      </w:sdtContent>
    </w:sdt>
    <w:p w14:paraId="1A20FA71" w14:textId="77777777" w:rsidR="00557305" w:rsidRDefault="00557305" w:rsidP="00557305">
      <w:pPr>
        <w:rPr>
          <w:sz w:val="24"/>
          <w:u w:val="single"/>
        </w:rPr>
      </w:pPr>
      <w:r w:rsidRPr="00AE5416">
        <w:rPr>
          <w:sz w:val="24"/>
          <w:u w:val="single"/>
        </w:rPr>
        <w:lastRenderedPageBreak/>
        <w:t>Executive Summary</w:t>
      </w:r>
    </w:p>
    <w:p w14:paraId="7E34799E" w14:textId="53330F96" w:rsidR="00557305" w:rsidRPr="00D2765F" w:rsidRDefault="00557305" w:rsidP="00557305">
      <w:pPr>
        <w:rPr>
          <w:sz w:val="24"/>
        </w:rPr>
      </w:pPr>
      <w:r>
        <w:rPr>
          <w:sz w:val="24"/>
        </w:rPr>
        <w:t>During this report I gained an understanding of Islamic law and finance whilst analysing the success of it by investigating</w:t>
      </w:r>
      <w:r w:rsidR="00C60478">
        <w:rPr>
          <w:sz w:val="24"/>
        </w:rPr>
        <w:t xml:space="preserve"> </w:t>
      </w:r>
      <w:r>
        <w:rPr>
          <w:sz w:val="24"/>
        </w:rPr>
        <w:t xml:space="preserve">beneficial factors with the use of relevant sources. I then went on to evaluate whether Islamic finance is a means to financial institutions and money markets by investigating the </w:t>
      </w:r>
      <w:r w:rsidR="00C60478">
        <w:rPr>
          <w:sz w:val="24"/>
        </w:rPr>
        <w:t xml:space="preserve">growth of Islamic finance and the </w:t>
      </w:r>
      <w:r>
        <w:rPr>
          <w:sz w:val="24"/>
        </w:rPr>
        <w:t>GDP growth rate of Malaysia. It was established that the main principles of Islamic finance, being the prohibition of riba and gharar are the reasons Islamic institutions were untouched by the 2008 financial crisis unlike traditional banks whose principles are based on interest and debt.</w:t>
      </w:r>
      <w:r w:rsidR="00C60478">
        <w:rPr>
          <w:sz w:val="24"/>
        </w:rPr>
        <w:t xml:space="preserve"> Thus, leading them towards Islamic financial instruments themselves.</w:t>
      </w:r>
    </w:p>
    <w:p w14:paraId="4BED0048" w14:textId="0E8C9E1B" w:rsidR="00AE5416" w:rsidRDefault="00AE5416">
      <w:r>
        <w:br w:type="page"/>
      </w:r>
    </w:p>
    <w:p w14:paraId="7817E5C8" w14:textId="77777777" w:rsidR="00557305" w:rsidRPr="00AE5416" w:rsidRDefault="00557305" w:rsidP="00557305">
      <w:pPr>
        <w:rPr>
          <w:sz w:val="24"/>
          <w:u w:val="single"/>
        </w:rPr>
      </w:pPr>
      <w:r w:rsidRPr="00AE5416">
        <w:rPr>
          <w:sz w:val="24"/>
          <w:u w:val="single"/>
        </w:rPr>
        <w:lastRenderedPageBreak/>
        <w:t>Contents page</w:t>
      </w:r>
    </w:p>
    <w:p w14:paraId="47D72C2E" w14:textId="0DD03E27" w:rsidR="00557305" w:rsidRDefault="00557305" w:rsidP="00557305">
      <w:r>
        <w:t>Executive Summary</w:t>
      </w:r>
      <w:r>
        <w:tab/>
      </w:r>
      <w:r>
        <w:tab/>
      </w:r>
      <w:r>
        <w:tab/>
      </w:r>
      <w:r>
        <w:tab/>
      </w:r>
      <w:r>
        <w:tab/>
      </w:r>
      <w:r>
        <w:tab/>
      </w:r>
      <w:r>
        <w:tab/>
      </w:r>
      <w:r>
        <w:tab/>
      </w:r>
      <w:r>
        <w:tab/>
      </w:r>
      <w:r>
        <w:tab/>
        <w:t>1</w:t>
      </w:r>
    </w:p>
    <w:p w14:paraId="24C6CABD" w14:textId="77777777" w:rsidR="00557305" w:rsidRDefault="00557305" w:rsidP="00557305">
      <w:r>
        <w:t>Introduction</w:t>
      </w:r>
      <w:r>
        <w:tab/>
      </w:r>
      <w:r>
        <w:tab/>
      </w:r>
      <w:r>
        <w:tab/>
      </w:r>
      <w:r>
        <w:tab/>
      </w:r>
      <w:r>
        <w:tab/>
      </w:r>
      <w:r>
        <w:tab/>
      </w:r>
      <w:r>
        <w:tab/>
      </w:r>
      <w:r>
        <w:tab/>
      </w:r>
      <w:r>
        <w:tab/>
      </w:r>
      <w:r>
        <w:tab/>
      </w:r>
      <w:r>
        <w:tab/>
        <w:t>3</w:t>
      </w:r>
    </w:p>
    <w:p w14:paraId="795C68F5" w14:textId="77777777" w:rsidR="00557305" w:rsidRPr="00D2765F" w:rsidRDefault="00557305" w:rsidP="00557305">
      <w:r w:rsidRPr="00D2765F">
        <w:t>What is Islamic law and finance?</w:t>
      </w:r>
      <w:r>
        <w:tab/>
      </w:r>
      <w:r>
        <w:tab/>
      </w:r>
      <w:r>
        <w:tab/>
      </w:r>
      <w:r>
        <w:tab/>
      </w:r>
      <w:r>
        <w:tab/>
      </w:r>
      <w:r>
        <w:tab/>
      </w:r>
      <w:r>
        <w:tab/>
      </w:r>
      <w:r>
        <w:tab/>
        <w:t>3</w:t>
      </w:r>
    </w:p>
    <w:p w14:paraId="693376F6" w14:textId="77777777" w:rsidR="00557305" w:rsidRPr="00D2765F" w:rsidRDefault="00557305" w:rsidP="00557305">
      <w:r w:rsidRPr="00D2765F">
        <w:t>Main Findings</w:t>
      </w:r>
      <w:r>
        <w:tab/>
      </w:r>
      <w:r>
        <w:tab/>
      </w:r>
      <w:r>
        <w:tab/>
      </w:r>
      <w:r>
        <w:tab/>
      </w:r>
      <w:r>
        <w:tab/>
      </w:r>
      <w:r>
        <w:tab/>
      </w:r>
      <w:r>
        <w:tab/>
      </w:r>
      <w:r>
        <w:tab/>
      </w:r>
      <w:r>
        <w:tab/>
      </w:r>
      <w:r>
        <w:tab/>
      </w:r>
      <w:r>
        <w:tab/>
        <w:t>4</w:t>
      </w:r>
    </w:p>
    <w:p w14:paraId="7667B439" w14:textId="77777777" w:rsidR="00557305" w:rsidRPr="00D2765F" w:rsidRDefault="00557305" w:rsidP="00557305">
      <w:r w:rsidRPr="00D2765F">
        <w:t xml:space="preserve">The success and evaluation of Islamic finance </w:t>
      </w:r>
      <w:r>
        <w:tab/>
      </w:r>
      <w:r>
        <w:tab/>
      </w:r>
      <w:r>
        <w:tab/>
      </w:r>
      <w:r>
        <w:tab/>
      </w:r>
      <w:r>
        <w:tab/>
      </w:r>
      <w:r>
        <w:tab/>
      </w:r>
      <w:r>
        <w:tab/>
        <w:t>4/5</w:t>
      </w:r>
    </w:p>
    <w:p w14:paraId="0379EE64" w14:textId="77777777" w:rsidR="00557305" w:rsidRDefault="00557305" w:rsidP="00557305">
      <w:r>
        <w:t>Recommendations</w:t>
      </w:r>
      <w:r>
        <w:tab/>
      </w:r>
      <w:r>
        <w:tab/>
      </w:r>
      <w:r>
        <w:tab/>
      </w:r>
      <w:r>
        <w:tab/>
      </w:r>
      <w:r>
        <w:tab/>
      </w:r>
      <w:r>
        <w:tab/>
      </w:r>
      <w:r>
        <w:tab/>
      </w:r>
      <w:r>
        <w:tab/>
      </w:r>
      <w:r>
        <w:tab/>
      </w:r>
      <w:r>
        <w:tab/>
        <w:t>6</w:t>
      </w:r>
    </w:p>
    <w:p w14:paraId="77BB1338" w14:textId="77777777" w:rsidR="00557305" w:rsidRDefault="00557305" w:rsidP="00557305">
      <w:r>
        <w:t>Conclusion</w:t>
      </w:r>
      <w:r>
        <w:tab/>
      </w:r>
      <w:r>
        <w:tab/>
      </w:r>
      <w:r>
        <w:tab/>
      </w:r>
      <w:r>
        <w:tab/>
      </w:r>
      <w:r>
        <w:tab/>
      </w:r>
      <w:r>
        <w:tab/>
      </w:r>
      <w:r>
        <w:tab/>
      </w:r>
      <w:r>
        <w:tab/>
      </w:r>
      <w:r>
        <w:tab/>
      </w:r>
      <w:r>
        <w:tab/>
      </w:r>
      <w:r>
        <w:tab/>
        <w:t>6</w:t>
      </w:r>
    </w:p>
    <w:p w14:paraId="5EDD4194" w14:textId="39ED28E4" w:rsidR="00557305" w:rsidRDefault="00557305" w:rsidP="00557305">
      <w:r>
        <w:t>Appendices</w:t>
      </w:r>
      <w:r>
        <w:tab/>
      </w:r>
      <w:r>
        <w:tab/>
      </w:r>
      <w:r>
        <w:tab/>
      </w:r>
      <w:r>
        <w:tab/>
      </w:r>
      <w:r>
        <w:tab/>
      </w:r>
      <w:r>
        <w:tab/>
      </w:r>
      <w:r>
        <w:tab/>
      </w:r>
      <w:r>
        <w:tab/>
      </w:r>
      <w:r>
        <w:tab/>
      </w:r>
      <w:r>
        <w:tab/>
      </w:r>
      <w:r w:rsidR="00685BCD">
        <w:t xml:space="preserve">           </w:t>
      </w:r>
      <w:r>
        <w:t>7-</w:t>
      </w:r>
      <w:r w:rsidR="00685BCD">
        <w:t>10</w:t>
      </w:r>
    </w:p>
    <w:p w14:paraId="6929BCE1" w14:textId="4305C51D" w:rsidR="00557305" w:rsidRDefault="00557305" w:rsidP="00557305">
      <w:r>
        <w:t>References</w:t>
      </w:r>
      <w:r>
        <w:tab/>
      </w:r>
      <w:r>
        <w:tab/>
      </w:r>
      <w:r>
        <w:tab/>
      </w:r>
      <w:r>
        <w:tab/>
      </w:r>
      <w:r>
        <w:tab/>
      </w:r>
      <w:r>
        <w:tab/>
      </w:r>
      <w:r>
        <w:tab/>
      </w:r>
      <w:r>
        <w:tab/>
      </w:r>
      <w:r>
        <w:tab/>
      </w:r>
      <w:r>
        <w:tab/>
        <w:t xml:space="preserve">           1</w:t>
      </w:r>
      <w:r w:rsidR="00685BCD">
        <w:t>1</w:t>
      </w:r>
      <w:r>
        <w:t>/1</w:t>
      </w:r>
      <w:r w:rsidR="00685BCD">
        <w:t>2</w:t>
      </w:r>
    </w:p>
    <w:p w14:paraId="72DDF160" w14:textId="3F919520" w:rsidR="007871D4" w:rsidRPr="00BD4651" w:rsidRDefault="00AE5416">
      <w:r>
        <w:br w:type="page"/>
      </w:r>
      <w:r w:rsidRPr="00AE5416">
        <w:rPr>
          <w:sz w:val="24"/>
          <w:u w:val="single"/>
        </w:rPr>
        <w:lastRenderedPageBreak/>
        <w:t>Introduction</w:t>
      </w:r>
    </w:p>
    <w:p w14:paraId="742DC634" w14:textId="430DE6ED" w:rsidR="00AE6CC3" w:rsidRDefault="00AE6CC3">
      <w:pPr>
        <w:rPr>
          <w:sz w:val="24"/>
        </w:rPr>
      </w:pPr>
      <w:r>
        <w:rPr>
          <w:sz w:val="24"/>
        </w:rPr>
        <w:t xml:space="preserve">During this report I hope to </w:t>
      </w:r>
      <w:r w:rsidR="00E74B17">
        <w:rPr>
          <w:sz w:val="24"/>
        </w:rPr>
        <w:t xml:space="preserve">understand and </w:t>
      </w:r>
      <w:r>
        <w:rPr>
          <w:sz w:val="24"/>
        </w:rPr>
        <w:t xml:space="preserve">analyse the success </w:t>
      </w:r>
      <w:r w:rsidR="0009654B">
        <w:rPr>
          <w:sz w:val="24"/>
        </w:rPr>
        <w:t>of Islamic finance by investigating the positive impact</w:t>
      </w:r>
      <w:r w:rsidR="00D2765F">
        <w:rPr>
          <w:sz w:val="24"/>
        </w:rPr>
        <w:t>s</w:t>
      </w:r>
      <w:r w:rsidR="0009654B">
        <w:rPr>
          <w:sz w:val="24"/>
        </w:rPr>
        <w:t xml:space="preserve"> it </w:t>
      </w:r>
      <w:r w:rsidR="006B6DB0">
        <w:rPr>
          <w:sz w:val="24"/>
        </w:rPr>
        <w:t>h</w:t>
      </w:r>
      <w:r w:rsidR="00D2765F">
        <w:rPr>
          <w:sz w:val="24"/>
        </w:rPr>
        <w:t>as had in the countries that have adopted the model</w:t>
      </w:r>
      <w:r>
        <w:rPr>
          <w:sz w:val="24"/>
        </w:rPr>
        <w:t>. I also aim to evaluate whether Islamic finance is a means to financial institutions</w:t>
      </w:r>
      <w:r w:rsidR="00BB56D7">
        <w:rPr>
          <w:sz w:val="24"/>
        </w:rPr>
        <w:t xml:space="preserve"> such as banks and money markets when it comes to</w:t>
      </w:r>
      <w:r>
        <w:rPr>
          <w:sz w:val="24"/>
        </w:rPr>
        <w:t xml:space="preserve"> avoiding the peaks and troughs that have occurred in the financial markets</w:t>
      </w:r>
      <w:r w:rsidR="00BB56D7">
        <w:rPr>
          <w:sz w:val="24"/>
        </w:rPr>
        <w:t xml:space="preserve">. </w:t>
      </w:r>
      <w:r w:rsidR="00234EAA">
        <w:rPr>
          <w:sz w:val="24"/>
        </w:rPr>
        <w:t xml:space="preserve">I hope to do </w:t>
      </w:r>
      <w:r w:rsidR="0009654B">
        <w:rPr>
          <w:sz w:val="24"/>
        </w:rPr>
        <w:t>so</w:t>
      </w:r>
      <w:r w:rsidR="00234EAA">
        <w:rPr>
          <w:sz w:val="24"/>
        </w:rPr>
        <w:t xml:space="preserve"> by</w:t>
      </w:r>
      <w:r>
        <w:rPr>
          <w:sz w:val="24"/>
        </w:rPr>
        <w:t xml:space="preserve"> </w:t>
      </w:r>
      <w:r w:rsidR="00234EAA">
        <w:rPr>
          <w:sz w:val="24"/>
        </w:rPr>
        <w:t xml:space="preserve">looking at </w:t>
      </w:r>
      <w:r w:rsidR="0009654B">
        <w:rPr>
          <w:sz w:val="24"/>
        </w:rPr>
        <w:t xml:space="preserve">the </w:t>
      </w:r>
      <w:r>
        <w:rPr>
          <w:sz w:val="24"/>
        </w:rPr>
        <w:t>GDP</w:t>
      </w:r>
      <w:r w:rsidR="006B6DB0">
        <w:rPr>
          <w:sz w:val="24"/>
        </w:rPr>
        <w:t xml:space="preserve"> </w:t>
      </w:r>
      <w:r>
        <w:rPr>
          <w:sz w:val="24"/>
        </w:rPr>
        <w:t xml:space="preserve">statistics </w:t>
      </w:r>
      <w:r w:rsidR="00D2765F">
        <w:rPr>
          <w:sz w:val="24"/>
        </w:rPr>
        <w:t>in Malaysia and analysing the f</w:t>
      </w:r>
      <w:r w:rsidR="00BB56D7">
        <w:rPr>
          <w:sz w:val="24"/>
        </w:rPr>
        <w:t xml:space="preserve">luctuations </w:t>
      </w:r>
      <w:r w:rsidR="00D2765F">
        <w:rPr>
          <w:sz w:val="24"/>
        </w:rPr>
        <w:t>as well as the use of relevant sources</w:t>
      </w:r>
      <w:r w:rsidR="00EB53DD">
        <w:rPr>
          <w:sz w:val="24"/>
        </w:rPr>
        <w:t xml:space="preserve"> on statistics and growth</w:t>
      </w:r>
      <w:r w:rsidR="001B1EA1">
        <w:rPr>
          <w:sz w:val="24"/>
        </w:rPr>
        <w:t>.</w:t>
      </w:r>
    </w:p>
    <w:p w14:paraId="3A3BE0A2" w14:textId="4B7F48DC" w:rsidR="00BB56D7" w:rsidRDefault="00AE6CC3">
      <w:pPr>
        <w:rPr>
          <w:sz w:val="24"/>
        </w:rPr>
      </w:pPr>
      <w:r>
        <w:rPr>
          <w:sz w:val="24"/>
        </w:rPr>
        <w:t xml:space="preserve">Based on my findings I will make 3 recommendations as to whether Islamic finance is the way forward for International banks that adopt a different process. </w:t>
      </w:r>
    </w:p>
    <w:p w14:paraId="6D1AEDEB" w14:textId="57DA25EF" w:rsidR="006C1EB9" w:rsidRPr="006C1EB9" w:rsidRDefault="006C1EB9">
      <w:pPr>
        <w:rPr>
          <w:sz w:val="24"/>
          <w:u w:val="single"/>
        </w:rPr>
      </w:pPr>
      <w:r w:rsidRPr="006C1EB9">
        <w:rPr>
          <w:sz w:val="24"/>
          <w:u w:val="single"/>
        </w:rPr>
        <w:t>What is Islamic Law and Finance?</w:t>
      </w:r>
    </w:p>
    <w:p w14:paraId="3A2F2593" w14:textId="44011276" w:rsidR="0029522F" w:rsidRPr="002E36B4" w:rsidRDefault="00BA2C66">
      <w:pPr>
        <w:rPr>
          <w:sz w:val="24"/>
        </w:rPr>
      </w:pPr>
      <w:r w:rsidRPr="002E36B4">
        <w:rPr>
          <w:sz w:val="24"/>
        </w:rPr>
        <w:t xml:space="preserve">Islamic </w:t>
      </w:r>
      <w:r w:rsidR="00BD0010" w:rsidRPr="002E36B4">
        <w:rPr>
          <w:sz w:val="24"/>
        </w:rPr>
        <w:t>F</w:t>
      </w:r>
      <w:r w:rsidRPr="002E36B4">
        <w:rPr>
          <w:sz w:val="24"/>
        </w:rPr>
        <w:t xml:space="preserve">inance is a </w:t>
      </w:r>
      <w:r w:rsidR="002E5F79" w:rsidRPr="002E36B4">
        <w:rPr>
          <w:sz w:val="24"/>
        </w:rPr>
        <w:t xml:space="preserve">financial and banking system that operates in compliant with the Sharia law (Islamic law). The Bank of London and the Middle East (BLME), a </w:t>
      </w:r>
      <w:r w:rsidR="00BD0010" w:rsidRPr="002E36B4">
        <w:rPr>
          <w:sz w:val="24"/>
        </w:rPr>
        <w:t xml:space="preserve">Sharia compliant bank, stated that the main principle of </w:t>
      </w:r>
      <w:r w:rsidR="008B5C1B" w:rsidRPr="002E36B4">
        <w:rPr>
          <w:sz w:val="24"/>
        </w:rPr>
        <w:t xml:space="preserve">Islamic </w:t>
      </w:r>
      <w:r w:rsidR="00BD0010" w:rsidRPr="002E36B4">
        <w:rPr>
          <w:sz w:val="24"/>
        </w:rPr>
        <w:t>F</w:t>
      </w:r>
      <w:r w:rsidR="008B5C1B" w:rsidRPr="002E36B4">
        <w:rPr>
          <w:sz w:val="24"/>
        </w:rPr>
        <w:t xml:space="preserve">inance </w:t>
      </w:r>
      <w:r w:rsidR="00BD0010" w:rsidRPr="002E36B4">
        <w:rPr>
          <w:sz w:val="24"/>
        </w:rPr>
        <w:t xml:space="preserve">is to avoid all harmful </w:t>
      </w:r>
      <w:r w:rsidR="00BD0010" w:rsidRPr="002E36B4">
        <w:rPr>
          <w:i/>
          <w:sz w:val="24"/>
        </w:rPr>
        <w:t xml:space="preserve">(haram) </w:t>
      </w:r>
      <w:r w:rsidR="00BD0010" w:rsidRPr="002E36B4">
        <w:rPr>
          <w:sz w:val="24"/>
        </w:rPr>
        <w:t xml:space="preserve">activities such as charging interest </w:t>
      </w:r>
      <w:r w:rsidR="00BD0010" w:rsidRPr="002E36B4">
        <w:rPr>
          <w:i/>
          <w:sz w:val="24"/>
        </w:rPr>
        <w:t xml:space="preserve">(riba). </w:t>
      </w:r>
      <w:r w:rsidR="00BD0010" w:rsidRPr="002E36B4">
        <w:rPr>
          <w:sz w:val="24"/>
        </w:rPr>
        <w:t xml:space="preserve">In addition, Islamic financial institutions must ensure that ambiguity </w:t>
      </w:r>
      <w:r w:rsidR="00BD0010" w:rsidRPr="002E36B4">
        <w:rPr>
          <w:i/>
          <w:sz w:val="24"/>
        </w:rPr>
        <w:t xml:space="preserve">(gharar) </w:t>
      </w:r>
      <w:r w:rsidR="00BD0010" w:rsidRPr="002E36B4">
        <w:rPr>
          <w:sz w:val="24"/>
        </w:rPr>
        <w:t xml:space="preserve">or speculation/gambling </w:t>
      </w:r>
      <w:r w:rsidR="00BD0010" w:rsidRPr="002E36B4">
        <w:rPr>
          <w:i/>
          <w:sz w:val="24"/>
        </w:rPr>
        <w:t xml:space="preserve">(maysair) </w:t>
      </w:r>
      <w:r w:rsidR="00BD0010" w:rsidRPr="002E36B4">
        <w:rPr>
          <w:sz w:val="24"/>
        </w:rPr>
        <w:t xml:space="preserve">is minimal in all contracts and transactions. To comply with Sharia law financial institutions investing in alcohol, pornography, gambling or pork is impermissible </w:t>
      </w:r>
      <w:sdt>
        <w:sdtPr>
          <w:rPr>
            <w:sz w:val="24"/>
          </w:rPr>
          <w:id w:val="1423533867"/>
          <w:citation/>
        </w:sdtPr>
        <w:sdtEndPr/>
        <w:sdtContent>
          <w:r w:rsidR="00BD0010" w:rsidRPr="002E36B4">
            <w:rPr>
              <w:sz w:val="24"/>
            </w:rPr>
            <w:fldChar w:fldCharType="begin"/>
          </w:r>
          <w:r w:rsidR="00BD0010" w:rsidRPr="002E36B4">
            <w:rPr>
              <w:sz w:val="24"/>
            </w:rPr>
            <w:instrText xml:space="preserve"> CITATION War10 \l 2057 </w:instrText>
          </w:r>
          <w:r w:rsidR="00BD0010" w:rsidRPr="002E36B4">
            <w:rPr>
              <w:sz w:val="24"/>
            </w:rPr>
            <w:fldChar w:fldCharType="separate"/>
          </w:r>
          <w:r w:rsidR="009055C1" w:rsidRPr="009055C1">
            <w:rPr>
              <w:noProof/>
              <w:sz w:val="24"/>
            </w:rPr>
            <w:t>(Warwick-Ching, 2010)</w:t>
          </w:r>
          <w:r w:rsidR="00BD0010" w:rsidRPr="002E36B4">
            <w:rPr>
              <w:sz w:val="24"/>
            </w:rPr>
            <w:fldChar w:fldCharType="end"/>
          </w:r>
        </w:sdtContent>
      </w:sdt>
      <w:r w:rsidR="00BD0010" w:rsidRPr="002E36B4">
        <w:rPr>
          <w:sz w:val="24"/>
        </w:rPr>
        <w:t>.</w:t>
      </w:r>
    </w:p>
    <w:p w14:paraId="694FB1AE" w14:textId="72533C72" w:rsidR="0029522F" w:rsidRDefault="0029522F">
      <w:pPr>
        <w:rPr>
          <w:sz w:val="24"/>
        </w:rPr>
      </w:pPr>
      <w:r>
        <w:rPr>
          <w:sz w:val="24"/>
        </w:rPr>
        <w:t>As all forms of interest are forbidden, the model works based on risk-sharing. This is where both the customer and the bank share the risk of any investment on fixed terms and divide any profits/losses between them</w:t>
      </w:r>
      <w:sdt>
        <w:sdtPr>
          <w:rPr>
            <w:sz w:val="24"/>
          </w:rPr>
          <w:id w:val="251249525"/>
          <w:citation/>
        </w:sdtPr>
        <w:sdtEndPr/>
        <w:sdtContent>
          <w:r>
            <w:rPr>
              <w:sz w:val="24"/>
            </w:rPr>
            <w:fldChar w:fldCharType="begin"/>
          </w:r>
          <w:r>
            <w:rPr>
              <w:sz w:val="24"/>
            </w:rPr>
            <w:instrText xml:space="preserve"> CITATION War10 \l 2057 </w:instrText>
          </w:r>
          <w:r>
            <w:rPr>
              <w:sz w:val="24"/>
            </w:rPr>
            <w:fldChar w:fldCharType="separate"/>
          </w:r>
          <w:r w:rsidR="009055C1">
            <w:rPr>
              <w:noProof/>
              <w:sz w:val="24"/>
            </w:rPr>
            <w:t xml:space="preserve"> </w:t>
          </w:r>
          <w:r w:rsidR="009055C1" w:rsidRPr="009055C1">
            <w:rPr>
              <w:noProof/>
              <w:sz w:val="24"/>
            </w:rPr>
            <w:t>(Warwick-Ching, 2010)</w:t>
          </w:r>
          <w:r>
            <w:rPr>
              <w:sz w:val="24"/>
            </w:rPr>
            <w:fldChar w:fldCharType="end"/>
          </w:r>
        </w:sdtContent>
      </w:sdt>
      <w:r>
        <w:rPr>
          <w:sz w:val="24"/>
        </w:rPr>
        <w:t xml:space="preserve">. </w:t>
      </w:r>
    </w:p>
    <w:p w14:paraId="1F61A3BD" w14:textId="176CE9E5" w:rsidR="0029522F" w:rsidRDefault="0029522F">
      <w:pPr>
        <w:rPr>
          <w:sz w:val="24"/>
        </w:rPr>
      </w:pPr>
      <w:r>
        <w:rPr>
          <w:sz w:val="24"/>
        </w:rPr>
        <w:t xml:space="preserve">The main </w:t>
      </w:r>
      <w:r w:rsidR="008B5C1B">
        <w:rPr>
          <w:sz w:val="24"/>
        </w:rPr>
        <w:t xml:space="preserve">types of </w:t>
      </w:r>
      <w:r w:rsidR="00E74B17">
        <w:rPr>
          <w:sz w:val="24"/>
        </w:rPr>
        <w:t xml:space="preserve">financial </w:t>
      </w:r>
      <w:r w:rsidR="008B5C1B">
        <w:rPr>
          <w:sz w:val="24"/>
        </w:rPr>
        <w:t>contracts</w:t>
      </w:r>
      <w:r>
        <w:rPr>
          <w:sz w:val="24"/>
        </w:rPr>
        <w:t xml:space="preserve"> </w:t>
      </w:r>
      <w:r w:rsidR="00E74B17">
        <w:rPr>
          <w:sz w:val="24"/>
        </w:rPr>
        <w:t>offered by institutions include</w:t>
      </w:r>
      <w:r w:rsidR="008B5C1B">
        <w:rPr>
          <w:sz w:val="24"/>
        </w:rPr>
        <w:t>:</w:t>
      </w:r>
    </w:p>
    <w:p w14:paraId="4855B4E8" w14:textId="5D9D8022" w:rsidR="006C1EB9" w:rsidRPr="006C1EB9" w:rsidRDefault="006C1EB9">
      <w:pPr>
        <w:rPr>
          <w:b/>
          <w:sz w:val="24"/>
        </w:rPr>
      </w:pPr>
      <w:bookmarkStart w:id="0" w:name="_Hlk531692817"/>
      <w:r w:rsidRPr="006C1EB9">
        <w:rPr>
          <w:b/>
          <w:sz w:val="24"/>
        </w:rPr>
        <w:t>Fixed income</w:t>
      </w:r>
      <w:r>
        <w:rPr>
          <w:b/>
          <w:sz w:val="24"/>
        </w:rPr>
        <w:t xml:space="preserve"> contracts</w:t>
      </w:r>
      <w:r w:rsidRPr="006C1EB9">
        <w:rPr>
          <w:b/>
          <w:sz w:val="24"/>
        </w:rPr>
        <w:t>:</w:t>
      </w:r>
    </w:p>
    <w:p w14:paraId="021C2CCB" w14:textId="1B03B9D6" w:rsidR="006C1EB9" w:rsidRPr="006C1EB9" w:rsidRDefault="006C1EB9" w:rsidP="006C1EB9">
      <w:pPr>
        <w:pStyle w:val="ListParagraph"/>
        <w:numPr>
          <w:ilvl w:val="0"/>
          <w:numId w:val="2"/>
        </w:numPr>
        <w:rPr>
          <w:sz w:val="24"/>
        </w:rPr>
      </w:pPr>
      <w:r>
        <w:rPr>
          <w:sz w:val="24"/>
        </w:rPr>
        <w:t xml:space="preserve">Murabaha (form of credit sale) </w:t>
      </w:r>
    </w:p>
    <w:p w14:paraId="6DF5D5D0" w14:textId="78FD1018" w:rsidR="006C1EB9" w:rsidRDefault="006C1EB9" w:rsidP="006C1EB9">
      <w:pPr>
        <w:pStyle w:val="ListParagraph"/>
        <w:numPr>
          <w:ilvl w:val="0"/>
          <w:numId w:val="2"/>
        </w:numPr>
        <w:rPr>
          <w:sz w:val="24"/>
        </w:rPr>
      </w:pPr>
      <w:r>
        <w:rPr>
          <w:sz w:val="24"/>
        </w:rPr>
        <w:t xml:space="preserve">Sukuk (bond/debt finance) </w:t>
      </w:r>
    </w:p>
    <w:p w14:paraId="259E2CF7" w14:textId="1F5F6241" w:rsidR="006C1EB9" w:rsidRDefault="006C1EB9" w:rsidP="006C1EB9">
      <w:pPr>
        <w:pStyle w:val="ListParagraph"/>
        <w:numPr>
          <w:ilvl w:val="0"/>
          <w:numId w:val="2"/>
        </w:numPr>
        <w:rPr>
          <w:sz w:val="24"/>
        </w:rPr>
      </w:pPr>
      <w:r>
        <w:rPr>
          <w:sz w:val="24"/>
        </w:rPr>
        <w:t xml:space="preserve">Ijara (form of lease) </w:t>
      </w:r>
    </w:p>
    <w:p w14:paraId="7A0E052B" w14:textId="0D1C2210" w:rsidR="006C1EB9" w:rsidRPr="006C1EB9" w:rsidRDefault="006C1EB9" w:rsidP="006C1EB9">
      <w:pPr>
        <w:rPr>
          <w:b/>
          <w:sz w:val="24"/>
        </w:rPr>
      </w:pPr>
      <w:r w:rsidRPr="006C1EB9">
        <w:rPr>
          <w:b/>
          <w:sz w:val="24"/>
        </w:rPr>
        <w:t xml:space="preserve">Equity </w:t>
      </w:r>
      <w:r>
        <w:rPr>
          <w:b/>
          <w:sz w:val="24"/>
        </w:rPr>
        <w:t>contracts</w:t>
      </w:r>
      <w:r w:rsidRPr="006C1EB9">
        <w:rPr>
          <w:b/>
          <w:sz w:val="24"/>
        </w:rPr>
        <w:t>:</w:t>
      </w:r>
    </w:p>
    <w:p w14:paraId="6585D713" w14:textId="29492311" w:rsidR="006C1EB9" w:rsidRPr="006C1EB9" w:rsidRDefault="006C1EB9" w:rsidP="006C1EB9">
      <w:pPr>
        <w:pStyle w:val="ListParagraph"/>
        <w:numPr>
          <w:ilvl w:val="0"/>
          <w:numId w:val="2"/>
        </w:numPr>
        <w:rPr>
          <w:sz w:val="24"/>
        </w:rPr>
      </w:pPr>
      <w:r>
        <w:rPr>
          <w:sz w:val="24"/>
        </w:rPr>
        <w:t xml:space="preserve">Mudaraba (partnership contract) </w:t>
      </w:r>
    </w:p>
    <w:p w14:paraId="17DCB36D" w14:textId="636D8FA0" w:rsidR="00A62189" w:rsidRPr="00A62189" w:rsidRDefault="0029522F" w:rsidP="00A62189">
      <w:pPr>
        <w:pStyle w:val="ListParagraph"/>
        <w:numPr>
          <w:ilvl w:val="0"/>
          <w:numId w:val="2"/>
        </w:numPr>
        <w:rPr>
          <w:sz w:val="24"/>
        </w:rPr>
      </w:pPr>
      <w:r>
        <w:rPr>
          <w:sz w:val="24"/>
        </w:rPr>
        <w:t>Musharaka</w:t>
      </w:r>
      <w:r w:rsidR="00E74B17">
        <w:rPr>
          <w:sz w:val="24"/>
        </w:rPr>
        <w:t xml:space="preserve"> (joint venture</w:t>
      </w:r>
      <w:r w:rsidR="00A62189">
        <w:rPr>
          <w:sz w:val="24"/>
        </w:rPr>
        <w:t>)</w:t>
      </w:r>
    </w:p>
    <w:bookmarkEnd w:id="0"/>
    <w:p w14:paraId="65FAEA2F" w14:textId="2BD9BC6E" w:rsidR="0029522F" w:rsidRPr="006B6DB0" w:rsidRDefault="00AE6EF5" w:rsidP="0029522F">
      <w:sdt>
        <w:sdtPr>
          <w:id w:val="-248514056"/>
          <w:citation/>
        </w:sdtPr>
        <w:sdtEndPr/>
        <w:sdtContent>
          <w:r w:rsidR="0029522F" w:rsidRPr="006B6DB0">
            <w:fldChar w:fldCharType="begin"/>
          </w:r>
          <w:r w:rsidR="0029522F" w:rsidRPr="006B6DB0">
            <w:instrText xml:space="preserve"> CITATION Bur18 \l 2057 </w:instrText>
          </w:r>
          <w:r w:rsidR="0029522F" w:rsidRPr="006B6DB0">
            <w:fldChar w:fldCharType="separate"/>
          </w:r>
          <w:r w:rsidR="009055C1" w:rsidRPr="009055C1">
            <w:rPr>
              <w:noProof/>
            </w:rPr>
            <w:t>(Burns, 2018)</w:t>
          </w:r>
          <w:r w:rsidR="0029522F" w:rsidRPr="006B6DB0">
            <w:fldChar w:fldCharType="end"/>
          </w:r>
        </w:sdtContent>
      </w:sdt>
    </w:p>
    <w:p w14:paraId="7998FB6A" w14:textId="07EF366F" w:rsidR="00C82541" w:rsidRDefault="00BC3C55" w:rsidP="0029522F">
      <w:pPr>
        <w:rPr>
          <w:sz w:val="24"/>
        </w:rPr>
      </w:pPr>
      <w:r>
        <w:rPr>
          <w:sz w:val="24"/>
        </w:rPr>
        <w:t>The S</w:t>
      </w:r>
      <w:r w:rsidR="00967AE4">
        <w:rPr>
          <w:sz w:val="24"/>
        </w:rPr>
        <w:t>haria governance is a key part of Islamic financial institutions as it is the mechanism which determines the “Islamicity” of any specific Islamic business, financial institution and the whole system. Their main role is to ensure that the industry is a</w:t>
      </w:r>
      <w:r w:rsidR="00A62189">
        <w:rPr>
          <w:sz w:val="24"/>
        </w:rPr>
        <w:t>l</w:t>
      </w:r>
      <w:r w:rsidR="00967AE4">
        <w:rPr>
          <w:sz w:val="24"/>
        </w:rPr>
        <w:t xml:space="preserve">ways in accordance with the main principles of the Sharia law stated above </w:t>
      </w:r>
      <w:sdt>
        <w:sdtPr>
          <w:rPr>
            <w:sz w:val="24"/>
          </w:rPr>
          <w:id w:val="-1191440951"/>
          <w:citation/>
        </w:sdtPr>
        <w:sdtEndPr/>
        <w:sdtContent>
          <w:r w:rsidR="00967AE4">
            <w:rPr>
              <w:sz w:val="24"/>
            </w:rPr>
            <w:fldChar w:fldCharType="begin"/>
          </w:r>
          <w:r w:rsidR="00967AE4">
            <w:rPr>
              <w:sz w:val="24"/>
            </w:rPr>
            <w:instrText xml:space="preserve"> CITATION Lal18 \l 2057 </w:instrText>
          </w:r>
          <w:r w:rsidR="00967AE4">
            <w:rPr>
              <w:sz w:val="24"/>
            </w:rPr>
            <w:fldChar w:fldCharType="separate"/>
          </w:r>
          <w:r w:rsidR="009055C1" w:rsidRPr="009055C1">
            <w:rPr>
              <w:noProof/>
              <w:sz w:val="24"/>
            </w:rPr>
            <w:t>(Laldin, 2018)</w:t>
          </w:r>
          <w:r w:rsidR="00967AE4">
            <w:rPr>
              <w:sz w:val="24"/>
            </w:rPr>
            <w:fldChar w:fldCharType="end"/>
          </w:r>
        </w:sdtContent>
      </w:sdt>
      <w:r w:rsidR="00004853">
        <w:rPr>
          <w:sz w:val="24"/>
        </w:rPr>
        <w:t>.</w:t>
      </w:r>
    </w:p>
    <w:p w14:paraId="6C5B8C78" w14:textId="7D2BE77B" w:rsidR="00A62189" w:rsidRDefault="00A62189">
      <w:pPr>
        <w:rPr>
          <w:sz w:val="24"/>
          <w:u w:val="single"/>
        </w:rPr>
      </w:pPr>
    </w:p>
    <w:p w14:paraId="4D53987A" w14:textId="77777777" w:rsidR="00EB53DD" w:rsidRDefault="00EB53DD">
      <w:pPr>
        <w:rPr>
          <w:sz w:val="24"/>
          <w:u w:val="single"/>
        </w:rPr>
      </w:pPr>
    </w:p>
    <w:p w14:paraId="5AE59EAC" w14:textId="014BA05C" w:rsidR="00AE6CC3" w:rsidRDefault="00AE6CC3">
      <w:pPr>
        <w:rPr>
          <w:sz w:val="24"/>
          <w:u w:val="single"/>
        </w:rPr>
      </w:pPr>
      <w:r>
        <w:rPr>
          <w:sz w:val="24"/>
          <w:u w:val="single"/>
        </w:rPr>
        <w:lastRenderedPageBreak/>
        <w:t>Main Findings</w:t>
      </w:r>
    </w:p>
    <w:p w14:paraId="0FBF96C1" w14:textId="3C40F7B4" w:rsidR="00DD620C" w:rsidRDefault="00DD620C">
      <w:pPr>
        <w:rPr>
          <w:sz w:val="24"/>
          <w:u w:val="single"/>
        </w:rPr>
      </w:pPr>
      <w:r>
        <w:rPr>
          <w:sz w:val="24"/>
          <w:u w:val="single"/>
        </w:rPr>
        <w:t xml:space="preserve">The success </w:t>
      </w:r>
      <w:r w:rsidR="00A62189">
        <w:rPr>
          <w:sz w:val="24"/>
          <w:u w:val="single"/>
        </w:rPr>
        <w:t xml:space="preserve">and evaluation </w:t>
      </w:r>
      <w:r>
        <w:rPr>
          <w:sz w:val="24"/>
          <w:u w:val="single"/>
        </w:rPr>
        <w:t xml:space="preserve">of Islamic finance </w:t>
      </w:r>
    </w:p>
    <w:p w14:paraId="139D4678" w14:textId="03B01F92" w:rsidR="002B1DF8" w:rsidRDefault="00223406">
      <w:pPr>
        <w:rPr>
          <w:sz w:val="24"/>
        </w:rPr>
      </w:pPr>
      <w:r>
        <w:rPr>
          <w:sz w:val="24"/>
        </w:rPr>
        <w:t xml:space="preserve">Islamic finance hardly existed 30 years ago, yet today it is a $2.2 trillion industry with hundreds of specialised institutions in more than 60 countries. Islamic banks account for $1.5 trillion in assets and are expected to grow to $3.5 trillion by 2021 proving to be more valuable than conventional finance </w:t>
      </w:r>
      <w:sdt>
        <w:sdtPr>
          <w:rPr>
            <w:sz w:val="24"/>
          </w:rPr>
          <w:id w:val="653032036"/>
          <w:citation/>
        </w:sdtPr>
        <w:sdtEndPr/>
        <w:sdtContent>
          <w:r>
            <w:rPr>
              <w:sz w:val="24"/>
            </w:rPr>
            <w:fldChar w:fldCharType="begin"/>
          </w:r>
          <w:r>
            <w:rPr>
              <w:sz w:val="24"/>
            </w:rPr>
            <w:instrText xml:space="preserve"> CITATION Dom18 \l 2057 </w:instrText>
          </w:r>
          <w:r>
            <w:rPr>
              <w:sz w:val="24"/>
            </w:rPr>
            <w:fldChar w:fldCharType="separate"/>
          </w:r>
          <w:r w:rsidR="009055C1" w:rsidRPr="009055C1">
            <w:rPr>
              <w:noProof/>
              <w:sz w:val="24"/>
            </w:rPr>
            <w:t>(Domat , 2018)</w:t>
          </w:r>
          <w:r>
            <w:rPr>
              <w:sz w:val="24"/>
            </w:rPr>
            <w:fldChar w:fldCharType="end"/>
          </w:r>
        </w:sdtContent>
      </w:sdt>
      <w:r>
        <w:rPr>
          <w:sz w:val="24"/>
        </w:rPr>
        <w:t xml:space="preserve">. </w:t>
      </w:r>
      <w:r w:rsidR="000D1E48">
        <w:rPr>
          <w:sz w:val="24"/>
        </w:rPr>
        <w:t xml:space="preserve">Bankers in Dubai say that Islamic finance is becoming an important revenue generator for some of the world biggest lenders as revenue in the United Arab Emirates increased by 65% in 2011 compared to 2010 </w:t>
      </w:r>
      <w:sdt>
        <w:sdtPr>
          <w:rPr>
            <w:sz w:val="24"/>
          </w:rPr>
          <w:id w:val="295031430"/>
          <w:citation/>
        </w:sdtPr>
        <w:sdtEndPr/>
        <w:sdtContent>
          <w:r w:rsidR="000D1E48">
            <w:rPr>
              <w:sz w:val="24"/>
            </w:rPr>
            <w:fldChar w:fldCharType="begin"/>
          </w:r>
          <w:r w:rsidR="000D1E48">
            <w:rPr>
              <w:sz w:val="24"/>
            </w:rPr>
            <w:instrText xml:space="preserve"> CITATION Hal12 \l 2057 </w:instrText>
          </w:r>
          <w:r w:rsidR="000D1E48">
            <w:rPr>
              <w:sz w:val="24"/>
            </w:rPr>
            <w:fldChar w:fldCharType="separate"/>
          </w:r>
          <w:r w:rsidR="009055C1" w:rsidRPr="009055C1">
            <w:rPr>
              <w:noProof/>
              <w:sz w:val="24"/>
            </w:rPr>
            <w:t>(Hall, 2012)</w:t>
          </w:r>
          <w:r w:rsidR="000D1E48">
            <w:rPr>
              <w:sz w:val="24"/>
            </w:rPr>
            <w:fldChar w:fldCharType="end"/>
          </w:r>
        </w:sdtContent>
      </w:sdt>
      <w:r w:rsidR="000D1E48">
        <w:rPr>
          <w:sz w:val="24"/>
        </w:rPr>
        <w:t xml:space="preserve">. </w:t>
      </w:r>
    </w:p>
    <w:p w14:paraId="62A48607" w14:textId="277F878A" w:rsidR="004C4313" w:rsidRDefault="002B1DF8">
      <w:pPr>
        <w:rPr>
          <w:sz w:val="24"/>
        </w:rPr>
      </w:pPr>
      <w:r>
        <w:rPr>
          <w:sz w:val="24"/>
        </w:rPr>
        <w:t>T</w:t>
      </w:r>
      <w:r w:rsidR="006D3B90">
        <w:rPr>
          <w:sz w:val="24"/>
        </w:rPr>
        <w:t xml:space="preserve">he main reason for the growth of Islamic finance occurred during the debt crisis in 2008 as Ozturk, cited by </w:t>
      </w:r>
      <w:r w:rsidR="006D3B90" w:rsidRPr="006D3B90">
        <w:rPr>
          <w:noProof/>
          <w:sz w:val="24"/>
        </w:rPr>
        <w:t>Ahmed</w:t>
      </w:r>
      <w:r w:rsidR="006D3B90">
        <w:rPr>
          <w:noProof/>
          <w:sz w:val="24"/>
        </w:rPr>
        <w:t xml:space="preserve"> (</w:t>
      </w:r>
      <w:r w:rsidR="006D3B90" w:rsidRPr="006D3B90">
        <w:rPr>
          <w:noProof/>
          <w:sz w:val="24"/>
        </w:rPr>
        <w:t>2011)</w:t>
      </w:r>
      <w:r w:rsidR="006D3B90">
        <w:rPr>
          <w:noProof/>
          <w:sz w:val="24"/>
        </w:rPr>
        <w:t xml:space="preserve">, </w:t>
      </w:r>
      <w:r w:rsidR="006D3B90">
        <w:rPr>
          <w:sz w:val="24"/>
        </w:rPr>
        <w:t>declared that “Islamic finance entered a new stage of development, emerging after the global financial crisis as a more equitable and efficient alternative to the Western approach”</w:t>
      </w:r>
      <w:r w:rsidR="002C7CC2">
        <w:rPr>
          <w:sz w:val="24"/>
        </w:rPr>
        <w:t>. Thus,</w:t>
      </w:r>
      <w:r w:rsidR="009D5265">
        <w:rPr>
          <w:sz w:val="24"/>
        </w:rPr>
        <w:t xml:space="preserve"> Islamic banks were not affected compared to traditional banks </w:t>
      </w:r>
      <w:r w:rsidR="006D3B90">
        <w:rPr>
          <w:sz w:val="24"/>
        </w:rPr>
        <w:t>because they do not deal with debt trading and speculation</w:t>
      </w:r>
      <w:r w:rsidR="00200CD6">
        <w:rPr>
          <w:sz w:val="24"/>
        </w:rPr>
        <w:t xml:space="preserve"> </w:t>
      </w:r>
      <w:r w:rsidR="009D5265">
        <w:rPr>
          <w:sz w:val="24"/>
        </w:rPr>
        <w:t xml:space="preserve">whereas </w:t>
      </w:r>
      <w:r w:rsidR="00200CD6">
        <w:rPr>
          <w:sz w:val="24"/>
        </w:rPr>
        <w:t>conventional banking (Western)</w:t>
      </w:r>
      <w:r w:rsidR="009D5265">
        <w:rPr>
          <w:sz w:val="24"/>
        </w:rPr>
        <w:t xml:space="preserve"> does</w:t>
      </w:r>
      <w:r w:rsidR="006D3B90">
        <w:rPr>
          <w:sz w:val="24"/>
        </w:rPr>
        <w:t xml:space="preserve">. As a result, David Cameron announced that </w:t>
      </w:r>
      <w:r w:rsidR="007C756D">
        <w:rPr>
          <w:sz w:val="24"/>
        </w:rPr>
        <w:t xml:space="preserve">the </w:t>
      </w:r>
      <w:r w:rsidR="006D3B90">
        <w:rPr>
          <w:sz w:val="24"/>
        </w:rPr>
        <w:t xml:space="preserve">UK </w:t>
      </w:r>
      <w:r w:rsidR="007C756D">
        <w:rPr>
          <w:sz w:val="24"/>
        </w:rPr>
        <w:t xml:space="preserve">is </w:t>
      </w:r>
      <w:r w:rsidR="006D3B90">
        <w:rPr>
          <w:sz w:val="24"/>
        </w:rPr>
        <w:t>to become the first non-Muslim country to issue Sharia compliant bonds with a special Islamic index being created on London’s Stock Exchange. This decision supports the</w:t>
      </w:r>
      <w:r w:rsidR="007C756D">
        <w:rPr>
          <w:sz w:val="24"/>
        </w:rPr>
        <w:t xml:space="preserve"> recognition of</w:t>
      </w:r>
      <w:r w:rsidR="006D3B90">
        <w:rPr>
          <w:sz w:val="24"/>
        </w:rPr>
        <w:t xml:space="preserve"> </w:t>
      </w:r>
      <w:r w:rsidR="007C756D">
        <w:rPr>
          <w:sz w:val="24"/>
        </w:rPr>
        <w:t xml:space="preserve">the </w:t>
      </w:r>
      <w:r w:rsidR="00CD1332">
        <w:rPr>
          <w:sz w:val="24"/>
        </w:rPr>
        <w:t>unique</w:t>
      </w:r>
      <w:r w:rsidR="007C756D">
        <w:rPr>
          <w:sz w:val="24"/>
        </w:rPr>
        <w:t xml:space="preserve"> </w:t>
      </w:r>
      <w:r w:rsidR="006D3B90">
        <w:rPr>
          <w:sz w:val="24"/>
        </w:rPr>
        <w:t>Islamic financial model</w:t>
      </w:r>
      <w:r w:rsidR="007C756D">
        <w:rPr>
          <w:sz w:val="24"/>
        </w:rPr>
        <w:t>s</w:t>
      </w:r>
      <w:r w:rsidR="006D3B90">
        <w:rPr>
          <w:sz w:val="24"/>
        </w:rPr>
        <w:t xml:space="preserve"> as well as the important role it has in providing stable economic growth </w:t>
      </w:r>
      <w:sdt>
        <w:sdtPr>
          <w:rPr>
            <w:sz w:val="24"/>
          </w:rPr>
          <w:id w:val="-711038603"/>
          <w:citation/>
        </w:sdtPr>
        <w:sdtEndPr/>
        <w:sdtContent>
          <w:r w:rsidR="006D3B90">
            <w:rPr>
              <w:sz w:val="24"/>
            </w:rPr>
            <w:fldChar w:fldCharType="begin"/>
          </w:r>
          <w:r w:rsidR="007560FE">
            <w:rPr>
              <w:sz w:val="24"/>
            </w:rPr>
            <w:instrText xml:space="preserve">CITATION The13 \l 2057 </w:instrText>
          </w:r>
          <w:r w:rsidR="006D3B90">
            <w:rPr>
              <w:sz w:val="24"/>
            </w:rPr>
            <w:fldChar w:fldCharType="separate"/>
          </w:r>
          <w:r w:rsidR="009055C1" w:rsidRPr="009055C1">
            <w:rPr>
              <w:noProof/>
              <w:sz w:val="24"/>
            </w:rPr>
            <w:t>(Conversation, 2013)</w:t>
          </w:r>
          <w:r w:rsidR="006D3B90">
            <w:rPr>
              <w:sz w:val="24"/>
            </w:rPr>
            <w:fldChar w:fldCharType="end"/>
          </w:r>
        </w:sdtContent>
      </w:sdt>
      <w:r w:rsidR="00262DBF">
        <w:rPr>
          <w:sz w:val="24"/>
        </w:rPr>
        <w:t>.</w:t>
      </w:r>
    </w:p>
    <w:p w14:paraId="749518F3" w14:textId="5B47F206" w:rsidR="00683F78" w:rsidRDefault="00D50435">
      <w:pPr>
        <w:rPr>
          <w:sz w:val="24"/>
        </w:rPr>
      </w:pPr>
      <w:r>
        <w:rPr>
          <w:sz w:val="24"/>
        </w:rPr>
        <w:t xml:space="preserve">According to </w:t>
      </w:r>
      <w:r w:rsidRPr="00D50435">
        <w:rPr>
          <w:noProof/>
          <w:sz w:val="24"/>
        </w:rPr>
        <w:t>Khan &amp; Bhatti</w:t>
      </w:r>
      <w:r>
        <w:rPr>
          <w:noProof/>
          <w:sz w:val="24"/>
        </w:rPr>
        <w:t xml:space="preserve"> (2</w:t>
      </w:r>
      <w:r w:rsidRPr="00D50435">
        <w:rPr>
          <w:noProof/>
          <w:sz w:val="24"/>
        </w:rPr>
        <w:t>008)</w:t>
      </w:r>
      <w:r>
        <w:rPr>
          <w:noProof/>
          <w:sz w:val="24"/>
        </w:rPr>
        <w:t xml:space="preserve"> some of t</w:t>
      </w:r>
      <w:r w:rsidR="00EC4CD0">
        <w:rPr>
          <w:sz w:val="24"/>
        </w:rPr>
        <w:t xml:space="preserve">he core factors contributing to the success of Islamic finance </w:t>
      </w:r>
      <w:r>
        <w:rPr>
          <w:sz w:val="24"/>
        </w:rPr>
        <w:t xml:space="preserve">are product innovation, spiralling oil prices, prolonged boom in Middle Eastern economies and IT advancements. Another factor being </w:t>
      </w:r>
      <w:r w:rsidR="002B1DF8">
        <w:rPr>
          <w:sz w:val="24"/>
        </w:rPr>
        <w:t>the growing population of Muslims who deposit their funds with sharia-compliant banks</w:t>
      </w:r>
      <w:r w:rsidR="00EC4CD0">
        <w:rPr>
          <w:sz w:val="24"/>
        </w:rPr>
        <w:t xml:space="preserve"> as </w:t>
      </w:r>
      <w:r w:rsidR="00877D07">
        <w:rPr>
          <w:sz w:val="24"/>
        </w:rPr>
        <w:t xml:space="preserve">North </w:t>
      </w:r>
      <w:r w:rsidR="00EC4CD0">
        <w:rPr>
          <w:sz w:val="24"/>
        </w:rPr>
        <w:t xml:space="preserve">Africa is one of many places Islamic banking is growing due to the increase in Muslim population </w:t>
      </w:r>
      <w:sdt>
        <w:sdtPr>
          <w:rPr>
            <w:sz w:val="24"/>
          </w:rPr>
          <w:id w:val="-508837329"/>
          <w:citation/>
        </w:sdtPr>
        <w:sdtEndPr/>
        <w:sdtContent>
          <w:r w:rsidR="00EC4CD0">
            <w:rPr>
              <w:sz w:val="24"/>
            </w:rPr>
            <w:fldChar w:fldCharType="begin"/>
          </w:r>
          <w:r w:rsidR="00EC4CD0">
            <w:rPr>
              <w:sz w:val="24"/>
            </w:rPr>
            <w:instrText xml:space="preserve"> CITATION Pow18 \l 2057 </w:instrText>
          </w:r>
          <w:r w:rsidR="00EC4CD0">
            <w:rPr>
              <w:sz w:val="24"/>
            </w:rPr>
            <w:fldChar w:fldCharType="separate"/>
          </w:r>
          <w:r w:rsidR="009055C1" w:rsidRPr="009055C1">
            <w:rPr>
              <w:noProof/>
              <w:sz w:val="24"/>
            </w:rPr>
            <w:t>(Powell, 2018)</w:t>
          </w:r>
          <w:r w:rsidR="00EC4CD0">
            <w:rPr>
              <w:sz w:val="24"/>
            </w:rPr>
            <w:fldChar w:fldCharType="end"/>
          </w:r>
        </w:sdtContent>
      </w:sdt>
      <w:r w:rsidR="00EC4CD0">
        <w:rPr>
          <w:sz w:val="24"/>
        </w:rPr>
        <w:t xml:space="preserve"> (see appendix 1).</w:t>
      </w:r>
    </w:p>
    <w:p w14:paraId="3189528D" w14:textId="23045B54" w:rsidR="000E2913" w:rsidRDefault="00C12819">
      <w:pPr>
        <w:rPr>
          <w:sz w:val="24"/>
        </w:rPr>
      </w:pPr>
      <w:r>
        <w:rPr>
          <w:sz w:val="24"/>
        </w:rPr>
        <w:t>Malaysia is a strong example of a country where sharia-compliant banks have really exceeded</w:t>
      </w:r>
      <w:r w:rsidR="00EA1FDF">
        <w:rPr>
          <w:sz w:val="24"/>
        </w:rPr>
        <w:t xml:space="preserve"> globally in terms of return on assets and asset growth over the years, giving them a strong position in </w:t>
      </w:r>
      <w:r>
        <w:rPr>
          <w:sz w:val="24"/>
        </w:rPr>
        <w:t>dominat</w:t>
      </w:r>
      <w:r w:rsidR="00EA1FDF">
        <w:rPr>
          <w:sz w:val="24"/>
        </w:rPr>
        <w:t>ing</w:t>
      </w:r>
      <w:r>
        <w:rPr>
          <w:sz w:val="24"/>
        </w:rPr>
        <w:t xml:space="preserve"> the global sukuk (bond) market</w:t>
      </w:r>
      <w:r w:rsidR="00EA1FDF">
        <w:rPr>
          <w:sz w:val="24"/>
        </w:rPr>
        <w:t xml:space="preserve"> </w:t>
      </w:r>
      <w:sdt>
        <w:sdtPr>
          <w:rPr>
            <w:sz w:val="24"/>
          </w:rPr>
          <w:id w:val="1642083902"/>
          <w:citation/>
        </w:sdtPr>
        <w:sdtEndPr/>
        <w:sdtContent>
          <w:r w:rsidR="00EA1FDF">
            <w:rPr>
              <w:sz w:val="24"/>
            </w:rPr>
            <w:fldChar w:fldCharType="begin"/>
          </w:r>
          <w:r w:rsidR="00EA1FDF">
            <w:rPr>
              <w:sz w:val="24"/>
            </w:rPr>
            <w:instrText xml:space="preserve"> CITATION Kin15 \l 2057 </w:instrText>
          </w:r>
          <w:r w:rsidR="00EA1FDF">
            <w:rPr>
              <w:sz w:val="24"/>
            </w:rPr>
            <w:fldChar w:fldCharType="separate"/>
          </w:r>
          <w:r w:rsidR="009055C1" w:rsidRPr="009055C1">
            <w:rPr>
              <w:noProof/>
              <w:sz w:val="24"/>
            </w:rPr>
            <w:t>(King, 2015)</w:t>
          </w:r>
          <w:r w:rsidR="00EA1FDF">
            <w:rPr>
              <w:sz w:val="24"/>
            </w:rPr>
            <w:fldChar w:fldCharType="end"/>
          </w:r>
        </w:sdtContent>
      </w:sdt>
      <w:r w:rsidR="00EA1FDF">
        <w:rPr>
          <w:sz w:val="24"/>
        </w:rPr>
        <w:t xml:space="preserve">. Not only this but according to </w:t>
      </w:r>
      <w:r w:rsidR="00B325F5">
        <w:rPr>
          <w:sz w:val="24"/>
        </w:rPr>
        <w:softHyphen/>
      </w:r>
      <w:r w:rsidR="00B325F5">
        <w:rPr>
          <w:sz w:val="24"/>
        </w:rPr>
        <w:softHyphen/>
      </w:r>
      <w:r w:rsidR="00B325F5" w:rsidRPr="00B325F5">
        <w:rPr>
          <w:noProof/>
          <w:sz w:val="24"/>
        </w:rPr>
        <w:t>Mosaid &amp; Boutti</w:t>
      </w:r>
      <w:r w:rsidR="00B325F5">
        <w:rPr>
          <w:noProof/>
          <w:sz w:val="24"/>
        </w:rPr>
        <w:t xml:space="preserve"> (</w:t>
      </w:r>
      <w:r w:rsidR="00B325F5" w:rsidRPr="00B325F5">
        <w:rPr>
          <w:noProof/>
          <w:sz w:val="24"/>
        </w:rPr>
        <w:t>2014)</w:t>
      </w:r>
      <w:r w:rsidR="00B325F5">
        <w:rPr>
          <w:noProof/>
          <w:sz w:val="24"/>
        </w:rPr>
        <w:t xml:space="preserve"> </w:t>
      </w:r>
      <w:r w:rsidR="00B325F5">
        <w:rPr>
          <w:sz w:val="24"/>
        </w:rPr>
        <w:t>Malaysia</w:t>
      </w:r>
      <w:r w:rsidR="00EA1FDF">
        <w:rPr>
          <w:sz w:val="24"/>
        </w:rPr>
        <w:t xml:space="preserve"> accounted</w:t>
      </w:r>
      <w:r>
        <w:rPr>
          <w:sz w:val="24"/>
        </w:rPr>
        <w:t xml:space="preserve"> for 67% </w:t>
      </w:r>
      <w:r w:rsidR="00EA1FDF">
        <w:rPr>
          <w:sz w:val="24"/>
        </w:rPr>
        <w:t>of issuing’s between 2009 and 2012</w:t>
      </w:r>
      <w:r w:rsidR="00EA6999">
        <w:rPr>
          <w:sz w:val="24"/>
        </w:rPr>
        <w:t xml:space="preserve"> (see appendix 2) </w:t>
      </w:r>
      <w:r w:rsidR="00234714">
        <w:rPr>
          <w:sz w:val="24"/>
        </w:rPr>
        <w:t>resulting in strong growth in the economy</w:t>
      </w:r>
      <w:r w:rsidR="006018FE">
        <w:rPr>
          <w:sz w:val="24"/>
        </w:rPr>
        <w:t xml:space="preserve"> and sharia-compliant banks</w:t>
      </w:r>
      <w:r w:rsidR="00EA6999">
        <w:rPr>
          <w:sz w:val="24"/>
        </w:rPr>
        <w:t>.</w:t>
      </w:r>
    </w:p>
    <w:p w14:paraId="39FDCB8B" w14:textId="1B0D5CDC" w:rsidR="006018FE" w:rsidRDefault="000958B8">
      <w:pPr>
        <w:rPr>
          <w:sz w:val="24"/>
        </w:rPr>
      </w:pPr>
      <w:r>
        <w:rPr>
          <w:sz w:val="24"/>
        </w:rPr>
        <w:t xml:space="preserve">There have been multiple studies on examining the relationship between Islamic finance and economic growth. </w:t>
      </w:r>
      <w:r w:rsidRPr="000958B8">
        <w:rPr>
          <w:noProof/>
          <w:sz w:val="24"/>
        </w:rPr>
        <w:t>Moussa &amp; Boukhatem</w:t>
      </w:r>
      <w:r>
        <w:rPr>
          <w:noProof/>
          <w:sz w:val="24"/>
        </w:rPr>
        <w:t xml:space="preserve"> (</w:t>
      </w:r>
      <w:r w:rsidRPr="000958B8">
        <w:rPr>
          <w:noProof/>
          <w:sz w:val="24"/>
        </w:rPr>
        <w:t>2018)</w:t>
      </w:r>
      <w:r>
        <w:rPr>
          <w:sz w:val="24"/>
        </w:rPr>
        <w:t xml:space="preserve"> focus on this </w:t>
      </w:r>
      <w:r w:rsidR="0033022C">
        <w:rPr>
          <w:sz w:val="24"/>
        </w:rPr>
        <w:t>study</w:t>
      </w:r>
      <w:r>
        <w:rPr>
          <w:sz w:val="24"/>
        </w:rPr>
        <w:t xml:space="preserve"> and concluded that economic growth encourages Islamic banking institutions to evolve and develop. Therefore, the relationship between Islamic banking and economic growth is bidirectional. Thus, I will be examining</w:t>
      </w:r>
      <w:r w:rsidR="00CC0533">
        <w:rPr>
          <w:sz w:val="24"/>
        </w:rPr>
        <w:t xml:space="preserve"> the </w:t>
      </w:r>
      <w:r>
        <w:rPr>
          <w:sz w:val="24"/>
        </w:rPr>
        <w:t>GDP statistics of</w:t>
      </w:r>
      <w:r w:rsidR="00CC0533">
        <w:rPr>
          <w:sz w:val="24"/>
        </w:rPr>
        <w:t xml:space="preserve"> </w:t>
      </w:r>
      <w:r w:rsidR="009D3B5F">
        <w:rPr>
          <w:sz w:val="24"/>
        </w:rPr>
        <w:t>Malaysia</w:t>
      </w:r>
      <w:r>
        <w:rPr>
          <w:sz w:val="24"/>
        </w:rPr>
        <w:t xml:space="preserve"> </w:t>
      </w:r>
      <w:r w:rsidR="00CC0533">
        <w:rPr>
          <w:sz w:val="24"/>
        </w:rPr>
        <w:t xml:space="preserve">who are known to have multiple </w:t>
      </w:r>
      <w:r>
        <w:rPr>
          <w:sz w:val="24"/>
        </w:rPr>
        <w:t xml:space="preserve">Islamic institutions to </w:t>
      </w:r>
      <w:r w:rsidR="00CC0533">
        <w:rPr>
          <w:sz w:val="24"/>
        </w:rPr>
        <w:t xml:space="preserve">identify fluctuations and whether </w:t>
      </w:r>
      <w:r w:rsidR="009D3B5F">
        <w:rPr>
          <w:sz w:val="24"/>
        </w:rPr>
        <w:t xml:space="preserve">Islamic finance </w:t>
      </w:r>
      <w:r w:rsidR="00CC0533">
        <w:rPr>
          <w:sz w:val="24"/>
        </w:rPr>
        <w:t xml:space="preserve">has had an impact on </w:t>
      </w:r>
      <w:r w:rsidR="009D3B5F">
        <w:rPr>
          <w:sz w:val="24"/>
        </w:rPr>
        <w:t xml:space="preserve">their </w:t>
      </w:r>
      <w:r w:rsidR="00CC0533">
        <w:rPr>
          <w:sz w:val="24"/>
        </w:rPr>
        <w:t>economic growth.</w:t>
      </w:r>
      <w:r w:rsidR="009D3B5F">
        <w:rPr>
          <w:sz w:val="24"/>
        </w:rPr>
        <w:t xml:space="preserve"> </w:t>
      </w:r>
    </w:p>
    <w:p w14:paraId="0FE5AC99" w14:textId="3461D877" w:rsidR="008B66E1" w:rsidRDefault="007B5635">
      <w:pPr>
        <w:rPr>
          <w:sz w:val="24"/>
        </w:rPr>
      </w:pPr>
      <w:r>
        <w:rPr>
          <w:sz w:val="24"/>
        </w:rPr>
        <w:t>A healthy GDP rate is considered one that is sustainable</w:t>
      </w:r>
      <w:r w:rsidR="008B66E1">
        <w:rPr>
          <w:sz w:val="24"/>
        </w:rPr>
        <w:t xml:space="preserve"> (around 2-3%)</w:t>
      </w:r>
      <w:r>
        <w:rPr>
          <w:sz w:val="24"/>
        </w:rPr>
        <w:t>, so the economy always stays in the expansion phase of the business cycle</w:t>
      </w:r>
      <w:r w:rsidR="008B66E1">
        <w:rPr>
          <w:sz w:val="24"/>
        </w:rPr>
        <w:t xml:space="preserve"> (see appendix 3)</w:t>
      </w:r>
      <w:r>
        <w:rPr>
          <w:sz w:val="24"/>
        </w:rPr>
        <w:t xml:space="preserve"> for as long as </w:t>
      </w:r>
      <w:r>
        <w:rPr>
          <w:sz w:val="24"/>
        </w:rPr>
        <w:lastRenderedPageBreak/>
        <w:t>possible</w:t>
      </w:r>
      <w:sdt>
        <w:sdtPr>
          <w:rPr>
            <w:sz w:val="24"/>
          </w:rPr>
          <w:id w:val="-1806073724"/>
          <w:citation/>
        </w:sdtPr>
        <w:sdtEndPr/>
        <w:sdtContent>
          <w:r w:rsidR="008B66E1">
            <w:rPr>
              <w:sz w:val="24"/>
            </w:rPr>
            <w:fldChar w:fldCharType="begin"/>
          </w:r>
          <w:r w:rsidR="008B66E1">
            <w:rPr>
              <w:sz w:val="24"/>
            </w:rPr>
            <w:instrText xml:space="preserve"> CITATION Ama18 \l 2057 </w:instrText>
          </w:r>
          <w:r w:rsidR="008B66E1">
            <w:rPr>
              <w:sz w:val="24"/>
            </w:rPr>
            <w:fldChar w:fldCharType="separate"/>
          </w:r>
          <w:r w:rsidR="009055C1">
            <w:rPr>
              <w:noProof/>
              <w:sz w:val="24"/>
            </w:rPr>
            <w:t xml:space="preserve"> </w:t>
          </w:r>
          <w:r w:rsidR="009055C1" w:rsidRPr="009055C1">
            <w:rPr>
              <w:noProof/>
              <w:sz w:val="24"/>
            </w:rPr>
            <w:t>(Amadeo, 2018)</w:t>
          </w:r>
          <w:r w:rsidR="008B66E1">
            <w:rPr>
              <w:sz w:val="24"/>
            </w:rPr>
            <w:fldChar w:fldCharType="end"/>
          </w:r>
        </w:sdtContent>
      </w:sdt>
      <w:r w:rsidR="008B66E1">
        <w:rPr>
          <w:sz w:val="24"/>
        </w:rPr>
        <w:t xml:space="preserve">. The expansion phase is between the trough and peak stages; this is when the economy is growing, with the GDP measuring the economic output of a country </w:t>
      </w:r>
      <w:sdt>
        <w:sdtPr>
          <w:rPr>
            <w:sz w:val="24"/>
          </w:rPr>
          <w:id w:val="-206798479"/>
          <w:citation/>
        </w:sdtPr>
        <w:sdtEndPr/>
        <w:sdtContent>
          <w:r w:rsidR="008B66E1">
            <w:rPr>
              <w:sz w:val="24"/>
            </w:rPr>
            <w:fldChar w:fldCharType="begin"/>
          </w:r>
          <w:r w:rsidR="008B66E1">
            <w:rPr>
              <w:sz w:val="24"/>
            </w:rPr>
            <w:instrText xml:space="preserve"> CITATION Ama181 \l 2057 </w:instrText>
          </w:r>
          <w:r w:rsidR="008B66E1">
            <w:rPr>
              <w:sz w:val="24"/>
            </w:rPr>
            <w:fldChar w:fldCharType="separate"/>
          </w:r>
          <w:r w:rsidR="009055C1" w:rsidRPr="009055C1">
            <w:rPr>
              <w:noProof/>
              <w:sz w:val="24"/>
            </w:rPr>
            <w:t>(Amadeo , 2018)</w:t>
          </w:r>
          <w:r w:rsidR="008B66E1">
            <w:rPr>
              <w:sz w:val="24"/>
            </w:rPr>
            <w:fldChar w:fldCharType="end"/>
          </w:r>
        </w:sdtContent>
      </w:sdt>
      <w:r w:rsidR="008B66E1">
        <w:rPr>
          <w:sz w:val="24"/>
        </w:rPr>
        <w:t xml:space="preserve">. </w:t>
      </w:r>
    </w:p>
    <w:p w14:paraId="41CC861F" w14:textId="4F8D869A" w:rsidR="005F7F3A" w:rsidRDefault="008B66E1">
      <w:pPr>
        <w:rPr>
          <w:sz w:val="24"/>
        </w:rPr>
      </w:pPr>
      <w:r>
        <w:rPr>
          <w:sz w:val="24"/>
        </w:rPr>
        <w:t xml:space="preserve">Looking at Malaysia’s annual GDP </w:t>
      </w:r>
      <w:r w:rsidR="00446661">
        <w:rPr>
          <w:sz w:val="24"/>
        </w:rPr>
        <w:t>(see appendix 4) we can see the fluctuations in the bar chart</w:t>
      </w:r>
      <w:r w:rsidR="0072343C">
        <w:rPr>
          <w:sz w:val="24"/>
        </w:rPr>
        <w:t xml:space="preserve"> and that they have</w:t>
      </w:r>
      <w:r w:rsidR="00446661">
        <w:rPr>
          <w:sz w:val="24"/>
        </w:rPr>
        <w:t xml:space="preserve"> never gone below 4% indicating that they are continuously in the expansion phase</w:t>
      </w:r>
      <w:r w:rsidR="0072343C">
        <w:rPr>
          <w:sz w:val="24"/>
        </w:rPr>
        <w:t xml:space="preserve"> of the business cycle</w:t>
      </w:r>
      <w:r w:rsidR="00446661">
        <w:rPr>
          <w:sz w:val="24"/>
        </w:rPr>
        <w:t xml:space="preserve"> and have stable economic growth</w:t>
      </w:r>
      <w:r w:rsidR="0098439E">
        <w:rPr>
          <w:sz w:val="24"/>
        </w:rPr>
        <w:t xml:space="preserve">. </w:t>
      </w:r>
      <w:r w:rsidR="00FC0794">
        <w:rPr>
          <w:sz w:val="24"/>
        </w:rPr>
        <w:t>Furthermore, by</w:t>
      </w:r>
      <w:r w:rsidR="0098439E">
        <w:rPr>
          <w:sz w:val="24"/>
        </w:rPr>
        <w:t xml:space="preserve"> looking at their predictions</w:t>
      </w:r>
      <w:r w:rsidR="00446661">
        <w:rPr>
          <w:sz w:val="24"/>
        </w:rPr>
        <w:t xml:space="preserve"> (see appendix 5)</w:t>
      </w:r>
      <w:r w:rsidR="0098439E">
        <w:rPr>
          <w:sz w:val="24"/>
        </w:rPr>
        <w:t xml:space="preserve"> we </w:t>
      </w:r>
      <w:r w:rsidR="00FC0794">
        <w:rPr>
          <w:sz w:val="24"/>
        </w:rPr>
        <w:t>can see that</w:t>
      </w:r>
      <w:r w:rsidR="0098439E">
        <w:rPr>
          <w:sz w:val="24"/>
        </w:rPr>
        <w:t xml:space="preserve"> they expect to continue being in the expansion phase as they estimate their lowest GDP growth rate of around 3.2%</w:t>
      </w:r>
      <w:r w:rsidR="004C0A2D">
        <w:rPr>
          <w:sz w:val="24"/>
        </w:rPr>
        <w:t>. This indicates there might be macro-environmental implications such as a shortage of demand, however it is still</w:t>
      </w:r>
      <w:r w:rsidR="0098439E">
        <w:rPr>
          <w:sz w:val="24"/>
        </w:rPr>
        <w:t xml:space="preserve"> above the sustainable average of 2-3%</w:t>
      </w:r>
      <w:r w:rsidR="001C2D6B">
        <w:rPr>
          <w:sz w:val="24"/>
        </w:rPr>
        <w:t xml:space="preserve">. </w:t>
      </w:r>
      <w:r w:rsidR="001C2D6B" w:rsidRPr="001C2D6B">
        <w:rPr>
          <w:noProof/>
          <w:sz w:val="24"/>
        </w:rPr>
        <w:t>Economics</w:t>
      </w:r>
      <w:r w:rsidR="001C2D6B">
        <w:rPr>
          <w:noProof/>
          <w:sz w:val="24"/>
        </w:rPr>
        <w:t xml:space="preserve"> (2</w:t>
      </w:r>
      <w:r w:rsidR="001C2D6B" w:rsidRPr="001C2D6B">
        <w:rPr>
          <w:noProof/>
          <w:sz w:val="24"/>
        </w:rPr>
        <w:t>018)</w:t>
      </w:r>
      <w:r w:rsidR="001F11B1">
        <w:rPr>
          <w:noProof/>
          <w:sz w:val="24"/>
        </w:rPr>
        <w:t xml:space="preserve"> </w:t>
      </w:r>
      <w:r w:rsidR="001C2D6B">
        <w:rPr>
          <w:noProof/>
          <w:sz w:val="24"/>
        </w:rPr>
        <w:t>states that this steady growth i</w:t>
      </w:r>
      <w:r w:rsidR="001C2D6B">
        <w:rPr>
          <w:sz w:val="24"/>
        </w:rPr>
        <w:t xml:space="preserve">s </w:t>
      </w:r>
      <w:r w:rsidR="001F11B1">
        <w:rPr>
          <w:sz w:val="24"/>
        </w:rPr>
        <w:t>mainly driven</w:t>
      </w:r>
      <w:r w:rsidR="001C2D6B">
        <w:rPr>
          <w:sz w:val="24"/>
        </w:rPr>
        <w:t xml:space="preserve"> by domestic demand such as investments of Islamic finance.</w:t>
      </w:r>
      <w:r w:rsidR="00EA6999">
        <w:rPr>
          <w:sz w:val="24"/>
        </w:rPr>
        <w:t xml:space="preserve"> In relation to this, past studies have shown that GDP growth has a significant positive relationship with</w:t>
      </w:r>
      <w:r w:rsidR="00046C73">
        <w:rPr>
          <w:sz w:val="24"/>
        </w:rPr>
        <w:t xml:space="preserve"> an </w:t>
      </w:r>
      <w:r w:rsidR="00EA6999">
        <w:rPr>
          <w:sz w:val="24"/>
        </w:rPr>
        <w:t xml:space="preserve">Islamic </w:t>
      </w:r>
      <w:r w:rsidR="00046C73">
        <w:rPr>
          <w:sz w:val="24"/>
        </w:rPr>
        <w:t>institution’s</w:t>
      </w:r>
      <w:r w:rsidR="00EA6999">
        <w:rPr>
          <w:sz w:val="24"/>
        </w:rPr>
        <w:t xml:space="preserve"> profitabilit</w:t>
      </w:r>
      <w:r w:rsidR="00046C73">
        <w:rPr>
          <w:sz w:val="24"/>
        </w:rPr>
        <w:t xml:space="preserve">y </w:t>
      </w:r>
      <w:sdt>
        <w:sdtPr>
          <w:rPr>
            <w:sz w:val="24"/>
          </w:rPr>
          <w:id w:val="128902295"/>
          <w:citation/>
        </w:sdtPr>
        <w:sdtEndPr/>
        <w:sdtContent>
          <w:r w:rsidR="00046C73">
            <w:rPr>
              <w:sz w:val="24"/>
            </w:rPr>
            <w:fldChar w:fldCharType="begin"/>
          </w:r>
          <w:r w:rsidR="00046C73">
            <w:rPr>
              <w:sz w:val="24"/>
            </w:rPr>
            <w:instrText xml:space="preserve"> CITATION Abd13 \l 2057 </w:instrText>
          </w:r>
          <w:r w:rsidR="00046C73">
            <w:rPr>
              <w:sz w:val="24"/>
            </w:rPr>
            <w:fldChar w:fldCharType="separate"/>
          </w:r>
          <w:r w:rsidR="009055C1" w:rsidRPr="009055C1">
            <w:rPr>
              <w:noProof/>
              <w:sz w:val="24"/>
            </w:rPr>
            <w:t>(Abduh &amp; Idrees, 2013)</w:t>
          </w:r>
          <w:r w:rsidR="00046C73">
            <w:rPr>
              <w:sz w:val="24"/>
            </w:rPr>
            <w:fldChar w:fldCharType="end"/>
          </w:r>
        </w:sdtContent>
      </w:sdt>
      <w:r w:rsidR="00046C73">
        <w:rPr>
          <w:sz w:val="24"/>
        </w:rPr>
        <w:t xml:space="preserve">. </w:t>
      </w:r>
    </w:p>
    <w:p w14:paraId="53CC4FE8" w14:textId="3DA97744" w:rsidR="00762DC7" w:rsidRDefault="00762DC7">
      <w:pPr>
        <w:rPr>
          <w:sz w:val="24"/>
        </w:rPr>
      </w:pPr>
      <w:r>
        <w:rPr>
          <w:sz w:val="24"/>
        </w:rPr>
        <w:t xml:space="preserve">Now the regulators of Malaysia are using Islamic finance and diversifying into the green market by using investments to achieve a public good. July 2017, a Malaysian company issues $464million worth of bonds to finance a 50-megawatt solar power plant called the “green sukuk”, a bold new tool for development </w:t>
      </w:r>
      <w:sdt>
        <w:sdtPr>
          <w:rPr>
            <w:sz w:val="24"/>
          </w:rPr>
          <w:id w:val="520135014"/>
          <w:citation/>
        </w:sdtPr>
        <w:sdtEndPr/>
        <w:sdtContent>
          <w:r>
            <w:rPr>
              <w:sz w:val="24"/>
            </w:rPr>
            <w:fldChar w:fldCharType="begin"/>
          </w:r>
          <w:r>
            <w:rPr>
              <w:sz w:val="24"/>
            </w:rPr>
            <w:instrText xml:space="preserve"> CITATION Kwa17 \l 2057 </w:instrText>
          </w:r>
          <w:r>
            <w:rPr>
              <w:sz w:val="24"/>
            </w:rPr>
            <w:fldChar w:fldCharType="separate"/>
          </w:r>
          <w:r w:rsidR="009055C1" w:rsidRPr="009055C1">
            <w:rPr>
              <w:noProof/>
              <w:sz w:val="24"/>
            </w:rPr>
            <w:t>(Kwakwa, 2017)</w:t>
          </w:r>
          <w:r>
            <w:rPr>
              <w:sz w:val="24"/>
            </w:rPr>
            <w:fldChar w:fldCharType="end"/>
          </w:r>
        </w:sdtContent>
      </w:sdt>
      <w:r>
        <w:rPr>
          <w:sz w:val="24"/>
        </w:rPr>
        <w:t>.</w:t>
      </w:r>
    </w:p>
    <w:p w14:paraId="0560C6E0" w14:textId="27D38211" w:rsidR="00715523" w:rsidRDefault="002779A7">
      <w:pPr>
        <w:rPr>
          <w:noProof/>
          <w:sz w:val="24"/>
        </w:rPr>
      </w:pPr>
      <w:r>
        <w:rPr>
          <w:sz w:val="24"/>
        </w:rPr>
        <w:t>It is thought that throughout the financial and economic crisis</w:t>
      </w:r>
      <w:r w:rsidR="00EB53DD">
        <w:rPr>
          <w:sz w:val="24"/>
        </w:rPr>
        <w:t>,</w:t>
      </w:r>
      <w:r>
        <w:rPr>
          <w:sz w:val="24"/>
        </w:rPr>
        <w:t xml:space="preserve"> one contrarian statistic stood</w:t>
      </w:r>
      <w:r w:rsidR="00715523">
        <w:rPr>
          <w:sz w:val="24"/>
        </w:rPr>
        <w:t xml:space="preserve"> out; the financial assets offered by the IFSI</w:t>
      </w:r>
      <w:r w:rsidR="00715523">
        <w:rPr>
          <w:rStyle w:val="FootnoteReference"/>
          <w:sz w:val="24"/>
        </w:rPr>
        <w:footnoteReference w:id="1"/>
      </w:r>
      <w:r w:rsidR="00715523">
        <w:rPr>
          <w:sz w:val="24"/>
        </w:rPr>
        <w:t xml:space="preserve"> being Sharia-compliant, were less affected by the crisis. It is suggested that Islamic banks were untouched by the economic crisis due to the principles of their banking and especially because of the prohibition of riba</w:t>
      </w:r>
      <w:r w:rsidR="007560FE">
        <w:rPr>
          <w:sz w:val="24"/>
        </w:rPr>
        <w:t xml:space="preserve"> (interest) </w:t>
      </w:r>
      <w:r w:rsidR="00715523">
        <w:rPr>
          <w:sz w:val="24"/>
        </w:rPr>
        <w:t>and gharar</w:t>
      </w:r>
      <w:r w:rsidR="007560FE">
        <w:rPr>
          <w:sz w:val="24"/>
        </w:rPr>
        <w:t xml:space="preserve"> (gambling) (Awsat, cited by </w:t>
      </w:r>
      <w:r w:rsidR="007560FE" w:rsidRPr="007560FE">
        <w:rPr>
          <w:noProof/>
          <w:sz w:val="24"/>
        </w:rPr>
        <w:t>Ahmed, 2011)</w:t>
      </w:r>
      <w:r w:rsidR="0060150C">
        <w:rPr>
          <w:noProof/>
          <w:sz w:val="24"/>
        </w:rPr>
        <w:t xml:space="preserve">. The IFSI also proposes that they have replaced interest rates with rates of profit on equity, markup transactions and profit sharing finance. </w:t>
      </w:r>
    </w:p>
    <w:p w14:paraId="2ADE8D18" w14:textId="36CD02E8" w:rsidR="00C60478" w:rsidRDefault="00CF5EB2">
      <w:pPr>
        <w:rPr>
          <w:sz w:val="24"/>
        </w:rPr>
      </w:pPr>
      <w:r>
        <w:rPr>
          <w:sz w:val="24"/>
        </w:rPr>
        <w:t>The Islamic finance industry is viewed as a small one. However, it has developed significantly since the economic crisis and established itself as a globally viable alternative to the traditional banking industry. QIIB’s</w:t>
      </w:r>
      <w:r>
        <w:rPr>
          <w:rStyle w:val="FootnoteReference"/>
          <w:sz w:val="24"/>
        </w:rPr>
        <w:footnoteReference w:id="2"/>
      </w:r>
      <w:r>
        <w:rPr>
          <w:sz w:val="24"/>
        </w:rPr>
        <w:t xml:space="preserve"> detection of excellence in Islamic financing is driven as much by shareholders desire to promote the growth of Sharia-compliant businesses as it is to generate returns for its customers </w:t>
      </w:r>
      <w:sdt>
        <w:sdtPr>
          <w:rPr>
            <w:sz w:val="24"/>
          </w:rPr>
          <w:id w:val="-1670943828"/>
          <w:citation/>
        </w:sdtPr>
        <w:sdtEndPr/>
        <w:sdtContent>
          <w:r>
            <w:rPr>
              <w:sz w:val="24"/>
            </w:rPr>
            <w:fldChar w:fldCharType="begin"/>
          </w:r>
          <w:r>
            <w:rPr>
              <w:sz w:val="24"/>
            </w:rPr>
            <w:instrText xml:space="preserve"> CITATION Wor12 \l 2057 </w:instrText>
          </w:r>
          <w:r>
            <w:rPr>
              <w:sz w:val="24"/>
            </w:rPr>
            <w:fldChar w:fldCharType="separate"/>
          </w:r>
          <w:r w:rsidR="009055C1" w:rsidRPr="009055C1">
            <w:rPr>
              <w:noProof/>
              <w:sz w:val="24"/>
            </w:rPr>
            <w:t>(Finance, 2012)</w:t>
          </w:r>
          <w:r>
            <w:rPr>
              <w:sz w:val="24"/>
            </w:rPr>
            <w:fldChar w:fldCharType="end"/>
          </w:r>
        </w:sdtContent>
      </w:sdt>
      <w:r>
        <w:rPr>
          <w:sz w:val="24"/>
        </w:rPr>
        <w:t>.</w:t>
      </w:r>
      <w:r w:rsidR="00A044EB">
        <w:rPr>
          <w:sz w:val="24"/>
        </w:rPr>
        <w:t xml:space="preserve"> Not only this, but the banking sector has also been the driving force with Islamic banking assets from MENA, GCC, Sub-Saharan Africa, Asia and other regions going from an estimated 600bln in 2008 to an estimated 1.6</w:t>
      </w:r>
      <w:r w:rsidR="001276D9">
        <w:rPr>
          <w:sz w:val="24"/>
        </w:rPr>
        <w:t>bln</w:t>
      </w:r>
      <w:r w:rsidR="00A044EB">
        <w:rPr>
          <w:sz w:val="24"/>
        </w:rPr>
        <w:t xml:space="preserve"> in 2014 (see appendix 6)</w:t>
      </w:r>
      <w:sdt>
        <w:sdtPr>
          <w:rPr>
            <w:sz w:val="24"/>
          </w:rPr>
          <w:id w:val="-667633935"/>
          <w:citation/>
        </w:sdtPr>
        <w:sdtEndPr/>
        <w:sdtContent>
          <w:r w:rsidR="00321C3A">
            <w:rPr>
              <w:sz w:val="24"/>
            </w:rPr>
            <w:fldChar w:fldCharType="begin"/>
          </w:r>
          <w:r w:rsidR="00321C3A">
            <w:rPr>
              <w:sz w:val="24"/>
            </w:rPr>
            <w:instrText xml:space="preserve">CITATION Kuw14 \l 2057 </w:instrText>
          </w:r>
          <w:r w:rsidR="00321C3A">
            <w:rPr>
              <w:sz w:val="24"/>
            </w:rPr>
            <w:fldChar w:fldCharType="separate"/>
          </w:r>
          <w:r w:rsidR="009055C1">
            <w:rPr>
              <w:noProof/>
              <w:sz w:val="24"/>
            </w:rPr>
            <w:t xml:space="preserve"> </w:t>
          </w:r>
          <w:r w:rsidR="009055C1" w:rsidRPr="009055C1">
            <w:rPr>
              <w:noProof/>
              <w:sz w:val="24"/>
            </w:rPr>
            <w:t>(House, 2014)</w:t>
          </w:r>
          <w:r w:rsidR="00321C3A">
            <w:rPr>
              <w:sz w:val="24"/>
            </w:rPr>
            <w:fldChar w:fldCharType="end"/>
          </w:r>
        </w:sdtContent>
      </w:sdt>
      <w:r w:rsidR="00A044EB">
        <w:rPr>
          <w:sz w:val="24"/>
        </w:rPr>
        <w:t xml:space="preserve">. </w:t>
      </w:r>
      <w:r w:rsidR="00321C3A">
        <w:rPr>
          <w:sz w:val="24"/>
        </w:rPr>
        <w:t>Other regions include the UK who became increasingly interested in Islamic finance in the early 2000’s to aid in market growth and provide choice to</w:t>
      </w:r>
      <w:r w:rsidR="001276D9">
        <w:rPr>
          <w:sz w:val="24"/>
        </w:rPr>
        <w:t xml:space="preserve"> the</w:t>
      </w:r>
      <w:r w:rsidR="00321C3A">
        <w:rPr>
          <w:sz w:val="24"/>
        </w:rPr>
        <w:t xml:space="preserve"> more than 2.5 million Muslim residents in the UK by </w:t>
      </w:r>
      <w:r w:rsidR="001276D9">
        <w:rPr>
          <w:sz w:val="24"/>
        </w:rPr>
        <w:t>introducing fully sharia-compliant banks and Islamic financial instruments into their banks (see appendix 7). The</w:t>
      </w:r>
      <w:r w:rsidR="00321C3A">
        <w:rPr>
          <w:sz w:val="24"/>
        </w:rPr>
        <w:t xml:space="preserve"> Islamic bond market start</w:t>
      </w:r>
      <w:r w:rsidR="001276D9">
        <w:rPr>
          <w:sz w:val="24"/>
        </w:rPr>
        <w:t xml:space="preserve">ed </w:t>
      </w:r>
      <w:r w:rsidR="00321C3A">
        <w:rPr>
          <w:sz w:val="24"/>
        </w:rPr>
        <w:t xml:space="preserve">in </w:t>
      </w:r>
      <w:r w:rsidR="001276D9">
        <w:rPr>
          <w:sz w:val="24"/>
        </w:rPr>
        <w:t xml:space="preserve">the UK in </w:t>
      </w:r>
      <w:r w:rsidR="00321C3A">
        <w:rPr>
          <w:sz w:val="24"/>
        </w:rPr>
        <w:t xml:space="preserve">2007 and </w:t>
      </w:r>
      <w:r w:rsidR="00C60478">
        <w:rPr>
          <w:sz w:val="24"/>
        </w:rPr>
        <w:t xml:space="preserve">has continued to grow with 57 sukuk listings on London’s Stock Exchange, </w:t>
      </w:r>
      <w:r w:rsidR="00321C3A">
        <w:rPr>
          <w:sz w:val="24"/>
        </w:rPr>
        <w:t>gain</w:t>
      </w:r>
      <w:r w:rsidR="00C60478">
        <w:rPr>
          <w:sz w:val="24"/>
        </w:rPr>
        <w:t xml:space="preserve">ing </w:t>
      </w:r>
      <w:r w:rsidR="00321C3A">
        <w:rPr>
          <w:sz w:val="24"/>
        </w:rPr>
        <w:t>a total value of $51bln by 2015</w:t>
      </w:r>
      <w:r w:rsidR="00762DC7">
        <w:rPr>
          <w:sz w:val="24"/>
        </w:rPr>
        <w:t xml:space="preserve"> proving Islamic finance is slowing replacing traditional</w:t>
      </w:r>
      <w:sdt>
        <w:sdtPr>
          <w:rPr>
            <w:sz w:val="24"/>
          </w:rPr>
          <w:id w:val="-874839926"/>
          <w:citation/>
        </w:sdtPr>
        <w:sdtEndPr/>
        <w:sdtContent>
          <w:r w:rsidR="001276D9">
            <w:rPr>
              <w:sz w:val="24"/>
            </w:rPr>
            <w:fldChar w:fldCharType="begin"/>
          </w:r>
          <w:r w:rsidR="001276D9">
            <w:rPr>
              <w:sz w:val="24"/>
            </w:rPr>
            <w:instrText xml:space="preserve"> CITATION Ord15 \l 2057 </w:instrText>
          </w:r>
          <w:r w:rsidR="001276D9">
            <w:rPr>
              <w:sz w:val="24"/>
            </w:rPr>
            <w:fldChar w:fldCharType="separate"/>
          </w:r>
          <w:r w:rsidR="009055C1">
            <w:rPr>
              <w:noProof/>
              <w:sz w:val="24"/>
            </w:rPr>
            <w:t xml:space="preserve"> </w:t>
          </w:r>
          <w:r w:rsidR="009055C1" w:rsidRPr="009055C1">
            <w:rPr>
              <w:noProof/>
              <w:sz w:val="24"/>
            </w:rPr>
            <w:t>(Ord-Smith, 2015)</w:t>
          </w:r>
          <w:r w:rsidR="001276D9">
            <w:rPr>
              <w:sz w:val="24"/>
            </w:rPr>
            <w:fldChar w:fldCharType="end"/>
          </w:r>
        </w:sdtContent>
      </w:sdt>
      <w:r w:rsidR="00C60478">
        <w:rPr>
          <w:sz w:val="24"/>
        </w:rPr>
        <w:t>.</w:t>
      </w:r>
    </w:p>
    <w:p w14:paraId="256D7915" w14:textId="2ACEEBF7" w:rsidR="00C60478" w:rsidRDefault="00193DA1">
      <w:pPr>
        <w:rPr>
          <w:sz w:val="24"/>
        </w:rPr>
      </w:pPr>
      <w:r>
        <w:rPr>
          <w:sz w:val="24"/>
        </w:rPr>
        <w:lastRenderedPageBreak/>
        <w:t>There are four key growth drivers</w:t>
      </w:r>
      <w:r w:rsidR="00A90795">
        <w:rPr>
          <w:sz w:val="24"/>
        </w:rPr>
        <w:t xml:space="preserve"> to the Islamic banking industry as</w:t>
      </w:r>
      <w:r>
        <w:rPr>
          <w:sz w:val="24"/>
        </w:rPr>
        <w:t xml:space="preserve"> stated by </w:t>
      </w:r>
      <w:r w:rsidR="00321C3A" w:rsidRPr="00321C3A">
        <w:rPr>
          <w:noProof/>
          <w:sz w:val="24"/>
        </w:rPr>
        <w:t xml:space="preserve">House </w:t>
      </w:r>
      <w:r w:rsidR="00321C3A">
        <w:rPr>
          <w:noProof/>
          <w:sz w:val="24"/>
        </w:rPr>
        <w:t>(</w:t>
      </w:r>
      <w:r w:rsidR="00321C3A" w:rsidRPr="00321C3A">
        <w:rPr>
          <w:noProof/>
          <w:sz w:val="24"/>
        </w:rPr>
        <w:t>2014)</w:t>
      </w:r>
      <w:r>
        <w:rPr>
          <w:sz w:val="24"/>
        </w:rPr>
        <w:t xml:space="preserve"> (see appendix </w:t>
      </w:r>
      <w:r w:rsidR="001276D9">
        <w:rPr>
          <w:sz w:val="24"/>
        </w:rPr>
        <w:t>8</w:t>
      </w:r>
      <w:r>
        <w:rPr>
          <w:sz w:val="24"/>
        </w:rPr>
        <w:t>)</w:t>
      </w:r>
      <w:r w:rsidR="00A90795">
        <w:rPr>
          <w:sz w:val="24"/>
        </w:rPr>
        <w:t>. T</w:t>
      </w:r>
      <w:r>
        <w:rPr>
          <w:sz w:val="24"/>
        </w:rPr>
        <w:t xml:space="preserve">he main </w:t>
      </w:r>
      <w:r w:rsidR="00A90795">
        <w:rPr>
          <w:sz w:val="24"/>
        </w:rPr>
        <w:t xml:space="preserve">driver </w:t>
      </w:r>
      <w:r>
        <w:rPr>
          <w:sz w:val="24"/>
        </w:rPr>
        <w:t xml:space="preserve">I picked up </w:t>
      </w:r>
      <w:r w:rsidR="00A90795">
        <w:rPr>
          <w:sz w:val="24"/>
        </w:rPr>
        <w:t xml:space="preserve">during </w:t>
      </w:r>
      <w:r>
        <w:rPr>
          <w:sz w:val="24"/>
        </w:rPr>
        <w:t xml:space="preserve">this report is how the “financial crisis adversely affects the conventional banking systems”. Therefore, </w:t>
      </w:r>
      <w:r w:rsidR="00FC0794">
        <w:rPr>
          <w:sz w:val="24"/>
        </w:rPr>
        <w:t xml:space="preserve">Islamic economists believe that if </w:t>
      </w:r>
      <w:r w:rsidR="007C4DD3">
        <w:rPr>
          <w:sz w:val="24"/>
        </w:rPr>
        <w:t>countries</w:t>
      </w:r>
      <w:r w:rsidR="00FC0794">
        <w:rPr>
          <w:sz w:val="24"/>
        </w:rPr>
        <w:t xml:space="preserve"> were to have used Islamic finance the crisis wouldn’t have happened hence why more non-Muslim countries like France, UK, Japan and Singapore are encouraging the use of</w:t>
      </w:r>
      <w:r w:rsidR="00A62189">
        <w:rPr>
          <w:sz w:val="24"/>
        </w:rPr>
        <w:t xml:space="preserve"> </w:t>
      </w:r>
      <w:r w:rsidR="00FC0794">
        <w:rPr>
          <w:sz w:val="24"/>
        </w:rPr>
        <w:t>i</w:t>
      </w:r>
      <w:r w:rsidR="00BD484D">
        <w:rPr>
          <w:sz w:val="24"/>
        </w:rPr>
        <w:t>t</w:t>
      </w:r>
      <w:r w:rsidR="00FC0794">
        <w:rPr>
          <w:sz w:val="24"/>
        </w:rPr>
        <w:t xml:space="preserve"> </w:t>
      </w:r>
      <w:sdt>
        <w:sdtPr>
          <w:rPr>
            <w:sz w:val="24"/>
          </w:rPr>
          <w:id w:val="2025745093"/>
          <w:citation/>
        </w:sdtPr>
        <w:sdtEndPr/>
        <w:sdtContent>
          <w:r w:rsidR="00104694">
            <w:rPr>
              <w:sz w:val="24"/>
            </w:rPr>
            <w:fldChar w:fldCharType="begin"/>
          </w:r>
          <w:r w:rsidR="00104694">
            <w:rPr>
              <w:sz w:val="24"/>
            </w:rPr>
            <w:instrText xml:space="preserve"> CITATION Tut09 \l 2057 </w:instrText>
          </w:r>
          <w:r w:rsidR="00104694">
            <w:rPr>
              <w:sz w:val="24"/>
            </w:rPr>
            <w:fldChar w:fldCharType="separate"/>
          </w:r>
          <w:r w:rsidR="009055C1" w:rsidRPr="009055C1">
            <w:rPr>
              <w:noProof/>
              <w:sz w:val="24"/>
            </w:rPr>
            <w:t>(Tutton, 2009)</w:t>
          </w:r>
          <w:r w:rsidR="00104694">
            <w:rPr>
              <w:sz w:val="24"/>
            </w:rPr>
            <w:fldChar w:fldCharType="end"/>
          </w:r>
        </w:sdtContent>
      </w:sdt>
      <w:r w:rsidR="00104694">
        <w:rPr>
          <w:sz w:val="24"/>
        </w:rPr>
        <w:t>.</w:t>
      </w:r>
    </w:p>
    <w:p w14:paraId="4BD1A099" w14:textId="418EFC2F" w:rsidR="00AE6CC3" w:rsidRPr="00C60478" w:rsidRDefault="00AE6CC3">
      <w:pPr>
        <w:rPr>
          <w:sz w:val="24"/>
        </w:rPr>
      </w:pPr>
      <w:r>
        <w:rPr>
          <w:sz w:val="24"/>
          <w:u w:val="single"/>
        </w:rPr>
        <w:t>Recommendations</w:t>
      </w:r>
    </w:p>
    <w:p w14:paraId="550A545A" w14:textId="13DC51C2" w:rsidR="0098439E" w:rsidRPr="0098439E" w:rsidRDefault="0098439E" w:rsidP="0098439E">
      <w:pPr>
        <w:pStyle w:val="ListParagraph"/>
        <w:numPr>
          <w:ilvl w:val="0"/>
          <w:numId w:val="4"/>
        </w:numPr>
        <w:rPr>
          <w:sz w:val="24"/>
          <w:u w:val="single"/>
        </w:rPr>
      </w:pPr>
      <w:r>
        <w:rPr>
          <w:sz w:val="24"/>
        </w:rPr>
        <w:t xml:space="preserve">Other countries such as </w:t>
      </w:r>
      <w:r w:rsidR="00B53481">
        <w:rPr>
          <w:sz w:val="24"/>
        </w:rPr>
        <w:t>the U.S.</w:t>
      </w:r>
      <w:r w:rsidR="00D176BC">
        <w:rPr>
          <w:sz w:val="24"/>
        </w:rPr>
        <w:t xml:space="preserve"> who don’t use </w:t>
      </w:r>
      <w:r w:rsidR="001276D9">
        <w:rPr>
          <w:sz w:val="24"/>
        </w:rPr>
        <w:t>m</w:t>
      </w:r>
      <w:r w:rsidR="00D176BC">
        <w:rPr>
          <w:sz w:val="24"/>
        </w:rPr>
        <w:t>any Islamic financial instruments</w:t>
      </w:r>
      <w:r>
        <w:rPr>
          <w:sz w:val="24"/>
        </w:rPr>
        <w:t xml:space="preserve"> would benefit from </w:t>
      </w:r>
      <w:r w:rsidR="00D176BC">
        <w:rPr>
          <w:sz w:val="24"/>
        </w:rPr>
        <w:t>Sukuk</w:t>
      </w:r>
      <w:r>
        <w:rPr>
          <w:sz w:val="24"/>
        </w:rPr>
        <w:t xml:space="preserve"> like the UK have with their sharia-compliant bonds as it </w:t>
      </w:r>
      <w:r w:rsidR="00D176BC">
        <w:rPr>
          <w:sz w:val="24"/>
        </w:rPr>
        <w:t>has been recognised</w:t>
      </w:r>
      <w:r>
        <w:rPr>
          <w:sz w:val="24"/>
        </w:rPr>
        <w:t xml:space="preserve"> to boost economic growth</w:t>
      </w:r>
      <w:r w:rsidR="0060150C">
        <w:rPr>
          <w:sz w:val="24"/>
        </w:rPr>
        <w:t>.</w:t>
      </w:r>
    </w:p>
    <w:p w14:paraId="71C3512F" w14:textId="71FAB192" w:rsidR="0098439E" w:rsidRPr="00E46DC9" w:rsidRDefault="0060150C" w:rsidP="0098439E">
      <w:pPr>
        <w:pStyle w:val="ListParagraph"/>
        <w:numPr>
          <w:ilvl w:val="0"/>
          <w:numId w:val="4"/>
        </w:numPr>
        <w:rPr>
          <w:sz w:val="24"/>
          <w:u w:val="single"/>
        </w:rPr>
      </w:pPr>
      <w:r>
        <w:rPr>
          <w:sz w:val="24"/>
        </w:rPr>
        <w:t xml:space="preserve">Islamic finance has an important role in the world of finance. However, to grow even further </w:t>
      </w:r>
      <w:r w:rsidR="00EB53DD">
        <w:rPr>
          <w:sz w:val="24"/>
        </w:rPr>
        <w:t xml:space="preserve">and have maximum efficiency </w:t>
      </w:r>
      <w:r>
        <w:rPr>
          <w:sz w:val="24"/>
        </w:rPr>
        <w:t>the Sharia law can be altered to resonate with more people, not just Muslims and Sharia-compliant institutions and investments.</w:t>
      </w:r>
    </w:p>
    <w:p w14:paraId="397B26E6" w14:textId="1709E811" w:rsidR="00E46DC9" w:rsidRPr="0098439E" w:rsidRDefault="00E46DC9" w:rsidP="0098439E">
      <w:pPr>
        <w:pStyle w:val="ListParagraph"/>
        <w:numPr>
          <w:ilvl w:val="0"/>
          <w:numId w:val="4"/>
        </w:numPr>
        <w:rPr>
          <w:sz w:val="24"/>
          <w:u w:val="single"/>
        </w:rPr>
      </w:pPr>
      <w:r>
        <w:rPr>
          <w:sz w:val="24"/>
        </w:rPr>
        <w:t xml:space="preserve">Islamic finance can </w:t>
      </w:r>
      <w:r w:rsidR="00692E29">
        <w:rPr>
          <w:sz w:val="24"/>
        </w:rPr>
        <w:t>grow further</w:t>
      </w:r>
      <w:r>
        <w:rPr>
          <w:sz w:val="24"/>
        </w:rPr>
        <w:t xml:space="preserve"> by approaching and educating non-governmental organisations and communities </w:t>
      </w:r>
      <w:r w:rsidR="00692E29">
        <w:rPr>
          <w:sz w:val="24"/>
        </w:rPr>
        <w:t>who might not know much about Islamic finance and the benefits like until recently, myself.</w:t>
      </w:r>
      <w:r>
        <w:rPr>
          <w:sz w:val="24"/>
        </w:rPr>
        <w:t xml:space="preserve"> </w:t>
      </w:r>
    </w:p>
    <w:p w14:paraId="38CA8899" w14:textId="79825E2E" w:rsidR="00AE6CC3" w:rsidRDefault="00AE6CC3">
      <w:pPr>
        <w:rPr>
          <w:sz w:val="24"/>
          <w:u w:val="single"/>
        </w:rPr>
      </w:pPr>
      <w:r>
        <w:rPr>
          <w:sz w:val="24"/>
          <w:u w:val="single"/>
        </w:rPr>
        <w:t>Conclusion</w:t>
      </w:r>
    </w:p>
    <w:p w14:paraId="1963F5F0" w14:textId="1A7EC25D" w:rsidR="00AE6CC3" w:rsidRDefault="00DD620C">
      <w:pPr>
        <w:rPr>
          <w:sz w:val="24"/>
        </w:rPr>
      </w:pPr>
      <w:r>
        <w:rPr>
          <w:sz w:val="24"/>
        </w:rPr>
        <w:t xml:space="preserve">To conclude, </w:t>
      </w:r>
      <w:r w:rsidR="00D74899">
        <w:rPr>
          <w:sz w:val="24"/>
        </w:rPr>
        <w:t>it is evident Islamic finance has been a success over the years since</w:t>
      </w:r>
      <w:r>
        <w:rPr>
          <w:sz w:val="24"/>
        </w:rPr>
        <w:t xml:space="preserve"> Islamic financing is based on producing money from tangible asset</w:t>
      </w:r>
      <w:r w:rsidR="00D74899">
        <w:rPr>
          <w:sz w:val="24"/>
        </w:rPr>
        <w:t xml:space="preserve">s Islamic institutions are able to avoid economic crisis’s like the debt crisis in 2008, unlike </w:t>
      </w:r>
      <w:r>
        <w:rPr>
          <w:sz w:val="24"/>
        </w:rPr>
        <w:t>conventional banking</w:t>
      </w:r>
      <w:r w:rsidR="00D74899">
        <w:rPr>
          <w:sz w:val="24"/>
        </w:rPr>
        <w:t xml:space="preserve"> </w:t>
      </w:r>
      <w:r w:rsidR="001276D9">
        <w:rPr>
          <w:sz w:val="24"/>
        </w:rPr>
        <w:t>whose</w:t>
      </w:r>
      <w:r w:rsidR="00D74899">
        <w:rPr>
          <w:sz w:val="24"/>
        </w:rPr>
        <w:t xml:space="preserve"> system is based on debt-trading</w:t>
      </w:r>
      <w:r w:rsidR="00200CD6">
        <w:rPr>
          <w:sz w:val="24"/>
        </w:rPr>
        <w:t xml:space="preserve"> – making money from money</w:t>
      </w:r>
      <w:r w:rsidR="00D74899">
        <w:rPr>
          <w:sz w:val="24"/>
        </w:rPr>
        <w:t xml:space="preserve">. </w:t>
      </w:r>
      <w:r w:rsidR="00306453">
        <w:rPr>
          <w:sz w:val="24"/>
        </w:rPr>
        <w:t>However, it is considered that there are limitations when it comes to putting Islamic finance theory into practice in terms of laws, politics,</w:t>
      </w:r>
      <w:r w:rsidR="00683F78">
        <w:rPr>
          <w:sz w:val="24"/>
        </w:rPr>
        <w:t xml:space="preserve"> regulations, taxation</w:t>
      </w:r>
      <w:r w:rsidR="00306453">
        <w:rPr>
          <w:sz w:val="24"/>
        </w:rPr>
        <w:t xml:space="preserve"> and consumer behaviour </w:t>
      </w:r>
      <w:sdt>
        <w:sdtPr>
          <w:rPr>
            <w:sz w:val="24"/>
          </w:rPr>
          <w:id w:val="-1974748592"/>
          <w:citation/>
        </w:sdtPr>
        <w:sdtEndPr/>
        <w:sdtContent>
          <w:r w:rsidR="00306453">
            <w:rPr>
              <w:sz w:val="24"/>
            </w:rPr>
            <w:fldChar w:fldCharType="begin"/>
          </w:r>
          <w:r w:rsidR="00306453">
            <w:rPr>
              <w:sz w:val="24"/>
            </w:rPr>
            <w:instrText xml:space="preserve"> CITATION Hay16 \l 2057 </w:instrText>
          </w:r>
          <w:r w:rsidR="00306453">
            <w:rPr>
              <w:sz w:val="24"/>
            </w:rPr>
            <w:fldChar w:fldCharType="separate"/>
          </w:r>
          <w:r w:rsidR="009055C1" w:rsidRPr="009055C1">
            <w:rPr>
              <w:noProof/>
              <w:sz w:val="24"/>
            </w:rPr>
            <w:t>(Hayat, 2016)</w:t>
          </w:r>
          <w:r w:rsidR="00306453">
            <w:rPr>
              <w:sz w:val="24"/>
            </w:rPr>
            <w:fldChar w:fldCharType="end"/>
          </w:r>
        </w:sdtContent>
      </w:sdt>
      <w:r w:rsidR="00683F78">
        <w:rPr>
          <w:sz w:val="24"/>
        </w:rPr>
        <w:t>.</w:t>
      </w:r>
      <w:r w:rsidR="00C93357">
        <w:rPr>
          <w:sz w:val="24"/>
        </w:rPr>
        <w:t xml:space="preserve"> It is also clear that Islamic finance is becoming more of a means to institutions </w:t>
      </w:r>
      <w:r w:rsidR="005B381C">
        <w:rPr>
          <w:sz w:val="24"/>
        </w:rPr>
        <w:t xml:space="preserve">when it comes to avoiding troughs and peaks as the main principle is to inject equity into the economy through </w:t>
      </w:r>
      <w:r w:rsidR="00995F52">
        <w:rPr>
          <w:sz w:val="24"/>
        </w:rPr>
        <w:t>risk-sharing.</w:t>
      </w:r>
      <w:r w:rsidR="005B381C">
        <w:rPr>
          <w:sz w:val="24"/>
        </w:rPr>
        <w:t xml:space="preserve"> Therefore, </w:t>
      </w:r>
      <w:r w:rsidR="00995F52">
        <w:rPr>
          <w:sz w:val="24"/>
        </w:rPr>
        <w:t>projects are thought about more carefully by both investor and</w:t>
      </w:r>
      <w:r w:rsidR="002779A7">
        <w:rPr>
          <w:sz w:val="24"/>
        </w:rPr>
        <w:t xml:space="preserve"> investee</w:t>
      </w:r>
      <w:r w:rsidR="00995F52">
        <w:rPr>
          <w:sz w:val="24"/>
        </w:rPr>
        <w:t xml:space="preserve"> </w:t>
      </w:r>
      <w:r w:rsidR="002779A7">
        <w:rPr>
          <w:sz w:val="24"/>
        </w:rPr>
        <w:t>before they are financed.</w:t>
      </w:r>
    </w:p>
    <w:p w14:paraId="39CB1F82" w14:textId="40848363" w:rsidR="00A62189" w:rsidRDefault="00A62189">
      <w:pPr>
        <w:rPr>
          <w:sz w:val="24"/>
        </w:rPr>
      </w:pPr>
    </w:p>
    <w:p w14:paraId="1CE1DD74" w14:textId="1FF968CF" w:rsidR="00A62189" w:rsidRDefault="00A62189">
      <w:pPr>
        <w:rPr>
          <w:sz w:val="24"/>
        </w:rPr>
      </w:pPr>
    </w:p>
    <w:p w14:paraId="3E36937B" w14:textId="77777777" w:rsidR="00A62189" w:rsidRPr="00DD620C" w:rsidRDefault="00A62189">
      <w:pPr>
        <w:rPr>
          <w:sz w:val="24"/>
        </w:rPr>
      </w:pPr>
    </w:p>
    <w:p w14:paraId="3B04EF16" w14:textId="66BFC55C" w:rsidR="00AE6CC3" w:rsidRDefault="005F31A8">
      <w:pPr>
        <w:rPr>
          <w:sz w:val="24"/>
          <w:u w:val="single"/>
        </w:rPr>
      </w:pPr>
      <w:r>
        <w:rPr>
          <w:noProof/>
        </w:rPr>
        <w:lastRenderedPageBreak/>
        <w:drawing>
          <wp:anchor distT="0" distB="0" distL="114300" distR="114300" simplePos="0" relativeHeight="251663360" behindDoc="1" locked="0" layoutInCell="1" allowOverlap="1" wp14:anchorId="3337FBCF" wp14:editId="28222CFE">
            <wp:simplePos x="0" y="0"/>
            <wp:positionH relativeFrom="margin">
              <wp:posOffset>1271284</wp:posOffset>
            </wp:positionH>
            <wp:positionV relativeFrom="paragraph">
              <wp:posOffset>159488</wp:posOffset>
            </wp:positionV>
            <wp:extent cx="4524375" cy="4042410"/>
            <wp:effectExtent l="0" t="0" r="9525" b="0"/>
            <wp:wrapTight wrapText="bothSides">
              <wp:wrapPolygon edited="0">
                <wp:start x="0" y="0"/>
                <wp:lineTo x="0" y="21478"/>
                <wp:lineTo x="21555" y="21478"/>
                <wp:lineTo x="215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998" t="13596" r="52138" b="11920"/>
                    <a:stretch/>
                  </pic:blipFill>
                  <pic:spPr bwMode="auto">
                    <a:xfrm>
                      <a:off x="0" y="0"/>
                      <a:ext cx="4524375" cy="4042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3382">
        <w:rPr>
          <w:sz w:val="24"/>
          <w:u w:val="single"/>
        </w:rPr>
        <w:t>Appendices</w:t>
      </w:r>
    </w:p>
    <w:p w14:paraId="27C85D6F" w14:textId="14EE4C49" w:rsidR="00113382" w:rsidRDefault="00113382">
      <w:pPr>
        <w:rPr>
          <w:sz w:val="24"/>
          <w:u w:val="single"/>
        </w:rPr>
      </w:pPr>
      <w:r>
        <w:rPr>
          <w:sz w:val="24"/>
          <w:u w:val="single"/>
        </w:rPr>
        <w:t>Appendix 1:</w:t>
      </w:r>
    </w:p>
    <w:p w14:paraId="6B2EF09B" w14:textId="211FA8EC" w:rsidR="00C96955" w:rsidRDefault="00C96955">
      <w:pPr>
        <w:rPr>
          <w:sz w:val="24"/>
          <w:u w:val="single"/>
        </w:rPr>
      </w:pPr>
    </w:p>
    <w:p w14:paraId="7C462769" w14:textId="0D2BD738" w:rsidR="00C96955" w:rsidRDefault="00C96955">
      <w:pPr>
        <w:rPr>
          <w:sz w:val="24"/>
          <w:u w:val="single"/>
        </w:rPr>
      </w:pPr>
    </w:p>
    <w:p w14:paraId="2E5DBE26" w14:textId="5D547DC9" w:rsidR="00C96955" w:rsidRDefault="00C96955">
      <w:pPr>
        <w:rPr>
          <w:sz w:val="24"/>
          <w:u w:val="single"/>
        </w:rPr>
      </w:pPr>
    </w:p>
    <w:p w14:paraId="0D6A7AE3" w14:textId="48F91B66" w:rsidR="00C96955" w:rsidRDefault="00C96955">
      <w:pPr>
        <w:rPr>
          <w:sz w:val="24"/>
          <w:u w:val="single"/>
        </w:rPr>
      </w:pPr>
    </w:p>
    <w:p w14:paraId="179CF618" w14:textId="7B99A89E" w:rsidR="00C96955" w:rsidRDefault="00C96955">
      <w:pPr>
        <w:rPr>
          <w:sz w:val="24"/>
          <w:u w:val="single"/>
        </w:rPr>
      </w:pPr>
    </w:p>
    <w:p w14:paraId="50E6B48D" w14:textId="3DA96881" w:rsidR="00C96955" w:rsidRDefault="00C96955">
      <w:pPr>
        <w:rPr>
          <w:sz w:val="24"/>
          <w:u w:val="single"/>
        </w:rPr>
      </w:pPr>
    </w:p>
    <w:p w14:paraId="271AEA31" w14:textId="4E971EA9" w:rsidR="00C96955" w:rsidRDefault="00C96955">
      <w:pPr>
        <w:rPr>
          <w:sz w:val="24"/>
          <w:u w:val="single"/>
        </w:rPr>
      </w:pPr>
    </w:p>
    <w:p w14:paraId="16801077" w14:textId="4A045B41" w:rsidR="00C96955" w:rsidRDefault="00C96955">
      <w:pPr>
        <w:rPr>
          <w:sz w:val="24"/>
          <w:u w:val="single"/>
        </w:rPr>
      </w:pPr>
    </w:p>
    <w:p w14:paraId="242DA508" w14:textId="0620E446" w:rsidR="00C96955" w:rsidRDefault="00C96955">
      <w:pPr>
        <w:rPr>
          <w:sz w:val="24"/>
          <w:u w:val="single"/>
        </w:rPr>
      </w:pPr>
    </w:p>
    <w:p w14:paraId="6ECA2F75" w14:textId="4733B158" w:rsidR="005F31A8" w:rsidRDefault="005F31A8">
      <w:pPr>
        <w:rPr>
          <w:sz w:val="24"/>
          <w:u w:val="single"/>
        </w:rPr>
      </w:pPr>
    </w:p>
    <w:p w14:paraId="25275EC1" w14:textId="726AC729" w:rsidR="00CF5EB2" w:rsidRDefault="00CF5EB2">
      <w:pPr>
        <w:rPr>
          <w:sz w:val="24"/>
          <w:u w:val="single"/>
        </w:rPr>
      </w:pPr>
    </w:p>
    <w:p w14:paraId="3755E2AB" w14:textId="74E57DA1" w:rsidR="00CF5EB2" w:rsidRDefault="00CF5EB2">
      <w:pPr>
        <w:rPr>
          <w:sz w:val="24"/>
          <w:u w:val="single"/>
        </w:rPr>
      </w:pPr>
    </w:p>
    <w:p w14:paraId="23117C95" w14:textId="725C0C5E" w:rsidR="00CF5EB2" w:rsidRPr="00CF5EB2" w:rsidRDefault="00877D07">
      <w:pPr>
        <w:rPr>
          <w:sz w:val="24"/>
        </w:rPr>
      </w:pPr>
      <w:r>
        <w:rPr>
          <w:sz w:val="24"/>
        </w:rPr>
        <w:t>A table illustrating an estimation of the Muslim population in North-Africa</w:t>
      </w:r>
      <w:r w:rsidR="009055C1">
        <w:rPr>
          <w:sz w:val="24"/>
        </w:rPr>
        <w:t xml:space="preserve"> between 1950 and 20</w:t>
      </w:r>
    </w:p>
    <w:p w14:paraId="244D99B8" w14:textId="30FA7F55" w:rsidR="005F31A8" w:rsidRDefault="00AE6EF5">
      <w:pPr>
        <w:rPr>
          <w:sz w:val="24"/>
          <w:u w:val="single"/>
        </w:rPr>
      </w:pPr>
      <w:sdt>
        <w:sdtPr>
          <w:rPr>
            <w:sz w:val="24"/>
            <w:u w:val="single"/>
          </w:rPr>
          <w:id w:val="-2004119355"/>
          <w:citation/>
        </w:sdtPr>
        <w:sdtEndPr/>
        <w:sdtContent>
          <w:r w:rsidR="005F31A8">
            <w:rPr>
              <w:sz w:val="24"/>
              <w:u w:val="single"/>
            </w:rPr>
            <w:fldChar w:fldCharType="begin"/>
          </w:r>
          <w:r w:rsidR="005F31A8">
            <w:rPr>
              <w:sz w:val="24"/>
              <w:u w:val="single"/>
            </w:rPr>
            <w:instrText xml:space="preserve"> CITATION Ket10 \l 2057 </w:instrText>
          </w:r>
          <w:r w:rsidR="005F31A8">
            <w:rPr>
              <w:sz w:val="24"/>
              <w:u w:val="single"/>
            </w:rPr>
            <w:fldChar w:fldCharType="separate"/>
          </w:r>
          <w:r w:rsidR="009055C1" w:rsidRPr="009055C1">
            <w:rPr>
              <w:noProof/>
              <w:sz w:val="24"/>
            </w:rPr>
            <w:t>(Kettani, 2010)</w:t>
          </w:r>
          <w:r w:rsidR="005F31A8">
            <w:rPr>
              <w:sz w:val="24"/>
              <w:u w:val="single"/>
            </w:rPr>
            <w:fldChar w:fldCharType="end"/>
          </w:r>
        </w:sdtContent>
      </w:sdt>
    </w:p>
    <w:p w14:paraId="58AAE16C" w14:textId="66F2B816" w:rsidR="00EA1FDF" w:rsidRPr="008B66E1" w:rsidRDefault="00EB53DD">
      <w:pPr>
        <w:rPr>
          <w:sz w:val="24"/>
          <w:u w:val="single"/>
        </w:rPr>
      </w:pPr>
      <w:r>
        <w:rPr>
          <w:noProof/>
        </w:rPr>
        <w:drawing>
          <wp:anchor distT="0" distB="0" distL="114300" distR="114300" simplePos="0" relativeHeight="251664384" behindDoc="1" locked="0" layoutInCell="1" allowOverlap="1" wp14:anchorId="1114EAC8" wp14:editId="47B2EBF7">
            <wp:simplePos x="0" y="0"/>
            <wp:positionH relativeFrom="margin">
              <wp:posOffset>1423655</wp:posOffset>
            </wp:positionH>
            <wp:positionV relativeFrom="paragraph">
              <wp:posOffset>8890</wp:posOffset>
            </wp:positionV>
            <wp:extent cx="5144770" cy="2880995"/>
            <wp:effectExtent l="0" t="0" r="0" b="0"/>
            <wp:wrapTight wrapText="bothSides">
              <wp:wrapPolygon edited="0">
                <wp:start x="0" y="0"/>
                <wp:lineTo x="0" y="21424"/>
                <wp:lineTo x="21515" y="21424"/>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1301" t="32513" r="59616" b="38522"/>
                    <a:stretch/>
                  </pic:blipFill>
                  <pic:spPr bwMode="auto">
                    <a:xfrm>
                      <a:off x="0" y="0"/>
                      <a:ext cx="5144770" cy="2880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6955">
        <w:rPr>
          <w:sz w:val="24"/>
          <w:u w:val="single"/>
        </w:rPr>
        <w:t>Appendix 2:</w:t>
      </w:r>
    </w:p>
    <w:p w14:paraId="6584DC65" w14:textId="42071285" w:rsidR="00C96955" w:rsidRDefault="00C96955">
      <w:pPr>
        <w:rPr>
          <w:sz w:val="24"/>
          <w:u w:val="single"/>
        </w:rPr>
      </w:pPr>
    </w:p>
    <w:p w14:paraId="245E3F20" w14:textId="4EA87B0D" w:rsidR="008B66E1" w:rsidRPr="008B66E1" w:rsidRDefault="008B66E1" w:rsidP="008B66E1">
      <w:pPr>
        <w:rPr>
          <w:sz w:val="24"/>
        </w:rPr>
      </w:pPr>
    </w:p>
    <w:p w14:paraId="3085860E" w14:textId="0D7482E2" w:rsidR="008B66E1" w:rsidRPr="008B66E1" w:rsidRDefault="008B66E1" w:rsidP="008B66E1">
      <w:pPr>
        <w:rPr>
          <w:sz w:val="24"/>
        </w:rPr>
      </w:pPr>
    </w:p>
    <w:p w14:paraId="49CDC9A1" w14:textId="76BD01CC" w:rsidR="008B66E1" w:rsidRPr="008B66E1" w:rsidRDefault="008B66E1" w:rsidP="008B66E1">
      <w:pPr>
        <w:rPr>
          <w:sz w:val="24"/>
        </w:rPr>
      </w:pPr>
    </w:p>
    <w:p w14:paraId="4BFAE6EB" w14:textId="7379B04A" w:rsidR="008B66E1" w:rsidRPr="008B66E1" w:rsidRDefault="008B66E1" w:rsidP="008B66E1">
      <w:pPr>
        <w:rPr>
          <w:sz w:val="24"/>
        </w:rPr>
      </w:pPr>
    </w:p>
    <w:p w14:paraId="1E6D0ECE" w14:textId="58DDBB7E" w:rsidR="008B66E1" w:rsidRPr="008B66E1" w:rsidRDefault="008B66E1" w:rsidP="008B66E1">
      <w:pPr>
        <w:rPr>
          <w:sz w:val="24"/>
        </w:rPr>
      </w:pPr>
    </w:p>
    <w:p w14:paraId="4D6EB5A0" w14:textId="2B3AA7B3" w:rsidR="008B66E1" w:rsidRPr="008B66E1" w:rsidRDefault="008B66E1" w:rsidP="008B66E1">
      <w:pPr>
        <w:rPr>
          <w:sz w:val="24"/>
        </w:rPr>
      </w:pPr>
    </w:p>
    <w:p w14:paraId="04403913" w14:textId="2EDA4679" w:rsidR="008B66E1" w:rsidRPr="008B66E1" w:rsidRDefault="008B66E1" w:rsidP="008B66E1">
      <w:pPr>
        <w:rPr>
          <w:sz w:val="24"/>
        </w:rPr>
      </w:pPr>
    </w:p>
    <w:p w14:paraId="0CF159F5" w14:textId="77777777" w:rsidR="005F31A8" w:rsidRDefault="005F31A8" w:rsidP="008B66E1">
      <w:pPr>
        <w:rPr>
          <w:sz w:val="24"/>
        </w:rPr>
      </w:pPr>
    </w:p>
    <w:p w14:paraId="0FFEE202" w14:textId="09E47687" w:rsidR="005F31A8" w:rsidRDefault="00AE6EF5" w:rsidP="008B66E1">
      <w:pPr>
        <w:rPr>
          <w:sz w:val="24"/>
          <w:u w:val="single"/>
        </w:rPr>
      </w:pPr>
      <w:sdt>
        <w:sdtPr>
          <w:rPr>
            <w:sz w:val="24"/>
            <w:u w:val="single"/>
          </w:rPr>
          <w:id w:val="174083992"/>
          <w:citation/>
        </w:sdtPr>
        <w:sdtEndPr/>
        <w:sdtContent>
          <w:r w:rsidR="005F31A8">
            <w:rPr>
              <w:sz w:val="24"/>
              <w:u w:val="single"/>
            </w:rPr>
            <w:fldChar w:fldCharType="begin"/>
          </w:r>
          <w:r w:rsidR="005F31A8">
            <w:rPr>
              <w:sz w:val="24"/>
              <w:u w:val="single"/>
            </w:rPr>
            <w:instrText xml:space="preserve"> CITATION Mos14 \l 2057 </w:instrText>
          </w:r>
          <w:r w:rsidR="005F31A8">
            <w:rPr>
              <w:sz w:val="24"/>
              <w:u w:val="single"/>
            </w:rPr>
            <w:fldChar w:fldCharType="separate"/>
          </w:r>
          <w:r w:rsidR="009055C1" w:rsidRPr="009055C1">
            <w:rPr>
              <w:noProof/>
              <w:sz w:val="24"/>
            </w:rPr>
            <w:t>(Mosaid &amp; Boutti, 2014)</w:t>
          </w:r>
          <w:r w:rsidR="005F31A8">
            <w:rPr>
              <w:sz w:val="24"/>
              <w:u w:val="single"/>
            </w:rPr>
            <w:fldChar w:fldCharType="end"/>
          </w:r>
        </w:sdtContent>
      </w:sdt>
    </w:p>
    <w:p w14:paraId="51857D71" w14:textId="36DBB98B" w:rsidR="008B66E1" w:rsidRDefault="008B66E1" w:rsidP="008B66E1">
      <w:pPr>
        <w:rPr>
          <w:sz w:val="24"/>
        </w:rPr>
      </w:pPr>
      <w:r w:rsidRPr="008B66E1">
        <w:rPr>
          <w:noProof/>
          <w:u w:val="single"/>
        </w:rPr>
        <w:lastRenderedPageBreak/>
        <w:drawing>
          <wp:anchor distT="0" distB="0" distL="114300" distR="114300" simplePos="0" relativeHeight="251665408" behindDoc="1" locked="0" layoutInCell="1" allowOverlap="1" wp14:anchorId="2FECFB74" wp14:editId="080457C8">
            <wp:simplePos x="0" y="0"/>
            <wp:positionH relativeFrom="column">
              <wp:posOffset>1297896</wp:posOffset>
            </wp:positionH>
            <wp:positionV relativeFrom="paragraph">
              <wp:posOffset>207645</wp:posOffset>
            </wp:positionV>
            <wp:extent cx="4400550" cy="2933700"/>
            <wp:effectExtent l="0" t="0" r="0" b="0"/>
            <wp:wrapTight wrapText="bothSides">
              <wp:wrapPolygon edited="0">
                <wp:start x="0" y="0"/>
                <wp:lineTo x="0" y="21460"/>
                <wp:lineTo x="21506" y="21460"/>
                <wp:lineTo x="21506" y="0"/>
                <wp:lineTo x="0" y="0"/>
              </wp:wrapPolygon>
            </wp:wrapTight>
            <wp:docPr id="3" name="Picture 3" descr="https://www.thebalance.com/thmb/5K3BvAOMN00xQonEhfOYlf_wteA=/674x0/what-is-the-business-cycle-3305912-v3-5b63492c46e0fb002c51d6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hebalance.com/thmb/5K3BvAOMN00xQonEhfOYlf_wteA=/674x0/what-is-the-business-cycle-3305912-v3-5b63492c46e0fb002c51d616.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00550" cy="2933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66E1">
        <w:rPr>
          <w:sz w:val="24"/>
          <w:u w:val="single"/>
        </w:rPr>
        <w:t>Appendix 3:</w:t>
      </w:r>
    </w:p>
    <w:p w14:paraId="1237A465" w14:textId="56AF4B1F" w:rsidR="008B66E1" w:rsidRDefault="008B66E1" w:rsidP="008B66E1">
      <w:pPr>
        <w:rPr>
          <w:sz w:val="24"/>
        </w:rPr>
      </w:pPr>
    </w:p>
    <w:p w14:paraId="1DE1D674" w14:textId="7BECF315" w:rsidR="00446661" w:rsidRDefault="00446661" w:rsidP="008B66E1">
      <w:pPr>
        <w:rPr>
          <w:sz w:val="24"/>
        </w:rPr>
      </w:pPr>
    </w:p>
    <w:p w14:paraId="4C366FC1" w14:textId="5F6A1428" w:rsidR="00446661" w:rsidRDefault="00446661" w:rsidP="008B66E1">
      <w:pPr>
        <w:rPr>
          <w:sz w:val="24"/>
        </w:rPr>
      </w:pPr>
    </w:p>
    <w:p w14:paraId="03942298" w14:textId="64FFCF73" w:rsidR="00446661" w:rsidRDefault="00446661" w:rsidP="008B66E1">
      <w:pPr>
        <w:rPr>
          <w:sz w:val="24"/>
        </w:rPr>
      </w:pPr>
    </w:p>
    <w:p w14:paraId="44C64B64" w14:textId="0647024A" w:rsidR="00446661" w:rsidRDefault="00446661" w:rsidP="008B66E1">
      <w:pPr>
        <w:rPr>
          <w:sz w:val="24"/>
        </w:rPr>
      </w:pPr>
    </w:p>
    <w:p w14:paraId="6D2F84E1" w14:textId="5309AE30" w:rsidR="00446661" w:rsidRDefault="00446661" w:rsidP="008B66E1">
      <w:pPr>
        <w:rPr>
          <w:sz w:val="24"/>
        </w:rPr>
      </w:pPr>
    </w:p>
    <w:p w14:paraId="356C4A6B" w14:textId="166FC2B1" w:rsidR="00446661" w:rsidRDefault="00446661" w:rsidP="008B66E1">
      <w:pPr>
        <w:rPr>
          <w:sz w:val="24"/>
        </w:rPr>
      </w:pPr>
    </w:p>
    <w:p w14:paraId="588CAF48" w14:textId="282D32BA" w:rsidR="00446661" w:rsidRDefault="00446661" w:rsidP="008B66E1">
      <w:pPr>
        <w:rPr>
          <w:sz w:val="24"/>
        </w:rPr>
      </w:pPr>
    </w:p>
    <w:p w14:paraId="68FFCDAE" w14:textId="6EBE755E" w:rsidR="00446661" w:rsidRDefault="00446661" w:rsidP="008B66E1">
      <w:pPr>
        <w:rPr>
          <w:sz w:val="24"/>
        </w:rPr>
      </w:pPr>
    </w:p>
    <w:p w14:paraId="1BA98106" w14:textId="77777777" w:rsidR="00CF5EB2" w:rsidRDefault="00CF5EB2" w:rsidP="008B66E1">
      <w:pPr>
        <w:rPr>
          <w:sz w:val="24"/>
        </w:rPr>
      </w:pPr>
    </w:p>
    <w:p w14:paraId="7E35AB05" w14:textId="77C86A40" w:rsidR="00446661" w:rsidRDefault="00CF5EB2" w:rsidP="008B66E1">
      <w:pPr>
        <w:rPr>
          <w:sz w:val="24"/>
        </w:rPr>
      </w:pPr>
      <w:r>
        <w:rPr>
          <w:sz w:val="24"/>
        </w:rPr>
        <w:t>The business cycle showing the stages an economy goes through. Expansion is when money is being injected into the economy whereas contraction is when not enough money is being injected into the economy.</w:t>
      </w:r>
    </w:p>
    <w:p w14:paraId="45283D90" w14:textId="22E978EA" w:rsidR="00446661" w:rsidRDefault="00AE6EF5" w:rsidP="008B66E1">
      <w:pPr>
        <w:rPr>
          <w:sz w:val="24"/>
        </w:rPr>
      </w:pPr>
      <w:sdt>
        <w:sdtPr>
          <w:rPr>
            <w:sz w:val="24"/>
          </w:rPr>
          <w:id w:val="1713386444"/>
          <w:citation/>
        </w:sdtPr>
        <w:sdtEndPr/>
        <w:sdtContent>
          <w:r w:rsidR="005F31A8">
            <w:rPr>
              <w:sz w:val="24"/>
            </w:rPr>
            <w:fldChar w:fldCharType="begin"/>
          </w:r>
          <w:r w:rsidR="005F31A8">
            <w:rPr>
              <w:sz w:val="24"/>
            </w:rPr>
            <w:instrText xml:space="preserve"> CITATION Ama181 \l 2057 </w:instrText>
          </w:r>
          <w:r w:rsidR="005F31A8">
            <w:rPr>
              <w:sz w:val="24"/>
            </w:rPr>
            <w:fldChar w:fldCharType="separate"/>
          </w:r>
          <w:r w:rsidR="009055C1" w:rsidRPr="009055C1">
            <w:rPr>
              <w:noProof/>
              <w:sz w:val="24"/>
            </w:rPr>
            <w:t>(Amadeo , 2018)</w:t>
          </w:r>
          <w:r w:rsidR="005F31A8">
            <w:rPr>
              <w:sz w:val="24"/>
            </w:rPr>
            <w:fldChar w:fldCharType="end"/>
          </w:r>
        </w:sdtContent>
      </w:sdt>
    </w:p>
    <w:p w14:paraId="210F4A91" w14:textId="24E60DF8" w:rsidR="00446661" w:rsidRDefault="005F31A8" w:rsidP="008B66E1">
      <w:pPr>
        <w:rPr>
          <w:sz w:val="24"/>
          <w:u w:val="single"/>
        </w:rPr>
      </w:pPr>
      <w:r>
        <w:rPr>
          <w:noProof/>
        </w:rPr>
        <w:drawing>
          <wp:anchor distT="0" distB="0" distL="114300" distR="114300" simplePos="0" relativeHeight="251666432" behindDoc="1" locked="0" layoutInCell="1" allowOverlap="1" wp14:anchorId="4BC9C22C" wp14:editId="3B119E94">
            <wp:simplePos x="0" y="0"/>
            <wp:positionH relativeFrom="margin">
              <wp:posOffset>1141036</wp:posOffset>
            </wp:positionH>
            <wp:positionV relativeFrom="paragraph">
              <wp:posOffset>302260</wp:posOffset>
            </wp:positionV>
            <wp:extent cx="5073015" cy="2428875"/>
            <wp:effectExtent l="0" t="0" r="0" b="9525"/>
            <wp:wrapTight wrapText="bothSides">
              <wp:wrapPolygon edited="0">
                <wp:start x="0" y="0"/>
                <wp:lineTo x="0" y="21515"/>
                <wp:lineTo x="21495" y="21515"/>
                <wp:lineTo x="2149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8475" t="43448" r="40505" b="13103"/>
                    <a:stretch/>
                  </pic:blipFill>
                  <pic:spPr bwMode="auto">
                    <a:xfrm>
                      <a:off x="0" y="0"/>
                      <a:ext cx="5073015" cy="2428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30945D" w14:textId="2B317F1C" w:rsidR="00446661" w:rsidRDefault="00446661" w:rsidP="008B66E1">
      <w:pPr>
        <w:rPr>
          <w:sz w:val="24"/>
          <w:u w:val="single"/>
        </w:rPr>
      </w:pPr>
      <w:r w:rsidRPr="00446661">
        <w:rPr>
          <w:sz w:val="24"/>
          <w:u w:val="single"/>
        </w:rPr>
        <w:t>Appendix 4:</w:t>
      </w:r>
    </w:p>
    <w:p w14:paraId="09F0B1A8" w14:textId="3A0D8AAE" w:rsidR="00446661" w:rsidRDefault="00446661" w:rsidP="008B66E1">
      <w:pPr>
        <w:rPr>
          <w:noProof/>
        </w:rPr>
      </w:pPr>
    </w:p>
    <w:p w14:paraId="2387F4BE" w14:textId="2EE98EB8" w:rsidR="00446661" w:rsidRDefault="00446661" w:rsidP="008B66E1">
      <w:pPr>
        <w:rPr>
          <w:sz w:val="24"/>
          <w:u w:val="single"/>
        </w:rPr>
      </w:pPr>
    </w:p>
    <w:p w14:paraId="5114F86B" w14:textId="4FDCA704" w:rsidR="00446661" w:rsidRDefault="00446661" w:rsidP="008B66E1">
      <w:pPr>
        <w:rPr>
          <w:sz w:val="24"/>
          <w:u w:val="single"/>
        </w:rPr>
      </w:pPr>
    </w:p>
    <w:p w14:paraId="5F0026FB" w14:textId="23E465EB" w:rsidR="00446661" w:rsidRDefault="00446661" w:rsidP="008B66E1">
      <w:pPr>
        <w:rPr>
          <w:sz w:val="24"/>
          <w:u w:val="single"/>
        </w:rPr>
      </w:pPr>
    </w:p>
    <w:p w14:paraId="0C26B015" w14:textId="433DC296" w:rsidR="00446661" w:rsidRDefault="00446661" w:rsidP="008B66E1">
      <w:pPr>
        <w:rPr>
          <w:sz w:val="24"/>
          <w:u w:val="single"/>
        </w:rPr>
      </w:pPr>
    </w:p>
    <w:p w14:paraId="335ECDBC" w14:textId="41584E09" w:rsidR="00446661" w:rsidRDefault="00446661" w:rsidP="008B66E1">
      <w:pPr>
        <w:rPr>
          <w:sz w:val="24"/>
          <w:u w:val="single"/>
        </w:rPr>
      </w:pPr>
    </w:p>
    <w:p w14:paraId="73B67972" w14:textId="3A5E03E0" w:rsidR="005F31A8" w:rsidRDefault="005F31A8" w:rsidP="008B66E1">
      <w:pPr>
        <w:rPr>
          <w:sz w:val="24"/>
          <w:u w:val="single"/>
        </w:rPr>
      </w:pPr>
    </w:p>
    <w:p w14:paraId="43C76CC9" w14:textId="1F2DF2FC" w:rsidR="005F31A8" w:rsidRDefault="005F31A8" w:rsidP="008B66E1">
      <w:pPr>
        <w:rPr>
          <w:sz w:val="24"/>
          <w:u w:val="single"/>
        </w:rPr>
      </w:pPr>
    </w:p>
    <w:p w14:paraId="40CF60B9" w14:textId="586571A1" w:rsidR="00CF5EB2" w:rsidRPr="00877D07" w:rsidRDefault="00877D07" w:rsidP="008B66E1">
      <w:pPr>
        <w:rPr>
          <w:sz w:val="24"/>
        </w:rPr>
      </w:pPr>
      <w:r>
        <w:rPr>
          <w:sz w:val="24"/>
        </w:rPr>
        <w:t xml:space="preserve">This chart illustrates the GDP growth rate for Malaysia </w:t>
      </w:r>
      <w:r w:rsidR="009055C1">
        <w:rPr>
          <w:sz w:val="24"/>
        </w:rPr>
        <w:t>between the years</w:t>
      </w:r>
      <w:r>
        <w:rPr>
          <w:sz w:val="24"/>
        </w:rPr>
        <w:t xml:space="preserve"> 2013-2015</w:t>
      </w:r>
    </w:p>
    <w:p w14:paraId="51D0FF7C" w14:textId="1156F980" w:rsidR="00446661" w:rsidRDefault="00AE6EF5" w:rsidP="008B66E1">
      <w:pPr>
        <w:rPr>
          <w:sz w:val="24"/>
          <w:u w:val="single"/>
        </w:rPr>
      </w:pPr>
      <w:sdt>
        <w:sdtPr>
          <w:rPr>
            <w:sz w:val="24"/>
            <w:u w:val="single"/>
          </w:rPr>
          <w:id w:val="-1981760227"/>
          <w:citation/>
        </w:sdtPr>
        <w:sdtEndPr/>
        <w:sdtContent>
          <w:r w:rsidR="005F31A8">
            <w:rPr>
              <w:sz w:val="24"/>
              <w:u w:val="single"/>
            </w:rPr>
            <w:fldChar w:fldCharType="begin"/>
          </w:r>
          <w:r w:rsidR="005F31A8">
            <w:rPr>
              <w:sz w:val="24"/>
              <w:u w:val="single"/>
            </w:rPr>
            <w:instrText xml:space="preserve"> CITATION Tra18 \l 2057 </w:instrText>
          </w:r>
          <w:r w:rsidR="005F31A8">
            <w:rPr>
              <w:sz w:val="24"/>
              <w:u w:val="single"/>
            </w:rPr>
            <w:fldChar w:fldCharType="separate"/>
          </w:r>
          <w:r w:rsidR="009055C1" w:rsidRPr="009055C1">
            <w:rPr>
              <w:noProof/>
              <w:sz w:val="24"/>
            </w:rPr>
            <w:t>(Economics, 2018)</w:t>
          </w:r>
          <w:r w:rsidR="005F31A8">
            <w:rPr>
              <w:sz w:val="24"/>
              <w:u w:val="single"/>
            </w:rPr>
            <w:fldChar w:fldCharType="end"/>
          </w:r>
        </w:sdtContent>
      </w:sdt>
    </w:p>
    <w:p w14:paraId="6DD83A23" w14:textId="62100311" w:rsidR="00446661" w:rsidRDefault="003655FF" w:rsidP="008B66E1">
      <w:pPr>
        <w:rPr>
          <w:sz w:val="24"/>
          <w:u w:val="single"/>
        </w:rPr>
      </w:pPr>
      <w:bookmarkStart w:id="1" w:name="_GoBack"/>
      <w:r>
        <w:rPr>
          <w:noProof/>
        </w:rPr>
        <w:lastRenderedPageBreak/>
        <w:drawing>
          <wp:anchor distT="0" distB="0" distL="114300" distR="114300" simplePos="0" relativeHeight="251667456" behindDoc="1" locked="0" layoutInCell="1" allowOverlap="1" wp14:anchorId="501A4CBD" wp14:editId="72C1D8F5">
            <wp:simplePos x="0" y="0"/>
            <wp:positionH relativeFrom="margin">
              <wp:align>center</wp:align>
            </wp:positionH>
            <wp:positionV relativeFrom="paragraph">
              <wp:posOffset>292859</wp:posOffset>
            </wp:positionV>
            <wp:extent cx="6275705" cy="3147060"/>
            <wp:effectExtent l="0" t="0" r="0" b="0"/>
            <wp:wrapTight wrapText="bothSides">
              <wp:wrapPolygon edited="0">
                <wp:start x="0" y="0"/>
                <wp:lineTo x="0" y="21443"/>
                <wp:lineTo x="21506" y="21443"/>
                <wp:lineTo x="2150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44926" r="50975" b="11330"/>
                    <a:stretch/>
                  </pic:blipFill>
                  <pic:spPr bwMode="auto">
                    <a:xfrm>
                      <a:off x="0" y="0"/>
                      <a:ext cx="6275705" cy="314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
      <w:r w:rsidR="00446661">
        <w:rPr>
          <w:sz w:val="24"/>
          <w:u w:val="single"/>
        </w:rPr>
        <w:t>Appendix 5:</w:t>
      </w:r>
    </w:p>
    <w:p w14:paraId="391AC77E" w14:textId="0343FB65" w:rsidR="00446661" w:rsidRDefault="00446661" w:rsidP="008B66E1">
      <w:pPr>
        <w:rPr>
          <w:noProof/>
        </w:rPr>
      </w:pPr>
    </w:p>
    <w:p w14:paraId="73E4B875" w14:textId="41F04B38" w:rsidR="00877D07" w:rsidRPr="00877D07" w:rsidRDefault="00877D07" w:rsidP="005F31A8">
      <w:pPr>
        <w:rPr>
          <w:sz w:val="24"/>
        </w:rPr>
      </w:pPr>
      <w:r>
        <w:rPr>
          <w:sz w:val="24"/>
        </w:rPr>
        <w:t>This chart illustrates the forecasted GDP growth rate for Malaysia</w:t>
      </w:r>
      <w:r w:rsidR="009055C1">
        <w:rPr>
          <w:sz w:val="24"/>
        </w:rPr>
        <w:t xml:space="preserve"> from January 2016 to July 2019</w:t>
      </w:r>
    </w:p>
    <w:p w14:paraId="34AE5BA0" w14:textId="69B5D113" w:rsidR="005F31A8" w:rsidRDefault="00AE6EF5" w:rsidP="005F31A8">
      <w:pPr>
        <w:rPr>
          <w:sz w:val="24"/>
        </w:rPr>
      </w:pPr>
      <w:sdt>
        <w:sdtPr>
          <w:rPr>
            <w:sz w:val="24"/>
          </w:rPr>
          <w:id w:val="1372419468"/>
          <w:citation/>
        </w:sdtPr>
        <w:sdtEndPr/>
        <w:sdtContent>
          <w:r w:rsidR="005F31A8">
            <w:rPr>
              <w:sz w:val="24"/>
            </w:rPr>
            <w:fldChar w:fldCharType="begin"/>
          </w:r>
          <w:r w:rsidR="005F31A8">
            <w:rPr>
              <w:sz w:val="24"/>
            </w:rPr>
            <w:instrText xml:space="preserve"> CITATION Tra18 \l 2057 </w:instrText>
          </w:r>
          <w:r w:rsidR="005F31A8">
            <w:rPr>
              <w:sz w:val="24"/>
            </w:rPr>
            <w:fldChar w:fldCharType="separate"/>
          </w:r>
          <w:r w:rsidR="009055C1" w:rsidRPr="009055C1">
            <w:rPr>
              <w:noProof/>
              <w:sz w:val="24"/>
            </w:rPr>
            <w:t>(Economics, 2018)</w:t>
          </w:r>
          <w:r w:rsidR="005F31A8">
            <w:rPr>
              <w:sz w:val="24"/>
            </w:rPr>
            <w:fldChar w:fldCharType="end"/>
          </w:r>
        </w:sdtContent>
      </w:sdt>
    </w:p>
    <w:p w14:paraId="79336F91" w14:textId="77777777" w:rsidR="00A044EB" w:rsidRDefault="00A044EB" w:rsidP="005F31A8">
      <w:pPr>
        <w:rPr>
          <w:noProof/>
          <w:u w:val="single"/>
        </w:rPr>
      </w:pPr>
    </w:p>
    <w:p w14:paraId="1C62B587" w14:textId="401BF65C" w:rsidR="00EB53DD" w:rsidRDefault="00A044EB" w:rsidP="005F31A8">
      <w:pPr>
        <w:rPr>
          <w:sz w:val="24"/>
        </w:rPr>
      </w:pPr>
      <w:r w:rsidRPr="00A044EB">
        <w:rPr>
          <w:noProof/>
          <w:u w:val="single"/>
        </w:rPr>
        <w:drawing>
          <wp:anchor distT="0" distB="0" distL="114300" distR="114300" simplePos="0" relativeHeight="251668480" behindDoc="1" locked="0" layoutInCell="1" allowOverlap="1" wp14:anchorId="7B0F2EDE" wp14:editId="134E0BC1">
            <wp:simplePos x="0" y="0"/>
            <wp:positionH relativeFrom="margin">
              <wp:align>center</wp:align>
            </wp:positionH>
            <wp:positionV relativeFrom="paragraph">
              <wp:posOffset>430833</wp:posOffset>
            </wp:positionV>
            <wp:extent cx="6991350" cy="2920365"/>
            <wp:effectExtent l="0" t="0" r="0" b="0"/>
            <wp:wrapTight wrapText="bothSides">
              <wp:wrapPolygon edited="0">
                <wp:start x="0" y="0"/>
                <wp:lineTo x="0" y="21417"/>
                <wp:lineTo x="21541" y="21417"/>
                <wp:lineTo x="2154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126" t="26622" r="52688" b="41295"/>
                    <a:stretch/>
                  </pic:blipFill>
                  <pic:spPr bwMode="auto">
                    <a:xfrm>
                      <a:off x="0" y="0"/>
                      <a:ext cx="6991350" cy="2920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044EB">
        <w:rPr>
          <w:sz w:val="24"/>
          <w:u w:val="single"/>
        </w:rPr>
        <w:t>Appendix 6</w:t>
      </w:r>
      <w:r>
        <w:rPr>
          <w:sz w:val="24"/>
        </w:rPr>
        <w:t>:</w:t>
      </w:r>
    </w:p>
    <w:p w14:paraId="31F5300F" w14:textId="4ED9D77D" w:rsidR="00A044EB" w:rsidRDefault="00685BCD" w:rsidP="005F31A8">
      <w:pPr>
        <w:rPr>
          <w:noProof/>
        </w:rPr>
      </w:pPr>
      <w:r>
        <w:rPr>
          <w:noProof/>
        </w:rPr>
        <w:t>The growth of Islamic banking assets by region between the period 2008 and 2014.</w:t>
      </w:r>
    </w:p>
    <w:p w14:paraId="3EC9DEEB" w14:textId="05D9584E" w:rsidR="003655FF" w:rsidRDefault="00AE6EF5" w:rsidP="005F31A8">
      <w:pPr>
        <w:rPr>
          <w:sz w:val="24"/>
          <w:u w:val="single"/>
        </w:rPr>
      </w:pPr>
      <w:sdt>
        <w:sdtPr>
          <w:rPr>
            <w:sz w:val="24"/>
            <w:u w:val="single"/>
          </w:rPr>
          <w:id w:val="-783114758"/>
          <w:citation/>
        </w:sdtPr>
        <w:sdtEndPr/>
        <w:sdtContent>
          <w:r w:rsidR="00762DC7">
            <w:rPr>
              <w:sz w:val="24"/>
              <w:u w:val="single"/>
            </w:rPr>
            <w:fldChar w:fldCharType="begin"/>
          </w:r>
          <w:r w:rsidR="00762DC7">
            <w:rPr>
              <w:sz w:val="24"/>
              <w:u w:val="single"/>
            </w:rPr>
            <w:instrText xml:space="preserve"> CITATION Kuw14 \l 2057 </w:instrText>
          </w:r>
          <w:r w:rsidR="00762DC7">
            <w:rPr>
              <w:sz w:val="24"/>
              <w:u w:val="single"/>
            </w:rPr>
            <w:fldChar w:fldCharType="separate"/>
          </w:r>
          <w:r w:rsidR="009055C1" w:rsidRPr="009055C1">
            <w:rPr>
              <w:noProof/>
              <w:sz w:val="24"/>
            </w:rPr>
            <w:t>(House, 2014)</w:t>
          </w:r>
          <w:r w:rsidR="00762DC7">
            <w:rPr>
              <w:sz w:val="24"/>
              <w:u w:val="single"/>
            </w:rPr>
            <w:fldChar w:fldCharType="end"/>
          </w:r>
        </w:sdtContent>
      </w:sdt>
    </w:p>
    <w:p w14:paraId="0AE185D0" w14:textId="133A4DDD" w:rsidR="00A044EB" w:rsidRPr="001276D9" w:rsidRDefault="001276D9" w:rsidP="005F31A8">
      <w:pPr>
        <w:rPr>
          <w:sz w:val="24"/>
          <w:u w:val="single"/>
        </w:rPr>
      </w:pPr>
      <w:r>
        <w:rPr>
          <w:noProof/>
        </w:rPr>
        <w:lastRenderedPageBreak/>
        <w:drawing>
          <wp:anchor distT="0" distB="0" distL="114300" distR="114300" simplePos="0" relativeHeight="251669504" behindDoc="1" locked="0" layoutInCell="1" allowOverlap="1" wp14:anchorId="4B5A67AD" wp14:editId="0E5CC0E7">
            <wp:simplePos x="0" y="0"/>
            <wp:positionH relativeFrom="column">
              <wp:posOffset>1233615</wp:posOffset>
            </wp:positionH>
            <wp:positionV relativeFrom="paragraph">
              <wp:posOffset>544</wp:posOffset>
            </wp:positionV>
            <wp:extent cx="2411730" cy="4013835"/>
            <wp:effectExtent l="0" t="0" r="7620" b="5715"/>
            <wp:wrapTight wrapText="bothSides">
              <wp:wrapPolygon edited="0">
                <wp:start x="0" y="0"/>
                <wp:lineTo x="0" y="21528"/>
                <wp:lineTo x="21498" y="21528"/>
                <wp:lineTo x="2149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4760" t="31314" r="57915" b="17408"/>
                    <a:stretch/>
                  </pic:blipFill>
                  <pic:spPr bwMode="auto">
                    <a:xfrm>
                      <a:off x="0" y="0"/>
                      <a:ext cx="2411730" cy="4013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276D9">
        <w:rPr>
          <w:sz w:val="24"/>
          <w:u w:val="single"/>
        </w:rPr>
        <w:t>Appendix 7:</w:t>
      </w:r>
    </w:p>
    <w:p w14:paraId="5A66FF38" w14:textId="2D8B953A" w:rsidR="001276D9" w:rsidRDefault="001276D9" w:rsidP="005F31A8">
      <w:pPr>
        <w:rPr>
          <w:noProof/>
        </w:rPr>
      </w:pPr>
    </w:p>
    <w:p w14:paraId="65ECD87F" w14:textId="4836336B" w:rsidR="00EB53DD" w:rsidRDefault="001276D9" w:rsidP="005F31A8">
      <w:pPr>
        <w:rPr>
          <w:sz w:val="24"/>
        </w:rPr>
      </w:pPr>
      <w:r w:rsidRPr="001276D9">
        <w:rPr>
          <w:noProof/>
        </w:rPr>
        <w:t xml:space="preserve"> </w:t>
      </w:r>
    </w:p>
    <w:p w14:paraId="3D7D87C4" w14:textId="5F63F002" w:rsidR="00EB53DD" w:rsidRDefault="00762DC7" w:rsidP="009055C1">
      <w:pPr>
        <w:ind w:left="1440"/>
        <w:rPr>
          <w:sz w:val="24"/>
        </w:rPr>
      </w:pPr>
      <w:r>
        <w:rPr>
          <w:sz w:val="24"/>
        </w:rPr>
        <w:t xml:space="preserve">                                                                                      </w:t>
      </w:r>
      <w:r w:rsidR="009055C1">
        <w:rPr>
          <w:sz w:val="24"/>
        </w:rPr>
        <w:t>A list displaying the f</w:t>
      </w:r>
      <w:r>
        <w:rPr>
          <w:sz w:val="24"/>
        </w:rPr>
        <w:t>ully Sharia</w:t>
      </w:r>
      <w:r w:rsidR="00D93EF6">
        <w:rPr>
          <w:sz w:val="24"/>
        </w:rPr>
        <w:t>-</w:t>
      </w:r>
      <w:r>
        <w:rPr>
          <w:sz w:val="24"/>
        </w:rPr>
        <w:t>compliant and conventional banks offering Islamic financial services in the UK</w:t>
      </w:r>
    </w:p>
    <w:p w14:paraId="6ABEEF8C" w14:textId="0878B71E" w:rsidR="00EB53DD" w:rsidRDefault="00EB53DD" w:rsidP="005F31A8">
      <w:pPr>
        <w:rPr>
          <w:sz w:val="24"/>
        </w:rPr>
      </w:pPr>
    </w:p>
    <w:p w14:paraId="147CC1BC" w14:textId="11210B9D" w:rsidR="00EB53DD" w:rsidRDefault="00EB53DD" w:rsidP="005F31A8">
      <w:pPr>
        <w:rPr>
          <w:sz w:val="24"/>
        </w:rPr>
      </w:pPr>
    </w:p>
    <w:p w14:paraId="3BC72FFF" w14:textId="638918AF" w:rsidR="00EB53DD" w:rsidRDefault="00EB53DD" w:rsidP="005F31A8">
      <w:pPr>
        <w:rPr>
          <w:sz w:val="24"/>
        </w:rPr>
      </w:pPr>
    </w:p>
    <w:p w14:paraId="1D84E39E" w14:textId="0E1CE969" w:rsidR="00EB53DD" w:rsidRDefault="00EB53DD" w:rsidP="005F31A8">
      <w:pPr>
        <w:rPr>
          <w:sz w:val="24"/>
        </w:rPr>
      </w:pPr>
    </w:p>
    <w:p w14:paraId="06331FCA" w14:textId="72573629" w:rsidR="00EB53DD" w:rsidRDefault="00EB53DD" w:rsidP="005F31A8">
      <w:pPr>
        <w:rPr>
          <w:sz w:val="24"/>
        </w:rPr>
      </w:pPr>
    </w:p>
    <w:p w14:paraId="16C5C26D" w14:textId="3BC08911" w:rsidR="00EB53DD" w:rsidRDefault="00EB53DD" w:rsidP="005F31A8">
      <w:pPr>
        <w:rPr>
          <w:sz w:val="24"/>
        </w:rPr>
      </w:pPr>
    </w:p>
    <w:p w14:paraId="6457373A" w14:textId="00EE950D" w:rsidR="00EB53DD" w:rsidRDefault="00EB53DD" w:rsidP="005F31A8">
      <w:pPr>
        <w:rPr>
          <w:sz w:val="24"/>
        </w:rPr>
      </w:pPr>
    </w:p>
    <w:p w14:paraId="2DB13F43" w14:textId="2561F0E4" w:rsidR="00EB53DD" w:rsidRDefault="00AE6EF5" w:rsidP="00D93EF6">
      <w:pPr>
        <w:rPr>
          <w:sz w:val="24"/>
        </w:rPr>
      </w:pPr>
      <w:sdt>
        <w:sdtPr>
          <w:rPr>
            <w:sz w:val="24"/>
          </w:rPr>
          <w:id w:val="-1267837816"/>
          <w:citation/>
        </w:sdtPr>
        <w:sdtEndPr/>
        <w:sdtContent>
          <w:r w:rsidR="00762DC7">
            <w:rPr>
              <w:sz w:val="24"/>
            </w:rPr>
            <w:fldChar w:fldCharType="begin"/>
          </w:r>
          <w:r w:rsidR="00762DC7">
            <w:rPr>
              <w:sz w:val="24"/>
            </w:rPr>
            <w:instrText xml:space="preserve"> CITATION Ord15 \l 2057 </w:instrText>
          </w:r>
          <w:r w:rsidR="00762DC7">
            <w:rPr>
              <w:sz w:val="24"/>
            </w:rPr>
            <w:fldChar w:fldCharType="separate"/>
          </w:r>
          <w:r w:rsidR="009055C1" w:rsidRPr="009055C1">
            <w:rPr>
              <w:noProof/>
              <w:sz w:val="24"/>
            </w:rPr>
            <w:t>(Ord-Smith, 2015)</w:t>
          </w:r>
          <w:r w:rsidR="00762DC7">
            <w:rPr>
              <w:sz w:val="24"/>
            </w:rPr>
            <w:fldChar w:fldCharType="end"/>
          </w:r>
        </w:sdtContent>
      </w:sdt>
    </w:p>
    <w:p w14:paraId="3A9A6045" w14:textId="36286A85" w:rsidR="00EB53DD" w:rsidRPr="001276D9" w:rsidRDefault="00D93EF6" w:rsidP="005F31A8">
      <w:pPr>
        <w:rPr>
          <w:sz w:val="24"/>
          <w:u w:val="single"/>
        </w:rPr>
      </w:pPr>
      <w:r>
        <w:rPr>
          <w:noProof/>
        </w:rPr>
        <w:drawing>
          <wp:anchor distT="0" distB="0" distL="114300" distR="114300" simplePos="0" relativeHeight="251670528" behindDoc="1" locked="0" layoutInCell="1" allowOverlap="1" wp14:anchorId="0F59F179" wp14:editId="46D70B02">
            <wp:simplePos x="0" y="0"/>
            <wp:positionH relativeFrom="margin">
              <wp:align>right</wp:align>
            </wp:positionH>
            <wp:positionV relativeFrom="paragraph">
              <wp:posOffset>203950</wp:posOffset>
            </wp:positionV>
            <wp:extent cx="5469890" cy="3204845"/>
            <wp:effectExtent l="0" t="0" r="0" b="0"/>
            <wp:wrapTight wrapText="bothSides">
              <wp:wrapPolygon edited="0">
                <wp:start x="0" y="0"/>
                <wp:lineTo x="0" y="21442"/>
                <wp:lineTo x="21515" y="21442"/>
                <wp:lineTo x="2151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800" t="39287" r="57914" b="19769"/>
                    <a:stretch/>
                  </pic:blipFill>
                  <pic:spPr bwMode="auto">
                    <a:xfrm>
                      <a:off x="0" y="0"/>
                      <a:ext cx="5469890" cy="3204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76D9" w:rsidRPr="001276D9">
        <w:rPr>
          <w:sz w:val="24"/>
          <w:u w:val="single"/>
        </w:rPr>
        <w:t>Appendix 8:</w:t>
      </w:r>
    </w:p>
    <w:p w14:paraId="4839457C" w14:textId="18AC9AA0" w:rsidR="001276D9" w:rsidRPr="00762DC7" w:rsidRDefault="00D93EF6" w:rsidP="005F31A8">
      <w:pPr>
        <w:rPr>
          <w:noProof/>
        </w:rPr>
      </w:pPr>
      <w:r>
        <w:rPr>
          <w:noProof/>
          <w:sz w:val="24"/>
          <w:szCs w:val="24"/>
        </w:rPr>
        <w:t>This appendix demonstrates the f</w:t>
      </w:r>
      <w:r w:rsidR="00762DC7" w:rsidRPr="00D93EF6">
        <w:rPr>
          <w:noProof/>
          <w:sz w:val="24"/>
          <w:szCs w:val="24"/>
        </w:rPr>
        <w:t xml:space="preserve">our key growth drivers of the global banking industry considered by </w:t>
      </w:r>
      <w:sdt>
        <w:sdtPr>
          <w:rPr>
            <w:sz w:val="24"/>
            <w:szCs w:val="24"/>
          </w:rPr>
          <w:id w:val="-1044678705"/>
          <w:citation/>
        </w:sdtPr>
        <w:sdtEndPr/>
        <w:sdtContent>
          <w:r w:rsidR="00762DC7" w:rsidRPr="00D93EF6">
            <w:rPr>
              <w:sz w:val="24"/>
              <w:szCs w:val="24"/>
            </w:rPr>
            <w:fldChar w:fldCharType="begin"/>
          </w:r>
          <w:r w:rsidR="00762DC7" w:rsidRPr="00D93EF6">
            <w:rPr>
              <w:sz w:val="24"/>
              <w:szCs w:val="24"/>
            </w:rPr>
            <w:instrText xml:space="preserve"> CITATION Kuw14 \l 2057 </w:instrText>
          </w:r>
          <w:r w:rsidR="00762DC7" w:rsidRPr="00D93EF6">
            <w:rPr>
              <w:sz w:val="24"/>
              <w:szCs w:val="24"/>
            </w:rPr>
            <w:fldChar w:fldCharType="separate"/>
          </w:r>
          <w:r w:rsidR="009055C1" w:rsidRPr="00D93EF6">
            <w:rPr>
              <w:noProof/>
              <w:sz w:val="24"/>
              <w:szCs w:val="24"/>
            </w:rPr>
            <w:t>(House, 2014)</w:t>
          </w:r>
          <w:r w:rsidR="00762DC7" w:rsidRPr="00D93EF6">
            <w:rPr>
              <w:sz w:val="24"/>
              <w:szCs w:val="24"/>
            </w:rPr>
            <w:fldChar w:fldCharType="end"/>
          </w:r>
        </w:sdtContent>
      </w:sdt>
      <w:r w:rsidR="00762DC7" w:rsidRPr="00D93EF6">
        <w:rPr>
          <w:sz w:val="24"/>
          <w:szCs w:val="24"/>
        </w:rPr>
        <w:t xml:space="preserve"> with the </w:t>
      </w:r>
      <w:r w:rsidR="00762DC7">
        <w:rPr>
          <w:sz w:val="24"/>
        </w:rPr>
        <w:t xml:space="preserve">“financial crisis adversely affecting the conventional banking systems” </w:t>
      </w:r>
      <w:r w:rsidR="00685BCD">
        <w:rPr>
          <w:sz w:val="24"/>
        </w:rPr>
        <w:t xml:space="preserve">picked up </w:t>
      </w:r>
      <w:r w:rsidR="00762DC7">
        <w:rPr>
          <w:sz w:val="24"/>
        </w:rPr>
        <w:t>as one of the main factors for the success of Islamic finance.</w:t>
      </w:r>
    </w:p>
    <w:sdt>
      <w:sdtPr>
        <w:rPr>
          <w:rFonts w:asciiTheme="minorHAnsi" w:eastAsiaTheme="minorHAnsi" w:hAnsiTheme="minorHAnsi" w:cstheme="minorBidi"/>
          <w:color w:val="auto"/>
          <w:sz w:val="22"/>
          <w:szCs w:val="22"/>
          <w:lang w:val="en-GB"/>
        </w:rPr>
        <w:id w:val="313927269"/>
        <w:docPartObj>
          <w:docPartGallery w:val="Bibliographies"/>
          <w:docPartUnique/>
        </w:docPartObj>
      </w:sdtPr>
      <w:sdtEndPr/>
      <w:sdtContent>
        <w:p w14:paraId="3E39ADB4" w14:textId="6C977474" w:rsidR="00EB53DD" w:rsidRDefault="00EB53DD">
          <w:pPr>
            <w:pStyle w:val="Heading1"/>
          </w:pPr>
          <w:r>
            <w:t>References</w:t>
          </w:r>
        </w:p>
        <w:sdt>
          <w:sdtPr>
            <w:id w:val="-573587230"/>
            <w:bibliography/>
          </w:sdtPr>
          <w:sdtEndPr/>
          <w:sdtContent>
            <w:p w14:paraId="3D99F567" w14:textId="77777777" w:rsidR="009055C1" w:rsidRDefault="00EB53DD" w:rsidP="009055C1">
              <w:pPr>
                <w:pStyle w:val="Bibliography"/>
                <w:rPr>
                  <w:noProof/>
                  <w:sz w:val="24"/>
                  <w:szCs w:val="24"/>
                  <w:lang w:val="en-US"/>
                </w:rPr>
              </w:pPr>
              <w:r w:rsidRPr="00A208DC">
                <w:fldChar w:fldCharType="begin"/>
              </w:r>
              <w:r w:rsidRPr="00A208DC">
                <w:instrText xml:space="preserve"> BIBLIOGRAPHY </w:instrText>
              </w:r>
              <w:r w:rsidRPr="00A208DC">
                <w:fldChar w:fldCharType="separate"/>
              </w:r>
              <w:r w:rsidR="009055C1">
                <w:rPr>
                  <w:noProof/>
                  <w:lang w:val="en-US"/>
                </w:rPr>
                <w:t xml:space="preserve">Abduh, M. &amp; Idrees, Y., 2013. </w:t>
              </w:r>
              <w:r w:rsidR="009055C1">
                <w:rPr>
                  <w:i/>
                  <w:iCs/>
                  <w:noProof/>
                  <w:lang w:val="en-US"/>
                </w:rPr>
                <w:t xml:space="preserve">Determinants of Islamic Banking Profitability in Malaysia. </w:t>
              </w:r>
              <w:r w:rsidR="009055C1">
                <w:rPr>
                  <w:noProof/>
                  <w:lang w:val="en-US"/>
                </w:rPr>
                <w:t xml:space="preserve">[Online] </w:t>
              </w:r>
              <w:r w:rsidR="009055C1">
                <w:rPr>
                  <w:noProof/>
                  <w:lang w:val="en-US"/>
                </w:rPr>
                <w:br/>
                <w:t xml:space="preserve">Available at: </w:t>
              </w:r>
              <w:r w:rsidR="009055C1">
                <w:rPr>
                  <w:noProof/>
                  <w:u w:val="single"/>
                  <w:lang w:val="en-US"/>
                </w:rPr>
                <w:t>http://www.academia.edu/8737586/Determinants_of_Islamic_Banking_Profitability_in_Malaysia</w:t>
              </w:r>
              <w:r w:rsidR="009055C1">
                <w:rPr>
                  <w:noProof/>
                  <w:lang w:val="en-US"/>
                </w:rPr>
                <w:br/>
                <w:t>[Accessed 03 December 2018].</w:t>
              </w:r>
            </w:p>
            <w:p w14:paraId="56684AC8" w14:textId="77777777" w:rsidR="009055C1" w:rsidRDefault="009055C1" w:rsidP="009055C1">
              <w:pPr>
                <w:pStyle w:val="Bibliography"/>
                <w:rPr>
                  <w:noProof/>
                  <w:lang w:val="en-US"/>
                </w:rPr>
              </w:pPr>
              <w:r>
                <w:rPr>
                  <w:noProof/>
                  <w:lang w:val="en-US"/>
                </w:rPr>
                <w:t xml:space="preserve">Ahmed, P., 2011. </w:t>
              </w:r>
              <w:r>
                <w:rPr>
                  <w:i/>
                  <w:iCs/>
                  <w:noProof/>
                  <w:lang w:val="en-US"/>
                </w:rPr>
                <w:t xml:space="preserve">The Current Economic Crisis - Is Islamic Finance a Solution?. </w:t>
              </w:r>
              <w:r>
                <w:rPr>
                  <w:noProof/>
                  <w:lang w:val="en-US"/>
                </w:rPr>
                <w:t xml:space="preserve">[Online] </w:t>
              </w:r>
              <w:r>
                <w:rPr>
                  <w:noProof/>
                  <w:lang w:val="en-US"/>
                </w:rPr>
                <w:br/>
                <w:t xml:space="preserve">Available at: </w:t>
              </w:r>
              <w:r>
                <w:rPr>
                  <w:noProof/>
                  <w:u w:val="single"/>
                  <w:lang w:val="en-US"/>
                </w:rPr>
                <w:t>https://www.huffingtonpost.com/parvez-ahmed/the-current-economic-cris_b_516965.html</w:t>
              </w:r>
              <w:r>
                <w:rPr>
                  <w:noProof/>
                  <w:lang w:val="en-US"/>
                </w:rPr>
                <w:br/>
                <w:t>[Accessed 04 December 2018].</w:t>
              </w:r>
            </w:p>
            <w:p w14:paraId="7A09B6BD" w14:textId="77777777" w:rsidR="009055C1" w:rsidRDefault="009055C1" w:rsidP="009055C1">
              <w:pPr>
                <w:pStyle w:val="Bibliography"/>
                <w:rPr>
                  <w:noProof/>
                  <w:lang w:val="en-US"/>
                </w:rPr>
              </w:pPr>
              <w:r>
                <w:rPr>
                  <w:noProof/>
                  <w:lang w:val="en-US"/>
                </w:rPr>
                <w:t xml:space="preserve">Amadeo , K., 2018. </w:t>
              </w:r>
              <w:r>
                <w:rPr>
                  <w:i/>
                  <w:iCs/>
                  <w:noProof/>
                  <w:lang w:val="en-US"/>
                </w:rPr>
                <w:t xml:space="preserve">What is the Business Cyle?. </w:t>
              </w:r>
              <w:r>
                <w:rPr>
                  <w:noProof/>
                  <w:lang w:val="en-US"/>
                </w:rPr>
                <w:t xml:space="preserve">[Online] </w:t>
              </w:r>
              <w:r>
                <w:rPr>
                  <w:noProof/>
                  <w:lang w:val="en-US"/>
                </w:rPr>
                <w:br/>
                <w:t xml:space="preserve">Available at: </w:t>
              </w:r>
              <w:r>
                <w:rPr>
                  <w:noProof/>
                  <w:u w:val="single"/>
                  <w:lang w:val="en-US"/>
                </w:rPr>
                <w:t>https://www.thebalance.com/what-is-the-business-cycle-3305912</w:t>
              </w:r>
              <w:r>
                <w:rPr>
                  <w:noProof/>
                  <w:lang w:val="en-US"/>
                </w:rPr>
                <w:br/>
                <w:t>[Accessed 03 December 2018].</w:t>
              </w:r>
            </w:p>
            <w:p w14:paraId="61B479ED" w14:textId="77777777" w:rsidR="009055C1" w:rsidRDefault="009055C1" w:rsidP="009055C1">
              <w:pPr>
                <w:pStyle w:val="Bibliography"/>
                <w:rPr>
                  <w:noProof/>
                  <w:lang w:val="en-US"/>
                </w:rPr>
              </w:pPr>
              <w:r>
                <w:rPr>
                  <w:noProof/>
                  <w:lang w:val="en-US"/>
                </w:rPr>
                <w:t xml:space="preserve">Amadeo, K., 2018. </w:t>
              </w:r>
              <w:r>
                <w:rPr>
                  <w:i/>
                  <w:iCs/>
                  <w:noProof/>
                  <w:lang w:val="en-US"/>
                </w:rPr>
                <w:t xml:space="preserve">What is the Ideal GDP Growth Rate?. </w:t>
              </w:r>
              <w:r>
                <w:rPr>
                  <w:noProof/>
                  <w:lang w:val="en-US"/>
                </w:rPr>
                <w:t xml:space="preserve">[Online] </w:t>
              </w:r>
              <w:r>
                <w:rPr>
                  <w:noProof/>
                  <w:lang w:val="en-US"/>
                </w:rPr>
                <w:br/>
                <w:t xml:space="preserve">Available at: </w:t>
              </w:r>
              <w:r>
                <w:rPr>
                  <w:noProof/>
                  <w:u w:val="single"/>
                  <w:lang w:val="en-US"/>
                </w:rPr>
                <w:t>https://www.thebalance.com/what-is-the-ideal-gdp-growth-rate-3306017</w:t>
              </w:r>
              <w:r>
                <w:rPr>
                  <w:noProof/>
                  <w:lang w:val="en-US"/>
                </w:rPr>
                <w:br/>
                <w:t>[Accessed 03 December 2018].</w:t>
              </w:r>
            </w:p>
            <w:p w14:paraId="63B6704F" w14:textId="77777777" w:rsidR="009055C1" w:rsidRDefault="009055C1" w:rsidP="009055C1">
              <w:pPr>
                <w:pStyle w:val="Bibliography"/>
                <w:rPr>
                  <w:noProof/>
                  <w:lang w:val="en-US"/>
                </w:rPr>
              </w:pPr>
              <w:r>
                <w:rPr>
                  <w:noProof/>
                  <w:lang w:val="en-US"/>
                </w:rPr>
                <w:t xml:space="preserve">Burns, A., 2018. </w:t>
              </w:r>
              <w:r>
                <w:rPr>
                  <w:i/>
                  <w:iCs/>
                  <w:noProof/>
                  <w:lang w:val="en-US"/>
                </w:rPr>
                <w:t xml:space="preserve">Week 6 Lecture 2 - Islamic Finance. </w:t>
              </w:r>
              <w:r>
                <w:rPr>
                  <w:noProof/>
                  <w:lang w:val="en-US"/>
                </w:rPr>
                <w:t>Wales: Moodle.</w:t>
              </w:r>
            </w:p>
            <w:p w14:paraId="68FF6029" w14:textId="77777777" w:rsidR="009055C1" w:rsidRDefault="009055C1" w:rsidP="009055C1">
              <w:pPr>
                <w:pStyle w:val="Bibliography"/>
                <w:rPr>
                  <w:noProof/>
                  <w:lang w:val="en-US"/>
                </w:rPr>
              </w:pPr>
              <w:r>
                <w:rPr>
                  <w:noProof/>
                  <w:lang w:val="en-US"/>
                </w:rPr>
                <w:t xml:space="preserve">Conversation, T., 2013. </w:t>
              </w:r>
              <w:r>
                <w:rPr>
                  <w:i/>
                  <w:iCs/>
                  <w:noProof/>
                  <w:lang w:val="en-US"/>
                </w:rPr>
                <w:t xml:space="preserve">Explainer: how does Islamic finance work?. </w:t>
              </w:r>
              <w:r>
                <w:rPr>
                  <w:noProof/>
                  <w:lang w:val="en-US"/>
                </w:rPr>
                <w:t xml:space="preserve">[Online] </w:t>
              </w:r>
              <w:r>
                <w:rPr>
                  <w:noProof/>
                  <w:lang w:val="en-US"/>
                </w:rPr>
                <w:br/>
                <w:t xml:space="preserve">Available at: </w:t>
              </w:r>
              <w:r>
                <w:rPr>
                  <w:noProof/>
                  <w:u w:val="single"/>
                  <w:lang w:val="en-US"/>
                </w:rPr>
                <w:t>http://theconversation.com/explainer-how-does-islamic-finance-work-19670</w:t>
              </w:r>
              <w:r>
                <w:rPr>
                  <w:noProof/>
                  <w:lang w:val="en-US"/>
                </w:rPr>
                <w:br/>
                <w:t>[Accessed 28 November 2018].</w:t>
              </w:r>
            </w:p>
            <w:p w14:paraId="28190074" w14:textId="77777777" w:rsidR="009055C1" w:rsidRDefault="009055C1" w:rsidP="009055C1">
              <w:pPr>
                <w:pStyle w:val="Bibliography"/>
                <w:rPr>
                  <w:noProof/>
                  <w:lang w:val="en-US"/>
                </w:rPr>
              </w:pPr>
              <w:r>
                <w:rPr>
                  <w:noProof/>
                  <w:lang w:val="en-US"/>
                </w:rPr>
                <w:t xml:space="preserve">Domat , C., 2018. </w:t>
              </w:r>
              <w:r>
                <w:rPr>
                  <w:i/>
                  <w:iCs/>
                  <w:noProof/>
                  <w:lang w:val="en-US"/>
                </w:rPr>
                <w:t xml:space="preserve">The first installment of a Global Finance FAQ web series on Islamic finance.. </w:t>
              </w:r>
              <w:r>
                <w:rPr>
                  <w:noProof/>
                  <w:lang w:val="en-US"/>
                </w:rPr>
                <w:t xml:space="preserve">[Online] </w:t>
              </w:r>
              <w:r>
                <w:rPr>
                  <w:noProof/>
                  <w:lang w:val="en-US"/>
                </w:rPr>
                <w:br/>
                <w:t xml:space="preserve">Available at: </w:t>
              </w:r>
              <w:r>
                <w:rPr>
                  <w:noProof/>
                  <w:u w:val="single"/>
                  <w:lang w:val="en-US"/>
                </w:rPr>
                <w:t>https://www.gfmag.com/topics/blogs/islamic-finance-faq-what-islamic-finance-and-how-does-it-work</w:t>
              </w:r>
              <w:r>
                <w:rPr>
                  <w:noProof/>
                  <w:lang w:val="en-US"/>
                </w:rPr>
                <w:br/>
                <w:t>[Accessed 28 November 2018].</w:t>
              </w:r>
            </w:p>
            <w:p w14:paraId="623329C5" w14:textId="77777777" w:rsidR="009055C1" w:rsidRDefault="009055C1" w:rsidP="009055C1">
              <w:pPr>
                <w:pStyle w:val="Bibliography"/>
                <w:rPr>
                  <w:noProof/>
                  <w:lang w:val="en-US"/>
                </w:rPr>
              </w:pPr>
              <w:r>
                <w:rPr>
                  <w:noProof/>
                  <w:lang w:val="en-US"/>
                </w:rPr>
                <w:t xml:space="preserve">Economics, T., 2018. </w:t>
              </w:r>
              <w:r>
                <w:rPr>
                  <w:i/>
                  <w:iCs/>
                  <w:noProof/>
                  <w:lang w:val="en-US"/>
                </w:rPr>
                <w:t xml:space="preserve">Malaysia GDP Annual Growth Rate. </w:t>
              </w:r>
              <w:r>
                <w:rPr>
                  <w:noProof/>
                  <w:lang w:val="en-US"/>
                </w:rPr>
                <w:t xml:space="preserve">[Online] </w:t>
              </w:r>
              <w:r>
                <w:rPr>
                  <w:noProof/>
                  <w:lang w:val="en-US"/>
                </w:rPr>
                <w:br/>
                <w:t xml:space="preserve">Available at: </w:t>
              </w:r>
              <w:r>
                <w:rPr>
                  <w:noProof/>
                  <w:u w:val="single"/>
                  <w:lang w:val="en-US"/>
                </w:rPr>
                <w:t>https://tradingeconomics.com/malaysia/gdp-growth-annual#calendar-table</w:t>
              </w:r>
              <w:r>
                <w:rPr>
                  <w:noProof/>
                  <w:lang w:val="en-US"/>
                </w:rPr>
                <w:br/>
                <w:t>[Accessed 03 December 2018].</w:t>
              </w:r>
            </w:p>
            <w:p w14:paraId="5FD65D48" w14:textId="77777777" w:rsidR="009055C1" w:rsidRDefault="009055C1" w:rsidP="009055C1">
              <w:pPr>
                <w:pStyle w:val="Bibliography"/>
                <w:rPr>
                  <w:noProof/>
                  <w:lang w:val="en-US"/>
                </w:rPr>
              </w:pPr>
              <w:r>
                <w:rPr>
                  <w:noProof/>
                  <w:lang w:val="en-US"/>
                </w:rPr>
                <w:t xml:space="preserve">Finance, W., 2012. </w:t>
              </w:r>
              <w:r>
                <w:rPr>
                  <w:i/>
                  <w:iCs/>
                  <w:noProof/>
                  <w:lang w:val="en-US"/>
                </w:rPr>
                <w:t xml:space="preserve">Global demand for Islamic Finance model. </w:t>
              </w:r>
              <w:r>
                <w:rPr>
                  <w:noProof/>
                  <w:lang w:val="en-US"/>
                </w:rPr>
                <w:t xml:space="preserve">[Online] </w:t>
              </w:r>
              <w:r>
                <w:rPr>
                  <w:noProof/>
                  <w:lang w:val="en-US"/>
                </w:rPr>
                <w:br/>
                <w:t xml:space="preserve">Available at: </w:t>
              </w:r>
              <w:r>
                <w:rPr>
                  <w:noProof/>
                  <w:u w:val="single"/>
                  <w:lang w:val="en-US"/>
                </w:rPr>
                <w:t>https://www.worldfinance.com/banking/islamic-banking/global-demand-for-islamic-finance-model</w:t>
              </w:r>
              <w:r>
                <w:rPr>
                  <w:noProof/>
                  <w:lang w:val="en-US"/>
                </w:rPr>
                <w:br/>
                <w:t>[Accessed 04 December 2018].</w:t>
              </w:r>
            </w:p>
            <w:p w14:paraId="3DC57084" w14:textId="77777777" w:rsidR="009055C1" w:rsidRDefault="009055C1" w:rsidP="009055C1">
              <w:pPr>
                <w:pStyle w:val="Bibliography"/>
                <w:rPr>
                  <w:noProof/>
                  <w:lang w:val="en-US"/>
                </w:rPr>
              </w:pPr>
              <w:r>
                <w:rPr>
                  <w:noProof/>
                  <w:lang w:val="en-US"/>
                </w:rPr>
                <w:t xml:space="preserve">Hall, C., 2012. </w:t>
              </w:r>
              <w:r>
                <w:rPr>
                  <w:i/>
                  <w:iCs/>
                  <w:noProof/>
                  <w:lang w:val="en-US"/>
                </w:rPr>
                <w:t xml:space="preserve">Islamic banking: Impressive growth underscores success. </w:t>
              </w:r>
              <w:r>
                <w:rPr>
                  <w:noProof/>
                  <w:lang w:val="en-US"/>
                </w:rPr>
                <w:t xml:space="preserve">[Online] </w:t>
              </w:r>
              <w:r>
                <w:rPr>
                  <w:noProof/>
                  <w:lang w:val="en-US"/>
                </w:rPr>
                <w:br/>
                <w:t xml:space="preserve">Available at: </w:t>
              </w:r>
              <w:r>
                <w:rPr>
                  <w:noProof/>
                  <w:u w:val="single"/>
                  <w:lang w:val="en-US"/>
                </w:rPr>
                <w:t>https://www.ft.com/content/09a99422-7291-11e1-9be9-00144feab49a</w:t>
              </w:r>
              <w:r>
                <w:rPr>
                  <w:noProof/>
                  <w:lang w:val="en-US"/>
                </w:rPr>
                <w:br/>
                <w:t>[Accessed 02 December 2018].</w:t>
              </w:r>
            </w:p>
            <w:p w14:paraId="5A7A5E3B" w14:textId="77777777" w:rsidR="009055C1" w:rsidRDefault="009055C1" w:rsidP="009055C1">
              <w:pPr>
                <w:pStyle w:val="Bibliography"/>
                <w:rPr>
                  <w:noProof/>
                  <w:lang w:val="en-US"/>
                </w:rPr>
              </w:pPr>
              <w:r>
                <w:rPr>
                  <w:noProof/>
                  <w:lang w:val="en-US"/>
                </w:rPr>
                <w:t xml:space="preserve">Hayat, U., 2016. </w:t>
              </w:r>
              <w:r>
                <w:rPr>
                  <w:i/>
                  <w:iCs/>
                  <w:noProof/>
                  <w:lang w:val="en-US"/>
                </w:rPr>
                <w:t xml:space="preserve">Is the Islamic Finance Industry a Success or Failure?. </w:t>
              </w:r>
              <w:r>
                <w:rPr>
                  <w:noProof/>
                  <w:lang w:val="en-US"/>
                </w:rPr>
                <w:t xml:space="preserve">[Online] </w:t>
              </w:r>
              <w:r>
                <w:rPr>
                  <w:noProof/>
                  <w:lang w:val="en-US"/>
                </w:rPr>
                <w:br/>
                <w:t xml:space="preserve">Available at: </w:t>
              </w:r>
              <w:r>
                <w:rPr>
                  <w:noProof/>
                  <w:u w:val="single"/>
                  <w:lang w:val="en-US"/>
                </w:rPr>
                <w:t>https://blogs.cfainstitute.org/investor/2015/02/18/is-the-islamic-finance-industry-a-success-or-failure/</w:t>
              </w:r>
              <w:r>
                <w:rPr>
                  <w:noProof/>
                  <w:lang w:val="en-US"/>
                </w:rPr>
                <w:br/>
                <w:t>[Accessed 02 December 2018].</w:t>
              </w:r>
            </w:p>
            <w:p w14:paraId="237DD4F4" w14:textId="77777777" w:rsidR="009055C1" w:rsidRDefault="009055C1" w:rsidP="009055C1">
              <w:pPr>
                <w:pStyle w:val="Bibliography"/>
                <w:rPr>
                  <w:noProof/>
                  <w:lang w:val="en-US"/>
                </w:rPr>
              </w:pPr>
              <w:r>
                <w:rPr>
                  <w:noProof/>
                  <w:lang w:val="en-US"/>
                </w:rPr>
                <w:t xml:space="preserve">House, K. F., 2014. </w:t>
              </w:r>
              <w:r>
                <w:rPr>
                  <w:i/>
                  <w:iCs/>
                  <w:noProof/>
                  <w:lang w:val="en-US"/>
                </w:rPr>
                <w:t xml:space="preserve">Islamic Finance Outlook 2014. </w:t>
              </w:r>
              <w:r>
                <w:rPr>
                  <w:noProof/>
                  <w:lang w:val="en-US"/>
                </w:rPr>
                <w:t xml:space="preserve">[Online] </w:t>
              </w:r>
              <w:r>
                <w:rPr>
                  <w:noProof/>
                  <w:lang w:val="en-US"/>
                </w:rPr>
                <w:br/>
                <w:t xml:space="preserve">Available at: </w:t>
              </w:r>
              <w:r>
                <w:rPr>
                  <w:noProof/>
                  <w:u w:val="single"/>
                  <w:lang w:val="en-US"/>
                </w:rPr>
                <w:t>http://www.mifc.com/index.php?ch=28&amp;pg=72&amp;ac=63&amp;bb=uploadpdf</w:t>
              </w:r>
              <w:r>
                <w:rPr>
                  <w:noProof/>
                  <w:lang w:val="en-US"/>
                </w:rPr>
                <w:br/>
                <w:t>[Accessed 07 December 2018].</w:t>
              </w:r>
            </w:p>
            <w:p w14:paraId="2D5F4E1D" w14:textId="77777777" w:rsidR="009055C1" w:rsidRDefault="009055C1" w:rsidP="009055C1">
              <w:pPr>
                <w:pStyle w:val="Bibliography"/>
                <w:rPr>
                  <w:noProof/>
                  <w:lang w:val="en-US"/>
                </w:rPr>
              </w:pPr>
              <w:r>
                <w:rPr>
                  <w:noProof/>
                  <w:lang w:val="en-US"/>
                </w:rPr>
                <w:lastRenderedPageBreak/>
                <w:t xml:space="preserve">Kettani, H., 2010. </w:t>
              </w:r>
              <w:r>
                <w:rPr>
                  <w:i/>
                  <w:iCs/>
                  <w:noProof/>
                  <w:lang w:val="en-US"/>
                </w:rPr>
                <w:t xml:space="preserve">Muslim Population in Africa: 1950 – 2020. </w:t>
              </w:r>
              <w:r>
                <w:rPr>
                  <w:noProof/>
                  <w:lang w:val="en-US"/>
                </w:rPr>
                <w:t xml:space="preserve">[Online] </w:t>
              </w:r>
              <w:r>
                <w:rPr>
                  <w:noProof/>
                  <w:lang w:val="en-US"/>
                </w:rPr>
                <w:br/>
                <w:t xml:space="preserve">Available at: </w:t>
              </w:r>
              <w:r>
                <w:rPr>
                  <w:noProof/>
                  <w:u w:val="single"/>
                  <w:lang w:val="en-US"/>
                </w:rPr>
                <w:t>http://www.ijesd.org/papers/27-D436.pdf</w:t>
              </w:r>
              <w:r>
                <w:rPr>
                  <w:noProof/>
                  <w:lang w:val="en-US"/>
                </w:rPr>
                <w:br/>
                <w:t>[Accessed 03 December 2018].</w:t>
              </w:r>
            </w:p>
            <w:p w14:paraId="3C446E3A" w14:textId="77777777" w:rsidR="009055C1" w:rsidRDefault="009055C1" w:rsidP="009055C1">
              <w:pPr>
                <w:pStyle w:val="Bibliography"/>
                <w:rPr>
                  <w:noProof/>
                  <w:lang w:val="en-US"/>
                </w:rPr>
              </w:pPr>
              <w:r>
                <w:rPr>
                  <w:noProof/>
                  <w:lang w:val="en-US"/>
                </w:rPr>
                <w:t xml:space="preserve">Khan, M. &amp; Bhatti, I., 2008. Islamic banking and finance: on its way to globalization. </w:t>
              </w:r>
              <w:r>
                <w:rPr>
                  <w:i/>
                  <w:iCs/>
                  <w:noProof/>
                  <w:lang w:val="en-US"/>
                </w:rPr>
                <w:t xml:space="preserve">Emerald Insight, </w:t>
              </w:r>
              <w:r>
                <w:rPr>
                  <w:noProof/>
                  <w:lang w:val="en-US"/>
                </w:rPr>
                <w:t>34(10), pp. 708-725.</w:t>
              </w:r>
            </w:p>
            <w:p w14:paraId="284569AF" w14:textId="77777777" w:rsidR="009055C1" w:rsidRDefault="009055C1" w:rsidP="009055C1">
              <w:pPr>
                <w:pStyle w:val="Bibliography"/>
                <w:rPr>
                  <w:noProof/>
                  <w:lang w:val="en-US"/>
                </w:rPr>
              </w:pPr>
              <w:r>
                <w:rPr>
                  <w:noProof/>
                  <w:lang w:val="en-US"/>
                </w:rPr>
                <w:t xml:space="preserve">King, J., 2015. </w:t>
              </w:r>
              <w:r>
                <w:rPr>
                  <w:i/>
                  <w:iCs/>
                  <w:noProof/>
                  <w:lang w:val="en-US"/>
                </w:rPr>
                <w:t xml:space="preserve">Malaysia's recipe for Islamic finance success. </w:t>
              </w:r>
              <w:r>
                <w:rPr>
                  <w:noProof/>
                  <w:lang w:val="en-US"/>
                </w:rPr>
                <w:t xml:space="preserve">[Online] </w:t>
              </w:r>
              <w:r>
                <w:rPr>
                  <w:noProof/>
                  <w:lang w:val="en-US"/>
                </w:rPr>
                <w:br/>
                <w:t xml:space="preserve">Available at: </w:t>
              </w:r>
              <w:r>
                <w:rPr>
                  <w:noProof/>
                  <w:u w:val="single"/>
                  <w:lang w:val="en-US"/>
                </w:rPr>
                <w:t>https://www.thebanker.com/Markets/Islamic-Finance/Malaysia-s-recipe-for-Islamic-finance-success</w:t>
              </w:r>
              <w:r>
                <w:rPr>
                  <w:noProof/>
                  <w:lang w:val="en-US"/>
                </w:rPr>
                <w:br/>
                <w:t>[Accessed 03 December 2018].</w:t>
              </w:r>
            </w:p>
            <w:p w14:paraId="09F42469" w14:textId="77777777" w:rsidR="009055C1" w:rsidRDefault="009055C1" w:rsidP="009055C1">
              <w:pPr>
                <w:pStyle w:val="Bibliography"/>
                <w:rPr>
                  <w:noProof/>
                  <w:lang w:val="en-US"/>
                </w:rPr>
              </w:pPr>
              <w:r>
                <w:rPr>
                  <w:noProof/>
                  <w:lang w:val="en-US"/>
                </w:rPr>
                <w:t xml:space="preserve">Kwakwa, V., 2017. </w:t>
              </w:r>
              <w:r>
                <w:rPr>
                  <w:i/>
                  <w:iCs/>
                  <w:noProof/>
                  <w:lang w:val="en-US"/>
                </w:rPr>
                <w:t xml:space="preserve">How Islamic finance is helping fuel Malaysia’s green growth. </w:t>
              </w:r>
              <w:r>
                <w:rPr>
                  <w:noProof/>
                  <w:lang w:val="en-US"/>
                </w:rPr>
                <w:t xml:space="preserve">[Online] </w:t>
              </w:r>
              <w:r>
                <w:rPr>
                  <w:noProof/>
                  <w:lang w:val="en-US"/>
                </w:rPr>
                <w:br/>
                <w:t xml:space="preserve">Available at: </w:t>
              </w:r>
              <w:r>
                <w:rPr>
                  <w:noProof/>
                  <w:u w:val="single"/>
                  <w:lang w:val="en-US"/>
                </w:rPr>
                <w:t>https://www.scmp.com/comment/insight-opinion/article/2110938/how-islamic-finance-helping-fuel-malaysias-green-growth</w:t>
              </w:r>
              <w:r>
                <w:rPr>
                  <w:noProof/>
                  <w:lang w:val="en-US"/>
                </w:rPr>
                <w:br/>
                <w:t>[Accessed 04 December 2018].</w:t>
              </w:r>
            </w:p>
            <w:p w14:paraId="76258EB5" w14:textId="77777777" w:rsidR="009055C1" w:rsidRDefault="009055C1" w:rsidP="009055C1">
              <w:pPr>
                <w:pStyle w:val="Bibliography"/>
                <w:rPr>
                  <w:noProof/>
                  <w:lang w:val="en-US"/>
                </w:rPr>
              </w:pPr>
              <w:r>
                <w:rPr>
                  <w:noProof/>
                  <w:lang w:val="en-US"/>
                </w:rPr>
                <w:t xml:space="preserve">Laldin, M. A., 2018. </w:t>
              </w:r>
              <w:r>
                <w:rPr>
                  <w:i/>
                  <w:iCs/>
                  <w:noProof/>
                  <w:lang w:val="en-US"/>
                </w:rPr>
                <w:t xml:space="preserve">Duties and Responsibilities of Shari’ah Boards from a Legal and Regulatory Perspective. </w:t>
              </w:r>
              <w:r>
                <w:rPr>
                  <w:noProof/>
                  <w:lang w:val="en-US"/>
                </w:rPr>
                <w:t xml:space="preserve">[Online] </w:t>
              </w:r>
              <w:r>
                <w:rPr>
                  <w:noProof/>
                  <w:lang w:val="en-US"/>
                </w:rPr>
                <w:br/>
                <w:t xml:space="preserve">Available at: </w:t>
              </w:r>
              <w:r>
                <w:rPr>
                  <w:noProof/>
                  <w:u w:val="single"/>
                  <w:lang w:val="en-US"/>
                </w:rPr>
                <w:t>http://www.amanieacademy.com/articles/item/duties-and-responsibilities-of-shari-ah-boards-from-a-legal-and-regulatory-perspective</w:t>
              </w:r>
              <w:r>
                <w:rPr>
                  <w:noProof/>
                  <w:lang w:val="en-US"/>
                </w:rPr>
                <w:br/>
                <w:t>[Accessed 29 November 2018].</w:t>
              </w:r>
            </w:p>
            <w:p w14:paraId="19E0A94C" w14:textId="77777777" w:rsidR="009055C1" w:rsidRDefault="009055C1" w:rsidP="009055C1">
              <w:pPr>
                <w:pStyle w:val="Bibliography"/>
                <w:rPr>
                  <w:noProof/>
                  <w:lang w:val="en-US"/>
                </w:rPr>
              </w:pPr>
              <w:r>
                <w:rPr>
                  <w:noProof/>
                  <w:lang w:val="en-US"/>
                </w:rPr>
                <w:t xml:space="preserve">Mosaid, F. E. &amp; Boutti, R., 2014. Sukuk and Bond Performance in Malaysia. </w:t>
              </w:r>
              <w:r>
                <w:rPr>
                  <w:i/>
                  <w:iCs/>
                  <w:noProof/>
                  <w:lang w:val="en-US"/>
                </w:rPr>
                <w:t xml:space="preserve">International Journal of Economic and Finance, </w:t>
              </w:r>
              <w:r>
                <w:rPr>
                  <w:noProof/>
                  <w:lang w:val="en-US"/>
                </w:rPr>
                <w:t>6(2), p. 227.</w:t>
              </w:r>
            </w:p>
            <w:p w14:paraId="5ACB7FAE" w14:textId="77777777" w:rsidR="009055C1" w:rsidRDefault="009055C1" w:rsidP="009055C1">
              <w:pPr>
                <w:pStyle w:val="Bibliography"/>
                <w:rPr>
                  <w:noProof/>
                  <w:lang w:val="en-US"/>
                </w:rPr>
              </w:pPr>
              <w:r>
                <w:rPr>
                  <w:noProof/>
                  <w:lang w:val="en-US"/>
                </w:rPr>
                <w:t xml:space="preserve">Moussa, F. B. &amp; Boukhatem, J., 2018. The effect of Islamic banks on GDP growth: Some evidence from selected MENA countries. </w:t>
              </w:r>
              <w:r>
                <w:rPr>
                  <w:i/>
                  <w:iCs/>
                  <w:noProof/>
                  <w:lang w:val="en-US"/>
                </w:rPr>
                <w:t xml:space="preserve">Borsa Istanbul Review, </w:t>
              </w:r>
              <w:r>
                <w:rPr>
                  <w:noProof/>
                  <w:lang w:val="en-US"/>
                </w:rPr>
                <w:t>18(3), pp. 231-247.</w:t>
              </w:r>
            </w:p>
            <w:p w14:paraId="4BEE2375" w14:textId="77777777" w:rsidR="009055C1" w:rsidRDefault="009055C1" w:rsidP="009055C1">
              <w:pPr>
                <w:pStyle w:val="Bibliography"/>
                <w:rPr>
                  <w:noProof/>
                  <w:lang w:val="en-US"/>
                </w:rPr>
              </w:pPr>
              <w:r>
                <w:rPr>
                  <w:noProof/>
                  <w:lang w:val="en-US"/>
                </w:rPr>
                <w:t xml:space="preserve">Ord-Smith, R., 2015. </w:t>
              </w:r>
              <w:r>
                <w:rPr>
                  <w:i/>
                  <w:iCs/>
                  <w:noProof/>
                  <w:lang w:val="en-US"/>
                </w:rPr>
                <w:t xml:space="preserve">Islamic Finance in the UK.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https://assets.publishing.service.gov.uk/government/uploads/system/uploads/attachment_data/file/503491/2015047_Is_Fin_A5_AW_ENG_WEB.pdf</w:t>
              </w:r>
              <w:r>
                <w:rPr>
                  <w:noProof/>
                  <w:lang w:val="en-US"/>
                </w:rPr>
                <w:br/>
                <w:t>[Accessed 07 December 2018].</w:t>
              </w:r>
            </w:p>
            <w:p w14:paraId="09D312E7" w14:textId="77777777" w:rsidR="009055C1" w:rsidRDefault="009055C1" w:rsidP="009055C1">
              <w:pPr>
                <w:pStyle w:val="Bibliography"/>
                <w:rPr>
                  <w:noProof/>
                  <w:lang w:val="en-US"/>
                </w:rPr>
              </w:pPr>
              <w:r>
                <w:rPr>
                  <w:noProof/>
                  <w:lang w:val="en-US"/>
                </w:rPr>
                <w:t xml:space="preserve">Powell, A., 2018. </w:t>
              </w:r>
              <w:r>
                <w:rPr>
                  <w:i/>
                  <w:iCs/>
                  <w:noProof/>
                  <w:lang w:val="en-US"/>
                </w:rPr>
                <w:t xml:space="preserve">Islamic Banking Grows in Africa Amid Booming Muslim Population. </w:t>
              </w:r>
              <w:r>
                <w:rPr>
                  <w:noProof/>
                  <w:lang w:val="en-US"/>
                </w:rPr>
                <w:t xml:space="preserve">[Online] </w:t>
              </w:r>
              <w:r>
                <w:rPr>
                  <w:noProof/>
                  <w:lang w:val="en-US"/>
                </w:rPr>
                <w:br/>
                <w:t xml:space="preserve">Available at: </w:t>
              </w:r>
              <w:r>
                <w:rPr>
                  <w:noProof/>
                  <w:u w:val="single"/>
                  <w:lang w:val="en-US"/>
                </w:rPr>
                <w:t>https://www.voanews.com/a/4626914.html</w:t>
              </w:r>
              <w:r>
                <w:rPr>
                  <w:noProof/>
                  <w:lang w:val="en-US"/>
                </w:rPr>
                <w:br/>
                <w:t>[Accessed 02 December 2018].</w:t>
              </w:r>
            </w:p>
            <w:p w14:paraId="0188E1C4" w14:textId="77777777" w:rsidR="009055C1" w:rsidRDefault="009055C1" w:rsidP="009055C1">
              <w:pPr>
                <w:pStyle w:val="Bibliography"/>
                <w:rPr>
                  <w:noProof/>
                  <w:lang w:val="en-US"/>
                </w:rPr>
              </w:pPr>
              <w:r>
                <w:rPr>
                  <w:noProof/>
                  <w:lang w:val="en-US"/>
                </w:rPr>
                <w:t xml:space="preserve">Tutton, M., 2009. </w:t>
              </w:r>
              <w:r>
                <w:rPr>
                  <w:i/>
                  <w:iCs/>
                  <w:noProof/>
                  <w:lang w:val="en-US"/>
                </w:rPr>
                <w:t xml:space="preserve">Recession sparks interest in Islamic finance. </w:t>
              </w:r>
              <w:r>
                <w:rPr>
                  <w:noProof/>
                  <w:lang w:val="en-US"/>
                </w:rPr>
                <w:t xml:space="preserve">[Online] </w:t>
              </w:r>
              <w:r>
                <w:rPr>
                  <w:noProof/>
                  <w:lang w:val="en-US"/>
                </w:rPr>
                <w:br/>
                <w:t xml:space="preserve">Available at: </w:t>
              </w:r>
              <w:r>
                <w:rPr>
                  <w:noProof/>
                  <w:u w:val="single"/>
                  <w:lang w:val="en-US"/>
                </w:rPr>
                <w:t>http://edition.cnn.com/2009/BUSINESS/08/25/islamic.finance/index.html</w:t>
              </w:r>
              <w:r>
                <w:rPr>
                  <w:noProof/>
                  <w:lang w:val="en-US"/>
                </w:rPr>
                <w:br/>
                <w:t>[Accessed 03 December 2018].</w:t>
              </w:r>
            </w:p>
            <w:p w14:paraId="7B49D85E" w14:textId="77777777" w:rsidR="009055C1" w:rsidRDefault="009055C1" w:rsidP="009055C1">
              <w:pPr>
                <w:pStyle w:val="Bibliography"/>
                <w:rPr>
                  <w:noProof/>
                  <w:lang w:val="en-US"/>
                </w:rPr>
              </w:pPr>
              <w:r>
                <w:rPr>
                  <w:noProof/>
                  <w:lang w:val="en-US"/>
                </w:rPr>
                <w:t xml:space="preserve">Warwick-Ching, L., 2010. </w:t>
              </w:r>
              <w:r>
                <w:rPr>
                  <w:i/>
                  <w:iCs/>
                  <w:noProof/>
                  <w:lang w:val="en-US"/>
                </w:rPr>
                <w:t xml:space="preserve">Beginners' Guide to Islamic Finance. </w:t>
              </w:r>
              <w:r>
                <w:rPr>
                  <w:noProof/>
                  <w:lang w:val="en-US"/>
                </w:rPr>
                <w:t xml:space="preserve">[Online] </w:t>
              </w:r>
              <w:r>
                <w:rPr>
                  <w:noProof/>
                  <w:lang w:val="en-US"/>
                </w:rPr>
                <w:br/>
                <w:t xml:space="preserve">Available at: </w:t>
              </w:r>
              <w:r>
                <w:rPr>
                  <w:noProof/>
                  <w:u w:val="single"/>
                  <w:lang w:val="en-US"/>
                </w:rPr>
                <w:t>https://www.ft.com/content/8c9bc2fc-8845-11df-a4e7-00144feabdc0</w:t>
              </w:r>
              <w:r>
                <w:rPr>
                  <w:noProof/>
                  <w:lang w:val="en-US"/>
                </w:rPr>
                <w:br/>
                <w:t>[Accessed 28 November 2018].</w:t>
              </w:r>
            </w:p>
            <w:p w14:paraId="528F2FF7" w14:textId="50E9A73C" w:rsidR="00685BCD" w:rsidRPr="00685BCD" w:rsidRDefault="00EB53DD" w:rsidP="009055C1">
              <w:r w:rsidRPr="00A208DC">
                <w:rPr>
                  <w:b/>
                  <w:bCs/>
                  <w:noProof/>
                </w:rPr>
                <w:fldChar w:fldCharType="end"/>
              </w:r>
            </w:p>
          </w:sdtContent>
        </w:sdt>
      </w:sdtContent>
    </w:sdt>
    <w:sectPr w:rsidR="00685BCD" w:rsidRPr="00685BCD" w:rsidSect="00AE5416">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79DB6" w14:textId="77777777" w:rsidR="00AE6EF5" w:rsidRDefault="00AE6EF5" w:rsidP="0009654B">
      <w:pPr>
        <w:spacing w:after="0" w:line="240" w:lineRule="auto"/>
      </w:pPr>
      <w:r>
        <w:separator/>
      </w:r>
    </w:p>
  </w:endnote>
  <w:endnote w:type="continuationSeparator" w:id="0">
    <w:p w14:paraId="5765BDCB" w14:textId="77777777" w:rsidR="00AE6EF5" w:rsidRDefault="00AE6EF5" w:rsidP="00096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8"/>
      </w:rPr>
      <w:id w:val="925998146"/>
      <w:docPartObj>
        <w:docPartGallery w:val="Page Numbers (Bottom of Page)"/>
        <w:docPartUnique/>
      </w:docPartObj>
    </w:sdtPr>
    <w:sdtEndPr>
      <w:rPr>
        <w:noProof/>
        <w:sz w:val="24"/>
      </w:rPr>
    </w:sdtEndPr>
    <w:sdtContent>
      <w:p w14:paraId="0EAE1E10" w14:textId="20709F37" w:rsidR="0093163F" w:rsidRPr="0093163F" w:rsidRDefault="0093163F">
        <w:pPr>
          <w:pStyle w:val="Footer"/>
          <w:jc w:val="right"/>
          <w:rPr>
            <w:sz w:val="28"/>
          </w:rPr>
        </w:pPr>
        <w:r w:rsidRPr="0093163F">
          <w:rPr>
            <w:sz w:val="28"/>
          </w:rPr>
          <w:fldChar w:fldCharType="begin"/>
        </w:r>
        <w:r w:rsidRPr="0093163F">
          <w:rPr>
            <w:sz w:val="28"/>
          </w:rPr>
          <w:instrText xml:space="preserve"> PAGE   \* MERGEFORMAT </w:instrText>
        </w:r>
        <w:r w:rsidRPr="0093163F">
          <w:rPr>
            <w:sz w:val="28"/>
          </w:rPr>
          <w:fldChar w:fldCharType="separate"/>
        </w:r>
        <w:r w:rsidRPr="0093163F">
          <w:rPr>
            <w:noProof/>
            <w:sz w:val="28"/>
          </w:rPr>
          <w:t>2</w:t>
        </w:r>
        <w:r w:rsidRPr="0093163F">
          <w:rPr>
            <w:noProof/>
            <w:sz w:val="28"/>
          </w:rPr>
          <w:fldChar w:fldCharType="end"/>
        </w:r>
      </w:p>
    </w:sdtContent>
  </w:sdt>
  <w:p w14:paraId="2AD5B798" w14:textId="77777777" w:rsidR="0093163F" w:rsidRDefault="00931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844F8" w14:textId="77777777" w:rsidR="00AE6EF5" w:rsidRDefault="00AE6EF5" w:rsidP="0009654B">
      <w:pPr>
        <w:spacing w:after="0" w:line="240" w:lineRule="auto"/>
      </w:pPr>
      <w:r>
        <w:separator/>
      </w:r>
    </w:p>
  </w:footnote>
  <w:footnote w:type="continuationSeparator" w:id="0">
    <w:p w14:paraId="628E03B4" w14:textId="77777777" w:rsidR="00AE6EF5" w:rsidRDefault="00AE6EF5" w:rsidP="0009654B">
      <w:pPr>
        <w:spacing w:after="0" w:line="240" w:lineRule="auto"/>
      </w:pPr>
      <w:r>
        <w:continuationSeparator/>
      </w:r>
    </w:p>
  </w:footnote>
  <w:footnote w:id="1">
    <w:p w14:paraId="08E8FC6D" w14:textId="151FE326" w:rsidR="00715523" w:rsidRDefault="00715523">
      <w:pPr>
        <w:pStyle w:val="FootnoteText"/>
      </w:pPr>
      <w:r>
        <w:rPr>
          <w:rStyle w:val="FootnoteReference"/>
        </w:rPr>
        <w:footnoteRef/>
      </w:r>
      <w:r>
        <w:t xml:space="preserve"> Islamic Financial Services Industry</w:t>
      </w:r>
    </w:p>
  </w:footnote>
  <w:footnote w:id="2">
    <w:p w14:paraId="7FA373F3" w14:textId="16C313A9" w:rsidR="00CF5EB2" w:rsidRDefault="00CF5EB2">
      <w:pPr>
        <w:pStyle w:val="FootnoteText"/>
      </w:pPr>
      <w:r>
        <w:rPr>
          <w:rStyle w:val="FootnoteReference"/>
        </w:rPr>
        <w:footnoteRef/>
      </w:r>
      <w:r>
        <w:t xml:space="preserve"> Qatar International Islamic Bank’s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26F08"/>
    <w:multiLevelType w:val="hybridMultilevel"/>
    <w:tmpl w:val="A9D4D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01555F"/>
    <w:multiLevelType w:val="hybridMultilevel"/>
    <w:tmpl w:val="C9488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9B6129"/>
    <w:multiLevelType w:val="hybridMultilevel"/>
    <w:tmpl w:val="219CEA22"/>
    <w:lvl w:ilvl="0" w:tplc="90688A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245061"/>
    <w:multiLevelType w:val="hybridMultilevel"/>
    <w:tmpl w:val="AB2A1E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416"/>
    <w:rsid w:val="00004853"/>
    <w:rsid w:val="00046C73"/>
    <w:rsid w:val="000958B8"/>
    <w:rsid w:val="0009654B"/>
    <w:rsid w:val="000D1E48"/>
    <w:rsid w:val="000E2913"/>
    <w:rsid w:val="00104694"/>
    <w:rsid w:val="00113382"/>
    <w:rsid w:val="001276D9"/>
    <w:rsid w:val="001351F2"/>
    <w:rsid w:val="001359B4"/>
    <w:rsid w:val="001629A5"/>
    <w:rsid w:val="00190FE4"/>
    <w:rsid w:val="00193DA1"/>
    <w:rsid w:val="001B1EA1"/>
    <w:rsid w:val="001C2D6B"/>
    <w:rsid w:val="001F11B1"/>
    <w:rsid w:val="00200CD6"/>
    <w:rsid w:val="00220E7B"/>
    <w:rsid w:val="00223406"/>
    <w:rsid w:val="00234714"/>
    <w:rsid w:val="00234EAA"/>
    <w:rsid w:val="00262DBF"/>
    <w:rsid w:val="002779A7"/>
    <w:rsid w:val="00284A12"/>
    <w:rsid w:val="0029522F"/>
    <w:rsid w:val="002B1DF8"/>
    <w:rsid w:val="002C7CC2"/>
    <w:rsid w:val="002E36B4"/>
    <w:rsid w:val="002E5F79"/>
    <w:rsid w:val="00306453"/>
    <w:rsid w:val="00321C3A"/>
    <w:rsid w:val="0033022C"/>
    <w:rsid w:val="003565B9"/>
    <w:rsid w:val="003655FF"/>
    <w:rsid w:val="00391B95"/>
    <w:rsid w:val="003C03D4"/>
    <w:rsid w:val="00446661"/>
    <w:rsid w:val="004B3BB0"/>
    <w:rsid w:val="004C0A2D"/>
    <w:rsid w:val="004C4313"/>
    <w:rsid w:val="00547EBF"/>
    <w:rsid w:val="00557305"/>
    <w:rsid w:val="005B381C"/>
    <w:rsid w:val="005C43F7"/>
    <w:rsid w:val="005D28A0"/>
    <w:rsid w:val="005E7FE3"/>
    <w:rsid w:val="005F31A8"/>
    <w:rsid w:val="005F7F3A"/>
    <w:rsid w:val="0060150C"/>
    <w:rsid w:val="006018FE"/>
    <w:rsid w:val="00683F78"/>
    <w:rsid w:val="00685BCD"/>
    <w:rsid w:val="00692E29"/>
    <w:rsid w:val="006B6DB0"/>
    <w:rsid w:val="006C1EB9"/>
    <w:rsid w:val="006C68E6"/>
    <w:rsid w:val="006C6E11"/>
    <w:rsid w:val="006D3B90"/>
    <w:rsid w:val="00715523"/>
    <w:rsid w:val="0072343C"/>
    <w:rsid w:val="0072490E"/>
    <w:rsid w:val="00740503"/>
    <w:rsid w:val="007560FE"/>
    <w:rsid w:val="00762DC7"/>
    <w:rsid w:val="00767AF3"/>
    <w:rsid w:val="007871D4"/>
    <w:rsid w:val="007B5635"/>
    <w:rsid w:val="007C4DD3"/>
    <w:rsid w:val="007C756D"/>
    <w:rsid w:val="0082607A"/>
    <w:rsid w:val="00877D07"/>
    <w:rsid w:val="00893D9E"/>
    <w:rsid w:val="008B5C1B"/>
    <w:rsid w:val="008B66E1"/>
    <w:rsid w:val="008C506B"/>
    <w:rsid w:val="008E67EF"/>
    <w:rsid w:val="009055C1"/>
    <w:rsid w:val="0093163F"/>
    <w:rsid w:val="00941C63"/>
    <w:rsid w:val="009500CE"/>
    <w:rsid w:val="00967AE4"/>
    <w:rsid w:val="0098439E"/>
    <w:rsid w:val="00995F52"/>
    <w:rsid w:val="009C3DEC"/>
    <w:rsid w:val="009D3B5F"/>
    <w:rsid w:val="009D5265"/>
    <w:rsid w:val="00A044EB"/>
    <w:rsid w:val="00A058C8"/>
    <w:rsid w:val="00A1622B"/>
    <w:rsid w:val="00A208DC"/>
    <w:rsid w:val="00A40F20"/>
    <w:rsid w:val="00A62189"/>
    <w:rsid w:val="00A678CC"/>
    <w:rsid w:val="00A90795"/>
    <w:rsid w:val="00AE5416"/>
    <w:rsid w:val="00AE6CC3"/>
    <w:rsid w:val="00AE6EF5"/>
    <w:rsid w:val="00B14B4F"/>
    <w:rsid w:val="00B325F5"/>
    <w:rsid w:val="00B53481"/>
    <w:rsid w:val="00B819BA"/>
    <w:rsid w:val="00BA2C66"/>
    <w:rsid w:val="00BA665A"/>
    <w:rsid w:val="00BB56D7"/>
    <w:rsid w:val="00BC3C55"/>
    <w:rsid w:val="00BD0010"/>
    <w:rsid w:val="00BD4651"/>
    <w:rsid w:val="00BD484D"/>
    <w:rsid w:val="00C12819"/>
    <w:rsid w:val="00C1414D"/>
    <w:rsid w:val="00C4751E"/>
    <w:rsid w:val="00C60478"/>
    <w:rsid w:val="00C82541"/>
    <w:rsid w:val="00C93357"/>
    <w:rsid w:val="00C96955"/>
    <w:rsid w:val="00CC0533"/>
    <w:rsid w:val="00CD1332"/>
    <w:rsid w:val="00CF5EB2"/>
    <w:rsid w:val="00CF78E5"/>
    <w:rsid w:val="00D176BC"/>
    <w:rsid w:val="00D23FA8"/>
    <w:rsid w:val="00D2765F"/>
    <w:rsid w:val="00D50435"/>
    <w:rsid w:val="00D74899"/>
    <w:rsid w:val="00D93EF6"/>
    <w:rsid w:val="00DD620C"/>
    <w:rsid w:val="00DF6F7B"/>
    <w:rsid w:val="00E46DC9"/>
    <w:rsid w:val="00E47B62"/>
    <w:rsid w:val="00E56F3F"/>
    <w:rsid w:val="00E71004"/>
    <w:rsid w:val="00E74B17"/>
    <w:rsid w:val="00EA1FDF"/>
    <w:rsid w:val="00EA6999"/>
    <w:rsid w:val="00EB53DD"/>
    <w:rsid w:val="00EC3A3F"/>
    <w:rsid w:val="00EC4CD0"/>
    <w:rsid w:val="00F450E2"/>
    <w:rsid w:val="00FA5D93"/>
    <w:rsid w:val="00FC0794"/>
    <w:rsid w:val="00FE3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59FCF"/>
  <w15:chartTrackingRefBased/>
  <w15:docId w15:val="{D16E814E-47B3-4435-BCC9-86444D402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3D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541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5416"/>
    <w:rPr>
      <w:rFonts w:eastAsiaTheme="minorEastAsia"/>
      <w:lang w:val="en-US"/>
    </w:rPr>
  </w:style>
  <w:style w:type="paragraph" w:styleId="ListParagraph">
    <w:name w:val="List Paragraph"/>
    <w:basedOn w:val="Normal"/>
    <w:uiPriority w:val="34"/>
    <w:qFormat/>
    <w:rsid w:val="0029522F"/>
    <w:pPr>
      <w:ind w:left="720"/>
      <w:contextualSpacing/>
    </w:pPr>
  </w:style>
  <w:style w:type="paragraph" w:styleId="FootnoteText">
    <w:name w:val="footnote text"/>
    <w:basedOn w:val="Normal"/>
    <w:link w:val="FootnoteTextChar"/>
    <w:uiPriority w:val="99"/>
    <w:semiHidden/>
    <w:unhideWhenUsed/>
    <w:rsid w:val="000965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654B"/>
    <w:rPr>
      <w:sz w:val="20"/>
      <w:szCs w:val="20"/>
    </w:rPr>
  </w:style>
  <w:style w:type="character" w:styleId="FootnoteReference">
    <w:name w:val="footnote reference"/>
    <w:basedOn w:val="DefaultParagraphFont"/>
    <w:uiPriority w:val="99"/>
    <w:semiHidden/>
    <w:unhideWhenUsed/>
    <w:rsid w:val="0009654B"/>
    <w:rPr>
      <w:vertAlign w:val="superscript"/>
    </w:rPr>
  </w:style>
  <w:style w:type="paragraph" w:styleId="Header">
    <w:name w:val="header"/>
    <w:basedOn w:val="Normal"/>
    <w:link w:val="HeaderChar"/>
    <w:uiPriority w:val="99"/>
    <w:unhideWhenUsed/>
    <w:rsid w:val="000965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54B"/>
  </w:style>
  <w:style w:type="paragraph" w:styleId="Footer">
    <w:name w:val="footer"/>
    <w:basedOn w:val="Normal"/>
    <w:link w:val="FooterChar"/>
    <w:uiPriority w:val="99"/>
    <w:unhideWhenUsed/>
    <w:rsid w:val="000965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54B"/>
  </w:style>
  <w:style w:type="character" w:customStyle="1" w:styleId="Heading1Char">
    <w:name w:val="Heading 1 Char"/>
    <w:basedOn w:val="DefaultParagraphFont"/>
    <w:link w:val="Heading1"/>
    <w:uiPriority w:val="9"/>
    <w:rsid w:val="00EB53D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B53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89">
      <w:bodyDiv w:val="1"/>
      <w:marLeft w:val="0"/>
      <w:marRight w:val="0"/>
      <w:marTop w:val="0"/>
      <w:marBottom w:val="0"/>
      <w:divBdr>
        <w:top w:val="none" w:sz="0" w:space="0" w:color="auto"/>
        <w:left w:val="none" w:sz="0" w:space="0" w:color="auto"/>
        <w:bottom w:val="none" w:sz="0" w:space="0" w:color="auto"/>
        <w:right w:val="none" w:sz="0" w:space="0" w:color="auto"/>
      </w:divBdr>
    </w:div>
    <w:div w:id="2244448">
      <w:bodyDiv w:val="1"/>
      <w:marLeft w:val="0"/>
      <w:marRight w:val="0"/>
      <w:marTop w:val="0"/>
      <w:marBottom w:val="0"/>
      <w:divBdr>
        <w:top w:val="none" w:sz="0" w:space="0" w:color="auto"/>
        <w:left w:val="none" w:sz="0" w:space="0" w:color="auto"/>
        <w:bottom w:val="none" w:sz="0" w:space="0" w:color="auto"/>
        <w:right w:val="none" w:sz="0" w:space="0" w:color="auto"/>
      </w:divBdr>
    </w:div>
    <w:div w:id="20664292">
      <w:bodyDiv w:val="1"/>
      <w:marLeft w:val="0"/>
      <w:marRight w:val="0"/>
      <w:marTop w:val="0"/>
      <w:marBottom w:val="0"/>
      <w:divBdr>
        <w:top w:val="none" w:sz="0" w:space="0" w:color="auto"/>
        <w:left w:val="none" w:sz="0" w:space="0" w:color="auto"/>
        <w:bottom w:val="none" w:sz="0" w:space="0" w:color="auto"/>
        <w:right w:val="none" w:sz="0" w:space="0" w:color="auto"/>
      </w:divBdr>
    </w:div>
    <w:div w:id="21175617">
      <w:bodyDiv w:val="1"/>
      <w:marLeft w:val="0"/>
      <w:marRight w:val="0"/>
      <w:marTop w:val="0"/>
      <w:marBottom w:val="0"/>
      <w:divBdr>
        <w:top w:val="none" w:sz="0" w:space="0" w:color="auto"/>
        <w:left w:val="none" w:sz="0" w:space="0" w:color="auto"/>
        <w:bottom w:val="none" w:sz="0" w:space="0" w:color="auto"/>
        <w:right w:val="none" w:sz="0" w:space="0" w:color="auto"/>
      </w:divBdr>
    </w:div>
    <w:div w:id="29452500">
      <w:bodyDiv w:val="1"/>
      <w:marLeft w:val="0"/>
      <w:marRight w:val="0"/>
      <w:marTop w:val="0"/>
      <w:marBottom w:val="0"/>
      <w:divBdr>
        <w:top w:val="none" w:sz="0" w:space="0" w:color="auto"/>
        <w:left w:val="none" w:sz="0" w:space="0" w:color="auto"/>
        <w:bottom w:val="none" w:sz="0" w:space="0" w:color="auto"/>
        <w:right w:val="none" w:sz="0" w:space="0" w:color="auto"/>
      </w:divBdr>
    </w:div>
    <w:div w:id="43065310">
      <w:bodyDiv w:val="1"/>
      <w:marLeft w:val="0"/>
      <w:marRight w:val="0"/>
      <w:marTop w:val="0"/>
      <w:marBottom w:val="0"/>
      <w:divBdr>
        <w:top w:val="none" w:sz="0" w:space="0" w:color="auto"/>
        <w:left w:val="none" w:sz="0" w:space="0" w:color="auto"/>
        <w:bottom w:val="none" w:sz="0" w:space="0" w:color="auto"/>
        <w:right w:val="none" w:sz="0" w:space="0" w:color="auto"/>
      </w:divBdr>
    </w:div>
    <w:div w:id="43455934">
      <w:bodyDiv w:val="1"/>
      <w:marLeft w:val="0"/>
      <w:marRight w:val="0"/>
      <w:marTop w:val="0"/>
      <w:marBottom w:val="0"/>
      <w:divBdr>
        <w:top w:val="none" w:sz="0" w:space="0" w:color="auto"/>
        <w:left w:val="none" w:sz="0" w:space="0" w:color="auto"/>
        <w:bottom w:val="none" w:sz="0" w:space="0" w:color="auto"/>
        <w:right w:val="none" w:sz="0" w:space="0" w:color="auto"/>
      </w:divBdr>
    </w:div>
    <w:div w:id="55055977">
      <w:bodyDiv w:val="1"/>
      <w:marLeft w:val="0"/>
      <w:marRight w:val="0"/>
      <w:marTop w:val="0"/>
      <w:marBottom w:val="0"/>
      <w:divBdr>
        <w:top w:val="none" w:sz="0" w:space="0" w:color="auto"/>
        <w:left w:val="none" w:sz="0" w:space="0" w:color="auto"/>
        <w:bottom w:val="none" w:sz="0" w:space="0" w:color="auto"/>
        <w:right w:val="none" w:sz="0" w:space="0" w:color="auto"/>
      </w:divBdr>
    </w:div>
    <w:div w:id="63338224">
      <w:bodyDiv w:val="1"/>
      <w:marLeft w:val="0"/>
      <w:marRight w:val="0"/>
      <w:marTop w:val="0"/>
      <w:marBottom w:val="0"/>
      <w:divBdr>
        <w:top w:val="none" w:sz="0" w:space="0" w:color="auto"/>
        <w:left w:val="none" w:sz="0" w:space="0" w:color="auto"/>
        <w:bottom w:val="none" w:sz="0" w:space="0" w:color="auto"/>
        <w:right w:val="none" w:sz="0" w:space="0" w:color="auto"/>
      </w:divBdr>
    </w:div>
    <w:div w:id="85347849">
      <w:bodyDiv w:val="1"/>
      <w:marLeft w:val="0"/>
      <w:marRight w:val="0"/>
      <w:marTop w:val="0"/>
      <w:marBottom w:val="0"/>
      <w:divBdr>
        <w:top w:val="none" w:sz="0" w:space="0" w:color="auto"/>
        <w:left w:val="none" w:sz="0" w:space="0" w:color="auto"/>
        <w:bottom w:val="none" w:sz="0" w:space="0" w:color="auto"/>
        <w:right w:val="none" w:sz="0" w:space="0" w:color="auto"/>
      </w:divBdr>
    </w:div>
    <w:div w:id="92629157">
      <w:bodyDiv w:val="1"/>
      <w:marLeft w:val="0"/>
      <w:marRight w:val="0"/>
      <w:marTop w:val="0"/>
      <w:marBottom w:val="0"/>
      <w:divBdr>
        <w:top w:val="none" w:sz="0" w:space="0" w:color="auto"/>
        <w:left w:val="none" w:sz="0" w:space="0" w:color="auto"/>
        <w:bottom w:val="none" w:sz="0" w:space="0" w:color="auto"/>
        <w:right w:val="none" w:sz="0" w:space="0" w:color="auto"/>
      </w:divBdr>
    </w:div>
    <w:div w:id="106969704">
      <w:bodyDiv w:val="1"/>
      <w:marLeft w:val="0"/>
      <w:marRight w:val="0"/>
      <w:marTop w:val="0"/>
      <w:marBottom w:val="0"/>
      <w:divBdr>
        <w:top w:val="none" w:sz="0" w:space="0" w:color="auto"/>
        <w:left w:val="none" w:sz="0" w:space="0" w:color="auto"/>
        <w:bottom w:val="none" w:sz="0" w:space="0" w:color="auto"/>
        <w:right w:val="none" w:sz="0" w:space="0" w:color="auto"/>
      </w:divBdr>
    </w:div>
    <w:div w:id="111899997">
      <w:bodyDiv w:val="1"/>
      <w:marLeft w:val="0"/>
      <w:marRight w:val="0"/>
      <w:marTop w:val="0"/>
      <w:marBottom w:val="0"/>
      <w:divBdr>
        <w:top w:val="none" w:sz="0" w:space="0" w:color="auto"/>
        <w:left w:val="none" w:sz="0" w:space="0" w:color="auto"/>
        <w:bottom w:val="none" w:sz="0" w:space="0" w:color="auto"/>
        <w:right w:val="none" w:sz="0" w:space="0" w:color="auto"/>
      </w:divBdr>
    </w:div>
    <w:div w:id="118189985">
      <w:bodyDiv w:val="1"/>
      <w:marLeft w:val="0"/>
      <w:marRight w:val="0"/>
      <w:marTop w:val="0"/>
      <w:marBottom w:val="0"/>
      <w:divBdr>
        <w:top w:val="none" w:sz="0" w:space="0" w:color="auto"/>
        <w:left w:val="none" w:sz="0" w:space="0" w:color="auto"/>
        <w:bottom w:val="none" w:sz="0" w:space="0" w:color="auto"/>
        <w:right w:val="none" w:sz="0" w:space="0" w:color="auto"/>
      </w:divBdr>
    </w:div>
    <w:div w:id="118571298">
      <w:bodyDiv w:val="1"/>
      <w:marLeft w:val="0"/>
      <w:marRight w:val="0"/>
      <w:marTop w:val="0"/>
      <w:marBottom w:val="0"/>
      <w:divBdr>
        <w:top w:val="none" w:sz="0" w:space="0" w:color="auto"/>
        <w:left w:val="none" w:sz="0" w:space="0" w:color="auto"/>
        <w:bottom w:val="none" w:sz="0" w:space="0" w:color="auto"/>
        <w:right w:val="none" w:sz="0" w:space="0" w:color="auto"/>
      </w:divBdr>
    </w:div>
    <w:div w:id="129985458">
      <w:bodyDiv w:val="1"/>
      <w:marLeft w:val="0"/>
      <w:marRight w:val="0"/>
      <w:marTop w:val="0"/>
      <w:marBottom w:val="0"/>
      <w:divBdr>
        <w:top w:val="none" w:sz="0" w:space="0" w:color="auto"/>
        <w:left w:val="none" w:sz="0" w:space="0" w:color="auto"/>
        <w:bottom w:val="none" w:sz="0" w:space="0" w:color="auto"/>
        <w:right w:val="none" w:sz="0" w:space="0" w:color="auto"/>
      </w:divBdr>
    </w:div>
    <w:div w:id="144587906">
      <w:bodyDiv w:val="1"/>
      <w:marLeft w:val="0"/>
      <w:marRight w:val="0"/>
      <w:marTop w:val="0"/>
      <w:marBottom w:val="0"/>
      <w:divBdr>
        <w:top w:val="none" w:sz="0" w:space="0" w:color="auto"/>
        <w:left w:val="none" w:sz="0" w:space="0" w:color="auto"/>
        <w:bottom w:val="none" w:sz="0" w:space="0" w:color="auto"/>
        <w:right w:val="none" w:sz="0" w:space="0" w:color="auto"/>
      </w:divBdr>
    </w:div>
    <w:div w:id="147671707">
      <w:bodyDiv w:val="1"/>
      <w:marLeft w:val="0"/>
      <w:marRight w:val="0"/>
      <w:marTop w:val="0"/>
      <w:marBottom w:val="0"/>
      <w:divBdr>
        <w:top w:val="none" w:sz="0" w:space="0" w:color="auto"/>
        <w:left w:val="none" w:sz="0" w:space="0" w:color="auto"/>
        <w:bottom w:val="none" w:sz="0" w:space="0" w:color="auto"/>
        <w:right w:val="none" w:sz="0" w:space="0" w:color="auto"/>
      </w:divBdr>
    </w:div>
    <w:div w:id="154683244">
      <w:bodyDiv w:val="1"/>
      <w:marLeft w:val="0"/>
      <w:marRight w:val="0"/>
      <w:marTop w:val="0"/>
      <w:marBottom w:val="0"/>
      <w:divBdr>
        <w:top w:val="none" w:sz="0" w:space="0" w:color="auto"/>
        <w:left w:val="none" w:sz="0" w:space="0" w:color="auto"/>
        <w:bottom w:val="none" w:sz="0" w:space="0" w:color="auto"/>
        <w:right w:val="none" w:sz="0" w:space="0" w:color="auto"/>
      </w:divBdr>
    </w:div>
    <w:div w:id="156002160">
      <w:bodyDiv w:val="1"/>
      <w:marLeft w:val="0"/>
      <w:marRight w:val="0"/>
      <w:marTop w:val="0"/>
      <w:marBottom w:val="0"/>
      <w:divBdr>
        <w:top w:val="none" w:sz="0" w:space="0" w:color="auto"/>
        <w:left w:val="none" w:sz="0" w:space="0" w:color="auto"/>
        <w:bottom w:val="none" w:sz="0" w:space="0" w:color="auto"/>
        <w:right w:val="none" w:sz="0" w:space="0" w:color="auto"/>
      </w:divBdr>
    </w:div>
    <w:div w:id="161363543">
      <w:bodyDiv w:val="1"/>
      <w:marLeft w:val="0"/>
      <w:marRight w:val="0"/>
      <w:marTop w:val="0"/>
      <w:marBottom w:val="0"/>
      <w:divBdr>
        <w:top w:val="none" w:sz="0" w:space="0" w:color="auto"/>
        <w:left w:val="none" w:sz="0" w:space="0" w:color="auto"/>
        <w:bottom w:val="none" w:sz="0" w:space="0" w:color="auto"/>
        <w:right w:val="none" w:sz="0" w:space="0" w:color="auto"/>
      </w:divBdr>
    </w:div>
    <w:div w:id="172379770">
      <w:bodyDiv w:val="1"/>
      <w:marLeft w:val="0"/>
      <w:marRight w:val="0"/>
      <w:marTop w:val="0"/>
      <w:marBottom w:val="0"/>
      <w:divBdr>
        <w:top w:val="none" w:sz="0" w:space="0" w:color="auto"/>
        <w:left w:val="none" w:sz="0" w:space="0" w:color="auto"/>
        <w:bottom w:val="none" w:sz="0" w:space="0" w:color="auto"/>
        <w:right w:val="none" w:sz="0" w:space="0" w:color="auto"/>
      </w:divBdr>
    </w:div>
    <w:div w:id="175730508">
      <w:bodyDiv w:val="1"/>
      <w:marLeft w:val="0"/>
      <w:marRight w:val="0"/>
      <w:marTop w:val="0"/>
      <w:marBottom w:val="0"/>
      <w:divBdr>
        <w:top w:val="none" w:sz="0" w:space="0" w:color="auto"/>
        <w:left w:val="none" w:sz="0" w:space="0" w:color="auto"/>
        <w:bottom w:val="none" w:sz="0" w:space="0" w:color="auto"/>
        <w:right w:val="none" w:sz="0" w:space="0" w:color="auto"/>
      </w:divBdr>
    </w:div>
    <w:div w:id="193617967">
      <w:bodyDiv w:val="1"/>
      <w:marLeft w:val="0"/>
      <w:marRight w:val="0"/>
      <w:marTop w:val="0"/>
      <w:marBottom w:val="0"/>
      <w:divBdr>
        <w:top w:val="none" w:sz="0" w:space="0" w:color="auto"/>
        <w:left w:val="none" w:sz="0" w:space="0" w:color="auto"/>
        <w:bottom w:val="none" w:sz="0" w:space="0" w:color="auto"/>
        <w:right w:val="none" w:sz="0" w:space="0" w:color="auto"/>
      </w:divBdr>
    </w:div>
    <w:div w:id="238247143">
      <w:bodyDiv w:val="1"/>
      <w:marLeft w:val="0"/>
      <w:marRight w:val="0"/>
      <w:marTop w:val="0"/>
      <w:marBottom w:val="0"/>
      <w:divBdr>
        <w:top w:val="none" w:sz="0" w:space="0" w:color="auto"/>
        <w:left w:val="none" w:sz="0" w:space="0" w:color="auto"/>
        <w:bottom w:val="none" w:sz="0" w:space="0" w:color="auto"/>
        <w:right w:val="none" w:sz="0" w:space="0" w:color="auto"/>
      </w:divBdr>
    </w:div>
    <w:div w:id="243926620">
      <w:bodyDiv w:val="1"/>
      <w:marLeft w:val="0"/>
      <w:marRight w:val="0"/>
      <w:marTop w:val="0"/>
      <w:marBottom w:val="0"/>
      <w:divBdr>
        <w:top w:val="none" w:sz="0" w:space="0" w:color="auto"/>
        <w:left w:val="none" w:sz="0" w:space="0" w:color="auto"/>
        <w:bottom w:val="none" w:sz="0" w:space="0" w:color="auto"/>
        <w:right w:val="none" w:sz="0" w:space="0" w:color="auto"/>
      </w:divBdr>
    </w:div>
    <w:div w:id="275604646">
      <w:bodyDiv w:val="1"/>
      <w:marLeft w:val="0"/>
      <w:marRight w:val="0"/>
      <w:marTop w:val="0"/>
      <w:marBottom w:val="0"/>
      <w:divBdr>
        <w:top w:val="none" w:sz="0" w:space="0" w:color="auto"/>
        <w:left w:val="none" w:sz="0" w:space="0" w:color="auto"/>
        <w:bottom w:val="none" w:sz="0" w:space="0" w:color="auto"/>
        <w:right w:val="none" w:sz="0" w:space="0" w:color="auto"/>
      </w:divBdr>
    </w:div>
    <w:div w:id="293295344">
      <w:bodyDiv w:val="1"/>
      <w:marLeft w:val="0"/>
      <w:marRight w:val="0"/>
      <w:marTop w:val="0"/>
      <w:marBottom w:val="0"/>
      <w:divBdr>
        <w:top w:val="none" w:sz="0" w:space="0" w:color="auto"/>
        <w:left w:val="none" w:sz="0" w:space="0" w:color="auto"/>
        <w:bottom w:val="none" w:sz="0" w:space="0" w:color="auto"/>
        <w:right w:val="none" w:sz="0" w:space="0" w:color="auto"/>
      </w:divBdr>
    </w:div>
    <w:div w:id="302270488">
      <w:bodyDiv w:val="1"/>
      <w:marLeft w:val="0"/>
      <w:marRight w:val="0"/>
      <w:marTop w:val="0"/>
      <w:marBottom w:val="0"/>
      <w:divBdr>
        <w:top w:val="none" w:sz="0" w:space="0" w:color="auto"/>
        <w:left w:val="none" w:sz="0" w:space="0" w:color="auto"/>
        <w:bottom w:val="none" w:sz="0" w:space="0" w:color="auto"/>
        <w:right w:val="none" w:sz="0" w:space="0" w:color="auto"/>
      </w:divBdr>
    </w:div>
    <w:div w:id="303000845">
      <w:bodyDiv w:val="1"/>
      <w:marLeft w:val="0"/>
      <w:marRight w:val="0"/>
      <w:marTop w:val="0"/>
      <w:marBottom w:val="0"/>
      <w:divBdr>
        <w:top w:val="none" w:sz="0" w:space="0" w:color="auto"/>
        <w:left w:val="none" w:sz="0" w:space="0" w:color="auto"/>
        <w:bottom w:val="none" w:sz="0" w:space="0" w:color="auto"/>
        <w:right w:val="none" w:sz="0" w:space="0" w:color="auto"/>
      </w:divBdr>
    </w:div>
    <w:div w:id="304744426">
      <w:bodyDiv w:val="1"/>
      <w:marLeft w:val="0"/>
      <w:marRight w:val="0"/>
      <w:marTop w:val="0"/>
      <w:marBottom w:val="0"/>
      <w:divBdr>
        <w:top w:val="none" w:sz="0" w:space="0" w:color="auto"/>
        <w:left w:val="none" w:sz="0" w:space="0" w:color="auto"/>
        <w:bottom w:val="none" w:sz="0" w:space="0" w:color="auto"/>
        <w:right w:val="none" w:sz="0" w:space="0" w:color="auto"/>
      </w:divBdr>
    </w:div>
    <w:div w:id="339040779">
      <w:bodyDiv w:val="1"/>
      <w:marLeft w:val="0"/>
      <w:marRight w:val="0"/>
      <w:marTop w:val="0"/>
      <w:marBottom w:val="0"/>
      <w:divBdr>
        <w:top w:val="none" w:sz="0" w:space="0" w:color="auto"/>
        <w:left w:val="none" w:sz="0" w:space="0" w:color="auto"/>
        <w:bottom w:val="none" w:sz="0" w:space="0" w:color="auto"/>
        <w:right w:val="none" w:sz="0" w:space="0" w:color="auto"/>
      </w:divBdr>
    </w:div>
    <w:div w:id="354037675">
      <w:bodyDiv w:val="1"/>
      <w:marLeft w:val="0"/>
      <w:marRight w:val="0"/>
      <w:marTop w:val="0"/>
      <w:marBottom w:val="0"/>
      <w:divBdr>
        <w:top w:val="none" w:sz="0" w:space="0" w:color="auto"/>
        <w:left w:val="none" w:sz="0" w:space="0" w:color="auto"/>
        <w:bottom w:val="none" w:sz="0" w:space="0" w:color="auto"/>
        <w:right w:val="none" w:sz="0" w:space="0" w:color="auto"/>
      </w:divBdr>
    </w:div>
    <w:div w:id="357775535">
      <w:bodyDiv w:val="1"/>
      <w:marLeft w:val="0"/>
      <w:marRight w:val="0"/>
      <w:marTop w:val="0"/>
      <w:marBottom w:val="0"/>
      <w:divBdr>
        <w:top w:val="none" w:sz="0" w:space="0" w:color="auto"/>
        <w:left w:val="none" w:sz="0" w:space="0" w:color="auto"/>
        <w:bottom w:val="none" w:sz="0" w:space="0" w:color="auto"/>
        <w:right w:val="none" w:sz="0" w:space="0" w:color="auto"/>
      </w:divBdr>
    </w:div>
    <w:div w:id="359087088">
      <w:bodyDiv w:val="1"/>
      <w:marLeft w:val="0"/>
      <w:marRight w:val="0"/>
      <w:marTop w:val="0"/>
      <w:marBottom w:val="0"/>
      <w:divBdr>
        <w:top w:val="none" w:sz="0" w:space="0" w:color="auto"/>
        <w:left w:val="none" w:sz="0" w:space="0" w:color="auto"/>
        <w:bottom w:val="none" w:sz="0" w:space="0" w:color="auto"/>
        <w:right w:val="none" w:sz="0" w:space="0" w:color="auto"/>
      </w:divBdr>
    </w:div>
    <w:div w:id="376245431">
      <w:bodyDiv w:val="1"/>
      <w:marLeft w:val="0"/>
      <w:marRight w:val="0"/>
      <w:marTop w:val="0"/>
      <w:marBottom w:val="0"/>
      <w:divBdr>
        <w:top w:val="none" w:sz="0" w:space="0" w:color="auto"/>
        <w:left w:val="none" w:sz="0" w:space="0" w:color="auto"/>
        <w:bottom w:val="none" w:sz="0" w:space="0" w:color="auto"/>
        <w:right w:val="none" w:sz="0" w:space="0" w:color="auto"/>
      </w:divBdr>
    </w:div>
    <w:div w:id="378943164">
      <w:bodyDiv w:val="1"/>
      <w:marLeft w:val="0"/>
      <w:marRight w:val="0"/>
      <w:marTop w:val="0"/>
      <w:marBottom w:val="0"/>
      <w:divBdr>
        <w:top w:val="none" w:sz="0" w:space="0" w:color="auto"/>
        <w:left w:val="none" w:sz="0" w:space="0" w:color="auto"/>
        <w:bottom w:val="none" w:sz="0" w:space="0" w:color="auto"/>
        <w:right w:val="none" w:sz="0" w:space="0" w:color="auto"/>
      </w:divBdr>
    </w:div>
    <w:div w:id="411657925">
      <w:bodyDiv w:val="1"/>
      <w:marLeft w:val="0"/>
      <w:marRight w:val="0"/>
      <w:marTop w:val="0"/>
      <w:marBottom w:val="0"/>
      <w:divBdr>
        <w:top w:val="none" w:sz="0" w:space="0" w:color="auto"/>
        <w:left w:val="none" w:sz="0" w:space="0" w:color="auto"/>
        <w:bottom w:val="none" w:sz="0" w:space="0" w:color="auto"/>
        <w:right w:val="none" w:sz="0" w:space="0" w:color="auto"/>
      </w:divBdr>
    </w:div>
    <w:div w:id="411776219">
      <w:bodyDiv w:val="1"/>
      <w:marLeft w:val="0"/>
      <w:marRight w:val="0"/>
      <w:marTop w:val="0"/>
      <w:marBottom w:val="0"/>
      <w:divBdr>
        <w:top w:val="none" w:sz="0" w:space="0" w:color="auto"/>
        <w:left w:val="none" w:sz="0" w:space="0" w:color="auto"/>
        <w:bottom w:val="none" w:sz="0" w:space="0" w:color="auto"/>
        <w:right w:val="none" w:sz="0" w:space="0" w:color="auto"/>
      </w:divBdr>
    </w:div>
    <w:div w:id="415832515">
      <w:bodyDiv w:val="1"/>
      <w:marLeft w:val="0"/>
      <w:marRight w:val="0"/>
      <w:marTop w:val="0"/>
      <w:marBottom w:val="0"/>
      <w:divBdr>
        <w:top w:val="none" w:sz="0" w:space="0" w:color="auto"/>
        <w:left w:val="none" w:sz="0" w:space="0" w:color="auto"/>
        <w:bottom w:val="none" w:sz="0" w:space="0" w:color="auto"/>
        <w:right w:val="none" w:sz="0" w:space="0" w:color="auto"/>
      </w:divBdr>
    </w:div>
    <w:div w:id="417288959">
      <w:bodyDiv w:val="1"/>
      <w:marLeft w:val="0"/>
      <w:marRight w:val="0"/>
      <w:marTop w:val="0"/>
      <w:marBottom w:val="0"/>
      <w:divBdr>
        <w:top w:val="none" w:sz="0" w:space="0" w:color="auto"/>
        <w:left w:val="none" w:sz="0" w:space="0" w:color="auto"/>
        <w:bottom w:val="none" w:sz="0" w:space="0" w:color="auto"/>
        <w:right w:val="none" w:sz="0" w:space="0" w:color="auto"/>
      </w:divBdr>
    </w:div>
    <w:div w:id="419720037">
      <w:bodyDiv w:val="1"/>
      <w:marLeft w:val="0"/>
      <w:marRight w:val="0"/>
      <w:marTop w:val="0"/>
      <w:marBottom w:val="0"/>
      <w:divBdr>
        <w:top w:val="none" w:sz="0" w:space="0" w:color="auto"/>
        <w:left w:val="none" w:sz="0" w:space="0" w:color="auto"/>
        <w:bottom w:val="none" w:sz="0" w:space="0" w:color="auto"/>
        <w:right w:val="none" w:sz="0" w:space="0" w:color="auto"/>
      </w:divBdr>
    </w:div>
    <w:div w:id="432625945">
      <w:bodyDiv w:val="1"/>
      <w:marLeft w:val="0"/>
      <w:marRight w:val="0"/>
      <w:marTop w:val="0"/>
      <w:marBottom w:val="0"/>
      <w:divBdr>
        <w:top w:val="none" w:sz="0" w:space="0" w:color="auto"/>
        <w:left w:val="none" w:sz="0" w:space="0" w:color="auto"/>
        <w:bottom w:val="none" w:sz="0" w:space="0" w:color="auto"/>
        <w:right w:val="none" w:sz="0" w:space="0" w:color="auto"/>
      </w:divBdr>
    </w:div>
    <w:div w:id="466362626">
      <w:bodyDiv w:val="1"/>
      <w:marLeft w:val="0"/>
      <w:marRight w:val="0"/>
      <w:marTop w:val="0"/>
      <w:marBottom w:val="0"/>
      <w:divBdr>
        <w:top w:val="none" w:sz="0" w:space="0" w:color="auto"/>
        <w:left w:val="none" w:sz="0" w:space="0" w:color="auto"/>
        <w:bottom w:val="none" w:sz="0" w:space="0" w:color="auto"/>
        <w:right w:val="none" w:sz="0" w:space="0" w:color="auto"/>
      </w:divBdr>
    </w:div>
    <w:div w:id="466553499">
      <w:bodyDiv w:val="1"/>
      <w:marLeft w:val="0"/>
      <w:marRight w:val="0"/>
      <w:marTop w:val="0"/>
      <w:marBottom w:val="0"/>
      <w:divBdr>
        <w:top w:val="none" w:sz="0" w:space="0" w:color="auto"/>
        <w:left w:val="none" w:sz="0" w:space="0" w:color="auto"/>
        <w:bottom w:val="none" w:sz="0" w:space="0" w:color="auto"/>
        <w:right w:val="none" w:sz="0" w:space="0" w:color="auto"/>
      </w:divBdr>
    </w:div>
    <w:div w:id="532422907">
      <w:bodyDiv w:val="1"/>
      <w:marLeft w:val="0"/>
      <w:marRight w:val="0"/>
      <w:marTop w:val="0"/>
      <w:marBottom w:val="0"/>
      <w:divBdr>
        <w:top w:val="none" w:sz="0" w:space="0" w:color="auto"/>
        <w:left w:val="none" w:sz="0" w:space="0" w:color="auto"/>
        <w:bottom w:val="none" w:sz="0" w:space="0" w:color="auto"/>
        <w:right w:val="none" w:sz="0" w:space="0" w:color="auto"/>
      </w:divBdr>
    </w:div>
    <w:div w:id="536550798">
      <w:bodyDiv w:val="1"/>
      <w:marLeft w:val="0"/>
      <w:marRight w:val="0"/>
      <w:marTop w:val="0"/>
      <w:marBottom w:val="0"/>
      <w:divBdr>
        <w:top w:val="none" w:sz="0" w:space="0" w:color="auto"/>
        <w:left w:val="none" w:sz="0" w:space="0" w:color="auto"/>
        <w:bottom w:val="none" w:sz="0" w:space="0" w:color="auto"/>
        <w:right w:val="none" w:sz="0" w:space="0" w:color="auto"/>
      </w:divBdr>
    </w:div>
    <w:div w:id="536621342">
      <w:bodyDiv w:val="1"/>
      <w:marLeft w:val="0"/>
      <w:marRight w:val="0"/>
      <w:marTop w:val="0"/>
      <w:marBottom w:val="0"/>
      <w:divBdr>
        <w:top w:val="none" w:sz="0" w:space="0" w:color="auto"/>
        <w:left w:val="none" w:sz="0" w:space="0" w:color="auto"/>
        <w:bottom w:val="none" w:sz="0" w:space="0" w:color="auto"/>
        <w:right w:val="none" w:sz="0" w:space="0" w:color="auto"/>
      </w:divBdr>
    </w:div>
    <w:div w:id="539047998">
      <w:bodyDiv w:val="1"/>
      <w:marLeft w:val="0"/>
      <w:marRight w:val="0"/>
      <w:marTop w:val="0"/>
      <w:marBottom w:val="0"/>
      <w:divBdr>
        <w:top w:val="none" w:sz="0" w:space="0" w:color="auto"/>
        <w:left w:val="none" w:sz="0" w:space="0" w:color="auto"/>
        <w:bottom w:val="none" w:sz="0" w:space="0" w:color="auto"/>
        <w:right w:val="none" w:sz="0" w:space="0" w:color="auto"/>
      </w:divBdr>
    </w:div>
    <w:div w:id="556622661">
      <w:bodyDiv w:val="1"/>
      <w:marLeft w:val="0"/>
      <w:marRight w:val="0"/>
      <w:marTop w:val="0"/>
      <w:marBottom w:val="0"/>
      <w:divBdr>
        <w:top w:val="none" w:sz="0" w:space="0" w:color="auto"/>
        <w:left w:val="none" w:sz="0" w:space="0" w:color="auto"/>
        <w:bottom w:val="none" w:sz="0" w:space="0" w:color="auto"/>
        <w:right w:val="none" w:sz="0" w:space="0" w:color="auto"/>
      </w:divBdr>
    </w:div>
    <w:div w:id="577252894">
      <w:bodyDiv w:val="1"/>
      <w:marLeft w:val="0"/>
      <w:marRight w:val="0"/>
      <w:marTop w:val="0"/>
      <w:marBottom w:val="0"/>
      <w:divBdr>
        <w:top w:val="none" w:sz="0" w:space="0" w:color="auto"/>
        <w:left w:val="none" w:sz="0" w:space="0" w:color="auto"/>
        <w:bottom w:val="none" w:sz="0" w:space="0" w:color="auto"/>
        <w:right w:val="none" w:sz="0" w:space="0" w:color="auto"/>
      </w:divBdr>
    </w:div>
    <w:div w:id="582031094">
      <w:bodyDiv w:val="1"/>
      <w:marLeft w:val="0"/>
      <w:marRight w:val="0"/>
      <w:marTop w:val="0"/>
      <w:marBottom w:val="0"/>
      <w:divBdr>
        <w:top w:val="none" w:sz="0" w:space="0" w:color="auto"/>
        <w:left w:val="none" w:sz="0" w:space="0" w:color="auto"/>
        <w:bottom w:val="none" w:sz="0" w:space="0" w:color="auto"/>
        <w:right w:val="none" w:sz="0" w:space="0" w:color="auto"/>
      </w:divBdr>
    </w:div>
    <w:div w:id="610166860">
      <w:bodyDiv w:val="1"/>
      <w:marLeft w:val="0"/>
      <w:marRight w:val="0"/>
      <w:marTop w:val="0"/>
      <w:marBottom w:val="0"/>
      <w:divBdr>
        <w:top w:val="none" w:sz="0" w:space="0" w:color="auto"/>
        <w:left w:val="none" w:sz="0" w:space="0" w:color="auto"/>
        <w:bottom w:val="none" w:sz="0" w:space="0" w:color="auto"/>
        <w:right w:val="none" w:sz="0" w:space="0" w:color="auto"/>
      </w:divBdr>
    </w:div>
    <w:div w:id="621696364">
      <w:bodyDiv w:val="1"/>
      <w:marLeft w:val="0"/>
      <w:marRight w:val="0"/>
      <w:marTop w:val="0"/>
      <w:marBottom w:val="0"/>
      <w:divBdr>
        <w:top w:val="none" w:sz="0" w:space="0" w:color="auto"/>
        <w:left w:val="none" w:sz="0" w:space="0" w:color="auto"/>
        <w:bottom w:val="none" w:sz="0" w:space="0" w:color="auto"/>
        <w:right w:val="none" w:sz="0" w:space="0" w:color="auto"/>
      </w:divBdr>
    </w:div>
    <w:div w:id="639848280">
      <w:bodyDiv w:val="1"/>
      <w:marLeft w:val="0"/>
      <w:marRight w:val="0"/>
      <w:marTop w:val="0"/>
      <w:marBottom w:val="0"/>
      <w:divBdr>
        <w:top w:val="none" w:sz="0" w:space="0" w:color="auto"/>
        <w:left w:val="none" w:sz="0" w:space="0" w:color="auto"/>
        <w:bottom w:val="none" w:sz="0" w:space="0" w:color="auto"/>
        <w:right w:val="none" w:sz="0" w:space="0" w:color="auto"/>
      </w:divBdr>
    </w:div>
    <w:div w:id="640617961">
      <w:bodyDiv w:val="1"/>
      <w:marLeft w:val="0"/>
      <w:marRight w:val="0"/>
      <w:marTop w:val="0"/>
      <w:marBottom w:val="0"/>
      <w:divBdr>
        <w:top w:val="none" w:sz="0" w:space="0" w:color="auto"/>
        <w:left w:val="none" w:sz="0" w:space="0" w:color="auto"/>
        <w:bottom w:val="none" w:sz="0" w:space="0" w:color="auto"/>
        <w:right w:val="none" w:sz="0" w:space="0" w:color="auto"/>
      </w:divBdr>
    </w:div>
    <w:div w:id="675305372">
      <w:bodyDiv w:val="1"/>
      <w:marLeft w:val="0"/>
      <w:marRight w:val="0"/>
      <w:marTop w:val="0"/>
      <w:marBottom w:val="0"/>
      <w:divBdr>
        <w:top w:val="none" w:sz="0" w:space="0" w:color="auto"/>
        <w:left w:val="none" w:sz="0" w:space="0" w:color="auto"/>
        <w:bottom w:val="none" w:sz="0" w:space="0" w:color="auto"/>
        <w:right w:val="none" w:sz="0" w:space="0" w:color="auto"/>
      </w:divBdr>
    </w:div>
    <w:div w:id="677000927">
      <w:bodyDiv w:val="1"/>
      <w:marLeft w:val="0"/>
      <w:marRight w:val="0"/>
      <w:marTop w:val="0"/>
      <w:marBottom w:val="0"/>
      <w:divBdr>
        <w:top w:val="none" w:sz="0" w:space="0" w:color="auto"/>
        <w:left w:val="none" w:sz="0" w:space="0" w:color="auto"/>
        <w:bottom w:val="none" w:sz="0" w:space="0" w:color="auto"/>
        <w:right w:val="none" w:sz="0" w:space="0" w:color="auto"/>
      </w:divBdr>
    </w:div>
    <w:div w:id="684677689">
      <w:bodyDiv w:val="1"/>
      <w:marLeft w:val="0"/>
      <w:marRight w:val="0"/>
      <w:marTop w:val="0"/>
      <w:marBottom w:val="0"/>
      <w:divBdr>
        <w:top w:val="none" w:sz="0" w:space="0" w:color="auto"/>
        <w:left w:val="none" w:sz="0" w:space="0" w:color="auto"/>
        <w:bottom w:val="none" w:sz="0" w:space="0" w:color="auto"/>
        <w:right w:val="none" w:sz="0" w:space="0" w:color="auto"/>
      </w:divBdr>
    </w:div>
    <w:div w:id="694309106">
      <w:bodyDiv w:val="1"/>
      <w:marLeft w:val="0"/>
      <w:marRight w:val="0"/>
      <w:marTop w:val="0"/>
      <w:marBottom w:val="0"/>
      <w:divBdr>
        <w:top w:val="none" w:sz="0" w:space="0" w:color="auto"/>
        <w:left w:val="none" w:sz="0" w:space="0" w:color="auto"/>
        <w:bottom w:val="none" w:sz="0" w:space="0" w:color="auto"/>
        <w:right w:val="none" w:sz="0" w:space="0" w:color="auto"/>
      </w:divBdr>
    </w:div>
    <w:div w:id="704018980">
      <w:bodyDiv w:val="1"/>
      <w:marLeft w:val="0"/>
      <w:marRight w:val="0"/>
      <w:marTop w:val="0"/>
      <w:marBottom w:val="0"/>
      <w:divBdr>
        <w:top w:val="none" w:sz="0" w:space="0" w:color="auto"/>
        <w:left w:val="none" w:sz="0" w:space="0" w:color="auto"/>
        <w:bottom w:val="none" w:sz="0" w:space="0" w:color="auto"/>
        <w:right w:val="none" w:sz="0" w:space="0" w:color="auto"/>
      </w:divBdr>
    </w:div>
    <w:div w:id="707754283">
      <w:bodyDiv w:val="1"/>
      <w:marLeft w:val="0"/>
      <w:marRight w:val="0"/>
      <w:marTop w:val="0"/>
      <w:marBottom w:val="0"/>
      <w:divBdr>
        <w:top w:val="none" w:sz="0" w:space="0" w:color="auto"/>
        <w:left w:val="none" w:sz="0" w:space="0" w:color="auto"/>
        <w:bottom w:val="none" w:sz="0" w:space="0" w:color="auto"/>
        <w:right w:val="none" w:sz="0" w:space="0" w:color="auto"/>
      </w:divBdr>
    </w:div>
    <w:div w:id="746732238">
      <w:bodyDiv w:val="1"/>
      <w:marLeft w:val="0"/>
      <w:marRight w:val="0"/>
      <w:marTop w:val="0"/>
      <w:marBottom w:val="0"/>
      <w:divBdr>
        <w:top w:val="none" w:sz="0" w:space="0" w:color="auto"/>
        <w:left w:val="none" w:sz="0" w:space="0" w:color="auto"/>
        <w:bottom w:val="none" w:sz="0" w:space="0" w:color="auto"/>
        <w:right w:val="none" w:sz="0" w:space="0" w:color="auto"/>
      </w:divBdr>
    </w:div>
    <w:div w:id="784085310">
      <w:bodyDiv w:val="1"/>
      <w:marLeft w:val="0"/>
      <w:marRight w:val="0"/>
      <w:marTop w:val="0"/>
      <w:marBottom w:val="0"/>
      <w:divBdr>
        <w:top w:val="none" w:sz="0" w:space="0" w:color="auto"/>
        <w:left w:val="none" w:sz="0" w:space="0" w:color="auto"/>
        <w:bottom w:val="none" w:sz="0" w:space="0" w:color="auto"/>
        <w:right w:val="none" w:sz="0" w:space="0" w:color="auto"/>
      </w:divBdr>
    </w:div>
    <w:div w:id="792019693">
      <w:bodyDiv w:val="1"/>
      <w:marLeft w:val="0"/>
      <w:marRight w:val="0"/>
      <w:marTop w:val="0"/>
      <w:marBottom w:val="0"/>
      <w:divBdr>
        <w:top w:val="none" w:sz="0" w:space="0" w:color="auto"/>
        <w:left w:val="none" w:sz="0" w:space="0" w:color="auto"/>
        <w:bottom w:val="none" w:sz="0" w:space="0" w:color="auto"/>
        <w:right w:val="none" w:sz="0" w:space="0" w:color="auto"/>
      </w:divBdr>
    </w:div>
    <w:div w:id="822702430">
      <w:bodyDiv w:val="1"/>
      <w:marLeft w:val="0"/>
      <w:marRight w:val="0"/>
      <w:marTop w:val="0"/>
      <w:marBottom w:val="0"/>
      <w:divBdr>
        <w:top w:val="none" w:sz="0" w:space="0" w:color="auto"/>
        <w:left w:val="none" w:sz="0" w:space="0" w:color="auto"/>
        <w:bottom w:val="none" w:sz="0" w:space="0" w:color="auto"/>
        <w:right w:val="none" w:sz="0" w:space="0" w:color="auto"/>
      </w:divBdr>
    </w:div>
    <w:div w:id="831799016">
      <w:bodyDiv w:val="1"/>
      <w:marLeft w:val="0"/>
      <w:marRight w:val="0"/>
      <w:marTop w:val="0"/>
      <w:marBottom w:val="0"/>
      <w:divBdr>
        <w:top w:val="none" w:sz="0" w:space="0" w:color="auto"/>
        <w:left w:val="none" w:sz="0" w:space="0" w:color="auto"/>
        <w:bottom w:val="none" w:sz="0" w:space="0" w:color="auto"/>
        <w:right w:val="none" w:sz="0" w:space="0" w:color="auto"/>
      </w:divBdr>
    </w:div>
    <w:div w:id="835074725">
      <w:bodyDiv w:val="1"/>
      <w:marLeft w:val="0"/>
      <w:marRight w:val="0"/>
      <w:marTop w:val="0"/>
      <w:marBottom w:val="0"/>
      <w:divBdr>
        <w:top w:val="none" w:sz="0" w:space="0" w:color="auto"/>
        <w:left w:val="none" w:sz="0" w:space="0" w:color="auto"/>
        <w:bottom w:val="none" w:sz="0" w:space="0" w:color="auto"/>
        <w:right w:val="none" w:sz="0" w:space="0" w:color="auto"/>
      </w:divBdr>
    </w:div>
    <w:div w:id="840392553">
      <w:bodyDiv w:val="1"/>
      <w:marLeft w:val="0"/>
      <w:marRight w:val="0"/>
      <w:marTop w:val="0"/>
      <w:marBottom w:val="0"/>
      <w:divBdr>
        <w:top w:val="none" w:sz="0" w:space="0" w:color="auto"/>
        <w:left w:val="none" w:sz="0" w:space="0" w:color="auto"/>
        <w:bottom w:val="none" w:sz="0" w:space="0" w:color="auto"/>
        <w:right w:val="none" w:sz="0" w:space="0" w:color="auto"/>
      </w:divBdr>
    </w:div>
    <w:div w:id="840465083">
      <w:bodyDiv w:val="1"/>
      <w:marLeft w:val="0"/>
      <w:marRight w:val="0"/>
      <w:marTop w:val="0"/>
      <w:marBottom w:val="0"/>
      <w:divBdr>
        <w:top w:val="none" w:sz="0" w:space="0" w:color="auto"/>
        <w:left w:val="none" w:sz="0" w:space="0" w:color="auto"/>
        <w:bottom w:val="none" w:sz="0" w:space="0" w:color="auto"/>
        <w:right w:val="none" w:sz="0" w:space="0" w:color="auto"/>
      </w:divBdr>
    </w:div>
    <w:div w:id="851991667">
      <w:bodyDiv w:val="1"/>
      <w:marLeft w:val="0"/>
      <w:marRight w:val="0"/>
      <w:marTop w:val="0"/>
      <w:marBottom w:val="0"/>
      <w:divBdr>
        <w:top w:val="none" w:sz="0" w:space="0" w:color="auto"/>
        <w:left w:val="none" w:sz="0" w:space="0" w:color="auto"/>
        <w:bottom w:val="none" w:sz="0" w:space="0" w:color="auto"/>
        <w:right w:val="none" w:sz="0" w:space="0" w:color="auto"/>
      </w:divBdr>
    </w:div>
    <w:div w:id="881403962">
      <w:bodyDiv w:val="1"/>
      <w:marLeft w:val="0"/>
      <w:marRight w:val="0"/>
      <w:marTop w:val="0"/>
      <w:marBottom w:val="0"/>
      <w:divBdr>
        <w:top w:val="none" w:sz="0" w:space="0" w:color="auto"/>
        <w:left w:val="none" w:sz="0" w:space="0" w:color="auto"/>
        <w:bottom w:val="none" w:sz="0" w:space="0" w:color="auto"/>
        <w:right w:val="none" w:sz="0" w:space="0" w:color="auto"/>
      </w:divBdr>
    </w:div>
    <w:div w:id="893590295">
      <w:bodyDiv w:val="1"/>
      <w:marLeft w:val="0"/>
      <w:marRight w:val="0"/>
      <w:marTop w:val="0"/>
      <w:marBottom w:val="0"/>
      <w:divBdr>
        <w:top w:val="none" w:sz="0" w:space="0" w:color="auto"/>
        <w:left w:val="none" w:sz="0" w:space="0" w:color="auto"/>
        <w:bottom w:val="none" w:sz="0" w:space="0" w:color="auto"/>
        <w:right w:val="none" w:sz="0" w:space="0" w:color="auto"/>
      </w:divBdr>
    </w:div>
    <w:div w:id="895237444">
      <w:bodyDiv w:val="1"/>
      <w:marLeft w:val="0"/>
      <w:marRight w:val="0"/>
      <w:marTop w:val="0"/>
      <w:marBottom w:val="0"/>
      <w:divBdr>
        <w:top w:val="none" w:sz="0" w:space="0" w:color="auto"/>
        <w:left w:val="none" w:sz="0" w:space="0" w:color="auto"/>
        <w:bottom w:val="none" w:sz="0" w:space="0" w:color="auto"/>
        <w:right w:val="none" w:sz="0" w:space="0" w:color="auto"/>
      </w:divBdr>
    </w:div>
    <w:div w:id="908660117">
      <w:bodyDiv w:val="1"/>
      <w:marLeft w:val="0"/>
      <w:marRight w:val="0"/>
      <w:marTop w:val="0"/>
      <w:marBottom w:val="0"/>
      <w:divBdr>
        <w:top w:val="none" w:sz="0" w:space="0" w:color="auto"/>
        <w:left w:val="none" w:sz="0" w:space="0" w:color="auto"/>
        <w:bottom w:val="none" w:sz="0" w:space="0" w:color="auto"/>
        <w:right w:val="none" w:sz="0" w:space="0" w:color="auto"/>
      </w:divBdr>
    </w:div>
    <w:div w:id="909459455">
      <w:bodyDiv w:val="1"/>
      <w:marLeft w:val="0"/>
      <w:marRight w:val="0"/>
      <w:marTop w:val="0"/>
      <w:marBottom w:val="0"/>
      <w:divBdr>
        <w:top w:val="none" w:sz="0" w:space="0" w:color="auto"/>
        <w:left w:val="none" w:sz="0" w:space="0" w:color="auto"/>
        <w:bottom w:val="none" w:sz="0" w:space="0" w:color="auto"/>
        <w:right w:val="none" w:sz="0" w:space="0" w:color="auto"/>
      </w:divBdr>
    </w:div>
    <w:div w:id="935793062">
      <w:bodyDiv w:val="1"/>
      <w:marLeft w:val="0"/>
      <w:marRight w:val="0"/>
      <w:marTop w:val="0"/>
      <w:marBottom w:val="0"/>
      <w:divBdr>
        <w:top w:val="none" w:sz="0" w:space="0" w:color="auto"/>
        <w:left w:val="none" w:sz="0" w:space="0" w:color="auto"/>
        <w:bottom w:val="none" w:sz="0" w:space="0" w:color="auto"/>
        <w:right w:val="none" w:sz="0" w:space="0" w:color="auto"/>
      </w:divBdr>
    </w:div>
    <w:div w:id="944385702">
      <w:bodyDiv w:val="1"/>
      <w:marLeft w:val="0"/>
      <w:marRight w:val="0"/>
      <w:marTop w:val="0"/>
      <w:marBottom w:val="0"/>
      <w:divBdr>
        <w:top w:val="none" w:sz="0" w:space="0" w:color="auto"/>
        <w:left w:val="none" w:sz="0" w:space="0" w:color="auto"/>
        <w:bottom w:val="none" w:sz="0" w:space="0" w:color="auto"/>
        <w:right w:val="none" w:sz="0" w:space="0" w:color="auto"/>
      </w:divBdr>
    </w:div>
    <w:div w:id="947346008">
      <w:bodyDiv w:val="1"/>
      <w:marLeft w:val="0"/>
      <w:marRight w:val="0"/>
      <w:marTop w:val="0"/>
      <w:marBottom w:val="0"/>
      <w:divBdr>
        <w:top w:val="none" w:sz="0" w:space="0" w:color="auto"/>
        <w:left w:val="none" w:sz="0" w:space="0" w:color="auto"/>
        <w:bottom w:val="none" w:sz="0" w:space="0" w:color="auto"/>
        <w:right w:val="none" w:sz="0" w:space="0" w:color="auto"/>
      </w:divBdr>
    </w:div>
    <w:div w:id="964041192">
      <w:bodyDiv w:val="1"/>
      <w:marLeft w:val="0"/>
      <w:marRight w:val="0"/>
      <w:marTop w:val="0"/>
      <w:marBottom w:val="0"/>
      <w:divBdr>
        <w:top w:val="none" w:sz="0" w:space="0" w:color="auto"/>
        <w:left w:val="none" w:sz="0" w:space="0" w:color="auto"/>
        <w:bottom w:val="none" w:sz="0" w:space="0" w:color="auto"/>
        <w:right w:val="none" w:sz="0" w:space="0" w:color="auto"/>
      </w:divBdr>
    </w:div>
    <w:div w:id="966164002">
      <w:bodyDiv w:val="1"/>
      <w:marLeft w:val="0"/>
      <w:marRight w:val="0"/>
      <w:marTop w:val="0"/>
      <w:marBottom w:val="0"/>
      <w:divBdr>
        <w:top w:val="none" w:sz="0" w:space="0" w:color="auto"/>
        <w:left w:val="none" w:sz="0" w:space="0" w:color="auto"/>
        <w:bottom w:val="none" w:sz="0" w:space="0" w:color="auto"/>
        <w:right w:val="none" w:sz="0" w:space="0" w:color="auto"/>
      </w:divBdr>
    </w:div>
    <w:div w:id="977491085">
      <w:bodyDiv w:val="1"/>
      <w:marLeft w:val="0"/>
      <w:marRight w:val="0"/>
      <w:marTop w:val="0"/>
      <w:marBottom w:val="0"/>
      <w:divBdr>
        <w:top w:val="none" w:sz="0" w:space="0" w:color="auto"/>
        <w:left w:val="none" w:sz="0" w:space="0" w:color="auto"/>
        <w:bottom w:val="none" w:sz="0" w:space="0" w:color="auto"/>
        <w:right w:val="none" w:sz="0" w:space="0" w:color="auto"/>
      </w:divBdr>
    </w:div>
    <w:div w:id="1000230083">
      <w:bodyDiv w:val="1"/>
      <w:marLeft w:val="0"/>
      <w:marRight w:val="0"/>
      <w:marTop w:val="0"/>
      <w:marBottom w:val="0"/>
      <w:divBdr>
        <w:top w:val="none" w:sz="0" w:space="0" w:color="auto"/>
        <w:left w:val="none" w:sz="0" w:space="0" w:color="auto"/>
        <w:bottom w:val="none" w:sz="0" w:space="0" w:color="auto"/>
        <w:right w:val="none" w:sz="0" w:space="0" w:color="auto"/>
      </w:divBdr>
    </w:div>
    <w:div w:id="1000889821">
      <w:bodyDiv w:val="1"/>
      <w:marLeft w:val="0"/>
      <w:marRight w:val="0"/>
      <w:marTop w:val="0"/>
      <w:marBottom w:val="0"/>
      <w:divBdr>
        <w:top w:val="none" w:sz="0" w:space="0" w:color="auto"/>
        <w:left w:val="none" w:sz="0" w:space="0" w:color="auto"/>
        <w:bottom w:val="none" w:sz="0" w:space="0" w:color="auto"/>
        <w:right w:val="none" w:sz="0" w:space="0" w:color="auto"/>
      </w:divBdr>
    </w:div>
    <w:div w:id="1031301102">
      <w:bodyDiv w:val="1"/>
      <w:marLeft w:val="0"/>
      <w:marRight w:val="0"/>
      <w:marTop w:val="0"/>
      <w:marBottom w:val="0"/>
      <w:divBdr>
        <w:top w:val="none" w:sz="0" w:space="0" w:color="auto"/>
        <w:left w:val="none" w:sz="0" w:space="0" w:color="auto"/>
        <w:bottom w:val="none" w:sz="0" w:space="0" w:color="auto"/>
        <w:right w:val="none" w:sz="0" w:space="0" w:color="auto"/>
      </w:divBdr>
    </w:div>
    <w:div w:id="1032918468">
      <w:bodyDiv w:val="1"/>
      <w:marLeft w:val="0"/>
      <w:marRight w:val="0"/>
      <w:marTop w:val="0"/>
      <w:marBottom w:val="0"/>
      <w:divBdr>
        <w:top w:val="none" w:sz="0" w:space="0" w:color="auto"/>
        <w:left w:val="none" w:sz="0" w:space="0" w:color="auto"/>
        <w:bottom w:val="none" w:sz="0" w:space="0" w:color="auto"/>
        <w:right w:val="none" w:sz="0" w:space="0" w:color="auto"/>
      </w:divBdr>
    </w:div>
    <w:div w:id="1040207018">
      <w:bodyDiv w:val="1"/>
      <w:marLeft w:val="0"/>
      <w:marRight w:val="0"/>
      <w:marTop w:val="0"/>
      <w:marBottom w:val="0"/>
      <w:divBdr>
        <w:top w:val="none" w:sz="0" w:space="0" w:color="auto"/>
        <w:left w:val="none" w:sz="0" w:space="0" w:color="auto"/>
        <w:bottom w:val="none" w:sz="0" w:space="0" w:color="auto"/>
        <w:right w:val="none" w:sz="0" w:space="0" w:color="auto"/>
      </w:divBdr>
    </w:div>
    <w:div w:id="1066807771">
      <w:bodyDiv w:val="1"/>
      <w:marLeft w:val="0"/>
      <w:marRight w:val="0"/>
      <w:marTop w:val="0"/>
      <w:marBottom w:val="0"/>
      <w:divBdr>
        <w:top w:val="none" w:sz="0" w:space="0" w:color="auto"/>
        <w:left w:val="none" w:sz="0" w:space="0" w:color="auto"/>
        <w:bottom w:val="none" w:sz="0" w:space="0" w:color="auto"/>
        <w:right w:val="none" w:sz="0" w:space="0" w:color="auto"/>
      </w:divBdr>
    </w:div>
    <w:div w:id="1073427516">
      <w:bodyDiv w:val="1"/>
      <w:marLeft w:val="0"/>
      <w:marRight w:val="0"/>
      <w:marTop w:val="0"/>
      <w:marBottom w:val="0"/>
      <w:divBdr>
        <w:top w:val="none" w:sz="0" w:space="0" w:color="auto"/>
        <w:left w:val="none" w:sz="0" w:space="0" w:color="auto"/>
        <w:bottom w:val="none" w:sz="0" w:space="0" w:color="auto"/>
        <w:right w:val="none" w:sz="0" w:space="0" w:color="auto"/>
      </w:divBdr>
    </w:div>
    <w:div w:id="1105155545">
      <w:bodyDiv w:val="1"/>
      <w:marLeft w:val="0"/>
      <w:marRight w:val="0"/>
      <w:marTop w:val="0"/>
      <w:marBottom w:val="0"/>
      <w:divBdr>
        <w:top w:val="none" w:sz="0" w:space="0" w:color="auto"/>
        <w:left w:val="none" w:sz="0" w:space="0" w:color="auto"/>
        <w:bottom w:val="none" w:sz="0" w:space="0" w:color="auto"/>
        <w:right w:val="none" w:sz="0" w:space="0" w:color="auto"/>
      </w:divBdr>
    </w:div>
    <w:div w:id="1136798484">
      <w:bodyDiv w:val="1"/>
      <w:marLeft w:val="0"/>
      <w:marRight w:val="0"/>
      <w:marTop w:val="0"/>
      <w:marBottom w:val="0"/>
      <w:divBdr>
        <w:top w:val="none" w:sz="0" w:space="0" w:color="auto"/>
        <w:left w:val="none" w:sz="0" w:space="0" w:color="auto"/>
        <w:bottom w:val="none" w:sz="0" w:space="0" w:color="auto"/>
        <w:right w:val="none" w:sz="0" w:space="0" w:color="auto"/>
      </w:divBdr>
    </w:div>
    <w:div w:id="1140222973">
      <w:bodyDiv w:val="1"/>
      <w:marLeft w:val="0"/>
      <w:marRight w:val="0"/>
      <w:marTop w:val="0"/>
      <w:marBottom w:val="0"/>
      <w:divBdr>
        <w:top w:val="none" w:sz="0" w:space="0" w:color="auto"/>
        <w:left w:val="none" w:sz="0" w:space="0" w:color="auto"/>
        <w:bottom w:val="none" w:sz="0" w:space="0" w:color="auto"/>
        <w:right w:val="none" w:sz="0" w:space="0" w:color="auto"/>
      </w:divBdr>
    </w:div>
    <w:div w:id="1142194129">
      <w:bodyDiv w:val="1"/>
      <w:marLeft w:val="0"/>
      <w:marRight w:val="0"/>
      <w:marTop w:val="0"/>
      <w:marBottom w:val="0"/>
      <w:divBdr>
        <w:top w:val="none" w:sz="0" w:space="0" w:color="auto"/>
        <w:left w:val="none" w:sz="0" w:space="0" w:color="auto"/>
        <w:bottom w:val="none" w:sz="0" w:space="0" w:color="auto"/>
        <w:right w:val="none" w:sz="0" w:space="0" w:color="auto"/>
      </w:divBdr>
    </w:div>
    <w:div w:id="1142890278">
      <w:bodyDiv w:val="1"/>
      <w:marLeft w:val="0"/>
      <w:marRight w:val="0"/>
      <w:marTop w:val="0"/>
      <w:marBottom w:val="0"/>
      <w:divBdr>
        <w:top w:val="none" w:sz="0" w:space="0" w:color="auto"/>
        <w:left w:val="none" w:sz="0" w:space="0" w:color="auto"/>
        <w:bottom w:val="none" w:sz="0" w:space="0" w:color="auto"/>
        <w:right w:val="none" w:sz="0" w:space="0" w:color="auto"/>
      </w:divBdr>
    </w:div>
    <w:div w:id="1162045021">
      <w:bodyDiv w:val="1"/>
      <w:marLeft w:val="0"/>
      <w:marRight w:val="0"/>
      <w:marTop w:val="0"/>
      <w:marBottom w:val="0"/>
      <w:divBdr>
        <w:top w:val="none" w:sz="0" w:space="0" w:color="auto"/>
        <w:left w:val="none" w:sz="0" w:space="0" w:color="auto"/>
        <w:bottom w:val="none" w:sz="0" w:space="0" w:color="auto"/>
        <w:right w:val="none" w:sz="0" w:space="0" w:color="auto"/>
      </w:divBdr>
    </w:div>
    <w:div w:id="1163085328">
      <w:bodyDiv w:val="1"/>
      <w:marLeft w:val="0"/>
      <w:marRight w:val="0"/>
      <w:marTop w:val="0"/>
      <w:marBottom w:val="0"/>
      <w:divBdr>
        <w:top w:val="none" w:sz="0" w:space="0" w:color="auto"/>
        <w:left w:val="none" w:sz="0" w:space="0" w:color="auto"/>
        <w:bottom w:val="none" w:sz="0" w:space="0" w:color="auto"/>
        <w:right w:val="none" w:sz="0" w:space="0" w:color="auto"/>
      </w:divBdr>
    </w:div>
    <w:div w:id="1164706882">
      <w:bodyDiv w:val="1"/>
      <w:marLeft w:val="0"/>
      <w:marRight w:val="0"/>
      <w:marTop w:val="0"/>
      <w:marBottom w:val="0"/>
      <w:divBdr>
        <w:top w:val="none" w:sz="0" w:space="0" w:color="auto"/>
        <w:left w:val="none" w:sz="0" w:space="0" w:color="auto"/>
        <w:bottom w:val="none" w:sz="0" w:space="0" w:color="auto"/>
        <w:right w:val="none" w:sz="0" w:space="0" w:color="auto"/>
      </w:divBdr>
    </w:div>
    <w:div w:id="1169831518">
      <w:bodyDiv w:val="1"/>
      <w:marLeft w:val="0"/>
      <w:marRight w:val="0"/>
      <w:marTop w:val="0"/>
      <w:marBottom w:val="0"/>
      <w:divBdr>
        <w:top w:val="none" w:sz="0" w:space="0" w:color="auto"/>
        <w:left w:val="none" w:sz="0" w:space="0" w:color="auto"/>
        <w:bottom w:val="none" w:sz="0" w:space="0" w:color="auto"/>
        <w:right w:val="none" w:sz="0" w:space="0" w:color="auto"/>
      </w:divBdr>
    </w:div>
    <w:div w:id="1171942670">
      <w:bodyDiv w:val="1"/>
      <w:marLeft w:val="0"/>
      <w:marRight w:val="0"/>
      <w:marTop w:val="0"/>
      <w:marBottom w:val="0"/>
      <w:divBdr>
        <w:top w:val="none" w:sz="0" w:space="0" w:color="auto"/>
        <w:left w:val="none" w:sz="0" w:space="0" w:color="auto"/>
        <w:bottom w:val="none" w:sz="0" w:space="0" w:color="auto"/>
        <w:right w:val="none" w:sz="0" w:space="0" w:color="auto"/>
      </w:divBdr>
    </w:div>
    <w:div w:id="1193424481">
      <w:bodyDiv w:val="1"/>
      <w:marLeft w:val="0"/>
      <w:marRight w:val="0"/>
      <w:marTop w:val="0"/>
      <w:marBottom w:val="0"/>
      <w:divBdr>
        <w:top w:val="none" w:sz="0" w:space="0" w:color="auto"/>
        <w:left w:val="none" w:sz="0" w:space="0" w:color="auto"/>
        <w:bottom w:val="none" w:sz="0" w:space="0" w:color="auto"/>
        <w:right w:val="none" w:sz="0" w:space="0" w:color="auto"/>
      </w:divBdr>
    </w:div>
    <w:div w:id="1209418836">
      <w:bodyDiv w:val="1"/>
      <w:marLeft w:val="0"/>
      <w:marRight w:val="0"/>
      <w:marTop w:val="0"/>
      <w:marBottom w:val="0"/>
      <w:divBdr>
        <w:top w:val="none" w:sz="0" w:space="0" w:color="auto"/>
        <w:left w:val="none" w:sz="0" w:space="0" w:color="auto"/>
        <w:bottom w:val="none" w:sz="0" w:space="0" w:color="auto"/>
        <w:right w:val="none" w:sz="0" w:space="0" w:color="auto"/>
      </w:divBdr>
    </w:div>
    <w:div w:id="1241410371">
      <w:bodyDiv w:val="1"/>
      <w:marLeft w:val="0"/>
      <w:marRight w:val="0"/>
      <w:marTop w:val="0"/>
      <w:marBottom w:val="0"/>
      <w:divBdr>
        <w:top w:val="none" w:sz="0" w:space="0" w:color="auto"/>
        <w:left w:val="none" w:sz="0" w:space="0" w:color="auto"/>
        <w:bottom w:val="none" w:sz="0" w:space="0" w:color="auto"/>
        <w:right w:val="none" w:sz="0" w:space="0" w:color="auto"/>
      </w:divBdr>
    </w:div>
    <w:div w:id="1252201101">
      <w:bodyDiv w:val="1"/>
      <w:marLeft w:val="0"/>
      <w:marRight w:val="0"/>
      <w:marTop w:val="0"/>
      <w:marBottom w:val="0"/>
      <w:divBdr>
        <w:top w:val="none" w:sz="0" w:space="0" w:color="auto"/>
        <w:left w:val="none" w:sz="0" w:space="0" w:color="auto"/>
        <w:bottom w:val="none" w:sz="0" w:space="0" w:color="auto"/>
        <w:right w:val="none" w:sz="0" w:space="0" w:color="auto"/>
      </w:divBdr>
    </w:div>
    <w:div w:id="1264532965">
      <w:bodyDiv w:val="1"/>
      <w:marLeft w:val="0"/>
      <w:marRight w:val="0"/>
      <w:marTop w:val="0"/>
      <w:marBottom w:val="0"/>
      <w:divBdr>
        <w:top w:val="none" w:sz="0" w:space="0" w:color="auto"/>
        <w:left w:val="none" w:sz="0" w:space="0" w:color="auto"/>
        <w:bottom w:val="none" w:sz="0" w:space="0" w:color="auto"/>
        <w:right w:val="none" w:sz="0" w:space="0" w:color="auto"/>
      </w:divBdr>
    </w:div>
    <w:div w:id="1267348530">
      <w:bodyDiv w:val="1"/>
      <w:marLeft w:val="0"/>
      <w:marRight w:val="0"/>
      <w:marTop w:val="0"/>
      <w:marBottom w:val="0"/>
      <w:divBdr>
        <w:top w:val="none" w:sz="0" w:space="0" w:color="auto"/>
        <w:left w:val="none" w:sz="0" w:space="0" w:color="auto"/>
        <w:bottom w:val="none" w:sz="0" w:space="0" w:color="auto"/>
        <w:right w:val="none" w:sz="0" w:space="0" w:color="auto"/>
      </w:divBdr>
    </w:div>
    <w:div w:id="1297300294">
      <w:bodyDiv w:val="1"/>
      <w:marLeft w:val="0"/>
      <w:marRight w:val="0"/>
      <w:marTop w:val="0"/>
      <w:marBottom w:val="0"/>
      <w:divBdr>
        <w:top w:val="none" w:sz="0" w:space="0" w:color="auto"/>
        <w:left w:val="none" w:sz="0" w:space="0" w:color="auto"/>
        <w:bottom w:val="none" w:sz="0" w:space="0" w:color="auto"/>
        <w:right w:val="none" w:sz="0" w:space="0" w:color="auto"/>
      </w:divBdr>
    </w:div>
    <w:div w:id="1332174060">
      <w:bodyDiv w:val="1"/>
      <w:marLeft w:val="0"/>
      <w:marRight w:val="0"/>
      <w:marTop w:val="0"/>
      <w:marBottom w:val="0"/>
      <w:divBdr>
        <w:top w:val="none" w:sz="0" w:space="0" w:color="auto"/>
        <w:left w:val="none" w:sz="0" w:space="0" w:color="auto"/>
        <w:bottom w:val="none" w:sz="0" w:space="0" w:color="auto"/>
        <w:right w:val="none" w:sz="0" w:space="0" w:color="auto"/>
      </w:divBdr>
    </w:div>
    <w:div w:id="1333991000">
      <w:bodyDiv w:val="1"/>
      <w:marLeft w:val="0"/>
      <w:marRight w:val="0"/>
      <w:marTop w:val="0"/>
      <w:marBottom w:val="0"/>
      <w:divBdr>
        <w:top w:val="none" w:sz="0" w:space="0" w:color="auto"/>
        <w:left w:val="none" w:sz="0" w:space="0" w:color="auto"/>
        <w:bottom w:val="none" w:sz="0" w:space="0" w:color="auto"/>
        <w:right w:val="none" w:sz="0" w:space="0" w:color="auto"/>
      </w:divBdr>
    </w:div>
    <w:div w:id="1346446102">
      <w:bodyDiv w:val="1"/>
      <w:marLeft w:val="0"/>
      <w:marRight w:val="0"/>
      <w:marTop w:val="0"/>
      <w:marBottom w:val="0"/>
      <w:divBdr>
        <w:top w:val="none" w:sz="0" w:space="0" w:color="auto"/>
        <w:left w:val="none" w:sz="0" w:space="0" w:color="auto"/>
        <w:bottom w:val="none" w:sz="0" w:space="0" w:color="auto"/>
        <w:right w:val="none" w:sz="0" w:space="0" w:color="auto"/>
      </w:divBdr>
    </w:div>
    <w:div w:id="1355689385">
      <w:bodyDiv w:val="1"/>
      <w:marLeft w:val="0"/>
      <w:marRight w:val="0"/>
      <w:marTop w:val="0"/>
      <w:marBottom w:val="0"/>
      <w:divBdr>
        <w:top w:val="none" w:sz="0" w:space="0" w:color="auto"/>
        <w:left w:val="none" w:sz="0" w:space="0" w:color="auto"/>
        <w:bottom w:val="none" w:sz="0" w:space="0" w:color="auto"/>
        <w:right w:val="none" w:sz="0" w:space="0" w:color="auto"/>
      </w:divBdr>
    </w:div>
    <w:div w:id="1364095673">
      <w:bodyDiv w:val="1"/>
      <w:marLeft w:val="0"/>
      <w:marRight w:val="0"/>
      <w:marTop w:val="0"/>
      <w:marBottom w:val="0"/>
      <w:divBdr>
        <w:top w:val="none" w:sz="0" w:space="0" w:color="auto"/>
        <w:left w:val="none" w:sz="0" w:space="0" w:color="auto"/>
        <w:bottom w:val="none" w:sz="0" w:space="0" w:color="auto"/>
        <w:right w:val="none" w:sz="0" w:space="0" w:color="auto"/>
      </w:divBdr>
    </w:div>
    <w:div w:id="1373572659">
      <w:bodyDiv w:val="1"/>
      <w:marLeft w:val="0"/>
      <w:marRight w:val="0"/>
      <w:marTop w:val="0"/>
      <w:marBottom w:val="0"/>
      <w:divBdr>
        <w:top w:val="none" w:sz="0" w:space="0" w:color="auto"/>
        <w:left w:val="none" w:sz="0" w:space="0" w:color="auto"/>
        <w:bottom w:val="none" w:sz="0" w:space="0" w:color="auto"/>
        <w:right w:val="none" w:sz="0" w:space="0" w:color="auto"/>
      </w:divBdr>
    </w:div>
    <w:div w:id="1391462625">
      <w:bodyDiv w:val="1"/>
      <w:marLeft w:val="0"/>
      <w:marRight w:val="0"/>
      <w:marTop w:val="0"/>
      <w:marBottom w:val="0"/>
      <w:divBdr>
        <w:top w:val="none" w:sz="0" w:space="0" w:color="auto"/>
        <w:left w:val="none" w:sz="0" w:space="0" w:color="auto"/>
        <w:bottom w:val="none" w:sz="0" w:space="0" w:color="auto"/>
        <w:right w:val="none" w:sz="0" w:space="0" w:color="auto"/>
      </w:divBdr>
    </w:div>
    <w:div w:id="1414159283">
      <w:bodyDiv w:val="1"/>
      <w:marLeft w:val="0"/>
      <w:marRight w:val="0"/>
      <w:marTop w:val="0"/>
      <w:marBottom w:val="0"/>
      <w:divBdr>
        <w:top w:val="none" w:sz="0" w:space="0" w:color="auto"/>
        <w:left w:val="none" w:sz="0" w:space="0" w:color="auto"/>
        <w:bottom w:val="none" w:sz="0" w:space="0" w:color="auto"/>
        <w:right w:val="none" w:sz="0" w:space="0" w:color="auto"/>
      </w:divBdr>
    </w:div>
    <w:div w:id="1422289484">
      <w:bodyDiv w:val="1"/>
      <w:marLeft w:val="0"/>
      <w:marRight w:val="0"/>
      <w:marTop w:val="0"/>
      <w:marBottom w:val="0"/>
      <w:divBdr>
        <w:top w:val="none" w:sz="0" w:space="0" w:color="auto"/>
        <w:left w:val="none" w:sz="0" w:space="0" w:color="auto"/>
        <w:bottom w:val="none" w:sz="0" w:space="0" w:color="auto"/>
        <w:right w:val="none" w:sz="0" w:space="0" w:color="auto"/>
      </w:divBdr>
    </w:div>
    <w:div w:id="1440223343">
      <w:bodyDiv w:val="1"/>
      <w:marLeft w:val="0"/>
      <w:marRight w:val="0"/>
      <w:marTop w:val="0"/>
      <w:marBottom w:val="0"/>
      <w:divBdr>
        <w:top w:val="none" w:sz="0" w:space="0" w:color="auto"/>
        <w:left w:val="none" w:sz="0" w:space="0" w:color="auto"/>
        <w:bottom w:val="none" w:sz="0" w:space="0" w:color="auto"/>
        <w:right w:val="none" w:sz="0" w:space="0" w:color="auto"/>
      </w:divBdr>
    </w:div>
    <w:div w:id="1443374700">
      <w:bodyDiv w:val="1"/>
      <w:marLeft w:val="0"/>
      <w:marRight w:val="0"/>
      <w:marTop w:val="0"/>
      <w:marBottom w:val="0"/>
      <w:divBdr>
        <w:top w:val="none" w:sz="0" w:space="0" w:color="auto"/>
        <w:left w:val="none" w:sz="0" w:space="0" w:color="auto"/>
        <w:bottom w:val="none" w:sz="0" w:space="0" w:color="auto"/>
        <w:right w:val="none" w:sz="0" w:space="0" w:color="auto"/>
      </w:divBdr>
    </w:div>
    <w:div w:id="1592080083">
      <w:bodyDiv w:val="1"/>
      <w:marLeft w:val="0"/>
      <w:marRight w:val="0"/>
      <w:marTop w:val="0"/>
      <w:marBottom w:val="0"/>
      <w:divBdr>
        <w:top w:val="none" w:sz="0" w:space="0" w:color="auto"/>
        <w:left w:val="none" w:sz="0" w:space="0" w:color="auto"/>
        <w:bottom w:val="none" w:sz="0" w:space="0" w:color="auto"/>
        <w:right w:val="none" w:sz="0" w:space="0" w:color="auto"/>
      </w:divBdr>
    </w:div>
    <w:div w:id="1602030831">
      <w:bodyDiv w:val="1"/>
      <w:marLeft w:val="0"/>
      <w:marRight w:val="0"/>
      <w:marTop w:val="0"/>
      <w:marBottom w:val="0"/>
      <w:divBdr>
        <w:top w:val="none" w:sz="0" w:space="0" w:color="auto"/>
        <w:left w:val="none" w:sz="0" w:space="0" w:color="auto"/>
        <w:bottom w:val="none" w:sz="0" w:space="0" w:color="auto"/>
        <w:right w:val="none" w:sz="0" w:space="0" w:color="auto"/>
      </w:divBdr>
    </w:div>
    <w:div w:id="1609391651">
      <w:bodyDiv w:val="1"/>
      <w:marLeft w:val="0"/>
      <w:marRight w:val="0"/>
      <w:marTop w:val="0"/>
      <w:marBottom w:val="0"/>
      <w:divBdr>
        <w:top w:val="none" w:sz="0" w:space="0" w:color="auto"/>
        <w:left w:val="none" w:sz="0" w:space="0" w:color="auto"/>
        <w:bottom w:val="none" w:sz="0" w:space="0" w:color="auto"/>
        <w:right w:val="none" w:sz="0" w:space="0" w:color="auto"/>
      </w:divBdr>
    </w:div>
    <w:div w:id="1610619883">
      <w:bodyDiv w:val="1"/>
      <w:marLeft w:val="0"/>
      <w:marRight w:val="0"/>
      <w:marTop w:val="0"/>
      <w:marBottom w:val="0"/>
      <w:divBdr>
        <w:top w:val="none" w:sz="0" w:space="0" w:color="auto"/>
        <w:left w:val="none" w:sz="0" w:space="0" w:color="auto"/>
        <w:bottom w:val="none" w:sz="0" w:space="0" w:color="auto"/>
        <w:right w:val="none" w:sz="0" w:space="0" w:color="auto"/>
      </w:divBdr>
    </w:div>
    <w:div w:id="1630428370">
      <w:bodyDiv w:val="1"/>
      <w:marLeft w:val="0"/>
      <w:marRight w:val="0"/>
      <w:marTop w:val="0"/>
      <w:marBottom w:val="0"/>
      <w:divBdr>
        <w:top w:val="none" w:sz="0" w:space="0" w:color="auto"/>
        <w:left w:val="none" w:sz="0" w:space="0" w:color="auto"/>
        <w:bottom w:val="none" w:sz="0" w:space="0" w:color="auto"/>
        <w:right w:val="none" w:sz="0" w:space="0" w:color="auto"/>
      </w:divBdr>
    </w:div>
    <w:div w:id="1666395208">
      <w:bodyDiv w:val="1"/>
      <w:marLeft w:val="0"/>
      <w:marRight w:val="0"/>
      <w:marTop w:val="0"/>
      <w:marBottom w:val="0"/>
      <w:divBdr>
        <w:top w:val="none" w:sz="0" w:space="0" w:color="auto"/>
        <w:left w:val="none" w:sz="0" w:space="0" w:color="auto"/>
        <w:bottom w:val="none" w:sz="0" w:space="0" w:color="auto"/>
        <w:right w:val="none" w:sz="0" w:space="0" w:color="auto"/>
      </w:divBdr>
    </w:div>
    <w:div w:id="1670910207">
      <w:bodyDiv w:val="1"/>
      <w:marLeft w:val="0"/>
      <w:marRight w:val="0"/>
      <w:marTop w:val="0"/>
      <w:marBottom w:val="0"/>
      <w:divBdr>
        <w:top w:val="none" w:sz="0" w:space="0" w:color="auto"/>
        <w:left w:val="none" w:sz="0" w:space="0" w:color="auto"/>
        <w:bottom w:val="none" w:sz="0" w:space="0" w:color="auto"/>
        <w:right w:val="none" w:sz="0" w:space="0" w:color="auto"/>
      </w:divBdr>
    </w:div>
    <w:div w:id="1687368025">
      <w:bodyDiv w:val="1"/>
      <w:marLeft w:val="0"/>
      <w:marRight w:val="0"/>
      <w:marTop w:val="0"/>
      <w:marBottom w:val="0"/>
      <w:divBdr>
        <w:top w:val="none" w:sz="0" w:space="0" w:color="auto"/>
        <w:left w:val="none" w:sz="0" w:space="0" w:color="auto"/>
        <w:bottom w:val="none" w:sz="0" w:space="0" w:color="auto"/>
        <w:right w:val="none" w:sz="0" w:space="0" w:color="auto"/>
      </w:divBdr>
    </w:div>
    <w:div w:id="1712218982">
      <w:bodyDiv w:val="1"/>
      <w:marLeft w:val="0"/>
      <w:marRight w:val="0"/>
      <w:marTop w:val="0"/>
      <w:marBottom w:val="0"/>
      <w:divBdr>
        <w:top w:val="none" w:sz="0" w:space="0" w:color="auto"/>
        <w:left w:val="none" w:sz="0" w:space="0" w:color="auto"/>
        <w:bottom w:val="none" w:sz="0" w:space="0" w:color="auto"/>
        <w:right w:val="none" w:sz="0" w:space="0" w:color="auto"/>
      </w:divBdr>
    </w:div>
    <w:div w:id="1721705515">
      <w:bodyDiv w:val="1"/>
      <w:marLeft w:val="0"/>
      <w:marRight w:val="0"/>
      <w:marTop w:val="0"/>
      <w:marBottom w:val="0"/>
      <w:divBdr>
        <w:top w:val="none" w:sz="0" w:space="0" w:color="auto"/>
        <w:left w:val="none" w:sz="0" w:space="0" w:color="auto"/>
        <w:bottom w:val="none" w:sz="0" w:space="0" w:color="auto"/>
        <w:right w:val="none" w:sz="0" w:space="0" w:color="auto"/>
      </w:divBdr>
    </w:div>
    <w:div w:id="1730764970">
      <w:bodyDiv w:val="1"/>
      <w:marLeft w:val="0"/>
      <w:marRight w:val="0"/>
      <w:marTop w:val="0"/>
      <w:marBottom w:val="0"/>
      <w:divBdr>
        <w:top w:val="none" w:sz="0" w:space="0" w:color="auto"/>
        <w:left w:val="none" w:sz="0" w:space="0" w:color="auto"/>
        <w:bottom w:val="none" w:sz="0" w:space="0" w:color="auto"/>
        <w:right w:val="none" w:sz="0" w:space="0" w:color="auto"/>
      </w:divBdr>
    </w:div>
    <w:div w:id="1753508500">
      <w:bodyDiv w:val="1"/>
      <w:marLeft w:val="0"/>
      <w:marRight w:val="0"/>
      <w:marTop w:val="0"/>
      <w:marBottom w:val="0"/>
      <w:divBdr>
        <w:top w:val="none" w:sz="0" w:space="0" w:color="auto"/>
        <w:left w:val="none" w:sz="0" w:space="0" w:color="auto"/>
        <w:bottom w:val="none" w:sz="0" w:space="0" w:color="auto"/>
        <w:right w:val="none" w:sz="0" w:space="0" w:color="auto"/>
      </w:divBdr>
    </w:div>
    <w:div w:id="1783070635">
      <w:bodyDiv w:val="1"/>
      <w:marLeft w:val="0"/>
      <w:marRight w:val="0"/>
      <w:marTop w:val="0"/>
      <w:marBottom w:val="0"/>
      <w:divBdr>
        <w:top w:val="none" w:sz="0" w:space="0" w:color="auto"/>
        <w:left w:val="none" w:sz="0" w:space="0" w:color="auto"/>
        <w:bottom w:val="none" w:sz="0" w:space="0" w:color="auto"/>
        <w:right w:val="none" w:sz="0" w:space="0" w:color="auto"/>
      </w:divBdr>
    </w:div>
    <w:div w:id="1793550510">
      <w:bodyDiv w:val="1"/>
      <w:marLeft w:val="0"/>
      <w:marRight w:val="0"/>
      <w:marTop w:val="0"/>
      <w:marBottom w:val="0"/>
      <w:divBdr>
        <w:top w:val="none" w:sz="0" w:space="0" w:color="auto"/>
        <w:left w:val="none" w:sz="0" w:space="0" w:color="auto"/>
        <w:bottom w:val="none" w:sz="0" w:space="0" w:color="auto"/>
        <w:right w:val="none" w:sz="0" w:space="0" w:color="auto"/>
      </w:divBdr>
    </w:div>
    <w:div w:id="1827738986">
      <w:bodyDiv w:val="1"/>
      <w:marLeft w:val="0"/>
      <w:marRight w:val="0"/>
      <w:marTop w:val="0"/>
      <w:marBottom w:val="0"/>
      <w:divBdr>
        <w:top w:val="none" w:sz="0" w:space="0" w:color="auto"/>
        <w:left w:val="none" w:sz="0" w:space="0" w:color="auto"/>
        <w:bottom w:val="none" w:sz="0" w:space="0" w:color="auto"/>
        <w:right w:val="none" w:sz="0" w:space="0" w:color="auto"/>
      </w:divBdr>
    </w:div>
    <w:div w:id="1842159161">
      <w:bodyDiv w:val="1"/>
      <w:marLeft w:val="0"/>
      <w:marRight w:val="0"/>
      <w:marTop w:val="0"/>
      <w:marBottom w:val="0"/>
      <w:divBdr>
        <w:top w:val="none" w:sz="0" w:space="0" w:color="auto"/>
        <w:left w:val="none" w:sz="0" w:space="0" w:color="auto"/>
        <w:bottom w:val="none" w:sz="0" w:space="0" w:color="auto"/>
        <w:right w:val="none" w:sz="0" w:space="0" w:color="auto"/>
      </w:divBdr>
    </w:div>
    <w:div w:id="1845436559">
      <w:bodyDiv w:val="1"/>
      <w:marLeft w:val="0"/>
      <w:marRight w:val="0"/>
      <w:marTop w:val="0"/>
      <w:marBottom w:val="0"/>
      <w:divBdr>
        <w:top w:val="none" w:sz="0" w:space="0" w:color="auto"/>
        <w:left w:val="none" w:sz="0" w:space="0" w:color="auto"/>
        <w:bottom w:val="none" w:sz="0" w:space="0" w:color="auto"/>
        <w:right w:val="none" w:sz="0" w:space="0" w:color="auto"/>
      </w:divBdr>
    </w:div>
    <w:div w:id="1893497944">
      <w:bodyDiv w:val="1"/>
      <w:marLeft w:val="0"/>
      <w:marRight w:val="0"/>
      <w:marTop w:val="0"/>
      <w:marBottom w:val="0"/>
      <w:divBdr>
        <w:top w:val="none" w:sz="0" w:space="0" w:color="auto"/>
        <w:left w:val="none" w:sz="0" w:space="0" w:color="auto"/>
        <w:bottom w:val="none" w:sz="0" w:space="0" w:color="auto"/>
        <w:right w:val="none" w:sz="0" w:space="0" w:color="auto"/>
      </w:divBdr>
    </w:div>
    <w:div w:id="1899972377">
      <w:bodyDiv w:val="1"/>
      <w:marLeft w:val="0"/>
      <w:marRight w:val="0"/>
      <w:marTop w:val="0"/>
      <w:marBottom w:val="0"/>
      <w:divBdr>
        <w:top w:val="none" w:sz="0" w:space="0" w:color="auto"/>
        <w:left w:val="none" w:sz="0" w:space="0" w:color="auto"/>
        <w:bottom w:val="none" w:sz="0" w:space="0" w:color="auto"/>
        <w:right w:val="none" w:sz="0" w:space="0" w:color="auto"/>
      </w:divBdr>
    </w:div>
    <w:div w:id="1922525161">
      <w:bodyDiv w:val="1"/>
      <w:marLeft w:val="0"/>
      <w:marRight w:val="0"/>
      <w:marTop w:val="0"/>
      <w:marBottom w:val="0"/>
      <w:divBdr>
        <w:top w:val="none" w:sz="0" w:space="0" w:color="auto"/>
        <w:left w:val="none" w:sz="0" w:space="0" w:color="auto"/>
        <w:bottom w:val="none" w:sz="0" w:space="0" w:color="auto"/>
        <w:right w:val="none" w:sz="0" w:space="0" w:color="auto"/>
      </w:divBdr>
    </w:div>
    <w:div w:id="1929922246">
      <w:bodyDiv w:val="1"/>
      <w:marLeft w:val="0"/>
      <w:marRight w:val="0"/>
      <w:marTop w:val="0"/>
      <w:marBottom w:val="0"/>
      <w:divBdr>
        <w:top w:val="none" w:sz="0" w:space="0" w:color="auto"/>
        <w:left w:val="none" w:sz="0" w:space="0" w:color="auto"/>
        <w:bottom w:val="none" w:sz="0" w:space="0" w:color="auto"/>
        <w:right w:val="none" w:sz="0" w:space="0" w:color="auto"/>
      </w:divBdr>
    </w:div>
    <w:div w:id="1947958752">
      <w:bodyDiv w:val="1"/>
      <w:marLeft w:val="0"/>
      <w:marRight w:val="0"/>
      <w:marTop w:val="0"/>
      <w:marBottom w:val="0"/>
      <w:divBdr>
        <w:top w:val="none" w:sz="0" w:space="0" w:color="auto"/>
        <w:left w:val="none" w:sz="0" w:space="0" w:color="auto"/>
        <w:bottom w:val="none" w:sz="0" w:space="0" w:color="auto"/>
        <w:right w:val="none" w:sz="0" w:space="0" w:color="auto"/>
      </w:divBdr>
    </w:div>
    <w:div w:id="1965892240">
      <w:bodyDiv w:val="1"/>
      <w:marLeft w:val="0"/>
      <w:marRight w:val="0"/>
      <w:marTop w:val="0"/>
      <w:marBottom w:val="0"/>
      <w:divBdr>
        <w:top w:val="none" w:sz="0" w:space="0" w:color="auto"/>
        <w:left w:val="none" w:sz="0" w:space="0" w:color="auto"/>
        <w:bottom w:val="none" w:sz="0" w:space="0" w:color="auto"/>
        <w:right w:val="none" w:sz="0" w:space="0" w:color="auto"/>
      </w:divBdr>
    </w:div>
    <w:div w:id="1970553987">
      <w:bodyDiv w:val="1"/>
      <w:marLeft w:val="0"/>
      <w:marRight w:val="0"/>
      <w:marTop w:val="0"/>
      <w:marBottom w:val="0"/>
      <w:divBdr>
        <w:top w:val="none" w:sz="0" w:space="0" w:color="auto"/>
        <w:left w:val="none" w:sz="0" w:space="0" w:color="auto"/>
        <w:bottom w:val="none" w:sz="0" w:space="0" w:color="auto"/>
        <w:right w:val="none" w:sz="0" w:space="0" w:color="auto"/>
      </w:divBdr>
    </w:div>
    <w:div w:id="1972444954">
      <w:bodyDiv w:val="1"/>
      <w:marLeft w:val="0"/>
      <w:marRight w:val="0"/>
      <w:marTop w:val="0"/>
      <w:marBottom w:val="0"/>
      <w:divBdr>
        <w:top w:val="none" w:sz="0" w:space="0" w:color="auto"/>
        <w:left w:val="none" w:sz="0" w:space="0" w:color="auto"/>
        <w:bottom w:val="none" w:sz="0" w:space="0" w:color="auto"/>
        <w:right w:val="none" w:sz="0" w:space="0" w:color="auto"/>
      </w:divBdr>
    </w:div>
    <w:div w:id="1979257679">
      <w:bodyDiv w:val="1"/>
      <w:marLeft w:val="0"/>
      <w:marRight w:val="0"/>
      <w:marTop w:val="0"/>
      <w:marBottom w:val="0"/>
      <w:divBdr>
        <w:top w:val="none" w:sz="0" w:space="0" w:color="auto"/>
        <w:left w:val="none" w:sz="0" w:space="0" w:color="auto"/>
        <w:bottom w:val="none" w:sz="0" w:space="0" w:color="auto"/>
        <w:right w:val="none" w:sz="0" w:space="0" w:color="auto"/>
      </w:divBdr>
    </w:div>
    <w:div w:id="2097092941">
      <w:bodyDiv w:val="1"/>
      <w:marLeft w:val="0"/>
      <w:marRight w:val="0"/>
      <w:marTop w:val="0"/>
      <w:marBottom w:val="0"/>
      <w:divBdr>
        <w:top w:val="none" w:sz="0" w:space="0" w:color="auto"/>
        <w:left w:val="none" w:sz="0" w:space="0" w:color="auto"/>
        <w:bottom w:val="none" w:sz="0" w:space="0" w:color="auto"/>
        <w:right w:val="none" w:sz="0" w:space="0" w:color="auto"/>
      </w:divBdr>
    </w:div>
    <w:div w:id="2103258381">
      <w:bodyDiv w:val="1"/>
      <w:marLeft w:val="0"/>
      <w:marRight w:val="0"/>
      <w:marTop w:val="0"/>
      <w:marBottom w:val="0"/>
      <w:divBdr>
        <w:top w:val="none" w:sz="0" w:space="0" w:color="auto"/>
        <w:left w:val="none" w:sz="0" w:space="0" w:color="auto"/>
        <w:bottom w:val="none" w:sz="0" w:space="0" w:color="auto"/>
        <w:right w:val="none" w:sz="0" w:space="0" w:color="auto"/>
      </w:divBdr>
    </w:div>
    <w:div w:id="2104446840">
      <w:bodyDiv w:val="1"/>
      <w:marLeft w:val="0"/>
      <w:marRight w:val="0"/>
      <w:marTop w:val="0"/>
      <w:marBottom w:val="0"/>
      <w:divBdr>
        <w:top w:val="none" w:sz="0" w:space="0" w:color="auto"/>
        <w:left w:val="none" w:sz="0" w:space="0" w:color="auto"/>
        <w:bottom w:val="none" w:sz="0" w:space="0" w:color="auto"/>
        <w:right w:val="none" w:sz="0" w:space="0" w:color="auto"/>
      </w:divBdr>
    </w:div>
    <w:div w:id="2122213688">
      <w:bodyDiv w:val="1"/>
      <w:marLeft w:val="0"/>
      <w:marRight w:val="0"/>
      <w:marTop w:val="0"/>
      <w:marBottom w:val="0"/>
      <w:divBdr>
        <w:top w:val="none" w:sz="0" w:space="0" w:color="auto"/>
        <w:left w:val="none" w:sz="0" w:space="0" w:color="auto"/>
        <w:bottom w:val="none" w:sz="0" w:space="0" w:color="auto"/>
        <w:right w:val="none" w:sz="0" w:space="0" w:color="auto"/>
      </w:divBdr>
    </w:div>
    <w:div w:id="2132627998">
      <w:bodyDiv w:val="1"/>
      <w:marLeft w:val="0"/>
      <w:marRight w:val="0"/>
      <w:marTop w:val="0"/>
      <w:marBottom w:val="0"/>
      <w:divBdr>
        <w:top w:val="none" w:sz="0" w:space="0" w:color="auto"/>
        <w:left w:val="none" w:sz="0" w:space="0" w:color="auto"/>
        <w:bottom w:val="none" w:sz="0" w:space="0" w:color="auto"/>
        <w:right w:val="none" w:sz="0" w:space="0" w:color="auto"/>
      </w:divBdr>
    </w:div>
    <w:div w:id="2135639626">
      <w:bodyDiv w:val="1"/>
      <w:marLeft w:val="0"/>
      <w:marRight w:val="0"/>
      <w:marTop w:val="0"/>
      <w:marBottom w:val="0"/>
      <w:divBdr>
        <w:top w:val="none" w:sz="0" w:space="0" w:color="auto"/>
        <w:left w:val="none" w:sz="0" w:space="0" w:color="auto"/>
        <w:bottom w:val="none" w:sz="0" w:space="0" w:color="auto"/>
        <w:right w:val="none" w:sz="0" w:space="0" w:color="auto"/>
      </w:divBdr>
    </w:div>
    <w:div w:id="214115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War10</b:Tag>
    <b:SourceType>InternetSite</b:SourceType>
    <b:Guid>{3D9EFA68-5024-4D2A-9568-D69DA3A085DD}</b:Guid>
    <b:Title>Beginners' Guide to Islamic Finance</b:Title>
    <b:Year>2010</b:Year>
    <b:YearAccessed>2018</b:YearAccessed>
    <b:MonthAccessed>November</b:MonthAccessed>
    <b:DayAccessed>28</b:DayAccessed>
    <b:URL>https://www.ft.com/content/8c9bc2fc-8845-11df-a4e7-00144feabdc0</b:URL>
    <b:Author>
      <b:Author>
        <b:NameList>
          <b:Person>
            <b:Last>Warwick-Ching</b:Last>
            <b:First>Lucy</b:First>
          </b:Person>
        </b:NameList>
      </b:Author>
    </b:Author>
    <b:RefOrder>1</b:RefOrder>
  </b:Source>
  <b:Source>
    <b:Tag>Bur18</b:Tag>
    <b:SourceType>Misc</b:SourceType>
    <b:Guid>{EA643C8F-6AB6-4962-A10E-E2081C298525}</b:Guid>
    <b:Title>Week 6 Lecture 2 - Islamic Finance</b:Title>
    <b:Year>2018</b:Year>
    <b:City>Wales</b:City>
    <b:Publisher>Moodle</b:Publisher>
    <b:Author>
      <b:Author>
        <b:NameList>
          <b:Person>
            <b:Last>Burns</b:Last>
            <b:First>Anthony</b:First>
          </b:Person>
        </b:NameList>
      </b:Author>
    </b:Author>
    <b:RefOrder>2</b:RefOrder>
  </b:Source>
  <b:Source>
    <b:Tag>Dom18</b:Tag>
    <b:SourceType>InternetSite</b:SourceType>
    <b:Guid>{7D884E52-3C39-4B5E-925E-F68C7A7AFD34}</b:Guid>
    <b:Title>The first installment of a Global Finance FAQ web series on Islamic finance.</b:Title>
    <b:Year>2018</b:Year>
    <b:YearAccessed>2018</b:YearAccessed>
    <b:MonthAccessed>November</b:MonthAccessed>
    <b:DayAccessed>28</b:DayAccessed>
    <b:URL>https://www.gfmag.com/topics/blogs/islamic-finance-faq-what-islamic-finance-and-how-does-it-work</b:URL>
    <b:Author>
      <b:Author>
        <b:NameList>
          <b:Person>
            <b:Last>Domat </b:Last>
            <b:First>Chloe</b:First>
          </b:Person>
        </b:NameList>
      </b:Author>
    </b:Author>
    <b:RefOrder>4</b:RefOrder>
  </b:Source>
  <b:Source>
    <b:Tag>The13</b:Tag>
    <b:SourceType>InternetSite</b:SourceType>
    <b:Guid>{6CC82CBE-FE2D-4A65-A91C-02268515297A}</b:Guid>
    <b:Title>Explainer: how does Islamic finance work? </b:Title>
    <b:Year>2013</b:Year>
    <b:YearAccessed>2018</b:YearAccessed>
    <b:MonthAccessed>November</b:MonthAccessed>
    <b:DayAccessed>28</b:DayAccessed>
    <b:URL>http://theconversation.com/explainer-how-does-islamic-finance-work-19670</b:URL>
    <b:Author>
      <b:Author>
        <b:NameList>
          <b:Person>
            <b:Last>Conversation</b:Last>
            <b:First>The</b:First>
          </b:Person>
        </b:NameList>
      </b:Author>
    </b:Author>
    <b:RefOrder>6</b:RefOrder>
  </b:Source>
  <b:Source>
    <b:Tag>Lal18</b:Tag>
    <b:SourceType>InternetSite</b:SourceType>
    <b:Guid>{56B29B60-9C8C-44C2-8B9D-E5C9B81AC4FE}</b:Guid>
    <b:Title>Duties and Responsibilities of Shari’ah Boards from a Legal and Regulatory Perspective</b:Title>
    <b:Year>2018</b:Year>
    <b:YearAccessed>2018</b:YearAccessed>
    <b:MonthAccessed>November</b:MonthAccessed>
    <b:DayAccessed>29</b:DayAccessed>
    <b:URL>http://www.amanieacademy.com/articles/item/duties-and-responsibilities-of-shari-ah-boards-from-a-legal-and-regulatory-perspective</b:URL>
    <b:Author>
      <b:Author>
        <b:NameList>
          <b:Person>
            <b:Last>Laldin</b:Last>
            <b:Middle>Akram</b:Middle>
            <b:First>Mohamad</b:First>
          </b:Person>
        </b:NameList>
      </b:Author>
    </b:Author>
    <b:Month>January</b:Month>
    <b:Day>20</b:Day>
    <b:JournalName>Amanie Ad</b:JournalName>
    <b:RefOrder>3</b:RefOrder>
  </b:Source>
  <b:Source>
    <b:Tag>Hay16</b:Tag>
    <b:SourceType>InternetSite</b:SourceType>
    <b:Guid>{B976894E-72DA-4BD8-B0FB-68C896AAA97E}</b:Guid>
    <b:Title>Is the Islamic Finance Industry a Success or Failure?</b:Title>
    <b:Year>2016</b:Year>
    <b:YearAccessed>2018</b:YearAccessed>
    <b:MonthAccessed>December</b:MonthAccessed>
    <b:DayAccessed>02</b:DayAccessed>
    <b:URL>https://blogs.cfainstitute.org/investor/2015/02/18/is-the-islamic-finance-industry-a-success-or-failure/</b:URL>
    <b:Author>
      <b:Author>
        <b:NameList>
          <b:Person>
            <b:Last>Hayat</b:Last>
            <b:First>Usman</b:First>
          </b:Person>
        </b:NameList>
      </b:Author>
    </b:Author>
    <b:RefOrder>17</b:RefOrder>
  </b:Source>
  <b:Source>
    <b:Tag>Hal12</b:Tag>
    <b:SourceType>DocumentFromInternetSite</b:SourceType>
    <b:Guid>{6477E917-E918-497A-9B9E-20E7FA252F3F}</b:Guid>
    <b:Title>Islamic banking: Impressive growth underscores success</b:Title>
    <b:Year>2012</b:Year>
    <b:Month>March</b:Month>
    <b:Publisher>Financial Times</b:Publisher>
    <b:Author>
      <b:Author>
        <b:NameList>
          <b:Person>
            <b:Last>Hall</b:Last>
            <b:First>Camilla</b:First>
          </b:Person>
        </b:NameList>
      </b:Author>
    </b:Author>
    <b:JournalName>Financial Times</b:JournalName>
    <b:Day>27</b:Day>
    <b:YearAccessed>2018</b:YearAccessed>
    <b:MonthAccessed>December</b:MonthAccessed>
    <b:DayAccessed>02</b:DayAccessed>
    <b:URL>https://www.ft.com/content/09a99422-7291-11e1-9be9-00144feab49a</b:URL>
    <b:RefOrder>5</b:RefOrder>
  </b:Source>
  <b:Source>
    <b:Tag>Pow18</b:Tag>
    <b:SourceType>InternetSite</b:SourceType>
    <b:Guid>{926D5270-DEA0-4616-9744-15BBB3D8F2FF}</b:Guid>
    <b:Title>Islamic Banking Grows in Africa Amid Booming Muslim Population </b:Title>
    <b:Year>2018</b:Year>
    <b:YearAccessed>2018</b:YearAccessed>
    <b:MonthAccessed>December</b:MonthAccessed>
    <b:DayAccessed>02</b:DayAccessed>
    <b:URL>https://www.voanews.com/a/4626914.html</b:URL>
    <b:Author>
      <b:Author>
        <b:NameList>
          <b:Person>
            <b:Last>Powell</b:Last>
            <b:First>Anita</b:First>
          </b:Person>
        </b:NameList>
      </b:Author>
    </b:Author>
    <b:RefOrder>7</b:RefOrder>
  </b:Source>
  <b:Source>
    <b:Tag>Kha08</b:Tag>
    <b:SourceType>JournalArticle</b:SourceType>
    <b:Guid>{F9D59D5D-6415-42E2-9EDC-EAB36CB107E8}</b:Guid>
    <b:Title>Islamic banking and finance: on its way to globalization</b:Title>
    <b:Year>2008</b:Year>
    <b:Author>
      <b:Author>
        <b:NameList>
          <b:Person>
            <b:Last>Khan</b:Last>
            <b:First>Mansoor</b:First>
          </b:Person>
          <b:Person>
            <b:Last>Bhatti</b:Last>
            <b:First>Ishaq</b:First>
          </b:Person>
        </b:NameList>
      </b:Author>
    </b:Author>
    <b:JournalName>Emerald Insight</b:JournalName>
    <b:Pages>708-725</b:Pages>
    <b:Volume>34</b:Volume>
    <b:Issue>10</b:Issue>
    <b:RefOrder>21</b:RefOrder>
  </b:Source>
  <b:Source>
    <b:Tag>Kin15</b:Tag>
    <b:SourceType>InternetSite</b:SourceType>
    <b:Guid>{C7062E6D-52FA-49FD-B339-09EBA497336C}</b:Guid>
    <b:Title>Malaysia's recipe for Islamic finance success</b:Title>
    <b:Year>2015</b:Year>
    <b:Author>
      <b:Author>
        <b:NameList>
          <b:Person>
            <b:Last>King</b:Last>
            <b:First>James</b:First>
          </b:Person>
        </b:NameList>
      </b:Author>
    </b:Author>
    <b:YearAccessed>2018</b:YearAccessed>
    <b:MonthAccessed>December</b:MonthAccessed>
    <b:DayAccessed>03</b:DayAccessed>
    <b:URL>https://www.thebanker.com/Markets/Islamic-Finance/Malaysia-s-recipe-for-Islamic-finance-success</b:URL>
    <b:RefOrder>8</b:RefOrder>
  </b:Source>
  <b:Source>
    <b:Tag>Mos14</b:Tag>
    <b:SourceType>JournalArticle</b:SourceType>
    <b:Guid>{CE1E811B-6673-4F44-9F98-A37E55E99346}</b:Guid>
    <b:Title>Sukuk and Bond Performance in Malaysia </b:Title>
    <b:Year>2014</b:Year>
    <b:JournalName>International Journal of Economic and Finance</b:JournalName>
    <b:Pages>227</b:Pages>
    <b:Volume>6</b:Volume>
    <b:Issue>2</b:Issue>
    <b:Author>
      <b:Author>
        <b:NameList>
          <b:Person>
            <b:Last>Mosaid</b:Last>
            <b:Middle>El</b:Middle>
            <b:First>Fadma</b:First>
          </b:Person>
          <b:Person>
            <b:Last>Boutti</b:Last>
            <b:First>Rachid</b:First>
          </b:Person>
        </b:NameList>
      </b:Author>
    </b:Author>
    <b:RefOrder>19</b:RefOrder>
  </b:Source>
  <b:Source>
    <b:Tag>Mou18</b:Tag>
    <b:SourceType>JournalArticle</b:SourceType>
    <b:Guid>{B0CD90DC-541D-4893-AFE8-E04604990CC2}</b:Guid>
    <b:Title>The effect of Islamic banks on GDP growth: Some evidence from selected MENA countries</b:Title>
    <b:JournalName>Borsa Istanbul Review</b:JournalName>
    <b:Year>2018</b:Year>
    <b:Pages>231-247</b:Pages>
    <b:Volume>18</b:Volume>
    <b:Issue>3</b:Issue>
    <b:Author>
      <b:Author>
        <b:NameList>
          <b:Person>
            <b:Last>Moussa</b:Last>
            <b:Middle>Ben</b:Middle>
            <b:First>Fatma</b:First>
          </b:Person>
          <b:Person>
            <b:Last>Boukhatem</b:Last>
            <b:First>Jamel</b:First>
          </b:Person>
        </b:NameList>
      </b:Author>
    </b:Author>
    <b:RefOrder>22</b:RefOrder>
  </b:Source>
  <b:Source>
    <b:Tag>Ama18</b:Tag>
    <b:SourceType>InternetSite</b:SourceType>
    <b:Guid>{DA1519D5-D233-4F1B-9C0D-B709D41B78B2}</b:Guid>
    <b:Title>What is the Ideal GDP Growth Rate?</b:Title>
    <b:Year>2018</b:Year>
    <b:YearAccessed>2018</b:YearAccessed>
    <b:MonthAccessed>December</b:MonthAccessed>
    <b:DayAccessed>03</b:DayAccessed>
    <b:URL>https://www.thebalance.com/what-is-the-ideal-gdp-growth-rate-3306017</b:URL>
    <b:Author>
      <b:Author>
        <b:NameList>
          <b:Person>
            <b:Last>Amadeo</b:Last>
            <b:First>Kimberly</b:First>
          </b:Person>
        </b:NameList>
      </b:Author>
    </b:Author>
    <b:RefOrder>9</b:RefOrder>
  </b:Source>
  <b:Source>
    <b:Tag>Ama181</b:Tag>
    <b:SourceType>InternetSite</b:SourceType>
    <b:Guid>{12CCDCD5-2711-4B77-AD59-B671938B37EE}</b:Guid>
    <b:Title>What is the Business Cyle?</b:Title>
    <b:Year>2018</b:Year>
    <b:YearAccessed>2018</b:YearAccessed>
    <b:MonthAccessed>December</b:MonthAccessed>
    <b:DayAccessed>03</b:DayAccessed>
    <b:URL>https://www.thebalance.com/what-is-the-business-cycle-3305912</b:URL>
    <b:Author>
      <b:Author>
        <b:NameList>
          <b:Person>
            <b:Last>Amadeo </b:Last>
            <b:First>Kimberly</b:First>
          </b:Person>
        </b:NameList>
      </b:Author>
    </b:Author>
    <b:RefOrder>10</b:RefOrder>
  </b:Source>
  <b:Source>
    <b:Tag>Tra18</b:Tag>
    <b:SourceType>InternetSite</b:SourceType>
    <b:Guid>{9BF32485-4765-472D-913C-F338ED6A2B7E}</b:Guid>
    <b:Title>Malaysia GDP Annual Growth Rate</b:Title>
    <b:Year>2018</b:Year>
    <b:YearAccessed>2018</b:YearAccessed>
    <b:MonthAccessed>December</b:MonthAccessed>
    <b:DayAccessed>03</b:DayAccessed>
    <b:URL>https://tradingeconomics.com/malaysia/gdp-growth-annual#calendar-table</b:URL>
    <b:Author>
      <b:Author>
        <b:NameList>
          <b:Person>
            <b:Last>Economics</b:Last>
            <b:First>Trading</b:First>
          </b:Person>
        </b:NameList>
      </b:Author>
    </b:Author>
    <b:RefOrder>20</b:RefOrder>
  </b:Source>
  <b:Source>
    <b:Tag>Ket10</b:Tag>
    <b:SourceType>InternetSite</b:SourceType>
    <b:Guid>{EB81DF7C-A888-4B61-A3D4-14392FE7A716}</b:Guid>
    <b:Title>Muslim Population in Africa: 1950 – 2020</b:Title>
    <b:Year>2010</b:Year>
    <b:YearAccessed>2018</b:YearAccessed>
    <b:MonthAccessed>December</b:MonthAccessed>
    <b:DayAccessed>03</b:DayAccessed>
    <b:URL>http://www.ijesd.org/papers/27-D436.pdf</b:URL>
    <b:Author>
      <b:Author>
        <b:NameList>
          <b:Person>
            <b:Last>Kettani</b:Last>
            <b:First>Houssain</b:First>
          </b:Person>
        </b:NameList>
      </b:Author>
    </b:Author>
    <b:RefOrder>18</b:RefOrder>
  </b:Source>
  <b:Source>
    <b:Tag>Abd13</b:Tag>
    <b:SourceType>InternetSite</b:SourceType>
    <b:Guid>{06DD8951-4154-4C8D-B514-43A4F3B9BA2A}</b:Guid>
    <b:Title>Determinants of Islamic Banking Profitability in Malaysia</b:Title>
    <b:Year>2013</b:Year>
    <b:YearAccessed>2018</b:YearAccessed>
    <b:MonthAccessed>December</b:MonthAccessed>
    <b:DayAccessed>03</b:DayAccessed>
    <b:URL>http://www.academia.edu/8737586/Determinants_of_Islamic_Banking_Profitability_in_Malaysia</b:URL>
    <b:Author>
      <b:Author>
        <b:NameList>
          <b:Person>
            <b:Last>Abduh</b:Last>
            <b:First>Muhamad</b:First>
          </b:Person>
          <b:Person>
            <b:Last>Idrees</b:Last>
            <b:First>Yameen</b:First>
          </b:Person>
        </b:NameList>
      </b:Author>
    </b:Author>
    <b:RefOrder>11</b:RefOrder>
  </b:Source>
  <b:Source>
    <b:Tag>Tut09</b:Tag>
    <b:SourceType>InternetSite</b:SourceType>
    <b:Guid>{28E71E56-5F7D-43F7-A9BB-5CB55216A2C7}</b:Guid>
    <b:Title>Recession sparks interest in Islamic finance</b:Title>
    <b:Year>2009</b:Year>
    <b:YearAccessed>2018</b:YearAccessed>
    <b:MonthAccessed>December</b:MonthAccessed>
    <b:DayAccessed>03</b:DayAccessed>
    <b:URL>http://edition.cnn.com/2009/BUSINESS/08/25/islamic.finance/index.html</b:URL>
    <b:Author>
      <b:Author>
        <b:NameList>
          <b:Person>
            <b:Last>Tutton</b:Last>
            <b:First>Mark</b:First>
          </b:Person>
        </b:NameList>
      </b:Author>
    </b:Author>
    <b:RefOrder>16</b:RefOrder>
  </b:Source>
  <b:Source>
    <b:Tag>Ahm111</b:Tag>
    <b:SourceType>InternetSite</b:SourceType>
    <b:Guid>{F0624413-6508-46D4-83D9-D8573BA4C265}</b:Guid>
    <b:Title>The Current Economic Crisis - Is Islamic Finance a Solution?</b:Title>
    <b:Year>2011</b:Year>
    <b:YearAccessed>2018</b:YearAccessed>
    <b:MonthAccessed>December</b:MonthAccessed>
    <b:DayAccessed>04</b:DayAccessed>
    <b:URL>https://www.huffingtonpost.com/parvez-ahmed/the-current-economic-cris_b_516965.html</b:URL>
    <b:Author>
      <b:Author>
        <b:NameList>
          <b:Person>
            <b:Last>Ahmed</b:Last>
            <b:First>Parvez</b:First>
          </b:Person>
        </b:NameList>
      </b:Author>
    </b:Author>
    <b:RefOrder>23</b:RefOrder>
  </b:Source>
  <b:Source>
    <b:Tag>Wor12</b:Tag>
    <b:SourceType>InternetSite</b:SourceType>
    <b:Guid>{2BEAD023-75B8-46BF-A0E7-C62D7BED49A3}</b:Guid>
    <b:Author>
      <b:Author>
        <b:NameList>
          <b:Person>
            <b:Last>Finance</b:Last>
            <b:First>World</b:First>
          </b:Person>
        </b:NameList>
      </b:Author>
    </b:Author>
    <b:Title>Global demand for Islamic Finance model</b:Title>
    <b:Year>2012</b:Year>
    <b:YearAccessed>2018</b:YearAccessed>
    <b:MonthAccessed>December</b:MonthAccessed>
    <b:DayAccessed>04</b:DayAccessed>
    <b:URL>https://www.worldfinance.com/banking/islamic-banking/global-demand-for-islamic-finance-model</b:URL>
    <b:RefOrder>13</b:RefOrder>
  </b:Source>
  <b:Source>
    <b:Tag>Kwa17</b:Tag>
    <b:SourceType>InternetSite</b:SourceType>
    <b:Guid>{4180D281-551C-4120-A5E7-D68E3288F7FF}</b:Guid>
    <b:Title>How Islamic finance is helping fuel Malaysia’s green growth</b:Title>
    <b:Year>2017</b:Year>
    <b:YearAccessed>2018</b:YearAccessed>
    <b:MonthAccessed>December</b:MonthAccessed>
    <b:DayAccessed>04</b:DayAccessed>
    <b:URL>https://www.scmp.com/comment/insight-opinion/article/2110938/how-islamic-finance-helping-fuel-malaysias-green-growth</b:URL>
    <b:Author>
      <b:Author>
        <b:NameList>
          <b:Person>
            <b:Last>Kwakwa</b:Last>
            <b:First>Victoria</b:First>
          </b:Person>
        </b:NameList>
      </b:Author>
    </b:Author>
    <b:RefOrder>12</b:RefOrder>
  </b:Source>
  <b:Source>
    <b:Tag>Kuw14</b:Tag>
    <b:SourceType>InternetSite</b:SourceType>
    <b:Guid>{B51A18B7-DDB2-4363-8173-B283FD98CBDB}</b:Guid>
    <b:Author>
      <b:Author>
        <b:NameList>
          <b:Person>
            <b:Last>House</b:Last>
            <b:First>Kuwait</b:First>
            <b:Middle>Finance</b:Middle>
          </b:Person>
        </b:NameList>
      </b:Author>
    </b:Author>
    <b:Title>Islamic Finance Outlook 2014</b:Title>
    <b:Year>2014</b:Year>
    <b:YearAccessed>2018</b:YearAccessed>
    <b:MonthAccessed>December</b:MonthAccessed>
    <b:DayAccessed>07</b:DayAccessed>
    <b:URL>http://www.mifc.com/index.php?ch=28&amp;pg=72&amp;ac=63&amp;bb=uploadpdf</b:URL>
    <b:RefOrder>14</b:RefOrder>
  </b:Source>
  <b:Source>
    <b:Tag>Ord15</b:Tag>
    <b:SourceType>InternetSite</b:SourceType>
    <b:Guid>{A847570C-1751-42BE-B37C-5CECDE391135}</b:Guid>
    <b:Title>Islamic Finance in the UK</b:Title>
    <b:Year>2015</b:Year>
    <b:YearAccessed>2018</b:YearAccessed>
    <b:MonthAccessed>December</b:MonthAccessed>
    <b:DayAccessed>07</b:DayAccessed>
    <b:URL>https://assets.publishing.service.gov.uk/government/uploads/system/uploads/attachment_data/file/503491/2015047_Is_Fin_A5_AW_ENG_WEB.pdf</b:URL>
    <b:Author>
      <b:Author>
        <b:NameList>
          <b:Person>
            <b:Last>Ord-Smith</b:Last>
            <b:First>Robin</b:First>
          </b:Person>
        </b:NameList>
      </b:Author>
    </b:Author>
    <b:RefOrder>15</b:RefOrder>
  </b:Source>
</b:Sources>
</file>

<file path=customXml/itemProps1.xml><?xml version="1.0" encoding="utf-8"?>
<ds:datastoreItem xmlns:ds="http://schemas.openxmlformats.org/officeDocument/2006/customXml" ds:itemID="{E36D82E7-8833-4BB0-8894-E71F4FD6D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2700</TotalTime>
  <Pages>13</Pages>
  <Words>2697</Words>
  <Characters>15378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International trade</vt:lpstr>
    </vt:vector>
  </TitlesOfParts>
  <Company/>
  <LinksUpToDate>false</LinksUpToDate>
  <CharactersWithSpaces>18039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trade</dc:title>
  <dc:subject>SBUS6113 - IFM</dc:subject>
  <dc:creator>Chloe Burgess</dc:creator>
  <cp:keywords/>
  <dc:description/>
  <cp:lastModifiedBy>Chloe Burgess</cp:lastModifiedBy>
  <cp:revision>65</cp:revision>
  <dcterms:created xsi:type="dcterms:W3CDTF">2018-11-26T12:56:00Z</dcterms:created>
  <dcterms:modified xsi:type="dcterms:W3CDTF">2018-12-13T17:09:00Z</dcterms:modified>
</cp:coreProperties>
</file>