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A87E8" w14:textId="5D430837" w:rsidR="005C78C5" w:rsidRDefault="005C78C5" w:rsidP="005C78C5">
      <w:pPr>
        <w:jc w:val="center"/>
        <w:rPr>
          <w:rFonts w:ascii="Calibri" w:hAnsi="Calibri"/>
          <w:color w:val="FF0000"/>
          <w:sz w:val="72"/>
          <w:szCs w:val="72"/>
        </w:rPr>
      </w:pPr>
      <w:r>
        <w:rPr>
          <w:rFonts w:ascii="Calibri" w:hAnsi="Calibri"/>
          <w:noProof/>
          <w:color w:val="FF0000"/>
          <w:sz w:val="56"/>
          <w:szCs w:val="56"/>
        </w:rPr>
        <w:drawing>
          <wp:inline distT="0" distB="0" distL="0" distR="0" wp14:anchorId="62DA054F" wp14:editId="07583056">
            <wp:extent cx="914400" cy="914400"/>
            <wp:effectExtent l="0" t="0" r="0" b="0"/>
            <wp:docPr id="2" name="Graphic 2" descr="Warn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Warn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CB1CF" w14:textId="77777777" w:rsidR="005C78C5" w:rsidRDefault="005C78C5" w:rsidP="005C78C5">
      <w:pPr>
        <w:jc w:val="center"/>
        <w:rPr>
          <w:rFonts w:ascii="Calibri" w:hAnsi="Calibri"/>
          <w:color w:val="FF0000"/>
          <w:sz w:val="72"/>
          <w:szCs w:val="72"/>
        </w:rPr>
      </w:pPr>
      <w:r>
        <w:rPr>
          <w:rFonts w:ascii="Calibri" w:hAnsi="Calibri"/>
          <w:color w:val="FF0000"/>
          <w:sz w:val="72"/>
          <w:szCs w:val="72"/>
        </w:rPr>
        <w:t>Risk Assessment</w:t>
      </w:r>
    </w:p>
    <w:p w14:paraId="3E0E4CEF" w14:textId="77777777" w:rsidR="005C78C5" w:rsidRDefault="005C78C5" w:rsidP="005C78C5">
      <w:pPr>
        <w:jc w:val="both"/>
        <w:rPr>
          <w:rFonts w:ascii="Calibri" w:hAnsi="Calibri"/>
          <w:color w:val="000000" w:themeColor="text1"/>
          <w:sz w:val="24"/>
          <w:szCs w:val="24"/>
        </w:rPr>
      </w:pPr>
      <w:r>
        <w:rPr>
          <w:rFonts w:ascii="Calibri" w:hAnsi="Calibri"/>
          <w:color w:val="000000" w:themeColor="text1"/>
          <w:sz w:val="24"/>
          <w:szCs w:val="24"/>
        </w:rPr>
        <w:t xml:space="preserve">A risk assessment is key to health and safety. Creating awareness of hazards and risks and identifying who </w:t>
      </w:r>
      <w:proofErr w:type="spellStart"/>
      <w:r>
        <w:rPr>
          <w:rFonts w:ascii="Calibri" w:hAnsi="Calibri"/>
          <w:color w:val="000000" w:themeColor="text1"/>
          <w:sz w:val="24"/>
          <w:szCs w:val="24"/>
        </w:rPr>
        <w:t>maybe</w:t>
      </w:r>
      <w:proofErr w:type="spellEnd"/>
      <w:r>
        <w:rPr>
          <w:rFonts w:ascii="Calibri" w:hAnsi="Calibri"/>
          <w:color w:val="000000" w:themeColor="text1"/>
          <w:sz w:val="24"/>
          <w:szCs w:val="24"/>
        </w:rPr>
        <w:t xml:space="preserve"> at risk. Helping to not only </w:t>
      </w:r>
      <w:proofErr w:type="spellStart"/>
      <w:r>
        <w:rPr>
          <w:rFonts w:ascii="Calibri" w:hAnsi="Calibri"/>
          <w:color w:val="000000" w:themeColor="text1"/>
          <w:sz w:val="24"/>
          <w:szCs w:val="24"/>
        </w:rPr>
        <w:t>recognise</w:t>
      </w:r>
      <w:proofErr w:type="spellEnd"/>
      <w:r>
        <w:rPr>
          <w:rFonts w:ascii="Calibri" w:hAnsi="Calibri"/>
          <w:color w:val="000000" w:themeColor="text1"/>
          <w:sz w:val="24"/>
          <w:szCs w:val="24"/>
        </w:rPr>
        <w:t xml:space="preserve"> but control hazards that may or may not occur(Popov, Lyon and </w:t>
      </w:r>
      <w:proofErr w:type="spellStart"/>
      <w:r>
        <w:rPr>
          <w:rFonts w:ascii="Calibri" w:hAnsi="Calibri"/>
          <w:color w:val="000000" w:themeColor="text1"/>
          <w:sz w:val="24"/>
          <w:szCs w:val="24"/>
        </w:rPr>
        <w:t>Hollcroft</w:t>
      </w:r>
      <w:proofErr w:type="spellEnd"/>
      <w:r>
        <w:rPr>
          <w:rFonts w:ascii="Calibri" w:hAnsi="Calibri"/>
          <w:color w:val="000000" w:themeColor="text1"/>
          <w:sz w:val="24"/>
          <w:szCs w:val="24"/>
        </w:rPr>
        <w:t xml:space="preserve">, 2016). </w:t>
      </w:r>
    </w:p>
    <w:p w14:paraId="45AA34AE" w14:textId="77777777" w:rsidR="005C78C5" w:rsidRDefault="005C78C5" w:rsidP="005C78C5">
      <w:pPr>
        <w:jc w:val="both"/>
        <w:rPr>
          <w:rFonts w:ascii="Calibri" w:hAnsi="Calibri"/>
          <w:color w:val="000000" w:themeColor="text1"/>
          <w:sz w:val="24"/>
          <w:szCs w:val="24"/>
        </w:rPr>
      </w:pPr>
    </w:p>
    <w:p w14:paraId="2DB3D878" w14:textId="77777777" w:rsidR="005C78C5" w:rsidRDefault="005C78C5" w:rsidP="005C78C5">
      <w:pPr>
        <w:jc w:val="both"/>
        <w:rPr>
          <w:rFonts w:ascii="Calibri" w:hAnsi="Calibri"/>
          <w:color w:val="000000" w:themeColor="text1"/>
          <w:sz w:val="24"/>
          <w:szCs w:val="24"/>
        </w:rPr>
      </w:pPr>
      <w:r>
        <w:rPr>
          <w:rFonts w:ascii="Calibri" w:hAnsi="Calibri"/>
          <w:color w:val="000000" w:themeColor="text1"/>
          <w:sz w:val="24"/>
          <w:szCs w:val="24"/>
        </w:rPr>
        <w:t>Risk assessment are paramour to youth work and youth workers. As a service we are required to keep young people safe, risk assessments enable us to plan for the unexpected  (Youth Work Essential,2020).</w:t>
      </w:r>
    </w:p>
    <w:p w14:paraId="67844497" w14:textId="77777777" w:rsidR="005C78C5" w:rsidRDefault="005C78C5" w:rsidP="005C78C5">
      <w:pPr>
        <w:rPr>
          <w:rFonts w:ascii="Calibri" w:hAnsi="Calibri"/>
          <w:color w:val="FF0000"/>
          <w:sz w:val="72"/>
          <w:szCs w:val="72"/>
        </w:rPr>
      </w:pPr>
    </w:p>
    <w:p w14:paraId="58483C41" w14:textId="77777777" w:rsidR="005C78C5" w:rsidRDefault="005C78C5" w:rsidP="005C78C5">
      <w:pPr>
        <w:pStyle w:val="ListParagraph"/>
        <w:rPr>
          <w:rFonts w:ascii="Calibri" w:hAnsi="Calibri"/>
          <w:color w:val="FF0000"/>
          <w:sz w:val="72"/>
          <w:szCs w:val="72"/>
        </w:rPr>
      </w:pPr>
    </w:p>
    <w:p w14:paraId="715A6152" w14:textId="77777777" w:rsidR="005C78C5" w:rsidRDefault="005C78C5" w:rsidP="005C78C5">
      <w:pPr>
        <w:rPr>
          <w:rFonts w:ascii="Calibri" w:hAnsi="Calibri"/>
          <w:sz w:val="28"/>
          <w:szCs w:val="28"/>
        </w:rPr>
      </w:pPr>
    </w:p>
    <w:p w14:paraId="4CABF15E" w14:textId="77777777" w:rsidR="005C78C5" w:rsidRDefault="005C78C5" w:rsidP="005C78C5">
      <w:pPr>
        <w:rPr>
          <w:rFonts w:ascii="Calibri" w:hAnsi="Calibri"/>
          <w:sz w:val="28"/>
          <w:szCs w:val="28"/>
        </w:rPr>
      </w:pPr>
    </w:p>
    <w:p w14:paraId="663C7CED" w14:textId="3354862B" w:rsidR="005C78C5" w:rsidRDefault="005C78C5" w:rsidP="005C78C5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lastRenderedPageBreak/>
        <w:t xml:space="preserve">Location: </w:t>
      </w:r>
      <w:proofErr w:type="spellStart"/>
      <w:r>
        <w:rPr>
          <w:rFonts w:ascii="Calibri" w:hAnsi="Calibri"/>
          <w:sz w:val="28"/>
          <w:szCs w:val="28"/>
        </w:rPr>
        <w:t>Bwlch</w:t>
      </w:r>
      <w:proofErr w:type="spellEnd"/>
      <w:r>
        <w:rPr>
          <w:rFonts w:ascii="Calibri" w:hAnsi="Calibri"/>
          <w:sz w:val="28"/>
          <w:szCs w:val="28"/>
        </w:rPr>
        <w:t xml:space="preserve"> Youth Club (</w:t>
      </w:r>
      <w:proofErr w:type="spellStart"/>
      <w:r>
        <w:rPr>
          <w:rFonts w:ascii="Calibri" w:hAnsi="Calibri"/>
          <w:sz w:val="28"/>
          <w:szCs w:val="28"/>
        </w:rPr>
        <w:t>Llanelli</w:t>
      </w:r>
      <w:proofErr w:type="spellEnd"/>
      <w:r>
        <w:rPr>
          <w:rFonts w:ascii="Calibri" w:hAnsi="Calibri"/>
          <w:sz w:val="28"/>
          <w:szCs w:val="28"/>
        </w:rPr>
        <w:t>)</w:t>
      </w:r>
    </w:p>
    <w:tbl>
      <w:tblPr>
        <w:tblW w:w="141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969"/>
        <w:gridCol w:w="1984"/>
        <w:gridCol w:w="4959"/>
        <w:gridCol w:w="3685"/>
      </w:tblGrid>
      <w:tr w:rsidR="005C78C5" w14:paraId="28A463A4" w14:textId="77777777" w:rsidTr="005C78C5">
        <w:trPr>
          <w:trHeight w:val="32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7ED8" w14:textId="77777777" w:rsidR="005C78C5" w:rsidRDefault="005C78C5">
            <w:pPr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Ref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E9C8" w14:textId="77777777" w:rsidR="005C78C5" w:rsidRDefault="005C78C5">
            <w:pPr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Hazard / Task / Activity</w:t>
            </w:r>
          </w:p>
          <w:p w14:paraId="4D0451CE" w14:textId="77777777" w:rsidR="005C78C5" w:rsidRDefault="005C78C5">
            <w:pPr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 Area of Concern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35DC" w14:textId="77777777" w:rsidR="005C78C5" w:rsidRDefault="005C78C5">
            <w:pPr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Persons at Risk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61397" w14:textId="77777777" w:rsidR="005C78C5" w:rsidRDefault="005C78C5">
            <w:pPr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Control Measures</w:t>
            </w:r>
          </w:p>
          <w:p w14:paraId="4B5A3317" w14:textId="77777777" w:rsidR="005C78C5" w:rsidRDefault="005C78C5">
            <w:pPr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(Existing)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6CBC6" w14:textId="77777777" w:rsidR="005C78C5" w:rsidRDefault="005C78C5">
            <w:pPr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Additional Control Measures</w:t>
            </w:r>
          </w:p>
        </w:tc>
      </w:tr>
      <w:tr w:rsidR="005C78C5" w14:paraId="2CBD0996" w14:textId="77777777" w:rsidTr="005C78C5">
        <w:trPr>
          <w:trHeight w:val="59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55F5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</w:p>
          <w:p w14:paraId="26E16781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8EFD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Fire Exits– blocked exits causing risk of harm including death to individuals in an emergency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528F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 w:hanging="40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</w:t>
            </w:r>
          </w:p>
          <w:p w14:paraId="6769F8D6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 w:hanging="40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  <w:p w14:paraId="677C0F1E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 w:hanging="40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Public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E8E3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Fire exits to be kept clear at all times</w:t>
            </w:r>
          </w:p>
          <w:p w14:paraId="105F1107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F4BD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All employees perform area reviews</w:t>
            </w:r>
          </w:p>
          <w:p w14:paraId="33E5BD2B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Signage to be placed in the area</w:t>
            </w:r>
          </w:p>
          <w:p w14:paraId="0F96F18B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Dedicated storage areas to be created </w:t>
            </w:r>
          </w:p>
        </w:tc>
      </w:tr>
      <w:tr w:rsidR="005C78C5" w14:paraId="3E9A9CE9" w14:textId="77777777" w:rsidTr="005C78C5">
        <w:trPr>
          <w:trHeight w:val="5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79C9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</w:p>
          <w:p w14:paraId="17BDFA00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8DB7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Kitchen – risk of harm to individuals from boiling items and sharp items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59CC4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</w:t>
            </w:r>
          </w:p>
          <w:p w14:paraId="0F9BEBA4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  <w:p w14:paraId="6BAB9D49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Public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E7E4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Young people to be supervised </w:t>
            </w:r>
          </w:p>
          <w:p w14:paraId="5D75DEBB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Sharp objects are kept out of reach/locked away when not in use</w:t>
            </w:r>
          </w:p>
          <w:p w14:paraId="0DEEA206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Kitchen not to be overcrowded (maximum of 5 people at one time)</w:t>
            </w:r>
          </w:p>
          <w:p w14:paraId="16CA7DD9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Always turn pot handles away from front of stove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B41D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Signage to be put in place</w:t>
            </w:r>
          </w:p>
          <w:p w14:paraId="59ECA4E9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All young people and public to be made aware of the risks</w:t>
            </w:r>
          </w:p>
          <w:p w14:paraId="667F5988" w14:textId="77777777" w:rsidR="005C78C5" w:rsidRDefault="005C78C5">
            <w:pPr>
              <w:pStyle w:val="ListParagraph"/>
              <w:rPr>
                <w:rFonts w:ascii="Calibri" w:hAnsi="Calibri"/>
                <w:sz w:val="20"/>
                <w:szCs w:val="20"/>
              </w:rPr>
            </w:pPr>
          </w:p>
        </w:tc>
      </w:tr>
      <w:tr w:rsidR="005C78C5" w14:paraId="5D3A903A" w14:textId="77777777" w:rsidTr="005C78C5">
        <w:trPr>
          <w:trHeight w:val="22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5CB4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</w:p>
          <w:p w14:paraId="402B38DC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3719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Kitchen Electrical idea i.e. Cooker, Microwave and Kettle</w:t>
            </w:r>
          </w:p>
          <w:p w14:paraId="5C1B987E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Risk of harm when using electrical items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EE85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</w:t>
            </w:r>
          </w:p>
          <w:p w14:paraId="438C2880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  <w:p w14:paraId="72FA9B93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17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Public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F57E2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PAT tests are up to date</w:t>
            </w:r>
          </w:p>
          <w:p w14:paraId="1A4B27C9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Keep electrical equipment or/and outlets away from water</w:t>
            </w:r>
          </w:p>
          <w:p w14:paraId="504203B7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Do not overload power outlets </w:t>
            </w:r>
          </w:p>
          <w:p w14:paraId="0F955814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Make sure hands are dry </w:t>
            </w:r>
          </w:p>
          <w:p w14:paraId="6F60AD83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46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Never use an electrical item that has any  damage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D67E8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Pre-use checks could be introduced to ensure that there is no damage to any electrical items.</w:t>
            </w:r>
          </w:p>
          <w:p w14:paraId="30B83016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Signage to ensure that individuals dry hands prior to touching an electrical item</w:t>
            </w:r>
          </w:p>
          <w:p w14:paraId="251978C3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First Aid Kit to be purchased</w:t>
            </w:r>
          </w:p>
        </w:tc>
      </w:tr>
      <w:tr w:rsidR="005C78C5" w14:paraId="27C0BECA" w14:textId="77777777" w:rsidTr="005C78C5">
        <w:trPr>
          <w:trHeight w:val="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F489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</w:p>
          <w:p w14:paraId="07A10217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9E96C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Slips/Trips – risk of harm to all individuals during spillages, storage of boxes etc. causing potential bruising or MSK injuries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CAF80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</w:t>
            </w:r>
          </w:p>
          <w:p w14:paraId="1D457E1F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  <w:p w14:paraId="0E041CB8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Public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6DD3" w14:textId="77777777" w:rsidR="005C78C5" w:rsidRDefault="005C78C5" w:rsidP="007F5A12">
            <w:pPr>
              <w:pStyle w:val="ListParagraph"/>
              <w:numPr>
                <w:ilvl w:val="0"/>
                <w:numId w:val="2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Check club for lead/wires hanging out</w:t>
            </w:r>
          </w:p>
          <w:p w14:paraId="60580D38" w14:textId="77777777" w:rsidR="005C78C5" w:rsidRDefault="005C78C5" w:rsidP="007F5A12">
            <w:pPr>
              <w:pStyle w:val="ListParagraph"/>
              <w:numPr>
                <w:ilvl w:val="0"/>
                <w:numId w:val="2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Remove items that are in inappropriate places</w:t>
            </w:r>
          </w:p>
          <w:p w14:paraId="2D0007D1" w14:textId="77777777" w:rsidR="005C78C5" w:rsidRDefault="005C78C5" w:rsidP="007F5A12">
            <w:pPr>
              <w:pStyle w:val="ListParagraph"/>
              <w:numPr>
                <w:ilvl w:val="0"/>
                <w:numId w:val="2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Check for spillages (always use wet floor sign when required)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BB08" w14:textId="77777777" w:rsidR="005C78C5" w:rsidRDefault="005C78C5" w:rsidP="007F5A12">
            <w:pPr>
              <w:pStyle w:val="ListParagraph"/>
              <w:numPr>
                <w:ilvl w:val="0"/>
                <w:numId w:val="2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Create area for storage</w:t>
            </w:r>
          </w:p>
          <w:p w14:paraId="1C6C2782" w14:textId="77777777" w:rsidR="005C78C5" w:rsidRDefault="005C78C5" w:rsidP="007F5A12">
            <w:pPr>
              <w:pStyle w:val="ListParagraph"/>
              <w:numPr>
                <w:ilvl w:val="0"/>
                <w:numId w:val="2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Signage for the area</w:t>
            </w:r>
          </w:p>
          <w:p w14:paraId="7C34549B" w14:textId="77777777" w:rsidR="005C78C5" w:rsidRDefault="005C78C5" w:rsidP="007F5A12">
            <w:pPr>
              <w:pStyle w:val="ListParagraph"/>
              <w:numPr>
                <w:ilvl w:val="0"/>
                <w:numId w:val="2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Implement a spill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clean up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team</w:t>
            </w:r>
          </w:p>
          <w:p w14:paraId="7E9EA8DA" w14:textId="77777777" w:rsidR="005C78C5" w:rsidRDefault="005C78C5" w:rsidP="007F5A12">
            <w:pPr>
              <w:pStyle w:val="ListParagraph"/>
              <w:numPr>
                <w:ilvl w:val="0"/>
                <w:numId w:val="2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 xml:space="preserve">Area reviews to ensure that any potential slips and trips are removed </w:t>
            </w:r>
          </w:p>
        </w:tc>
      </w:tr>
      <w:tr w:rsidR="005C78C5" w14:paraId="2F68F2EA" w14:textId="77777777" w:rsidTr="005C78C5">
        <w:trPr>
          <w:trHeight w:val="64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0E25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</w:p>
          <w:p w14:paraId="217F7537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0754E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Cleaning Products – risk of harm for individuals who could drink or throw items causing burns or internal injuries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FF43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</w:t>
            </w:r>
          </w:p>
          <w:p w14:paraId="072D8396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  <w:p w14:paraId="781DC796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Public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ECB3E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Harmful product to be locked away when not in use</w:t>
            </w:r>
          </w:p>
          <w:p w14:paraId="0047C5D8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See cleaning product for advice if situation occurs i.e. goes in someone’s eyes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AB69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Review all cleaning products and introduce COSHH Assessments</w:t>
            </w:r>
          </w:p>
          <w:p w14:paraId="5C25C0F9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First Aid to be purchased </w:t>
            </w:r>
          </w:p>
        </w:tc>
      </w:tr>
      <w:tr w:rsidR="005C78C5" w14:paraId="724283B6" w14:textId="77777777" w:rsidTr="005C78C5">
        <w:trPr>
          <w:trHeight w:val="64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C868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42FF9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Pool table / Tablet tennis – risk of harm to individuals due to throwing or aggression pool balls, cues and table tennis rackets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3667" w14:textId="77777777" w:rsidR="005C78C5" w:rsidRDefault="005C78C5" w:rsidP="007F5A12">
            <w:pPr>
              <w:pStyle w:val="ListParagraph"/>
              <w:numPr>
                <w:ilvl w:val="0"/>
                <w:numId w:val="4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EA2F" w14:textId="77777777" w:rsidR="005C78C5" w:rsidRDefault="005C78C5" w:rsidP="007F5A12">
            <w:pPr>
              <w:pStyle w:val="ListParagraph"/>
              <w:numPr>
                <w:ilvl w:val="0"/>
                <w:numId w:val="5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Pool cues/ bats are only to be used for intended purpose</w:t>
            </w:r>
          </w:p>
          <w:p w14:paraId="5F24BB9A" w14:textId="77777777" w:rsidR="005C78C5" w:rsidRDefault="005C78C5" w:rsidP="007F5A12">
            <w:pPr>
              <w:pStyle w:val="ListParagraph"/>
              <w:numPr>
                <w:ilvl w:val="0"/>
                <w:numId w:val="5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Spectators are to stay a safe distance from the pool table/ table tennis table whilst games are in play</w:t>
            </w:r>
          </w:p>
          <w:p w14:paraId="1F3DFB6F" w14:textId="77777777" w:rsidR="005C78C5" w:rsidRDefault="005C78C5" w:rsidP="007F5A12">
            <w:pPr>
              <w:pStyle w:val="ListParagraph"/>
              <w:numPr>
                <w:ilvl w:val="0"/>
                <w:numId w:val="5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 member are to be vigilant at all times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387CD" w14:textId="77777777" w:rsidR="005C78C5" w:rsidRDefault="005C78C5" w:rsidP="007F5A12">
            <w:pPr>
              <w:pStyle w:val="ListParagraph"/>
              <w:numPr>
                <w:ilvl w:val="0"/>
                <w:numId w:val="5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Ensure that all individuals using the pool table or table tennis area are aware of the rules </w:t>
            </w:r>
          </w:p>
          <w:p w14:paraId="5EDD78F8" w14:textId="77777777" w:rsidR="005C78C5" w:rsidRDefault="005C78C5" w:rsidP="007F5A12">
            <w:pPr>
              <w:pStyle w:val="ListParagraph"/>
              <w:numPr>
                <w:ilvl w:val="0"/>
                <w:numId w:val="5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Signage to be placed in the area</w:t>
            </w:r>
          </w:p>
          <w:p w14:paraId="7176B674" w14:textId="77777777" w:rsidR="005C78C5" w:rsidRDefault="005C78C5" w:rsidP="007F5A12">
            <w:pPr>
              <w:pStyle w:val="ListParagraph"/>
              <w:numPr>
                <w:ilvl w:val="0"/>
                <w:numId w:val="5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 members are trained in first aid</w:t>
            </w:r>
          </w:p>
        </w:tc>
      </w:tr>
      <w:tr w:rsidR="005C78C5" w14:paraId="400037D2" w14:textId="77777777" w:rsidTr="005C78C5">
        <w:trPr>
          <w:trHeight w:val="64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DBD1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4E720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Electrical item i.e. games station</w:t>
            </w:r>
          </w:p>
          <w:p w14:paraId="02B37665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Risk of harm to user including risk including risk of epileptic fits, shock from drinking while using the game console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1A3E9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</w:t>
            </w:r>
          </w:p>
          <w:p w14:paraId="3A89EEDB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  <w:p w14:paraId="589D248B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ind w:left="36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Public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FD24C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PAT tests are up to date</w:t>
            </w:r>
          </w:p>
          <w:p w14:paraId="6B83735E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Keep electrical equipment or/and outlets away from water</w:t>
            </w:r>
          </w:p>
          <w:p w14:paraId="2CEDBB1C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Do not overload power outlets </w:t>
            </w:r>
          </w:p>
          <w:p w14:paraId="372FF29F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Make sure hand are dry </w:t>
            </w:r>
          </w:p>
          <w:p w14:paraId="457B823F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496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Never use an electrical item that has any type of damage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857A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 any individuals with pre-exiting medical conditions , notification to be made to staff</w:t>
            </w:r>
          </w:p>
          <w:p w14:paraId="7C4D63F2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ind w:left="50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Signage to be placed in area to remove </w:t>
            </w:r>
          </w:p>
        </w:tc>
      </w:tr>
      <w:tr w:rsidR="005C78C5" w14:paraId="571B061C" w14:textId="77777777" w:rsidTr="005C78C5">
        <w:trPr>
          <w:trHeight w:val="64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4555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CA1B" w14:textId="77777777" w:rsidR="005C78C5" w:rsidRDefault="005C78C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Activities – risk of harm from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07428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Staff</w:t>
            </w:r>
          </w:p>
          <w:p w14:paraId="1AB4F03C" w14:textId="77777777" w:rsidR="005C78C5" w:rsidRDefault="005C78C5" w:rsidP="007F5A12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Young People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0EF23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Individual risk assessment required prior to activities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D42D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Ensure that first aider is in attendance</w:t>
            </w:r>
          </w:p>
          <w:p w14:paraId="20E2A09C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All individuals are aware of their surroundings</w:t>
            </w:r>
          </w:p>
          <w:p w14:paraId="3138477B" w14:textId="77777777" w:rsidR="005C78C5" w:rsidRDefault="005C78C5" w:rsidP="007F5A12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Team talk to highlight any risks prior to any activities </w:t>
            </w:r>
          </w:p>
        </w:tc>
      </w:tr>
    </w:tbl>
    <w:p w14:paraId="42C64480" w14:textId="77777777" w:rsidR="005C78C5" w:rsidRDefault="005C78C5" w:rsidP="005C78C5">
      <w:pPr>
        <w:rPr>
          <w:rFonts w:ascii="Calibri" w:hAnsi="Calibri"/>
        </w:rPr>
      </w:pPr>
    </w:p>
    <w:p w14:paraId="1C27844B" w14:textId="77777777" w:rsidR="005C78C5" w:rsidRDefault="005C78C5" w:rsidP="005C78C5">
      <w:pPr>
        <w:spacing w:line="240" w:lineRule="auto"/>
        <w:jc w:val="both"/>
        <w:rPr>
          <w:rFonts w:ascii="Calibri" w:hAnsi="Calibri"/>
          <w:color w:val="000000" w:themeColor="text1"/>
          <w:sz w:val="16"/>
          <w:szCs w:val="16"/>
          <w:u w:val="single"/>
        </w:rPr>
      </w:pPr>
    </w:p>
    <w:p w14:paraId="45E98860" w14:textId="77777777" w:rsidR="005C78C5" w:rsidRDefault="005C78C5" w:rsidP="005C78C5">
      <w:pPr>
        <w:spacing w:line="240" w:lineRule="auto"/>
        <w:jc w:val="both"/>
        <w:rPr>
          <w:rFonts w:ascii="Calibri" w:hAnsi="Calibri"/>
          <w:color w:val="000000" w:themeColor="text1"/>
          <w:sz w:val="16"/>
          <w:szCs w:val="16"/>
          <w:u w:val="single"/>
        </w:rPr>
      </w:pPr>
    </w:p>
    <w:p w14:paraId="4B3EC4A8" w14:textId="330AF1C3" w:rsidR="005C78C5" w:rsidRDefault="005C78C5" w:rsidP="005C78C5">
      <w:pPr>
        <w:spacing w:line="240" w:lineRule="auto"/>
        <w:jc w:val="both"/>
        <w:rPr>
          <w:rFonts w:ascii="Calibri" w:hAnsi="Calibri"/>
          <w:color w:val="000000" w:themeColor="text1"/>
          <w:sz w:val="16"/>
          <w:szCs w:val="16"/>
        </w:rPr>
      </w:pPr>
      <w:bookmarkStart w:id="0" w:name="_GoBack"/>
      <w:bookmarkEnd w:id="0"/>
      <w:r>
        <w:rPr>
          <w:rFonts w:ascii="Calibri" w:hAnsi="Calibri"/>
          <w:color w:val="000000" w:themeColor="text1"/>
          <w:sz w:val="16"/>
          <w:szCs w:val="16"/>
          <w:u w:val="single"/>
        </w:rPr>
        <w:t>Reference</w:t>
      </w:r>
    </w:p>
    <w:p w14:paraId="420B38EC" w14:textId="77777777" w:rsidR="005C78C5" w:rsidRDefault="005C78C5" w:rsidP="005C78C5">
      <w:pPr>
        <w:spacing w:line="240" w:lineRule="auto"/>
        <w:rPr>
          <w:rFonts w:ascii="Calibri" w:hAnsi="Calibri"/>
          <w:color w:val="000000" w:themeColor="text1"/>
          <w:sz w:val="16"/>
          <w:szCs w:val="16"/>
        </w:rPr>
      </w:pPr>
      <w:r>
        <w:rPr>
          <w:rFonts w:ascii="Calibri" w:hAnsi="Calibri"/>
          <w:color w:val="000000" w:themeColor="text1"/>
          <w:sz w:val="16"/>
          <w:szCs w:val="16"/>
        </w:rPr>
        <w:t xml:space="preserve">Popov, G., Lyon, B. and </w:t>
      </w:r>
      <w:proofErr w:type="spellStart"/>
      <w:r>
        <w:rPr>
          <w:rFonts w:ascii="Calibri" w:hAnsi="Calibri"/>
          <w:color w:val="000000" w:themeColor="text1"/>
          <w:sz w:val="16"/>
          <w:szCs w:val="16"/>
        </w:rPr>
        <w:t>Hollcroft</w:t>
      </w:r>
      <w:proofErr w:type="spellEnd"/>
      <w:r>
        <w:rPr>
          <w:rFonts w:ascii="Calibri" w:hAnsi="Calibri"/>
          <w:color w:val="000000" w:themeColor="text1"/>
          <w:sz w:val="16"/>
          <w:szCs w:val="16"/>
        </w:rPr>
        <w:t xml:space="preserve">, B. (2016) </w:t>
      </w:r>
      <w:r>
        <w:rPr>
          <w:rFonts w:ascii="Calibri" w:hAnsi="Calibri"/>
          <w:i/>
          <w:iCs/>
          <w:color w:val="000000" w:themeColor="text1"/>
          <w:sz w:val="16"/>
          <w:szCs w:val="16"/>
        </w:rPr>
        <w:t>Risk Assessment: A practical guide to Assessing Operational Risks</w:t>
      </w:r>
      <w:r>
        <w:rPr>
          <w:rFonts w:ascii="Calibri" w:hAnsi="Calibri"/>
          <w:color w:val="000000" w:themeColor="text1"/>
          <w:sz w:val="16"/>
          <w:szCs w:val="16"/>
        </w:rPr>
        <w:t>, Canada: John Wiley &amp; Sons.</w:t>
      </w:r>
    </w:p>
    <w:p w14:paraId="4393920C" w14:textId="77777777" w:rsidR="005C78C5" w:rsidRDefault="005C78C5" w:rsidP="005C78C5">
      <w:pPr>
        <w:spacing w:line="240" w:lineRule="auto"/>
        <w:rPr>
          <w:rFonts w:ascii="Calibri" w:hAnsi="Calibri"/>
          <w:color w:val="000000" w:themeColor="text1"/>
          <w:sz w:val="16"/>
          <w:szCs w:val="16"/>
        </w:rPr>
      </w:pPr>
    </w:p>
    <w:p w14:paraId="0F56A7CF" w14:textId="77777777" w:rsidR="005C78C5" w:rsidRDefault="005C78C5" w:rsidP="005C78C5">
      <w:pPr>
        <w:spacing w:line="240" w:lineRule="auto"/>
        <w:rPr>
          <w:rFonts w:ascii="Calibri" w:hAnsi="Calibri"/>
          <w:i/>
          <w:iCs/>
          <w:color w:val="000000" w:themeColor="text1"/>
          <w:sz w:val="16"/>
          <w:szCs w:val="16"/>
        </w:rPr>
      </w:pPr>
      <w:r>
        <w:rPr>
          <w:rFonts w:ascii="Calibri" w:hAnsi="Calibri"/>
          <w:color w:val="000000" w:themeColor="text1"/>
          <w:sz w:val="16"/>
          <w:szCs w:val="16"/>
        </w:rPr>
        <w:t xml:space="preserve">Youth Work Essentials (2020) </w:t>
      </w:r>
      <w:r>
        <w:rPr>
          <w:rFonts w:ascii="Calibri" w:hAnsi="Calibri"/>
          <w:i/>
          <w:iCs/>
          <w:color w:val="000000" w:themeColor="text1"/>
          <w:sz w:val="16"/>
          <w:szCs w:val="16"/>
        </w:rPr>
        <w:t>Risk assessments -the framework.</w:t>
      </w:r>
    </w:p>
    <w:p w14:paraId="0A7074B0" w14:textId="77777777" w:rsidR="005C78C5" w:rsidRDefault="005C78C5" w:rsidP="005C78C5">
      <w:pPr>
        <w:spacing w:line="240" w:lineRule="auto"/>
        <w:rPr>
          <w:rFonts w:ascii="Calibri" w:hAnsi="Calibri"/>
          <w:color w:val="000000" w:themeColor="text1"/>
          <w:sz w:val="16"/>
          <w:szCs w:val="16"/>
        </w:rPr>
      </w:pPr>
      <w:r>
        <w:rPr>
          <w:rFonts w:ascii="Calibri" w:hAnsi="Calibri"/>
          <w:color w:val="000000" w:themeColor="text1"/>
          <w:sz w:val="16"/>
          <w:szCs w:val="16"/>
        </w:rPr>
        <w:t xml:space="preserve">Available at: </w:t>
      </w:r>
      <w:hyperlink w:history="1">
        <w:r>
          <w:rPr>
            <w:rStyle w:val="Hyperlink"/>
            <w:rFonts w:ascii="Calibri" w:hAnsi="Calibri"/>
            <w:color w:val="000000" w:themeColor="text1"/>
            <w:sz w:val="16"/>
            <w:szCs w:val="16"/>
          </w:rPr>
          <w:t>www.youthworkessentials.org%2Fsafe-sound%2Fhealth-and-safety%2Frisk-assessment-the-framework</w:t>
        </w:r>
      </w:hyperlink>
      <w:r>
        <w:rPr>
          <w:rFonts w:ascii="Calibri" w:hAnsi="Calibri"/>
          <w:color w:val="000000" w:themeColor="text1"/>
          <w:sz w:val="16"/>
          <w:szCs w:val="16"/>
        </w:rPr>
        <w:t>.</w:t>
      </w:r>
    </w:p>
    <w:p w14:paraId="1739382A" w14:textId="77777777" w:rsidR="005C78C5" w:rsidRDefault="005C78C5" w:rsidP="005C78C5">
      <w:pPr>
        <w:spacing w:line="240" w:lineRule="auto"/>
        <w:rPr>
          <w:rFonts w:ascii="Calibri" w:hAnsi="Calibri"/>
          <w:color w:val="000000" w:themeColor="text1"/>
          <w:sz w:val="16"/>
          <w:szCs w:val="16"/>
        </w:rPr>
      </w:pPr>
      <w:r>
        <w:rPr>
          <w:rFonts w:ascii="Calibri" w:hAnsi="Calibri"/>
          <w:color w:val="000000" w:themeColor="text1"/>
          <w:sz w:val="16"/>
          <w:szCs w:val="16"/>
        </w:rPr>
        <w:t>(Accessed: 01 February 2020)</w:t>
      </w:r>
    </w:p>
    <w:p w14:paraId="092C6DE4" w14:textId="77777777" w:rsidR="005C78C5" w:rsidRDefault="005C78C5" w:rsidP="005C78C5"/>
    <w:p w14:paraId="6D867981" w14:textId="77777777" w:rsidR="0074286D" w:rsidRDefault="005C78C5"/>
    <w:sectPr w:rsidR="0074286D" w:rsidSect="005C78C5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F12A2"/>
    <w:multiLevelType w:val="hybridMultilevel"/>
    <w:tmpl w:val="272C4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91D72"/>
    <w:multiLevelType w:val="hybridMultilevel"/>
    <w:tmpl w:val="A710B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24667"/>
    <w:multiLevelType w:val="hybridMultilevel"/>
    <w:tmpl w:val="85661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668B0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4E376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7863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9C7E2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F09C7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52CC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A4F9A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EAC39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70C6026"/>
    <w:multiLevelType w:val="hybridMultilevel"/>
    <w:tmpl w:val="C7D6E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026D9"/>
    <w:multiLevelType w:val="hybridMultilevel"/>
    <w:tmpl w:val="2A8C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8C5"/>
    <w:rsid w:val="005C78C5"/>
    <w:rsid w:val="00D5304A"/>
    <w:rsid w:val="00F7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23788"/>
  <w15:chartTrackingRefBased/>
  <w15:docId w15:val="{702B64F4-99D3-A64E-A1D8-E1E87FDB6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8C5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78C5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78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78C5"/>
    <w:rPr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C78C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78C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8C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8C5"/>
    <w:rPr>
      <w:rFonts w:ascii="Times New Roman" w:hAnsi="Times New Roman" w:cs="Times New Roman"/>
      <w:sz w:val="18"/>
      <w:szCs w:val="18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8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8C5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6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Dana-louise Jones (1908102)</dc:creator>
  <cp:keywords/>
  <dc:description/>
  <cp:lastModifiedBy>Dana-louise Jones (1908102)</cp:lastModifiedBy>
  <cp:revision>1</cp:revision>
  <dcterms:created xsi:type="dcterms:W3CDTF">2020-04-06T19:13:00Z</dcterms:created>
  <dcterms:modified xsi:type="dcterms:W3CDTF">2020-04-06T19:16:00Z</dcterms:modified>
</cp:coreProperties>
</file>