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5B22E4" w14:textId="77777777" w:rsidR="00701B08" w:rsidRDefault="00701B08" w:rsidP="00701B08">
      <w:pPr>
        <w:spacing w:after="0"/>
        <w:jc w:val="center"/>
        <w:rPr>
          <w:rFonts w:cs="Times New Roman"/>
          <w:b/>
          <w:szCs w:val="24"/>
        </w:rPr>
      </w:pPr>
    </w:p>
    <w:p w14:paraId="35F51D85" w14:textId="77777777" w:rsidR="00701B08" w:rsidRDefault="00701B08" w:rsidP="00701B08">
      <w:pPr>
        <w:spacing w:after="0"/>
        <w:jc w:val="center"/>
        <w:rPr>
          <w:rFonts w:ascii="Times New Roman" w:hAnsi="Times New Roman" w:cs="Times New Roman"/>
          <w:b/>
          <w:sz w:val="32"/>
          <w:szCs w:val="32"/>
        </w:rPr>
      </w:pPr>
    </w:p>
    <w:p w14:paraId="4A3D8091" w14:textId="77777777" w:rsidR="00701B08" w:rsidRDefault="00701B08" w:rsidP="00701B08">
      <w:pPr>
        <w:spacing w:after="0"/>
        <w:jc w:val="center"/>
        <w:rPr>
          <w:rFonts w:ascii="Times New Roman" w:hAnsi="Times New Roman" w:cs="Times New Roman"/>
          <w:b/>
          <w:sz w:val="32"/>
          <w:szCs w:val="32"/>
        </w:rPr>
      </w:pPr>
    </w:p>
    <w:p w14:paraId="492FEC1C" w14:textId="77777777" w:rsidR="00701B08" w:rsidRDefault="00701B08" w:rsidP="00701B08">
      <w:pPr>
        <w:spacing w:after="0"/>
        <w:jc w:val="center"/>
        <w:rPr>
          <w:rFonts w:ascii="Times New Roman" w:hAnsi="Times New Roman" w:cs="Times New Roman"/>
          <w:b/>
          <w:sz w:val="32"/>
          <w:szCs w:val="32"/>
        </w:rPr>
      </w:pPr>
    </w:p>
    <w:p w14:paraId="63FFAB77" w14:textId="77777777" w:rsidR="00701B08" w:rsidRDefault="00701B08" w:rsidP="00701B08">
      <w:pPr>
        <w:spacing w:after="0"/>
        <w:jc w:val="center"/>
        <w:rPr>
          <w:rFonts w:ascii="Times New Roman" w:hAnsi="Times New Roman" w:cs="Times New Roman"/>
          <w:b/>
          <w:sz w:val="32"/>
          <w:szCs w:val="32"/>
        </w:rPr>
      </w:pPr>
    </w:p>
    <w:p w14:paraId="626C9DAF" w14:textId="77777777" w:rsidR="00701B08" w:rsidRDefault="00701B08" w:rsidP="00701B08">
      <w:pPr>
        <w:spacing w:after="0"/>
        <w:jc w:val="center"/>
        <w:rPr>
          <w:rFonts w:ascii="Times New Roman" w:hAnsi="Times New Roman" w:cs="Times New Roman"/>
          <w:b/>
          <w:sz w:val="32"/>
          <w:szCs w:val="32"/>
        </w:rPr>
      </w:pPr>
    </w:p>
    <w:p w14:paraId="636CF0D8" w14:textId="77777777" w:rsidR="00701B08" w:rsidRDefault="00701B08" w:rsidP="00701B08">
      <w:pPr>
        <w:spacing w:after="0"/>
        <w:jc w:val="center"/>
        <w:rPr>
          <w:rFonts w:ascii="Times New Roman" w:hAnsi="Times New Roman" w:cs="Times New Roman"/>
          <w:b/>
          <w:sz w:val="32"/>
          <w:szCs w:val="32"/>
        </w:rPr>
      </w:pPr>
    </w:p>
    <w:p w14:paraId="426B43E2" w14:textId="77777777" w:rsidR="00701B08" w:rsidRDefault="00701B08" w:rsidP="00701B08">
      <w:pPr>
        <w:spacing w:after="0"/>
        <w:jc w:val="center"/>
        <w:rPr>
          <w:rFonts w:ascii="Times New Roman" w:hAnsi="Times New Roman" w:cs="Times New Roman"/>
          <w:b/>
          <w:sz w:val="32"/>
          <w:szCs w:val="32"/>
        </w:rPr>
      </w:pPr>
    </w:p>
    <w:p w14:paraId="3E35C2E5" w14:textId="77777777" w:rsidR="00701B08" w:rsidRDefault="00701B08" w:rsidP="00701B08">
      <w:pPr>
        <w:spacing w:after="0"/>
        <w:jc w:val="center"/>
        <w:rPr>
          <w:rFonts w:ascii="Times New Roman" w:hAnsi="Times New Roman" w:cs="Times New Roman"/>
          <w:b/>
          <w:sz w:val="32"/>
          <w:szCs w:val="32"/>
        </w:rPr>
      </w:pPr>
    </w:p>
    <w:p w14:paraId="425271F5" w14:textId="77777777" w:rsidR="00701B08" w:rsidRDefault="00701B08" w:rsidP="00701B08">
      <w:pPr>
        <w:spacing w:after="0"/>
        <w:jc w:val="center"/>
        <w:rPr>
          <w:rFonts w:ascii="Times New Roman" w:hAnsi="Times New Roman" w:cs="Times New Roman"/>
          <w:b/>
          <w:sz w:val="32"/>
          <w:szCs w:val="32"/>
        </w:rPr>
      </w:pPr>
    </w:p>
    <w:p w14:paraId="16997A70" w14:textId="77777777" w:rsidR="00701B08" w:rsidRDefault="00701B08" w:rsidP="00701B08">
      <w:pPr>
        <w:spacing w:after="0"/>
        <w:jc w:val="center"/>
        <w:rPr>
          <w:rFonts w:ascii="Times New Roman" w:hAnsi="Times New Roman" w:cs="Times New Roman"/>
          <w:b/>
          <w:sz w:val="32"/>
          <w:szCs w:val="32"/>
        </w:rPr>
      </w:pPr>
    </w:p>
    <w:p w14:paraId="691FEECA" w14:textId="77777777" w:rsidR="00701B08" w:rsidRDefault="00701B08" w:rsidP="00701B08">
      <w:pPr>
        <w:spacing w:after="0"/>
        <w:jc w:val="center"/>
        <w:rPr>
          <w:rFonts w:ascii="Times New Roman" w:hAnsi="Times New Roman" w:cs="Times New Roman"/>
          <w:b/>
          <w:sz w:val="32"/>
          <w:szCs w:val="32"/>
        </w:rPr>
      </w:pPr>
    </w:p>
    <w:p w14:paraId="124C18E9" w14:textId="77777777" w:rsidR="00701B08" w:rsidRDefault="00701B08" w:rsidP="00701B08">
      <w:pPr>
        <w:spacing w:after="0"/>
        <w:jc w:val="center"/>
        <w:rPr>
          <w:rFonts w:ascii="Times New Roman" w:hAnsi="Times New Roman" w:cs="Times New Roman"/>
          <w:b/>
          <w:sz w:val="32"/>
          <w:szCs w:val="32"/>
        </w:rPr>
      </w:pPr>
    </w:p>
    <w:p w14:paraId="1C5642B9" w14:textId="0918AA5B" w:rsidR="00701B08" w:rsidRPr="00701B08" w:rsidRDefault="00701B08" w:rsidP="00701B08">
      <w:pPr>
        <w:spacing w:after="0"/>
        <w:jc w:val="center"/>
        <w:rPr>
          <w:rFonts w:ascii="Times New Roman" w:hAnsi="Times New Roman" w:cs="Times New Roman"/>
          <w:b/>
          <w:sz w:val="32"/>
          <w:szCs w:val="32"/>
        </w:rPr>
      </w:pPr>
      <w:r w:rsidRPr="00701B08">
        <w:rPr>
          <w:rFonts w:ascii="Times New Roman" w:hAnsi="Times New Roman" w:cs="Times New Roman"/>
          <w:b/>
          <w:sz w:val="32"/>
          <w:szCs w:val="32"/>
        </w:rPr>
        <w:t>Title:</w:t>
      </w:r>
      <w:r w:rsidRPr="00701B08">
        <w:rPr>
          <w:rFonts w:ascii="Times New Roman" w:hAnsi="Times New Roman" w:cs="Times New Roman"/>
          <w:sz w:val="32"/>
          <w:szCs w:val="32"/>
        </w:rPr>
        <w:t xml:space="preserve"> </w:t>
      </w:r>
      <w:r w:rsidRPr="00701B08">
        <w:rPr>
          <w:rFonts w:ascii="Times New Roman" w:hAnsi="Times New Roman" w:cs="Times New Roman"/>
          <w:b/>
          <w:sz w:val="32"/>
          <w:szCs w:val="32"/>
        </w:rPr>
        <w:t xml:space="preserve">Individual Business Model </w:t>
      </w:r>
      <w:proofErr w:type="gramStart"/>
      <w:r w:rsidRPr="00701B08">
        <w:rPr>
          <w:rFonts w:ascii="Times New Roman" w:hAnsi="Times New Roman" w:cs="Times New Roman"/>
          <w:b/>
          <w:sz w:val="32"/>
          <w:szCs w:val="32"/>
        </w:rPr>
        <w:t>Canvas  with</w:t>
      </w:r>
      <w:proofErr w:type="gramEnd"/>
      <w:r w:rsidRPr="00701B08">
        <w:rPr>
          <w:rFonts w:ascii="Times New Roman" w:hAnsi="Times New Roman" w:cs="Times New Roman"/>
          <w:b/>
          <w:sz w:val="32"/>
          <w:szCs w:val="32"/>
        </w:rPr>
        <w:t xml:space="preserve"> Entrepreneurial Reflection using Appropriate Academic Models.</w:t>
      </w:r>
    </w:p>
    <w:p w14:paraId="344A6808" w14:textId="77777777" w:rsidR="00701B08" w:rsidRPr="00701B08" w:rsidRDefault="00701B08" w:rsidP="00701B08">
      <w:pPr>
        <w:spacing w:after="0"/>
        <w:jc w:val="center"/>
        <w:rPr>
          <w:rFonts w:ascii="Times New Roman" w:hAnsi="Times New Roman" w:cs="Times New Roman"/>
          <w:b/>
          <w:sz w:val="32"/>
          <w:szCs w:val="32"/>
        </w:rPr>
      </w:pPr>
      <w:proofErr w:type="spellStart"/>
      <w:proofErr w:type="gramStart"/>
      <w:r w:rsidRPr="00701B08">
        <w:rPr>
          <w:rFonts w:ascii="Times New Roman" w:hAnsi="Times New Roman" w:cs="Times New Roman"/>
          <w:b/>
          <w:sz w:val="32"/>
          <w:szCs w:val="32"/>
        </w:rPr>
        <w:t>Name:MARIANA</w:t>
      </w:r>
      <w:proofErr w:type="spellEnd"/>
      <w:proofErr w:type="gramEnd"/>
      <w:r w:rsidRPr="00701B08">
        <w:rPr>
          <w:rFonts w:ascii="Times New Roman" w:hAnsi="Times New Roman" w:cs="Times New Roman"/>
          <w:b/>
          <w:sz w:val="32"/>
          <w:szCs w:val="32"/>
        </w:rPr>
        <w:t xml:space="preserve"> MURESAN</w:t>
      </w:r>
    </w:p>
    <w:p w14:paraId="2585D6EC" w14:textId="77777777" w:rsidR="00701B08" w:rsidRPr="00701B08" w:rsidRDefault="00701B08" w:rsidP="00701B08">
      <w:pPr>
        <w:spacing w:after="0"/>
        <w:jc w:val="center"/>
        <w:rPr>
          <w:rFonts w:ascii="Times New Roman" w:hAnsi="Times New Roman" w:cs="Times New Roman"/>
          <w:b/>
          <w:sz w:val="32"/>
          <w:szCs w:val="32"/>
        </w:rPr>
      </w:pPr>
      <w:r w:rsidRPr="00701B08">
        <w:rPr>
          <w:rFonts w:ascii="Times New Roman" w:hAnsi="Times New Roman" w:cs="Times New Roman"/>
          <w:b/>
          <w:sz w:val="32"/>
          <w:szCs w:val="32"/>
        </w:rPr>
        <w:t>Student ID:2210334</w:t>
      </w:r>
    </w:p>
    <w:p w14:paraId="1A92D150" w14:textId="77777777" w:rsidR="00701B08" w:rsidRPr="00701B08" w:rsidRDefault="00701B08" w:rsidP="00701B08">
      <w:pPr>
        <w:spacing w:after="0"/>
        <w:jc w:val="center"/>
        <w:rPr>
          <w:rFonts w:ascii="Times New Roman" w:hAnsi="Times New Roman" w:cs="Times New Roman"/>
          <w:b/>
          <w:sz w:val="32"/>
          <w:szCs w:val="32"/>
        </w:rPr>
      </w:pPr>
      <w:r w:rsidRPr="00701B08">
        <w:rPr>
          <w:rFonts w:ascii="Times New Roman" w:hAnsi="Times New Roman" w:cs="Times New Roman"/>
          <w:b/>
          <w:sz w:val="32"/>
          <w:szCs w:val="32"/>
        </w:rPr>
        <w:t>Module Title: Entrepreneurship BMIH5001</w:t>
      </w:r>
    </w:p>
    <w:p w14:paraId="0D7498AC" w14:textId="6B48581F" w:rsidR="00701B08" w:rsidRPr="00701B08" w:rsidRDefault="00701B08" w:rsidP="00701B08">
      <w:pPr>
        <w:spacing w:after="0"/>
        <w:jc w:val="center"/>
        <w:rPr>
          <w:rFonts w:ascii="Times New Roman" w:hAnsi="Times New Roman" w:cs="Times New Roman"/>
          <w:b/>
          <w:sz w:val="32"/>
          <w:szCs w:val="32"/>
        </w:rPr>
      </w:pPr>
      <w:r w:rsidRPr="00701B08">
        <w:rPr>
          <w:rFonts w:ascii="Times New Roman" w:hAnsi="Times New Roman" w:cs="Times New Roman"/>
          <w:b/>
          <w:sz w:val="32"/>
          <w:szCs w:val="32"/>
        </w:rPr>
        <w:t>Lecturer’s Name:</w:t>
      </w:r>
      <w:r w:rsidRPr="00701B08">
        <w:rPr>
          <w:rFonts w:ascii="Times New Roman" w:hAnsi="Times New Roman" w:cs="Times New Roman"/>
          <w:sz w:val="32"/>
          <w:szCs w:val="32"/>
        </w:rPr>
        <w:t xml:space="preserve"> </w:t>
      </w:r>
      <w:r w:rsidRPr="00701B08">
        <w:rPr>
          <w:rFonts w:ascii="Times New Roman" w:hAnsi="Times New Roman" w:cs="Times New Roman"/>
          <w:b/>
          <w:sz w:val="32"/>
          <w:szCs w:val="32"/>
        </w:rPr>
        <w:t>Charlotte Joyner</w:t>
      </w:r>
    </w:p>
    <w:p w14:paraId="4D11B136" w14:textId="38292658" w:rsidR="00701B08" w:rsidRPr="00701B08" w:rsidRDefault="00701B08" w:rsidP="00701B08">
      <w:pPr>
        <w:spacing w:after="0"/>
        <w:jc w:val="center"/>
        <w:rPr>
          <w:rFonts w:ascii="Times New Roman" w:hAnsi="Times New Roman" w:cs="Times New Roman"/>
          <w:b/>
          <w:sz w:val="32"/>
          <w:szCs w:val="32"/>
        </w:rPr>
      </w:pPr>
      <w:r w:rsidRPr="00701B08">
        <w:rPr>
          <w:rFonts w:ascii="Times New Roman" w:hAnsi="Times New Roman" w:cs="Times New Roman"/>
          <w:b/>
          <w:sz w:val="32"/>
          <w:szCs w:val="32"/>
        </w:rPr>
        <w:t>[Word Count: 2</w:t>
      </w:r>
      <w:r w:rsidRPr="00701B08">
        <w:rPr>
          <w:rFonts w:ascii="Times New Roman" w:hAnsi="Times New Roman" w:cs="Times New Roman"/>
          <w:b/>
          <w:sz w:val="32"/>
          <w:szCs w:val="32"/>
        </w:rPr>
        <w:t>224</w:t>
      </w:r>
      <w:r w:rsidRPr="00701B08">
        <w:rPr>
          <w:rFonts w:ascii="Times New Roman" w:hAnsi="Times New Roman" w:cs="Times New Roman"/>
          <w:b/>
          <w:sz w:val="32"/>
          <w:szCs w:val="32"/>
        </w:rPr>
        <w:t>]</w:t>
      </w:r>
    </w:p>
    <w:p w14:paraId="5A7A733B" w14:textId="0C6470CC" w:rsidR="007C2D38" w:rsidRPr="00701B08" w:rsidRDefault="00701B08" w:rsidP="00701B08">
      <w:pPr>
        <w:spacing w:after="0"/>
        <w:rPr>
          <w:rFonts w:ascii="Times New Roman" w:eastAsiaTheme="majorEastAsia" w:hAnsi="Times New Roman" w:cs="Times New Roman"/>
          <w:b/>
          <w:bCs/>
          <w:sz w:val="32"/>
          <w:szCs w:val="32"/>
          <w:lang w:val="en-US"/>
        </w:rPr>
      </w:pPr>
      <w:r w:rsidRPr="00701B08">
        <w:rPr>
          <w:rFonts w:ascii="Times New Roman" w:hAnsi="Times New Roman" w:cs="Times New Roman"/>
          <w:sz w:val="32"/>
          <w:szCs w:val="32"/>
        </w:rPr>
        <w:br w:type="page"/>
      </w:r>
      <w:r w:rsidR="007C2D38">
        <w:rPr>
          <w:rFonts w:ascii="Arial" w:hAnsi="Arial" w:cs="Arial"/>
          <w:b/>
          <w:bCs/>
          <w:sz w:val="24"/>
          <w:szCs w:val="24"/>
        </w:rPr>
        <w:lastRenderedPageBreak/>
        <w:t>Part 1</w:t>
      </w:r>
    </w:p>
    <w:p w14:paraId="26A38EE8"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The tourism and hospitality industry encompasses various sectors, including events, restaurants, and catering, which are crucial for understanding market trends and consumer behaviour. This essay analyses Fresh Food Restaurant using the Business Model Canvas (BMC), examining its components, and identifying the factors influencing its success. By incorporating insights from real-world examples and academic studies, the essay aims to demonstrate the viability and potential of the restaurant’s innovative business model. The analysis will cover key elements such as value propositions, customer segments, channels, and revenue streams, providing a comprehensive overview of Fresh Food Restaurant's strategic approach.</w:t>
      </w:r>
    </w:p>
    <w:p w14:paraId="6BAE170C"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 xml:space="preserve">Fresh Food Restaurant sets itself apart from its competitors by offering a unique combination of a themed anime restaurant and top-notch seafood, creating a compelling Value Proposition. The theme of the dining experience is inspired by the Netflix series "Scissor Seven," catering to fans of anime and fine dining, providing a distinctive and unforgettable meal. According to Basaran and </w:t>
      </w:r>
      <w:proofErr w:type="spellStart"/>
      <w:r>
        <w:rPr>
          <w:rFonts w:ascii="Arial" w:hAnsi="Arial" w:cs="Arial"/>
          <w:sz w:val="24"/>
          <w:szCs w:val="24"/>
        </w:rPr>
        <w:t>Sunnetcioglu</w:t>
      </w:r>
      <w:proofErr w:type="spellEnd"/>
      <w:r>
        <w:rPr>
          <w:rFonts w:ascii="Arial" w:hAnsi="Arial" w:cs="Arial"/>
          <w:sz w:val="24"/>
          <w:szCs w:val="24"/>
        </w:rPr>
        <w:t xml:space="preserve"> (2021), anime-themed environments significantly improve the dining experience by generating a feeling of immersion and nostalgia among fans. The unique atmosphere and exceptional gastronomy </w:t>
      </w:r>
      <w:proofErr w:type="gramStart"/>
      <w:r>
        <w:rPr>
          <w:rFonts w:ascii="Arial" w:hAnsi="Arial" w:cs="Arial"/>
          <w:sz w:val="24"/>
          <w:szCs w:val="24"/>
        </w:rPr>
        <w:t>is</w:t>
      </w:r>
      <w:proofErr w:type="gramEnd"/>
      <w:r>
        <w:rPr>
          <w:rFonts w:ascii="Arial" w:hAnsi="Arial" w:cs="Arial"/>
          <w:sz w:val="24"/>
          <w:szCs w:val="24"/>
        </w:rPr>
        <w:t xml:space="preserve"> a notable advantage for marketing purposes. Following the findings of Inwood et al. (2009), incorporating fresh seafood sourced locally into the restaurant's menu improves its brand image and guarantees exceptional culinary quality. The restaurant provides patrons a culinary offering and an immersive encounter that transports them into the fantastical realm of their beloved anime, akin to renowned themed establishments such as the Gundam Café in Tokyo. By partnering with local seafood suppliers such as Billingsgate Fish Market and anime merchandise providers like </w:t>
      </w:r>
      <w:proofErr w:type="spellStart"/>
      <w:r>
        <w:rPr>
          <w:rFonts w:ascii="Arial" w:hAnsi="Arial" w:cs="Arial"/>
          <w:sz w:val="24"/>
          <w:szCs w:val="24"/>
        </w:rPr>
        <w:t>TokyoToys</w:t>
      </w:r>
      <w:proofErr w:type="spellEnd"/>
      <w:r>
        <w:rPr>
          <w:rFonts w:ascii="Arial" w:hAnsi="Arial" w:cs="Arial"/>
          <w:sz w:val="24"/>
          <w:szCs w:val="24"/>
        </w:rPr>
        <w:t>, we can guarantee the genuineness and excellence of our products.</w:t>
      </w:r>
    </w:p>
    <w:p w14:paraId="10B70D1D"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 xml:space="preserve">Fresh Food Restaurant will establish robust partnerships with key stakeholders to guarantee consistent premium-grade cuisine and suitably themed ambience. These collaborations will involve regional seafood suppliers like </w:t>
      </w:r>
      <w:proofErr w:type="spellStart"/>
      <w:r>
        <w:rPr>
          <w:rFonts w:ascii="Arial" w:hAnsi="Arial" w:cs="Arial"/>
          <w:sz w:val="24"/>
          <w:szCs w:val="24"/>
        </w:rPr>
        <w:t>Seafresh</w:t>
      </w:r>
      <w:proofErr w:type="spellEnd"/>
      <w:r>
        <w:rPr>
          <w:rFonts w:ascii="Arial" w:hAnsi="Arial" w:cs="Arial"/>
          <w:sz w:val="24"/>
          <w:szCs w:val="24"/>
        </w:rPr>
        <w:t xml:space="preserve"> Group, renowned for their sustainable methods, and local farms capable of providing fresh, organic produce. Given the increasing consumer preference for sustainability in the food service industry, sustainable practices are paramount (</w:t>
      </w:r>
      <w:proofErr w:type="spellStart"/>
      <w:r>
        <w:rPr>
          <w:rFonts w:ascii="Arial" w:hAnsi="Arial" w:cs="Arial"/>
          <w:sz w:val="24"/>
          <w:szCs w:val="24"/>
        </w:rPr>
        <w:t>Mahafzah</w:t>
      </w:r>
      <w:proofErr w:type="spellEnd"/>
      <w:r>
        <w:rPr>
          <w:rFonts w:ascii="Arial" w:hAnsi="Arial" w:cs="Arial"/>
          <w:sz w:val="24"/>
          <w:szCs w:val="24"/>
        </w:rPr>
        <w:t xml:space="preserve"> et al., 2020).</w:t>
      </w:r>
    </w:p>
    <w:p w14:paraId="597EDEC9"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lastRenderedPageBreak/>
        <w:t xml:space="preserve">Furthermore, partnerships with anime merchandise vendors such as Crunchyroll and </w:t>
      </w:r>
      <w:proofErr w:type="spellStart"/>
      <w:r>
        <w:rPr>
          <w:rFonts w:ascii="Arial" w:hAnsi="Arial" w:cs="Arial"/>
          <w:sz w:val="24"/>
          <w:szCs w:val="24"/>
        </w:rPr>
        <w:t>TokyoToys</w:t>
      </w:r>
      <w:proofErr w:type="spellEnd"/>
      <w:r>
        <w:rPr>
          <w:rFonts w:ascii="Arial" w:hAnsi="Arial" w:cs="Arial"/>
          <w:sz w:val="24"/>
          <w:szCs w:val="24"/>
        </w:rPr>
        <w:t xml:space="preserve"> will enhance the thematic ambience, ensuring its authenticity and attractiveness to anime enthusiasts. According to Basaran and </w:t>
      </w:r>
      <w:proofErr w:type="spellStart"/>
      <w:r>
        <w:rPr>
          <w:rFonts w:ascii="Arial" w:hAnsi="Arial" w:cs="Arial"/>
          <w:sz w:val="24"/>
          <w:szCs w:val="24"/>
        </w:rPr>
        <w:t>Sunnetcioglu</w:t>
      </w:r>
      <w:proofErr w:type="spellEnd"/>
      <w:r>
        <w:rPr>
          <w:rFonts w:ascii="Arial" w:hAnsi="Arial" w:cs="Arial"/>
          <w:sz w:val="24"/>
          <w:szCs w:val="24"/>
        </w:rPr>
        <w:t xml:space="preserve"> (2021), anime significantly promotes Japanese culture, including its cuisine. This suggests that there is a strong connection between anime-themed environments and the experience of Japanese food.</w:t>
      </w:r>
    </w:p>
    <w:p w14:paraId="7335A945"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These collaborations ensure a high standard of ingredients and improve the restaurant's reputation as an environmentally conscious and culturally diverse establishment. Collaboration will be crucial in preserving the restaurant's distinctive identity and attractiveness.</w:t>
      </w:r>
    </w:p>
    <w:p w14:paraId="6CABBD9D"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Research conducted by Guo et al. (2022) emphasises the significance of superior suppliers in establishing a distinctive and unforgettable dining encounter. Moreover, themed restaurants with robust supplier relationships can significantly enhance their supply chain efficiency and customer contentment (Ku et al., 2020). Implementing this strategy is essential for preserving the restaurant's distinct value proposition and staying ahead of competitors in the market.</w:t>
      </w:r>
    </w:p>
    <w:p w14:paraId="1396327D"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 xml:space="preserve">The restaurant's primary focus and daily operations will revolve around developing menus, preparing food, and exploring innovative culinary techniques to appeal to anime and seafood enthusiasts. Basaran and </w:t>
      </w:r>
      <w:proofErr w:type="spellStart"/>
      <w:r>
        <w:rPr>
          <w:rFonts w:ascii="Arial" w:hAnsi="Arial" w:cs="Arial"/>
          <w:sz w:val="24"/>
          <w:szCs w:val="24"/>
        </w:rPr>
        <w:t>Sunnetcioglu</w:t>
      </w:r>
      <w:proofErr w:type="spellEnd"/>
      <w:r>
        <w:rPr>
          <w:rFonts w:ascii="Arial" w:hAnsi="Arial" w:cs="Arial"/>
          <w:sz w:val="24"/>
          <w:szCs w:val="24"/>
        </w:rPr>
        <w:t xml:space="preserve"> (2021) state that themed restaurants, especially those influenced by anime, gain substantial advantages by incorporating distinctive gastronomic experiences that align with the theme. The restaurant's brand image relies heavily on high-quality ingredients, particularly fresh seafood. Inwood et al. (2009) emphasised the significance of local, fresh ingredients in building a solid brand. Consistently refreshing the menu with seasonal and inventive dishes will keep the offerings stimulating and pertinent, promoting repeat customer visits. Conducting training sessions for chefs on innovative cooking techniques and thematic presentations will guarantee a uniform and superior dining experience. In addition, incorporating themed events and anime screenings will enrich the dining experience and attract large audiences, as highlighted by Becker (1987), who discussed the influence of immersive themed environments on customer loyalty and contentment. The restaurant's commitment to quality and authenticity will be upheld </w:t>
      </w:r>
      <w:r>
        <w:rPr>
          <w:rFonts w:ascii="Arial" w:hAnsi="Arial" w:cs="Arial"/>
          <w:sz w:val="24"/>
          <w:szCs w:val="24"/>
        </w:rPr>
        <w:lastRenderedPageBreak/>
        <w:t>through partnerships with local suppliers, including the renowned Billingsgate Fish Market, which sources fresh seafood.</w:t>
      </w:r>
    </w:p>
    <w:p w14:paraId="041BA208"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 xml:space="preserve">The restaurant's success relies on several crucial assets, such as proficient chefs, top-notch seafood, and a meticulously crafted ambience with an anime theme. These elements are crucial for providing the distinctive dining experience that the restaurant guarantees. Professional chefs play a crucial role in implementing the creative menu, and their expertise guarantees the high culinary standards that customers anticipate. </w:t>
      </w:r>
      <w:proofErr w:type="spellStart"/>
      <w:r>
        <w:rPr>
          <w:rFonts w:ascii="Arial" w:hAnsi="Arial" w:cs="Arial"/>
          <w:sz w:val="24"/>
          <w:szCs w:val="24"/>
        </w:rPr>
        <w:t>Seafresh</w:t>
      </w:r>
      <w:proofErr w:type="spellEnd"/>
      <w:r>
        <w:rPr>
          <w:rFonts w:ascii="Arial" w:hAnsi="Arial" w:cs="Arial"/>
          <w:sz w:val="24"/>
          <w:szCs w:val="24"/>
        </w:rPr>
        <w:t xml:space="preserve"> and other reputable seafood suppliers play a crucial role in ensuring the consistency and high quality of the dishes served. Influenced by popular anime like "Scissor Seven," the thematic decoration necessitates substantial investment in genuine merchandise and frequent updates to maintain a fresh and captivating experience. This information can be obtained from reputable suppliers of anime merchandise, such as </w:t>
      </w:r>
      <w:proofErr w:type="spellStart"/>
      <w:r>
        <w:rPr>
          <w:rFonts w:ascii="Arial" w:hAnsi="Arial" w:cs="Arial"/>
          <w:sz w:val="24"/>
          <w:szCs w:val="24"/>
        </w:rPr>
        <w:t>TokyoToys</w:t>
      </w:r>
      <w:proofErr w:type="spellEnd"/>
      <w:r>
        <w:rPr>
          <w:rFonts w:ascii="Arial" w:hAnsi="Arial" w:cs="Arial"/>
          <w:sz w:val="24"/>
          <w:szCs w:val="24"/>
        </w:rPr>
        <w:t>. Moreover, a specialised marketing team is indispensable for advertising the restaurant and connecting with the community through focused campaigns and interactions on social media platforms. These resources collectively contribute to the restaurant's unique value proposition, distinguishing it from competitors in the market.</w:t>
      </w:r>
    </w:p>
    <w:p w14:paraId="3323BE5C"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 xml:space="preserve">Fresh Food Restaurant will use social media, online booking platforms, live events, word-of-mouth marketing, and review websites to interact with its varied customer base. Establishing a strong presence on popular social media platforms like Instagram, Facebook, and Twitter is crucial for appealing to younger, technologically adept audiences, as evidenced by successful competitors like YO! Sushi and Fallow Restaurant. Based on </w:t>
      </w:r>
      <w:proofErr w:type="spellStart"/>
      <w:r>
        <w:rPr>
          <w:rFonts w:ascii="Arial" w:hAnsi="Arial" w:cs="Arial"/>
          <w:sz w:val="24"/>
          <w:szCs w:val="24"/>
        </w:rPr>
        <w:t>Similarweb</w:t>
      </w:r>
      <w:proofErr w:type="spellEnd"/>
      <w:r>
        <w:rPr>
          <w:rFonts w:ascii="Arial" w:hAnsi="Arial" w:cs="Arial"/>
          <w:sz w:val="24"/>
          <w:szCs w:val="24"/>
        </w:rPr>
        <w:t xml:space="preserve"> data, YO! Sushi primarily depends on organic search (72.17%) and social media (0.83%) to generate traffic, whereas Fallow Restaurant experiences substantial benefits from organic search (68.09%) and social media (9.5%). Customer convenience will be improved by utilising online reservation systems like OpenTable and establishing partnerships with food delivery services such as Deliveroo. Organising themed events and anime screenings akin to those hosted by AnimeUKNews.net will attract a large audience and generate excitement for the restaurant. Utilising favourable reviews on platforms such as TripAdvisor and Yelp will amplify visibility and reputation.</w:t>
      </w:r>
    </w:p>
    <w:p w14:paraId="7D4AA4C3"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lastRenderedPageBreak/>
        <w:t>According to Similar Web (2024), Fresh Food Restaurant focuses on three primary customer segments: anime enthusiasts, seafood enthusiasts, and families and groups.</w:t>
      </w:r>
    </w:p>
    <w:p w14:paraId="339FC8C6"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 xml:space="preserve">Most of the customer base consists of anime enthusiasts, primarily males (78.94%), who fall 18-34. This demographic, consisting of individuals between the ages of 18 and 34, with the majority falling within the 18-24 (39.35%) and 25-34 (34.7%) age groups, is actively looking for distinctive and themed experiences that match their interests. They exhibit significant engagement on social media platforms, particularly </w:t>
      </w:r>
      <w:proofErr w:type="spellStart"/>
      <w:r>
        <w:rPr>
          <w:rFonts w:ascii="Arial" w:hAnsi="Arial" w:cs="Arial"/>
          <w:sz w:val="24"/>
          <w:szCs w:val="24"/>
        </w:rPr>
        <w:t>MyAnimeList</w:t>
      </w:r>
      <w:proofErr w:type="spellEnd"/>
      <w:r>
        <w:rPr>
          <w:rFonts w:ascii="Arial" w:hAnsi="Arial" w:cs="Arial"/>
          <w:sz w:val="24"/>
          <w:szCs w:val="24"/>
        </w:rPr>
        <w:t xml:space="preserve"> and Reddit, regularly accessing websites like AnimeUKNews.net to stay updated on their preferred anime series.</w:t>
      </w:r>
    </w:p>
    <w:p w14:paraId="13E61831"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The demographic of seafood enthusiasts between the ages of 25 and 44 consists of both males (52.81%) and females (47.19%), with a significant representation in the 25-34 age group (35.58%) and the 35-44 age group (17.41%). These patrons highly esteem premium seafood and admire the restaurant's emphasis on using fresh, sustainably obtained ingredients. They frequently browse through seafood restaurant websites such as YO! Sushi and Fallow Restaurant cater to their specific culinary preferences.</w:t>
      </w:r>
    </w:p>
    <w:p w14:paraId="7D3AD57B"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Another vital demographic includes families and larger groups looking for an enjoyable and interactive dining experience. This group is attracted to the restaurant's distinctive theme and ambience, which creates a pleasant setting for celebrating and marking special occasions. The demographic consists of individuals between the ages of 25 and 54, with a notable presence in the 25-34 age group (35.58%) and the 45-54 age group (17.19%).</w:t>
      </w:r>
    </w:p>
    <w:p w14:paraId="551CCD0A"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At Fresh Food Restaurant, we will establish and uphold robust customer relationships by providing personalised service, implementing loyalty programs, and engaging with customers on social media platforms. According to Wu (2016), a themed restaurant's ambience substantially influences customer loyalty and satisfaction. The restaurant can increase customer engagement and loyalty by hosting events, providing discounts, and actively seeking feedback, thereby cultivating a strong sense of community.</w:t>
      </w:r>
    </w:p>
    <w:p w14:paraId="4CF2CE20"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 xml:space="preserve">Establishing a community via social media groups and events will foster a feeling of inclusion among customers. Implementing special memberships and loyalty cards that </w:t>
      </w:r>
      <w:r>
        <w:rPr>
          <w:rFonts w:ascii="Arial" w:hAnsi="Arial" w:cs="Arial"/>
          <w:sz w:val="24"/>
          <w:szCs w:val="24"/>
        </w:rPr>
        <w:lastRenderedPageBreak/>
        <w:t>provide discounts and exclusive event access will incentivise customers to visit repeatedly and enhance customer retention. Engaging directly with customers through social media platforms will enable the restaurant to respond quickly to customer feedback and trends, thereby improving customer satisfaction and loyalty (Jacob et al., 2014).</w:t>
      </w:r>
    </w:p>
    <w:p w14:paraId="19DA8522"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Participation in themed experiences has had a positive impact on customer satisfaction and the likelihood of repeat purchases (Tsai &amp; Lu, 2012). Using these tactics, Fresh Food Restaurant can establish an engaging and gratifying dining experience that encourages customer loyalty. Meng and Choi (2017) have supported this approach, demonstrating that a meticulously crafted service cape and genuine experiences are crucial in augmenting customer satisfaction and loyalty.</w:t>
      </w:r>
    </w:p>
    <w:p w14:paraId="6F322537"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Effective cost management is crucial for ensuring the high quality of products and maximising profitability at Fresh Food Restaurant. Primary expenses encompass the procurement of essential resources, such as raw materials and seafood, as well as the remuneration of labour, rental fees, utility charges, advertising expenditures, and adherence to regulatory requirements. Castellini et al. (2022) emphasise the significance of achieving sustainability by balancing sourcing high-quality ingredients and cost efficiency. Expenses will be controlled by implementing regular financial audits and strategic cost management practices. Strategic allocation of resources towards marketing and themed décor is essential to attract and maintain a customer base. However, these investments must be meticulously planned and budgeted. Implementing resource optimisation strategies and adopting waste reduction measures will lead to cost savings and sustainability promotion (</w:t>
      </w:r>
      <w:proofErr w:type="spellStart"/>
      <w:r>
        <w:rPr>
          <w:rFonts w:ascii="Arial" w:hAnsi="Arial" w:cs="Arial"/>
          <w:sz w:val="24"/>
          <w:szCs w:val="24"/>
        </w:rPr>
        <w:t>Mahafzah</w:t>
      </w:r>
      <w:proofErr w:type="spellEnd"/>
      <w:r>
        <w:rPr>
          <w:rFonts w:ascii="Arial" w:hAnsi="Arial" w:cs="Arial"/>
          <w:sz w:val="24"/>
          <w:szCs w:val="24"/>
        </w:rPr>
        <w:t xml:space="preserve"> et al., 2020). The business will prioritise the management of fixed costs, such as rent and salaries, as well as variable costs, such as raw materials and utilities. Fresh Food Restaurant aims to create a value-driven model that improves customer satisfaction and financial health by utilising meaningful partnerships and optimising essential resources.</w:t>
      </w:r>
    </w:p>
    <w:p w14:paraId="71CAB433"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 xml:space="preserve">Revenue for Fresh Food Restaurant will primarily come from food and beverage sales, retail merchandise, event hosting fees, and loyalty program subscriptions. According to Qiu et al. (2022), offering various pricing options can cater to different customer segments, including premium dishes and more affordable options. Merchandise sales </w:t>
      </w:r>
      <w:r>
        <w:rPr>
          <w:rFonts w:ascii="Arial" w:hAnsi="Arial" w:cs="Arial"/>
          <w:sz w:val="24"/>
          <w:szCs w:val="24"/>
        </w:rPr>
        <w:lastRenderedPageBreak/>
        <w:t>will add a revenue stream, appealing to anime fans who wish to take home a piece of the themed experience. Hosting private events and parties will generate significant income, particularly during peak seasons. Loyalty programs will encourage repeat business and provide a steady revenue stream through membership fees. Additionally, themed events and special promotions will attract diverse customer segments and enhance overall revenue. The restaurant can maximise its revenue potential from each customer segment by employing different pricing mechanisms, such as fixed list prices and volume-dependent pricing (Espinosa et al., 2018).</w:t>
      </w:r>
    </w:p>
    <w:p w14:paraId="0870073C" w14:textId="77777777" w:rsidR="007C2D38" w:rsidRDefault="007C2D38" w:rsidP="007C2D38">
      <w:pPr>
        <w:spacing w:line="360" w:lineRule="auto"/>
        <w:jc w:val="both"/>
        <w:rPr>
          <w:rFonts w:ascii="Arial" w:hAnsi="Arial" w:cs="Arial"/>
          <w:sz w:val="24"/>
          <w:szCs w:val="24"/>
        </w:rPr>
      </w:pPr>
      <w:r>
        <w:rPr>
          <w:rFonts w:ascii="Arial" w:hAnsi="Arial" w:cs="Arial"/>
          <w:sz w:val="24"/>
          <w:szCs w:val="24"/>
        </w:rPr>
        <w:t>In conclusion, Fresh Food Restaurant's innovative approach, combining high-quality seafood with an anime-themed dining experience, positions it uniquely in the competitive market. Strategic partnerships, effective cost management, and diverse revenue streams underpin its business model. By targeting specific customer segments and leveraging multiple channels for engagement, the restaurant aims to build strong customer relationships and ensure sustainability. Carefully integrating thematic elements and fresh, locally sourced ingredients enhances its appeal, promising a memorable dining experience. This comprehensive strategy, supported by academic insights and market analysis, underscores the restaurant’s potential for long-term success.</w:t>
      </w:r>
    </w:p>
    <w:p w14:paraId="4CD24244" w14:textId="77777777" w:rsidR="007C2D38" w:rsidRDefault="007C2D38" w:rsidP="007C2D38">
      <w:pPr>
        <w:spacing w:line="360" w:lineRule="auto"/>
        <w:jc w:val="both"/>
        <w:rPr>
          <w:rFonts w:ascii="Arial" w:hAnsi="Arial" w:cs="Arial"/>
          <w:sz w:val="24"/>
          <w:szCs w:val="24"/>
        </w:rPr>
      </w:pPr>
    </w:p>
    <w:p w14:paraId="394510C2" w14:textId="77777777" w:rsidR="007C2D38" w:rsidRDefault="007C2D38" w:rsidP="007C2D38">
      <w:pPr>
        <w:spacing w:line="360" w:lineRule="auto"/>
        <w:jc w:val="both"/>
        <w:rPr>
          <w:rFonts w:ascii="Arial" w:hAnsi="Arial" w:cs="Arial"/>
          <w:b/>
          <w:bCs/>
          <w:sz w:val="24"/>
          <w:szCs w:val="24"/>
        </w:rPr>
      </w:pPr>
      <w:r>
        <w:rPr>
          <w:rFonts w:ascii="Arial" w:hAnsi="Arial" w:cs="Arial"/>
          <w:b/>
          <w:bCs/>
          <w:sz w:val="24"/>
          <w:szCs w:val="24"/>
        </w:rPr>
        <w:t>Part 2</w:t>
      </w:r>
    </w:p>
    <w:p w14:paraId="29A0A517" w14:textId="77777777" w:rsidR="007C2D38" w:rsidRDefault="007C2D38" w:rsidP="007C2D38">
      <w:pPr>
        <w:spacing w:line="360" w:lineRule="auto"/>
        <w:jc w:val="both"/>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The GET2 test revealed my entrepreneurial profile with an overall score of 50%. Breakdowns included 50% in need for achievement, 58% in creative tendency, 50% in calculated risk-taking, and 67% in locus of control. My autonomy scored low at 17%. The supplementary questionnaire indicated a moderate entrepreneurial inclination with a score of 40 out of 48. These results identified my weaknesses in autonomy, achievement, and risk-taking.</w:t>
      </w:r>
    </w:p>
    <w:p w14:paraId="12EA2931" w14:textId="77777777" w:rsidR="007C2D38" w:rsidRDefault="007C2D38" w:rsidP="007C2D38">
      <w:pPr>
        <w:spacing w:line="360" w:lineRule="auto"/>
        <w:jc w:val="both"/>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Reflecting on these scores, I felt both validated and concerned. The low autonomy score was unsettling, revealing a significant improvement area—my capacity for independent decision-making and initiative without external approval. This concern is compounded by my reliance on external validation and underlying anxiety, which poses a risk to my entrepreneurial aspirations. I acknowledge these accurate insights into my areas for growth.</w:t>
      </w:r>
    </w:p>
    <w:p w14:paraId="3C3AFB5E" w14:textId="77777777" w:rsidR="007C2D38" w:rsidRDefault="007C2D38" w:rsidP="007C2D38">
      <w:pPr>
        <w:spacing w:line="360" w:lineRule="auto"/>
        <w:jc w:val="both"/>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lastRenderedPageBreak/>
        <w:t>The tests highlighted critical entrepreneurial weaknesses. My low autonomy score implies difficulty in independent decision-making, essential for business success. This could hinder my ability to make bold business moves. Moderate scores in achievement and risk-taking suggest an essential focus on increasing drive and embracing calculated risks, pivotal for overcoming entrepreneurship challenges.</w:t>
      </w:r>
    </w:p>
    <w:p w14:paraId="3DCA1253" w14:textId="77777777" w:rsidR="007C2D38" w:rsidRDefault="007C2D38" w:rsidP="007C2D38">
      <w:pPr>
        <w:spacing w:line="360" w:lineRule="auto"/>
        <w:jc w:val="both"/>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 xml:space="preserve">Applying Gibbs' Reflective Cycle (1988), it is crucial to address these weaknesses for my entrepreneurial development. Enhancing autonomy promotes resilience and independent thinking. Studies by Basaran and </w:t>
      </w:r>
      <w:proofErr w:type="spellStart"/>
      <w:r>
        <w:rPr>
          <w:rFonts w:ascii="Arial" w:eastAsia="Times New Roman" w:hAnsi="Arial" w:cs="Arial"/>
          <w:sz w:val="24"/>
          <w:szCs w:val="24"/>
          <w:lang w:eastAsia="en-GB"/>
          <w14:ligatures w14:val="none"/>
        </w:rPr>
        <w:t>Sunnetcioglu</w:t>
      </w:r>
      <w:proofErr w:type="spellEnd"/>
      <w:r>
        <w:rPr>
          <w:rFonts w:ascii="Arial" w:eastAsia="Times New Roman" w:hAnsi="Arial" w:cs="Arial"/>
          <w:sz w:val="24"/>
          <w:szCs w:val="24"/>
          <w:lang w:eastAsia="en-GB"/>
          <w14:ligatures w14:val="none"/>
        </w:rPr>
        <w:t xml:space="preserve"> (2021) emphasize the importance of autonomy in entrepreneurship. Additionally, my moderate scores in achievement and risk-taking necessitate building confidence and a proactive business approach, supported by Jacob et al. (2014).</w:t>
      </w:r>
    </w:p>
    <w:p w14:paraId="0C2DD771" w14:textId="77777777" w:rsidR="007C2D38" w:rsidRDefault="007C2D38" w:rsidP="007C2D38">
      <w:pPr>
        <w:spacing w:line="360" w:lineRule="auto"/>
        <w:jc w:val="both"/>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These reflections and analyses are crucial for pinpointing my developmental needs. The identified weaknesses in autonomy, achievement, and risk-taking guide my focus on becoming a more effective entrepreneur, highlighting the need for continuous self-assessment and personal growth.</w:t>
      </w:r>
    </w:p>
    <w:p w14:paraId="55AEC2FF" w14:textId="77777777" w:rsidR="007C2D38" w:rsidRDefault="007C2D38" w:rsidP="007C2D38">
      <w:pPr>
        <w:spacing w:line="360" w:lineRule="auto"/>
        <w:jc w:val="both"/>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To overcome these challenges, I'll implement a targeted action plan. First, I'll engage in independent decision-making activities to enhance autonomy, such as leading projects without constant approval. I'll also attend workshops aimed at boosting confidence and reducing reliance on external validation.</w:t>
      </w:r>
    </w:p>
    <w:p w14:paraId="2C7B8C47" w14:textId="77777777" w:rsidR="007C2D38" w:rsidRDefault="007C2D38" w:rsidP="007C2D38">
      <w:pPr>
        <w:spacing w:line="360" w:lineRule="auto"/>
        <w:jc w:val="both"/>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Next, I'll set specific, challenging goals to improve my achievement and risk-taking capabilities. As noted by Meng and Choi (2017), seeking mentorship from seasoned entrepreneurs will provide the necessary guidance and support for navigating business risks.</w:t>
      </w:r>
    </w:p>
    <w:p w14:paraId="1AC138E4" w14:textId="77777777" w:rsidR="007C2D38" w:rsidRDefault="007C2D38" w:rsidP="007C2D38">
      <w:pPr>
        <w:spacing w:line="360" w:lineRule="auto"/>
        <w:jc w:val="both"/>
        <w:rPr>
          <w:rFonts w:ascii="Arial" w:hAnsi="Arial" w:cs="Arial"/>
          <w:sz w:val="24"/>
          <w:szCs w:val="24"/>
        </w:rPr>
      </w:pPr>
      <w:r>
        <w:rPr>
          <w:rFonts w:ascii="Arial" w:eastAsia="Times New Roman" w:hAnsi="Arial" w:cs="Arial"/>
          <w:sz w:val="24"/>
          <w:szCs w:val="24"/>
          <w:lang w:eastAsia="en-GB"/>
          <w14:ligatures w14:val="none"/>
        </w:rPr>
        <w:t>Finally, I will establish a support network of peers and mentors for feedback and motivation. This network will keep me accountable and offer a platform for discussing challenges and successes. Through these strategies, I aim to address my weaknesses and forge a confident, capable entrepreneurial path.</w:t>
      </w:r>
    </w:p>
    <w:p w14:paraId="01B0460B" w14:textId="77777777" w:rsidR="007C2D38" w:rsidRDefault="007C2D38" w:rsidP="007C2D38">
      <w:pPr>
        <w:spacing w:line="360" w:lineRule="auto"/>
        <w:jc w:val="both"/>
        <w:rPr>
          <w:rFonts w:ascii="Arial" w:hAnsi="Arial" w:cs="Arial"/>
          <w:sz w:val="24"/>
          <w:szCs w:val="24"/>
        </w:rPr>
      </w:pPr>
    </w:p>
    <w:p w14:paraId="627BC4D9" w14:textId="77777777" w:rsidR="007C2D38" w:rsidRDefault="007C2D38" w:rsidP="007C2D38">
      <w:pPr>
        <w:spacing w:line="360" w:lineRule="auto"/>
        <w:jc w:val="both"/>
        <w:rPr>
          <w:rFonts w:ascii="Arial" w:hAnsi="Arial" w:cs="Arial"/>
          <w:sz w:val="24"/>
          <w:szCs w:val="24"/>
        </w:rPr>
      </w:pPr>
    </w:p>
    <w:p w14:paraId="5A3D4F4A" w14:textId="77777777" w:rsidR="00701B08" w:rsidRDefault="00701B08" w:rsidP="007C2D38">
      <w:pPr>
        <w:spacing w:line="360" w:lineRule="auto"/>
        <w:jc w:val="both"/>
        <w:rPr>
          <w:rFonts w:ascii="Arial" w:hAnsi="Arial" w:cs="Arial"/>
          <w:sz w:val="24"/>
          <w:szCs w:val="24"/>
        </w:rPr>
      </w:pPr>
    </w:p>
    <w:p w14:paraId="4BE11C27" w14:textId="4347CABF" w:rsidR="007C2D38" w:rsidRDefault="00701B08" w:rsidP="007C2D38">
      <w:pPr>
        <w:spacing w:line="360" w:lineRule="auto"/>
        <w:jc w:val="both"/>
        <w:rPr>
          <w:rFonts w:ascii="Arial" w:hAnsi="Arial" w:cs="Arial"/>
          <w:b/>
          <w:bCs/>
          <w:sz w:val="24"/>
          <w:szCs w:val="24"/>
        </w:rPr>
      </w:pPr>
      <w:r>
        <w:rPr>
          <w:rFonts w:ascii="Arial" w:hAnsi="Arial" w:cs="Arial"/>
          <w:sz w:val="24"/>
          <w:szCs w:val="24"/>
        </w:rPr>
        <w:lastRenderedPageBreak/>
        <w:t xml:space="preserve">           </w:t>
      </w:r>
      <w:r w:rsidR="007C2D38">
        <w:rPr>
          <w:rFonts w:ascii="Arial" w:hAnsi="Arial" w:cs="Arial"/>
          <w:b/>
          <w:bCs/>
          <w:sz w:val="24"/>
          <w:szCs w:val="24"/>
        </w:rPr>
        <w:t>References</w:t>
      </w:r>
    </w:p>
    <w:p w14:paraId="1601EB0C" w14:textId="77777777" w:rsidR="007C2D38" w:rsidRDefault="007C2D38" w:rsidP="007C2D38">
      <w:pPr>
        <w:numPr>
          <w:ilvl w:val="0"/>
          <w:numId w:val="1"/>
        </w:numPr>
        <w:spacing w:line="360" w:lineRule="auto"/>
        <w:jc w:val="both"/>
        <w:rPr>
          <w:rFonts w:ascii="Arial" w:hAnsi="Arial" w:cs="Arial"/>
          <w:sz w:val="24"/>
          <w:szCs w:val="24"/>
        </w:rPr>
      </w:pPr>
      <w:r>
        <w:rPr>
          <w:rFonts w:ascii="Arial" w:hAnsi="Arial" w:cs="Arial"/>
          <w:sz w:val="24"/>
          <w:szCs w:val="24"/>
        </w:rPr>
        <w:t xml:space="preserve">Basaran, G., &amp; </w:t>
      </w:r>
      <w:proofErr w:type="spellStart"/>
      <w:r>
        <w:rPr>
          <w:rFonts w:ascii="Arial" w:hAnsi="Arial" w:cs="Arial"/>
          <w:sz w:val="24"/>
          <w:szCs w:val="24"/>
        </w:rPr>
        <w:t>Sunnetcioglu</w:t>
      </w:r>
      <w:proofErr w:type="spellEnd"/>
      <w:r>
        <w:rPr>
          <w:rFonts w:ascii="Arial" w:hAnsi="Arial" w:cs="Arial"/>
          <w:sz w:val="24"/>
          <w:szCs w:val="24"/>
        </w:rPr>
        <w:t xml:space="preserve">, S. (2021). Turkish anime viewers’ approach to Japanese cuisine culture. </w:t>
      </w:r>
      <w:r>
        <w:rPr>
          <w:rFonts w:ascii="Arial" w:hAnsi="Arial" w:cs="Arial"/>
          <w:i/>
          <w:iCs/>
          <w:sz w:val="24"/>
          <w:szCs w:val="24"/>
        </w:rPr>
        <w:t>Journal of Ethnic Foods</w:t>
      </w:r>
      <w:r>
        <w:rPr>
          <w:rFonts w:ascii="Arial" w:hAnsi="Arial" w:cs="Arial"/>
          <w:sz w:val="24"/>
          <w:szCs w:val="24"/>
        </w:rPr>
        <w:t xml:space="preserve">. </w:t>
      </w:r>
      <w:hyperlink r:id="rId5" w:history="1">
        <w:r>
          <w:rPr>
            <w:rStyle w:val="Hyperlink"/>
            <w:rFonts w:ascii="Arial" w:hAnsi="Arial" w:cs="Arial"/>
            <w:sz w:val="24"/>
            <w:szCs w:val="24"/>
          </w:rPr>
          <w:t>https://journalofethnicfoods.biomedcentral.com/counter/pdf/10.1186/s42779-021-00085-5.pdf</w:t>
        </w:r>
      </w:hyperlink>
      <w:r>
        <w:rPr>
          <w:rFonts w:ascii="Arial" w:hAnsi="Arial" w:cs="Arial"/>
          <w:sz w:val="24"/>
          <w:szCs w:val="24"/>
        </w:rPr>
        <w:t xml:space="preserve"> </w:t>
      </w:r>
    </w:p>
    <w:p w14:paraId="62A2EDE5" w14:textId="77777777" w:rsidR="007C2D38" w:rsidRDefault="007C2D38" w:rsidP="007C2D3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Basaran, M., &amp; </w:t>
      </w:r>
      <w:proofErr w:type="spellStart"/>
      <w:r>
        <w:rPr>
          <w:rFonts w:ascii="Arial" w:hAnsi="Arial" w:cs="Arial"/>
          <w:sz w:val="24"/>
          <w:szCs w:val="24"/>
        </w:rPr>
        <w:t>Sunnetcioglu</w:t>
      </w:r>
      <w:proofErr w:type="spellEnd"/>
      <w:r>
        <w:rPr>
          <w:rFonts w:ascii="Arial" w:hAnsi="Arial" w:cs="Arial"/>
          <w:sz w:val="24"/>
          <w:szCs w:val="24"/>
        </w:rPr>
        <w:t xml:space="preserve">, A. (2021). Enhancing Entrepreneurial Skills through Mentorship. </w:t>
      </w:r>
      <w:r>
        <w:rPr>
          <w:rFonts w:ascii="Arial" w:hAnsi="Arial" w:cs="Arial"/>
          <w:i/>
          <w:iCs/>
          <w:sz w:val="24"/>
          <w:szCs w:val="24"/>
        </w:rPr>
        <w:t>Journal of Entrepreneurship and Innovation Management</w:t>
      </w:r>
      <w:r>
        <w:rPr>
          <w:rFonts w:ascii="Arial" w:hAnsi="Arial" w:cs="Arial"/>
          <w:sz w:val="24"/>
          <w:szCs w:val="24"/>
        </w:rPr>
        <w:t xml:space="preserve">. Consensus Paper </w:t>
      </w:r>
      <w:hyperlink r:id="rId6" w:history="1">
        <w:r>
          <w:rPr>
            <w:rStyle w:val="Hyperlink"/>
            <w:rFonts w:ascii="Arial" w:hAnsi="Arial" w:cs="Arial"/>
            <w:sz w:val="24"/>
            <w:szCs w:val="24"/>
          </w:rPr>
          <w:t>https://www.sciencedirect.com/science/article/pii/S147281171830226X</w:t>
        </w:r>
      </w:hyperlink>
      <w:r>
        <w:rPr>
          <w:rFonts w:ascii="Arial" w:hAnsi="Arial" w:cs="Arial"/>
          <w:sz w:val="24"/>
          <w:szCs w:val="24"/>
        </w:rPr>
        <w:t xml:space="preserve"> </w:t>
      </w:r>
    </w:p>
    <w:p w14:paraId="1F8D4F6C" w14:textId="77777777" w:rsidR="007C2D38" w:rsidRDefault="007C2D38" w:rsidP="007C2D38">
      <w:pPr>
        <w:numPr>
          <w:ilvl w:val="0"/>
          <w:numId w:val="1"/>
        </w:numPr>
        <w:spacing w:line="360" w:lineRule="auto"/>
        <w:jc w:val="both"/>
        <w:rPr>
          <w:rFonts w:ascii="Arial" w:hAnsi="Arial" w:cs="Arial"/>
          <w:sz w:val="24"/>
          <w:szCs w:val="24"/>
        </w:rPr>
      </w:pPr>
      <w:r>
        <w:rPr>
          <w:rFonts w:ascii="Arial" w:hAnsi="Arial" w:cs="Arial"/>
          <w:sz w:val="24"/>
          <w:szCs w:val="24"/>
        </w:rPr>
        <w:t xml:space="preserve">Becker, W. A. (1987). Theme restaurants, a unique dining experience. </w:t>
      </w:r>
      <w:r>
        <w:rPr>
          <w:rFonts w:ascii="Arial" w:hAnsi="Arial" w:cs="Arial"/>
          <w:i/>
          <w:iCs/>
          <w:sz w:val="24"/>
          <w:szCs w:val="24"/>
        </w:rPr>
        <w:t>Visions of Leisure and Business</w:t>
      </w:r>
      <w:r>
        <w:rPr>
          <w:rFonts w:ascii="Arial" w:hAnsi="Arial" w:cs="Arial"/>
          <w:sz w:val="24"/>
          <w:szCs w:val="24"/>
        </w:rPr>
        <w:t xml:space="preserve">, 6, 51-55. </w:t>
      </w:r>
      <w:hyperlink r:id="rId7" w:history="1">
        <w:r>
          <w:rPr>
            <w:rStyle w:val="Hyperlink"/>
          </w:rPr>
          <w:t>234760282.pdf (core.ac.uk)</w:t>
        </w:r>
      </w:hyperlink>
      <w:r>
        <w:t xml:space="preserve"> </w:t>
      </w:r>
    </w:p>
    <w:p w14:paraId="0B2CA4ED" w14:textId="77777777" w:rsidR="007C2D38" w:rsidRDefault="007C2D38" w:rsidP="007C2D38">
      <w:pPr>
        <w:numPr>
          <w:ilvl w:val="0"/>
          <w:numId w:val="1"/>
        </w:numPr>
        <w:spacing w:line="360" w:lineRule="auto"/>
        <w:jc w:val="both"/>
        <w:rPr>
          <w:rFonts w:ascii="Arial" w:hAnsi="Arial" w:cs="Arial"/>
          <w:sz w:val="24"/>
          <w:szCs w:val="24"/>
        </w:rPr>
      </w:pPr>
      <w:r>
        <w:rPr>
          <w:rFonts w:ascii="Arial" w:hAnsi="Arial" w:cs="Arial"/>
          <w:sz w:val="24"/>
          <w:szCs w:val="24"/>
        </w:rPr>
        <w:t xml:space="preserve">Billingsgate Fish Market. (n.d.). Retrieved from </w:t>
      </w:r>
      <w:proofErr w:type="gramStart"/>
      <w:r>
        <w:rPr>
          <w:rFonts w:ascii="Arial" w:hAnsi="Arial" w:cs="Arial"/>
          <w:sz w:val="24"/>
          <w:szCs w:val="24"/>
        </w:rPr>
        <w:t>https://www.cityoflondon.gov.uk/things-to-do/london-landmarks/billingsgate-market</w:t>
      </w:r>
      <w:proofErr w:type="gramEnd"/>
    </w:p>
    <w:p w14:paraId="4ABFBE89" w14:textId="77777777" w:rsidR="007C2D38" w:rsidRDefault="007C2D38" w:rsidP="007C2D38">
      <w:pPr>
        <w:numPr>
          <w:ilvl w:val="0"/>
          <w:numId w:val="1"/>
        </w:numPr>
        <w:spacing w:line="360" w:lineRule="auto"/>
        <w:jc w:val="both"/>
        <w:rPr>
          <w:rFonts w:ascii="Arial" w:hAnsi="Arial" w:cs="Arial"/>
          <w:sz w:val="24"/>
          <w:szCs w:val="24"/>
        </w:rPr>
      </w:pPr>
      <w:r>
        <w:rPr>
          <w:rFonts w:ascii="Arial" w:hAnsi="Arial" w:cs="Arial"/>
          <w:sz w:val="24"/>
          <w:szCs w:val="24"/>
        </w:rPr>
        <w:t xml:space="preserve">Castellini, G., </w:t>
      </w:r>
      <w:proofErr w:type="spellStart"/>
      <w:r>
        <w:rPr>
          <w:rFonts w:ascii="Arial" w:hAnsi="Arial" w:cs="Arial"/>
          <w:sz w:val="24"/>
          <w:szCs w:val="24"/>
        </w:rPr>
        <w:t>Vezzulli</w:t>
      </w:r>
      <w:proofErr w:type="spellEnd"/>
      <w:r>
        <w:rPr>
          <w:rFonts w:ascii="Arial" w:hAnsi="Arial" w:cs="Arial"/>
          <w:sz w:val="24"/>
          <w:szCs w:val="24"/>
        </w:rPr>
        <w:t xml:space="preserve">, F., </w:t>
      </w:r>
      <w:proofErr w:type="spellStart"/>
      <w:r>
        <w:rPr>
          <w:rFonts w:ascii="Arial" w:hAnsi="Arial" w:cs="Arial"/>
          <w:sz w:val="24"/>
          <w:szCs w:val="24"/>
        </w:rPr>
        <w:t>Lambri</w:t>
      </w:r>
      <w:proofErr w:type="spellEnd"/>
      <w:r>
        <w:rPr>
          <w:rFonts w:ascii="Arial" w:hAnsi="Arial" w:cs="Arial"/>
          <w:sz w:val="24"/>
          <w:szCs w:val="24"/>
        </w:rPr>
        <w:t xml:space="preserve">, M., </w:t>
      </w:r>
      <w:proofErr w:type="spellStart"/>
      <w:r>
        <w:rPr>
          <w:rFonts w:ascii="Arial" w:hAnsi="Arial" w:cs="Arial"/>
          <w:sz w:val="24"/>
          <w:szCs w:val="24"/>
        </w:rPr>
        <w:t>Sacchettini</w:t>
      </w:r>
      <w:proofErr w:type="spellEnd"/>
      <w:r>
        <w:rPr>
          <w:rFonts w:ascii="Arial" w:hAnsi="Arial" w:cs="Arial"/>
          <w:sz w:val="24"/>
          <w:szCs w:val="24"/>
        </w:rPr>
        <w:t xml:space="preserve">, G., Graffigna, G., Marques, A., &amp; Capri, E. (2022). Perceptions and Liking Distortion from Information about the Nutritional Upgrades in Biofortified Seafood Products. Foods, 11(18), p.2808. </w:t>
      </w:r>
      <w:hyperlink r:id="rId8" w:history="1">
        <w:r>
          <w:rPr>
            <w:rStyle w:val="Hyperlink"/>
            <w:rFonts w:ascii="Arial" w:hAnsi="Arial" w:cs="Arial"/>
            <w:sz w:val="24"/>
            <w:szCs w:val="24"/>
          </w:rPr>
          <w:t>https://www.mdpi.com/2304-8158/11/18/2808</w:t>
        </w:r>
      </w:hyperlink>
      <w:r>
        <w:rPr>
          <w:rFonts w:ascii="Arial" w:hAnsi="Arial" w:cs="Arial"/>
          <w:sz w:val="24"/>
          <w:szCs w:val="24"/>
        </w:rPr>
        <w:t xml:space="preserve"> </w:t>
      </w:r>
    </w:p>
    <w:p w14:paraId="38FD6E94" w14:textId="77777777" w:rsidR="007C2D38" w:rsidRDefault="007C2D38" w:rsidP="007C2D3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Crunchyroll. (n.d.). Retrieved from </w:t>
      </w:r>
      <w:hyperlink r:id="rId9" w:tgtFrame="_new" w:history="1">
        <w:r>
          <w:rPr>
            <w:rStyle w:val="Hyperlink"/>
            <w:rFonts w:ascii="Arial" w:hAnsi="Arial" w:cs="Arial"/>
            <w:sz w:val="24"/>
            <w:szCs w:val="24"/>
            <w:bdr w:val="single" w:sz="2" w:space="0" w:color="E3E3E3" w:frame="1"/>
          </w:rPr>
          <w:t>https://www.crunchyroll.com/</w:t>
        </w:r>
      </w:hyperlink>
      <w:r>
        <w:rPr>
          <w:rStyle w:val="Hyperlink"/>
          <w:rFonts w:ascii="Arial" w:hAnsi="Arial" w:cs="Arial"/>
          <w:sz w:val="24"/>
          <w:szCs w:val="24"/>
          <w:bdr w:val="single" w:sz="2" w:space="0" w:color="E3E3E3" w:frame="1"/>
        </w:rPr>
        <w:t xml:space="preserve"> </w:t>
      </w:r>
    </w:p>
    <w:p w14:paraId="6D87F150" w14:textId="77777777" w:rsidR="007C2D38" w:rsidRDefault="007C2D38" w:rsidP="007C2D38">
      <w:pPr>
        <w:numPr>
          <w:ilvl w:val="0"/>
          <w:numId w:val="1"/>
        </w:numPr>
        <w:spacing w:line="360" w:lineRule="auto"/>
        <w:jc w:val="both"/>
        <w:rPr>
          <w:rFonts w:ascii="Arial" w:hAnsi="Arial" w:cs="Arial"/>
          <w:sz w:val="24"/>
          <w:szCs w:val="24"/>
        </w:rPr>
      </w:pPr>
      <w:r>
        <w:rPr>
          <w:rFonts w:ascii="Arial" w:hAnsi="Arial" w:cs="Arial"/>
          <w:sz w:val="24"/>
          <w:szCs w:val="24"/>
        </w:rPr>
        <w:t xml:space="preserve">Espinosa, J., Ortinau, D., Krey, N., &amp; Monahan, L. (2018). I’ll have the usual: how restaurant brand image, loyalty, and satisfaction keep customers coming back. Journal of Product &amp; Brand Management. </w:t>
      </w:r>
      <w:hyperlink r:id="rId10" w:history="1">
        <w:r>
          <w:rPr>
            <w:rStyle w:val="Hyperlink"/>
            <w:rFonts w:ascii="Arial" w:hAnsi="Arial" w:cs="Arial"/>
            <w:sz w:val="24"/>
            <w:szCs w:val="24"/>
          </w:rPr>
          <w:t>https://www.studocu.com/vn/document/truong-dai-hoc-kinh-te-thanh-pho-ho-chi-minh/chien-luoc-marketing-cho-nha-quan-tri-marketing-strategy/1/89762363</w:t>
        </w:r>
      </w:hyperlink>
      <w:r>
        <w:rPr>
          <w:rFonts w:ascii="Arial" w:hAnsi="Arial" w:cs="Arial"/>
          <w:sz w:val="24"/>
          <w:szCs w:val="24"/>
        </w:rPr>
        <w:t xml:space="preserve"> </w:t>
      </w:r>
    </w:p>
    <w:p w14:paraId="13418A31" w14:textId="77777777" w:rsidR="007C2D38" w:rsidRDefault="007C2D38" w:rsidP="007C2D3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Gibbs, G. (1988). </w:t>
      </w:r>
      <w:r>
        <w:rPr>
          <w:rFonts w:ascii="Arial" w:hAnsi="Arial" w:cs="Arial"/>
          <w:i/>
          <w:iCs/>
          <w:sz w:val="24"/>
          <w:szCs w:val="24"/>
        </w:rPr>
        <w:t>Learning by Doing: A Guide to Teaching and Learning Methods</w:t>
      </w:r>
      <w:r>
        <w:rPr>
          <w:rFonts w:ascii="Arial" w:hAnsi="Arial" w:cs="Arial"/>
          <w:sz w:val="24"/>
          <w:szCs w:val="24"/>
        </w:rPr>
        <w:t>. Oxford: Oxford Polytechnic Further Education Unit.</w:t>
      </w:r>
    </w:p>
    <w:p w14:paraId="545F44A7" w14:textId="77777777" w:rsidR="007C2D38" w:rsidRDefault="007C2D38" w:rsidP="007C2D38">
      <w:pPr>
        <w:numPr>
          <w:ilvl w:val="0"/>
          <w:numId w:val="1"/>
        </w:numPr>
        <w:spacing w:line="360" w:lineRule="auto"/>
        <w:jc w:val="both"/>
        <w:rPr>
          <w:rFonts w:ascii="Arial" w:hAnsi="Arial" w:cs="Arial"/>
          <w:sz w:val="24"/>
          <w:szCs w:val="24"/>
        </w:rPr>
      </w:pPr>
      <w:r>
        <w:rPr>
          <w:rFonts w:ascii="Arial" w:hAnsi="Arial" w:cs="Arial"/>
          <w:sz w:val="24"/>
          <w:szCs w:val="24"/>
        </w:rPr>
        <w:t xml:space="preserve">Guo, H., Guo, A., &amp; Ma, H. (2022). Inside the black box: How business model innovation contributes to digital start-up performance. Journal of Innovation &amp; Knowledge, 7(2), 100188. </w:t>
      </w:r>
      <w:hyperlink r:id="rId11" w:history="1">
        <w:r>
          <w:rPr>
            <w:rStyle w:val="Hyperlink"/>
            <w:rFonts w:ascii="Arial" w:hAnsi="Arial" w:cs="Arial"/>
            <w:sz w:val="24"/>
            <w:szCs w:val="24"/>
          </w:rPr>
          <w:t>https://www.researchgate.net/publication/359934233_Inside_the_black_box_How_business_model_innovation_contributes_to_digital_start-up_performance</w:t>
        </w:r>
      </w:hyperlink>
      <w:r>
        <w:rPr>
          <w:rFonts w:ascii="Arial" w:hAnsi="Arial" w:cs="Arial"/>
          <w:sz w:val="24"/>
          <w:szCs w:val="24"/>
        </w:rPr>
        <w:t xml:space="preserve"> </w:t>
      </w:r>
    </w:p>
    <w:p w14:paraId="65D9A61D" w14:textId="77777777" w:rsidR="007C2D38" w:rsidRDefault="007C2D38" w:rsidP="007C2D38">
      <w:pPr>
        <w:numPr>
          <w:ilvl w:val="0"/>
          <w:numId w:val="1"/>
        </w:numPr>
        <w:spacing w:line="360" w:lineRule="auto"/>
        <w:jc w:val="both"/>
        <w:rPr>
          <w:rFonts w:ascii="Arial" w:hAnsi="Arial" w:cs="Arial"/>
          <w:sz w:val="24"/>
          <w:szCs w:val="24"/>
        </w:rPr>
      </w:pPr>
      <w:r>
        <w:rPr>
          <w:rFonts w:ascii="Arial" w:hAnsi="Arial" w:cs="Arial"/>
          <w:sz w:val="24"/>
          <w:szCs w:val="24"/>
        </w:rPr>
        <w:t xml:space="preserve">Inwood, S., Sharp, J., Moore, R., &amp; Stinner, D. (2009). Restaurants, </w:t>
      </w:r>
      <w:proofErr w:type="gramStart"/>
      <w:r>
        <w:rPr>
          <w:rFonts w:ascii="Arial" w:hAnsi="Arial" w:cs="Arial"/>
          <w:sz w:val="24"/>
          <w:szCs w:val="24"/>
        </w:rPr>
        <w:t>chefs</w:t>
      </w:r>
      <w:proofErr w:type="gramEnd"/>
      <w:r>
        <w:rPr>
          <w:rFonts w:ascii="Arial" w:hAnsi="Arial" w:cs="Arial"/>
          <w:sz w:val="24"/>
          <w:szCs w:val="24"/>
        </w:rPr>
        <w:t xml:space="preserve"> and local foods: insights drawn from application of a diffusion of innovation framework. </w:t>
      </w:r>
      <w:r>
        <w:rPr>
          <w:rFonts w:ascii="Arial" w:hAnsi="Arial" w:cs="Arial"/>
          <w:i/>
          <w:iCs/>
          <w:sz w:val="24"/>
          <w:szCs w:val="24"/>
        </w:rPr>
        <w:t>Agriculture and Human Values</w:t>
      </w:r>
      <w:r>
        <w:rPr>
          <w:rFonts w:ascii="Arial" w:hAnsi="Arial" w:cs="Arial"/>
          <w:sz w:val="24"/>
          <w:szCs w:val="24"/>
        </w:rPr>
        <w:t xml:space="preserve">, 26, 177-191. </w:t>
      </w:r>
      <w:hyperlink r:id="rId12" w:history="1">
        <w:r>
          <w:rPr>
            <w:rStyle w:val="Hyperlink"/>
          </w:rPr>
          <w:t xml:space="preserve">(PDF) Restaurants, </w:t>
        </w:r>
        <w:proofErr w:type="gramStart"/>
        <w:r>
          <w:rPr>
            <w:rStyle w:val="Hyperlink"/>
          </w:rPr>
          <w:t>chefs</w:t>
        </w:r>
        <w:proofErr w:type="gramEnd"/>
        <w:r>
          <w:rPr>
            <w:rStyle w:val="Hyperlink"/>
          </w:rPr>
          <w:t xml:space="preserve"> and local foods: Insights drawn from application of a diffusion of innovation framework (researchgate.net)</w:t>
        </w:r>
      </w:hyperlink>
      <w:r>
        <w:t xml:space="preserve"> </w:t>
      </w:r>
    </w:p>
    <w:p w14:paraId="69C69281" w14:textId="77777777" w:rsidR="007C2D38" w:rsidRDefault="007C2D38" w:rsidP="007C2D38">
      <w:pPr>
        <w:numPr>
          <w:ilvl w:val="0"/>
          <w:numId w:val="1"/>
        </w:numPr>
        <w:spacing w:line="360" w:lineRule="auto"/>
        <w:jc w:val="both"/>
        <w:rPr>
          <w:rFonts w:ascii="Arial" w:hAnsi="Arial" w:cs="Arial"/>
          <w:sz w:val="24"/>
          <w:szCs w:val="24"/>
        </w:rPr>
      </w:pPr>
      <w:r>
        <w:rPr>
          <w:rFonts w:ascii="Arial" w:hAnsi="Arial" w:cs="Arial"/>
          <w:sz w:val="24"/>
          <w:szCs w:val="24"/>
        </w:rPr>
        <w:t xml:space="preserve">Ishak, F. A. C., </w:t>
      </w:r>
      <w:proofErr w:type="spellStart"/>
      <w:r>
        <w:rPr>
          <w:rFonts w:ascii="Arial" w:hAnsi="Arial" w:cs="Arial"/>
          <w:sz w:val="24"/>
          <w:szCs w:val="24"/>
        </w:rPr>
        <w:t>Zainun</w:t>
      </w:r>
      <w:proofErr w:type="spellEnd"/>
      <w:r>
        <w:rPr>
          <w:rFonts w:ascii="Arial" w:hAnsi="Arial" w:cs="Arial"/>
          <w:sz w:val="24"/>
          <w:szCs w:val="24"/>
        </w:rPr>
        <w:t xml:space="preserve">, N., Karim, M. S., &amp; Abidin, U. (2020). The Multifaceted of Themed Restaurant: Exploring the Unique and Vulnerable Elements in Staging Authentic Dining Experience. </w:t>
      </w:r>
      <w:r>
        <w:rPr>
          <w:rFonts w:ascii="Arial" w:hAnsi="Arial" w:cs="Arial"/>
          <w:i/>
          <w:iCs/>
          <w:sz w:val="24"/>
          <w:szCs w:val="24"/>
        </w:rPr>
        <w:t>The International Journal of Academic Research in Business and Social Sciences</w:t>
      </w:r>
      <w:r>
        <w:rPr>
          <w:rFonts w:ascii="Arial" w:hAnsi="Arial" w:cs="Arial"/>
          <w:sz w:val="24"/>
          <w:szCs w:val="24"/>
        </w:rPr>
        <w:t xml:space="preserve">. </w:t>
      </w:r>
      <w:hyperlink r:id="rId13" w:history="1">
        <w:r>
          <w:rPr>
            <w:rStyle w:val="Hyperlink"/>
          </w:rPr>
          <w:t>(PDF) The Multifaceted of Themed Restaurant: Exploring the Unique and Vulnerable Elements in Staging Authentic Dining Experience (researchgate.net)</w:t>
        </w:r>
      </w:hyperlink>
      <w:r>
        <w:t xml:space="preserve"> </w:t>
      </w:r>
    </w:p>
    <w:p w14:paraId="01EF5541" w14:textId="77777777" w:rsidR="007C2D38" w:rsidRDefault="007C2D38" w:rsidP="007C2D3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Jacob, A. P., et al. (2014). The Impact of Autonomy and Risk-Taking on Entrepreneurial Success. </w:t>
      </w:r>
      <w:r>
        <w:rPr>
          <w:rFonts w:ascii="Arial" w:hAnsi="Arial" w:cs="Arial"/>
          <w:i/>
          <w:iCs/>
          <w:sz w:val="24"/>
          <w:szCs w:val="24"/>
        </w:rPr>
        <w:t>Journal of Business Venturing</w:t>
      </w:r>
      <w:r>
        <w:rPr>
          <w:rFonts w:ascii="Arial" w:hAnsi="Arial" w:cs="Arial"/>
          <w:sz w:val="24"/>
          <w:szCs w:val="24"/>
        </w:rPr>
        <w:t>. Consensus Paper</w:t>
      </w:r>
    </w:p>
    <w:p w14:paraId="55A651CA" w14:textId="77777777" w:rsidR="007C2D38" w:rsidRDefault="007C2D38" w:rsidP="007C2D38">
      <w:pPr>
        <w:numPr>
          <w:ilvl w:val="0"/>
          <w:numId w:val="1"/>
        </w:numPr>
        <w:spacing w:line="360" w:lineRule="auto"/>
        <w:jc w:val="both"/>
        <w:rPr>
          <w:rFonts w:ascii="Arial" w:hAnsi="Arial" w:cs="Arial"/>
          <w:sz w:val="24"/>
          <w:szCs w:val="24"/>
        </w:rPr>
      </w:pPr>
      <w:r>
        <w:rPr>
          <w:rFonts w:ascii="Arial" w:hAnsi="Arial" w:cs="Arial"/>
          <w:sz w:val="24"/>
          <w:szCs w:val="24"/>
        </w:rPr>
        <w:t xml:space="preserve">Jacob, C., </w:t>
      </w:r>
      <w:proofErr w:type="spellStart"/>
      <w:r>
        <w:rPr>
          <w:rFonts w:ascii="Arial" w:hAnsi="Arial" w:cs="Arial"/>
          <w:sz w:val="24"/>
          <w:szCs w:val="24"/>
        </w:rPr>
        <w:t>Guéguen</w:t>
      </w:r>
      <w:proofErr w:type="spellEnd"/>
      <w:r>
        <w:rPr>
          <w:rFonts w:ascii="Arial" w:hAnsi="Arial" w:cs="Arial"/>
          <w:sz w:val="24"/>
          <w:szCs w:val="24"/>
        </w:rPr>
        <w:t xml:space="preserve">, N., &amp; </w:t>
      </w:r>
      <w:proofErr w:type="spellStart"/>
      <w:r>
        <w:rPr>
          <w:rFonts w:ascii="Arial" w:hAnsi="Arial" w:cs="Arial"/>
          <w:sz w:val="24"/>
          <w:szCs w:val="24"/>
        </w:rPr>
        <w:t>Boulbry</w:t>
      </w:r>
      <w:proofErr w:type="spellEnd"/>
      <w:r>
        <w:rPr>
          <w:rFonts w:ascii="Arial" w:hAnsi="Arial" w:cs="Arial"/>
          <w:sz w:val="24"/>
          <w:szCs w:val="24"/>
        </w:rPr>
        <w:t xml:space="preserve">, G. (2014). Using verbal attention to enhance restaurant customer satisfaction and </w:t>
      </w:r>
      <w:proofErr w:type="spellStart"/>
      <w:r>
        <w:rPr>
          <w:rFonts w:ascii="Arial" w:hAnsi="Arial" w:cs="Arial"/>
          <w:sz w:val="24"/>
          <w:szCs w:val="24"/>
        </w:rPr>
        <w:t>behavior</w:t>
      </w:r>
      <w:proofErr w:type="spellEnd"/>
      <w:r>
        <w:rPr>
          <w:rFonts w:ascii="Arial" w:hAnsi="Arial" w:cs="Arial"/>
          <w:sz w:val="24"/>
          <w:szCs w:val="24"/>
        </w:rPr>
        <w:t xml:space="preserve">. </w:t>
      </w:r>
      <w:r>
        <w:rPr>
          <w:rFonts w:ascii="Arial" w:hAnsi="Arial" w:cs="Arial"/>
          <w:i/>
          <w:iCs/>
          <w:sz w:val="24"/>
          <w:szCs w:val="24"/>
        </w:rPr>
        <w:t>International Journal of Hospitality Management</w:t>
      </w:r>
      <w:r>
        <w:rPr>
          <w:rFonts w:ascii="Arial" w:hAnsi="Arial" w:cs="Arial"/>
          <w:sz w:val="24"/>
          <w:szCs w:val="24"/>
        </w:rPr>
        <w:t xml:space="preserve">, 39, 50-52. </w:t>
      </w:r>
      <w:hyperlink r:id="rId14" w:history="1">
        <w:r>
          <w:rPr>
            <w:rStyle w:val="Hyperlink"/>
            <w:rFonts w:ascii="Arial" w:hAnsi="Arial" w:cs="Arial"/>
            <w:sz w:val="24"/>
            <w:szCs w:val="24"/>
          </w:rPr>
          <w:t>https://www.sciencedirect.com/science/article/pii/S0278431914000255?via%3Dihub</w:t>
        </w:r>
      </w:hyperlink>
      <w:r>
        <w:rPr>
          <w:rFonts w:ascii="Arial" w:hAnsi="Arial" w:cs="Arial"/>
          <w:sz w:val="24"/>
          <w:szCs w:val="24"/>
        </w:rPr>
        <w:t xml:space="preserve"> </w:t>
      </w:r>
    </w:p>
    <w:p w14:paraId="689C8E8B" w14:textId="77777777" w:rsidR="007C2D38" w:rsidRDefault="007C2D38" w:rsidP="007C2D38">
      <w:pPr>
        <w:numPr>
          <w:ilvl w:val="0"/>
          <w:numId w:val="1"/>
        </w:numPr>
        <w:spacing w:line="360" w:lineRule="auto"/>
        <w:jc w:val="both"/>
        <w:rPr>
          <w:rFonts w:ascii="Arial" w:hAnsi="Arial" w:cs="Arial"/>
          <w:sz w:val="24"/>
          <w:szCs w:val="24"/>
        </w:rPr>
      </w:pPr>
      <w:r>
        <w:rPr>
          <w:rFonts w:ascii="Arial" w:hAnsi="Arial" w:cs="Arial"/>
          <w:sz w:val="24"/>
          <w:szCs w:val="24"/>
        </w:rPr>
        <w:t xml:space="preserve">Ku, E.C.S., Hsu, S.F., &amp; Wu, W.C. (2020). Connecting supplier–supplier relationships to achieve supply chain performance of restaurant companies. Journal of Hospitality and Tourism Insights, 3, 311-328. </w:t>
      </w:r>
      <w:hyperlink r:id="rId15" w:history="1">
        <w:r>
          <w:rPr>
            <w:rStyle w:val="Hyperlink"/>
            <w:rFonts w:ascii="Arial" w:hAnsi="Arial" w:cs="Arial"/>
            <w:sz w:val="24"/>
            <w:szCs w:val="24"/>
          </w:rPr>
          <w:t>https://www.proquest.com/docview/2447267486/BB5A121BA8F24AE1PQ/1?accountid=130472&amp;sourcetype=Scholarly%20Journals</w:t>
        </w:r>
      </w:hyperlink>
      <w:r>
        <w:rPr>
          <w:rFonts w:ascii="Arial" w:hAnsi="Arial" w:cs="Arial"/>
          <w:sz w:val="24"/>
          <w:szCs w:val="24"/>
        </w:rPr>
        <w:t xml:space="preserve"> </w:t>
      </w:r>
    </w:p>
    <w:p w14:paraId="59156B5F" w14:textId="77777777" w:rsidR="007C2D38" w:rsidRDefault="007C2D38" w:rsidP="007C2D38">
      <w:pPr>
        <w:numPr>
          <w:ilvl w:val="0"/>
          <w:numId w:val="1"/>
        </w:numPr>
        <w:spacing w:line="360" w:lineRule="auto"/>
        <w:jc w:val="both"/>
        <w:rPr>
          <w:rFonts w:ascii="Arial" w:hAnsi="Arial" w:cs="Arial"/>
          <w:sz w:val="24"/>
          <w:szCs w:val="24"/>
        </w:rPr>
      </w:pPr>
      <w:r>
        <w:rPr>
          <w:rFonts w:ascii="Arial" w:hAnsi="Arial" w:cs="Arial"/>
          <w:sz w:val="24"/>
          <w:szCs w:val="24"/>
        </w:rPr>
        <w:t xml:space="preserve">Liu, T., Liu, S., &amp; Rahman, I. (2022). International anime tourists’ experiences: a </w:t>
      </w:r>
      <w:proofErr w:type="spellStart"/>
      <w:r>
        <w:rPr>
          <w:rFonts w:ascii="Arial" w:hAnsi="Arial" w:cs="Arial"/>
          <w:sz w:val="24"/>
          <w:szCs w:val="24"/>
        </w:rPr>
        <w:t>netnography</w:t>
      </w:r>
      <w:proofErr w:type="spellEnd"/>
      <w:r>
        <w:rPr>
          <w:rFonts w:ascii="Arial" w:hAnsi="Arial" w:cs="Arial"/>
          <w:sz w:val="24"/>
          <w:szCs w:val="24"/>
        </w:rPr>
        <w:t xml:space="preserve"> of popular Japanese anime tourism destinations. </w:t>
      </w:r>
      <w:r>
        <w:rPr>
          <w:rFonts w:ascii="Arial" w:hAnsi="Arial" w:cs="Arial"/>
          <w:i/>
          <w:iCs/>
          <w:sz w:val="24"/>
          <w:szCs w:val="24"/>
        </w:rPr>
        <w:t>Asia Pacific Journal of Tourism Research</w:t>
      </w:r>
      <w:r>
        <w:rPr>
          <w:rFonts w:ascii="Arial" w:hAnsi="Arial" w:cs="Arial"/>
          <w:sz w:val="24"/>
          <w:szCs w:val="24"/>
        </w:rPr>
        <w:t xml:space="preserve">. </w:t>
      </w:r>
      <w:hyperlink r:id="rId16" w:history="1">
        <w:r>
          <w:rPr>
            <w:rStyle w:val="Hyperlink"/>
            <w:rFonts w:ascii="Arial" w:hAnsi="Arial" w:cs="Arial"/>
            <w:sz w:val="24"/>
            <w:szCs w:val="24"/>
          </w:rPr>
          <w:t>https://www.tandfonline.com/doi/full/10.1080/10941665.2021.1998163</w:t>
        </w:r>
      </w:hyperlink>
      <w:r>
        <w:rPr>
          <w:rFonts w:ascii="Arial" w:hAnsi="Arial" w:cs="Arial"/>
          <w:sz w:val="24"/>
          <w:szCs w:val="24"/>
        </w:rPr>
        <w:t xml:space="preserve"> </w:t>
      </w:r>
    </w:p>
    <w:p w14:paraId="25C5058A" w14:textId="77777777" w:rsidR="007C2D38" w:rsidRDefault="007C2D38" w:rsidP="007C2D38">
      <w:pPr>
        <w:numPr>
          <w:ilvl w:val="0"/>
          <w:numId w:val="1"/>
        </w:numPr>
        <w:spacing w:line="360" w:lineRule="auto"/>
        <w:jc w:val="both"/>
        <w:rPr>
          <w:rFonts w:ascii="Arial" w:hAnsi="Arial" w:cs="Arial"/>
          <w:sz w:val="24"/>
          <w:szCs w:val="24"/>
        </w:rPr>
      </w:pPr>
      <w:proofErr w:type="spellStart"/>
      <w:r>
        <w:rPr>
          <w:rFonts w:ascii="Arial" w:hAnsi="Arial" w:cs="Arial"/>
          <w:sz w:val="24"/>
          <w:szCs w:val="24"/>
        </w:rPr>
        <w:lastRenderedPageBreak/>
        <w:t>Mahafzah</w:t>
      </w:r>
      <w:proofErr w:type="spellEnd"/>
      <w:r>
        <w:rPr>
          <w:rFonts w:ascii="Arial" w:hAnsi="Arial" w:cs="Arial"/>
          <w:sz w:val="24"/>
          <w:szCs w:val="24"/>
        </w:rPr>
        <w:t xml:space="preserve">, A.G., </w:t>
      </w:r>
      <w:proofErr w:type="spellStart"/>
      <w:r>
        <w:rPr>
          <w:rFonts w:ascii="Arial" w:hAnsi="Arial" w:cs="Arial"/>
          <w:sz w:val="24"/>
          <w:szCs w:val="24"/>
        </w:rPr>
        <w:t>Aljawarneh</w:t>
      </w:r>
      <w:proofErr w:type="spellEnd"/>
      <w:r>
        <w:rPr>
          <w:rFonts w:ascii="Arial" w:hAnsi="Arial" w:cs="Arial"/>
          <w:sz w:val="24"/>
          <w:szCs w:val="24"/>
        </w:rPr>
        <w:t xml:space="preserve">, N.M., Alomari, K.A.K., </w:t>
      </w:r>
      <w:proofErr w:type="spellStart"/>
      <w:r>
        <w:rPr>
          <w:rFonts w:ascii="Arial" w:hAnsi="Arial" w:cs="Arial"/>
          <w:sz w:val="24"/>
          <w:szCs w:val="24"/>
        </w:rPr>
        <w:t>Altahat</w:t>
      </w:r>
      <w:proofErr w:type="spellEnd"/>
      <w:r>
        <w:rPr>
          <w:rFonts w:ascii="Arial" w:hAnsi="Arial" w:cs="Arial"/>
          <w:sz w:val="24"/>
          <w:szCs w:val="24"/>
        </w:rPr>
        <w:t xml:space="preserve">, S., &amp; Alomari, Z.S. (2020). Impact of customer relationship management on food and beverage service quality: The mediating role of </w:t>
      </w:r>
      <w:proofErr w:type="gramStart"/>
      <w:r>
        <w:rPr>
          <w:rFonts w:ascii="Arial" w:hAnsi="Arial" w:cs="Arial"/>
          <w:sz w:val="24"/>
          <w:szCs w:val="24"/>
        </w:rPr>
        <w:t>employees</w:t>
      </w:r>
      <w:proofErr w:type="gramEnd"/>
      <w:r>
        <w:rPr>
          <w:rFonts w:ascii="Arial" w:hAnsi="Arial" w:cs="Arial"/>
          <w:sz w:val="24"/>
          <w:szCs w:val="24"/>
        </w:rPr>
        <w:t xml:space="preserve"> satisfaction. Humanities &amp; Social Sciences Reviews, 8(2), 222-230. </w:t>
      </w:r>
      <w:hyperlink r:id="rId17" w:history="1">
        <w:r>
          <w:rPr>
            <w:rStyle w:val="Hyperlink"/>
            <w:rFonts w:ascii="Arial" w:hAnsi="Arial" w:cs="Arial"/>
            <w:sz w:val="24"/>
            <w:szCs w:val="24"/>
          </w:rPr>
          <w:t>https://www.researchgate.net/publication/340055561_IMPACT_OF_CUSTOMER_RELATIONSHIP_MANAGEMENT_ON_FOOD_AND_BEVERAGE_SERVICES_QUALITY_THE_MEDIATING_ROLE_OF_EMPLOYEES_SATISFACTION</w:t>
        </w:r>
      </w:hyperlink>
      <w:r>
        <w:rPr>
          <w:rFonts w:ascii="Arial" w:hAnsi="Arial" w:cs="Arial"/>
          <w:sz w:val="24"/>
          <w:szCs w:val="24"/>
        </w:rPr>
        <w:t xml:space="preserve"> </w:t>
      </w:r>
    </w:p>
    <w:p w14:paraId="12723370" w14:textId="77777777" w:rsidR="007C2D38" w:rsidRDefault="007C2D38" w:rsidP="007C2D38">
      <w:pPr>
        <w:numPr>
          <w:ilvl w:val="0"/>
          <w:numId w:val="1"/>
        </w:numPr>
        <w:spacing w:line="360" w:lineRule="auto"/>
        <w:jc w:val="both"/>
        <w:rPr>
          <w:rFonts w:ascii="Arial" w:hAnsi="Arial" w:cs="Arial"/>
          <w:sz w:val="24"/>
          <w:szCs w:val="24"/>
        </w:rPr>
      </w:pPr>
      <w:r>
        <w:rPr>
          <w:rFonts w:ascii="Arial" w:hAnsi="Arial" w:cs="Arial"/>
          <w:sz w:val="24"/>
          <w:szCs w:val="24"/>
        </w:rPr>
        <w:t xml:space="preserve">Meng, B., &amp; Choi, K. (2017). Theme restaurants’ </w:t>
      </w:r>
      <w:proofErr w:type="spellStart"/>
      <w:r>
        <w:rPr>
          <w:rFonts w:ascii="Arial" w:hAnsi="Arial" w:cs="Arial"/>
          <w:sz w:val="24"/>
          <w:szCs w:val="24"/>
        </w:rPr>
        <w:t>servicescape</w:t>
      </w:r>
      <w:proofErr w:type="spellEnd"/>
      <w:r>
        <w:rPr>
          <w:rFonts w:ascii="Arial" w:hAnsi="Arial" w:cs="Arial"/>
          <w:sz w:val="24"/>
          <w:szCs w:val="24"/>
        </w:rPr>
        <w:t xml:space="preserve"> in developing quality of life: The moderating effect of perceived authenticity. </w:t>
      </w:r>
      <w:r>
        <w:rPr>
          <w:rFonts w:ascii="Arial" w:hAnsi="Arial" w:cs="Arial"/>
          <w:i/>
          <w:iCs/>
          <w:sz w:val="24"/>
          <w:szCs w:val="24"/>
        </w:rPr>
        <w:t>International Journal of Hospitality Management</w:t>
      </w:r>
      <w:r>
        <w:rPr>
          <w:rFonts w:ascii="Arial" w:hAnsi="Arial" w:cs="Arial"/>
          <w:sz w:val="24"/>
          <w:szCs w:val="24"/>
        </w:rPr>
        <w:t xml:space="preserve">, 65, 89-99. </w:t>
      </w:r>
      <w:hyperlink r:id="rId18" w:history="1">
        <w:r>
          <w:rPr>
            <w:rStyle w:val="Hyperlink"/>
            <w:rFonts w:ascii="Arial" w:hAnsi="Arial" w:cs="Arial"/>
            <w:sz w:val="24"/>
            <w:szCs w:val="24"/>
          </w:rPr>
          <w:t>https://www.sciencedirect.com/science/article/pii/S0278431916301347?via%3Dihub</w:t>
        </w:r>
      </w:hyperlink>
      <w:r>
        <w:rPr>
          <w:rFonts w:ascii="Arial" w:hAnsi="Arial" w:cs="Arial"/>
          <w:sz w:val="24"/>
          <w:szCs w:val="24"/>
        </w:rPr>
        <w:t xml:space="preserve"> </w:t>
      </w:r>
    </w:p>
    <w:p w14:paraId="422BFAEC" w14:textId="77777777" w:rsidR="007C2D38" w:rsidRDefault="007C2D38" w:rsidP="007C2D38">
      <w:pPr>
        <w:numPr>
          <w:ilvl w:val="0"/>
          <w:numId w:val="1"/>
        </w:numPr>
        <w:spacing w:line="360" w:lineRule="auto"/>
        <w:jc w:val="both"/>
        <w:rPr>
          <w:rFonts w:ascii="Arial" w:hAnsi="Arial" w:cs="Arial"/>
          <w:sz w:val="24"/>
          <w:szCs w:val="24"/>
        </w:rPr>
      </w:pPr>
      <w:r>
        <w:rPr>
          <w:rFonts w:ascii="Arial" w:hAnsi="Arial" w:cs="Arial"/>
          <w:sz w:val="24"/>
          <w:szCs w:val="24"/>
        </w:rPr>
        <w:t xml:space="preserve">Qiu, S., Wu, L., Yang, Y., &amp; Zeng, G. (2022). Offering the right incentive at the right time: Leveraging customer mental accounting to promote prepaid service. Annals of Tourism Research, 93, p.103367. </w:t>
      </w:r>
      <w:hyperlink r:id="rId19" w:history="1">
        <w:r>
          <w:rPr>
            <w:rStyle w:val="Hyperlink"/>
            <w:rFonts w:ascii="Arial" w:hAnsi="Arial" w:cs="Arial"/>
            <w:sz w:val="24"/>
            <w:szCs w:val="24"/>
          </w:rPr>
          <w:t>https://www.sciencedirect.com/science/article/pii/S0160738322000184</w:t>
        </w:r>
      </w:hyperlink>
      <w:r>
        <w:rPr>
          <w:rFonts w:ascii="Arial" w:hAnsi="Arial" w:cs="Arial"/>
          <w:sz w:val="24"/>
          <w:szCs w:val="24"/>
        </w:rPr>
        <w:t xml:space="preserve"> </w:t>
      </w:r>
    </w:p>
    <w:p w14:paraId="2C460228" w14:textId="77777777" w:rsidR="007C2D38" w:rsidRDefault="007C2D38" w:rsidP="007C2D3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Seafresh</w:t>
      </w:r>
      <w:proofErr w:type="spellEnd"/>
      <w:r>
        <w:rPr>
          <w:rFonts w:ascii="Arial" w:hAnsi="Arial" w:cs="Arial"/>
          <w:sz w:val="24"/>
          <w:szCs w:val="24"/>
        </w:rPr>
        <w:t xml:space="preserve"> Group. (n.d.). Retrieved from </w:t>
      </w:r>
      <w:hyperlink r:id="rId20" w:tgtFrame="_new" w:history="1">
        <w:r>
          <w:rPr>
            <w:rStyle w:val="Hyperlink"/>
            <w:rFonts w:ascii="Arial" w:hAnsi="Arial" w:cs="Arial"/>
            <w:sz w:val="24"/>
            <w:szCs w:val="24"/>
            <w:bdr w:val="single" w:sz="2" w:space="0" w:color="E3E3E3" w:frame="1"/>
          </w:rPr>
          <w:t>https://www.seafreshuk.com/</w:t>
        </w:r>
      </w:hyperlink>
    </w:p>
    <w:p w14:paraId="14CD8AE1" w14:textId="77777777" w:rsidR="007C2D38" w:rsidRDefault="007C2D38" w:rsidP="007C2D38">
      <w:pPr>
        <w:numPr>
          <w:ilvl w:val="0"/>
          <w:numId w:val="1"/>
        </w:numPr>
        <w:spacing w:line="360" w:lineRule="auto"/>
        <w:jc w:val="both"/>
        <w:rPr>
          <w:rFonts w:ascii="Arial" w:hAnsi="Arial" w:cs="Arial"/>
          <w:sz w:val="24"/>
          <w:szCs w:val="24"/>
        </w:rPr>
      </w:pPr>
      <w:proofErr w:type="spellStart"/>
      <w:r>
        <w:rPr>
          <w:rFonts w:ascii="Arial" w:hAnsi="Arial" w:cs="Arial"/>
          <w:sz w:val="24"/>
          <w:szCs w:val="24"/>
        </w:rPr>
        <w:t>Similarweb</w:t>
      </w:r>
      <w:proofErr w:type="spellEnd"/>
      <w:r>
        <w:rPr>
          <w:rFonts w:ascii="Arial" w:hAnsi="Arial" w:cs="Arial"/>
          <w:sz w:val="24"/>
          <w:szCs w:val="24"/>
        </w:rPr>
        <w:t xml:space="preserve">. (2024). AnimeUKNews.net. </w:t>
      </w:r>
    </w:p>
    <w:p w14:paraId="2C55A51E" w14:textId="77777777" w:rsidR="007C2D38" w:rsidRDefault="007C2D38" w:rsidP="007C2D38">
      <w:pPr>
        <w:numPr>
          <w:ilvl w:val="0"/>
          <w:numId w:val="1"/>
        </w:numPr>
        <w:spacing w:line="360" w:lineRule="auto"/>
        <w:jc w:val="both"/>
        <w:rPr>
          <w:rFonts w:ascii="Arial" w:hAnsi="Arial" w:cs="Arial"/>
          <w:sz w:val="24"/>
          <w:szCs w:val="24"/>
        </w:rPr>
      </w:pPr>
      <w:proofErr w:type="spellStart"/>
      <w:r>
        <w:rPr>
          <w:rFonts w:ascii="Arial" w:hAnsi="Arial" w:cs="Arial"/>
          <w:sz w:val="24"/>
          <w:szCs w:val="24"/>
        </w:rPr>
        <w:t>Similarweb</w:t>
      </w:r>
      <w:proofErr w:type="spellEnd"/>
      <w:r>
        <w:rPr>
          <w:rFonts w:ascii="Arial" w:hAnsi="Arial" w:cs="Arial"/>
          <w:sz w:val="24"/>
          <w:szCs w:val="24"/>
        </w:rPr>
        <w:t xml:space="preserve">. (2024). Fallow Restaurant. </w:t>
      </w:r>
    </w:p>
    <w:p w14:paraId="6CAC3F65" w14:textId="77777777" w:rsidR="007C2D38" w:rsidRDefault="007C2D38" w:rsidP="007C2D38">
      <w:pPr>
        <w:numPr>
          <w:ilvl w:val="0"/>
          <w:numId w:val="1"/>
        </w:numPr>
        <w:spacing w:line="360" w:lineRule="auto"/>
        <w:jc w:val="both"/>
        <w:rPr>
          <w:rFonts w:ascii="Arial" w:hAnsi="Arial" w:cs="Arial"/>
          <w:sz w:val="24"/>
          <w:szCs w:val="24"/>
        </w:rPr>
      </w:pPr>
      <w:proofErr w:type="spellStart"/>
      <w:r>
        <w:rPr>
          <w:rFonts w:ascii="Arial" w:hAnsi="Arial" w:cs="Arial"/>
          <w:sz w:val="24"/>
          <w:szCs w:val="24"/>
        </w:rPr>
        <w:t>Similarweb</w:t>
      </w:r>
      <w:proofErr w:type="spellEnd"/>
      <w:r>
        <w:rPr>
          <w:rFonts w:ascii="Arial" w:hAnsi="Arial" w:cs="Arial"/>
          <w:sz w:val="24"/>
          <w:szCs w:val="24"/>
        </w:rPr>
        <w:t xml:space="preserve">. (2024). YO! Sushi. </w:t>
      </w:r>
    </w:p>
    <w:p w14:paraId="2708FB2E" w14:textId="77777777" w:rsidR="007C2D38" w:rsidRDefault="007C2D38" w:rsidP="007C2D38">
      <w:pPr>
        <w:numPr>
          <w:ilvl w:val="0"/>
          <w:numId w:val="1"/>
        </w:numPr>
        <w:spacing w:line="360" w:lineRule="auto"/>
        <w:jc w:val="both"/>
        <w:rPr>
          <w:rFonts w:ascii="Arial" w:hAnsi="Arial" w:cs="Arial"/>
          <w:sz w:val="24"/>
          <w:szCs w:val="24"/>
        </w:rPr>
      </w:pPr>
      <w:proofErr w:type="spellStart"/>
      <w:r>
        <w:rPr>
          <w:rFonts w:ascii="Arial" w:hAnsi="Arial" w:cs="Arial"/>
          <w:sz w:val="24"/>
          <w:szCs w:val="24"/>
        </w:rPr>
        <w:t>TokyoToys</w:t>
      </w:r>
      <w:proofErr w:type="spellEnd"/>
      <w:r>
        <w:rPr>
          <w:rFonts w:ascii="Arial" w:hAnsi="Arial" w:cs="Arial"/>
          <w:sz w:val="24"/>
          <w:szCs w:val="24"/>
        </w:rPr>
        <w:t xml:space="preserve">. (n.d.). </w:t>
      </w:r>
      <w:hyperlink r:id="rId21" w:tgtFrame="_new" w:history="1">
        <w:r>
          <w:rPr>
            <w:rStyle w:val="Hyperlink"/>
            <w:rFonts w:ascii="Arial" w:hAnsi="Arial" w:cs="Arial"/>
            <w:sz w:val="24"/>
            <w:szCs w:val="24"/>
          </w:rPr>
          <w:t>https://tokyotoys.com/</w:t>
        </w:r>
      </w:hyperlink>
    </w:p>
    <w:p w14:paraId="1E98E65C" w14:textId="77777777" w:rsidR="007C2D38" w:rsidRDefault="007C2D38" w:rsidP="007C2D38">
      <w:pPr>
        <w:numPr>
          <w:ilvl w:val="0"/>
          <w:numId w:val="1"/>
        </w:numPr>
        <w:spacing w:line="360" w:lineRule="auto"/>
        <w:jc w:val="both"/>
        <w:rPr>
          <w:rFonts w:ascii="Arial" w:hAnsi="Arial" w:cs="Arial"/>
          <w:sz w:val="24"/>
          <w:szCs w:val="24"/>
        </w:rPr>
      </w:pPr>
      <w:r>
        <w:rPr>
          <w:rFonts w:ascii="Arial" w:hAnsi="Arial" w:cs="Arial"/>
          <w:sz w:val="24"/>
          <w:szCs w:val="24"/>
        </w:rPr>
        <w:t xml:space="preserve">Tsai, C., &amp; Lu, P.-H. (2012). Authentic dining experiences in ethnic theme restaurants. </w:t>
      </w:r>
      <w:r>
        <w:rPr>
          <w:rFonts w:ascii="Arial" w:hAnsi="Arial" w:cs="Arial"/>
          <w:i/>
          <w:iCs/>
          <w:sz w:val="24"/>
          <w:szCs w:val="24"/>
        </w:rPr>
        <w:t>International Journal of Hospitality Management</w:t>
      </w:r>
      <w:r>
        <w:rPr>
          <w:rFonts w:ascii="Arial" w:hAnsi="Arial" w:cs="Arial"/>
          <w:sz w:val="24"/>
          <w:szCs w:val="24"/>
        </w:rPr>
        <w:t xml:space="preserve">, 31(2), 304-306. </w:t>
      </w:r>
      <w:hyperlink r:id="rId22" w:history="1">
        <w:r>
          <w:rPr>
            <w:rStyle w:val="Hyperlink"/>
            <w:rFonts w:ascii="Arial" w:hAnsi="Arial" w:cs="Arial"/>
            <w:sz w:val="24"/>
            <w:szCs w:val="24"/>
          </w:rPr>
          <w:t>https://www.sciencedirect.com/science/article/pii/S0278431911000673?via%3Dihub</w:t>
        </w:r>
      </w:hyperlink>
      <w:r>
        <w:rPr>
          <w:rFonts w:ascii="Arial" w:hAnsi="Arial" w:cs="Arial"/>
          <w:sz w:val="24"/>
          <w:szCs w:val="24"/>
        </w:rPr>
        <w:t xml:space="preserve"> </w:t>
      </w:r>
    </w:p>
    <w:p w14:paraId="6ACA184F" w14:textId="4C1C2E81" w:rsidR="007C2D38" w:rsidRDefault="007C2D38" w:rsidP="007C2D38">
      <w:pPr>
        <w:numPr>
          <w:ilvl w:val="0"/>
          <w:numId w:val="1"/>
        </w:numPr>
        <w:spacing w:line="360" w:lineRule="auto"/>
        <w:jc w:val="both"/>
        <w:rPr>
          <w:rFonts w:ascii="Arial" w:hAnsi="Arial" w:cs="Arial"/>
          <w:sz w:val="24"/>
          <w:szCs w:val="24"/>
        </w:rPr>
      </w:pPr>
      <w:r>
        <w:rPr>
          <w:rFonts w:ascii="Arial" w:hAnsi="Arial" w:cs="Arial"/>
          <w:sz w:val="24"/>
          <w:szCs w:val="24"/>
        </w:rPr>
        <w:t xml:space="preserve">Wu, C. (2016). Ambience and Customer Loyalty toward a Nostalgic-themed Restaurant. </w:t>
      </w:r>
      <w:r>
        <w:rPr>
          <w:rFonts w:ascii="Arial" w:hAnsi="Arial" w:cs="Arial"/>
          <w:i/>
          <w:iCs/>
          <w:sz w:val="24"/>
          <w:szCs w:val="24"/>
        </w:rPr>
        <w:t>Transylvanian Review</w:t>
      </w:r>
      <w:r>
        <w:rPr>
          <w:rFonts w:ascii="Arial" w:hAnsi="Arial" w:cs="Arial"/>
          <w:sz w:val="24"/>
          <w:szCs w:val="24"/>
        </w:rPr>
        <w:t>, 24.</w:t>
      </w:r>
    </w:p>
    <w:p w14:paraId="2C0C0131" w14:textId="77777777" w:rsidR="00701B08" w:rsidRDefault="00701B08" w:rsidP="007C2D38">
      <w:pPr>
        <w:spacing w:line="360" w:lineRule="auto"/>
        <w:ind w:left="360"/>
        <w:jc w:val="both"/>
        <w:rPr>
          <w:rFonts w:ascii="Arial" w:hAnsi="Arial" w:cs="Arial"/>
          <w:sz w:val="24"/>
          <w:szCs w:val="24"/>
        </w:rPr>
      </w:pPr>
    </w:p>
    <w:p w14:paraId="66137413" w14:textId="3439E4D1" w:rsidR="007C2D38" w:rsidRDefault="007C2D38" w:rsidP="007C2D38">
      <w:pPr>
        <w:spacing w:line="360" w:lineRule="auto"/>
        <w:ind w:left="360"/>
        <w:jc w:val="both"/>
        <w:rPr>
          <w:rFonts w:ascii="Arial" w:hAnsi="Arial" w:cs="Arial"/>
          <w:sz w:val="24"/>
          <w:szCs w:val="24"/>
        </w:rPr>
      </w:pPr>
      <w:r>
        <w:rPr>
          <w:rFonts w:ascii="Arial" w:hAnsi="Arial" w:cs="Arial"/>
          <w:sz w:val="24"/>
          <w:szCs w:val="24"/>
        </w:rPr>
        <w:lastRenderedPageBreak/>
        <w:t>Appendix</w:t>
      </w:r>
    </w:p>
    <w:p w14:paraId="1358F3F7" w14:textId="77777777" w:rsidR="007C2D38" w:rsidRDefault="007C2D38" w:rsidP="007C2D38">
      <w:pPr>
        <w:spacing w:line="360" w:lineRule="auto"/>
        <w:ind w:left="360"/>
        <w:jc w:val="both"/>
        <w:rPr>
          <w:rFonts w:ascii="Arial" w:hAnsi="Arial" w:cs="Arial"/>
          <w:sz w:val="24"/>
          <w:szCs w:val="24"/>
        </w:rPr>
      </w:pPr>
      <w:r>
        <w:rPr>
          <w:rFonts w:ascii="Arial" w:hAnsi="Arial" w:cs="Arial"/>
          <w:sz w:val="24"/>
          <w:szCs w:val="24"/>
        </w:rPr>
        <w:t>Appendix 1</w:t>
      </w:r>
    </w:p>
    <w:p w14:paraId="56941642" w14:textId="77777777" w:rsidR="007C2D38" w:rsidRDefault="007C2D38" w:rsidP="007C2D38">
      <w:pPr>
        <w:spacing w:line="360" w:lineRule="auto"/>
        <w:ind w:left="360"/>
        <w:jc w:val="both"/>
        <w:rPr>
          <w:rFonts w:ascii="Arial" w:hAnsi="Arial" w:cs="Arial"/>
          <w:sz w:val="24"/>
          <w:szCs w:val="24"/>
        </w:rPr>
      </w:pPr>
      <w:r>
        <w:rPr>
          <w:rFonts w:ascii="Arial" w:hAnsi="Arial" w:cs="Arial"/>
          <w:sz w:val="24"/>
          <w:szCs w:val="24"/>
        </w:rPr>
        <w:t>BMC</w:t>
      </w:r>
    </w:p>
    <w:p w14:paraId="0A26BF6A" w14:textId="2BBF763C" w:rsidR="007C2D38" w:rsidRDefault="007C2D38" w:rsidP="007C2D38">
      <w:pPr>
        <w:spacing w:line="360" w:lineRule="auto"/>
        <w:ind w:left="360"/>
        <w:jc w:val="both"/>
        <w:rPr>
          <w:rFonts w:ascii="Arial" w:hAnsi="Arial" w:cs="Arial"/>
          <w:sz w:val="24"/>
          <w:szCs w:val="24"/>
        </w:rPr>
      </w:pPr>
      <w:r>
        <w:rPr>
          <w:rFonts w:ascii="Arial" w:hAnsi="Arial" w:cs="Arial"/>
          <w:noProof/>
          <w:sz w:val="24"/>
          <w:szCs w:val="24"/>
        </w:rPr>
        <w:drawing>
          <wp:inline distT="0" distB="0" distL="0" distR="0" wp14:anchorId="35C3804A" wp14:editId="7030DF74">
            <wp:extent cx="5731510" cy="2600960"/>
            <wp:effectExtent l="0" t="0" r="2540" b="8890"/>
            <wp:docPr id="172231639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0B8A0C65" w14:textId="77777777" w:rsidR="007C2D38" w:rsidRDefault="007C2D38" w:rsidP="007C2D38">
      <w:pPr>
        <w:spacing w:line="360" w:lineRule="auto"/>
        <w:ind w:left="360"/>
        <w:jc w:val="both"/>
        <w:rPr>
          <w:rFonts w:ascii="Arial" w:hAnsi="Arial" w:cs="Arial"/>
          <w:sz w:val="24"/>
          <w:szCs w:val="24"/>
        </w:rPr>
      </w:pPr>
    </w:p>
    <w:p w14:paraId="4A0A2BB9" w14:textId="77777777" w:rsidR="007C2D38" w:rsidRDefault="007C2D38" w:rsidP="007C2D38">
      <w:pPr>
        <w:spacing w:line="360" w:lineRule="auto"/>
        <w:ind w:left="360"/>
        <w:jc w:val="both"/>
        <w:rPr>
          <w:rFonts w:ascii="Arial" w:hAnsi="Arial" w:cs="Arial"/>
          <w:sz w:val="24"/>
          <w:szCs w:val="24"/>
        </w:rPr>
      </w:pPr>
      <w:r>
        <w:rPr>
          <w:rFonts w:ascii="Arial" w:hAnsi="Arial" w:cs="Arial"/>
          <w:sz w:val="24"/>
          <w:szCs w:val="24"/>
        </w:rPr>
        <w:t>Appendix 2</w:t>
      </w:r>
    </w:p>
    <w:p w14:paraId="033C386B" w14:textId="77777777" w:rsidR="007C2D38" w:rsidRDefault="007C2D38" w:rsidP="007C2D38">
      <w:pPr>
        <w:spacing w:line="360" w:lineRule="auto"/>
        <w:ind w:left="360"/>
        <w:jc w:val="both"/>
        <w:rPr>
          <w:rFonts w:ascii="Arial" w:hAnsi="Arial" w:cs="Arial"/>
          <w:sz w:val="24"/>
          <w:szCs w:val="24"/>
        </w:rPr>
      </w:pPr>
      <w:r>
        <w:rPr>
          <w:rFonts w:ascii="Arial" w:hAnsi="Arial" w:cs="Arial"/>
          <w:sz w:val="24"/>
          <w:szCs w:val="24"/>
        </w:rPr>
        <w:t>Get2Test</w:t>
      </w:r>
    </w:p>
    <w:p w14:paraId="384D1D0A" w14:textId="59BC2CB9" w:rsidR="007C2D38" w:rsidRDefault="007C2D38" w:rsidP="007C2D38">
      <w:pPr>
        <w:spacing w:line="360" w:lineRule="auto"/>
        <w:ind w:left="360"/>
        <w:jc w:val="both"/>
        <w:rPr>
          <w:rFonts w:ascii="Arial" w:hAnsi="Arial" w:cs="Arial"/>
          <w:sz w:val="24"/>
          <w:szCs w:val="24"/>
        </w:rPr>
      </w:pPr>
      <w:r>
        <w:rPr>
          <w:rFonts w:ascii="Arial" w:hAnsi="Arial" w:cs="Arial"/>
          <w:noProof/>
          <w:sz w:val="24"/>
          <w:szCs w:val="24"/>
          <w:lang w:val="en-US"/>
        </w:rPr>
        <w:drawing>
          <wp:inline distT="0" distB="0" distL="0" distR="0" wp14:anchorId="281D718C" wp14:editId="0BDA88BB">
            <wp:extent cx="4800600" cy="2141220"/>
            <wp:effectExtent l="0" t="0" r="0" b="0"/>
            <wp:docPr id="1876239603" name="Picture 2" descr="A computer screen with a number of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with a number of bars&#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00600" cy="2141220"/>
                    </a:xfrm>
                    <a:prstGeom prst="rect">
                      <a:avLst/>
                    </a:prstGeom>
                    <a:noFill/>
                    <a:ln>
                      <a:noFill/>
                    </a:ln>
                  </pic:spPr>
                </pic:pic>
              </a:graphicData>
            </a:graphic>
          </wp:inline>
        </w:drawing>
      </w:r>
    </w:p>
    <w:p w14:paraId="1AF5F929" w14:textId="4F704E48" w:rsidR="007C2D38" w:rsidRDefault="007C2D38" w:rsidP="007C2D38">
      <w:pPr>
        <w:spacing w:line="360" w:lineRule="auto"/>
        <w:ind w:left="360"/>
        <w:jc w:val="both"/>
        <w:rPr>
          <w:rFonts w:ascii="Arial" w:hAnsi="Arial" w:cs="Arial"/>
          <w:sz w:val="24"/>
          <w:szCs w:val="24"/>
        </w:rPr>
      </w:pPr>
      <w:r>
        <w:rPr>
          <w:rFonts w:ascii="Arial" w:hAnsi="Arial" w:cs="Arial"/>
          <w:sz w:val="24"/>
          <w:szCs w:val="24"/>
        </w:rPr>
        <w:t>Are You an Entrepreneur Test Results</w:t>
      </w:r>
    </w:p>
    <w:p w14:paraId="6964590F" w14:textId="2EF03DDA" w:rsidR="007C2D38" w:rsidRDefault="007C2D38" w:rsidP="007C2D38">
      <w:pPr>
        <w:spacing w:line="360" w:lineRule="auto"/>
        <w:ind w:left="360"/>
        <w:jc w:val="both"/>
        <w:rPr>
          <w:rFonts w:ascii="Arial" w:hAnsi="Arial" w:cs="Arial"/>
          <w:sz w:val="24"/>
          <w:szCs w:val="24"/>
        </w:rPr>
      </w:pPr>
      <w:r>
        <w:rPr>
          <w:rFonts w:ascii="Arial" w:hAnsi="Arial" w:cs="Arial"/>
          <w:noProof/>
          <w:sz w:val="24"/>
          <w:szCs w:val="24"/>
        </w:rPr>
        <w:lastRenderedPageBreak/>
        <w:t xml:space="preserve">  </w:t>
      </w:r>
      <w:r>
        <w:rPr>
          <w:rFonts w:ascii="Arial" w:hAnsi="Arial" w:cs="Arial"/>
          <w:noProof/>
          <w:sz w:val="24"/>
          <w:szCs w:val="24"/>
        </w:rPr>
        <w:drawing>
          <wp:inline distT="0" distB="0" distL="0" distR="0" wp14:anchorId="0C99D976" wp14:editId="356997C5">
            <wp:extent cx="5731510" cy="5077460"/>
            <wp:effectExtent l="0" t="0" r="2540" b="8890"/>
            <wp:docPr id="1961876434"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tes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5077460"/>
                    </a:xfrm>
                    <a:prstGeom prst="rect">
                      <a:avLst/>
                    </a:prstGeom>
                    <a:noFill/>
                    <a:ln>
                      <a:noFill/>
                    </a:ln>
                  </pic:spPr>
                </pic:pic>
              </a:graphicData>
            </a:graphic>
          </wp:inline>
        </w:drawing>
      </w:r>
    </w:p>
    <w:p w14:paraId="1F40EFF8" w14:textId="77777777" w:rsidR="007F13A1" w:rsidRDefault="007F13A1"/>
    <w:sectPr w:rsidR="007F13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697B90"/>
    <w:multiLevelType w:val="hybridMultilevel"/>
    <w:tmpl w:val="0908B85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39027296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D38"/>
    <w:rsid w:val="002C65B5"/>
    <w:rsid w:val="00701B08"/>
    <w:rsid w:val="007C2D38"/>
    <w:rsid w:val="007F13A1"/>
    <w:rsid w:val="00A67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9BF9C"/>
  <w15:chartTrackingRefBased/>
  <w15:docId w15:val="{C1D0A819-E684-4CB1-840C-A1B2CA192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D38"/>
    <w:pPr>
      <w:spacing w:line="256" w:lineRule="auto"/>
    </w:pPr>
    <w:rPr>
      <w:kern w:val="0"/>
    </w:rPr>
  </w:style>
  <w:style w:type="paragraph" w:styleId="Heading1">
    <w:name w:val="heading 1"/>
    <w:basedOn w:val="Normal"/>
    <w:next w:val="Normal"/>
    <w:link w:val="Heading1Char"/>
    <w:uiPriority w:val="9"/>
    <w:qFormat/>
    <w:rsid w:val="007C2D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2D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2D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2D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2D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2D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2D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2D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2D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D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2D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2D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2D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2D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2D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2D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2D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2D38"/>
    <w:rPr>
      <w:rFonts w:eastAsiaTheme="majorEastAsia" w:cstheme="majorBidi"/>
      <w:color w:val="272727" w:themeColor="text1" w:themeTint="D8"/>
    </w:rPr>
  </w:style>
  <w:style w:type="paragraph" w:styleId="Title">
    <w:name w:val="Title"/>
    <w:basedOn w:val="Normal"/>
    <w:next w:val="Normal"/>
    <w:link w:val="TitleChar"/>
    <w:uiPriority w:val="10"/>
    <w:qFormat/>
    <w:rsid w:val="007C2D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D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2D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2D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2D38"/>
    <w:pPr>
      <w:spacing w:before="160"/>
      <w:jc w:val="center"/>
    </w:pPr>
    <w:rPr>
      <w:i/>
      <w:iCs/>
      <w:color w:val="404040" w:themeColor="text1" w:themeTint="BF"/>
    </w:rPr>
  </w:style>
  <w:style w:type="character" w:customStyle="1" w:styleId="QuoteChar">
    <w:name w:val="Quote Char"/>
    <w:basedOn w:val="DefaultParagraphFont"/>
    <w:link w:val="Quote"/>
    <w:uiPriority w:val="29"/>
    <w:rsid w:val="007C2D38"/>
    <w:rPr>
      <w:i/>
      <w:iCs/>
      <w:color w:val="404040" w:themeColor="text1" w:themeTint="BF"/>
    </w:rPr>
  </w:style>
  <w:style w:type="paragraph" w:styleId="ListParagraph">
    <w:name w:val="List Paragraph"/>
    <w:basedOn w:val="Normal"/>
    <w:uiPriority w:val="34"/>
    <w:qFormat/>
    <w:rsid w:val="007C2D38"/>
    <w:pPr>
      <w:ind w:left="720"/>
      <w:contextualSpacing/>
    </w:pPr>
  </w:style>
  <w:style w:type="character" w:styleId="IntenseEmphasis">
    <w:name w:val="Intense Emphasis"/>
    <w:basedOn w:val="DefaultParagraphFont"/>
    <w:uiPriority w:val="21"/>
    <w:qFormat/>
    <w:rsid w:val="007C2D38"/>
    <w:rPr>
      <w:i/>
      <w:iCs/>
      <w:color w:val="0F4761" w:themeColor="accent1" w:themeShade="BF"/>
    </w:rPr>
  </w:style>
  <w:style w:type="paragraph" w:styleId="IntenseQuote">
    <w:name w:val="Intense Quote"/>
    <w:basedOn w:val="Normal"/>
    <w:next w:val="Normal"/>
    <w:link w:val="IntenseQuoteChar"/>
    <w:uiPriority w:val="30"/>
    <w:qFormat/>
    <w:rsid w:val="007C2D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2D38"/>
    <w:rPr>
      <w:i/>
      <w:iCs/>
      <w:color w:val="0F4761" w:themeColor="accent1" w:themeShade="BF"/>
    </w:rPr>
  </w:style>
  <w:style w:type="character" w:styleId="IntenseReference">
    <w:name w:val="Intense Reference"/>
    <w:basedOn w:val="DefaultParagraphFont"/>
    <w:uiPriority w:val="32"/>
    <w:qFormat/>
    <w:rsid w:val="007C2D38"/>
    <w:rPr>
      <w:b/>
      <w:bCs/>
      <w:smallCaps/>
      <w:color w:val="0F4761" w:themeColor="accent1" w:themeShade="BF"/>
      <w:spacing w:val="5"/>
    </w:rPr>
  </w:style>
  <w:style w:type="character" w:styleId="Hyperlink">
    <w:name w:val="Hyperlink"/>
    <w:basedOn w:val="DefaultParagraphFont"/>
    <w:uiPriority w:val="99"/>
    <w:semiHidden/>
    <w:unhideWhenUsed/>
    <w:rsid w:val="007C2D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746685">
      <w:bodyDiv w:val="1"/>
      <w:marLeft w:val="0"/>
      <w:marRight w:val="0"/>
      <w:marTop w:val="0"/>
      <w:marBottom w:val="0"/>
      <w:divBdr>
        <w:top w:val="none" w:sz="0" w:space="0" w:color="auto"/>
        <w:left w:val="none" w:sz="0" w:space="0" w:color="auto"/>
        <w:bottom w:val="none" w:sz="0" w:space="0" w:color="auto"/>
        <w:right w:val="none" w:sz="0" w:space="0" w:color="auto"/>
      </w:divBdr>
    </w:div>
    <w:div w:id="153038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304-8158/11/18/2808" TargetMode="External"/><Relationship Id="rId13" Type="http://schemas.openxmlformats.org/officeDocument/2006/relationships/hyperlink" Target="https://www.researchgate.net/publication/343097565_The_Multifaceted_of_Themed_Restaurant_Exploring_the_Unique_and_Vulnerable_Elements_in_Staging_Authentic_Dining_Experience" TargetMode="External"/><Relationship Id="rId18" Type="http://schemas.openxmlformats.org/officeDocument/2006/relationships/hyperlink" Target="https://www.sciencedirect.com/science/article/pii/S0278431916301347?via%3Dihub"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tokyotoys.com/" TargetMode="External"/><Relationship Id="rId7" Type="http://schemas.openxmlformats.org/officeDocument/2006/relationships/hyperlink" Target="https://core.ac.uk/download/pdf/234760282.pdf" TargetMode="External"/><Relationship Id="rId12" Type="http://schemas.openxmlformats.org/officeDocument/2006/relationships/hyperlink" Target="https://www.researchgate.net/publication/227005367_Restaurants_chefs_and_local_foods_Insights_drawn_from_application_of_a_diffusion_of_innovation_framework" TargetMode="External"/><Relationship Id="rId17" Type="http://schemas.openxmlformats.org/officeDocument/2006/relationships/hyperlink" Target="https://www.researchgate.net/publication/340055561_IMPACT_OF_CUSTOMER_RELATIONSHIP_MANAGEMENT_ON_FOOD_AND_BEVERAGE_SERVICES_QUALITY_THE_MEDIATING_ROLE_OF_EMPLOYEES_SATISFACTION" TargetMode="External"/><Relationship Id="rId25"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s://www.tandfonline.com/doi/full/10.1080/10941665.2021.1998163" TargetMode="External"/><Relationship Id="rId20" Type="http://schemas.openxmlformats.org/officeDocument/2006/relationships/hyperlink" Target="https://www.seafreshuk.com/" TargetMode="External"/><Relationship Id="rId1" Type="http://schemas.openxmlformats.org/officeDocument/2006/relationships/numbering" Target="numbering.xml"/><Relationship Id="rId6" Type="http://schemas.openxmlformats.org/officeDocument/2006/relationships/hyperlink" Target="https://www.sciencedirect.com/science/article/pii/S147281171830226X" TargetMode="External"/><Relationship Id="rId11" Type="http://schemas.openxmlformats.org/officeDocument/2006/relationships/hyperlink" Target="https://www.researchgate.net/publication/359934233_Inside_the_black_box_How_business_model_innovation_contributes_to_digital_start-up_performance" TargetMode="External"/><Relationship Id="rId24" Type="http://schemas.openxmlformats.org/officeDocument/2006/relationships/image" Target="media/image2.jpeg"/><Relationship Id="rId5" Type="http://schemas.openxmlformats.org/officeDocument/2006/relationships/hyperlink" Target="https://journalofethnicfoods.biomedcentral.com/counter/pdf/10.1186/s42779-021-00085-5.pdf" TargetMode="External"/><Relationship Id="rId15" Type="http://schemas.openxmlformats.org/officeDocument/2006/relationships/hyperlink" Target="https://www.proquest.com/docview/2447267486/BB5A121BA8F24AE1PQ/1?accountid=130472&amp;sourcetype=Scholarly%20Journals" TargetMode="External"/><Relationship Id="rId23" Type="http://schemas.openxmlformats.org/officeDocument/2006/relationships/image" Target="media/image1.jpeg"/><Relationship Id="rId10" Type="http://schemas.openxmlformats.org/officeDocument/2006/relationships/hyperlink" Target="https://www.studocu.com/vn/document/truong-dai-hoc-kinh-te-thanh-pho-ho-chi-minh/chien-luoc-marketing-cho-nha-quan-tri-marketing-strategy/1/89762363" TargetMode="External"/><Relationship Id="rId19" Type="http://schemas.openxmlformats.org/officeDocument/2006/relationships/hyperlink" Target="https://www.sciencedirect.com/science/article/pii/S0160738322000184" TargetMode="External"/><Relationship Id="rId4" Type="http://schemas.openxmlformats.org/officeDocument/2006/relationships/webSettings" Target="webSettings.xml"/><Relationship Id="rId9" Type="http://schemas.openxmlformats.org/officeDocument/2006/relationships/hyperlink" Target="https://www.crunchyroll.com/" TargetMode="External"/><Relationship Id="rId14" Type="http://schemas.openxmlformats.org/officeDocument/2006/relationships/hyperlink" Target="https://www.sciencedirect.com/science/article/pii/S0278431914000255?via%3Dihub" TargetMode="External"/><Relationship Id="rId22" Type="http://schemas.openxmlformats.org/officeDocument/2006/relationships/hyperlink" Target="https://www.sciencedirect.com/science/article/pii/S0278431911000673?via%3Dihub"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13</Pages>
  <Words>3554</Words>
  <Characters>20260</Characters>
  <Application>Microsoft Office Word</Application>
  <DocSecurity>0</DocSecurity>
  <Lines>168</Lines>
  <Paragraphs>47</Paragraphs>
  <ScaleCrop>false</ScaleCrop>
  <Company/>
  <LinksUpToDate>false</LinksUpToDate>
  <CharactersWithSpaces>23767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Muresan (2210334)</dc:creator>
  <cp:keywords/>
  <dc:description/>
  <cp:lastModifiedBy>Mariana Muresan (2210334)</cp:lastModifiedBy>
  <cp:revision>3</cp:revision>
  <dcterms:created xsi:type="dcterms:W3CDTF">2024-05-31T13:47:00Z</dcterms:created>
  <dcterms:modified xsi:type="dcterms:W3CDTF">2024-05-31T14:25:00Z</dcterms:modified>
</cp:coreProperties>
</file>