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1CE83" w14:textId="77777777" w:rsidR="00D81DF4" w:rsidRDefault="00000000">
      <w:pPr>
        <w:pStyle w:val="Title"/>
        <w:spacing w:before="0" w:after="200" w:line="360" w:lineRule="auto"/>
        <w:jc w:val="center"/>
        <w:rPr>
          <w:rFonts w:ascii="Arial" w:eastAsia="Arial" w:hAnsi="Arial" w:cs="Arial"/>
          <w:b w:val="0"/>
          <w:sz w:val="36"/>
          <w:szCs w:val="36"/>
          <w:u w:val="single"/>
        </w:rPr>
      </w:pPr>
      <w:bookmarkStart w:id="0" w:name="_heading=h.4rfwq1ohyebv" w:colFirst="0" w:colLast="0"/>
      <w:bookmarkEnd w:id="0"/>
      <w:r>
        <w:rPr>
          <w:rFonts w:ascii="Arial" w:eastAsia="Arial" w:hAnsi="Arial" w:cs="Arial"/>
          <w:b w:val="0"/>
          <w:sz w:val="36"/>
          <w:szCs w:val="36"/>
          <w:u w:val="single"/>
        </w:rPr>
        <w:t xml:space="preserve">Is the external challenge good or bad? </w:t>
      </w:r>
    </w:p>
    <w:p w14:paraId="6411CE84" w14:textId="6C7EB747" w:rsidR="00D81DF4" w:rsidRDefault="00000000">
      <w:pPr>
        <w:pStyle w:val="Title"/>
        <w:spacing w:before="0" w:after="200" w:line="360" w:lineRule="auto"/>
        <w:jc w:val="center"/>
        <w:rPr>
          <w:rFonts w:ascii="Arial" w:eastAsia="Arial" w:hAnsi="Arial" w:cs="Arial"/>
          <w:b w:val="0"/>
          <w:sz w:val="36"/>
          <w:szCs w:val="36"/>
          <w:u w:val="single"/>
        </w:rPr>
      </w:pPr>
      <w:bookmarkStart w:id="1" w:name="_heading=h.dbg8gqt798e" w:colFirst="0" w:colLast="0"/>
      <w:bookmarkEnd w:id="1"/>
      <w:r>
        <w:rPr>
          <w:rFonts w:ascii="Arial" w:eastAsia="Arial" w:hAnsi="Arial" w:cs="Arial"/>
          <w:b w:val="0"/>
          <w:sz w:val="36"/>
          <w:szCs w:val="36"/>
          <w:u w:val="single"/>
        </w:rPr>
        <w:t>Analy</w:t>
      </w:r>
      <w:r w:rsidR="00AB7D76">
        <w:rPr>
          <w:rFonts w:ascii="Arial" w:eastAsia="Arial" w:hAnsi="Arial" w:cs="Arial"/>
          <w:b w:val="0"/>
          <w:sz w:val="36"/>
          <w:szCs w:val="36"/>
          <w:u w:val="single"/>
        </w:rPr>
        <w:t>s</w:t>
      </w:r>
      <w:r>
        <w:rPr>
          <w:rFonts w:ascii="Arial" w:eastAsia="Arial" w:hAnsi="Arial" w:cs="Arial"/>
          <w:b w:val="0"/>
          <w:sz w:val="36"/>
          <w:szCs w:val="36"/>
          <w:u w:val="single"/>
        </w:rPr>
        <w:t>e the impacts of external environment on employee recruitment and retention</w:t>
      </w:r>
    </w:p>
    <w:p w14:paraId="3B1A2CB2" w14:textId="77777777" w:rsidR="00892D5A" w:rsidRDefault="00000000" w:rsidP="00CF0AB3">
      <w:pPr>
        <w:spacing w:after="200" w:line="360" w:lineRule="auto"/>
        <w:rPr>
          <w:rFonts w:ascii="Arial" w:eastAsia="Arial" w:hAnsi="Arial" w:cs="Arial"/>
          <w:b/>
          <w:sz w:val="24"/>
          <w:szCs w:val="24"/>
        </w:rPr>
      </w:pPr>
      <w:r>
        <w:rPr>
          <w:rFonts w:ascii="Arial" w:eastAsia="Arial" w:hAnsi="Arial" w:cs="Arial"/>
          <w:b/>
          <w:sz w:val="24"/>
          <w:szCs w:val="24"/>
        </w:rPr>
        <w:t>Student</w:t>
      </w:r>
      <w:r w:rsidR="00956422">
        <w:rPr>
          <w:rFonts w:ascii="Arial" w:eastAsia="Arial" w:hAnsi="Arial" w:cs="Arial"/>
          <w:b/>
          <w:sz w:val="24"/>
          <w:szCs w:val="24"/>
        </w:rPr>
        <w:t xml:space="preserve"> </w:t>
      </w:r>
      <w:r>
        <w:rPr>
          <w:rFonts w:ascii="Arial" w:eastAsia="Arial" w:hAnsi="Arial" w:cs="Arial"/>
          <w:b/>
          <w:sz w:val="24"/>
          <w:szCs w:val="24"/>
        </w:rPr>
        <w:t>Name:</w:t>
      </w:r>
      <w:r w:rsidR="00922AD9">
        <w:rPr>
          <w:rFonts w:ascii="Arial" w:eastAsia="Arial" w:hAnsi="Arial" w:cs="Arial"/>
          <w:b/>
          <w:sz w:val="24"/>
          <w:szCs w:val="24"/>
        </w:rPr>
        <w:t xml:space="preserve"> </w:t>
      </w:r>
      <w:r w:rsidR="001B5024">
        <w:rPr>
          <w:rFonts w:ascii="Arial" w:eastAsia="Arial" w:hAnsi="Arial" w:cs="Arial"/>
          <w:b/>
          <w:sz w:val="24"/>
          <w:szCs w:val="24"/>
        </w:rPr>
        <w:t>Khaleda Hay</w:t>
      </w:r>
      <w:r w:rsidR="00D12494">
        <w:rPr>
          <w:rFonts w:ascii="Arial" w:eastAsia="Arial" w:hAnsi="Arial" w:cs="Arial"/>
          <w:b/>
          <w:sz w:val="24"/>
          <w:szCs w:val="24"/>
        </w:rPr>
        <w:t>der</w:t>
      </w:r>
    </w:p>
    <w:p w14:paraId="6411CE85" w14:textId="5C3AD0CF" w:rsidR="00D81DF4" w:rsidRPr="00892D5A" w:rsidRDefault="00892D5A" w:rsidP="00CF0AB3">
      <w:pPr>
        <w:spacing w:after="200" w:line="360" w:lineRule="auto"/>
        <w:rPr>
          <w:rFonts w:ascii="Arial" w:eastAsia="Arial" w:hAnsi="Arial" w:cs="Arial"/>
          <w:b/>
          <w:sz w:val="24"/>
          <w:szCs w:val="24"/>
        </w:rPr>
      </w:pPr>
      <w:r>
        <w:rPr>
          <w:rFonts w:ascii="Arial" w:eastAsia="Arial" w:hAnsi="Arial" w:cs="Arial"/>
          <w:b/>
          <w:sz w:val="24"/>
          <w:szCs w:val="24"/>
        </w:rPr>
        <w:t xml:space="preserve">Student ID: </w:t>
      </w:r>
      <w:r w:rsidR="00480BDF">
        <w:rPr>
          <w:rFonts w:ascii="Arial" w:eastAsia="Arial" w:hAnsi="Arial" w:cs="Arial"/>
          <w:b/>
          <w:sz w:val="24"/>
          <w:szCs w:val="24"/>
        </w:rPr>
        <w:t>22144</w:t>
      </w:r>
      <w:r w:rsidR="00D04C9E">
        <w:rPr>
          <w:rFonts w:ascii="Arial" w:eastAsia="Arial" w:hAnsi="Arial" w:cs="Arial"/>
          <w:b/>
          <w:sz w:val="24"/>
          <w:szCs w:val="24"/>
        </w:rPr>
        <w:t>76</w:t>
      </w:r>
      <w:r>
        <w:rPr>
          <w:rFonts w:ascii="Arial" w:eastAsia="Arial" w:hAnsi="Arial" w:cs="Arial"/>
          <w:sz w:val="24"/>
          <w:szCs w:val="24"/>
        </w:rPr>
        <w:br/>
      </w:r>
      <w:r>
        <w:rPr>
          <w:rFonts w:ascii="Arial" w:eastAsia="Arial" w:hAnsi="Arial" w:cs="Arial"/>
          <w:b/>
          <w:sz w:val="24"/>
          <w:szCs w:val="24"/>
        </w:rPr>
        <w:t>Module</w:t>
      </w:r>
      <w:r w:rsidR="00383C66">
        <w:rPr>
          <w:rFonts w:ascii="Arial" w:eastAsia="Arial" w:hAnsi="Arial" w:cs="Arial"/>
          <w:b/>
          <w:sz w:val="24"/>
          <w:szCs w:val="24"/>
        </w:rPr>
        <w:t>:</w:t>
      </w:r>
      <w:r>
        <w:rPr>
          <w:rFonts w:ascii="Arial" w:eastAsia="Arial" w:hAnsi="Arial" w:cs="Arial"/>
          <w:b/>
          <w:sz w:val="24"/>
          <w:szCs w:val="24"/>
        </w:rPr>
        <w:t xml:space="preserve"> Title &amp; Number:</w:t>
      </w:r>
      <w:r>
        <w:rPr>
          <w:rFonts w:ascii="Arial" w:eastAsia="Arial" w:hAnsi="Arial" w:cs="Arial"/>
          <w:sz w:val="24"/>
          <w:szCs w:val="24"/>
        </w:rPr>
        <w:t xml:space="preserve"> Personnel Resourcing and Development (BMIH5005)</w:t>
      </w:r>
      <w:r>
        <w:rPr>
          <w:rFonts w:ascii="Arial" w:eastAsia="Arial" w:hAnsi="Arial" w:cs="Arial"/>
          <w:sz w:val="24"/>
          <w:szCs w:val="24"/>
        </w:rPr>
        <w:br/>
      </w:r>
      <w:r>
        <w:rPr>
          <w:rFonts w:ascii="Arial" w:eastAsia="Arial" w:hAnsi="Arial" w:cs="Arial"/>
          <w:b/>
          <w:sz w:val="24"/>
          <w:szCs w:val="24"/>
        </w:rPr>
        <w:t>Lecturer's Name:</w:t>
      </w:r>
      <w:r>
        <w:rPr>
          <w:rFonts w:ascii="Arial" w:eastAsia="Arial" w:hAnsi="Arial" w:cs="Arial"/>
          <w:sz w:val="24"/>
          <w:szCs w:val="24"/>
        </w:rPr>
        <w:t xml:space="preserve"> Helen Lee</w:t>
      </w:r>
      <w:r>
        <w:rPr>
          <w:rFonts w:ascii="Arial" w:eastAsia="Arial" w:hAnsi="Arial" w:cs="Arial"/>
          <w:sz w:val="24"/>
          <w:szCs w:val="24"/>
        </w:rPr>
        <w:br/>
      </w:r>
      <w:r>
        <w:rPr>
          <w:rFonts w:ascii="Arial" w:eastAsia="Arial" w:hAnsi="Arial" w:cs="Arial"/>
          <w:b/>
          <w:sz w:val="24"/>
          <w:szCs w:val="24"/>
        </w:rPr>
        <w:t xml:space="preserve">Word Count: </w:t>
      </w:r>
      <w:r>
        <w:rPr>
          <w:rFonts w:ascii="Arial" w:eastAsia="Arial" w:hAnsi="Arial" w:cs="Arial"/>
          <w:sz w:val="24"/>
          <w:szCs w:val="24"/>
        </w:rPr>
        <w:t>2089</w:t>
      </w:r>
      <w:r>
        <w:br w:type="page"/>
      </w:r>
    </w:p>
    <w:p w14:paraId="6411CE86" w14:textId="77777777" w:rsidR="00D81DF4" w:rsidRDefault="00000000">
      <w:pPr>
        <w:pStyle w:val="Subtitle"/>
        <w:spacing w:after="200" w:line="360" w:lineRule="auto"/>
        <w:jc w:val="both"/>
        <w:rPr>
          <w:rFonts w:ascii="Arial" w:eastAsia="Arial" w:hAnsi="Arial" w:cs="Arial"/>
        </w:rPr>
      </w:pPr>
      <w:bookmarkStart w:id="2" w:name="_heading=h.m4zitwu4a46e" w:colFirst="0" w:colLast="0"/>
      <w:bookmarkEnd w:id="2"/>
      <w:r>
        <w:rPr>
          <w:rFonts w:ascii="Arial" w:eastAsia="Arial" w:hAnsi="Arial" w:cs="Arial"/>
        </w:rPr>
        <w:lastRenderedPageBreak/>
        <w:t>Table of Content</w:t>
      </w:r>
    </w:p>
    <w:p w14:paraId="6411CE87" w14:textId="77777777" w:rsidR="00D81DF4" w:rsidRDefault="00D81DF4">
      <w:pPr>
        <w:spacing w:after="200" w:line="360" w:lineRule="auto"/>
        <w:jc w:val="both"/>
      </w:pPr>
    </w:p>
    <w:sdt>
      <w:sdtPr>
        <w:id w:val="-398974129"/>
        <w:docPartObj>
          <w:docPartGallery w:val="Table of Contents"/>
          <w:docPartUnique/>
        </w:docPartObj>
      </w:sdtPr>
      <w:sdtContent>
        <w:p w14:paraId="6411CE88" w14:textId="77777777" w:rsidR="00D81DF4" w:rsidRDefault="00000000">
          <w:pPr>
            <w:widowControl w:val="0"/>
            <w:spacing w:before="60" w:after="0" w:line="240" w:lineRule="auto"/>
            <w:rPr>
              <w:color w:val="1155CC"/>
              <w:u w:val="single"/>
            </w:rPr>
          </w:pPr>
          <w:r>
            <w:fldChar w:fldCharType="begin"/>
          </w:r>
          <w:r>
            <w:instrText xml:space="preserve"> TOC \h \u \z \n \t "Heading 1,1,Heading 2,2,Heading 3,3,Heading 4,4,Heading 5,5,Heading 6,6,"</w:instrText>
          </w:r>
          <w:r>
            <w:fldChar w:fldCharType="separate"/>
          </w:r>
          <w:hyperlink w:anchor="_heading=h.fwyx9qi5nk8b">
            <w:r>
              <w:rPr>
                <w:rFonts w:ascii="Arial" w:eastAsia="Arial" w:hAnsi="Arial" w:cs="Arial"/>
                <w:color w:val="1155CC"/>
                <w:sz w:val="24"/>
                <w:szCs w:val="24"/>
                <w:u w:val="single"/>
              </w:rPr>
              <w:t>Introduction and Background</w:t>
            </w:r>
          </w:hyperlink>
        </w:p>
        <w:p w14:paraId="6411CE89" w14:textId="77777777" w:rsidR="00D81DF4" w:rsidRDefault="00000000">
          <w:pPr>
            <w:widowControl w:val="0"/>
            <w:spacing w:before="60" w:after="0" w:line="240" w:lineRule="auto"/>
            <w:ind w:left="360"/>
            <w:rPr>
              <w:color w:val="1155CC"/>
              <w:u w:val="single"/>
            </w:rPr>
          </w:pPr>
          <w:hyperlink w:anchor="_heading=h.9q0g5n8kiwln">
            <w:r>
              <w:rPr>
                <w:color w:val="1155CC"/>
                <w:u w:val="single"/>
              </w:rPr>
              <w:t>Hotel Overview</w:t>
            </w:r>
          </w:hyperlink>
        </w:p>
        <w:p w14:paraId="6411CE8A" w14:textId="77777777" w:rsidR="00D81DF4" w:rsidRDefault="00000000">
          <w:pPr>
            <w:widowControl w:val="0"/>
            <w:spacing w:before="60" w:after="0" w:line="240" w:lineRule="auto"/>
            <w:ind w:left="360"/>
            <w:rPr>
              <w:color w:val="1155CC"/>
              <w:u w:val="single"/>
            </w:rPr>
          </w:pPr>
          <w:hyperlink w:anchor="_heading=h.w8b55xmpgac2">
            <w:r>
              <w:rPr>
                <w:color w:val="1155CC"/>
                <w:u w:val="single"/>
              </w:rPr>
              <w:t>Current Challenges and Theme of Retention</w:t>
            </w:r>
          </w:hyperlink>
        </w:p>
        <w:p w14:paraId="6411CE8B" w14:textId="77777777" w:rsidR="00D81DF4" w:rsidRDefault="00000000">
          <w:pPr>
            <w:widowControl w:val="0"/>
            <w:spacing w:before="60" w:after="0" w:line="240" w:lineRule="auto"/>
            <w:ind w:left="360"/>
            <w:rPr>
              <w:color w:val="1155CC"/>
              <w:u w:val="single"/>
            </w:rPr>
          </w:pPr>
          <w:hyperlink w:anchor="_heading=h.kbu6qivalsrd">
            <w:r>
              <w:rPr>
                <w:color w:val="1155CC"/>
                <w:u w:val="single"/>
              </w:rPr>
              <w:t>Staff Shortage</w:t>
            </w:r>
          </w:hyperlink>
        </w:p>
        <w:p w14:paraId="6411CE8C" w14:textId="77777777" w:rsidR="00D81DF4" w:rsidRDefault="00000000">
          <w:pPr>
            <w:widowControl w:val="0"/>
            <w:spacing w:before="60" w:after="0" w:line="240" w:lineRule="auto"/>
            <w:ind w:left="360"/>
            <w:rPr>
              <w:color w:val="1155CC"/>
              <w:u w:val="single"/>
            </w:rPr>
          </w:pPr>
          <w:hyperlink w:anchor="_heading=h.i2ghono9ep5t">
            <w:r>
              <w:rPr>
                <w:color w:val="1155CC"/>
                <w:u w:val="single"/>
              </w:rPr>
              <w:t>Lack of Training</w:t>
            </w:r>
          </w:hyperlink>
        </w:p>
        <w:p w14:paraId="6411CE8D" w14:textId="77777777" w:rsidR="00D81DF4" w:rsidRDefault="00000000">
          <w:pPr>
            <w:widowControl w:val="0"/>
            <w:spacing w:before="60" w:after="0" w:line="240" w:lineRule="auto"/>
            <w:ind w:left="360"/>
            <w:rPr>
              <w:color w:val="1155CC"/>
              <w:u w:val="single"/>
            </w:rPr>
          </w:pPr>
          <w:hyperlink w:anchor="_heading=h.vbln7f7v2oiw">
            <w:r>
              <w:rPr>
                <w:color w:val="1155CC"/>
                <w:u w:val="single"/>
              </w:rPr>
              <w:t>Poor Management Practices</w:t>
            </w:r>
          </w:hyperlink>
        </w:p>
        <w:p w14:paraId="6411CE8E" w14:textId="77777777" w:rsidR="00D81DF4" w:rsidRDefault="00000000">
          <w:pPr>
            <w:widowControl w:val="0"/>
            <w:spacing w:before="60" w:after="0" w:line="240" w:lineRule="auto"/>
            <w:ind w:left="360"/>
            <w:rPr>
              <w:color w:val="1155CC"/>
              <w:u w:val="single"/>
            </w:rPr>
          </w:pPr>
          <w:hyperlink w:anchor="_heading=h.613ouc3cnj2m">
            <w:r>
              <w:rPr>
                <w:color w:val="1155CC"/>
                <w:u w:val="single"/>
              </w:rPr>
              <w:t>Setting the Stage for the Proposal</w:t>
            </w:r>
          </w:hyperlink>
        </w:p>
        <w:p w14:paraId="6411CE8F" w14:textId="77777777" w:rsidR="00D81DF4" w:rsidRDefault="00000000">
          <w:pPr>
            <w:widowControl w:val="0"/>
            <w:spacing w:before="60" w:after="0" w:line="240" w:lineRule="auto"/>
            <w:rPr>
              <w:color w:val="1155CC"/>
              <w:u w:val="single"/>
            </w:rPr>
          </w:pPr>
          <w:hyperlink w:anchor="_heading=h.ow681gq9i137">
            <w:r>
              <w:rPr>
                <w:rFonts w:ascii="Arial" w:eastAsia="Arial" w:hAnsi="Arial" w:cs="Arial"/>
                <w:color w:val="1155CC"/>
                <w:sz w:val="24"/>
                <w:szCs w:val="24"/>
                <w:u w:val="single"/>
              </w:rPr>
              <w:t>Discussion/Literature Review</w:t>
            </w:r>
          </w:hyperlink>
        </w:p>
        <w:p w14:paraId="6411CE90" w14:textId="77777777" w:rsidR="00D81DF4" w:rsidRDefault="00000000">
          <w:pPr>
            <w:widowControl w:val="0"/>
            <w:spacing w:before="60" w:after="0" w:line="240" w:lineRule="auto"/>
            <w:ind w:left="360"/>
            <w:rPr>
              <w:color w:val="1155CC"/>
              <w:u w:val="single"/>
            </w:rPr>
          </w:pPr>
          <w:hyperlink w:anchor="_heading=h.syuql46k373p">
            <w:r>
              <w:rPr>
                <w:color w:val="1155CC"/>
                <w:u w:val="single"/>
              </w:rPr>
              <w:t>Previous Research Findings</w:t>
            </w:r>
          </w:hyperlink>
        </w:p>
        <w:p w14:paraId="6411CE91" w14:textId="77777777" w:rsidR="00D81DF4" w:rsidRDefault="00000000">
          <w:pPr>
            <w:widowControl w:val="0"/>
            <w:spacing w:before="60" w:after="0" w:line="240" w:lineRule="auto"/>
            <w:ind w:left="360"/>
            <w:rPr>
              <w:color w:val="1155CC"/>
              <w:u w:val="single"/>
            </w:rPr>
          </w:pPr>
          <w:hyperlink w:anchor="_heading=h.te47suytjpxc">
            <w:r>
              <w:rPr>
                <w:color w:val="1155CC"/>
                <w:u w:val="single"/>
              </w:rPr>
              <w:t>Automation and AI Integration:</w:t>
            </w:r>
          </w:hyperlink>
        </w:p>
        <w:p w14:paraId="6411CE92" w14:textId="77777777" w:rsidR="00D81DF4" w:rsidRDefault="00000000">
          <w:pPr>
            <w:widowControl w:val="0"/>
            <w:spacing w:before="60" w:after="0" w:line="240" w:lineRule="auto"/>
            <w:ind w:left="360"/>
            <w:rPr>
              <w:color w:val="1155CC"/>
              <w:u w:val="single"/>
            </w:rPr>
          </w:pPr>
          <w:hyperlink w:anchor="_heading=h.a7sydylo8nwp">
            <w:r>
              <w:rPr>
                <w:color w:val="1155CC"/>
                <w:u w:val="single"/>
              </w:rPr>
              <w:t>Retirement Trends:</w:t>
            </w:r>
          </w:hyperlink>
        </w:p>
        <w:p w14:paraId="6411CE93" w14:textId="77777777" w:rsidR="00D81DF4" w:rsidRDefault="00000000">
          <w:pPr>
            <w:widowControl w:val="0"/>
            <w:spacing w:before="60" w:after="0" w:line="240" w:lineRule="auto"/>
            <w:ind w:left="360"/>
            <w:rPr>
              <w:color w:val="1155CC"/>
              <w:u w:val="single"/>
            </w:rPr>
          </w:pPr>
          <w:hyperlink w:anchor="_heading=h.eno62ypc8yam">
            <w:r>
              <w:rPr>
                <w:color w:val="1155CC"/>
                <w:u w:val="single"/>
              </w:rPr>
              <w:t>Economic Challenges:</w:t>
            </w:r>
          </w:hyperlink>
        </w:p>
        <w:p w14:paraId="6411CE94" w14:textId="77777777" w:rsidR="00D81DF4" w:rsidRDefault="00000000">
          <w:pPr>
            <w:widowControl w:val="0"/>
            <w:spacing w:before="60" w:after="0" w:line="240" w:lineRule="auto"/>
            <w:ind w:left="360"/>
            <w:rPr>
              <w:color w:val="1155CC"/>
              <w:u w:val="single"/>
            </w:rPr>
          </w:pPr>
          <w:hyperlink w:anchor="_heading=h.ly87jrlgyvon">
            <w:r>
              <w:rPr>
                <w:color w:val="1155CC"/>
                <w:u w:val="single"/>
              </w:rPr>
              <w:t>Current Affairs and Their Impact on Retention</w:t>
            </w:r>
          </w:hyperlink>
        </w:p>
        <w:p w14:paraId="6411CE95" w14:textId="77777777" w:rsidR="00D81DF4" w:rsidRDefault="00000000">
          <w:pPr>
            <w:widowControl w:val="0"/>
            <w:spacing w:before="60" w:after="0" w:line="240" w:lineRule="auto"/>
            <w:ind w:left="720"/>
            <w:rPr>
              <w:color w:val="1155CC"/>
              <w:u w:val="single"/>
            </w:rPr>
          </w:pPr>
          <w:hyperlink w:anchor="_heading=h.d8b8eu45fr54">
            <w:r>
              <w:rPr>
                <w:color w:val="1155CC"/>
                <w:u w:val="single"/>
              </w:rPr>
              <w:t>Brexit</w:t>
            </w:r>
          </w:hyperlink>
        </w:p>
        <w:p w14:paraId="6411CE96" w14:textId="77777777" w:rsidR="00D81DF4" w:rsidRDefault="00000000">
          <w:pPr>
            <w:widowControl w:val="0"/>
            <w:spacing w:before="60" w:after="0" w:line="240" w:lineRule="auto"/>
            <w:ind w:left="720"/>
            <w:rPr>
              <w:color w:val="1155CC"/>
              <w:u w:val="single"/>
            </w:rPr>
          </w:pPr>
          <w:hyperlink w:anchor="_heading=h.e7j0wiwgefnk">
            <w:r>
              <w:rPr>
                <w:color w:val="1155CC"/>
                <w:u w:val="single"/>
              </w:rPr>
              <w:t>COVID-19 Pandemic</w:t>
            </w:r>
          </w:hyperlink>
        </w:p>
        <w:p w14:paraId="6411CE97" w14:textId="77777777" w:rsidR="00D81DF4" w:rsidRDefault="00000000">
          <w:pPr>
            <w:widowControl w:val="0"/>
            <w:spacing w:before="60" w:after="0" w:line="240" w:lineRule="auto"/>
            <w:ind w:left="720"/>
            <w:rPr>
              <w:color w:val="1155CC"/>
              <w:u w:val="single"/>
            </w:rPr>
          </w:pPr>
          <w:hyperlink w:anchor="_heading=h.g60pzhs6jhs">
            <w:r>
              <w:rPr>
                <w:color w:val="1155CC"/>
                <w:u w:val="single"/>
              </w:rPr>
              <w:t>Inflation and Economic Situation</w:t>
            </w:r>
          </w:hyperlink>
        </w:p>
        <w:p w14:paraId="6411CE98" w14:textId="77777777" w:rsidR="00D81DF4" w:rsidRDefault="00000000">
          <w:pPr>
            <w:widowControl w:val="0"/>
            <w:spacing w:before="60" w:after="0" w:line="240" w:lineRule="auto"/>
            <w:ind w:left="720"/>
            <w:rPr>
              <w:color w:val="1155CC"/>
              <w:u w:val="single"/>
            </w:rPr>
          </w:pPr>
          <w:hyperlink w:anchor="_heading=h.g0kcj8xc6vc9">
            <w:r>
              <w:rPr>
                <w:color w:val="1155CC"/>
                <w:u w:val="single"/>
              </w:rPr>
              <w:t>Global Retirement Tide</w:t>
            </w:r>
          </w:hyperlink>
        </w:p>
        <w:p w14:paraId="6411CE99" w14:textId="77777777" w:rsidR="00D81DF4" w:rsidRDefault="00000000">
          <w:pPr>
            <w:widowControl w:val="0"/>
            <w:spacing w:before="60" w:after="0" w:line="240" w:lineRule="auto"/>
            <w:ind w:left="360"/>
            <w:rPr>
              <w:color w:val="1155CC"/>
              <w:u w:val="single"/>
            </w:rPr>
          </w:pPr>
          <w:hyperlink w:anchor="_heading=h.u0tvl9wf1bon">
            <w:r>
              <w:rPr>
                <w:color w:val="1155CC"/>
                <w:u w:val="single"/>
              </w:rPr>
              <w:t>Potential Solutions and Industry Examples</w:t>
            </w:r>
          </w:hyperlink>
        </w:p>
        <w:p w14:paraId="6411CE9A" w14:textId="77777777" w:rsidR="00D81DF4" w:rsidRDefault="00000000">
          <w:pPr>
            <w:widowControl w:val="0"/>
            <w:spacing w:before="60" w:after="0" w:line="240" w:lineRule="auto"/>
            <w:ind w:left="720"/>
            <w:rPr>
              <w:color w:val="1155CC"/>
              <w:u w:val="single"/>
            </w:rPr>
          </w:pPr>
          <w:hyperlink w:anchor="_heading=h.5oe3qnsq3frb">
            <w:r>
              <w:rPr>
                <w:color w:val="1155CC"/>
                <w:u w:val="single"/>
              </w:rPr>
              <w:t>Technological Integration</w:t>
            </w:r>
          </w:hyperlink>
        </w:p>
        <w:p w14:paraId="6411CE9B" w14:textId="77777777" w:rsidR="00D81DF4" w:rsidRDefault="00000000">
          <w:pPr>
            <w:widowControl w:val="0"/>
            <w:spacing w:before="60" w:after="0" w:line="240" w:lineRule="auto"/>
            <w:ind w:left="720"/>
            <w:rPr>
              <w:color w:val="1155CC"/>
              <w:u w:val="single"/>
            </w:rPr>
          </w:pPr>
          <w:hyperlink w:anchor="_heading=h.3zf3wtvo9lbw">
            <w:r>
              <w:rPr>
                <w:color w:val="1155CC"/>
                <w:u w:val="single"/>
              </w:rPr>
              <w:t>Succession Planning for Retirement Trends</w:t>
            </w:r>
          </w:hyperlink>
        </w:p>
        <w:p w14:paraId="6411CE9C" w14:textId="77777777" w:rsidR="00D81DF4" w:rsidRDefault="00000000">
          <w:pPr>
            <w:widowControl w:val="0"/>
            <w:spacing w:before="60" w:after="0" w:line="240" w:lineRule="auto"/>
            <w:ind w:left="720"/>
            <w:rPr>
              <w:color w:val="1155CC"/>
              <w:u w:val="single"/>
            </w:rPr>
          </w:pPr>
          <w:hyperlink w:anchor="_heading=h.cb2ehihn1ivn">
            <w:r>
              <w:rPr>
                <w:color w:val="1155CC"/>
                <w:u w:val="single"/>
              </w:rPr>
              <w:t>Flexible Work Arrangements in Response to Current Affairs</w:t>
            </w:r>
          </w:hyperlink>
        </w:p>
        <w:p w14:paraId="6411CE9D" w14:textId="77777777" w:rsidR="00D81DF4" w:rsidRDefault="00000000">
          <w:pPr>
            <w:widowControl w:val="0"/>
            <w:spacing w:before="60" w:after="0" w:line="240" w:lineRule="auto"/>
            <w:ind w:left="720"/>
            <w:rPr>
              <w:color w:val="1155CC"/>
              <w:u w:val="single"/>
            </w:rPr>
          </w:pPr>
          <w:hyperlink w:anchor="_heading=h.vpay0l6jsqph">
            <w:r>
              <w:rPr>
                <w:color w:val="1155CC"/>
                <w:u w:val="single"/>
              </w:rPr>
              <w:t>Incentive Programs for Economic Challenges</w:t>
            </w:r>
          </w:hyperlink>
        </w:p>
        <w:p w14:paraId="6411CE9E" w14:textId="77777777" w:rsidR="00D81DF4" w:rsidRDefault="00000000">
          <w:pPr>
            <w:widowControl w:val="0"/>
            <w:spacing w:before="60" w:after="0" w:line="240" w:lineRule="auto"/>
            <w:rPr>
              <w:color w:val="1155CC"/>
              <w:u w:val="single"/>
            </w:rPr>
          </w:pPr>
          <w:hyperlink w:anchor="_heading=h.o8rpp3vtv1dy">
            <w:r>
              <w:rPr>
                <w:rFonts w:ascii="Arial" w:eastAsia="Arial" w:hAnsi="Arial" w:cs="Arial"/>
                <w:color w:val="1155CC"/>
                <w:sz w:val="24"/>
                <w:szCs w:val="24"/>
                <w:u w:val="single"/>
              </w:rPr>
              <w:t>Evaluation and Conclusion</w:t>
            </w:r>
          </w:hyperlink>
        </w:p>
        <w:p w14:paraId="6411CE9F" w14:textId="77777777" w:rsidR="00D81DF4" w:rsidRDefault="00000000">
          <w:pPr>
            <w:widowControl w:val="0"/>
            <w:spacing w:before="60" w:after="0" w:line="240" w:lineRule="auto"/>
            <w:ind w:left="360"/>
            <w:rPr>
              <w:color w:val="1155CC"/>
              <w:u w:val="single"/>
            </w:rPr>
          </w:pPr>
          <w:hyperlink w:anchor="_heading=h.349b57kou6t0">
            <w:r>
              <w:rPr>
                <w:color w:val="1155CC"/>
                <w:u w:val="single"/>
              </w:rPr>
              <w:t>Implications and Solutions</w:t>
            </w:r>
          </w:hyperlink>
        </w:p>
        <w:p w14:paraId="6411CEA0" w14:textId="77777777" w:rsidR="00D81DF4" w:rsidRDefault="00000000">
          <w:pPr>
            <w:widowControl w:val="0"/>
            <w:spacing w:before="60" w:after="0" w:line="240" w:lineRule="auto"/>
            <w:ind w:left="360"/>
            <w:rPr>
              <w:color w:val="1155CC"/>
              <w:u w:val="single"/>
            </w:rPr>
          </w:pPr>
          <w:hyperlink w:anchor="_heading=h.eaji4yn0q64u">
            <w:r>
              <w:rPr>
                <w:color w:val="1155CC"/>
                <w:u w:val="single"/>
              </w:rPr>
              <w:t>Conclusion</w:t>
            </w:r>
          </w:hyperlink>
        </w:p>
        <w:p w14:paraId="6411CEA1" w14:textId="77777777" w:rsidR="00D81DF4" w:rsidRDefault="00000000">
          <w:pPr>
            <w:widowControl w:val="0"/>
            <w:spacing w:before="60" w:after="0" w:line="240" w:lineRule="auto"/>
            <w:rPr>
              <w:color w:val="1155CC"/>
              <w:u w:val="single"/>
            </w:rPr>
          </w:pPr>
          <w:hyperlink w:anchor="_heading=h.8rxzqdcpciwf">
            <w:r>
              <w:rPr>
                <w:color w:val="1155CC"/>
                <w:u w:val="single"/>
              </w:rPr>
              <w:t>Reference:</w:t>
            </w:r>
          </w:hyperlink>
          <w:r>
            <w:fldChar w:fldCharType="end"/>
          </w:r>
        </w:p>
      </w:sdtContent>
    </w:sdt>
    <w:p w14:paraId="6411CEA2" w14:textId="77777777" w:rsidR="00D81DF4" w:rsidRDefault="00000000">
      <w:pPr>
        <w:spacing w:after="200" w:line="360" w:lineRule="auto"/>
        <w:jc w:val="both"/>
      </w:pPr>
      <w:r>
        <w:br w:type="page"/>
      </w:r>
    </w:p>
    <w:p w14:paraId="6411CEA3" w14:textId="77777777" w:rsidR="00D81DF4" w:rsidRDefault="00000000">
      <w:pPr>
        <w:pStyle w:val="Heading1"/>
        <w:spacing w:after="200" w:line="360" w:lineRule="auto"/>
        <w:jc w:val="both"/>
        <w:rPr>
          <w:rFonts w:ascii="Arial" w:eastAsia="Arial" w:hAnsi="Arial" w:cs="Arial"/>
          <w:b w:val="0"/>
        </w:rPr>
      </w:pPr>
      <w:bookmarkStart w:id="3" w:name="_heading=h.fwyx9qi5nk8b" w:colFirst="0" w:colLast="0"/>
      <w:bookmarkEnd w:id="3"/>
      <w:r>
        <w:rPr>
          <w:rFonts w:ascii="Arial" w:eastAsia="Arial" w:hAnsi="Arial" w:cs="Arial"/>
          <w:b w:val="0"/>
        </w:rPr>
        <w:lastRenderedPageBreak/>
        <w:t>Introduction and Background</w:t>
      </w:r>
    </w:p>
    <w:p w14:paraId="6411CEA4"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The focal point of this research proposal is the Luxe Haven Hotel, an esteemed establishment celebrated for its luxurious accommodations and exceptional hospitality services. Situated in a vibrant urban setting, Luxe Haven Hotel stands as a testament to upscale hospitality, catering to a discerning clientele seeking a refined and memorable experience. A well-written research paper is crucial for readers, providing context, problem statement, rationale, and research questions, ensuring the logical flow of ideas, and understanding the reasons for conducting the study.</w:t>
      </w:r>
    </w:p>
    <w:p w14:paraId="6411CEA5" w14:textId="77777777" w:rsidR="00D81DF4" w:rsidRDefault="00000000">
      <w:pPr>
        <w:pStyle w:val="Heading2"/>
        <w:spacing w:after="200" w:line="360" w:lineRule="auto"/>
        <w:jc w:val="both"/>
        <w:rPr>
          <w:rFonts w:ascii="Arial" w:eastAsia="Arial" w:hAnsi="Arial" w:cs="Arial"/>
          <w:b w:val="0"/>
        </w:rPr>
      </w:pPr>
      <w:bookmarkStart w:id="4" w:name="_heading=h.9q0g5n8kiwln" w:colFirst="0" w:colLast="0"/>
      <w:bookmarkEnd w:id="4"/>
      <w:r>
        <w:rPr>
          <w:rFonts w:ascii="Arial" w:eastAsia="Arial" w:hAnsi="Arial" w:cs="Arial"/>
          <w:b w:val="0"/>
        </w:rPr>
        <w:t>Hotel Overview</w:t>
      </w:r>
    </w:p>
    <w:p w14:paraId="6411CEA6"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Luxe Haven Hotel, known for its advanced facilities, exquisite dining, and commitment to guest satisfaction, is a preferred destination for both business and leisure travelers. The Astan Hotel Galata in Istanbul offers modern, comfortable accommodations with a continental breakfast, conveniently located near nearby attractions like the tram, Old City, and </w:t>
      </w:r>
      <w:proofErr w:type="spellStart"/>
      <w:r>
        <w:rPr>
          <w:rFonts w:ascii="Arial" w:eastAsia="Arial" w:hAnsi="Arial" w:cs="Arial"/>
          <w:sz w:val="24"/>
          <w:szCs w:val="24"/>
        </w:rPr>
        <w:t>Topkapi</w:t>
      </w:r>
      <w:proofErr w:type="spellEnd"/>
      <w:r>
        <w:rPr>
          <w:rFonts w:ascii="Arial" w:eastAsia="Arial" w:hAnsi="Arial" w:cs="Arial"/>
          <w:sz w:val="24"/>
          <w:szCs w:val="24"/>
        </w:rPr>
        <w:t xml:space="preserve"> Palace.</w:t>
      </w:r>
    </w:p>
    <w:p w14:paraId="6411CEA7" w14:textId="77777777" w:rsidR="00D81DF4" w:rsidRDefault="00000000">
      <w:pPr>
        <w:pStyle w:val="Heading2"/>
        <w:spacing w:after="200" w:line="360" w:lineRule="auto"/>
        <w:jc w:val="both"/>
        <w:rPr>
          <w:rFonts w:ascii="Arial" w:eastAsia="Arial" w:hAnsi="Arial" w:cs="Arial"/>
          <w:b w:val="0"/>
        </w:rPr>
      </w:pPr>
      <w:bookmarkStart w:id="5" w:name="_heading=h.w8b55xmpgac2" w:colFirst="0" w:colLast="0"/>
      <w:bookmarkEnd w:id="5"/>
      <w:r>
        <w:rPr>
          <w:rFonts w:ascii="Arial" w:eastAsia="Arial" w:hAnsi="Arial" w:cs="Arial"/>
          <w:b w:val="0"/>
        </w:rPr>
        <w:t>Current Challenges and Theme of Retention</w:t>
      </w:r>
    </w:p>
    <w:p w14:paraId="6411CEA8"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Luxe Haven Hotel faces challenges in employee retention, crucial for guest experience and reputation, despite external challenges impacting operations. Organizations face employee retention challenges due to high salary expectations and talent competition. Management can control these issues, but high job opportunities must be within budget. </w:t>
      </w:r>
    </w:p>
    <w:p w14:paraId="6411CEA9" w14:textId="77777777" w:rsidR="00D81DF4" w:rsidRDefault="00000000">
      <w:pPr>
        <w:pStyle w:val="Heading2"/>
        <w:spacing w:after="200" w:line="360" w:lineRule="auto"/>
        <w:jc w:val="both"/>
        <w:rPr>
          <w:rFonts w:ascii="Arial" w:eastAsia="Arial" w:hAnsi="Arial" w:cs="Arial"/>
          <w:b w:val="0"/>
        </w:rPr>
      </w:pPr>
      <w:bookmarkStart w:id="6" w:name="_heading=h.kbu6qivalsrd" w:colFirst="0" w:colLast="0"/>
      <w:bookmarkEnd w:id="6"/>
      <w:r>
        <w:rPr>
          <w:rFonts w:ascii="Arial" w:eastAsia="Arial" w:hAnsi="Arial" w:cs="Arial"/>
          <w:b w:val="0"/>
        </w:rPr>
        <w:t>Staff Shortage</w:t>
      </w:r>
    </w:p>
    <w:p w14:paraId="6411CEAA"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Luxe Haven Hotel faces staff shortages, causing increased workloads, burnout, and service quality decline, impacting </w:t>
      </w:r>
      <w:proofErr w:type="gramStart"/>
      <w:r>
        <w:rPr>
          <w:rFonts w:ascii="Arial" w:eastAsia="Arial" w:hAnsi="Arial" w:cs="Arial"/>
          <w:sz w:val="24"/>
          <w:szCs w:val="24"/>
        </w:rPr>
        <w:t>retention</w:t>
      </w:r>
      <w:proofErr w:type="gramEnd"/>
      <w:r>
        <w:rPr>
          <w:rFonts w:ascii="Arial" w:eastAsia="Arial" w:hAnsi="Arial" w:cs="Arial"/>
          <w:sz w:val="24"/>
          <w:szCs w:val="24"/>
        </w:rPr>
        <w:t xml:space="preserve"> and affecting the hotel's ability to meet customer demands. Businesses can prevent staffing shortages by prioritizing employee </w:t>
      </w:r>
      <w:r>
        <w:rPr>
          <w:rFonts w:ascii="Arial" w:eastAsia="Arial" w:hAnsi="Arial" w:cs="Arial"/>
          <w:sz w:val="24"/>
          <w:szCs w:val="24"/>
        </w:rPr>
        <w:lastRenderedPageBreak/>
        <w:t>morale through reskilling, upskilling, regular meetings, surveys, interviews, and work-life balance, reducing burnout and fostering a productive work environment.</w:t>
      </w:r>
    </w:p>
    <w:p w14:paraId="6411CEAB" w14:textId="77777777" w:rsidR="00D81DF4" w:rsidRDefault="00000000">
      <w:pPr>
        <w:pStyle w:val="Heading2"/>
        <w:spacing w:after="200" w:line="360" w:lineRule="auto"/>
        <w:jc w:val="both"/>
        <w:rPr>
          <w:rFonts w:ascii="Arial" w:eastAsia="Arial" w:hAnsi="Arial" w:cs="Arial"/>
          <w:b w:val="0"/>
        </w:rPr>
      </w:pPr>
      <w:bookmarkStart w:id="7" w:name="_heading=h.i2ghono9ep5t" w:colFirst="0" w:colLast="0"/>
      <w:bookmarkEnd w:id="7"/>
      <w:r>
        <w:rPr>
          <w:rFonts w:ascii="Arial" w:eastAsia="Arial" w:hAnsi="Arial" w:cs="Arial"/>
          <w:b w:val="0"/>
        </w:rPr>
        <w:t>Lack of Training</w:t>
      </w:r>
    </w:p>
    <w:p w14:paraId="6411CEAC"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In the changing world of the hospitality sector, it is crucial to keep up with the trends and technologies. Luxe Haven Hotel understands the significance of learning; however, the difficulty lies in offering training programs that empower employees with the abilities needed to thrive in their positions. A lack of training opportunities can hinder professional growth, contributing to dissatisfaction and attrition among the </w:t>
      </w:r>
      <w:proofErr w:type="gramStart"/>
      <w:r>
        <w:rPr>
          <w:rFonts w:ascii="Arial" w:eastAsia="Arial" w:hAnsi="Arial" w:cs="Arial"/>
          <w:sz w:val="24"/>
          <w:szCs w:val="24"/>
        </w:rPr>
        <w:t>workforce</w:t>
      </w:r>
      <w:proofErr w:type="gramEnd"/>
      <w:r>
        <w:rPr>
          <w:rFonts w:ascii="Arial" w:eastAsia="Arial" w:hAnsi="Arial" w:cs="Arial"/>
          <w:sz w:val="24"/>
          <w:szCs w:val="24"/>
        </w:rPr>
        <w:t>.</w:t>
      </w:r>
    </w:p>
    <w:p w14:paraId="6411CEAD" w14:textId="77777777" w:rsidR="00D81DF4" w:rsidRDefault="00000000">
      <w:pPr>
        <w:pStyle w:val="Heading2"/>
        <w:spacing w:after="200" w:line="360" w:lineRule="auto"/>
        <w:jc w:val="both"/>
        <w:rPr>
          <w:rFonts w:ascii="Arial" w:eastAsia="Arial" w:hAnsi="Arial" w:cs="Arial"/>
          <w:b w:val="0"/>
        </w:rPr>
      </w:pPr>
      <w:bookmarkStart w:id="8" w:name="_heading=h.vbln7f7v2oiw" w:colFirst="0" w:colLast="0"/>
      <w:bookmarkEnd w:id="8"/>
      <w:r>
        <w:rPr>
          <w:rFonts w:ascii="Arial" w:eastAsia="Arial" w:hAnsi="Arial" w:cs="Arial"/>
          <w:b w:val="0"/>
        </w:rPr>
        <w:t>Poor Management Practices</w:t>
      </w:r>
    </w:p>
    <w:p w14:paraId="6411CEAE"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Effective leadership and management play a pivotal role in fostering a positive work environment and enhancing employee retention. Luxe Haven Hotel acknowledges the impact of managerial practices on staff morale and commitment. Instances of poor communication, inadequate recognition, or insufficient support from management can significantly contribute to turnover rates, affecting the overall cohesion of the workforce.</w:t>
      </w:r>
    </w:p>
    <w:p w14:paraId="6411CEAF" w14:textId="77777777" w:rsidR="00D81DF4" w:rsidRDefault="00000000">
      <w:pPr>
        <w:pStyle w:val="Heading2"/>
        <w:spacing w:after="200" w:line="360" w:lineRule="auto"/>
        <w:jc w:val="both"/>
        <w:rPr>
          <w:rFonts w:ascii="Arial" w:eastAsia="Arial" w:hAnsi="Arial" w:cs="Arial"/>
          <w:b w:val="0"/>
        </w:rPr>
      </w:pPr>
      <w:bookmarkStart w:id="9" w:name="_heading=h.613ouc3cnj2m" w:colFirst="0" w:colLast="0"/>
      <w:bookmarkEnd w:id="9"/>
      <w:r>
        <w:rPr>
          <w:rFonts w:ascii="Arial" w:eastAsia="Arial" w:hAnsi="Arial" w:cs="Arial"/>
          <w:b w:val="0"/>
        </w:rPr>
        <w:t>Setting the Stage for the Proposal</w:t>
      </w:r>
    </w:p>
    <w:p w14:paraId="6411CEB0"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This research proposal explores the relationship between external factors and employee retention at Luxe Haven Hotel, focusing on AI integration and retirement issues. Using PESTLE and SWOT tools, it aims to identify strategic solutions aligned with the hotel's commitment to fostering a dedicated workforce.</w:t>
      </w:r>
    </w:p>
    <w:p w14:paraId="6411CEB1" w14:textId="77777777" w:rsidR="00D81DF4" w:rsidRDefault="00000000">
      <w:pPr>
        <w:pStyle w:val="Heading1"/>
        <w:spacing w:after="200" w:line="360" w:lineRule="auto"/>
        <w:jc w:val="both"/>
        <w:rPr>
          <w:rFonts w:ascii="Arial" w:eastAsia="Arial" w:hAnsi="Arial" w:cs="Arial"/>
          <w:b w:val="0"/>
        </w:rPr>
      </w:pPr>
      <w:bookmarkStart w:id="10" w:name="_heading=h.ow681gq9i137" w:colFirst="0" w:colLast="0"/>
      <w:bookmarkEnd w:id="10"/>
      <w:r>
        <w:rPr>
          <w:rFonts w:ascii="Arial" w:eastAsia="Arial" w:hAnsi="Arial" w:cs="Arial"/>
          <w:b w:val="0"/>
        </w:rPr>
        <w:t>Discussion/Literature Review</w:t>
      </w:r>
    </w:p>
    <w:p w14:paraId="6411CEB2"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This section examines research on external challenges impacting employee recruitment and retention in the hospitality industry, current events like Brexit, COVID-19, inflation, and global retirement, and potential solutions using industry examples. A literature review </w:t>
      </w:r>
      <w:r>
        <w:rPr>
          <w:rFonts w:ascii="Arial" w:eastAsia="Arial" w:hAnsi="Arial" w:cs="Arial"/>
          <w:sz w:val="24"/>
          <w:szCs w:val="24"/>
        </w:rPr>
        <w:lastRenderedPageBreak/>
        <w:t>is a critical analysis of previous research, identifying key arguments, and comparing results to provide reasons for one's findings.</w:t>
      </w:r>
    </w:p>
    <w:p w14:paraId="6411CEB3" w14:textId="77777777" w:rsidR="00D81DF4" w:rsidRDefault="00000000">
      <w:pPr>
        <w:pStyle w:val="Heading2"/>
        <w:spacing w:after="200" w:line="360" w:lineRule="auto"/>
        <w:jc w:val="both"/>
        <w:rPr>
          <w:rFonts w:ascii="Arial" w:eastAsia="Arial" w:hAnsi="Arial" w:cs="Arial"/>
          <w:b w:val="0"/>
        </w:rPr>
      </w:pPr>
      <w:bookmarkStart w:id="11" w:name="_heading=h.syuql46k373p" w:colFirst="0" w:colLast="0"/>
      <w:bookmarkEnd w:id="11"/>
      <w:r>
        <w:rPr>
          <w:rFonts w:ascii="Arial" w:eastAsia="Arial" w:hAnsi="Arial" w:cs="Arial"/>
          <w:b w:val="0"/>
        </w:rPr>
        <w:t>Previous Research Findings</w:t>
      </w:r>
    </w:p>
    <w:p w14:paraId="6411CEB4"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Studies reveal the dynamic nature of the hospitality sector and the evolving strategies needed to maintain a stable and engaged workforce. This article explains how to include previous research and how to address it in different sections of a research paper. It highlights how crucial it is to use previous research in the introduction, draw attention to the methodological decisions taken during the study, and cite relevant literature when discussing methodology. It also stresses how crucial it is to refrain from drawing comparisons and contrasts between recent and earlier research because doing so may cause misconceptions.</w:t>
      </w:r>
    </w:p>
    <w:p w14:paraId="6411CEB5"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It is imperative to restate the ideas, research questions, and objectives presented in the preceding parts in the discussion and conclusion sections. Integrating other relevant literature into the discussion serves two main purposes: highlighting what has already been achieved in prior studies and explaining how your study builds on this existing work to advance knowledge in the field.</w:t>
      </w:r>
    </w:p>
    <w:p w14:paraId="6411CEB6"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Three common mistakes to avoid when forging connections between prior studies and your research paper are focusing too much on the existing literature, presenting and discussing prior studies in the Introduction, and avoiding subjective assessments to avoid personal biases.</w:t>
      </w:r>
    </w:p>
    <w:p w14:paraId="6411CEB7" w14:textId="77777777" w:rsidR="00D81DF4" w:rsidRDefault="00000000">
      <w:pPr>
        <w:pStyle w:val="Heading2"/>
        <w:spacing w:after="200" w:line="360" w:lineRule="auto"/>
        <w:jc w:val="both"/>
        <w:rPr>
          <w:rFonts w:ascii="Arial" w:eastAsia="Arial" w:hAnsi="Arial" w:cs="Arial"/>
          <w:b w:val="0"/>
        </w:rPr>
      </w:pPr>
      <w:bookmarkStart w:id="12" w:name="_heading=h.te47suytjpxc" w:colFirst="0" w:colLast="0"/>
      <w:bookmarkEnd w:id="12"/>
      <w:r>
        <w:rPr>
          <w:rFonts w:ascii="Arial" w:eastAsia="Arial" w:hAnsi="Arial" w:cs="Arial"/>
          <w:b w:val="0"/>
        </w:rPr>
        <w:t>Automation and AI Integration:</w:t>
      </w:r>
    </w:p>
    <w:p w14:paraId="6411CEB8"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Smith et al.'s 2019 research suggests that while automation and AI in the hospitality industry raise job security concerns, effective communication and training can boost retention rates. AI-powered automation can significantly improve integration lifecycles, reducing resource requirements and increasing efficiency. By 2023, Gartner predicts 25% more tasks will be run autonomously.</w:t>
      </w:r>
      <w:r>
        <w:rPr>
          <w:rFonts w:ascii="Arial" w:eastAsia="Arial" w:hAnsi="Arial" w:cs="Arial"/>
        </w:rPr>
        <w:t xml:space="preserve"> (McHugh B., 2023)</w:t>
      </w:r>
      <w:r>
        <w:rPr>
          <w:rFonts w:ascii="Arial" w:eastAsia="Arial" w:hAnsi="Arial" w:cs="Arial"/>
          <w:sz w:val="24"/>
          <w:szCs w:val="24"/>
        </w:rPr>
        <w:t xml:space="preserve"> Automation accelerates </w:t>
      </w:r>
      <w:r>
        <w:rPr>
          <w:rFonts w:ascii="Arial" w:eastAsia="Arial" w:hAnsi="Arial" w:cs="Arial"/>
          <w:sz w:val="24"/>
          <w:szCs w:val="24"/>
        </w:rPr>
        <w:lastRenderedPageBreak/>
        <w:t xml:space="preserve">development, improves quality, and reduces costs. It simplifies integrations with legacy apps and offers capabilities like app-integration flows and API access. It also ensures security, governance, and availability, enabling organizations to update systems with integrity and at scale. </w:t>
      </w:r>
    </w:p>
    <w:p w14:paraId="6411CEB9" w14:textId="77777777" w:rsidR="00D81DF4" w:rsidRDefault="00000000">
      <w:pPr>
        <w:pStyle w:val="Heading2"/>
        <w:spacing w:after="200" w:line="360" w:lineRule="auto"/>
        <w:jc w:val="both"/>
        <w:rPr>
          <w:rFonts w:ascii="Arial" w:eastAsia="Arial" w:hAnsi="Arial" w:cs="Arial"/>
          <w:b w:val="0"/>
        </w:rPr>
      </w:pPr>
      <w:bookmarkStart w:id="13" w:name="_heading=h.a7sydylo8nwp" w:colFirst="0" w:colLast="0"/>
      <w:bookmarkEnd w:id="13"/>
      <w:r>
        <w:rPr>
          <w:rFonts w:ascii="Arial" w:eastAsia="Arial" w:hAnsi="Arial" w:cs="Arial"/>
          <w:b w:val="0"/>
        </w:rPr>
        <w:t>Retirement Trends:</w:t>
      </w:r>
    </w:p>
    <w:p w14:paraId="6411CEBA"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Johnson and Brown's 2018 studies highlight the aging hospitality workforce, emphasizing the need for succession planning, knowledge transfer programs, and a culture that values and retains experienced employees.</w:t>
      </w:r>
      <w:r>
        <w:rPr>
          <w:rFonts w:ascii="Arial" w:eastAsia="Arial" w:hAnsi="Arial" w:cs="Arial"/>
        </w:rPr>
        <w:t xml:space="preserve"> (Brown, and Johnston, 2018, P 67)</w:t>
      </w:r>
      <w:r>
        <w:rPr>
          <w:rFonts w:ascii="Arial" w:eastAsia="Arial" w:hAnsi="Arial" w:cs="Arial"/>
          <w:sz w:val="24"/>
          <w:szCs w:val="24"/>
        </w:rPr>
        <w:t xml:space="preserve"> Longer lifespans prompt rethinking of work and retirement approaches. Women face higher retirement costs and isolation, necessitating a shift in planning. Recommendations include upskilling older workers, robust leave policies, auto-enrollment, safety nets, and digital skills training.</w:t>
      </w:r>
    </w:p>
    <w:p w14:paraId="6411CEBB" w14:textId="77777777" w:rsidR="00D81DF4" w:rsidRDefault="00000000">
      <w:pPr>
        <w:pStyle w:val="Heading2"/>
        <w:spacing w:after="200" w:line="360" w:lineRule="auto"/>
        <w:jc w:val="both"/>
        <w:rPr>
          <w:rFonts w:ascii="Arial" w:eastAsia="Arial" w:hAnsi="Arial" w:cs="Arial"/>
          <w:b w:val="0"/>
        </w:rPr>
      </w:pPr>
      <w:bookmarkStart w:id="14" w:name="_heading=h.eno62ypc8yam" w:colFirst="0" w:colLast="0"/>
      <w:bookmarkEnd w:id="14"/>
      <w:r>
        <w:rPr>
          <w:rFonts w:ascii="Arial" w:eastAsia="Arial" w:hAnsi="Arial" w:cs="Arial"/>
          <w:b w:val="0"/>
        </w:rPr>
        <w:t>Economic Challenges:</w:t>
      </w:r>
    </w:p>
    <w:p w14:paraId="6411CEBC"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Research conducted by Lee and Wang (2020) delves into the impact of economic challenges, such as inflation and economic downturns, on employee retention. The study suggests that organizations that proactively manage the financial impact on employees, for instance through innovative compensation and benefits packages, are more successful in retaining talent during challenging economic times.</w:t>
      </w:r>
    </w:p>
    <w:p w14:paraId="6411CEBD" w14:textId="77777777" w:rsidR="00D81DF4" w:rsidRDefault="00000000">
      <w:pPr>
        <w:pStyle w:val="Heading2"/>
        <w:spacing w:after="200" w:line="360" w:lineRule="auto"/>
        <w:jc w:val="both"/>
        <w:rPr>
          <w:rFonts w:ascii="Arial" w:eastAsia="Arial" w:hAnsi="Arial" w:cs="Arial"/>
          <w:b w:val="0"/>
        </w:rPr>
      </w:pPr>
      <w:bookmarkStart w:id="15" w:name="_heading=h.ly87jrlgyvon" w:colFirst="0" w:colLast="0"/>
      <w:bookmarkEnd w:id="15"/>
      <w:r>
        <w:rPr>
          <w:rFonts w:ascii="Arial" w:eastAsia="Arial" w:hAnsi="Arial" w:cs="Arial"/>
          <w:b w:val="0"/>
        </w:rPr>
        <w:t>Current Affairs and Their Impact on Retention</w:t>
      </w:r>
    </w:p>
    <w:p w14:paraId="6411CEBE" w14:textId="77777777" w:rsidR="00D81DF4" w:rsidRDefault="00000000">
      <w:pPr>
        <w:pStyle w:val="Heading3"/>
        <w:spacing w:after="200" w:line="360" w:lineRule="auto"/>
        <w:jc w:val="both"/>
        <w:rPr>
          <w:rFonts w:ascii="Arial" w:eastAsia="Arial" w:hAnsi="Arial" w:cs="Arial"/>
          <w:b/>
        </w:rPr>
      </w:pPr>
      <w:bookmarkStart w:id="16" w:name="_heading=h.d8b8eu45fr54" w:colFirst="0" w:colLast="0"/>
      <w:bookmarkEnd w:id="16"/>
      <w:r>
        <w:rPr>
          <w:rFonts w:ascii="Arial" w:eastAsia="Arial" w:hAnsi="Arial" w:cs="Arial"/>
          <w:b/>
        </w:rPr>
        <w:t>Brexit</w:t>
      </w:r>
    </w:p>
    <w:p w14:paraId="6411CEBF"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Brexit uncertainty complicates labor markets, impacting hospitality sector recruitment and retention. Hotels intensify recruitment efforts, provide relocation support, and engage with the government to influence immigration policies. We call the UK's decision to quit the EU in 2016 "Brexit." It is currently uncertain what specifics are included in the temporary free-trade deal that the UK and the EU signed in 2020. Customs checks continue to have an </w:t>
      </w:r>
      <w:r>
        <w:rPr>
          <w:rFonts w:ascii="Arial" w:eastAsia="Arial" w:hAnsi="Arial" w:cs="Arial"/>
          <w:sz w:val="24"/>
          <w:szCs w:val="24"/>
        </w:rPr>
        <w:lastRenderedPageBreak/>
        <w:t xml:space="preserve">impact on commerce even if the Trade and Cooperation Agreement (TCA) permits tariff- and quota-free trade. 53.4% of English people supported Brexit in the referendum, handily defeating the UK. The process began in March 2017 and allowed us to negotiate a new collaboration for two years. </w:t>
      </w:r>
      <w:r>
        <w:rPr>
          <w:rFonts w:ascii="Arial" w:eastAsia="Arial" w:hAnsi="Arial" w:cs="Arial"/>
        </w:rPr>
        <w:t>(Hayes, 2023)</w:t>
      </w:r>
    </w:p>
    <w:p w14:paraId="6411CEC0" w14:textId="77777777" w:rsidR="00D81DF4" w:rsidRDefault="00000000">
      <w:pPr>
        <w:pStyle w:val="Heading3"/>
        <w:spacing w:after="200" w:line="360" w:lineRule="auto"/>
        <w:jc w:val="both"/>
        <w:rPr>
          <w:rFonts w:ascii="Arial" w:eastAsia="Arial" w:hAnsi="Arial" w:cs="Arial"/>
          <w:b/>
        </w:rPr>
      </w:pPr>
      <w:bookmarkStart w:id="17" w:name="_heading=h.e7j0wiwgefnk" w:colFirst="0" w:colLast="0"/>
      <w:bookmarkEnd w:id="17"/>
      <w:r>
        <w:rPr>
          <w:rFonts w:ascii="Arial" w:eastAsia="Arial" w:hAnsi="Arial" w:cs="Arial"/>
          <w:b/>
        </w:rPr>
        <w:t>COVID-19 Pandemic</w:t>
      </w:r>
    </w:p>
    <w:p w14:paraId="6411CEC1" w14:textId="77777777" w:rsidR="00D81DF4" w:rsidRDefault="00000000">
      <w:pPr>
        <w:spacing w:after="200" w:line="360" w:lineRule="auto"/>
        <w:jc w:val="both"/>
        <w:rPr>
          <w:rFonts w:ascii="Arial" w:eastAsia="Arial" w:hAnsi="Arial" w:cs="Arial"/>
        </w:rPr>
      </w:pPr>
      <w:r>
        <w:rPr>
          <w:rFonts w:ascii="Arial" w:eastAsia="Arial" w:hAnsi="Arial" w:cs="Arial"/>
          <w:sz w:val="24"/>
          <w:szCs w:val="24"/>
        </w:rPr>
        <w:t xml:space="preserve">The hospitality industry faces unprecedented challenges due to lockdowns, but resilience through remote work, employee well-being, and adapting business models has increased loyalty. The COVID-19 pandemic declared a global emergency in 2020, is ongoing, with over 2 million deaths in Europe. A review committee will develop long-term recommendations, and a new Information Hub was introduced in October 2023. </w:t>
      </w:r>
      <w:r>
        <w:rPr>
          <w:rFonts w:ascii="Arial" w:eastAsia="Arial" w:hAnsi="Arial" w:cs="Arial"/>
        </w:rPr>
        <w:t>(WHO)</w:t>
      </w:r>
    </w:p>
    <w:p w14:paraId="6411CEC2" w14:textId="77777777" w:rsidR="00D81DF4" w:rsidRDefault="00000000">
      <w:pPr>
        <w:pStyle w:val="Heading3"/>
        <w:spacing w:after="200" w:line="360" w:lineRule="auto"/>
        <w:jc w:val="both"/>
        <w:rPr>
          <w:rFonts w:ascii="Arial" w:eastAsia="Arial" w:hAnsi="Arial" w:cs="Arial"/>
          <w:b/>
        </w:rPr>
      </w:pPr>
      <w:bookmarkStart w:id="18" w:name="_heading=h.g60pzhs6jhs" w:colFirst="0" w:colLast="0"/>
      <w:bookmarkEnd w:id="18"/>
      <w:r>
        <w:rPr>
          <w:rFonts w:ascii="Arial" w:eastAsia="Arial" w:hAnsi="Arial" w:cs="Arial"/>
          <w:b/>
        </w:rPr>
        <w:t>Inflation and Economic Situation</w:t>
      </w:r>
    </w:p>
    <w:p w14:paraId="6411CEC3"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Inflationary pressures and economic uncertainties impact the financial stability of organizations and employees. Flexible compensation structures, such as performance-based bonuses and profit-sharing programs, can help mitigate inflation impact and retain employees. Inflation is a controversial economic issue, with some economists advocating for moderate levels to stimulate consumption and spending. The Federal Reserve targets an annual inflation rate for the U.S., aiming to encourage business activity. However, inflation can lead to decreased purchasing power, increased spending, reduced corporate profits, and potential recession. Benefits include increased production, preventing the Paradox of Thrift, and borrowing. Inflation can also lead to rising prices, increased layoff risks, and decreased purchasing power.</w:t>
      </w:r>
    </w:p>
    <w:p w14:paraId="6411CEC4" w14:textId="77777777" w:rsidR="00D81DF4" w:rsidRDefault="00000000">
      <w:pPr>
        <w:pStyle w:val="Heading3"/>
        <w:spacing w:after="200" w:line="360" w:lineRule="auto"/>
        <w:jc w:val="both"/>
        <w:rPr>
          <w:rFonts w:ascii="Arial" w:eastAsia="Arial" w:hAnsi="Arial" w:cs="Arial"/>
          <w:b/>
        </w:rPr>
      </w:pPr>
      <w:bookmarkStart w:id="19" w:name="_heading=h.g0kcj8xc6vc9" w:colFirst="0" w:colLast="0"/>
      <w:bookmarkEnd w:id="19"/>
      <w:r>
        <w:rPr>
          <w:rFonts w:ascii="Arial" w:eastAsia="Arial" w:hAnsi="Arial" w:cs="Arial"/>
          <w:b/>
        </w:rPr>
        <w:t>Global Retirement Tide</w:t>
      </w:r>
    </w:p>
    <w:p w14:paraId="6411CEC5"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The aging workforce, known as the "silver tsunami," presents challenges in knowledge transfer and succession planning. Organizations that prioritize mentorship, flexible retirement options, and training can mitigate this impact. To facilitate employees' retirement savings, the UK government implemented mandatory workplace pensions through automatic enrolment in February 2018. Public pension plans are exclusive to workers in the public sector, but private pension plans are accessible to employers as </w:t>
      </w:r>
      <w:r>
        <w:rPr>
          <w:rFonts w:ascii="Arial" w:eastAsia="Arial" w:hAnsi="Arial" w:cs="Arial"/>
          <w:sz w:val="24"/>
          <w:szCs w:val="24"/>
        </w:rPr>
        <w:lastRenderedPageBreak/>
        <w:t>well as employees. Pension plans receive tax relief but have rules, such as not withdrawing until age 55. Employers are required to contribute to employees' pension pots unless they earn less than £520 a month.</w:t>
      </w:r>
    </w:p>
    <w:p w14:paraId="6411CEC6" w14:textId="77777777" w:rsidR="00D81DF4" w:rsidRDefault="00000000">
      <w:pPr>
        <w:pStyle w:val="Heading2"/>
        <w:spacing w:after="200" w:line="360" w:lineRule="auto"/>
        <w:jc w:val="both"/>
        <w:rPr>
          <w:rFonts w:ascii="Arial" w:eastAsia="Arial" w:hAnsi="Arial" w:cs="Arial"/>
          <w:b w:val="0"/>
        </w:rPr>
      </w:pPr>
      <w:bookmarkStart w:id="20" w:name="_heading=h.u0tvl9wf1bon" w:colFirst="0" w:colLast="0"/>
      <w:bookmarkEnd w:id="20"/>
      <w:r>
        <w:rPr>
          <w:rFonts w:ascii="Arial" w:eastAsia="Arial" w:hAnsi="Arial" w:cs="Arial"/>
          <w:b w:val="0"/>
        </w:rPr>
        <w:t>Potential Solutions and Industry Examples</w:t>
      </w:r>
    </w:p>
    <w:p w14:paraId="6411CEC7" w14:textId="77777777" w:rsidR="00D81DF4" w:rsidRDefault="00000000">
      <w:pPr>
        <w:pStyle w:val="Heading3"/>
        <w:spacing w:after="200" w:line="360" w:lineRule="auto"/>
        <w:jc w:val="both"/>
        <w:rPr>
          <w:rFonts w:ascii="Arial" w:eastAsia="Arial" w:hAnsi="Arial" w:cs="Arial"/>
          <w:b/>
        </w:rPr>
      </w:pPr>
      <w:bookmarkStart w:id="21" w:name="_heading=h.5oe3qnsq3frb" w:colFirst="0" w:colLast="0"/>
      <w:bookmarkEnd w:id="21"/>
      <w:r>
        <w:rPr>
          <w:rFonts w:ascii="Arial" w:eastAsia="Arial" w:hAnsi="Arial" w:cs="Arial"/>
          <w:b/>
        </w:rPr>
        <w:t>Technological Integration</w:t>
      </w:r>
    </w:p>
    <w:p w14:paraId="6411CEC8"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Hilton's "Hospitality Elevated" initiative aims to enhance employee adaptability and technological advancements by investing in upskilling programs that complement AI technologies. Technological integration in education uses technology to enhance learning and achieve pedagogical goals. Teachers can use computers, smartphones, and virtual reality tools to help students learn. This integration supports the existing curriculum and is part of the educational experience. There are four levels of integration: substitution, augmentation, modification, and redefinition. Frameworks like TPACK and the Triple E help measure the effectiveness of technology use in the classroom. Key advantages include flexibility, support for multiple learning styles, and improved test scores and classroom engagement.</w:t>
      </w:r>
    </w:p>
    <w:p w14:paraId="6411CEC9" w14:textId="77777777" w:rsidR="00D81DF4" w:rsidRDefault="00000000">
      <w:pPr>
        <w:pStyle w:val="Heading3"/>
        <w:spacing w:after="200" w:line="360" w:lineRule="auto"/>
        <w:jc w:val="both"/>
        <w:rPr>
          <w:rFonts w:ascii="Arial" w:eastAsia="Arial" w:hAnsi="Arial" w:cs="Arial"/>
          <w:b/>
        </w:rPr>
      </w:pPr>
      <w:bookmarkStart w:id="22" w:name="_heading=h.3zf3wtvo9lbw" w:colFirst="0" w:colLast="0"/>
      <w:bookmarkEnd w:id="22"/>
      <w:r>
        <w:rPr>
          <w:rFonts w:ascii="Arial" w:eastAsia="Arial" w:hAnsi="Arial" w:cs="Arial"/>
          <w:b/>
        </w:rPr>
        <w:t>Succession Planning for Retirement Trends</w:t>
      </w:r>
    </w:p>
    <w:p w14:paraId="6411CECA"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Marriott International has implemented succession planning programs to manage the aging workforce, identifying high-potential employees, offering mentorship, and creating clear career paths for a smooth transition. Aimee Hall offers crucial advice for professional accounting firm owners on succession planning and retirement. It emphasizes developing a plan, delegating responsibilities, encouraging leadership roles, maintaining open communication, and reviewing operations for improvement. These steps contribute to firm value and future success.</w:t>
      </w:r>
    </w:p>
    <w:p w14:paraId="6411CECB" w14:textId="77777777" w:rsidR="00D81DF4" w:rsidRDefault="00000000">
      <w:pPr>
        <w:pStyle w:val="Heading3"/>
        <w:spacing w:after="200" w:line="360" w:lineRule="auto"/>
        <w:jc w:val="both"/>
        <w:rPr>
          <w:rFonts w:ascii="Arial" w:eastAsia="Arial" w:hAnsi="Arial" w:cs="Arial"/>
          <w:b/>
        </w:rPr>
      </w:pPr>
      <w:bookmarkStart w:id="23" w:name="_heading=h.cb2ehihn1ivn" w:colFirst="0" w:colLast="0"/>
      <w:bookmarkEnd w:id="23"/>
      <w:r>
        <w:rPr>
          <w:rFonts w:ascii="Arial" w:eastAsia="Arial" w:hAnsi="Arial" w:cs="Arial"/>
          <w:b/>
        </w:rPr>
        <w:t>Flexible Work Arrangements in Response to Current Affairs</w:t>
      </w:r>
    </w:p>
    <w:p w14:paraId="6411CECC"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The COVID-19 pandemic has accelerated the adoption of flexible work arrangements, such as Hyatt Hotels Corporation's hybrid model, enhancing job satisfaction and retention. The COVID-19 pandemic has emphasized the importance of flexible work </w:t>
      </w:r>
      <w:r>
        <w:rPr>
          <w:rFonts w:ascii="Arial" w:eastAsia="Arial" w:hAnsi="Arial" w:cs="Arial"/>
          <w:sz w:val="24"/>
          <w:szCs w:val="24"/>
        </w:rPr>
        <w:lastRenderedPageBreak/>
        <w:t>arrangements, particularly remote work, as employers adapt to social distancing orders and reopen businesses. These arrangements can improve recruitment, retention, diversity, ethical behavior, and social responsibility. 81% of employees believe flexible work options increase loyalty. However, smaller organizations may struggle with technology, budget, management, and competitive flexibility. Managers must ensure programs are relevant, avoid unlawful disparate treatment, and allow workers choice while ensuring legal compliance.</w:t>
      </w:r>
    </w:p>
    <w:p w14:paraId="6411CECD" w14:textId="77777777" w:rsidR="00D81DF4" w:rsidRDefault="00000000">
      <w:pPr>
        <w:pStyle w:val="Heading3"/>
        <w:spacing w:after="200" w:line="360" w:lineRule="auto"/>
        <w:jc w:val="both"/>
        <w:rPr>
          <w:rFonts w:ascii="Arial" w:eastAsia="Arial" w:hAnsi="Arial" w:cs="Arial"/>
          <w:b/>
        </w:rPr>
      </w:pPr>
      <w:bookmarkStart w:id="24" w:name="_heading=h.vpay0l6jsqph" w:colFirst="0" w:colLast="0"/>
      <w:bookmarkEnd w:id="24"/>
      <w:r>
        <w:rPr>
          <w:rFonts w:ascii="Arial" w:eastAsia="Arial" w:hAnsi="Arial" w:cs="Arial"/>
          <w:b/>
        </w:rPr>
        <w:t>Incentive Programs for Economic Challenges</w:t>
      </w:r>
    </w:p>
    <w:p w14:paraId="6411CECE"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Ritz-Carlton is implementing innovative incentive programs tied to organizational performance to address economic challenges and foster a sense of shared achievement and commitment among employees. Policymakers can use traditional regulatory approaches like command-and-control to set pollution standards, economic incentives, or market-based policies. Incentives are increasingly popular for addressing environmental issues like acid rain and climate change. Market-based approaches provide continuous inducements to encourage pollution reduction but can be inappropriate for equity concerns like emissions trading programs. Both approaches aim to correct producer and consumer behavior.</w:t>
      </w:r>
    </w:p>
    <w:p w14:paraId="6411CECF" w14:textId="77777777" w:rsidR="00D81DF4" w:rsidRDefault="00000000">
      <w:pPr>
        <w:pStyle w:val="Heading1"/>
        <w:spacing w:after="200" w:line="360" w:lineRule="auto"/>
        <w:jc w:val="both"/>
        <w:rPr>
          <w:rFonts w:ascii="Arial" w:eastAsia="Arial" w:hAnsi="Arial" w:cs="Arial"/>
          <w:b w:val="0"/>
        </w:rPr>
      </w:pPr>
      <w:bookmarkStart w:id="25" w:name="_heading=h.o8rpp3vtv1dy" w:colFirst="0" w:colLast="0"/>
      <w:bookmarkEnd w:id="25"/>
      <w:r>
        <w:rPr>
          <w:rFonts w:ascii="Arial" w:eastAsia="Arial" w:hAnsi="Arial" w:cs="Arial"/>
          <w:b w:val="0"/>
        </w:rPr>
        <w:t>Evaluation and Conclusion</w:t>
      </w:r>
    </w:p>
    <w:p w14:paraId="6411CED0"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The research project examines Luxe Haven Hotel's challenges in employee recruitment and retention in the hospitality industry. Issues include staff shortage, lack of training, and poor management practices. Staff shortage threatens high service standards and employee satisfaction. Lack of training hinders professional growth and contributes to dissatisfaction. Poor management practices, such as communication gaps and recognition deficiencies, hinder employee morale and retention rates. The evaluation section of a grant proposal describes how progress and results are measured, using qualitative and quantitative data. Qualitative data, such as interview responses, can provide valuable information but cannot be quantified. Quantitative data, on the other hand, can be measured through surveys or reports on measurable milestones. For </w:t>
      </w:r>
      <w:r>
        <w:rPr>
          <w:rFonts w:ascii="Arial" w:eastAsia="Arial" w:hAnsi="Arial" w:cs="Arial"/>
          <w:sz w:val="24"/>
          <w:szCs w:val="24"/>
        </w:rPr>
        <w:lastRenderedPageBreak/>
        <w:t>example, a neighborhood farmer's market can be evaluated by tracking watering and weeding frequency, crown width, fruit production, mortality rates, taste tests, and hardiness factors. Both types of data have limitations, so it's beneficial to combine them if possible. Funders may also guide data types. The conclusion section of a grant proposal restates the purpose of the proposal and the expected outcomes if funding is received. It's important to thank the funder for the opportunity to submit and include contact information if necessary.</w:t>
      </w:r>
    </w:p>
    <w:p w14:paraId="6411CED1" w14:textId="77777777" w:rsidR="00D81DF4" w:rsidRDefault="00000000">
      <w:pPr>
        <w:pStyle w:val="Heading2"/>
        <w:spacing w:after="200" w:line="360" w:lineRule="auto"/>
        <w:jc w:val="both"/>
        <w:rPr>
          <w:rFonts w:ascii="Arial" w:eastAsia="Arial" w:hAnsi="Arial" w:cs="Arial"/>
          <w:b w:val="0"/>
        </w:rPr>
      </w:pPr>
      <w:bookmarkStart w:id="26" w:name="_heading=h.349b57kou6t0" w:colFirst="0" w:colLast="0"/>
      <w:bookmarkEnd w:id="26"/>
      <w:r>
        <w:rPr>
          <w:rFonts w:ascii="Arial" w:eastAsia="Arial" w:hAnsi="Arial" w:cs="Arial"/>
          <w:b w:val="0"/>
        </w:rPr>
        <w:t>Implications and Solutions</w:t>
      </w:r>
    </w:p>
    <w:p w14:paraId="6411CED2"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The study suggests Luxe Haven Hotel should adopt technological integration, succession planning, flexible work arrangements, and innovative incentive programs to improve employee satisfaction and retention. These include embracing AI for recruitment and training, implementing robust succession planning programs, offering remote work and on-site collaboration options, and linking bonuses to organizational performance to address economic challenges. These strategies align with industry best practices and ensure employee satisfaction and retention. The paper explores the Asian financial crisis's origins, implications, and solutions, highlighting the IMF's oversight of Asian banks and corporate balance sheet weaknesses, including Korean companies' excessive leverage.</w:t>
      </w:r>
    </w:p>
    <w:p w14:paraId="6411CED3" w14:textId="77777777" w:rsidR="00D81DF4" w:rsidRDefault="00000000">
      <w:pPr>
        <w:pStyle w:val="Heading2"/>
        <w:spacing w:after="200" w:line="360" w:lineRule="auto"/>
        <w:jc w:val="both"/>
        <w:rPr>
          <w:rFonts w:ascii="Arial" w:eastAsia="Arial" w:hAnsi="Arial" w:cs="Arial"/>
          <w:b w:val="0"/>
        </w:rPr>
      </w:pPr>
      <w:bookmarkStart w:id="27" w:name="_heading=h.eaji4yn0q64u" w:colFirst="0" w:colLast="0"/>
      <w:bookmarkEnd w:id="27"/>
      <w:r>
        <w:rPr>
          <w:rFonts w:ascii="Arial" w:eastAsia="Arial" w:hAnsi="Arial" w:cs="Arial"/>
          <w:b w:val="0"/>
        </w:rPr>
        <w:t>Conclusion</w:t>
      </w:r>
    </w:p>
    <w:p w14:paraId="6411CED4"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 xml:space="preserve">Luxe Haven Hotel faces external challenges affecting its employee recruitment and retention strategies. To address these, the hotel should adopt proactive measures like technological adaptation, succession planning, flexible work arrangements, and innovative incentive programs. This research proposal serves as a roadmap for the hotel's General Manager, providing valuable insights and actionable strategies to enhance recruitment and retention practices. The conclusion is the final point in a document, often the hardest part of a live performance. It highlights the main points and is often </w:t>
      </w:r>
      <w:r>
        <w:rPr>
          <w:rFonts w:ascii="Arial" w:eastAsia="Arial" w:hAnsi="Arial" w:cs="Arial"/>
          <w:sz w:val="24"/>
          <w:szCs w:val="24"/>
        </w:rPr>
        <w:lastRenderedPageBreak/>
        <w:t>remembered by the audience. Writing a conclusion can be challenging for some writers, but it is crucial to keep the best parts for maximum impact on the reader.</w:t>
      </w:r>
    </w:p>
    <w:p w14:paraId="6411CED5" w14:textId="77777777" w:rsidR="00D81DF4" w:rsidRDefault="00000000">
      <w:pPr>
        <w:spacing w:after="200" w:line="360" w:lineRule="auto"/>
        <w:jc w:val="both"/>
        <w:rPr>
          <w:rFonts w:ascii="Arial" w:eastAsia="Arial" w:hAnsi="Arial" w:cs="Arial"/>
          <w:sz w:val="24"/>
          <w:szCs w:val="24"/>
        </w:rPr>
      </w:pPr>
      <w:r>
        <w:br w:type="page"/>
      </w:r>
    </w:p>
    <w:p w14:paraId="6411CED6" w14:textId="77777777" w:rsidR="00D81DF4" w:rsidRDefault="00000000">
      <w:pPr>
        <w:pStyle w:val="Heading1"/>
        <w:spacing w:after="200" w:line="360" w:lineRule="auto"/>
        <w:jc w:val="both"/>
      </w:pPr>
      <w:bookmarkStart w:id="28" w:name="_heading=h.8rxzqdcpciwf" w:colFirst="0" w:colLast="0"/>
      <w:bookmarkEnd w:id="28"/>
      <w:r>
        <w:rPr>
          <w:rFonts w:ascii="Arial" w:eastAsia="Arial" w:hAnsi="Arial" w:cs="Arial"/>
          <w:b w:val="0"/>
        </w:rPr>
        <w:lastRenderedPageBreak/>
        <w:t xml:space="preserve">Reference: </w:t>
      </w:r>
    </w:p>
    <w:p w14:paraId="6411CED7" w14:textId="77777777" w:rsidR="00D81DF4" w:rsidRDefault="00000000">
      <w:pPr>
        <w:numPr>
          <w:ilvl w:val="0"/>
          <w:numId w:val="1"/>
        </w:numPr>
        <w:spacing w:after="0" w:line="360" w:lineRule="auto"/>
        <w:jc w:val="both"/>
        <w:rPr>
          <w:rFonts w:ascii="Arial" w:eastAsia="Arial" w:hAnsi="Arial" w:cs="Arial"/>
        </w:rPr>
      </w:pPr>
      <w:proofErr w:type="spellStart"/>
      <w:r>
        <w:rPr>
          <w:rFonts w:ascii="Arial" w:eastAsia="Arial" w:hAnsi="Arial" w:cs="Arial"/>
        </w:rPr>
        <w:t>Enago</w:t>
      </w:r>
      <w:proofErr w:type="spellEnd"/>
      <w:r>
        <w:rPr>
          <w:rFonts w:ascii="Arial" w:eastAsia="Arial" w:hAnsi="Arial" w:cs="Arial"/>
        </w:rPr>
        <w:t xml:space="preserve"> Academy (2017). ‘What is Background in a Research Paper?’ </w:t>
      </w:r>
      <w:proofErr w:type="spellStart"/>
      <w:r>
        <w:rPr>
          <w:rFonts w:ascii="Arial" w:eastAsia="Arial" w:hAnsi="Arial" w:cs="Arial"/>
          <w:i/>
        </w:rPr>
        <w:t>Enago</w:t>
      </w:r>
      <w:proofErr w:type="spellEnd"/>
      <w:r>
        <w:rPr>
          <w:rFonts w:ascii="Arial" w:eastAsia="Arial" w:hAnsi="Arial" w:cs="Arial"/>
          <w:i/>
        </w:rPr>
        <w:t xml:space="preserve"> Academy</w:t>
      </w:r>
      <w:r>
        <w:rPr>
          <w:rFonts w:ascii="Arial" w:eastAsia="Arial" w:hAnsi="Arial" w:cs="Arial"/>
        </w:rPr>
        <w:t xml:space="preserve">  [Blog] 11th Sept. Available at: </w:t>
      </w:r>
      <w:hyperlink r:id="rId6" w:anchor=":~:text=The%20introduction%20contains%20preliminary%20data">
        <w:r>
          <w:rPr>
            <w:rFonts w:ascii="Arial" w:eastAsia="Arial" w:hAnsi="Arial" w:cs="Arial"/>
            <w:color w:val="1155CC"/>
            <w:u w:val="single"/>
          </w:rPr>
          <w:t>https://www.enago.com/academy/what-is-background-in-a-research-paper/</w:t>
        </w:r>
      </w:hyperlink>
      <w:r>
        <w:rPr>
          <w:rFonts w:ascii="Arial" w:eastAsia="Arial" w:hAnsi="Arial" w:cs="Arial"/>
        </w:rPr>
        <w:t xml:space="preserve"> (Accessed: 12 November 2023)</w:t>
      </w:r>
    </w:p>
    <w:p w14:paraId="6411CED8"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 xml:space="preserve">Tutorials point (n.d.) </w:t>
      </w:r>
      <w:r>
        <w:rPr>
          <w:rFonts w:ascii="Arial" w:eastAsia="Arial" w:hAnsi="Arial" w:cs="Arial"/>
          <w:i/>
        </w:rPr>
        <w:t xml:space="preserve">Tutorials point. </w:t>
      </w:r>
      <w:r>
        <w:rPr>
          <w:rFonts w:ascii="Arial" w:eastAsia="Arial" w:hAnsi="Arial" w:cs="Arial"/>
        </w:rPr>
        <w:t xml:space="preserve">[online] Available at: </w:t>
      </w:r>
      <w:hyperlink r:id="rId7">
        <w:r>
          <w:rPr>
            <w:rFonts w:ascii="Arial" w:eastAsia="Arial" w:hAnsi="Arial" w:cs="Arial"/>
            <w:color w:val="1155CC"/>
            <w:u w:val="single"/>
          </w:rPr>
          <w:t>https://www.tutorialspoint.com/employee_retention/employee_retention_challenges.htm</w:t>
        </w:r>
      </w:hyperlink>
      <w:r>
        <w:rPr>
          <w:rFonts w:ascii="Arial" w:eastAsia="Arial" w:hAnsi="Arial" w:cs="Arial"/>
        </w:rPr>
        <w:t xml:space="preserve"> (Accessed: 12 November 2023)</w:t>
      </w:r>
    </w:p>
    <w:p w14:paraId="6411CED9"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Monster (n.d.) </w:t>
      </w:r>
      <w:r>
        <w:rPr>
          <w:rFonts w:ascii="Arial" w:eastAsia="Arial" w:hAnsi="Arial" w:cs="Arial"/>
          <w:i/>
        </w:rPr>
        <w:t>Monster</w:t>
      </w:r>
      <w:r>
        <w:rPr>
          <w:rFonts w:ascii="Arial" w:eastAsia="Arial" w:hAnsi="Arial" w:cs="Arial"/>
        </w:rPr>
        <w:t xml:space="preserve"> [online] Available at: </w:t>
      </w:r>
      <w:hyperlink r:id="rId8">
        <w:r>
          <w:rPr>
            <w:rFonts w:ascii="Arial" w:eastAsia="Arial" w:hAnsi="Arial" w:cs="Arial"/>
            <w:color w:val="1155CC"/>
            <w:u w:val="single"/>
          </w:rPr>
          <w:t>https://hiring.monster.com/resources/workforce-management/employee-retention-strategies/how-to-manage-a-staffing-shortage</w:t>
        </w:r>
      </w:hyperlink>
      <w:r>
        <w:rPr>
          <w:rFonts w:ascii="Arial" w:eastAsia="Arial" w:hAnsi="Arial" w:cs="Arial"/>
        </w:rPr>
        <w:t xml:space="preserve"> (Accessed: 12 November 2023)</w:t>
      </w:r>
    </w:p>
    <w:p w14:paraId="6411CEDA"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 xml:space="preserve">Astan Hotel (n.d.). </w:t>
      </w:r>
      <w:r>
        <w:rPr>
          <w:rFonts w:ascii="Arial" w:eastAsia="Arial" w:hAnsi="Arial" w:cs="Arial"/>
          <w:i/>
        </w:rPr>
        <w:t>ASTAN HOTELS.</w:t>
      </w:r>
      <w:r>
        <w:rPr>
          <w:rFonts w:ascii="Arial" w:eastAsia="Arial" w:hAnsi="Arial" w:cs="Arial"/>
        </w:rPr>
        <w:t xml:space="preserve"> [online] Available at: </w:t>
      </w:r>
      <w:hyperlink r:id="rId9">
        <w:r>
          <w:rPr>
            <w:rFonts w:ascii="Arial" w:eastAsia="Arial" w:hAnsi="Arial" w:cs="Arial"/>
            <w:color w:val="1155CC"/>
            <w:u w:val="single"/>
          </w:rPr>
          <w:t>https://www.astanhotels.com/hotel-overview</w:t>
        </w:r>
      </w:hyperlink>
      <w:r>
        <w:rPr>
          <w:rFonts w:ascii="Arial" w:eastAsia="Arial" w:hAnsi="Arial" w:cs="Arial"/>
        </w:rPr>
        <w:t xml:space="preserve"> (Accessed: 12 November 2023)</w:t>
      </w:r>
    </w:p>
    <w:p w14:paraId="6411CEDB"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University of Reading. (n.d.).</w:t>
      </w:r>
      <w:r>
        <w:rPr>
          <w:rFonts w:ascii="Arial" w:eastAsia="Arial" w:hAnsi="Arial" w:cs="Arial"/>
          <w:i/>
        </w:rPr>
        <w:t> </w:t>
      </w:r>
      <w:proofErr w:type="spellStart"/>
      <w:r>
        <w:rPr>
          <w:rFonts w:ascii="Arial" w:eastAsia="Arial" w:hAnsi="Arial" w:cs="Arial"/>
          <w:i/>
        </w:rPr>
        <w:t>LibGuides</w:t>
      </w:r>
      <w:proofErr w:type="spellEnd"/>
      <w:r>
        <w:rPr>
          <w:rFonts w:ascii="Arial" w:eastAsia="Arial" w:hAnsi="Arial" w:cs="Arial"/>
          <w:i/>
        </w:rPr>
        <w:t xml:space="preserve">: Reading </w:t>
      </w:r>
      <w:r>
        <w:rPr>
          <w:rFonts w:ascii="Arial" w:eastAsia="Arial" w:hAnsi="Arial" w:cs="Arial"/>
        </w:rPr>
        <w:t xml:space="preserve">[Online] Available at: </w:t>
      </w:r>
      <w:hyperlink r:id="rId10" w:anchor=":~:text=The%20discussion%20starts%20by%20analysing">
        <w:r>
          <w:rPr>
            <w:rFonts w:ascii="Arial" w:eastAsia="Arial" w:hAnsi="Arial" w:cs="Arial"/>
            <w:color w:val="1155CC"/>
            <w:u w:val="single"/>
          </w:rPr>
          <w:t>https://libguides.reading.ac.uk/literaturereview/developing</w:t>
        </w:r>
      </w:hyperlink>
      <w:r>
        <w:rPr>
          <w:rFonts w:ascii="Arial" w:eastAsia="Arial" w:hAnsi="Arial" w:cs="Arial"/>
        </w:rPr>
        <w:t xml:space="preserve"> (Accessed: 12 November 2023)</w:t>
      </w:r>
    </w:p>
    <w:p w14:paraId="6411CEDC"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 xml:space="preserve">Hayes, A. (2021). ’Brexit Meaning and Impact: The Truth About the U.K. Leaving the EU’ </w:t>
      </w:r>
      <w:r>
        <w:rPr>
          <w:rFonts w:ascii="Arial" w:eastAsia="Arial" w:hAnsi="Arial" w:cs="Arial"/>
          <w:i/>
        </w:rPr>
        <w:t>Investopedia</w:t>
      </w:r>
      <w:r>
        <w:rPr>
          <w:rFonts w:ascii="Arial" w:eastAsia="Arial" w:hAnsi="Arial" w:cs="Arial"/>
        </w:rPr>
        <w:t xml:space="preserve"> [online] 29th June. Available at: </w:t>
      </w:r>
      <w:hyperlink r:id="rId11">
        <w:r>
          <w:rPr>
            <w:rFonts w:ascii="Arial" w:eastAsia="Arial" w:hAnsi="Arial" w:cs="Arial"/>
            <w:color w:val="1155CC"/>
            <w:u w:val="single"/>
          </w:rPr>
          <w:t>https://www.investopedia.com/terms/b/brexit.asp</w:t>
        </w:r>
      </w:hyperlink>
      <w:r>
        <w:rPr>
          <w:rFonts w:ascii="Arial" w:eastAsia="Arial" w:hAnsi="Arial" w:cs="Arial"/>
        </w:rPr>
        <w:t xml:space="preserve"> (Accessed: 12 November 2023)</w:t>
      </w:r>
    </w:p>
    <w:p w14:paraId="6411CEDD"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 xml:space="preserve">City of Albuquerque. (n.d.). ’Application Components: Evaluation and Conclusion.’ </w:t>
      </w:r>
      <w:r>
        <w:rPr>
          <w:rFonts w:ascii="Arial" w:eastAsia="Arial" w:hAnsi="Arial" w:cs="Arial"/>
          <w:i/>
        </w:rPr>
        <w:t xml:space="preserve">City of Albuquerque. </w:t>
      </w:r>
      <w:r>
        <w:rPr>
          <w:rFonts w:ascii="Arial" w:eastAsia="Arial" w:hAnsi="Arial" w:cs="Arial"/>
        </w:rPr>
        <w:t xml:space="preserve">[online] Available at: </w:t>
      </w:r>
      <w:hyperlink r:id="rId12" w:anchor=":~:text=Evaluation%20and%20Conclusion">
        <w:r>
          <w:rPr>
            <w:rFonts w:ascii="Arial" w:eastAsia="Arial" w:hAnsi="Arial" w:cs="Arial"/>
            <w:color w:val="1155CC"/>
            <w:u w:val="single"/>
          </w:rPr>
          <w:t>https://www.cabq.gov/office-of-neighborhood-coordination/news/application-components-evaluation-and-conclusion</w:t>
        </w:r>
      </w:hyperlink>
      <w:r>
        <w:rPr>
          <w:rFonts w:ascii="Arial" w:eastAsia="Arial" w:hAnsi="Arial" w:cs="Arial"/>
        </w:rPr>
        <w:t xml:space="preserve"> (Accessed: 12 November 2023)</w:t>
      </w:r>
    </w:p>
    <w:p w14:paraId="6411CEDE"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 xml:space="preserve">World Economic Forum. (2023). ’World Economic Forum Report Highlights Retirement Trends as Life Expectancy Increases.’ </w:t>
      </w:r>
      <w:r>
        <w:rPr>
          <w:rFonts w:ascii="Arial" w:eastAsia="Arial" w:hAnsi="Arial" w:cs="Arial"/>
          <w:i/>
        </w:rPr>
        <w:t>World Economic Forum</w:t>
      </w:r>
      <w:r>
        <w:rPr>
          <w:rFonts w:ascii="Arial" w:eastAsia="Arial" w:hAnsi="Arial" w:cs="Arial"/>
        </w:rPr>
        <w:t xml:space="preserve"> [online] 8th June. Available at: </w:t>
      </w:r>
      <w:hyperlink r:id="rId13">
        <w:r>
          <w:rPr>
            <w:rFonts w:ascii="Arial" w:eastAsia="Arial" w:hAnsi="Arial" w:cs="Arial"/>
            <w:color w:val="1155CC"/>
            <w:u w:val="single"/>
          </w:rPr>
          <w:t>https://www.weforum.org/press/2023/06/world-economic-forum-report-highlights-retirement-trends-as-life-expectancy-increases</w:t>
        </w:r>
      </w:hyperlink>
      <w:r>
        <w:rPr>
          <w:rFonts w:ascii="Arial" w:eastAsia="Arial" w:hAnsi="Arial" w:cs="Arial"/>
        </w:rPr>
        <w:t xml:space="preserve"> (Accessed: 12 November 2023)</w:t>
      </w:r>
    </w:p>
    <w:p w14:paraId="6411CEDF"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 xml:space="preserve">World Health Organisation (2023). ’Coronavirus Disease (COVID-19) Pandemic’. </w:t>
      </w:r>
      <w:r>
        <w:rPr>
          <w:rFonts w:ascii="Arial" w:eastAsia="Arial" w:hAnsi="Arial" w:cs="Arial"/>
          <w:i/>
        </w:rPr>
        <w:t>WHO.</w:t>
      </w:r>
      <w:r>
        <w:rPr>
          <w:rFonts w:ascii="Arial" w:eastAsia="Arial" w:hAnsi="Arial" w:cs="Arial"/>
        </w:rPr>
        <w:t xml:space="preserve"> [online] Available at: </w:t>
      </w:r>
      <w:hyperlink r:id="rId14">
        <w:r>
          <w:rPr>
            <w:rFonts w:ascii="Arial" w:eastAsia="Arial" w:hAnsi="Arial" w:cs="Arial"/>
            <w:color w:val="1155CC"/>
            <w:u w:val="single"/>
          </w:rPr>
          <w:t>https://www.who.int/europe/emergencies/situations/covid-19</w:t>
        </w:r>
      </w:hyperlink>
      <w:r>
        <w:rPr>
          <w:rFonts w:ascii="Arial" w:eastAsia="Arial" w:hAnsi="Arial" w:cs="Arial"/>
        </w:rPr>
        <w:t xml:space="preserve"> (Accessed: 12 November 2023)</w:t>
      </w:r>
    </w:p>
    <w:p w14:paraId="6411CEE0" w14:textId="77777777" w:rsidR="00D81DF4" w:rsidRDefault="00000000">
      <w:pPr>
        <w:numPr>
          <w:ilvl w:val="0"/>
          <w:numId w:val="1"/>
        </w:numPr>
        <w:spacing w:after="0" w:line="360" w:lineRule="auto"/>
        <w:jc w:val="both"/>
        <w:rPr>
          <w:rFonts w:ascii="Arial" w:eastAsia="Arial" w:hAnsi="Arial" w:cs="Arial"/>
        </w:rPr>
      </w:pPr>
      <w:proofErr w:type="gramStart"/>
      <w:r>
        <w:rPr>
          <w:rFonts w:ascii="Arial" w:eastAsia="Arial" w:hAnsi="Arial" w:cs="Arial"/>
        </w:rPr>
        <w:t>Indeed</w:t>
      </w:r>
      <w:proofErr w:type="gramEnd"/>
      <w:r>
        <w:rPr>
          <w:rFonts w:ascii="Arial" w:eastAsia="Arial" w:hAnsi="Arial" w:cs="Arial"/>
        </w:rPr>
        <w:t xml:space="preserve"> Editorial Team. (2022). ’What Is Technological Integration in Education? (</w:t>
      </w:r>
      <w:proofErr w:type="gramStart"/>
      <w:r>
        <w:rPr>
          <w:rFonts w:ascii="Arial" w:eastAsia="Arial" w:hAnsi="Arial" w:cs="Arial"/>
        </w:rPr>
        <w:t>Plus</w:t>
      </w:r>
      <w:proofErr w:type="gramEnd"/>
      <w:r>
        <w:rPr>
          <w:rFonts w:ascii="Arial" w:eastAsia="Arial" w:hAnsi="Arial" w:cs="Arial"/>
        </w:rPr>
        <w:t xml:space="preserve"> Benefits).’ </w:t>
      </w:r>
      <w:r>
        <w:rPr>
          <w:rFonts w:ascii="Arial" w:eastAsia="Arial" w:hAnsi="Arial" w:cs="Arial"/>
          <w:i/>
        </w:rPr>
        <w:t>Indeed</w:t>
      </w:r>
      <w:r>
        <w:rPr>
          <w:rFonts w:ascii="Arial" w:eastAsia="Arial" w:hAnsi="Arial" w:cs="Arial"/>
        </w:rPr>
        <w:t xml:space="preserve"> [online] 1st Oct. Available at: </w:t>
      </w:r>
      <w:hyperlink r:id="rId15">
        <w:r>
          <w:rPr>
            <w:rFonts w:ascii="Arial" w:eastAsia="Arial" w:hAnsi="Arial" w:cs="Arial"/>
            <w:color w:val="1155CC"/>
            <w:u w:val="single"/>
          </w:rPr>
          <w:t>https://www.indeed.com/career-</w:t>
        </w:r>
        <w:r>
          <w:rPr>
            <w:rFonts w:ascii="Arial" w:eastAsia="Arial" w:hAnsi="Arial" w:cs="Arial"/>
            <w:color w:val="1155CC"/>
            <w:u w:val="single"/>
          </w:rPr>
          <w:lastRenderedPageBreak/>
          <w:t>advice/career-development/what-is-technological-integration</w:t>
        </w:r>
      </w:hyperlink>
      <w:r>
        <w:rPr>
          <w:rFonts w:ascii="Arial" w:eastAsia="Arial" w:hAnsi="Arial" w:cs="Arial"/>
        </w:rPr>
        <w:t xml:space="preserve"> (Accessed: 12 November 2023)</w:t>
      </w:r>
    </w:p>
    <w:p w14:paraId="6411CEE1" w14:textId="77777777" w:rsidR="00D81DF4" w:rsidRDefault="00000000">
      <w:pPr>
        <w:numPr>
          <w:ilvl w:val="0"/>
          <w:numId w:val="1"/>
        </w:numPr>
        <w:spacing w:after="0" w:line="360" w:lineRule="auto"/>
        <w:jc w:val="both"/>
        <w:rPr>
          <w:rFonts w:ascii="Arial" w:eastAsia="Arial" w:hAnsi="Arial" w:cs="Arial"/>
        </w:rPr>
      </w:pPr>
      <w:proofErr w:type="spellStart"/>
      <w:r>
        <w:rPr>
          <w:rFonts w:ascii="Arial" w:eastAsia="Arial" w:hAnsi="Arial" w:cs="Arial"/>
        </w:rPr>
        <w:t>Haa</w:t>
      </w:r>
      <w:proofErr w:type="spellEnd"/>
      <w:r>
        <w:rPr>
          <w:rFonts w:ascii="Arial" w:eastAsia="Arial" w:hAnsi="Arial" w:cs="Arial"/>
        </w:rPr>
        <w:t xml:space="preserve"> A. (2023). ’Essential steps for succession planning and a smooth retirement. </w:t>
      </w:r>
      <w:r>
        <w:rPr>
          <w:rFonts w:ascii="Arial" w:eastAsia="Arial" w:hAnsi="Arial" w:cs="Arial"/>
          <w:i/>
        </w:rPr>
        <w:t>Wolters Kluwer.</w:t>
      </w:r>
      <w:r>
        <w:rPr>
          <w:rFonts w:ascii="Arial" w:eastAsia="Arial" w:hAnsi="Arial" w:cs="Arial"/>
        </w:rPr>
        <w:t xml:space="preserve"> [online] 25th June. Available at: </w:t>
      </w:r>
      <w:hyperlink r:id="rId16">
        <w:r>
          <w:rPr>
            <w:rFonts w:ascii="Arial" w:eastAsia="Arial" w:hAnsi="Arial" w:cs="Arial"/>
            <w:color w:val="1155CC"/>
            <w:u w:val="single"/>
          </w:rPr>
          <w:t>https://www.wolterskluwer.com/en/expert-insights/essential-steps-for-succession-planning-and-a-smooth-retirement</w:t>
        </w:r>
      </w:hyperlink>
      <w:r>
        <w:rPr>
          <w:rFonts w:ascii="Arial" w:eastAsia="Arial" w:hAnsi="Arial" w:cs="Arial"/>
        </w:rPr>
        <w:t xml:space="preserve">  (Accessed: 12 November 2023)</w:t>
      </w:r>
    </w:p>
    <w:p w14:paraId="6411CEE2"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 xml:space="preserve">Admin. (2012). ‘Difference Between Evaluation and Conclusion’ </w:t>
      </w:r>
      <w:r>
        <w:rPr>
          <w:rFonts w:ascii="Arial" w:eastAsia="Arial" w:hAnsi="Arial" w:cs="Arial"/>
          <w:i/>
        </w:rPr>
        <w:t xml:space="preserve">Difference Between. </w:t>
      </w:r>
      <w:r>
        <w:rPr>
          <w:rFonts w:ascii="Arial" w:eastAsia="Arial" w:hAnsi="Arial" w:cs="Arial"/>
        </w:rPr>
        <w:t xml:space="preserve">[online] 12th June. Available at: </w:t>
      </w:r>
      <w:hyperlink r:id="rId17">
        <w:r>
          <w:rPr>
            <w:rFonts w:ascii="Arial" w:eastAsia="Arial" w:hAnsi="Arial" w:cs="Arial"/>
            <w:color w:val="1155CC"/>
            <w:u w:val="single"/>
          </w:rPr>
          <w:t>https://www.differencebetween.com/difference-between-evaluation-and-vs-conclusion</w:t>
        </w:r>
      </w:hyperlink>
      <w:r>
        <w:rPr>
          <w:rFonts w:ascii="Arial" w:eastAsia="Arial" w:hAnsi="Arial" w:cs="Arial"/>
        </w:rPr>
        <w:t xml:space="preserve">  (Accessed: 12 November 2023).</w:t>
      </w:r>
    </w:p>
    <w:p w14:paraId="6411CEE3"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 xml:space="preserve">Charlesworth Author Services (2021). ’How to include and discuss other studies in your research paper’ </w:t>
      </w:r>
      <w:r>
        <w:rPr>
          <w:rFonts w:ascii="Arial" w:eastAsia="Arial" w:hAnsi="Arial" w:cs="Arial"/>
          <w:i/>
        </w:rPr>
        <w:t>Charlesworth Author Services.</w:t>
      </w:r>
      <w:r>
        <w:rPr>
          <w:rFonts w:ascii="Arial" w:eastAsia="Arial" w:hAnsi="Arial" w:cs="Arial"/>
        </w:rPr>
        <w:t xml:space="preserve"> [Article]. 7th Oct. Available at: </w:t>
      </w:r>
      <w:hyperlink r:id="rId18">
        <w:r>
          <w:rPr>
            <w:rFonts w:ascii="Arial" w:eastAsia="Arial" w:hAnsi="Arial" w:cs="Arial"/>
            <w:color w:val="1155CC"/>
            <w:u w:val="single"/>
          </w:rPr>
          <w:t>https://www.cwauthors.com/article/how-to-refer-to-other-studies-or-literature-in-the-different-sections-of-a-research-paper</w:t>
        </w:r>
      </w:hyperlink>
      <w:r>
        <w:rPr>
          <w:rFonts w:ascii="Arial" w:eastAsia="Arial" w:hAnsi="Arial" w:cs="Arial"/>
        </w:rPr>
        <w:t xml:space="preserve"> (Accessed: 12 November 2023).</w:t>
      </w:r>
    </w:p>
    <w:p w14:paraId="6411CEE4"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 xml:space="preserve">Bates E. (2020). ’Workplace Pension Schemes: Everything you need to know’. </w:t>
      </w:r>
      <w:proofErr w:type="gramStart"/>
      <w:r>
        <w:rPr>
          <w:rFonts w:ascii="Arial" w:eastAsia="Arial" w:hAnsi="Arial" w:cs="Arial"/>
          <w:i/>
        </w:rPr>
        <w:t>Tide</w:t>
      </w:r>
      <w:r>
        <w:rPr>
          <w:rFonts w:ascii="Arial" w:eastAsia="Arial" w:hAnsi="Arial" w:cs="Arial"/>
        </w:rPr>
        <w:t xml:space="preserve">  [</w:t>
      </w:r>
      <w:proofErr w:type="gramEnd"/>
      <w:r>
        <w:rPr>
          <w:rFonts w:ascii="Arial" w:eastAsia="Arial" w:hAnsi="Arial" w:cs="Arial"/>
        </w:rPr>
        <w:t xml:space="preserve">online] 5th Aug. Available at: </w:t>
      </w:r>
      <w:hyperlink r:id="rId19">
        <w:r>
          <w:rPr>
            <w:rFonts w:ascii="Arial" w:eastAsia="Arial" w:hAnsi="Arial" w:cs="Arial"/>
            <w:color w:val="1155CC"/>
            <w:u w:val="single"/>
          </w:rPr>
          <w:t>https://www.tide.co/blog/business-tips/workplace-pension</w:t>
        </w:r>
      </w:hyperlink>
      <w:r>
        <w:rPr>
          <w:rFonts w:ascii="Arial" w:eastAsia="Arial" w:hAnsi="Arial" w:cs="Arial"/>
        </w:rPr>
        <w:t xml:space="preserve"> (Accessed: 12 November 2023).</w:t>
      </w:r>
    </w:p>
    <w:p w14:paraId="6411CEE5"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 xml:space="preserve">IBM Cloud Education (2021). ’Four Reasons You Need Automation in Integration.’ </w:t>
      </w:r>
      <w:r>
        <w:rPr>
          <w:rFonts w:ascii="Arial" w:eastAsia="Arial" w:hAnsi="Arial" w:cs="Arial"/>
          <w:i/>
        </w:rPr>
        <w:t>IBM.</w:t>
      </w:r>
      <w:r>
        <w:rPr>
          <w:rFonts w:ascii="Arial" w:eastAsia="Arial" w:hAnsi="Arial" w:cs="Arial"/>
        </w:rPr>
        <w:t xml:space="preserve"> [Blog]. 14th June. Available at: </w:t>
      </w:r>
      <w:hyperlink r:id="rId20">
        <w:r>
          <w:rPr>
            <w:rFonts w:ascii="Arial" w:eastAsia="Arial" w:hAnsi="Arial" w:cs="Arial"/>
            <w:color w:val="1155CC"/>
            <w:u w:val="single"/>
          </w:rPr>
          <w:t>https://www.ibm.com/blog/four-reasons-you-need-automation-in-integration</w:t>
        </w:r>
      </w:hyperlink>
      <w:r>
        <w:rPr>
          <w:rFonts w:ascii="Arial" w:eastAsia="Arial" w:hAnsi="Arial" w:cs="Arial"/>
        </w:rPr>
        <w:t xml:space="preserve"> (Accessed: 12 November 2023).</w:t>
      </w:r>
    </w:p>
    <w:p w14:paraId="6411CEE6" w14:textId="77777777" w:rsidR="00D81DF4" w:rsidRDefault="00000000">
      <w:pPr>
        <w:numPr>
          <w:ilvl w:val="0"/>
          <w:numId w:val="1"/>
        </w:numPr>
        <w:spacing w:after="0" w:line="360" w:lineRule="auto"/>
        <w:jc w:val="both"/>
        <w:rPr>
          <w:rFonts w:ascii="Arial" w:eastAsia="Arial" w:hAnsi="Arial" w:cs="Arial"/>
        </w:rPr>
      </w:pPr>
      <w:r>
        <w:rPr>
          <w:rFonts w:ascii="Arial" w:eastAsia="Arial" w:hAnsi="Arial" w:cs="Arial"/>
        </w:rPr>
        <w:t>International Monetary Fund (2001). </w:t>
      </w:r>
      <w:r>
        <w:rPr>
          <w:rFonts w:ascii="Arial" w:eastAsia="Arial" w:hAnsi="Arial" w:cs="Arial"/>
          <w:i/>
        </w:rPr>
        <w:t xml:space="preserve">Asian Financial crises: Origins, </w:t>
      </w:r>
      <w:proofErr w:type="gramStart"/>
      <w:r>
        <w:rPr>
          <w:rFonts w:ascii="Arial" w:eastAsia="Arial" w:hAnsi="Arial" w:cs="Arial"/>
          <w:i/>
        </w:rPr>
        <w:t>implications</w:t>
      </w:r>
      <w:proofErr w:type="gramEnd"/>
      <w:r>
        <w:rPr>
          <w:rFonts w:ascii="Arial" w:eastAsia="Arial" w:hAnsi="Arial" w:cs="Arial"/>
          <w:i/>
        </w:rPr>
        <w:t xml:space="preserve"> and solutions.</w:t>
      </w:r>
      <w:r>
        <w:rPr>
          <w:rFonts w:ascii="Arial" w:eastAsia="Arial" w:hAnsi="Arial" w:cs="Arial"/>
        </w:rPr>
        <w:t xml:space="preserve">  Available at: </w:t>
      </w:r>
      <w:hyperlink r:id="rId21">
        <w:r>
          <w:rPr>
            <w:rFonts w:ascii="Arial" w:eastAsia="Arial" w:hAnsi="Arial" w:cs="Arial"/>
            <w:color w:val="1155CC"/>
            <w:u w:val="single"/>
          </w:rPr>
          <w:t>https://www.elibrary.imf.org/display/book/9781451965476/9781451965476.xml</w:t>
        </w:r>
      </w:hyperlink>
      <w:r>
        <w:rPr>
          <w:rFonts w:ascii="Arial" w:eastAsia="Arial" w:hAnsi="Arial" w:cs="Arial"/>
        </w:rPr>
        <w:t xml:space="preserve"> (Accessed: 12 November 2023).</w:t>
      </w:r>
    </w:p>
    <w:p w14:paraId="6411CEE7" w14:textId="77777777" w:rsidR="00D81DF4" w:rsidRDefault="00000000">
      <w:pPr>
        <w:numPr>
          <w:ilvl w:val="0"/>
          <w:numId w:val="1"/>
        </w:numPr>
        <w:spacing w:after="200" w:line="360" w:lineRule="auto"/>
        <w:jc w:val="both"/>
        <w:rPr>
          <w:rFonts w:ascii="Arial" w:eastAsia="Arial" w:hAnsi="Arial" w:cs="Arial"/>
          <w:sz w:val="24"/>
          <w:szCs w:val="24"/>
        </w:rPr>
      </w:pPr>
      <w:r>
        <w:rPr>
          <w:rFonts w:ascii="Arial" w:eastAsia="Arial" w:hAnsi="Arial" w:cs="Arial"/>
        </w:rPr>
        <w:t xml:space="preserve">SHRM (2021). ’Managing Flexible Work Arrangements.’ </w:t>
      </w:r>
      <w:r>
        <w:rPr>
          <w:rFonts w:ascii="Arial" w:eastAsia="Arial" w:hAnsi="Arial" w:cs="Arial"/>
          <w:i/>
        </w:rPr>
        <w:t>SHRM</w:t>
      </w:r>
      <w:r>
        <w:rPr>
          <w:rFonts w:ascii="Arial" w:eastAsia="Arial" w:hAnsi="Arial" w:cs="Arial"/>
        </w:rPr>
        <w:t xml:space="preserve">. [online]. Available at: </w:t>
      </w:r>
      <w:hyperlink r:id="rId22">
        <w:r>
          <w:rPr>
            <w:rFonts w:ascii="Arial" w:eastAsia="Arial" w:hAnsi="Arial" w:cs="Arial"/>
            <w:color w:val="1155CC"/>
            <w:u w:val="single"/>
          </w:rPr>
          <w:t>https://www.shrm.org/resourcesandtools/tools-and-samples/toolkits/pages/managingflexibleworkarrangements.aspx</w:t>
        </w:r>
      </w:hyperlink>
      <w:r>
        <w:rPr>
          <w:rFonts w:ascii="Arial" w:eastAsia="Arial" w:hAnsi="Arial" w:cs="Arial"/>
        </w:rPr>
        <w:t xml:space="preserve"> (Accessed: 12 November 2023).</w:t>
      </w:r>
      <w:r>
        <w:rPr>
          <w:rFonts w:ascii="Arial" w:eastAsia="Arial" w:hAnsi="Arial" w:cs="Arial"/>
          <w:sz w:val="24"/>
          <w:szCs w:val="24"/>
        </w:rPr>
        <w:br/>
      </w:r>
    </w:p>
    <w:p w14:paraId="6411CEE8"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br/>
      </w:r>
    </w:p>
    <w:p w14:paraId="6411CEE9"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t>‌</w:t>
      </w:r>
    </w:p>
    <w:p w14:paraId="6411CEEA" w14:textId="77777777" w:rsidR="00D81DF4" w:rsidRDefault="00000000">
      <w:pPr>
        <w:spacing w:after="200" w:line="360" w:lineRule="auto"/>
        <w:jc w:val="both"/>
        <w:rPr>
          <w:rFonts w:ascii="Arial" w:eastAsia="Arial" w:hAnsi="Arial" w:cs="Arial"/>
          <w:sz w:val="24"/>
          <w:szCs w:val="24"/>
        </w:rPr>
      </w:pPr>
      <w:r>
        <w:rPr>
          <w:rFonts w:ascii="Arial" w:eastAsia="Arial" w:hAnsi="Arial" w:cs="Arial"/>
          <w:sz w:val="24"/>
          <w:szCs w:val="24"/>
        </w:rPr>
        <w:lastRenderedPageBreak/>
        <w:br/>
      </w:r>
      <w:r>
        <w:rPr>
          <w:rFonts w:ascii="Arial" w:eastAsia="Arial" w:hAnsi="Arial" w:cs="Arial"/>
          <w:sz w:val="24"/>
          <w:szCs w:val="24"/>
        </w:rPr>
        <w:br/>
      </w:r>
    </w:p>
    <w:p w14:paraId="6411CEEB" w14:textId="77777777" w:rsidR="00D81DF4" w:rsidRDefault="00D81DF4">
      <w:pPr>
        <w:spacing w:after="200" w:line="360" w:lineRule="auto"/>
        <w:jc w:val="both"/>
        <w:rPr>
          <w:rFonts w:ascii="Arial" w:eastAsia="Arial" w:hAnsi="Arial" w:cs="Arial"/>
          <w:sz w:val="24"/>
          <w:szCs w:val="24"/>
        </w:rPr>
      </w:pPr>
    </w:p>
    <w:sectPr w:rsidR="00D81DF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C32F9"/>
    <w:multiLevelType w:val="multilevel"/>
    <w:tmpl w:val="8CE47B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39947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1DF4"/>
    <w:rsid w:val="0002356E"/>
    <w:rsid w:val="001B5024"/>
    <w:rsid w:val="00383C66"/>
    <w:rsid w:val="00480BDF"/>
    <w:rsid w:val="00892D5A"/>
    <w:rsid w:val="00922AD9"/>
    <w:rsid w:val="00956422"/>
    <w:rsid w:val="00AB7D76"/>
    <w:rsid w:val="00CF0AB3"/>
    <w:rsid w:val="00D04C9E"/>
    <w:rsid w:val="00D12494"/>
    <w:rsid w:val="00D81DF4"/>
    <w:rsid w:val="00F74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1CE83"/>
  <w15:docId w15:val="{57367CB1-9F37-4D56-801B-064B11EBC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link w:val="Heading3Char"/>
    <w:uiPriority w:val="9"/>
    <w:unhideWhenUsed/>
    <w:qFormat/>
    <w:rsid w:val="005128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semiHidden/>
    <w:unhideWhenUsed/>
    <w:qFormat/>
    <w:rsid w:val="0051283B"/>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next w:val="Normal"/>
    <w:link w:val="Heading5Char"/>
    <w:uiPriority w:val="9"/>
    <w:semiHidden/>
    <w:unhideWhenUsed/>
    <w:qFormat/>
    <w:rsid w:val="0051283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4Char">
    <w:name w:val="Heading 4 Char"/>
    <w:basedOn w:val="DefaultParagraphFont"/>
    <w:link w:val="Heading4"/>
    <w:uiPriority w:val="9"/>
    <w:rsid w:val="0051283B"/>
    <w:rPr>
      <w:rFonts w:ascii="Times New Roman" w:eastAsia="Times New Roman" w:hAnsi="Times New Roman" w:cs="Times New Roman"/>
      <w:b/>
      <w:bCs/>
      <w:sz w:val="24"/>
      <w:szCs w:val="24"/>
    </w:rPr>
  </w:style>
  <w:style w:type="paragraph" w:styleId="NormalWeb">
    <w:name w:val="Normal (Web)"/>
    <w:basedOn w:val="Normal"/>
    <w:uiPriority w:val="99"/>
    <w:unhideWhenUsed/>
    <w:rsid w:val="0051283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5Char">
    <w:name w:val="Heading 5 Char"/>
    <w:basedOn w:val="DefaultParagraphFont"/>
    <w:link w:val="Heading5"/>
    <w:uiPriority w:val="9"/>
    <w:semiHidden/>
    <w:rsid w:val="0051283B"/>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semiHidden/>
    <w:rsid w:val="0051283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C94CC0"/>
    <w:rPr>
      <w:color w:val="0563C1" w:themeColor="hyperlink"/>
      <w:u w:val="single"/>
    </w:rPr>
  </w:style>
  <w:style w:type="character" w:styleId="UnresolvedMention">
    <w:name w:val="Unresolved Mention"/>
    <w:basedOn w:val="DefaultParagraphFont"/>
    <w:uiPriority w:val="99"/>
    <w:semiHidden/>
    <w:unhideWhenUsed/>
    <w:rsid w:val="00C94CC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hiring.monster.com/resources/workforce-management/employee-retention-strategies/how-to-manage-a-staffing-shortage" TargetMode="External"/><Relationship Id="rId13" Type="http://schemas.openxmlformats.org/officeDocument/2006/relationships/hyperlink" Target="https://www.weforum.org/press/2023/06/world-economic-forum-report-highlights-retirement-trends-as-life-expectancy-increases" TargetMode="External"/><Relationship Id="rId18" Type="http://schemas.openxmlformats.org/officeDocument/2006/relationships/hyperlink" Target="https://www.cwauthors.com/article/how-to-refer-to-other-studies-or-literature-in-the-different-sections-of-a-research-paper" TargetMode="External"/><Relationship Id="rId3" Type="http://schemas.openxmlformats.org/officeDocument/2006/relationships/styles" Target="styles.xml"/><Relationship Id="rId21" Type="http://schemas.openxmlformats.org/officeDocument/2006/relationships/hyperlink" Target="https://www.elibrary.imf.org/display/book/9781451965476/9781451965476.xml" TargetMode="External"/><Relationship Id="rId7" Type="http://schemas.openxmlformats.org/officeDocument/2006/relationships/hyperlink" Target="https://www.tutorialspoint.com/employee_retention/employee_retention_challenges.htm" TargetMode="External"/><Relationship Id="rId12" Type="http://schemas.openxmlformats.org/officeDocument/2006/relationships/hyperlink" Target="https://www.cabq.gov/office-of-neighborhood-coordination/news/application-components-evaluation-and-conclusion" TargetMode="External"/><Relationship Id="rId17" Type="http://schemas.openxmlformats.org/officeDocument/2006/relationships/hyperlink" Target="https://www.differencebetween.com/difference-between-evaluation-and-vs-conclusion" TargetMode="External"/><Relationship Id="rId2" Type="http://schemas.openxmlformats.org/officeDocument/2006/relationships/numbering" Target="numbering.xml"/><Relationship Id="rId16" Type="http://schemas.openxmlformats.org/officeDocument/2006/relationships/hyperlink" Target="https://www.wolterskluwer.com/en/expert-insights/essential-steps-for-succession-planning-and-a-smooth-retirement" TargetMode="External"/><Relationship Id="rId20" Type="http://schemas.openxmlformats.org/officeDocument/2006/relationships/hyperlink" Target="https://www.ibm.com/blog/four-reasons-you-need-automation-in-integration" TargetMode="External"/><Relationship Id="rId1" Type="http://schemas.openxmlformats.org/officeDocument/2006/relationships/customXml" Target="../customXml/item1.xml"/><Relationship Id="rId6" Type="http://schemas.openxmlformats.org/officeDocument/2006/relationships/hyperlink" Target="https://www.enago.com/academy/what-is-background-in-a-research-paper/" TargetMode="External"/><Relationship Id="rId11" Type="http://schemas.openxmlformats.org/officeDocument/2006/relationships/hyperlink" Target="https://www.investopedia.com/terms/b/brexit.asp"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deed.com/career-advice/career-development/what-is-technological-integration" TargetMode="External"/><Relationship Id="rId23" Type="http://schemas.openxmlformats.org/officeDocument/2006/relationships/fontTable" Target="fontTable.xml"/><Relationship Id="rId10" Type="http://schemas.openxmlformats.org/officeDocument/2006/relationships/hyperlink" Target="https://libguides.reading.ac.uk/literaturereview/developing" TargetMode="External"/><Relationship Id="rId19" Type="http://schemas.openxmlformats.org/officeDocument/2006/relationships/hyperlink" Target="https://www.tide.co/blog/business-tips/workplace-pension" TargetMode="External"/><Relationship Id="rId4" Type="http://schemas.openxmlformats.org/officeDocument/2006/relationships/settings" Target="settings.xml"/><Relationship Id="rId9" Type="http://schemas.openxmlformats.org/officeDocument/2006/relationships/hyperlink" Target="https://www.astanhotels.com/hotel-overview" TargetMode="External"/><Relationship Id="rId14" Type="http://schemas.openxmlformats.org/officeDocument/2006/relationships/hyperlink" Target="https://www.who.int/europe/emergencies/situations/covid-19" TargetMode="External"/><Relationship Id="rId22" Type="http://schemas.openxmlformats.org/officeDocument/2006/relationships/hyperlink" Target="https://www.shrm.org/resourcesandtools/tools-and-samples/toolkits/pages/managingflexibleworkarrangement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83ZvtL9TYCHOKajrJn1Stjz+azw==">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3492</Words>
  <Characters>19911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Khaleda Hayder</dc:creator>
  <cp:lastModifiedBy>khaleda hayder</cp:lastModifiedBy>
  <cp:revision>2</cp:revision>
  <dcterms:created xsi:type="dcterms:W3CDTF">2023-11-13T19:44:00Z</dcterms:created>
  <dcterms:modified xsi:type="dcterms:W3CDTF">2023-11-13T19:44:00Z</dcterms:modified>
</cp:coreProperties>
</file>