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37536350"/>
        <w:docPartObj>
          <w:docPartGallery w:val="Cover Pages"/>
          <w:docPartUnique/>
        </w:docPartObj>
      </w:sdtPr>
      <w:sdtEndPr/>
      <w:sdtContent>
        <w:p w14:paraId="5B6AA7E7" w14:textId="77777777" w:rsidR="00DD7167" w:rsidRDefault="00DD7167">
          <w:r>
            <w:rPr>
              <w:noProof/>
              <w:lang w:eastAsia="en-GB"/>
            </w:rPr>
            <mc:AlternateContent>
              <mc:Choice Requires="wpg">
                <w:drawing>
                  <wp:anchor distT="0" distB="0" distL="114300" distR="114300" simplePos="0" relativeHeight="251662336" behindDoc="0" locked="0" layoutInCell="1" allowOverlap="1" wp14:anchorId="41B1B552" wp14:editId="5985D8B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819524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7ED7BAB8" wp14:editId="352327A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757B494" w14:textId="2E247A94" w:rsidR="00DD7167" w:rsidRDefault="00AB06E1">
                                    <w:pPr>
                                      <w:pStyle w:val="NoSpacing"/>
                                      <w:jc w:val="right"/>
                                      <w:rPr>
                                        <w:color w:val="595959" w:themeColor="text1" w:themeTint="A6"/>
                                        <w:sz w:val="28"/>
                                        <w:szCs w:val="28"/>
                                      </w:rPr>
                                    </w:pPr>
                                    <w:r>
                                      <w:rPr>
                                        <w:color w:val="595959" w:themeColor="text1" w:themeTint="A6"/>
                                        <w:sz w:val="28"/>
                                        <w:szCs w:val="28"/>
                                      </w:rPr>
                                      <w:t>Thomas Burbidge (P144096)</w:t>
                                    </w:r>
                                  </w:p>
                                </w:sdtContent>
                              </w:sdt>
                              <w:p w14:paraId="3AB75713" w14:textId="77777777" w:rsidR="00DD7167" w:rsidRDefault="001465E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D7167">
                                      <w:rPr>
                                        <w:color w:val="595959" w:themeColor="text1" w:themeTint="A6"/>
                                        <w:sz w:val="18"/>
                                        <w:szCs w:val="18"/>
                                      </w:rPr>
                                      <w:t>P144096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ED7BAB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757B494" w14:textId="2E247A94" w:rsidR="00DD7167" w:rsidRDefault="00AB06E1">
                              <w:pPr>
                                <w:pStyle w:val="NoSpacing"/>
                                <w:jc w:val="right"/>
                                <w:rPr>
                                  <w:color w:val="595959" w:themeColor="text1" w:themeTint="A6"/>
                                  <w:sz w:val="28"/>
                                  <w:szCs w:val="28"/>
                                </w:rPr>
                              </w:pPr>
                              <w:r>
                                <w:rPr>
                                  <w:color w:val="595959" w:themeColor="text1" w:themeTint="A6"/>
                                  <w:sz w:val="28"/>
                                  <w:szCs w:val="28"/>
                                </w:rPr>
                                <w:t>Thomas Burbidge (P144096)</w:t>
                              </w:r>
                            </w:p>
                          </w:sdtContent>
                        </w:sdt>
                        <w:p w14:paraId="3AB75713" w14:textId="77777777" w:rsidR="00DD7167" w:rsidRDefault="001465E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D7167">
                                <w:rPr>
                                  <w:color w:val="595959" w:themeColor="text1" w:themeTint="A6"/>
                                  <w:sz w:val="18"/>
                                  <w:szCs w:val="18"/>
                                </w:rPr>
                                <w:t>P144096</w:t>
                              </w:r>
                            </w:sdtContent>
                          </w:sdt>
                        </w:p>
                      </w:txbxContent>
                    </v:textbox>
                    <w10:wrap type="square" anchorx="page" anchory="page"/>
                  </v:shape>
                </w:pict>
              </mc:Fallback>
            </mc:AlternateContent>
          </w:r>
        </w:p>
        <w:p w14:paraId="25B839C3" w14:textId="77777777" w:rsidR="00DD7167" w:rsidRDefault="00DD7167">
          <w:r>
            <w:rPr>
              <w:noProof/>
              <w:lang w:eastAsia="en-GB"/>
            </w:rPr>
            <mc:AlternateContent>
              <mc:Choice Requires="wps">
                <w:drawing>
                  <wp:anchor distT="0" distB="0" distL="114300" distR="114300" simplePos="0" relativeHeight="251661312" behindDoc="0" locked="0" layoutInCell="1" allowOverlap="1" wp14:anchorId="20B5AAA8" wp14:editId="7460B935">
                    <wp:simplePos x="0" y="0"/>
                    <wp:positionH relativeFrom="page">
                      <wp:posOffset>222885</wp:posOffset>
                    </wp:positionH>
                    <wp:positionV relativeFrom="page">
                      <wp:posOffset>7008495</wp:posOffset>
                    </wp:positionV>
                    <wp:extent cx="7315200" cy="1009650"/>
                    <wp:effectExtent l="0" t="0" r="0" b="63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04040" w:themeColor="text1" w:themeTint="BF"/>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2912289" w14:textId="77777777" w:rsidR="00DD7167" w:rsidRPr="00DD7167" w:rsidRDefault="00DD7167">
                                    <w:pPr>
                                      <w:pStyle w:val="NoSpacing"/>
                                      <w:jc w:val="right"/>
                                      <w:rPr>
                                        <w:color w:val="595959" w:themeColor="text1" w:themeTint="A6"/>
                                        <w:sz w:val="20"/>
                                        <w:szCs w:val="20"/>
                                      </w:rPr>
                                    </w:pPr>
                                    <w:r w:rsidRPr="00DD7167">
                                      <w:rPr>
                                        <w:color w:val="404040" w:themeColor="text1" w:themeTint="BF"/>
                                        <w:sz w:val="36"/>
                                        <w:szCs w:val="36"/>
                                      </w:rPr>
                                      <w:t xml:space="preserve">M5X01878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0B5AAA8" id="Text Box 153" o:spid="_x0000_s1027" type="#_x0000_t202" style="position:absolute;margin-left:17.55pt;margin-top:551.8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" filled="f" stroked="f" strokeweight=".5pt">
                    <v:textbox style="mso-fit-shape-to-text:t" inset="126pt,0,54pt,0">
                      <w:txbxContent>
                        <w:sdt>
                          <w:sdtPr>
                            <w:rPr>
                              <w:color w:val="404040" w:themeColor="text1" w:themeTint="BF"/>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2912289" w14:textId="77777777" w:rsidR="00DD7167" w:rsidRPr="00DD7167" w:rsidRDefault="00DD7167">
                              <w:pPr>
                                <w:pStyle w:val="NoSpacing"/>
                                <w:jc w:val="right"/>
                                <w:rPr>
                                  <w:color w:val="595959" w:themeColor="text1" w:themeTint="A6"/>
                                  <w:sz w:val="20"/>
                                  <w:szCs w:val="20"/>
                                </w:rPr>
                              </w:pPr>
                              <w:r w:rsidRPr="00DD7167">
                                <w:rPr>
                                  <w:color w:val="404040" w:themeColor="text1" w:themeTint="BF"/>
                                  <w:sz w:val="36"/>
                                  <w:szCs w:val="36"/>
                                </w:rPr>
                                <w:t xml:space="preserve">M5X01878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DAE1FB7" wp14:editId="5C0373E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9528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952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180224" w14:textId="77777777" w:rsidR="00DD7167" w:rsidRDefault="001465E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D7167" w:rsidRPr="00DD7167">
                                      <w:rPr>
                                        <w:caps/>
                                        <w:color w:val="4472C4" w:themeColor="accent1"/>
                                        <w:sz w:val="64"/>
                                        <w:szCs w:val="64"/>
                                      </w:rPr>
                                      <w:t>Administration within contracts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D16CB22" w14:textId="77777777" w:rsidR="00DD7167" w:rsidRDefault="00156418">
                                    <w:pPr>
                                      <w:jc w:val="right"/>
                                      <w:rPr>
                                        <w:smallCaps/>
                                        <w:color w:val="404040" w:themeColor="text1" w:themeTint="BF"/>
                                        <w:sz w:val="36"/>
                                        <w:szCs w:val="36"/>
                                      </w:rPr>
                                    </w:pPr>
                                    <w:r>
                                      <w:rPr>
                                        <w:color w:val="404040" w:themeColor="text1" w:themeTint="BF"/>
                                        <w:sz w:val="36"/>
                                        <w:szCs w:val="36"/>
                                      </w:rPr>
                                      <w:t>Contract Practice &amp; Procedures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DAE1FB7" id="Text Box 154" o:spid="_x0000_s1028" type="#_x0000_t202" style="position:absolute;margin-left:0;margin-top:0;width:8in;height:311.2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" filled="f" stroked="f" strokeweight=".5pt">
                    <v:textbox inset="126pt,0,54pt,0">
                      <w:txbxContent>
                        <w:p w14:paraId="0D180224" w14:textId="77777777" w:rsidR="00DD7167" w:rsidRDefault="001465E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D7167" w:rsidRPr="00DD7167">
                                <w:rPr>
                                  <w:caps/>
                                  <w:color w:val="4472C4" w:themeColor="accent1"/>
                                  <w:sz w:val="64"/>
                                  <w:szCs w:val="64"/>
                                </w:rPr>
                                <w:t>Administration within contracts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D16CB22" w14:textId="77777777" w:rsidR="00DD7167" w:rsidRDefault="00156418">
                              <w:pPr>
                                <w:jc w:val="right"/>
                                <w:rPr>
                                  <w:smallCaps/>
                                  <w:color w:val="404040" w:themeColor="text1" w:themeTint="BF"/>
                                  <w:sz w:val="36"/>
                                  <w:szCs w:val="36"/>
                                </w:rPr>
                              </w:pPr>
                              <w:r>
                                <w:rPr>
                                  <w:color w:val="404040" w:themeColor="text1" w:themeTint="BF"/>
                                  <w:sz w:val="36"/>
                                  <w:szCs w:val="36"/>
                                </w:rPr>
                                <w:t>Contract Practice &amp; Procedures</w:t>
                              </w:r>
                            </w:p>
                          </w:sdtContent>
                        </w:sdt>
                      </w:txbxContent>
                    </v:textbox>
                    <w10:wrap type="square" anchorx="page" anchory="page"/>
                  </v:shape>
                </w:pict>
              </mc:Fallback>
            </mc:AlternateContent>
          </w:r>
          <w:r>
            <w:br w:type="page"/>
          </w:r>
        </w:p>
      </w:sdtContent>
    </w:sdt>
    <w:p w14:paraId="278CB672" w14:textId="77777777" w:rsidR="00320D67" w:rsidRDefault="00DD7167">
      <w:pPr>
        <w:rPr>
          <w:u w:val="single"/>
        </w:rPr>
      </w:pPr>
      <w:r>
        <w:rPr>
          <w:u w:val="single"/>
        </w:rPr>
        <w:lastRenderedPageBreak/>
        <w:t xml:space="preserve">0.2 </w:t>
      </w:r>
      <w:r w:rsidRPr="00DD7167">
        <w:rPr>
          <w:u w:val="single"/>
        </w:rPr>
        <w:t xml:space="preserve">Contents </w:t>
      </w:r>
    </w:p>
    <w:p w14:paraId="5C400DA0" w14:textId="454EB2E0" w:rsidR="00DD7167" w:rsidRDefault="00DD7167">
      <w:r>
        <w:t>0.1</w:t>
      </w:r>
      <w:r>
        <w:tab/>
        <w:t xml:space="preserve"> </w:t>
      </w:r>
      <w:r>
        <w:tab/>
        <w:t>Cover Page</w:t>
      </w:r>
      <w:r>
        <w:tab/>
        <w:t xml:space="preserve"> </w:t>
      </w:r>
      <w:r>
        <w:tab/>
      </w:r>
      <w:r>
        <w:tab/>
      </w:r>
      <w:r w:rsidR="00A63B60">
        <w:tab/>
      </w:r>
      <w:r w:rsidR="00A63B60">
        <w:tab/>
      </w:r>
      <w:r w:rsidR="00A63B60">
        <w:tab/>
      </w:r>
      <w:r w:rsidR="00A63B60">
        <w:tab/>
      </w:r>
      <w:r>
        <w:t>Page 1</w:t>
      </w:r>
    </w:p>
    <w:p w14:paraId="2057A7A4" w14:textId="41EE375B" w:rsidR="00DD7167" w:rsidRDefault="00DD7167">
      <w:r>
        <w:t xml:space="preserve">0.2 </w:t>
      </w:r>
      <w:r>
        <w:tab/>
      </w:r>
      <w:r>
        <w:tab/>
        <w:t xml:space="preserve">Contents Page </w:t>
      </w:r>
      <w:r>
        <w:tab/>
      </w:r>
      <w:r>
        <w:tab/>
      </w:r>
      <w:r>
        <w:tab/>
      </w:r>
      <w:r w:rsidR="00A63B60">
        <w:tab/>
      </w:r>
      <w:r w:rsidR="00A63B60">
        <w:tab/>
      </w:r>
      <w:r w:rsidR="00A63B60">
        <w:tab/>
      </w:r>
      <w:r w:rsidR="00A63B60">
        <w:tab/>
      </w:r>
      <w:r>
        <w:t>Page 2</w:t>
      </w:r>
    </w:p>
    <w:p w14:paraId="5DC7035C" w14:textId="64D38385" w:rsidR="00DD7167" w:rsidRDefault="00DD7167">
      <w:r>
        <w:t>1.0</w:t>
      </w:r>
      <w:r>
        <w:tab/>
      </w:r>
      <w:r>
        <w:tab/>
        <w:t>Introduction</w:t>
      </w:r>
      <w:r>
        <w:tab/>
      </w:r>
      <w:r>
        <w:tab/>
      </w:r>
      <w:r>
        <w:tab/>
      </w:r>
      <w:r w:rsidR="00A63B60">
        <w:tab/>
      </w:r>
      <w:r w:rsidR="00A63B60">
        <w:tab/>
      </w:r>
      <w:r w:rsidR="00A63B60">
        <w:tab/>
      </w:r>
      <w:r w:rsidR="00A63B60">
        <w:tab/>
      </w:r>
      <w:r>
        <w:t>Page 3</w:t>
      </w:r>
    </w:p>
    <w:p w14:paraId="77162283" w14:textId="47E30CC8" w:rsidR="00A63B60" w:rsidRDefault="00A63B60">
      <w:r>
        <w:t>2.0</w:t>
      </w:r>
      <w:r>
        <w:tab/>
      </w:r>
      <w:r>
        <w:tab/>
        <w:t>Early Warnings</w:t>
      </w:r>
      <w:r>
        <w:tab/>
      </w:r>
      <w:r>
        <w:tab/>
      </w:r>
      <w:r>
        <w:tab/>
      </w:r>
      <w:r>
        <w:tab/>
      </w:r>
      <w:r>
        <w:tab/>
      </w:r>
      <w:r>
        <w:tab/>
      </w:r>
      <w:r>
        <w:tab/>
        <w:t>Page 3</w:t>
      </w:r>
    </w:p>
    <w:p w14:paraId="0D427793" w14:textId="612B5D63" w:rsidR="00A63B60" w:rsidRDefault="00A63B60" w:rsidP="00A63B60">
      <w:r w:rsidRPr="00A63B60">
        <w:t xml:space="preserve">2.1 </w:t>
      </w:r>
      <w:r w:rsidRPr="00A63B60">
        <w:tab/>
      </w:r>
      <w:r w:rsidRPr="00A63B60">
        <w:tab/>
      </w:r>
      <w:r w:rsidRPr="00A63B60">
        <w:t xml:space="preserve">Compensation events and Project manager’s instructions </w:t>
      </w:r>
      <w:r w:rsidRPr="00A63B60">
        <w:tab/>
        <w:t>Page 3</w:t>
      </w:r>
    </w:p>
    <w:p w14:paraId="57AA8AEF" w14:textId="0E50BD70" w:rsidR="00A63B60" w:rsidRPr="00A63B60" w:rsidRDefault="00A63B60" w:rsidP="00A63B60">
      <w:r>
        <w:t xml:space="preserve">3.0 </w:t>
      </w:r>
      <w:r>
        <w:tab/>
      </w:r>
      <w:r>
        <w:tab/>
        <w:t xml:space="preserve">References </w:t>
      </w:r>
      <w:r>
        <w:tab/>
      </w:r>
      <w:r>
        <w:tab/>
      </w:r>
      <w:r>
        <w:tab/>
      </w:r>
      <w:r>
        <w:tab/>
      </w:r>
      <w:r>
        <w:tab/>
      </w:r>
      <w:r>
        <w:tab/>
      </w:r>
      <w:r>
        <w:tab/>
        <w:t>Page 5</w:t>
      </w:r>
    </w:p>
    <w:p w14:paraId="36D8D6E2" w14:textId="77777777" w:rsidR="00DD7167" w:rsidRDefault="00DD7167"/>
    <w:p w14:paraId="37B87C9C" w14:textId="77777777" w:rsidR="00DD7167" w:rsidRDefault="00DD7167"/>
    <w:p w14:paraId="3B9144B7" w14:textId="77777777" w:rsidR="00DD7167" w:rsidRDefault="00DD7167"/>
    <w:p w14:paraId="4F05E45D" w14:textId="77777777" w:rsidR="00DD7167" w:rsidRDefault="00DD7167"/>
    <w:p w14:paraId="3016B35B" w14:textId="77777777" w:rsidR="00DD7167" w:rsidRDefault="00DD7167"/>
    <w:p w14:paraId="71EB6F4A" w14:textId="77777777" w:rsidR="00DD7167" w:rsidRDefault="00DD7167"/>
    <w:p w14:paraId="701963CA" w14:textId="77777777" w:rsidR="00DD7167" w:rsidRDefault="00DD7167"/>
    <w:p w14:paraId="19162A9B" w14:textId="77777777" w:rsidR="00DD7167" w:rsidRDefault="00DD7167"/>
    <w:p w14:paraId="026D3748" w14:textId="77777777" w:rsidR="00DD7167" w:rsidRDefault="00DD7167"/>
    <w:p w14:paraId="32EE76C3" w14:textId="77777777" w:rsidR="00DD7167" w:rsidRDefault="00DD7167"/>
    <w:p w14:paraId="014ED3C3" w14:textId="77777777" w:rsidR="00DD7167" w:rsidRDefault="00DD7167"/>
    <w:p w14:paraId="481E9DCE" w14:textId="77777777" w:rsidR="00DD7167" w:rsidRDefault="00DD7167"/>
    <w:p w14:paraId="5998C9FE" w14:textId="77777777" w:rsidR="00DD7167" w:rsidRDefault="00DD7167"/>
    <w:p w14:paraId="5589F8A1" w14:textId="77777777" w:rsidR="00DD7167" w:rsidRDefault="00DD7167"/>
    <w:p w14:paraId="29140CC9" w14:textId="77777777" w:rsidR="00DD7167" w:rsidRDefault="00DD7167"/>
    <w:p w14:paraId="013B3BC3" w14:textId="77777777" w:rsidR="00DD7167" w:rsidRDefault="00DD7167"/>
    <w:p w14:paraId="587058EB" w14:textId="77777777" w:rsidR="00DD7167" w:rsidRDefault="00DD7167"/>
    <w:p w14:paraId="6910083C" w14:textId="77777777" w:rsidR="00DD7167" w:rsidRDefault="00DD7167"/>
    <w:p w14:paraId="2718DB70" w14:textId="77777777" w:rsidR="00DD7167" w:rsidRDefault="00DD7167"/>
    <w:p w14:paraId="7FA711E7" w14:textId="77777777" w:rsidR="00DD7167" w:rsidRDefault="00DD7167"/>
    <w:p w14:paraId="4766D04A" w14:textId="77777777" w:rsidR="00DD7167" w:rsidRDefault="00DD7167"/>
    <w:p w14:paraId="4E518D02" w14:textId="77777777" w:rsidR="00DD7167" w:rsidRDefault="00DD7167"/>
    <w:p w14:paraId="299B75AC" w14:textId="77777777" w:rsidR="00DD7167" w:rsidRDefault="00DD7167"/>
    <w:p w14:paraId="1198D902" w14:textId="0868CB9B" w:rsidR="00DD7167" w:rsidRPr="00DD7167" w:rsidRDefault="00DD7167">
      <w:pPr>
        <w:rPr>
          <w:u w:val="single"/>
        </w:rPr>
      </w:pPr>
    </w:p>
    <w:p w14:paraId="2FC9E384" w14:textId="73C3BF4A" w:rsidR="00DD7167" w:rsidRPr="0059490D" w:rsidRDefault="00F5501F">
      <w:pPr>
        <w:rPr>
          <w:b/>
          <w:u w:val="single"/>
        </w:rPr>
      </w:pPr>
      <w:r w:rsidRPr="0059490D">
        <w:rPr>
          <w:b/>
          <w:u w:val="single"/>
        </w:rPr>
        <w:t xml:space="preserve">1.0 </w:t>
      </w:r>
      <w:r w:rsidR="00DD7167" w:rsidRPr="0059490D">
        <w:rPr>
          <w:b/>
          <w:u w:val="single"/>
        </w:rPr>
        <w:t>Introduction</w:t>
      </w:r>
      <w:r w:rsidR="004814EE" w:rsidRPr="0059490D">
        <w:rPr>
          <w:b/>
          <w:u w:val="single"/>
        </w:rPr>
        <w:t xml:space="preserve"> and Issue </w:t>
      </w:r>
    </w:p>
    <w:p w14:paraId="6F2A04DC" w14:textId="77777777" w:rsidR="004814EE" w:rsidRDefault="004814EE" w:rsidP="004814EE">
      <w:pPr>
        <w:jc w:val="center"/>
      </w:pPr>
      <w:r>
        <w:rPr>
          <w:i/>
        </w:rPr>
        <w:t>“</w:t>
      </w:r>
      <w:r w:rsidR="00DD7167" w:rsidRPr="004814EE">
        <w:rPr>
          <w:i/>
        </w:rPr>
        <w:t>There is a significant variation within the contract that impacts on the delivery timeframe of the project and cost</w:t>
      </w:r>
      <w:r>
        <w:rPr>
          <w:i/>
        </w:rPr>
        <w:t>”</w:t>
      </w:r>
    </w:p>
    <w:p w14:paraId="137ADC59" w14:textId="2DF11D7D" w:rsidR="00DD7167" w:rsidRDefault="004814EE">
      <w:r>
        <w:t>Variations happen on most if not all construction sites they can come in many different forms, from an addition, substitution or omission from the original scope of works that was part of the tender package. These could be because of a design change, statutory changes or enforcement, specific materials being unavailable or no longer needed, or a change in the</w:t>
      </w:r>
      <w:r w:rsidR="00156418">
        <w:t xml:space="preserve"> quantity or</w:t>
      </w:r>
      <w:r>
        <w:t xml:space="preserve"> sequence of works on site</w:t>
      </w:r>
      <w:r w:rsidR="00156418">
        <w:t>.</w:t>
      </w:r>
    </w:p>
    <w:p w14:paraId="1604FEB5" w14:textId="1ECF24EC" w:rsidR="004B64BD" w:rsidRPr="0059490D" w:rsidRDefault="004B64BD">
      <w:pPr>
        <w:rPr>
          <w:b/>
          <w:u w:val="single"/>
        </w:rPr>
      </w:pPr>
      <w:r w:rsidRPr="0059490D">
        <w:rPr>
          <w:b/>
          <w:u w:val="single"/>
        </w:rPr>
        <w:t xml:space="preserve">2.0 </w:t>
      </w:r>
      <w:r w:rsidR="00C909D7" w:rsidRPr="0059490D">
        <w:rPr>
          <w:b/>
          <w:u w:val="single"/>
        </w:rPr>
        <w:t>Early Warnings</w:t>
      </w:r>
    </w:p>
    <w:p w14:paraId="74E63D0C" w14:textId="123F3488" w:rsidR="00493902" w:rsidRDefault="00493902">
      <w:r>
        <w:t>Under NEC contracts, one of the main advantages seen by many is the Early warning system that is in place for contractors and clients to use in order to raise any issues as soon as they become aware of the issue. Early warnings system is simple but crucial in the success of an NEC contract and facilitates the ‘</w:t>
      </w:r>
      <w:r>
        <w:rPr>
          <w:i/>
        </w:rPr>
        <w:t xml:space="preserve">Spirit of mutual trust and cooperation’ </w:t>
      </w:r>
      <w:r>
        <w:t xml:space="preserve">under clause 10.1. Early warnings come into place when there is a possibility for the increase in total price, delay in completion / key date etc. (clause 16.1) this is a </w:t>
      </w:r>
      <w:r w:rsidR="004B64BD">
        <w:t>two-way</w:t>
      </w:r>
      <w:r>
        <w:t xml:space="preserve"> communication between the Clients </w:t>
      </w:r>
      <w:r w:rsidR="00D0399C">
        <w:t>Project Manager (</w:t>
      </w:r>
      <w:r>
        <w:t>PM</w:t>
      </w:r>
      <w:r w:rsidR="00D0399C">
        <w:t>)</w:t>
      </w:r>
      <w:r>
        <w:t xml:space="preserve"> and the </w:t>
      </w:r>
      <w:r w:rsidR="00AB06E1">
        <w:t>contractor on site.</w:t>
      </w:r>
    </w:p>
    <w:p w14:paraId="48B5BEFD" w14:textId="6F796BE4" w:rsidR="004B64BD" w:rsidRDefault="004B64BD">
      <w:r>
        <w:t>Early warnings do not constitute a notification for a compensation event. This requires separate notification (project managers instruction – PMI)  and both the clients PM and the contractor are under an obligation to notify one another</w:t>
      </w:r>
      <w:r w:rsidR="00A02397">
        <w:t xml:space="preserve"> under clauses: </w:t>
      </w:r>
      <w:r>
        <w:t>61.1 – for CE which arises from the clients PM giving an instruction or changing an earlier decision the PM will notify the contractor that it is a CE and require the contractor to submit quotations, and clause 61.3 which the contractor must notify the PM of an event which has happened or expects to happen as a CE if the contractor believes it is a CE and the clients PM has not notifies the event to the contractor.</w:t>
      </w:r>
    </w:p>
    <w:p w14:paraId="6B71FB52" w14:textId="77777777" w:rsidR="00D0399C" w:rsidRDefault="00050341">
      <w:r>
        <w:t>Contractors should be aware that t</w:t>
      </w:r>
      <w:r w:rsidR="00A02397">
        <w:t xml:space="preserve">here are clauses within the NEC which are aimed at eliminating the contractor purposely missing to notify an early warning to the clients PM </w:t>
      </w:r>
      <w:r>
        <w:t>for</w:t>
      </w:r>
      <w:r w:rsidR="00A02397">
        <w:t xml:space="preserve"> the contractor </w:t>
      </w:r>
      <w:r w:rsidR="00C909D7">
        <w:t xml:space="preserve">to benefit from its breach </w:t>
      </w:r>
      <w:r>
        <w:t>claus</w:t>
      </w:r>
      <w:r w:rsidR="00C909D7">
        <w:t xml:space="preserve">e 63.5 and clause 16.1. </w:t>
      </w:r>
    </w:p>
    <w:p w14:paraId="675D3548" w14:textId="12130B5D" w:rsidR="00493902" w:rsidRDefault="00D0399C">
      <w:r>
        <w:t xml:space="preserve">Clause 63.5 &amp; 16.1 </w:t>
      </w:r>
      <w:r w:rsidR="00C909D7">
        <w:t>In practise</w:t>
      </w:r>
      <w:r>
        <w:t>, if</w:t>
      </w:r>
      <w:r w:rsidR="00C909D7">
        <w:t xml:space="preserve"> the contractor decides not to warn the clients PM of an event which could affect the projects delivery time and cost, (such as the contractor decides not to notify the clients PM as the contractor does not wish to worry the employer.) </w:t>
      </w:r>
      <w:r>
        <w:t>then the</w:t>
      </w:r>
      <w:r w:rsidR="00C909D7">
        <w:t xml:space="preserve"> contractor</w:t>
      </w:r>
      <w:r>
        <w:t xml:space="preserve"> takes it upon itself to either make an assumption and compete the work or carry on with the works and ignore these two clauses, although the contractor would still be entitled to a CE it would be valued at the same cost as if an early warning had been notified. This valuation could be significantly less than the cost occurred to rectify this mistake.</w:t>
      </w:r>
      <w:r w:rsidR="00A63B60">
        <w:t xml:space="preserve"> Once an early warning has been issued the project team (client PM included) can have a risk reduction meeting and attempt to manage the issue raised in the best possible way.</w:t>
      </w:r>
    </w:p>
    <w:p w14:paraId="1A927511" w14:textId="553573C4" w:rsidR="00156418" w:rsidRPr="0059490D" w:rsidRDefault="00050341">
      <w:pPr>
        <w:rPr>
          <w:b/>
          <w:u w:val="single"/>
        </w:rPr>
      </w:pPr>
      <w:r w:rsidRPr="0059490D">
        <w:rPr>
          <w:b/>
          <w:u w:val="single"/>
        </w:rPr>
        <w:t xml:space="preserve">2.1 Compensation events and Project </w:t>
      </w:r>
      <w:r w:rsidR="00C909D7" w:rsidRPr="0059490D">
        <w:rPr>
          <w:b/>
          <w:u w:val="single"/>
        </w:rPr>
        <w:t>manager’s</w:t>
      </w:r>
      <w:r w:rsidRPr="0059490D">
        <w:rPr>
          <w:b/>
          <w:u w:val="single"/>
        </w:rPr>
        <w:t xml:space="preserve"> instructions </w:t>
      </w:r>
    </w:p>
    <w:p w14:paraId="076B99A4" w14:textId="673796E9" w:rsidR="00B8236D" w:rsidRDefault="00156418">
      <w:r>
        <w:t>Once a variation has been identified, (be it a change in design/material used etc) under NEC</w:t>
      </w:r>
      <w:r w:rsidR="001F0DCC">
        <w:t xml:space="preserve"> clause 61.1</w:t>
      </w:r>
      <w:r>
        <w:t xml:space="preserve"> a Project Managers Instruction (PMI) should be issued to the </w:t>
      </w:r>
      <w:r w:rsidR="00D0399C">
        <w:t>contractors PM.</w:t>
      </w:r>
      <w:r w:rsidR="00B8236D">
        <w:t xml:space="preserve"> within this PMI it </w:t>
      </w:r>
      <w:r w:rsidR="00B8236D">
        <w:lastRenderedPageBreak/>
        <w:t>would state that the PMI is a compensation event (CE) and for the contra</w:t>
      </w:r>
      <w:r w:rsidR="00D0399C">
        <w:t>ctor to issue a quote for the works outlined in the PMI.</w:t>
      </w:r>
    </w:p>
    <w:p w14:paraId="7EE96FFD" w14:textId="0986EDA4" w:rsidR="00156418" w:rsidRDefault="00B8236D">
      <w:r>
        <w:t xml:space="preserve">If there has been a defect within the design of a project or any similar defect, a contractor would issue a Request </w:t>
      </w:r>
      <w:proofErr w:type="gramStart"/>
      <w:r>
        <w:t>For</w:t>
      </w:r>
      <w:proofErr w:type="gramEnd"/>
      <w:r>
        <w:t xml:space="preserve"> Information (RFI), the RFI would state the issue the contractor has become aware of</w:t>
      </w:r>
      <w:r w:rsidR="00D0399C">
        <w:t>,</w:t>
      </w:r>
      <w:r>
        <w:t xml:space="preserve"> and ask for further information with regards to finding a solution to the problem within the RFI. This would get sent to the clients PM who in turn would pass the information </w:t>
      </w:r>
      <w:r w:rsidR="00156418">
        <w:t>to the client or principal designer</w:t>
      </w:r>
      <w:r>
        <w:t>s</w:t>
      </w:r>
      <w:r w:rsidR="00156418">
        <w:t xml:space="preserve"> relevant departments to ensure</w:t>
      </w:r>
      <w:r>
        <w:t xml:space="preserve"> that a solution is found, that it</w:t>
      </w:r>
      <w:r w:rsidR="00156418">
        <w:t xml:space="preserve"> complies with the relevant standards</w:t>
      </w:r>
      <w:r>
        <w:t xml:space="preserve"> for the works on site and for the change to be incorporated into the design.</w:t>
      </w:r>
    </w:p>
    <w:p w14:paraId="275EA4CA" w14:textId="77777777" w:rsidR="00D0399C" w:rsidRDefault="00D0399C" w:rsidP="00441E74">
      <w:r>
        <w:t>If t</w:t>
      </w:r>
      <w:r w:rsidR="001B255F">
        <w:t xml:space="preserve">he contractor </w:t>
      </w:r>
      <w:r>
        <w:t xml:space="preserve">becomes aware of an event which would fall under a CE, the contractor would </w:t>
      </w:r>
      <w:r w:rsidR="00532B77">
        <w:t>8 weeks under clause 61.3</w:t>
      </w:r>
      <w:r>
        <w:t xml:space="preserve"> to issue a CE valuation to the clients PM</w:t>
      </w:r>
      <w:r w:rsidR="001B255F">
        <w:t>. The variation work would then be priced for the work to achieve the variation and any possibly associated costs resulting from the variation such as impacts on previously programmed works or possibly the final completion date.</w:t>
      </w:r>
    </w:p>
    <w:p w14:paraId="134ABF65" w14:textId="77777777" w:rsidR="00D0399C" w:rsidRDefault="001B255F" w:rsidP="00441E74">
      <w:r>
        <w:t xml:space="preserve"> The Variation would be valued by either</w:t>
      </w:r>
      <w:r w:rsidR="00D0399C">
        <w:t>;</w:t>
      </w:r>
      <w:r>
        <w:t xml:space="preserve"> </w:t>
      </w:r>
      <w:r w:rsidR="00532B77">
        <w:t>an</w:t>
      </w:r>
      <w:r>
        <w:t xml:space="preserve"> agreement be</w:t>
      </w:r>
      <w:r w:rsidR="00D0399C">
        <w:t>tween the contractor and client /</w:t>
      </w:r>
      <w:r>
        <w:t xml:space="preserve"> </w:t>
      </w:r>
      <w:r w:rsidR="00441E74">
        <w:t xml:space="preserve">the cost consultant or a variation quotation provided by the contractor to the client (this would be based </w:t>
      </w:r>
      <w:r w:rsidR="001F0DCC">
        <w:t>off</w:t>
      </w:r>
      <w:r w:rsidR="00441E74">
        <w:t xml:space="preserve"> the rates and prices submitted in the tender package provided the work is of similar nature and carried out in similar conditions</w:t>
      </w:r>
      <w:r w:rsidR="00915D29">
        <w:t>)</w:t>
      </w:r>
      <w:r w:rsidR="00441E74">
        <w:t>.</w:t>
      </w:r>
      <w:r w:rsidR="00532B77">
        <w:t xml:space="preserve"> </w:t>
      </w:r>
    </w:p>
    <w:p w14:paraId="3522ECCD" w14:textId="7ED1867D" w:rsidR="00915D29" w:rsidRDefault="00532B77" w:rsidP="00441E74">
      <w:r>
        <w:t>The client</w:t>
      </w:r>
      <w:r w:rsidR="001F0DCC">
        <w:t>s PM</w:t>
      </w:r>
      <w:r>
        <w:t xml:space="preserve"> then must either accept or challenge the quotation if their cost consultants feel the quote is incorrect or unfair</w:t>
      </w:r>
      <w:r w:rsidR="001F0DCC">
        <w:t xml:space="preserve">, within </w:t>
      </w:r>
      <w:r w:rsidR="0018425D">
        <w:t>2</w:t>
      </w:r>
      <w:r w:rsidR="001F0DCC">
        <w:t xml:space="preserve"> week</w:t>
      </w:r>
      <w:r w:rsidR="0018425D">
        <w:t>s</w:t>
      </w:r>
      <w:r w:rsidR="001F0DCC">
        <w:t xml:space="preserve"> under clause 61.4</w:t>
      </w:r>
      <w:r w:rsidR="00D0399C">
        <w:t>.  I</w:t>
      </w:r>
      <w:r w:rsidR="00A0454A">
        <w:t>t should be noted under clause 61.4 the clients PM could deem the event not a CE if; the event is the fault of the contractor, if the event has not happened and is not expected to happen, the event has no effect on cost or time or, that the CE is not one stated within the contract documents. These four reasons are the only reasons a clients PM can use to decline a CE.</w:t>
      </w:r>
    </w:p>
    <w:p w14:paraId="6D0863B8" w14:textId="4A47C6F2" w:rsidR="00532B77" w:rsidRDefault="00D0399C" w:rsidP="00441E74">
      <w:r>
        <w:t>In the review period t</w:t>
      </w:r>
      <w:r w:rsidR="0021479D">
        <w:t xml:space="preserve">he clients PM could either </w:t>
      </w:r>
      <w:r w:rsidR="0018425D">
        <w:t>request a revised quotation from the contractor for whatever reason the clients PM sees fit under clause 62.3</w:t>
      </w:r>
      <w:r w:rsidR="0021479D">
        <w:t xml:space="preserve">, </w:t>
      </w:r>
      <w:r>
        <w:t>or, under clause 63.1/64.3, If</w:t>
      </w:r>
      <w:r w:rsidR="0021479D">
        <w:t xml:space="preserve"> the contractor has failed to submit a quotation and assessment within the time allowed, the clients PM feels the CE has not been assessed correctly, if there has been no revised programme of works submitted which the contracts requires there to be, or if the clients PM does not accept the revised programme , the clients PM can then notify that there will be a self-assessment on the valuation of the CE and later publish the results to the contractor within 3 weeks</w:t>
      </w:r>
      <w:r>
        <w:t>.</w:t>
      </w:r>
      <w:r w:rsidR="0021479D">
        <w:t xml:space="preserve"> </w:t>
      </w:r>
    </w:p>
    <w:p w14:paraId="625AD533" w14:textId="70C8D6C8" w:rsidR="00D0399C" w:rsidRDefault="0018425D" w:rsidP="00441E74">
      <w:r>
        <w:t xml:space="preserve">If the Clients PM choses the route of a self-assessment, which would forecast the change in prices, completion and key dates, the PM would then publish his assessment </w:t>
      </w:r>
      <w:r w:rsidR="00A63B60">
        <w:t xml:space="preserve">to the contractor </w:t>
      </w:r>
      <w:r>
        <w:t>for implementation (PMA) under clause 65.1/65.4.</w:t>
      </w:r>
      <w:r w:rsidR="00D0399C">
        <w:t xml:space="preserve"> Or</w:t>
      </w:r>
      <w:r>
        <w:t xml:space="preserve"> </w:t>
      </w:r>
      <w:r w:rsidR="00D0399C">
        <w:t>if</w:t>
      </w:r>
      <w:r>
        <w:t xml:space="preserve"> the contractor’s valuation is accepted</w:t>
      </w:r>
      <w:r w:rsidR="00D0399C">
        <w:t xml:space="preserve"> for the value submitted within the CE. The clients PM </w:t>
      </w:r>
      <w:r w:rsidR="00A63B60">
        <w:t>would publish the accepted assessment and under clause 65.1/65.4 to the contractor for implementation.</w:t>
      </w:r>
    </w:p>
    <w:p w14:paraId="702DACE4" w14:textId="77777777" w:rsidR="00F5501F" w:rsidRPr="00441E74" w:rsidRDefault="00F5501F" w:rsidP="00441E74"/>
    <w:p w14:paraId="4B4A886E" w14:textId="77777777" w:rsidR="001B255F" w:rsidRDefault="001B255F"/>
    <w:p w14:paraId="6B63F9A0" w14:textId="77777777" w:rsidR="00DD7167" w:rsidRDefault="00DD7167"/>
    <w:p w14:paraId="2E417FCF" w14:textId="6208BF4C" w:rsidR="00A51DA9" w:rsidRDefault="00A51DA9" w:rsidP="00633069">
      <w:pPr>
        <w:tabs>
          <w:tab w:val="left" w:pos="3390"/>
        </w:tabs>
        <w:rPr>
          <w:rStyle w:val="Hyperlink"/>
        </w:rPr>
      </w:pPr>
    </w:p>
    <w:p w14:paraId="049FA82C" w14:textId="77777777" w:rsidR="0059490D" w:rsidRDefault="0059490D" w:rsidP="00633069">
      <w:pPr>
        <w:tabs>
          <w:tab w:val="left" w:pos="3390"/>
        </w:tabs>
        <w:rPr>
          <w:rStyle w:val="Hyperlink"/>
        </w:rPr>
      </w:pPr>
    </w:p>
    <w:p w14:paraId="06317B4D" w14:textId="6F62331F" w:rsidR="00FA00D3" w:rsidRDefault="00FA00D3" w:rsidP="00633069">
      <w:pPr>
        <w:tabs>
          <w:tab w:val="left" w:pos="3390"/>
        </w:tabs>
      </w:pPr>
    </w:p>
    <w:p w14:paraId="25502905" w14:textId="5BC820FE" w:rsidR="0059490D" w:rsidRDefault="0059490D" w:rsidP="00633069">
      <w:pPr>
        <w:tabs>
          <w:tab w:val="left" w:pos="3390"/>
        </w:tabs>
      </w:pPr>
    </w:p>
    <w:p w14:paraId="27A6871E" w14:textId="77777777" w:rsidR="0059490D" w:rsidRDefault="0059490D" w:rsidP="00633069">
      <w:pPr>
        <w:tabs>
          <w:tab w:val="left" w:pos="3390"/>
        </w:tabs>
      </w:pPr>
    </w:p>
    <w:p w14:paraId="5C4277E6" w14:textId="77777777" w:rsidR="00633069" w:rsidRDefault="00633069" w:rsidP="00633069">
      <w:pPr>
        <w:tabs>
          <w:tab w:val="left" w:pos="3390"/>
        </w:tabs>
      </w:pPr>
    </w:p>
    <w:p w14:paraId="7CFE9AED" w14:textId="54E0B900" w:rsidR="00DD7167" w:rsidRPr="0059490D" w:rsidRDefault="0059490D">
      <w:pPr>
        <w:rPr>
          <w:b/>
          <w:u w:val="single"/>
        </w:rPr>
      </w:pPr>
      <w:r>
        <w:rPr>
          <w:b/>
          <w:u w:val="single"/>
        </w:rPr>
        <w:lastRenderedPageBreak/>
        <w:t xml:space="preserve">3.0 </w:t>
      </w:r>
      <w:bookmarkStart w:id="0" w:name="_GoBack"/>
      <w:bookmarkEnd w:id="0"/>
      <w:r w:rsidR="00A63B60" w:rsidRPr="0059490D">
        <w:rPr>
          <w:b/>
          <w:u w:val="single"/>
        </w:rPr>
        <w:t xml:space="preserve">References </w:t>
      </w:r>
    </w:p>
    <w:p w14:paraId="60658348" w14:textId="77777777" w:rsidR="00A63B60" w:rsidRPr="00FA00D3" w:rsidRDefault="00A63B60" w:rsidP="00A63B60">
      <w:pPr>
        <w:pStyle w:val="ListParagraph"/>
        <w:numPr>
          <w:ilvl w:val="0"/>
          <w:numId w:val="2"/>
        </w:numPr>
        <w:rPr>
          <w:rFonts w:cstheme="minorHAnsi"/>
          <w:bCs/>
          <w:i/>
        </w:rPr>
      </w:pPr>
      <w:r>
        <w:rPr>
          <w:rFonts w:cstheme="minorHAnsi"/>
        </w:rPr>
        <w:t>ARCADIS design &amp; consultancy</w:t>
      </w:r>
      <w:r w:rsidRPr="003715AB">
        <w:rPr>
          <w:rFonts w:cstheme="minorHAnsi"/>
        </w:rPr>
        <w:t xml:space="preserve"> - </w:t>
      </w:r>
      <w:r w:rsidRPr="00A63B60">
        <w:rPr>
          <w:rFonts w:cstheme="minorHAnsi"/>
          <w:bCs/>
        </w:rPr>
        <w:t>April 21st 2016</w:t>
      </w:r>
      <w:r w:rsidRPr="003715AB">
        <w:rPr>
          <w:rFonts w:cstheme="minorHAnsi"/>
          <w:i/>
        </w:rPr>
        <w:t xml:space="preserve">– </w:t>
      </w:r>
      <w:r w:rsidRPr="00FA00D3">
        <w:rPr>
          <w:rFonts w:cstheme="minorHAnsi"/>
          <w:bCs/>
          <w:i/>
        </w:rPr>
        <w:t>NEC compensation events</w:t>
      </w:r>
    </w:p>
    <w:p w14:paraId="563840BC" w14:textId="79648614" w:rsidR="00E36660" w:rsidRDefault="00A63B60" w:rsidP="00A63B60">
      <w:pPr>
        <w:pStyle w:val="ListParagraph"/>
        <w:spacing w:after="0" w:line="240" w:lineRule="auto"/>
        <w:rPr>
          <w:rFonts w:cstheme="minorHAnsi"/>
        </w:rPr>
      </w:pPr>
      <w:r w:rsidRPr="00FA00D3">
        <w:rPr>
          <w:rFonts w:cstheme="minorHAnsi"/>
          <w:bCs/>
          <w:i/>
        </w:rPr>
        <w:t>A process for all eventualities</w:t>
      </w:r>
      <w:r w:rsidR="00FA00D3" w:rsidRPr="00FA00D3">
        <w:rPr>
          <w:rFonts w:cstheme="minorHAnsi"/>
          <w:bCs/>
          <w:i/>
        </w:rPr>
        <w:t>?</w:t>
      </w:r>
      <w:r w:rsidRPr="00FA00D3">
        <w:rPr>
          <w:rFonts w:cstheme="minorHAnsi"/>
          <w:i/>
        </w:rPr>
        <w:t xml:space="preserve"> </w:t>
      </w:r>
      <w:r w:rsidRPr="00FA00D3">
        <w:rPr>
          <w:rFonts w:cstheme="minorHAnsi"/>
        </w:rPr>
        <w:t>PowerPoint presentation</w:t>
      </w:r>
      <w:r w:rsidRPr="00A63B60">
        <w:rPr>
          <w:rFonts w:cstheme="minorHAnsi"/>
        </w:rPr>
        <w:t xml:space="preserve"> accessed through </w:t>
      </w:r>
      <w:r w:rsidR="00E36660">
        <w:rPr>
          <w:rFonts w:cstheme="minorHAnsi"/>
        </w:rPr>
        <w:t>Anglian Arbitrators –</w:t>
      </w:r>
    </w:p>
    <w:p w14:paraId="65EEB171" w14:textId="3C990A98" w:rsidR="00A63B60" w:rsidRDefault="00A63B60" w:rsidP="00A63B60">
      <w:pPr>
        <w:pStyle w:val="ListParagraph"/>
        <w:spacing w:after="0" w:line="240" w:lineRule="auto"/>
        <w:rPr>
          <w:rFonts w:cstheme="minorHAnsi"/>
        </w:rPr>
      </w:pPr>
      <w:r>
        <w:rPr>
          <w:rFonts w:cstheme="minorHAnsi"/>
        </w:rPr>
        <w:t xml:space="preserve"> </w:t>
      </w:r>
      <w:hyperlink r:id="rId11" w:history="1">
        <w:r w:rsidRPr="006A10F1">
          <w:rPr>
            <w:rStyle w:val="Hyperlink"/>
            <w:rFonts w:cstheme="minorHAnsi"/>
          </w:rPr>
          <w:t>https://www.anglian-arbitrators.org.uk/pdf/2016/CIArb-NEC3-Seminar-Arcadis.pdf</w:t>
        </w:r>
      </w:hyperlink>
    </w:p>
    <w:p w14:paraId="346C8C64" w14:textId="77777777" w:rsidR="00A63B60" w:rsidRPr="00A63B60" w:rsidRDefault="00A63B60" w:rsidP="00A63B60">
      <w:pPr>
        <w:spacing w:after="0" w:line="240" w:lineRule="auto"/>
        <w:ind w:left="360"/>
        <w:rPr>
          <w:rFonts w:cstheme="minorHAnsi"/>
        </w:rPr>
      </w:pPr>
    </w:p>
    <w:p w14:paraId="4E8A7746" w14:textId="6CBC2352" w:rsidR="00DD7167" w:rsidRPr="00E36660" w:rsidRDefault="00E36660" w:rsidP="00E36660">
      <w:pPr>
        <w:pStyle w:val="ListParagraph"/>
        <w:numPr>
          <w:ilvl w:val="0"/>
          <w:numId w:val="2"/>
        </w:numPr>
        <w:rPr>
          <w:b/>
          <w:bCs/>
        </w:rPr>
      </w:pPr>
      <w:r w:rsidRPr="00E36660">
        <w:rPr>
          <w:bCs/>
          <w:lang w:val="en"/>
        </w:rPr>
        <w:t xml:space="preserve">Designing buildings,(2019)’ Variations in construction contracts’, Designing Buildings Wiki, 01 Mar 2019 </w:t>
      </w:r>
      <w:r>
        <w:rPr>
          <w:b/>
          <w:bCs/>
          <w:lang w:val="en"/>
        </w:rPr>
        <w:t xml:space="preserve">- </w:t>
      </w:r>
      <w:hyperlink r:id="rId12" w:history="1">
        <w:r w:rsidRPr="006A10F1">
          <w:rPr>
            <w:rStyle w:val="Hyperlink"/>
            <w:b/>
            <w:bCs/>
            <w:lang w:val="en"/>
          </w:rPr>
          <w:t>https://www.designingbuildings.co.uk/wiki/Variations_in_construction_contracts</w:t>
        </w:r>
      </w:hyperlink>
    </w:p>
    <w:p w14:paraId="509AAED8" w14:textId="77777777" w:rsidR="00E36660" w:rsidRPr="00E36660" w:rsidRDefault="00E36660" w:rsidP="00E36660">
      <w:pPr>
        <w:ind w:left="360"/>
        <w:rPr>
          <w:b/>
          <w:bCs/>
        </w:rPr>
      </w:pPr>
    </w:p>
    <w:p w14:paraId="310E97F7" w14:textId="77777777" w:rsidR="00DD7167" w:rsidRDefault="00DD7167"/>
    <w:p w14:paraId="17E8A8EA" w14:textId="77777777" w:rsidR="00DD7167" w:rsidRDefault="00DD7167"/>
    <w:p w14:paraId="53A4C5BD" w14:textId="77777777" w:rsidR="00DD7167" w:rsidRDefault="00DD7167"/>
    <w:p w14:paraId="7342CE5B" w14:textId="77777777" w:rsidR="00DD7167" w:rsidRDefault="00DD7167"/>
    <w:p w14:paraId="64F36C12" w14:textId="77777777" w:rsidR="00DD7167" w:rsidRDefault="00DD7167"/>
    <w:p w14:paraId="6985E7D9" w14:textId="77777777" w:rsidR="00DD7167" w:rsidRDefault="00DD7167"/>
    <w:p w14:paraId="511C4C98" w14:textId="77777777" w:rsidR="00DD7167" w:rsidRDefault="00DD7167"/>
    <w:p w14:paraId="45B3381D" w14:textId="77777777" w:rsidR="00DD7167" w:rsidRDefault="00DD7167"/>
    <w:p w14:paraId="077C82A9" w14:textId="77777777" w:rsidR="00DD7167" w:rsidRDefault="00DD7167"/>
    <w:p w14:paraId="4EAD43DE" w14:textId="77777777" w:rsidR="00DD7167" w:rsidRDefault="00DD7167"/>
    <w:p w14:paraId="68117782" w14:textId="77777777" w:rsidR="00DD7167" w:rsidRDefault="00DD7167"/>
    <w:p w14:paraId="0122AA98" w14:textId="77777777" w:rsidR="00DD7167" w:rsidRDefault="00DD7167"/>
    <w:p w14:paraId="29F74011" w14:textId="77777777" w:rsidR="00DD7167" w:rsidRDefault="00DD7167"/>
    <w:p w14:paraId="0D61A485" w14:textId="77777777" w:rsidR="00DD7167" w:rsidRDefault="00DD7167"/>
    <w:p w14:paraId="75F14736" w14:textId="77777777" w:rsidR="00DD7167" w:rsidRDefault="00DD7167"/>
    <w:p w14:paraId="4445D05A" w14:textId="77777777" w:rsidR="00DD7167" w:rsidRDefault="00DD7167"/>
    <w:p w14:paraId="4556D3F4" w14:textId="77777777" w:rsidR="00DD7167" w:rsidRDefault="00DD7167"/>
    <w:p w14:paraId="2F0E0784" w14:textId="77777777" w:rsidR="00DD7167" w:rsidRDefault="00DD7167"/>
    <w:p w14:paraId="48431E8E" w14:textId="77777777" w:rsidR="00DD7167" w:rsidRDefault="00DD7167"/>
    <w:p w14:paraId="51F811FD" w14:textId="77777777" w:rsidR="00DD7167" w:rsidRDefault="00DD7167"/>
    <w:p w14:paraId="34D70009" w14:textId="77777777" w:rsidR="00DD7167" w:rsidRDefault="00DD7167"/>
    <w:p w14:paraId="37292D0A" w14:textId="77777777" w:rsidR="00DD7167" w:rsidRPr="00DD7167" w:rsidRDefault="00DD7167"/>
    <w:sectPr w:rsidR="00DD7167" w:rsidRPr="00DD7167" w:rsidSect="00DD7167">
      <w:footerReference w:type="default" r:id="rId13"/>
      <w:footerReference w:type="first" r:id="rId1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296514" w14:textId="77777777" w:rsidR="00DD7167" w:rsidRDefault="00DD7167" w:rsidP="00DD7167">
      <w:pPr>
        <w:spacing w:after="0" w:line="240" w:lineRule="auto"/>
      </w:pPr>
      <w:r>
        <w:separator/>
      </w:r>
    </w:p>
  </w:endnote>
  <w:endnote w:type="continuationSeparator" w:id="0">
    <w:p w14:paraId="3BDD76B0" w14:textId="77777777" w:rsidR="00DD7167" w:rsidRDefault="00DD7167" w:rsidP="00DD7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2242454"/>
      <w:docPartObj>
        <w:docPartGallery w:val="Page Numbers (Bottom of Page)"/>
        <w:docPartUnique/>
      </w:docPartObj>
    </w:sdtPr>
    <w:sdtEndPr>
      <w:rPr>
        <w:noProof/>
      </w:rPr>
    </w:sdtEndPr>
    <w:sdtContent>
      <w:p w14:paraId="541413A8" w14:textId="5307452B" w:rsidR="00DD7167" w:rsidRDefault="00DD7167">
        <w:pPr>
          <w:pStyle w:val="Footer"/>
          <w:jc w:val="right"/>
        </w:pPr>
        <w:r>
          <w:fldChar w:fldCharType="begin"/>
        </w:r>
        <w:r>
          <w:instrText xml:space="preserve"> PAGE   \* MERGEFORMAT </w:instrText>
        </w:r>
        <w:r>
          <w:fldChar w:fldCharType="separate"/>
        </w:r>
        <w:r w:rsidR="001465ED">
          <w:rPr>
            <w:noProof/>
          </w:rPr>
          <w:t>4</w:t>
        </w:r>
        <w:r>
          <w:rPr>
            <w:noProof/>
          </w:rPr>
          <w:fldChar w:fldCharType="end"/>
        </w:r>
      </w:p>
    </w:sdtContent>
  </w:sdt>
  <w:p w14:paraId="2142F49E" w14:textId="77777777" w:rsidR="00DD7167" w:rsidRDefault="00DD71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1988790"/>
      <w:docPartObj>
        <w:docPartGallery w:val="Page Numbers (Bottom of Page)"/>
        <w:docPartUnique/>
      </w:docPartObj>
    </w:sdtPr>
    <w:sdtEndPr>
      <w:rPr>
        <w:noProof/>
      </w:rPr>
    </w:sdtEndPr>
    <w:sdtContent>
      <w:p w14:paraId="76212E1F" w14:textId="2A32114C" w:rsidR="00DD7167" w:rsidRDefault="00DD7167">
        <w:pPr>
          <w:pStyle w:val="Footer"/>
          <w:jc w:val="right"/>
        </w:pPr>
        <w:r>
          <w:fldChar w:fldCharType="begin"/>
        </w:r>
        <w:r>
          <w:instrText xml:space="preserve"> PAGE   \* MERGEFORMAT </w:instrText>
        </w:r>
        <w:r>
          <w:fldChar w:fldCharType="separate"/>
        </w:r>
        <w:r w:rsidR="001465ED">
          <w:rPr>
            <w:noProof/>
          </w:rPr>
          <w:t>1</w:t>
        </w:r>
        <w:r>
          <w:rPr>
            <w:noProof/>
          </w:rPr>
          <w:fldChar w:fldCharType="end"/>
        </w:r>
      </w:p>
    </w:sdtContent>
  </w:sdt>
  <w:p w14:paraId="71F34B34" w14:textId="77777777" w:rsidR="00DD7167" w:rsidRDefault="00DD71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809B88" w14:textId="77777777" w:rsidR="00DD7167" w:rsidRDefault="00DD7167" w:rsidP="00DD7167">
      <w:pPr>
        <w:spacing w:after="0" w:line="240" w:lineRule="auto"/>
      </w:pPr>
      <w:r>
        <w:separator/>
      </w:r>
    </w:p>
  </w:footnote>
  <w:footnote w:type="continuationSeparator" w:id="0">
    <w:p w14:paraId="4706CD1C" w14:textId="77777777" w:rsidR="00DD7167" w:rsidRDefault="00DD7167" w:rsidP="00DD71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B0C77"/>
    <w:multiLevelType w:val="hybridMultilevel"/>
    <w:tmpl w:val="A69A15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3C2234"/>
    <w:multiLevelType w:val="multilevel"/>
    <w:tmpl w:val="A3F69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AA631A"/>
    <w:multiLevelType w:val="hybridMultilevel"/>
    <w:tmpl w:val="3A903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167"/>
    <w:rsid w:val="00050341"/>
    <w:rsid w:val="001465ED"/>
    <w:rsid w:val="00156418"/>
    <w:rsid w:val="0018425D"/>
    <w:rsid w:val="001B255F"/>
    <w:rsid w:val="001F0DCC"/>
    <w:rsid w:val="0021479D"/>
    <w:rsid w:val="00320D67"/>
    <w:rsid w:val="00441E74"/>
    <w:rsid w:val="004814EE"/>
    <w:rsid w:val="00493902"/>
    <w:rsid w:val="004B64BD"/>
    <w:rsid w:val="00532B77"/>
    <w:rsid w:val="0059490D"/>
    <w:rsid w:val="00633069"/>
    <w:rsid w:val="00915D29"/>
    <w:rsid w:val="00A02397"/>
    <w:rsid w:val="00A0454A"/>
    <w:rsid w:val="00A51DA9"/>
    <w:rsid w:val="00A63B60"/>
    <w:rsid w:val="00AB06E1"/>
    <w:rsid w:val="00B8236D"/>
    <w:rsid w:val="00C909D7"/>
    <w:rsid w:val="00D0399C"/>
    <w:rsid w:val="00D11D13"/>
    <w:rsid w:val="00DD7167"/>
    <w:rsid w:val="00E36660"/>
    <w:rsid w:val="00F5501F"/>
    <w:rsid w:val="00FA0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076FD"/>
  <w15:chartTrackingRefBased/>
  <w15:docId w15:val="{CD9BACCD-18F3-4EE4-8738-C0539FCB8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716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7167"/>
    <w:rPr>
      <w:rFonts w:eastAsiaTheme="minorEastAsia"/>
      <w:lang w:val="en-US"/>
    </w:rPr>
  </w:style>
  <w:style w:type="paragraph" w:styleId="Header">
    <w:name w:val="header"/>
    <w:basedOn w:val="Normal"/>
    <w:link w:val="HeaderChar"/>
    <w:uiPriority w:val="99"/>
    <w:unhideWhenUsed/>
    <w:rsid w:val="00DD71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167"/>
  </w:style>
  <w:style w:type="paragraph" w:styleId="Footer">
    <w:name w:val="footer"/>
    <w:basedOn w:val="Normal"/>
    <w:link w:val="FooterChar"/>
    <w:uiPriority w:val="99"/>
    <w:unhideWhenUsed/>
    <w:rsid w:val="00DD71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167"/>
  </w:style>
  <w:style w:type="character" w:styleId="Hyperlink">
    <w:name w:val="Hyperlink"/>
    <w:basedOn w:val="DefaultParagraphFont"/>
    <w:uiPriority w:val="99"/>
    <w:unhideWhenUsed/>
    <w:rsid w:val="00633069"/>
    <w:rPr>
      <w:color w:val="0563C1" w:themeColor="hyperlink"/>
      <w:u w:val="single"/>
    </w:rPr>
  </w:style>
  <w:style w:type="character" w:customStyle="1" w:styleId="UnresolvedMention">
    <w:name w:val="Unresolved Mention"/>
    <w:basedOn w:val="DefaultParagraphFont"/>
    <w:uiPriority w:val="99"/>
    <w:semiHidden/>
    <w:unhideWhenUsed/>
    <w:rsid w:val="00633069"/>
    <w:rPr>
      <w:color w:val="605E5C"/>
      <w:shd w:val="clear" w:color="auto" w:fill="E1DFDD"/>
    </w:rPr>
  </w:style>
  <w:style w:type="character" w:styleId="FollowedHyperlink">
    <w:name w:val="FollowedHyperlink"/>
    <w:basedOn w:val="DefaultParagraphFont"/>
    <w:uiPriority w:val="99"/>
    <w:semiHidden/>
    <w:unhideWhenUsed/>
    <w:rsid w:val="001B255F"/>
    <w:rPr>
      <w:color w:val="954F72" w:themeColor="followedHyperlink"/>
      <w:u w:val="single"/>
    </w:rPr>
  </w:style>
  <w:style w:type="paragraph" w:styleId="NormalWeb">
    <w:name w:val="Normal (Web)"/>
    <w:basedOn w:val="Normal"/>
    <w:uiPriority w:val="99"/>
    <w:semiHidden/>
    <w:unhideWhenUsed/>
    <w:rsid w:val="001B25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63B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977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designingbuildings.co.uk/wiki/Variations_in_construction_contract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nglian-arbitrators.org.uk/pdf/2016/CIArb-NEC3-Seminar-Arcadis.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M5X01878 </Abstract>
  <CompanyAddress/>
  <CompanyPhone/>
  <CompanyFax/>
  <CompanyEmail>P144096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00E40E-63BB-430F-971F-B81F9303B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5</Pages>
  <Words>1076</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Administration within contracts</vt:lpstr>
    </vt:vector>
  </TitlesOfParts>
  <Company/>
  <LinksUpToDate>false</LinksUpToDate>
  <CharactersWithSpaces>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within contracts</dc:title>
  <dc:subject>Contract Practice &amp; Procedures</dc:subject>
  <dc:creator>Thomas Burbidge (P144096)</dc:creator>
  <cp:keywords/>
  <dc:description/>
  <cp:lastModifiedBy>Thomas Burbidge (P144096)</cp:lastModifiedBy>
  <cp:revision>12</cp:revision>
  <dcterms:created xsi:type="dcterms:W3CDTF">2019-03-04T20:09:00Z</dcterms:created>
  <dcterms:modified xsi:type="dcterms:W3CDTF">2019-03-07T13:38:00Z</dcterms:modified>
</cp:coreProperties>
</file>