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00E1B3" w14:textId="77777777" w:rsidR="00F00BD1" w:rsidRPr="00344B5A" w:rsidRDefault="00F00BD1" w:rsidP="00F00BD1">
      <w:pPr>
        <w:spacing w:line="360" w:lineRule="auto"/>
        <w:jc w:val="center"/>
        <w:rPr>
          <w:rFonts w:ascii="Times New Roman" w:hAnsi="Times New Roman" w:cs="Times New Roman"/>
          <w:b/>
          <w:bCs/>
          <w:sz w:val="32"/>
          <w:szCs w:val="32"/>
        </w:rPr>
      </w:pPr>
    </w:p>
    <w:p w14:paraId="54F6BFF8" w14:textId="77777777" w:rsidR="00E43644" w:rsidRPr="00344B5A" w:rsidRDefault="00E43644" w:rsidP="00E43644">
      <w:pPr>
        <w:spacing w:line="360" w:lineRule="auto"/>
        <w:jc w:val="center"/>
        <w:rPr>
          <w:rFonts w:ascii="Times New Roman" w:hAnsi="Times New Roman" w:cs="Times New Roman"/>
          <w:b/>
          <w:bCs/>
          <w:sz w:val="32"/>
          <w:szCs w:val="32"/>
        </w:rPr>
      </w:pPr>
    </w:p>
    <w:p w14:paraId="4A505336" w14:textId="77777777" w:rsidR="00E43644" w:rsidRPr="00344B5A" w:rsidRDefault="00E43644" w:rsidP="00E43644">
      <w:pPr>
        <w:spacing w:line="360" w:lineRule="auto"/>
        <w:jc w:val="center"/>
        <w:rPr>
          <w:rFonts w:ascii="Times New Roman" w:hAnsi="Times New Roman" w:cs="Times New Roman"/>
          <w:b/>
          <w:bCs/>
          <w:sz w:val="32"/>
          <w:szCs w:val="32"/>
        </w:rPr>
      </w:pPr>
    </w:p>
    <w:p w14:paraId="55E5F788" w14:textId="749FD611"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How can contemporary written sources such as the works of Giovanni Boccaccio and Francesco Petrarch inform our understanding of reactions to the arrival of the Black Death in the central Italian city of Florence?</w:t>
      </w:r>
    </w:p>
    <w:p w14:paraId="72560AFF" w14:textId="77777777" w:rsidR="00E43644" w:rsidRPr="00344B5A" w:rsidRDefault="00E43644" w:rsidP="00E43644">
      <w:pPr>
        <w:spacing w:line="360" w:lineRule="auto"/>
        <w:jc w:val="center"/>
        <w:rPr>
          <w:rFonts w:ascii="Times New Roman" w:hAnsi="Times New Roman" w:cs="Times New Roman"/>
          <w:b/>
          <w:bCs/>
          <w:sz w:val="32"/>
          <w:szCs w:val="32"/>
        </w:rPr>
      </w:pPr>
    </w:p>
    <w:p w14:paraId="69F0DCBC" w14:textId="77777777" w:rsidR="00E43644" w:rsidRPr="00344B5A" w:rsidRDefault="00E43644" w:rsidP="00E43644">
      <w:pPr>
        <w:spacing w:line="360" w:lineRule="auto"/>
        <w:jc w:val="center"/>
        <w:rPr>
          <w:rFonts w:ascii="Times New Roman" w:hAnsi="Times New Roman" w:cs="Times New Roman"/>
          <w:b/>
          <w:bCs/>
          <w:sz w:val="32"/>
          <w:szCs w:val="32"/>
        </w:rPr>
      </w:pPr>
    </w:p>
    <w:p w14:paraId="60CF2A9E" w14:textId="06A2E125" w:rsidR="00E67654" w:rsidRPr="00344B5A" w:rsidRDefault="00E43644" w:rsidP="00E6765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Ruth May Hardy</w:t>
      </w:r>
    </w:p>
    <w:p w14:paraId="35BEEADE" w14:textId="77777777"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1701128</w:t>
      </w:r>
    </w:p>
    <w:p w14:paraId="7845243B" w14:textId="77777777" w:rsidR="00E43644" w:rsidRPr="00344B5A" w:rsidRDefault="00E43644" w:rsidP="00E43644">
      <w:pPr>
        <w:spacing w:line="360" w:lineRule="auto"/>
        <w:jc w:val="center"/>
        <w:rPr>
          <w:rFonts w:ascii="Times New Roman" w:hAnsi="Times New Roman" w:cs="Times New Roman"/>
          <w:b/>
          <w:bCs/>
          <w:sz w:val="32"/>
          <w:szCs w:val="32"/>
        </w:rPr>
      </w:pPr>
    </w:p>
    <w:p w14:paraId="0F8BE69E" w14:textId="77777777" w:rsidR="00E43644" w:rsidRPr="00344B5A" w:rsidRDefault="00E43644" w:rsidP="00E43644">
      <w:pPr>
        <w:spacing w:line="360" w:lineRule="auto"/>
        <w:jc w:val="center"/>
        <w:rPr>
          <w:rFonts w:ascii="Times New Roman" w:hAnsi="Times New Roman" w:cs="Times New Roman"/>
          <w:b/>
          <w:bCs/>
          <w:sz w:val="32"/>
          <w:szCs w:val="32"/>
        </w:rPr>
      </w:pPr>
    </w:p>
    <w:p w14:paraId="051B068E" w14:textId="3F3CD98B"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 xml:space="preserve">Dissertation submitted in partial </w:t>
      </w:r>
      <w:r w:rsidR="00011EDF" w:rsidRPr="00344B5A">
        <w:rPr>
          <w:rFonts w:ascii="Times New Roman" w:hAnsi="Times New Roman" w:cs="Times New Roman"/>
          <w:b/>
          <w:bCs/>
          <w:sz w:val="32"/>
          <w:szCs w:val="32"/>
        </w:rPr>
        <w:t>fulfilment</w:t>
      </w:r>
      <w:r w:rsidRPr="00344B5A">
        <w:rPr>
          <w:rFonts w:ascii="Times New Roman" w:hAnsi="Times New Roman" w:cs="Times New Roman"/>
          <w:b/>
          <w:bCs/>
          <w:sz w:val="32"/>
          <w:szCs w:val="32"/>
        </w:rPr>
        <w:t xml:space="preserve"> of a B.A. (Hons.) in Medieval Studies</w:t>
      </w:r>
    </w:p>
    <w:p w14:paraId="78D7302D" w14:textId="77777777"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University of Wales Trinity Saint David</w:t>
      </w:r>
    </w:p>
    <w:p w14:paraId="72603032" w14:textId="77777777"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May 2020</w:t>
      </w:r>
    </w:p>
    <w:p w14:paraId="37BA15C7" w14:textId="41397FBB" w:rsidR="00504479" w:rsidRPr="00344B5A" w:rsidRDefault="00504479" w:rsidP="00FB2F2F">
      <w:pPr>
        <w:spacing w:line="360" w:lineRule="auto"/>
        <w:rPr>
          <w:rFonts w:ascii="Times New Roman" w:hAnsi="Times New Roman" w:cs="Times New Roman"/>
          <w:b/>
          <w:bCs/>
          <w:sz w:val="32"/>
          <w:szCs w:val="32"/>
        </w:rPr>
      </w:pPr>
    </w:p>
    <w:p w14:paraId="6C5A72B5" w14:textId="7B253840" w:rsidR="00E43644" w:rsidRPr="00344B5A" w:rsidRDefault="00E43644" w:rsidP="00AE339B">
      <w:pPr>
        <w:spacing w:line="360" w:lineRule="auto"/>
        <w:rPr>
          <w:rFonts w:ascii="Times New Roman" w:hAnsi="Times New Roman" w:cs="Times New Roman"/>
          <w:b/>
          <w:bCs/>
          <w:sz w:val="24"/>
          <w:szCs w:val="24"/>
        </w:rPr>
      </w:pPr>
    </w:p>
    <w:p w14:paraId="5DEBF36C" w14:textId="77777777" w:rsidR="00FF081A" w:rsidRPr="00344B5A" w:rsidRDefault="00FF081A" w:rsidP="00AE339B">
      <w:pPr>
        <w:spacing w:line="360" w:lineRule="auto"/>
        <w:rPr>
          <w:rFonts w:ascii="Times New Roman" w:hAnsi="Times New Roman" w:cs="Times New Roman"/>
          <w:b/>
          <w:bCs/>
          <w:sz w:val="24"/>
          <w:szCs w:val="24"/>
        </w:rPr>
      </w:pPr>
    </w:p>
    <w:p w14:paraId="7C26E246" w14:textId="7325FEFC" w:rsidR="00E43644" w:rsidRPr="00344B5A" w:rsidRDefault="004B5DF0" w:rsidP="004B5DF0">
      <w:pPr>
        <w:spacing w:line="360" w:lineRule="auto"/>
        <w:jc w:val="center"/>
        <w:rPr>
          <w:rFonts w:ascii="Times New Roman" w:hAnsi="Times New Roman" w:cs="Times New Roman"/>
          <w:b/>
          <w:bCs/>
          <w:sz w:val="24"/>
          <w:szCs w:val="24"/>
        </w:rPr>
        <w:sectPr w:rsidR="00E43644" w:rsidRPr="00344B5A" w:rsidSect="0087504F">
          <w:pgSz w:w="11906" w:h="16838"/>
          <w:pgMar w:top="1418" w:right="1418" w:bottom="1418" w:left="1418" w:header="709" w:footer="709" w:gutter="0"/>
          <w:pgNumType w:fmt="lowerRoman" w:start="1"/>
          <w:cols w:space="708"/>
          <w:docGrid w:linePitch="360"/>
        </w:sectPr>
      </w:pPr>
      <w:r w:rsidRPr="00344B5A">
        <w:rPr>
          <w:rFonts w:ascii="Times New Roman" w:hAnsi="Times New Roman" w:cs="Times New Roman"/>
          <w:b/>
          <w:bCs/>
          <w:sz w:val="24"/>
          <w:szCs w:val="24"/>
        </w:rPr>
        <w:t>Word Count:   10,</w:t>
      </w:r>
      <w:r w:rsidR="004A1B81" w:rsidRPr="00344B5A">
        <w:rPr>
          <w:rFonts w:ascii="Times New Roman" w:hAnsi="Times New Roman" w:cs="Times New Roman"/>
          <w:b/>
          <w:bCs/>
          <w:sz w:val="24"/>
          <w:szCs w:val="24"/>
        </w:rPr>
        <w:t>43</w:t>
      </w:r>
      <w:r w:rsidR="000C5ACD">
        <w:rPr>
          <w:rFonts w:ascii="Times New Roman" w:hAnsi="Times New Roman" w:cs="Times New Roman"/>
          <w:b/>
          <w:bCs/>
          <w:sz w:val="24"/>
          <w:szCs w:val="24"/>
        </w:rPr>
        <w:t>7</w:t>
      </w:r>
    </w:p>
    <w:p w14:paraId="1CA16278" w14:textId="6467200F" w:rsidR="00504479" w:rsidRPr="00344B5A" w:rsidRDefault="00C144A2" w:rsidP="00595E75">
      <w:pPr>
        <w:pStyle w:val="Heading1"/>
        <w:spacing w:line="480" w:lineRule="auto"/>
        <w:rPr>
          <w:rFonts w:ascii="Times New Roman" w:hAnsi="Times New Roman" w:cs="Times New Roman"/>
          <w:b/>
          <w:bCs/>
          <w:color w:val="auto"/>
          <w:sz w:val="24"/>
          <w:szCs w:val="24"/>
        </w:rPr>
      </w:pPr>
      <w:bookmarkStart w:id="0" w:name="_Toc40006740"/>
      <w:r w:rsidRPr="00344B5A">
        <w:rPr>
          <w:rFonts w:ascii="Times New Roman" w:hAnsi="Times New Roman" w:cs="Times New Roman"/>
          <w:b/>
          <w:bCs/>
          <w:color w:val="auto"/>
          <w:sz w:val="24"/>
          <w:szCs w:val="24"/>
        </w:rPr>
        <w:lastRenderedPageBreak/>
        <w:t>Abstract</w:t>
      </w:r>
      <w:bookmarkEnd w:id="0"/>
      <w:r w:rsidRPr="00344B5A">
        <w:rPr>
          <w:rFonts w:ascii="Times New Roman" w:hAnsi="Times New Roman" w:cs="Times New Roman"/>
          <w:b/>
          <w:bCs/>
          <w:color w:val="auto"/>
          <w:sz w:val="24"/>
          <w:szCs w:val="24"/>
        </w:rPr>
        <w:t xml:space="preserve"> </w:t>
      </w:r>
    </w:p>
    <w:p w14:paraId="087764ED" w14:textId="18270D54" w:rsidR="007710AD" w:rsidRPr="00344B5A" w:rsidRDefault="00A460F5" w:rsidP="00595E75">
      <w:pPr>
        <w:spacing w:line="480" w:lineRule="auto"/>
        <w:rPr>
          <w:rFonts w:ascii="Times New Roman" w:hAnsi="Times New Roman" w:cs="Times New Roman"/>
          <w:sz w:val="24"/>
          <w:szCs w:val="24"/>
        </w:rPr>
      </w:pPr>
      <w:r w:rsidRPr="00E4370B">
        <w:rPr>
          <w:rFonts w:ascii="Times New Roman" w:hAnsi="Times New Roman" w:cs="Times New Roman"/>
          <w:sz w:val="24"/>
          <w:szCs w:val="24"/>
        </w:rPr>
        <w:t>The outbreak of the Black Death (c1347-1350) gave rise to some of most influential literature of the emerging Renaissance in Italy</w:t>
      </w:r>
      <w:r w:rsidR="00766983" w:rsidRPr="00E4370B">
        <w:rPr>
          <w:rFonts w:ascii="Times New Roman" w:hAnsi="Times New Roman" w:cs="Times New Roman"/>
          <w:sz w:val="24"/>
          <w:szCs w:val="24"/>
        </w:rPr>
        <w:t>, and the city of Florence provide</w:t>
      </w:r>
      <w:r w:rsidR="00257163" w:rsidRPr="00E4370B">
        <w:rPr>
          <w:rFonts w:ascii="Times New Roman" w:hAnsi="Times New Roman" w:cs="Times New Roman"/>
          <w:sz w:val="24"/>
          <w:szCs w:val="24"/>
        </w:rPr>
        <w:t>s</w:t>
      </w:r>
      <w:r w:rsidR="00766983" w:rsidRPr="00E4370B">
        <w:rPr>
          <w:rFonts w:ascii="Times New Roman" w:hAnsi="Times New Roman" w:cs="Times New Roman"/>
          <w:sz w:val="24"/>
          <w:szCs w:val="24"/>
        </w:rPr>
        <w:t xml:space="preserve"> scholars with</w:t>
      </w:r>
      <w:r w:rsidR="00C61073" w:rsidRPr="00E4370B">
        <w:rPr>
          <w:rFonts w:ascii="Times New Roman" w:hAnsi="Times New Roman" w:cs="Times New Roman"/>
          <w:sz w:val="24"/>
          <w:szCs w:val="24"/>
        </w:rPr>
        <w:t xml:space="preserve"> an insight into contemporary reactions to the arrival of the pestilence</w:t>
      </w:r>
      <w:r w:rsidR="005418B5" w:rsidRPr="00E4370B">
        <w:rPr>
          <w:rFonts w:ascii="Times New Roman" w:hAnsi="Times New Roman" w:cs="Times New Roman"/>
          <w:sz w:val="24"/>
          <w:szCs w:val="24"/>
        </w:rPr>
        <w:t xml:space="preserve">. </w:t>
      </w:r>
      <w:r w:rsidR="007B1B99" w:rsidRPr="00E4370B">
        <w:rPr>
          <w:rFonts w:ascii="Times New Roman" w:hAnsi="Times New Roman" w:cs="Times New Roman"/>
          <w:sz w:val="24"/>
          <w:szCs w:val="24"/>
        </w:rPr>
        <w:t xml:space="preserve">Large proportions of scholarship </w:t>
      </w:r>
      <w:r w:rsidR="00417E20" w:rsidRPr="00E4370B">
        <w:rPr>
          <w:rFonts w:ascii="Times New Roman" w:hAnsi="Times New Roman" w:cs="Times New Roman"/>
          <w:sz w:val="24"/>
          <w:szCs w:val="24"/>
        </w:rPr>
        <w:t>surrounding</w:t>
      </w:r>
      <w:r w:rsidR="007B1B99" w:rsidRPr="00E4370B">
        <w:rPr>
          <w:rFonts w:ascii="Times New Roman" w:hAnsi="Times New Roman" w:cs="Times New Roman"/>
          <w:sz w:val="24"/>
          <w:szCs w:val="24"/>
        </w:rPr>
        <w:t xml:space="preserve"> the Black Death </w:t>
      </w:r>
      <w:r w:rsidR="00417E20" w:rsidRPr="00E4370B">
        <w:rPr>
          <w:rFonts w:ascii="Times New Roman" w:hAnsi="Times New Roman" w:cs="Times New Roman"/>
          <w:sz w:val="24"/>
          <w:szCs w:val="24"/>
        </w:rPr>
        <w:t>rel</w:t>
      </w:r>
      <w:r w:rsidR="00454BC5" w:rsidRPr="00E4370B">
        <w:rPr>
          <w:rFonts w:ascii="Times New Roman" w:hAnsi="Times New Roman" w:cs="Times New Roman"/>
          <w:sz w:val="24"/>
          <w:szCs w:val="24"/>
        </w:rPr>
        <w:t>y</w:t>
      </w:r>
      <w:r w:rsidR="00417E20" w:rsidRPr="00E4370B">
        <w:rPr>
          <w:rFonts w:ascii="Times New Roman" w:hAnsi="Times New Roman" w:cs="Times New Roman"/>
          <w:sz w:val="24"/>
          <w:szCs w:val="24"/>
        </w:rPr>
        <w:t xml:space="preserve"> heavily upon demographic statistics and </w:t>
      </w:r>
      <w:r w:rsidR="00454BC5" w:rsidRPr="00E4370B">
        <w:rPr>
          <w:rFonts w:ascii="Times New Roman" w:hAnsi="Times New Roman" w:cs="Times New Roman"/>
          <w:sz w:val="24"/>
          <w:szCs w:val="24"/>
        </w:rPr>
        <w:t>adopt a macroscopic approach to the duration and aftermath of the plague across Europe</w:t>
      </w:r>
      <w:r w:rsidR="00A826C1" w:rsidRPr="00E4370B">
        <w:rPr>
          <w:rFonts w:ascii="Times New Roman" w:hAnsi="Times New Roman" w:cs="Times New Roman"/>
          <w:sz w:val="24"/>
          <w:szCs w:val="24"/>
        </w:rPr>
        <w:t xml:space="preserve">, </w:t>
      </w:r>
      <w:r w:rsidR="00E02AEC" w:rsidRPr="00E4370B">
        <w:rPr>
          <w:rFonts w:ascii="Times New Roman" w:hAnsi="Times New Roman" w:cs="Times New Roman"/>
          <w:sz w:val="24"/>
          <w:szCs w:val="24"/>
        </w:rPr>
        <w:t>however there remains</w:t>
      </w:r>
      <w:r w:rsidR="00464BE6" w:rsidRPr="00E4370B">
        <w:rPr>
          <w:rFonts w:ascii="Times New Roman" w:hAnsi="Times New Roman" w:cs="Times New Roman"/>
          <w:sz w:val="24"/>
          <w:szCs w:val="24"/>
        </w:rPr>
        <w:t xml:space="preserve"> a tendency to generalise responses of the individuals who lived through arguably one of the most traumatic </w:t>
      </w:r>
      <w:r w:rsidR="00E02AEC" w:rsidRPr="00E4370B">
        <w:rPr>
          <w:rFonts w:ascii="Times New Roman" w:hAnsi="Times New Roman" w:cs="Times New Roman"/>
          <w:sz w:val="24"/>
          <w:szCs w:val="24"/>
        </w:rPr>
        <w:t xml:space="preserve">events of the fourteenth century. </w:t>
      </w:r>
      <w:r w:rsidR="0024439B" w:rsidRPr="00E4370B">
        <w:rPr>
          <w:rFonts w:ascii="Times New Roman" w:hAnsi="Times New Roman" w:cs="Times New Roman"/>
          <w:sz w:val="24"/>
          <w:szCs w:val="24"/>
        </w:rPr>
        <w:t xml:space="preserve">This dissertation </w:t>
      </w:r>
      <w:r w:rsidR="00D408E5" w:rsidRPr="00E4370B">
        <w:rPr>
          <w:rFonts w:ascii="Times New Roman" w:hAnsi="Times New Roman" w:cs="Times New Roman"/>
          <w:sz w:val="24"/>
          <w:szCs w:val="24"/>
        </w:rPr>
        <w:t xml:space="preserve">investigates </w:t>
      </w:r>
      <w:r w:rsidR="004B5DF0" w:rsidRPr="00E4370B">
        <w:rPr>
          <w:rFonts w:ascii="Times New Roman" w:hAnsi="Times New Roman" w:cs="Times New Roman"/>
          <w:sz w:val="24"/>
          <w:szCs w:val="24"/>
        </w:rPr>
        <w:t xml:space="preserve">the value of contemporary mid-fourteenth century </w:t>
      </w:r>
      <w:r w:rsidR="00BA587F" w:rsidRPr="00E4370B">
        <w:rPr>
          <w:rFonts w:ascii="Times New Roman" w:hAnsi="Times New Roman" w:cs="Times New Roman"/>
          <w:sz w:val="24"/>
          <w:szCs w:val="24"/>
        </w:rPr>
        <w:t xml:space="preserve">written sources </w:t>
      </w:r>
      <w:r w:rsidR="009E48B2" w:rsidRPr="00E4370B">
        <w:rPr>
          <w:rFonts w:ascii="Times New Roman" w:hAnsi="Times New Roman" w:cs="Times New Roman"/>
          <w:sz w:val="24"/>
          <w:szCs w:val="24"/>
        </w:rPr>
        <w:t xml:space="preserve">to scholarly understandings of the many Florentine responses to the plague, </w:t>
      </w:r>
      <w:r w:rsidR="00101CC1" w:rsidRPr="00E4370B">
        <w:rPr>
          <w:rFonts w:ascii="Times New Roman" w:hAnsi="Times New Roman" w:cs="Times New Roman"/>
          <w:sz w:val="24"/>
          <w:szCs w:val="24"/>
        </w:rPr>
        <w:t>and acknowledges the presence of textual communit</w:t>
      </w:r>
      <w:r w:rsidR="00466868" w:rsidRPr="00E4370B">
        <w:rPr>
          <w:rFonts w:ascii="Times New Roman" w:hAnsi="Times New Roman" w:cs="Times New Roman"/>
          <w:sz w:val="24"/>
          <w:szCs w:val="24"/>
        </w:rPr>
        <w:t xml:space="preserve">y </w:t>
      </w:r>
      <w:r w:rsidR="00007E4F" w:rsidRPr="00E4370B">
        <w:rPr>
          <w:rFonts w:ascii="Times New Roman" w:hAnsi="Times New Roman" w:cs="Times New Roman"/>
          <w:sz w:val="24"/>
          <w:szCs w:val="24"/>
        </w:rPr>
        <w:t>and deliberate historical narrative in</w:t>
      </w:r>
      <w:r w:rsidR="00293CFE" w:rsidRPr="00E4370B">
        <w:rPr>
          <w:rFonts w:ascii="Times New Roman" w:hAnsi="Times New Roman" w:cs="Times New Roman"/>
          <w:sz w:val="24"/>
          <w:szCs w:val="24"/>
        </w:rPr>
        <w:t xml:space="preserve"> the works of Giovanni Boccaccio, Francesco Petrarch and Baldassare Bonaiuti </w:t>
      </w:r>
      <w:r w:rsidR="00BA587F" w:rsidRPr="00E4370B">
        <w:rPr>
          <w:rFonts w:ascii="Times New Roman" w:hAnsi="Times New Roman" w:cs="Times New Roman"/>
          <w:sz w:val="24"/>
          <w:szCs w:val="24"/>
        </w:rPr>
        <w:t xml:space="preserve">who each provide comprehensive accounts of the arrival of the Black Death. </w:t>
      </w:r>
      <w:r w:rsidR="00D32948" w:rsidRPr="00E4370B">
        <w:rPr>
          <w:rFonts w:ascii="Times New Roman" w:hAnsi="Times New Roman" w:cs="Times New Roman"/>
          <w:sz w:val="24"/>
          <w:szCs w:val="24"/>
        </w:rPr>
        <w:t xml:space="preserve">Close analytical reading of surviving contemporary sources </w:t>
      </w:r>
      <w:r w:rsidR="00007E4F" w:rsidRPr="00E4370B">
        <w:rPr>
          <w:rFonts w:ascii="Times New Roman" w:hAnsi="Times New Roman" w:cs="Times New Roman"/>
          <w:sz w:val="24"/>
          <w:szCs w:val="24"/>
        </w:rPr>
        <w:t xml:space="preserve">using the </w:t>
      </w:r>
      <w:r w:rsidR="000B1829" w:rsidRPr="00E4370B">
        <w:rPr>
          <w:rFonts w:ascii="Times New Roman" w:hAnsi="Times New Roman" w:cs="Times New Roman"/>
          <w:sz w:val="24"/>
          <w:szCs w:val="24"/>
        </w:rPr>
        <w:t>academic concepts of new historicism and intimate history allowed for greater depth of understanding, alongside the opportunity to piece together a more exhaustive account of the individual responses to the plague.</w:t>
      </w:r>
      <w:r w:rsidR="007D06A0" w:rsidRPr="00E4370B">
        <w:rPr>
          <w:rFonts w:ascii="Times New Roman" w:hAnsi="Times New Roman" w:cs="Times New Roman"/>
          <w:sz w:val="24"/>
          <w:szCs w:val="24"/>
        </w:rPr>
        <w:t xml:space="preserve"> Regardless of the intended genre and audience of surviving contemporary literary sources, the ability to </w:t>
      </w:r>
      <w:r w:rsidR="001841B0" w:rsidRPr="00E4370B">
        <w:rPr>
          <w:rFonts w:ascii="Times New Roman" w:hAnsi="Times New Roman" w:cs="Times New Roman"/>
          <w:sz w:val="24"/>
          <w:szCs w:val="24"/>
        </w:rPr>
        <w:t xml:space="preserve">empathise and comprehend the actions of Florentine citizens in the face the rapid spread of a deadly epidemic highlights their historical value. </w:t>
      </w:r>
      <w:r w:rsidRPr="00E4370B">
        <w:rPr>
          <w:rFonts w:ascii="Times New Roman" w:hAnsi="Times New Roman" w:cs="Times New Roman"/>
          <w:sz w:val="24"/>
          <w:szCs w:val="24"/>
        </w:rPr>
        <w:t xml:space="preserve">Surviving fourteenth-century literature can </w:t>
      </w:r>
      <w:r w:rsidR="00E4370B" w:rsidRPr="00E4370B">
        <w:rPr>
          <w:rFonts w:ascii="Times New Roman" w:hAnsi="Times New Roman" w:cs="Times New Roman"/>
          <w:sz w:val="24"/>
          <w:szCs w:val="24"/>
        </w:rPr>
        <w:t xml:space="preserve">therefore </w:t>
      </w:r>
      <w:r w:rsidRPr="00E4370B">
        <w:rPr>
          <w:rFonts w:ascii="Times New Roman" w:hAnsi="Times New Roman" w:cs="Times New Roman"/>
          <w:sz w:val="24"/>
          <w:szCs w:val="24"/>
        </w:rPr>
        <w:t xml:space="preserve">undoubtedly </w:t>
      </w:r>
      <w:r w:rsidR="005418B5" w:rsidRPr="00E4370B">
        <w:rPr>
          <w:rFonts w:ascii="Times New Roman" w:hAnsi="Times New Roman" w:cs="Times New Roman"/>
          <w:sz w:val="24"/>
          <w:szCs w:val="24"/>
        </w:rPr>
        <w:t>aid scholarly understanding of the response to the Black Death from the perspective of those who lived and died during the mid-fourteenth century.</w:t>
      </w:r>
      <w:r w:rsidR="005418B5" w:rsidRPr="00344B5A">
        <w:rPr>
          <w:rFonts w:ascii="Times New Roman" w:hAnsi="Times New Roman" w:cs="Times New Roman"/>
          <w:sz w:val="24"/>
          <w:szCs w:val="24"/>
        </w:rPr>
        <w:t xml:space="preserve"> </w:t>
      </w:r>
    </w:p>
    <w:p w14:paraId="08966CC5" w14:textId="77777777" w:rsidR="007710AD" w:rsidRPr="00344B5A" w:rsidRDefault="007710AD" w:rsidP="00595E75">
      <w:pPr>
        <w:spacing w:line="480" w:lineRule="auto"/>
        <w:rPr>
          <w:rFonts w:ascii="Times New Roman" w:hAnsi="Times New Roman" w:cs="Times New Roman"/>
          <w:b/>
          <w:bCs/>
          <w:sz w:val="24"/>
          <w:szCs w:val="24"/>
        </w:rPr>
      </w:pPr>
    </w:p>
    <w:p w14:paraId="1EB4AD08" w14:textId="77777777" w:rsidR="007710AD" w:rsidRPr="00344B5A" w:rsidRDefault="007710AD" w:rsidP="00595E75">
      <w:pPr>
        <w:spacing w:line="480" w:lineRule="auto"/>
        <w:rPr>
          <w:rFonts w:ascii="Times New Roman" w:hAnsi="Times New Roman" w:cs="Times New Roman"/>
          <w:b/>
          <w:bCs/>
          <w:sz w:val="24"/>
          <w:szCs w:val="24"/>
        </w:rPr>
      </w:pPr>
    </w:p>
    <w:p w14:paraId="6E305DDD" w14:textId="67A10F35" w:rsidR="007710AD" w:rsidRPr="00344B5A" w:rsidRDefault="00C144A2" w:rsidP="00595E75">
      <w:pPr>
        <w:pStyle w:val="Heading1"/>
        <w:spacing w:line="480" w:lineRule="auto"/>
        <w:rPr>
          <w:rFonts w:ascii="Times New Roman" w:hAnsi="Times New Roman" w:cs="Times New Roman"/>
          <w:b/>
          <w:bCs/>
          <w:color w:val="auto"/>
          <w:sz w:val="24"/>
          <w:szCs w:val="24"/>
        </w:rPr>
      </w:pPr>
      <w:bookmarkStart w:id="1" w:name="_Toc40006741"/>
      <w:r w:rsidRPr="00344B5A">
        <w:rPr>
          <w:rFonts w:ascii="Times New Roman" w:hAnsi="Times New Roman" w:cs="Times New Roman"/>
          <w:b/>
          <w:bCs/>
          <w:color w:val="auto"/>
          <w:sz w:val="24"/>
          <w:szCs w:val="24"/>
        </w:rPr>
        <w:lastRenderedPageBreak/>
        <w:t>Acknowledgements</w:t>
      </w:r>
      <w:bookmarkEnd w:id="1"/>
      <w:r w:rsidRPr="00344B5A">
        <w:rPr>
          <w:rFonts w:ascii="Times New Roman" w:hAnsi="Times New Roman" w:cs="Times New Roman"/>
          <w:b/>
          <w:bCs/>
          <w:color w:val="auto"/>
          <w:sz w:val="24"/>
          <w:szCs w:val="24"/>
        </w:rPr>
        <w:t xml:space="preserve"> </w:t>
      </w:r>
    </w:p>
    <w:p w14:paraId="03FBFDA8" w14:textId="36D741D1" w:rsidR="0041592B" w:rsidRPr="00344B5A" w:rsidRDefault="004F6B3F" w:rsidP="00595E75">
      <w:pPr>
        <w:spacing w:line="480" w:lineRule="auto"/>
        <w:rPr>
          <w:rFonts w:ascii="Times New Roman" w:hAnsi="Times New Roman" w:cs="Times New Roman"/>
          <w:sz w:val="24"/>
          <w:szCs w:val="24"/>
        </w:rPr>
      </w:pPr>
      <w:r w:rsidRPr="00344B5A">
        <w:rPr>
          <w:rFonts w:ascii="Times New Roman" w:hAnsi="Times New Roman" w:cs="Times New Roman"/>
          <w:sz w:val="24"/>
          <w:szCs w:val="24"/>
        </w:rPr>
        <w:t>I would like to thank Dr Harriett Webster for her support throughout my degree and</w:t>
      </w:r>
      <w:r w:rsidR="00A062BA" w:rsidRPr="00344B5A">
        <w:rPr>
          <w:rFonts w:ascii="Times New Roman" w:hAnsi="Times New Roman" w:cs="Times New Roman"/>
          <w:sz w:val="24"/>
          <w:szCs w:val="24"/>
        </w:rPr>
        <w:t xml:space="preserve"> my dissertation,</w:t>
      </w:r>
      <w:r w:rsidR="00D32948" w:rsidRPr="00344B5A">
        <w:rPr>
          <w:rFonts w:ascii="Times New Roman" w:hAnsi="Times New Roman" w:cs="Times New Roman"/>
          <w:sz w:val="24"/>
          <w:szCs w:val="24"/>
        </w:rPr>
        <w:t xml:space="preserve"> </w:t>
      </w:r>
      <w:r w:rsidR="00623F0C" w:rsidRPr="00344B5A">
        <w:rPr>
          <w:rFonts w:ascii="Times New Roman" w:hAnsi="Times New Roman" w:cs="Times New Roman"/>
          <w:sz w:val="24"/>
          <w:szCs w:val="24"/>
        </w:rPr>
        <w:t xml:space="preserve">her enthusiasm and passion for </w:t>
      </w:r>
      <w:r w:rsidR="00D0200B" w:rsidRPr="00344B5A">
        <w:rPr>
          <w:rFonts w:ascii="Times New Roman" w:hAnsi="Times New Roman" w:cs="Times New Roman"/>
          <w:sz w:val="24"/>
          <w:szCs w:val="24"/>
        </w:rPr>
        <w:t>m</w:t>
      </w:r>
      <w:r w:rsidR="00623F0C" w:rsidRPr="00344B5A">
        <w:rPr>
          <w:rFonts w:ascii="Times New Roman" w:hAnsi="Times New Roman" w:cs="Times New Roman"/>
          <w:sz w:val="24"/>
          <w:szCs w:val="24"/>
        </w:rPr>
        <w:t xml:space="preserve">edieval </w:t>
      </w:r>
      <w:r w:rsidR="00D0200B" w:rsidRPr="00344B5A">
        <w:rPr>
          <w:rFonts w:ascii="Times New Roman" w:hAnsi="Times New Roman" w:cs="Times New Roman"/>
          <w:sz w:val="24"/>
          <w:szCs w:val="24"/>
        </w:rPr>
        <w:t>s</w:t>
      </w:r>
      <w:r w:rsidR="00623F0C" w:rsidRPr="00344B5A">
        <w:rPr>
          <w:rFonts w:ascii="Times New Roman" w:hAnsi="Times New Roman" w:cs="Times New Roman"/>
          <w:sz w:val="24"/>
          <w:szCs w:val="24"/>
        </w:rPr>
        <w:t>tudies continues to inspire and empower</w:t>
      </w:r>
      <w:r w:rsidR="00D0200B" w:rsidRPr="00344B5A">
        <w:rPr>
          <w:rFonts w:ascii="Times New Roman" w:hAnsi="Times New Roman" w:cs="Times New Roman"/>
          <w:sz w:val="24"/>
          <w:szCs w:val="24"/>
        </w:rPr>
        <w:t xml:space="preserve"> me as I begin my own academic journey. </w:t>
      </w:r>
    </w:p>
    <w:p w14:paraId="77F8E2A6" w14:textId="37DF4234" w:rsidR="004F6B3F" w:rsidRPr="00344B5A" w:rsidRDefault="004F6B3F" w:rsidP="00595E75">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 would also like to express </w:t>
      </w:r>
      <w:r w:rsidR="00A062BA" w:rsidRPr="00344B5A">
        <w:rPr>
          <w:rFonts w:ascii="Times New Roman" w:hAnsi="Times New Roman" w:cs="Times New Roman"/>
          <w:sz w:val="24"/>
          <w:szCs w:val="24"/>
        </w:rPr>
        <w:t>my gratitude</w:t>
      </w:r>
      <w:r w:rsidRPr="00344B5A">
        <w:rPr>
          <w:rFonts w:ascii="Times New Roman" w:hAnsi="Times New Roman" w:cs="Times New Roman"/>
          <w:sz w:val="24"/>
          <w:szCs w:val="24"/>
        </w:rPr>
        <w:t xml:space="preserve"> to my </w:t>
      </w:r>
      <w:r w:rsidR="00A062BA" w:rsidRPr="00344B5A">
        <w:rPr>
          <w:rFonts w:ascii="Times New Roman" w:hAnsi="Times New Roman" w:cs="Times New Roman"/>
          <w:sz w:val="24"/>
          <w:szCs w:val="24"/>
        </w:rPr>
        <w:t xml:space="preserve">Mum and Dad for </w:t>
      </w:r>
      <w:r w:rsidR="0041592B" w:rsidRPr="00344B5A">
        <w:rPr>
          <w:rFonts w:ascii="Times New Roman" w:hAnsi="Times New Roman" w:cs="Times New Roman"/>
          <w:sz w:val="24"/>
          <w:szCs w:val="24"/>
        </w:rPr>
        <w:t xml:space="preserve">their </w:t>
      </w:r>
      <w:r w:rsidR="00AC196B" w:rsidRPr="00344B5A">
        <w:rPr>
          <w:rFonts w:ascii="Times New Roman" w:hAnsi="Times New Roman" w:cs="Times New Roman"/>
          <w:sz w:val="24"/>
          <w:szCs w:val="24"/>
        </w:rPr>
        <w:t xml:space="preserve">help and support, </w:t>
      </w:r>
      <w:r w:rsidR="006C5684" w:rsidRPr="00344B5A">
        <w:rPr>
          <w:rFonts w:ascii="Times New Roman" w:hAnsi="Times New Roman" w:cs="Times New Roman"/>
          <w:sz w:val="24"/>
          <w:szCs w:val="24"/>
        </w:rPr>
        <w:t>I could not have finished it without their continued patience and understanding</w:t>
      </w:r>
      <w:r w:rsidR="004C50FE">
        <w:rPr>
          <w:rFonts w:ascii="Times New Roman" w:hAnsi="Times New Roman" w:cs="Times New Roman"/>
          <w:sz w:val="24"/>
          <w:szCs w:val="24"/>
        </w:rPr>
        <w:t>.</w:t>
      </w:r>
      <w:r w:rsidR="006A6367">
        <w:rPr>
          <w:rFonts w:ascii="Times New Roman" w:hAnsi="Times New Roman" w:cs="Times New Roman"/>
          <w:sz w:val="24"/>
          <w:szCs w:val="24"/>
        </w:rPr>
        <w:t xml:space="preserve"> </w:t>
      </w:r>
    </w:p>
    <w:p w14:paraId="23EE9BF8" w14:textId="494F1806" w:rsidR="00AC196B" w:rsidRPr="00344B5A" w:rsidRDefault="00623F0C" w:rsidP="00595E75">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Finally, to </w:t>
      </w:r>
      <w:r w:rsidR="00955DC7" w:rsidRPr="00344B5A">
        <w:rPr>
          <w:rFonts w:ascii="Times New Roman" w:hAnsi="Times New Roman" w:cs="Times New Roman"/>
          <w:sz w:val="24"/>
          <w:szCs w:val="24"/>
        </w:rPr>
        <w:t>my</w:t>
      </w:r>
      <w:r w:rsidRPr="00344B5A">
        <w:rPr>
          <w:rFonts w:ascii="Times New Roman" w:hAnsi="Times New Roman" w:cs="Times New Roman"/>
          <w:sz w:val="24"/>
          <w:szCs w:val="24"/>
        </w:rPr>
        <w:t xml:space="preserve"> friends who have</w:t>
      </w:r>
      <w:r w:rsidR="00D0200B" w:rsidRPr="00344B5A">
        <w:rPr>
          <w:rFonts w:ascii="Times New Roman" w:hAnsi="Times New Roman" w:cs="Times New Roman"/>
          <w:sz w:val="24"/>
          <w:szCs w:val="24"/>
        </w:rPr>
        <w:t xml:space="preserve"> provided</w:t>
      </w:r>
      <w:r w:rsidR="006C5684" w:rsidRPr="00344B5A">
        <w:rPr>
          <w:rFonts w:ascii="Times New Roman" w:hAnsi="Times New Roman" w:cs="Times New Roman"/>
          <w:sz w:val="24"/>
          <w:szCs w:val="24"/>
        </w:rPr>
        <w:t xml:space="preserve"> a</w:t>
      </w:r>
      <w:r w:rsidR="00D0200B" w:rsidRPr="00344B5A">
        <w:rPr>
          <w:rFonts w:ascii="Times New Roman" w:hAnsi="Times New Roman" w:cs="Times New Roman"/>
          <w:sz w:val="24"/>
          <w:szCs w:val="24"/>
        </w:rPr>
        <w:t xml:space="preserve"> </w:t>
      </w:r>
      <w:r w:rsidR="005B7801" w:rsidRPr="00344B5A">
        <w:rPr>
          <w:rFonts w:ascii="Times New Roman" w:hAnsi="Times New Roman" w:cs="Times New Roman"/>
          <w:sz w:val="24"/>
          <w:szCs w:val="24"/>
        </w:rPr>
        <w:t>welcome distraction during my dissertation and</w:t>
      </w:r>
      <w:r w:rsidR="00955DC7" w:rsidRPr="00344B5A">
        <w:rPr>
          <w:rFonts w:ascii="Times New Roman" w:hAnsi="Times New Roman" w:cs="Times New Roman"/>
          <w:sz w:val="24"/>
          <w:szCs w:val="24"/>
        </w:rPr>
        <w:t xml:space="preserve"> have listened to the many entertaining medieval stories I have discovered throughout my research. </w:t>
      </w:r>
    </w:p>
    <w:p w14:paraId="2996EF85" w14:textId="77777777" w:rsidR="007710AD" w:rsidRPr="00344B5A" w:rsidRDefault="007710AD" w:rsidP="00595E75">
      <w:pPr>
        <w:spacing w:line="480" w:lineRule="auto"/>
        <w:rPr>
          <w:rFonts w:ascii="Times New Roman" w:hAnsi="Times New Roman" w:cs="Times New Roman"/>
          <w:b/>
          <w:bCs/>
          <w:sz w:val="24"/>
          <w:szCs w:val="24"/>
        </w:rPr>
      </w:pPr>
    </w:p>
    <w:p w14:paraId="38361B02" w14:textId="0AFB8DF3" w:rsidR="007710AD" w:rsidRDefault="007710AD" w:rsidP="00595E75">
      <w:pPr>
        <w:spacing w:line="480" w:lineRule="auto"/>
        <w:rPr>
          <w:rFonts w:ascii="Times New Roman" w:hAnsi="Times New Roman" w:cs="Times New Roman"/>
          <w:b/>
          <w:bCs/>
          <w:sz w:val="24"/>
          <w:szCs w:val="24"/>
        </w:rPr>
      </w:pPr>
    </w:p>
    <w:p w14:paraId="6F815A92" w14:textId="77777777" w:rsidR="008F0730" w:rsidRPr="00344B5A" w:rsidRDefault="008F0730" w:rsidP="00595E75">
      <w:pPr>
        <w:spacing w:line="480" w:lineRule="auto"/>
        <w:rPr>
          <w:rFonts w:ascii="Times New Roman" w:hAnsi="Times New Roman" w:cs="Times New Roman"/>
          <w:b/>
          <w:bCs/>
          <w:sz w:val="24"/>
          <w:szCs w:val="24"/>
        </w:rPr>
      </w:pPr>
    </w:p>
    <w:p w14:paraId="1C7327CA" w14:textId="77777777" w:rsidR="007710AD" w:rsidRPr="00344B5A" w:rsidRDefault="007710AD" w:rsidP="00595E75">
      <w:pPr>
        <w:spacing w:line="480" w:lineRule="auto"/>
        <w:rPr>
          <w:rFonts w:ascii="Times New Roman" w:hAnsi="Times New Roman" w:cs="Times New Roman"/>
          <w:b/>
          <w:bCs/>
          <w:sz w:val="24"/>
          <w:szCs w:val="24"/>
        </w:rPr>
      </w:pPr>
    </w:p>
    <w:p w14:paraId="4FEDC827" w14:textId="77777777" w:rsidR="007710AD" w:rsidRPr="00344B5A" w:rsidRDefault="007710AD" w:rsidP="00595E75">
      <w:pPr>
        <w:spacing w:line="480" w:lineRule="auto"/>
        <w:rPr>
          <w:rFonts w:ascii="Times New Roman" w:hAnsi="Times New Roman" w:cs="Times New Roman"/>
          <w:b/>
          <w:bCs/>
          <w:sz w:val="24"/>
          <w:szCs w:val="24"/>
        </w:rPr>
      </w:pPr>
    </w:p>
    <w:p w14:paraId="3BCF0538" w14:textId="77777777" w:rsidR="007710AD" w:rsidRPr="00344B5A" w:rsidRDefault="007710AD" w:rsidP="00595E75">
      <w:pPr>
        <w:spacing w:line="480" w:lineRule="auto"/>
        <w:rPr>
          <w:rFonts w:ascii="Times New Roman" w:hAnsi="Times New Roman" w:cs="Times New Roman"/>
          <w:b/>
          <w:bCs/>
          <w:sz w:val="24"/>
          <w:szCs w:val="24"/>
        </w:rPr>
      </w:pPr>
    </w:p>
    <w:p w14:paraId="21DEFCDE" w14:textId="77777777" w:rsidR="007710AD" w:rsidRPr="00344B5A" w:rsidRDefault="007710AD" w:rsidP="00595E75">
      <w:pPr>
        <w:spacing w:line="480" w:lineRule="auto"/>
        <w:rPr>
          <w:rFonts w:ascii="Times New Roman" w:hAnsi="Times New Roman" w:cs="Times New Roman"/>
          <w:b/>
          <w:bCs/>
          <w:sz w:val="24"/>
          <w:szCs w:val="24"/>
        </w:rPr>
      </w:pPr>
    </w:p>
    <w:p w14:paraId="0B74FD20" w14:textId="77777777" w:rsidR="007710AD" w:rsidRPr="00344B5A" w:rsidRDefault="007710AD" w:rsidP="00595E75">
      <w:pPr>
        <w:spacing w:line="480" w:lineRule="auto"/>
        <w:rPr>
          <w:rFonts w:ascii="Times New Roman" w:hAnsi="Times New Roman" w:cs="Times New Roman"/>
          <w:b/>
          <w:bCs/>
          <w:sz w:val="24"/>
          <w:szCs w:val="24"/>
        </w:rPr>
      </w:pPr>
    </w:p>
    <w:p w14:paraId="2B3CC6DA" w14:textId="77777777" w:rsidR="007710AD" w:rsidRPr="00344B5A" w:rsidRDefault="007710AD" w:rsidP="00595E75">
      <w:pPr>
        <w:spacing w:line="480" w:lineRule="auto"/>
        <w:rPr>
          <w:rFonts w:ascii="Times New Roman" w:hAnsi="Times New Roman" w:cs="Times New Roman"/>
          <w:b/>
          <w:bCs/>
          <w:sz w:val="24"/>
          <w:szCs w:val="24"/>
        </w:rPr>
      </w:pPr>
    </w:p>
    <w:p w14:paraId="45621737" w14:textId="77777777" w:rsidR="007710AD" w:rsidRPr="00344B5A" w:rsidRDefault="007710AD" w:rsidP="00595E75">
      <w:pPr>
        <w:spacing w:line="480" w:lineRule="auto"/>
        <w:rPr>
          <w:rFonts w:ascii="Times New Roman" w:hAnsi="Times New Roman" w:cs="Times New Roman"/>
          <w:b/>
          <w:bCs/>
          <w:sz w:val="24"/>
          <w:szCs w:val="24"/>
        </w:rPr>
      </w:pPr>
    </w:p>
    <w:p w14:paraId="2227897D" w14:textId="77777777" w:rsidR="007710AD" w:rsidRPr="00344B5A" w:rsidRDefault="007710AD" w:rsidP="00595E75">
      <w:pPr>
        <w:spacing w:line="480" w:lineRule="auto"/>
        <w:rPr>
          <w:rFonts w:ascii="Times New Roman" w:hAnsi="Times New Roman" w:cs="Times New Roman"/>
          <w:b/>
          <w:bCs/>
          <w:sz w:val="24"/>
          <w:szCs w:val="24"/>
        </w:rPr>
      </w:pPr>
    </w:p>
    <w:p w14:paraId="44BCA4D7" w14:textId="68EABBE3" w:rsidR="007710AD" w:rsidRDefault="007710AD" w:rsidP="00595E75">
      <w:pPr>
        <w:spacing w:line="480" w:lineRule="auto"/>
        <w:rPr>
          <w:rFonts w:ascii="Times New Roman" w:hAnsi="Times New Roman" w:cs="Times New Roman"/>
          <w:b/>
          <w:bCs/>
          <w:sz w:val="24"/>
          <w:szCs w:val="24"/>
        </w:rPr>
      </w:pPr>
    </w:p>
    <w:p w14:paraId="1036D95F" w14:textId="5D03E524" w:rsidR="00424219" w:rsidRPr="00344B5A" w:rsidRDefault="00424219" w:rsidP="00424219">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Contents </w:t>
      </w:r>
    </w:p>
    <w:p w14:paraId="130505C9" w14:textId="6112B794" w:rsidR="00424219" w:rsidRPr="00424219" w:rsidRDefault="00424219" w:rsidP="00424219">
      <w:pPr>
        <w:pStyle w:val="TOC1"/>
        <w:tabs>
          <w:tab w:val="right" w:pos="9060"/>
        </w:tabs>
        <w:spacing w:line="480" w:lineRule="auto"/>
        <w:rPr>
          <w:noProof/>
        </w:rPr>
      </w:pPr>
      <w:r w:rsidRPr="00424219">
        <w:rPr>
          <w:rFonts w:ascii="Times New Roman" w:hAnsi="Times New Roman" w:cs="Times New Roman"/>
          <w:sz w:val="24"/>
          <w:szCs w:val="24"/>
        </w:rPr>
        <w:fldChar w:fldCharType="begin"/>
      </w:r>
      <w:r w:rsidRPr="00424219">
        <w:rPr>
          <w:rFonts w:ascii="Times New Roman" w:hAnsi="Times New Roman" w:cs="Times New Roman"/>
          <w:sz w:val="24"/>
          <w:szCs w:val="24"/>
        </w:rPr>
        <w:instrText xml:space="preserve"> TOC \o "1-1" \h \z \u </w:instrText>
      </w:r>
      <w:r w:rsidRPr="00424219">
        <w:rPr>
          <w:rFonts w:ascii="Times New Roman" w:hAnsi="Times New Roman" w:cs="Times New Roman"/>
          <w:sz w:val="24"/>
          <w:szCs w:val="24"/>
        </w:rPr>
        <w:fldChar w:fldCharType="separate"/>
      </w:r>
      <w:hyperlink w:anchor="_Toc40006740" w:history="1">
        <w:r w:rsidRPr="00424219">
          <w:rPr>
            <w:rStyle w:val="Hyperlink"/>
            <w:rFonts w:ascii="Times New Roman" w:hAnsi="Times New Roman" w:cs="Times New Roman"/>
            <w:noProof/>
          </w:rPr>
          <w:t>Abstract</w:t>
        </w:r>
        <w:r w:rsidRPr="00424219">
          <w:rPr>
            <w:noProof/>
            <w:webHidden/>
          </w:rPr>
          <w:tab/>
        </w:r>
        <w:r w:rsidRPr="00424219">
          <w:rPr>
            <w:noProof/>
            <w:webHidden/>
          </w:rPr>
          <w:fldChar w:fldCharType="begin"/>
        </w:r>
        <w:r w:rsidRPr="00424219">
          <w:rPr>
            <w:noProof/>
            <w:webHidden/>
          </w:rPr>
          <w:instrText xml:space="preserve"> PAGEREF _Toc40006740 \h </w:instrText>
        </w:r>
        <w:r w:rsidRPr="00424219">
          <w:rPr>
            <w:noProof/>
            <w:webHidden/>
          </w:rPr>
        </w:r>
        <w:r w:rsidRPr="00424219">
          <w:rPr>
            <w:noProof/>
            <w:webHidden/>
          </w:rPr>
          <w:fldChar w:fldCharType="separate"/>
        </w:r>
        <w:r w:rsidRPr="00424219">
          <w:rPr>
            <w:noProof/>
            <w:webHidden/>
          </w:rPr>
          <w:t>i</w:t>
        </w:r>
        <w:r w:rsidRPr="00424219">
          <w:rPr>
            <w:noProof/>
            <w:webHidden/>
          </w:rPr>
          <w:fldChar w:fldCharType="end"/>
        </w:r>
      </w:hyperlink>
    </w:p>
    <w:p w14:paraId="42BBB315" w14:textId="20F374E0" w:rsidR="00424219" w:rsidRPr="00424219" w:rsidRDefault="00FE2D0C" w:rsidP="00424219">
      <w:pPr>
        <w:pStyle w:val="TOC1"/>
        <w:tabs>
          <w:tab w:val="right" w:pos="9060"/>
        </w:tabs>
        <w:spacing w:line="480" w:lineRule="auto"/>
        <w:rPr>
          <w:noProof/>
        </w:rPr>
      </w:pPr>
      <w:hyperlink w:anchor="_Toc40006741" w:history="1">
        <w:r w:rsidR="00424219" w:rsidRPr="00424219">
          <w:rPr>
            <w:rStyle w:val="Hyperlink"/>
            <w:rFonts w:ascii="Times New Roman" w:hAnsi="Times New Roman" w:cs="Times New Roman"/>
            <w:noProof/>
          </w:rPr>
          <w:t>Acknowledgements</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_Toc40006741 \h </w:instrText>
        </w:r>
        <w:r w:rsidR="00424219" w:rsidRPr="00424219">
          <w:rPr>
            <w:noProof/>
            <w:webHidden/>
          </w:rPr>
        </w:r>
        <w:r w:rsidR="00424219" w:rsidRPr="00424219">
          <w:rPr>
            <w:noProof/>
            <w:webHidden/>
          </w:rPr>
          <w:fldChar w:fldCharType="separate"/>
        </w:r>
        <w:r w:rsidR="00424219" w:rsidRPr="00424219">
          <w:rPr>
            <w:noProof/>
            <w:webHidden/>
          </w:rPr>
          <w:t>ii</w:t>
        </w:r>
        <w:r w:rsidR="00424219" w:rsidRPr="00424219">
          <w:rPr>
            <w:noProof/>
            <w:webHidden/>
          </w:rPr>
          <w:fldChar w:fldCharType="end"/>
        </w:r>
      </w:hyperlink>
    </w:p>
    <w:p w14:paraId="35D1F5E9" w14:textId="5E2C6CE3" w:rsidR="00424219" w:rsidRPr="00424219" w:rsidRDefault="00FE2D0C" w:rsidP="00424219">
      <w:pPr>
        <w:pStyle w:val="TOC1"/>
        <w:tabs>
          <w:tab w:val="right" w:pos="9060"/>
        </w:tabs>
        <w:spacing w:line="480" w:lineRule="auto"/>
        <w:rPr>
          <w:noProof/>
        </w:rPr>
      </w:pPr>
      <w:hyperlink w:anchor="_Toc40006742" w:history="1">
        <w:r w:rsidR="00424219" w:rsidRPr="00424219">
          <w:rPr>
            <w:rStyle w:val="Hyperlink"/>
            <w:rFonts w:ascii="Times New Roman" w:hAnsi="Times New Roman" w:cs="Times New Roman"/>
            <w:noProof/>
          </w:rPr>
          <w:t>Introduction</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_Toc40006742 \h </w:instrText>
        </w:r>
        <w:r w:rsidR="00424219" w:rsidRPr="00424219">
          <w:rPr>
            <w:noProof/>
            <w:webHidden/>
          </w:rPr>
        </w:r>
        <w:r w:rsidR="00424219" w:rsidRPr="00424219">
          <w:rPr>
            <w:noProof/>
            <w:webHidden/>
          </w:rPr>
          <w:fldChar w:fldCharType="separate"/>
        </w:r>
        <w:r w:rsidR="00424219" w:rsidRPr="00424219">
          <w:rPr>
            <w:noProof/>
            <w:webHidden/>
          </w:rPr>
          <w:t>1</w:t>
        </w:r>
        <w:r w:rsidR="00424219" w:rsidRPr="00424219">
          <w:rPr>
            <w:noProof/>
            <w:webHidden/>
          </w:rPr>
          <w:fldChar w:fldCharType="end"/>
        </w:r>
      </w:hyperlink>
    </w:p>
    <w:p w14:paraId="52D3B7D9" w14:textId="7854162F" w:rsidR="00424219" w:rsidRPr="00424219" w:rsidRDefault="00FE2D0C" w:rsidP="00424219">
      <w:pPr>
        <w:pStyle w:val="TOC1"/>
        <w:tabs>
          <w:tab w:val="right" w:pos="9060"/>
        </w:tabs>
        <w:spacing w:line="480" w:lineRule="auto"/>
        <w:rPr>
          <w:noProof/>
        </w:rPr>
      </w:pPr>
      <w:hyperlink w:anchor="_Toc40006743" w:history="1">
        <w:r w:rsidR="00424219" w:rsidRPr="00424219">
          <w:rPr>
            <w:rStyle w:val="Hyperlink"/>
            <w:rFonts w:ascii="Times New Roman" w:hAnsi="Times New Roman" w:cs="Times New Roman"/>
            <w:noProof/>
          </w:rPr>
          <w:t>Chapter One</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_Toc40006743 \h </w:instrText>
        </w:r>
        <w:r w:rsidR="00424219" w:rsidRPr="00424219">
          <w:rPr>
            <w:noProof/>
            <w:webHidden/>
          </w:rPr>
        </w:r>
        <w:r w:rsidR="00424219" w:rsidRPr="00424219">
          <w:rPr>
            <w:noProof/>
            <w:webHidden/>
          </w:rPr>
          <w:fldChar w:fldCharType="separate"/>
        </w:r>
        <w:r w:rsidR="00424219" w:rsidRPr="00424219">
          <w:rPr>
            <w:noProof/>
            <w:webHidden/>
          </w:rPr>
          <w:t>9</w:t>
        </w:r>
        <w:r w:rsidR="00424219" w:rsidRPr="00424219">
          <w:rPr>
            <w:noProof/>
            <w:webHidden/>
          </w:rPr>
          <w:fldChar w:fldCharType="end"/>
        </w:r>
      </w:hyperlink>
    </w:p>
    <w:p w14:paraId="1F40CF42" w14:textId="782CE976" w:rsidR="00424219" w:rsidRPr="00424219" w:rsidRDefault="00FE2D0C" w:rsidP="00424219">
      <w:pPr>
        <w:pStyle w:val="TOC1"/>
        <w:tabs>
          <w:tab w:val="right" w:pos="9060"/>
        </w:tabs>
        <w:spacing w:line="480" w:lineRule="auto"/>
        <w:rPr>
          <w:noProof/>
        </w:rPr>
      </w:pPr>
      <w:hyperlink w:anchor="_Toc40006744" w:history="1">
        <w:r w:rsidR="00424219" w:rsidRPr="00424219">
          <w:rPr>
            <w:rStyle w:val="Hyperlink"/>
            <w:rFonts w:ascii="Times New Roman" w:hAnsi="Times New Roman" w:cs="Times New Roman"/>
            <w:noProof/>
          </w:rPr>
          <w:t>Chapter Two</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_Toc40006744 \h </w:instrText>
        </w:r>
        <w:r w:rsidR="00424219" w:rsidRPr="00424219">
          <w:rPr>
            <w:noProof/>
            <w:webHidden/>
          </w:rPr>
        </w:r>
        <w:r w:rsidR="00424219" w:rsidRPr="00424219">
          <w:rPr>
            <w:noProof/>
            <w:webHidden/>
          </w:rPr>
          <w:fldChar w:fldCharType="separate"/>
        </w:r>
        <w:r w:rsidR="00424219" w:rsidRPr="00424219">
          <w:rPr>
            <w:noProof/>
            <w:webHidden/>
          </w:rPr>
          <w:t>18</w:t>
        </w:r>
        <w:r w:rsidR="00424219" w:rsidRPr="00424219">
          <w:rPr>
            <w:noProof/>
            <w:webHidden/>
          </w:rPr>
          <w:fldChar w:fldCharType="end"/>
        </w:r>
      </w:hyperlink>
    </w:p>
    <w:p w14:paraId="145BDF23" w14:textId="19EA18DD" w:rsidR="00424219" w:rsidRPr="00424219" w:rsidRDefault="00FE2D0C" w:rsidP="00424219">
      <w:pPr>
        <w:pStyle w:val="TOC1"/>
        <w:tabs>
          <w:tab w:val="right" w:pos="9060"/>
        </w:tabs>
        <w:spacing w:line="480" w:lineRule="auto"/>
        <w:rPr>
          <w:noProof/>
        </w:rPr>
      </w:pPr>
      <w:hyperlink w:anchor="_Toc40006745" w:history="1">
        <w:r w:rsidR="00424219" w:rsidRPr="00424219">
          <w:rPr>
            <w:rStyle w:val="Hyperlink"/>
            <w:rFonts w:ascii="Times New Roman" w:hAnsi="Times New Roman" w:cs="Times New Roman"/>
            <w:noProof/>
          </w:rPr>
          <w:t>Chapter Three</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_Toc40006745 \h </w:instrText>
        </w:r>
        <w:r w:rsidR="00424219" w:rsidRPr="00424219">
          <w:rPr>
            <w:noProof/>
            <w:webHidden/>
          </w:rPr>
        </w:r>
        <w:r w:rsidR="00424219" w:rsidRPr="00424219">
          <w:rPr>
            <w:noProof/>
            <w:webHidden/>
          </w:rPr>
          <w:fldChar w:fldCharType="separate"/>
        </w:r>
        <w:r w:rsidR="00424219" w:rsidRPr="00424219">
          <w:rPr>
            <w:noProof/>
            <w:webHidden/>
          </w:rPr>
          <w:t>27</w:t>
        </w:r>
        <w:r w:rsidR="00424219" w:rsidRPr="00424219">
          <w:rPr>
            <w:noProof/>
            <w:webHidden/>
          </w:rPr>
          <w:fldChar w:fldCharType="end"/>
        </w:r>
      </w:hyperlink>
    </w:p>
    <w:p w14:paraId="238BF21F" w14:textId="0A64E3E5" w:rsidR="00424219" w:rsidRPr="00424219" w:rsidRDefault="00FE2D0C" w:rsidP="00424219">
      <w:pPr>
        <w:pStyle w:val="TOC1"/>
        <w:tabs>
          <w:tab w:val="right" w:pos="9060"/>
        </w:tabs>
        <w:spacing w:line="480" w:lineRule="auto"/>
        <w:rPr>
          <w:noProof/>
        </w:rPr>
      </w:pPr>
      <w:hyperlink w:anchor="_Toc40006746" w:history="1">
        <w:r w:rsidR="00424219" w:rsidRPr="00424219">
          <w:rPr>
            <w:rStyle w:val="Hyperlink"/>
            <w:rFonts w:ascii="Times New Roman" w:hAnsi="Times New Roman" w:cs="Times New Roman"/>
            <w:noProof/>
          </w:rPr>
          <w:t>Conclusion</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_Toc40006746 \h </w:instrText>
        </w:r>
        <w:r w:rsidR="00424219" w:rsidRPr="00424219">
          <w:rPr>
            <w:noProof/>
            <w:webHidden/>
          </w:rPr>
        </w:r>
        <w:r w:rsidR="00424219" w:rsidRPr="00424219">
          <w:rPr>
            <w:noProof/>
            <w:webHidden/>
          </w:rPr>
          <w:fldChar w:fldCharType="separate"/>
        </w:r>
        <w:r w:rsidR="00424219" w:rsidRPr="00424219">
          <w:rPr>
            <w:noProof/>
            <w:webHidden/>
          </w:rPr>
          <w:t>35</w:t>
        </w:r>
        <w:r w:rsidR="00424219" w:rsidRPr="00424219">
          <w:rPr>
            <w:noProof/>
            <w:webHidden/>
          </w:rPr>
          <w:fldChar w:fldCharType="end"/>
        </w:r>
      </w:hyperlink>
    </w:p>
    <w:p w14:paraId="4AD44FC6" w14:textId="3845CD88" w:rsidR="00424219" w:rsidRPr="00424219" w:rsidRDefault="00FE2D0C" w:rsidP="00424219">
      <w:pPr>
        <w:pStyle w:val="TOC1"/>
        <w:tabs>
          <w:tab w:val="right" w:pos="9060"/>
        </w:tabs>
        <w:spacing w:line="480" w:lineRule="auto"/>
        <w:rPr>
          <w:noProof/>
        </w:rPr>
      </w:pPr>
      <w:hyperlink w:anchor="_Toc40006747" w:history="1">
        <w:r w:rsidR="00424219" w:rsidRPr="00424219">
          <w:rPr>
            <w:rStyle w:val="Hyperlink"/>
            <w:rFonts w:ascii="Times New Roman" w:hAnsi="Times New Roman" w:cs="Times New Roman"/>
            <w:noProof/>
          </w:rPr>
          <w:t>Bibliography</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_Toc40006747 \h </w:instrText>
        </w:r>
        <w:r w:rsidR="00424219" w:rsidRPr="00424219">
          <w:rPr>
            <w:noProof/>
            <w:webHidden/>
          </w:rPr>
        </w:r>
        <w:r w:rsidR="00424219" w:rsidRPr="00424219">
          <w:rPr>
            <w:noProof/>
            <w:webHidden/>
          </w:rPr>
          <w:fldChar w:fldCharType="separate"/>
        </w:r>
        <w:r w:rsidR="00424219" w:rsidRPr="00424219">
          <w:rPr>
            <w:noProof/>
            <w:webHidden/>
          </w:rPr>
          <w:t>39</w:t>
        </w:r>
        <w:r w:rsidR="00424219" w:rsidRPr="00424219">
          <w:rPr>
            <w:noProof/>
            <w:webHidden/>
          </w:rPr>
          <w:fldChar w:fldCharType="end"/>
        </w:r>
      </w:hyperlink>
    </w:p>
    <w:p w14:paraId="4324D35B" w14:textId="4E0547D4" w:rsidR="00504479" w:rsidRPr="00424219" w:rsidRDefault="00424219" w:rsidP="00424219">
      <w:pPr>
        <w:spacing w:line="480" w:lineRule="auto"/>
        <w:rPr>
          <w:rFonts w:ascii="Times New Roman" w:hAnsi="Times New Roman" w:cs="Times New Roman"/>
          <w:sz w:val="24"/>
          <w:szCs w:val="24"/>
        </w:rPr>
      </w:pPr>
      <w:r w:rsidRPr="00424219">
        <w:rPr>
          <w:rFonts w:ascii="Times New Roman" w:hAnsi="Times New Roman" w:cs="Times New Roman"/>
          <w:sz w:val="24"/>
          <w:szCs w:val="24"/>
        </w:rPr>
        <w:fldChar w:fldCharType="end"/>
      </w:r>
    </w:p>
    <w:p w14:paraId="35F58B17" w14:textId="77777777" w:rsidR="00504479" w:rsidRPr="00424219" w:rsidRDefault="00504479" w:rsidP="00595E75">
      <w:pPr>
        <w:spacing w:line="480" w:lineRule="auto"/>
        <w:rPr>
          <w:rFonts w:ascii="Times New Roman" w:hAnsi="Times New Roman" w:cs="Times New Roman"/>
          <w:sz w:val="24"/>
          <w:szCs w:val="24"/>
        </w:rPr>
      </w:pPr>
    </w:p>
    <w:p w14:paraId="35C80DCD" w14:textId="3D78543B" w:rsidR="00504479" w:rsidRPr="00344B5A" w:rsidRDefault="00504479" w:rsidP="00AE339B">
      <w:pPr>
        <w:spacing w:line="360" w:lineRule="auto"/>
        <w:rPr>
          <w:rFonts w:ascii="Times New Roman" w:hAnsi="Times New Roman" w:cs="Times New Roman"/>
          <w:b/>
          <w:bCs/>
          <w:sz w:val="24"/>
          <w:szCs w:val="24"/>
        </w:rPr>
      </w:pPr>
    </w:p>
    <w:p w14:paraId="1101C534" w14:textId="057F9248" w:rsidR="00504479" w:rsidRPr="00344B5A" w:rsidRDefault="00504479" w:rsidP="00AE339B">
      <w:pPr>
        <w:spacing w:line="360" w:lineRule="auto"/>
        <w:rPr>
          <w:rFonts w:ascii="Times New Roman" w:hAnsi="Times New Roman" w:cs="Times New Roman"/>
          <w:b/>
          <w:bCs/>
          <w:sz w:val="24"/>
          <w:szCs w:val="24"/>
        </w:rPr>
      </w:pPr>
    </w:p>
    <w:p w14:paraId="1F7FE18C" w14:textId="1B368C96" w:rsidR="00504479" w:rsidRPr="00344B5A" w:rsidRDefault="00504479" w:rsidP="00AE339B">
      <w:pPr>
        <w:spacing w:line="360" w:lineRule="auto"/>
        <w:rPr>
          <w:rFonts w:ascii="Times New Roman" w:hAnsi="Times New Roman" w:cs="Times New Roman"/>
          <w:b/>
          <w:bCs/>
          <w:sz w:val="24"/>
          <w:szCs w:val="24"/>
        </w:rPr>
      </w:pPr>
    </w:p>
    <w:p w14:paraId="7CFBADE4" w14:textId="77777777" w:rsidR="00504479" w:rsidRPr="00344B5A" w:rsidRDefault="00504479" w:rsidP="00AE339B">
      <w:pPr>
        <w:spacing w:line="360" w:lineRule="auto"/>
        <w:rPr>
          <w:rFonts w:ascii="Times New Roman" w:hAnsi="Times New Roman" w:cs="Times New Roman"/>
          <w:b/>
          <w:bCs/>
          <w:sz w:val="24"/>
          <w:szCs w:val="24"/>
        </w:rPr>
      </w:pPr>
    </w:p>
    <w:p w14:paraId="7B7C9FF7" w14:textId="77777777" w:rsidR="00504479" w:rsidRPr="00344B5A" w:rsidRDefault="00504479" w:rsidP="00AE339B">
      <w:pPr>
        <w:spacing w:line="360" w:lineRule="auto"/>
        <w:rPr>
          <w:rFonts w:ascii="Times New Roman" w:hAnsi="Times New Roman" w:cs="Times New Roman"/>
          <w:b/>
          <w:bCs/>
          <w:sz w:val="24"/>
          <w:szCs w:val="24"/>
        </w:rPr>
      </w:pPr>
    </w:p>
    <w:p w14:paraId="7F09BC27" w14:textId="77777777" w:rsidR="00504479" w:rsidRPr="00344B5A" w:rsidRDefault="00504479" w:rsidP="00AE339B">
      <w:pPr>
        <w:spacing w:line="360" w:lineRule="auto"/>
        <w:rPr>
          <w:rFonts w:ascii="Times New Roman" w:hAnsi="Times New Roman" w:cs="Times New Roman"/>
          <w:b/>
          <w:bCs/>
          <w:sz w:val="24"/>
          <w:szCs w:val="24"/>
        </w:rPr>
      </w:pPr>
    </w:p>
    <w:p w14:paraId="6EF5A7F2" w14:textId="77777777" w:rsidR="00504479" w:rsidRPr="00344B5A" w:rsidRDefault="00504479" w:rsidP="00AE339B">
      <w:pPr>
        <w:spacing w:line="360" w:lineRule="auto"/>
        <w:rPr>
          <w:rFonts w:ascii="Times New Roman" w:hAnsi="Times New Roman" w:cs="Times New Roman"/>
          <w:b/>
          <w:bCs/>
          <w:sz w:val="24"/>
          <w:szCs w:val="24"/>
        </w:rPr>
      </w:pPr>
    </w:p>
    <w:p w14:paraId="5FA1CA93" w14:textId="77777777" w:rsidR="00504479" w:rsidRPr="00344B5A" w:rsidRDefault="00504479" w:rsidP="00AE339B">
      <w:pPr>
        <w:spacing w:line="360" w:lineRule="auto"/>
        <w:rPr>
          <w:rFonts w:ascii="Times New Roman" w:hAnsi="Times New Roman" w:cs="Times New Roman"/>
          <w:b/>
          <w:bCs/>
          <w:sz w:val="24"/>
          <w:szCs w:val="24"/>
        </w:rPr>
      </w:pPr>
    </w:p>
    <w:p w14:paraId="4E5ED023" w14:textId="77777777" w:rsidR="0087504F" w:rsidRPr="00344B5A" w:rsidRDefault="0087504F" w:rsidP="00AE339B">
      <w:pPr>
        <w:spacing w:line="360" w:lineRule="auto"/>
        <w:rPr>
          <w:rFonts w:ascii="Times New Roman" w:hAnsi="Times New Roman" w:cs="Times New Roman"/>
          <w:b/>
          <w:bCs/>
          <w:sz w:val="24"/>
          <w:szCs w:val="24"/>
        </w:rPr>
        <w:sectPr w:rsidR="0087504F" w:rsidRPr="00344B5A" w:rsidSect="00E43644">
          <w:headerReference w:type="default" r:id="rId7"/>
          <w:pgSz w:w="11906" w:h="16838"/>
          <w:pgMar w:top="1418" w:right="1418" w:bottom="1418" w:left="1418" w:header="709" w:footer="709" w:gutter="0"/>
          <w:pgNumType w:fmt="lowerRoman" w:start="1"/>
          <w:cols w:space="708"/>
          <w:docGrid w:linePitch="360"/>
        </w:sectPr>
      </w:pPr>
    </w:p>
    <w:p w14:paraId="05D3C7CB" w14:textId="35DE03BA" w:rsidR="003E5826" w:rsidRPr="00344B5A" w:rsidRDefault="003E5826" w:rsidP="003E5826">
      <w:pPr>
        <w:pStyle w:val="Heading1"/>
        <w:spacing w:line="480" w:lineRule="auto"/>
        <w:rPr>
          <w:rFonts w:ascii="Times New Roman" w:hAnsi="Times New Roman" w:cs="Times New Roman"/>
          <w:b/>
          <w:bCs/>
          <w:color w:val="auto"/>
          <w:sz w:val="24"/>
          <w:szCs w:val="24"/>
        </w:rPr>
      </w:pPr>
      <w:bookmarkStart w:id="2" w:name="_Toc40006742"/>
      <w:r w:rsidRPr="00344B5A">
        <w:rPr>
          <w:rFonts w:ascii="Times New Roman" w:hAnsi="Times New Roman" w:cs="Times New Roman"/>
          <w:b/>
          <w:bCs/>
          <w:color w:val="auto"/>
          <w:sz w:val="24"/>
          <w:szCs w:val="24"/>
        </w:rPr>
        <w:lastRenderedPageBreak/>
        <w:t>Introduction</w:t>
      </w:r>
      <w:bookmarkEnd w:id="2"/>
    </w:p>
    <w:p w14:paraId="25B2EC29" w14:textId="7A436056"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The infamous historic epidemic of the Black Death swept across much of Europe with great force between 1347 and 1350, resulting in the estimated deaths of over one third of the population.</w:t>
      </w:r>
      <w:r w:rsidRPr="00344B5A">
        <w:rPr>
          <w:rFonts w:ascii="Times New Roman" w:hAnsi="Times New Roman" w:cs="Times New Roman"/>
          <w:sz w:val="24"/>
          <w:szCs w:val="24"/>
          <w:vertAlign w:val="superscript"/>
        </w:rPr>
        <w:footnoteReference w:id="1"/>
      </w:r>
      <w:r w:rsidRPr="00344B5A">
        <w:rPr>
          <w:rFonts w:ascii="Times New Roman" w:hAnsi="Times New Roman" w:cs="Times New Roman"/>
          <w:sz w:val="24"/>
          <w:szCs w:val="24"/>
        </w:rPr>
        <w:t xml:space="preserve"> Surviving contemporary fourteenth-century sources can provide a useful insight into the initial reaction of differing European countries when the plague arrived through harbours and docks, particularly from one of the most affected areas across Europe, the central Italian city of Florence. Some of the most popular contemporary Italian fourteenth-century sources allow scholars to observe and understand the reaction to the arrival of the plague, in particular Francesco Petrarch and Giovanni Boccaccio.</w:t>
      </w:r>
      <w:r w:rsidRPr="00344B5A">
        <w:rPr>
          <w:rFonts w:ascii="Times New Roman" w:hAnsi="Times New Roman" w:cs="Times New Roman"/>
          <w:sz w:val="24"/>
          <w:szCs w:val="24"/>
          <w:vertAlign w:val="superscript"/>
        </w:rPr>
        <w:footnoteReference w:id="2"/>
      </w:r>
      <w:r w:rsidRPr="00344B5A">
        <w:rPr>
          <w:rFonts w:ascii="Times New Roman" w:hAnsi="Times New Roman" w:cs="Times New Roman"/>
          <w:sz w:val="24"/>
          <w:szCs w:val="24"/>
        </w:rPr>
        <w:t xml:space="preserve"> In his work </w:t>
      </w:r>
      <w:r w:rsidRPr="00344B5A">
        <w:rPr>
          <w:rFonts w:ascii="Times New Roman" w:hAnsi="Times New Roman" w:cs="Times New Roman"/>
          <w:i/>
          <w:iCs/>
          <w:sz w:val="24"/>
          <w:szCs w:val="24"/>
        </w:rPr>
        <w:t>The Decameron</w:t>
      </w:r>
      <w:r w:rsidR="00363FDB" w:rsidRPr="00344B5A">
        <w:rPr>
          <w:rFonts w:ascii="Times New Roman" w:hAnsi="Times New Roman" w:cs="Times New Roman"/>
          <w:sz w:val="24"/>
          <w:szCs w:val="24"/>
        </w:rPr>
        <w:t>,</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Boccaccio describes that upon the arrival of plague in Florence, ‘this scourge had implanted so great a terror in the hearts of men and women that brothers abandoned brothers, uncles their nephews, sisters their brothers, and in many cases wives deserted their husbands.’</w:t>
      </w:r>
      <w:r w:rsidRPr="00344B5A">
        <w:rPr>
          <w:rFonts w:ascii="Times New Roman" w:hAnsi="Times New Roman" w:cs="Times New Roman"/>
          <w:sz w:val="24"/>
          <w:szCs w:val="24"/>
          <w:vertAlign w:val="superscript"/>
        </w:rPr>
        <w:footnoteReference w:id="3"/>
      </w:r>
      <w:r w:rsidRPr="00344B5A">
        <w:rPr>
          <w:rFonts w:ascii="Times New Roman" w:hAnsi="Times New Roman" w:cs="Times New Roman"/>
          <w:sz w:val="24"/>
          <w:szCs w:val="24"/>
        </w:rPr>
        <w:t xml:space="preserve"> The emotive nature of contemporary accounts provide</w:t>
      </w:r>
      <w:r w:rsidR="00FD04C0" w:rsidRPr="00344B5A">
        <w:rPr>
          <w:rFonts w:ascii="Times New Roman" w:hAnsi="Times New Roman" w:cs="Times New Roman"/>
          <w:sz w:val="24"/>
          <w:szCs w:val="24"/>
        </w:rPr>
        <w:t xml:space="preserve">s twenty-first century </w:t>
      </w:r>
      <w:r w:rsidRPr="00344B5A">
        <w:rPr>
          <w:rFonts w:ascii="Times New Roman" w:hAnsi="Times New Roman" w:cs="Times New Roman"/>
          <w:sz w:val="24"/>
          <w:szCs w:val="24"/>
        </w:rPr>
        <w:t>audiences with the chance to truly visualise the re</w:t>
      </w:r>
      <w:r w:rsidR="00FD04C0" w:rsidRPr="00344B5A">
        <w:rPr>
          <w:rFonts w:ascii="Times New Roman" w:hAnsi="Times New Roman" w:cs="Times New Roman"/>
          <w:sz w:val="24"/>
          <w:szCs w:val="24"/>
        </w:rPr>
        <w:t>sponse</w:t>
      </w:r>
      <w:r w:rsidRPr="00344B5A">
        <w:rPr>
          <w:rFonts w:ascii="Times New Roman" w:hAnsi="Times New Roman" w:cs="Times New Roman"/>
          <w:sz w:val="24"/>
          <w:szCs w:val="24"/>
        </w:rPr>
        <w:t xml:space="preserve"> to the arrival of the Black Death</w:t>
      </w:r>
      <w:r w:rsidR="002A352E" w:rsidRPr="00344B5A">
        <w:rPr>
          <w:rFonts w:ascii="Times New Roman" w:hAnsi="Times New Roman" w:cs="Times New Roman"/>
          <w:sz w:val="24"/>
          <w:szCs w:val="24"/>
        </w:rPr>
        <w:t xml:space="preserve"> through the </w:t>
      </w:r>
      <w:r w:rsidR="000B1C7C" w:rsidRPr="00344B5A">
        <w:rPr>
          <w:rFonts w:ascii="Times New Roman" w:hAnsi="Times New Roman" w:cs="Times New Roman"/>
          <w:sz w:val="24"/>
          <w:szCs w:val="24"/>
        </w:rPr>
        <w:t>scholarly concepts of intimate history and new historicism</w:t>
      </w:r>
      <w:r w:rsidRPr="00344B5A">
        <w:rPr>
          <w:rFonts w:ascii="Times New Roman" w:hAnsi="Times New Roman" w:cs="Times New Roman"/>
          <w:sz w:val="24"/>
          <w:szCs w:val="24"/>
        </w:rPr>
        <w:t xml:space="preserve">, and to an extent relive the events through the vivid nature of surviving works from the very perspective of those who survived them. </w:t>
      </w:r>
    </w:p>
    <w:p w14:paraId="5C1AB004" w14:textId="4526CCF3"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Fourteenth-century contemporary sources detailing the arrival of the Black Death in Italy reveal a series of complex reactions to the plague, </w:t>
      </w:r>
      <w:r w:rsidR="002E74EA" w:rsidRPr="00344B5A">
        <w:rPr>
          <w:rFonts w:ascii="Times New Roman" w:hAnsi="Times New Roman" w:cs="Times New Roman"/>
          <w:sz w:val="24"/>
          <w:szCs w:val="24"/>
        </w:rPr>
        <w:t xml:space="preserve">and close reading can highlight </w:t>
      </w:r>
      <w:r w:rsidRPr="00344B5A">
        <w:rPr>
          <w:rFonts w:ascii="Times New Roman" w:hAnsi="Times New Roman" w:cs="Times New Roman"/>
          <w:sz w:val="24"/>
          <w:szCs w:val="24"/>
        </w:rPr>
        <w:t xml:space="preserve">the extent to which these responses can be considered deliberately constructed historical narratives. A key consideration within the dissertation focus is the extent to which surviving contemporary </w:t>
      </w:r>
      <w:r w:rsidRPr="00344B5A">
        <w:rPr>
          <w:rFonts w:ascii="Times New Roman" w:hAnsi="Times New Roman" w:cs="Times New Roman"/>
          <w:sz w:val="24"/>
          <w:szCs w:val="24"/>
        </w:rPr>
        <w:lastRenderedPageBreak/>
        <w:t>sources from the mid-fourteenth century can be utilised and labelled as works of deliberate and constructed historical narrative. Despite the broadly understood meaning of literature as anything having been written</w:t>
      </w:r>
      <w:r w:rsidR="004340C0" w:rsidRPr="00344B5A">
        <w:rPr>
          <w:rFonts w:ascii="Times New Roman" w:hAnsi="Times New Roman" w:cs="Times New Roman"/>
          <w:sz w:val="24"/>
          <w:szCs w:val="24"/>
        </w:rPr>
        <w:t>;</w:t>
      </w:r>
      <w:r w:rsidRPr="00344B5A">
        <w:rPr>
          <w:rFonts w:ascii="Times New Roman" w:hAnsi="Times New Roman" w:cs="Times New Roman"/>
          <w:sz w:val="24"/>
          <w:szCs w:val="24"/>
        </w:rPr>
        <w:t xml:space="preserve"> in the continuous debate for a workable definition</w:t>
      </w:r>
      <w:r w:rsidR="004340C0" w:rsidRPr="00344B5A">
        <w:rPr>
          <w:rFonts w:ascii="Times New Roman" w:hAnsi="Times New Roman" w:cs="Times New Roman"/>
          <w:sz w:val="24"/>
          <w:szCs w:val="24"/>
        </w:rPr>
        <w:t>,</w:t>
      </w:r>
      <w:r w:rsidRPr="00344B5A">
        <w:rPr>
          <w:rFonts w:ascii="Times New Roman" w:hAnsi="Times New Roman" w:cs="Times New Roman"/>
          <w:sz w:val="24"/>
          <w:szCs w:val="24"/>
        </w:rPr>
        <w:t xml:space="preserve"> works of this nature ha</w:t>
      </w:r>
      <w:r w:rsidR="00F204E3" w:rsidRPr="00344B5A">
        <w:rPr>
          <w:rFonts w:ascii="Times New Roman" w:hAnsi="Times New Roman" w:cs="Times New Roman"/>
          <w:sz w:val="24"/>
          <w:szCs w:val="24"/>
        </w:rPr>
        <w:t>ve</w:t>
      </w:r>
      <w:r w:rsidRPr="00344B5A">
        <w:rPr>
          <w:rFonts w:ascii="Times New Roman" w:hAnsi="Times New Roman" w:cs="Times New Roman"/>
          <w:sz w:val="24"/>
          <w:szCs w:val="24"/>
        </w:rPr>
        <w:t xml:space="preserve"> been considered an artform </w:t>
      </w:r>
      <w:r w:rsidR="00F204E3" w:rsidRPr="00344B5A">
        <w:rPr>
          <w:rFonts w:ascii="Times New Roman" w:hAnsi="Times New Roman" w:cs="Times New Roman"/>
          <w:sz w:val="24"/>
          <w:szCs w:val="24"/>
        </w:rPr>
        <w:t>of</w:t>
      </w:r>
      <w:r w:rsidRPr="00344B5A">
        <w:rPr>
          <w:rFonts w:ascii="Times New Roman" w:hAnsi="Times New Roman" w:cs="Times New Roman"/>
          <w:sz w:val="24"/>
          <w:szCs w:val="24"/>
        </w:rPr>
        <w:t xml:space="preserve"> the fourteenth century</w:t>
      </w:r>
      <w:r w:rsidR="00F204E3" w:rsidRPr="00344B5A">
        <w:rPr>
          <w:rFonts w:ascii="Times New Roman" w:hAnsi="Times New Roman" w:cs="Times New Roman"/>
          <w:sz w:val="24"/>
          <w:szCs w:val="24"/>
        </w:rPr>
        <w:t xml:space="preserve"> </w:t>
      </w:r>
      <w:r w:rsidRPr="00344B5A">
        <w:rPr>
          <w:rFonts w:ascii="Times New Roman" w:hAnsi="Times New Roman" w:cs="Times New Roman"/>
          <w:sz w:val="24"/>
          <w:szCs w:val="24"/>
        </w:rPr>
        <w:t>as verbal or representational works of art.</w:t>
      </w:r>
      <w:r w:rsidRPr="00344B5A">
        <w:rPr>
          <w:rFonts w:ascii="Times New Roman" w:hAnsi="Times New Roman" w:cs="Times New Roman"/>
          <w:sz w:val="24"/>
          <w:szCs w:val="24"/>
          <w:vertAlign w:val="superscript"/>
        </w:rPr>
        <w:footnoteReference w:id="4"/>
      </w:r>
      <w:r w:rsidRPr="00344B5A">
        <w:rPr>
          <w:rFonts w:ascii="Times New Roman" w:hAnsi="Times New Roman" w:cs="Times New Roman"/>
          <w:sz w:val="24"/>
          <w:szCs w:val="24"/>
        </w:rPr>
        <w:t xml:space="preserve"> There are limitations to relying on literary works as historical narratives, despite the degree of historical accuracy to narrative works, the nature of literature in the fourteenth</w:t>
      </w:r>
      <w:r w:rsidR="00081C27"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century gave rise to bodies of literature intended solely for courtly entertainment. Surviving contemporary historical narratives from the fourteenth century </w:t>
      </w:r>
      <w:r w:rsidR="00F204E3" w:rsidRPr="00344B5A">
        <w:rPr>
          <w:rFonts w:ascii="Times New Roman" w:hAnsi="Times New Roman" w:cs="Times New Roman"/>
          <w:sz w:val="24"/>
          <w:szCs w:val="24"/>
        </w:rPr>
        <w:t xml:space="preserve">were </w:t>
      </w:r>
      <w:r w:rsidRPr="00344B5A">
        <w:rPr>
          <w:rFonts w:ascii="Times New Roman" w:hAnsi="Times New Roman" w:cs="Times New Roman"/>
          <w:sz w:val="24"/>
          <w:szCs w:val="24"/>
        </w:rPr>
        <w:t>often driven to entertain rather than accurately record historical events, drawing clear differences between</w:t>
      </w:r>
      <w:r w:rsidR="00F204E3"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contemporary </w:t>
      </w:r>
      <w:r w:rsidR="00F204E3" w:rsidRPr="00344B5A">
        <w:rPr>
          <w:rFonts w:ascii="Times New Roman" w:hAnsi="Times New Roman" w:cs="Times New Roman"/>
          <w:sz w:val="24"/>
          <w:szCs w:val="24"/>
        </w:rPr>
        <w:t xml:space="preserve">and twenty-first-century </w:t>
      </w:r>
      <w:r w:rsidRPr="00344B5A">
        <w:rPr>
          <w:rFonts w:ascii="Times New Roman" w:hAnsi="Times New Roman" w:cs="Times New Roman"/>
          <w:sz w:val="24"/>
          <w:szCs w:val="24"/>
        </w:rPr>
        <w:t xml:space="preserve">ideas surrounding the nature of historical record. </w:t>
      </w:r>
      <w:r w:rsidR="00F204E3" w:rsidRPr="00344B5A">
        <w:rPr>
          <w:rFonts w:ascii="Times New Roman" w:hAnsi="Times New Roman" w:cs="Times New Roman"/>
          <w:sz w:val="24"/>
          <w:szCs w:val="24"/>
        </w:rPr>
        <w:t>However, r</w:t>
      </w:r>
      <w:r w:rsidRPr="00344B5A">
        <w:rPr>
          <w:rFonts w:ascii="Times New Roman" w:hAnsi="Times New Roman" w:cs="Times New Roman"/>
          <w:sz w:val="24"/>
          <w:szCs w:val="24"/>
        </w:rPr>
        <w:t xml:space="preserve">egardless of the initial contemporary purpose of the source, to the twenty-first-century reader, the works of Boccaccio and Petrarch demonstrate the devastating impact of the Black Death. </w:t>
      </w:r>
    </w:p>
    <w:p w14:paraId="06DF8277" w14:textId="163F611A"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Furthermore, it can be seen that the relationship between contemporary sources greatly impacts the scholarly understanding of the text; if sources provide somewhat similar accounts of the arrival of the Black Death then multiple factors must be taken into</w:t>
      </w:r>
      <w:r w:rsidR="00F204E3" w:rsidRPr="00344B5A">
        <w:rPr>
          <w:rFonts w:ascii="Times New Roman" w:hAnsi="Times New Roman" w:cs="Times New Roman"/>
          <w:sz w:val="24"/>
          <w:szCs w:val="24"/>
        </w:rPr>
        <w:t xml:space="preserve"> consideration. In p</w:t>
      </w:r>
      <w:r w:rsidRPr="00344B5A">
        <w:rPr>
          <w:rFonts w:ascii="Times New Roman" w:hAnsi="Times New Roman" w:cs="Times New Roman"/>
          <w:sz w:val="24"/>
          <w:szCs w:val="24"/>
        </w:rPr>
        <w:t>articul</w:t>
      </w:r>
      <w:r w:rsidR="00F204E3" w:rsidRPr="00344B5A">
        <w:rPr>
          <w:rFonts w:ascii="Times New Roman" w:hAnsi="Times New Roman" w:cs="Times New Roman"/>
          <w:sz w:val="24"/>
          <w:szCs w:val="24"/>
        </w:rPr>
        <w:t>ar</w:t>
      </w:r>
      <w:r w:rsidRPr="00344B5A">
        <w:rPr>
          <w:rFonts w:ascii="Times New Roman" w:hAnsi="Times New Roman" w:cs="Times New Roman"/>
          <w:sz w:val="24"/>
          <w:szCs w:val="24"/>
        </w:rPr>
        <w:t xml:space="preserve"> the relation</w:t>
      </w:r>
      <w:r w:rsidR="00F204E3" w:rsidRPr="00344B5A">
        <w:rPr>
          <w:rFonts w:ascii="Times New Roman" w:hAnsi="Times New Roman" w:cs="Times New Roman"/>
          <w:sz w:val="24"/>
          <w:szCs w:val="24"/>
        </w:rPr>
        <w:t>ship</w:t>
      </w:r>
      <w:r w:rsidRPr="00344B5A">
        <w:rPr>
          <w:rFonts w:ascii="Times New Roman" w:hAnsi="Times New Roman" w:cs="Times New Roman"/>
          <w:sz w:val="24"/>
          <w:szCs w:val="24"/>
        </w:rPr>
        <w:t xml:space="preserve"> between sources as a result of shared material</w:t>
      </w:r>
      <w:r w:rsidR="00F204E3" w:rsidRPr="00344B5A">
        <w:rPr>
          <w:rFonts w:ascii="Times New Roman" w:hAnsi="Times New Roman" w:cs="Times New Roman"/>
          <w:sz w:val="24"/>
          <w:szCs w:val="24"/>
        </w:rPr>
        <w:t>,</w:t>
      </w:r>
      <w:r w:rsidRPr="00344B5A">
        <w:rPr>
          <w:rFonts w:ascii="Times New Roman" w:hAnsi="Times New Roman" w:cs="Times New Roman"/>
          <w:sz w:val="24"/>
          <w:szCs w:val="24"/>
        </w:rPr>
        <w:t xml:space="preserve"> which when read together could arguably provide a more reliable </w:t>
      </w:r>
      <w:r w:rsidR="00F204E3" w:rsidRPr="00344B5A">
        <w:rPr>
          <w:rFonts w:ascii="Times New Roman" w:hAnsi="Times New Roman" w:cs="Times New Roman"/>
          <w:sz w:val="24"/>
          <w:szCs w:val="24"/>
        </w:rPr>
        <w:t xml:space="preserve">and </w:t>
      </w:r>
      <w:r w:rsidR="002C21BD" w:rsidRPr="00344B5A">
        <w:rPr>
          <w:rFonts w:ascii="Times New Roman" w:hAnsi="Times New Roman" w:cs="Times New Roman"/>
          <w:sz w:val="24"/>
          <w:szCs w:val="24"/>
        </w:rPr>
        <w:t xml:space="preserve">rounded </w:t>
      </w:r>
      <w:r w:rsidR="00F204E3" w:rsidRPr="00344B5A">
        <w:rPr>
          <w:rFonts w:ascii="Times New Roman" w:hAnsi="Times New Roman" w:cs="Times New Roman"/>
          <w:sz w:val="24"/>
          <w:szCs w:val="24"/>
        </w:rPr>
        <w:t>narrative</w:t>
      </w:r>
      <w:r w:rsidR="002C21BD" w:rsidRPr="00344B5A">
        <w:rPr>
          <w:rFonts w:ascii="Times New Roman" w:hAnsi="Times New Roman" w:cs="Times New Roman"/>
          <w:sz w:val="24"/>
          <w:szCs w:val="24"/>
        </w:rPr>
        <w:t xml:space="preserve">. </w:t>
      </w:r>
      <w:r w:rsidR="00F204E3" w:rsidRPr="00344B5A">
        <w:rPr>
          <w:rFonts w:ascii="Times New Roman" w:hAnsi="Times New Roman" w:cs="Times New Roman"/>
          <w:sz w:val="24"/>
          <w:szCs w:val="24"/>
        </w:rPr>
        <w:t xml:space="preserve"> </w:t>
      </w:r>
      <w:r w:rsidRPr="00344B5A">
        <w:rPr>
          <w:rFonts w:ascii="Times New Roman" w:hAnsi="Times New Roman" w:cs="Times New Roman"/>
          <w:sz w:val="24"/>
          <w:szCs w:val="24"/>
        </w:rPr>
        <w:t>‘Textual community’ can be defined as a place or circle in which manuscripts were produced, read and circulated between likeminded individuals, in particular aristocratic circles often in relation to geographical location; Boccaccio and Petrarch who are known to have been close friends and are likely to have influenced one another.</w:t>
      </w:r>
      <w:r w:rsidRPr="00344B5A">
        <w:rPr>
          <w:rFonts w:ascii="Times New Roman" w:hAnsi="Times New Roman" w:cs="Times New Roman"/>
          <w:sz w:val="24"/>
          <w:szCs w:val="24"/>
          <w:vertAlign w:val="superscript"/>
        </w:rPr>
        <w:footnoteReference w:id="5"/>
      </w:r>
      <w:r w:rsidRPr="00344B5A">
        <w:rPr>
          <w:rFonts w:ascii="Times New Roman" w:hAnsi="Times New Roman" w:cs="Times New Roman"/>
          <w:sz w:val="24"/>
          <w:szCs w:val="24"/>
        </w:rPr>
        <w:t xml:space="preserve"> The comparison between contemporary sources</w:t>
      </w:r>
      <w:r w:rsidR="002C21BD" w:rsidRPr="00344B5A">
        <w:rPr>
          <w:rFonts w:ascii="Times New Roman" w:hAnsi="Times New Roman" w:cs="Times New Roman"/>
          <w:sz w:val="24"/>
          <w:szCs w:val="24"/>
        </w:rPr>
        <w:t xml:space="preserve"> </w:t>
      </w:r>
      <w:r w:rsidRPr="00344B5A">
        <w:rPr>
          <w:rFonts w:ascii="Times New Roman" w:hAnsi="Times New Roman" w:cs="Times New Roman"/>
          <w:sz w:val="24"/>
          <w:szCs w:val="24"/>
        </w:rPr>
        <w:lastRenderedPageBreak/>
        <w:t xml:space="preserve">both in Italy and across Europe, is therefore important to truly comprehend the initial reaction to the plague with the ability to break down the wider European impact. </w:t>
      </w:r>
      <w:r w:rsidR="00CF03B2" w:rsidRPr="00344B5A">
        <w:rPr>
          <w:rFonts w:ascii="Times New Roman" w:hAnsi="Times New Roman" w:cs="Times New Roman"/>
          <w:sz w:val="24"/>
          <w:szCs w:val="24"/>
        </w:rPr>
        <w:t>I</w:t>
      </w:r>
      <w:r w:rsidRPr="00344B5A">
        <w:rPr>
          <w:rFonts w:ascii="Times New Roman" w:hAnsi="Times New Roman" w:cs="Times New Roman"/>
          <w:sz w:val="24"/>
          <w:szCs w:val="24"/>
        </w:rPr>
        <w:t xml:space="preserve">n addition to exploring the similarities between contemporary literature, it is significant to also question the </w:t>
      </w:r>
      <w:r w:rsidR="008045CD" w:rsidRPr="00344B5A">
        <w:rPr>
          <w:rFonts w:ascii="Times New Roman" w:hAnsi="Times New Roman" w:cs="Times New Roman"/>
          <w:sz w:val="24"/>
          <w:szCs w:val="24"/>
        </w:rPr>
        <w:t xml:space="preserve">devastating impact of the pestilence on literature and ‘textual communities’ evident within the </w:t>
      </w:r>
      <w:r w:rsidRPr="00344B5A">
        <w:rPr>
          <w:rFonts w:ascii="Times New Roman" w:hAnsi="Times New Roman" w:cs="Times New Roman"/>
          <w:sz w:val="24"/>
          <w:szCs w:val="24"/>
        </w:rPr>
        <w:t>contribution of Boccaccio and Petrarch</w:t>
      </w:r>
      <w:r w:rsidR="008045CD" w:rsidRPr="00344B5A">
        <w:rPr>
          <w:rFonts w:ascii="Times New Roman" w:hAnsi="Times New Roman" w:cs="Times New Roman"/>
          <w:sz w:val="24"/>
          <w:szCs w:val="24"/>
        </w:rPr>
        <w:t xml:space="preserve"> </w:t>
      </w:r>
      <w:r w:rsidRPr="00344B5A">
        <w:rPr>
          <w:rFonts w:ascii="Times New Roman" w:hAnsi="Times New Roman" w:cs="Times New Roman"/>
          <w:sz w:val="24"/>
          <w:szCs w:val="24"/>
        </w:rPr>
        <w:t>towards the emergence of the Renaissance period in the mid-fourteenth century</w:t>
      </w:r>
      <w:r w:rsidR="008045CD" w:rsidRPr="00344B5A">
        <w:rPr>
          <w:rFonts w:ascii="Times New Roman" w:hAnsi="Times New Roman" w:cs="Times New Roman"/>
          <w:sz w:val="24"/>
          <w:szCs w:val="24"/>
        </w:rPr>
        <w:t xml:space="preserve">. </w:t>
      </w:r>
    </w:p>
    <w:p w14:paraId="479CD01E" w14:textId="6F17307D"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The majority of relevant and current scholarship is concerned solely with the economic, religious or demographic impact of the Black Death across the European population, and scholars such as Philip Ziegler and Ole J Benedictow provide undeniably integral studies of the Black Death to the wider academic understanding of the Black Death.</w:t>
      </w:r>
      <w:r w:rsidRPr="00344B5A">
        <w:rPr>
          <w:rFonts w:ascii="Times New Roman" w:hAnsi="Times New Roman" w:cs="Times New Roman"/>
          <w:sz w:val="24"/>
          <w:szCs w:val="24"/>
          <w:vertAlign w:val="superscript"/>
        </w:rPr>
        <w:footnoteReference w:id="6"/>
      </w:r>
      <w:r w:rsidRPr="00344B5A">
        <w:rPr>
          <w:rFonts w:ascii="Times New Roman" w:hAnsi="Times New Roman" w:cs="Times New Roman"/>
          <w:sz w:val="24"/>
          <w:szCs w:val="24"/>
        </w:rPr>
        <w:t xml:space="preserve"> However, Ziegler and Benedictow approach contemporary source</w:t>
      </w:r>
      <w:r w:rsidR="002C60CE" w:rsidRPr="00344B5A">
        <w:rPr>
          <w:rFonts w:ascii="Times New Roman" w:hAnsi="Times New Roman" w:cs="Times New Roman"/>
          <w:sz w:val="24"/>
          <w:szCs w:val="24"/>
        </w:rPr>
        <w:t>s</w:t>
      </w:r>
      <w:r w:rsidRPr="00344B5A">
        <w:rPr>
          <w:rFonts w:ascii="Times New Roman" w:hAnsi="Times New Roman" w:cs="Times New Roman"/>
          <w:sz w:val="24"/>
          <w:szCs w:val="24"/>
        </w:rPr>
        <w:t xml:space="preserve"> on the Black Death from a statistical standpoint focusing on parish records and contemporary attempts to calculate the mortality and infection rates of Europe</w:t>
      </w:r>
      <w:r w:rsidR="002C60CE" w:rsidRPr="00344B5A">
        <w:rPr>
          <w:rFonts w:ascii="Times New Roman" w:hAnsi="Times New Roman" w:cs="Times New Roman"/>
          <w:sz w:val="24"/>
          <w:szCs w:val="24"/>
        </w:rPr>
        <w:t>. Therefore,</w:t>
      </w:r>
      <w:r w:rsidRPr="00344B5A">
        <w:rPr>
          <w:rFonts w:ascii="Times New Roman" w:hAnsi="Times New Roman" w:cs="Times New Roman"/>
          <w:sz w:val="24"/>
          <w:szCs w:val="24"/>
        </w:rPr>
        <w:t xml:space="preserve"> at odds with the intended methodology of the dissertation in which works of this nature will prove beneficial but not imperative to analyse the statistical accuracy of contemporary literature. Another issue with modern scholarship is the macroscopic nature of research across Europe, however this study will narrow the focus to the city of Florence in the central Italian region of Tuscany in an attempt to reveal a more qualitive understanding of contemporary responses to the arrival of the Black Death through close reading of surviving sources.</w:t>
      </w:r>
      <w:r w:rsidRPr="00344B5A">
        <w:rPr>
          <w:rFonts w:ascii="Times New Roman" w:hAnsi="Times New Roman" w:cs="Times New Roman"/>
          <w:sz w:val="24"/>
          <w:szCs w:val="24"/>
          <w:vertAlign w:val="superscript"/>
        </w:rPr>
        <w:footnoteReference w:id="7"/>
      </w:r>
      <w:r w:rsidRPr="00344B5A">
        <w:rPr>
          <w:rFonts w:ascii="Times New Roman" w:hAnsi="Times New Roman" w:cs="Times New Roman"/>
          <w:sz w:val="24"/>
          <w:szCs w:val="24"/>
        </w:rPr>
        <w:t xml:space="preserve"> The conflicting nature of modern scholarship concerning statistics such as the estimated mortality rate or the exact dates within which the epidemic travelled are not explicit or accurate within surviving contemporary sources, and for the </w:t>
      </w:r>
      <w:r w:rsidRPr="00344B5A">
        <w:rPr>
          <w:rFonts w:ascii="Times New Roman" w:hAnsi="Times New Roman" w:cs="Times New Roman"/>
          <w:sz w:val="24"/>
          <w:szCs w:val="24"/>
        </w:rPr>
        <w:lastRenderedPageBreak/>
        <w:t xml:space="preserve">purpose of the dissertation it seemed significant to overlook these concerns and refer to them only for additional context and conclusions made from the featured contemporary literary sources. </w:t>
      </w:r>
    </w:p>
    <w:p w14:paraId="65E8F446" w14:textId="4DE07BE2"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Amongst the numerous contemporary sources related to the arrival of the Black Death in Florence and Italy more generally, the works of Giovanni Boccaccio and Francesco Petrarch are particularly pertinent in order to comprehend the horror and destructive nature of plague on the Italian population.</w:t>
      </w:r>
      <w:r w:rsidRPr="00344B5A">
        <w:rPr>
          <w:rFonts w:ascii="Times New Roman" w:hAnsi="Times New Roman" w:cs="Times New Roman"/>
          <w:sz w:val="24"/>
          <w:szCs w:val="24"/>
          <w:vertAlign w:val="superscript"/>
        </w:rPr>
        <w:footnoteReference w:id="8"/>
      </w:r>
      <w:r w:rsidRPr="00344B5A">
        <w:rPr>
          <w:rFonts w:ascii="Times New Roman" w:hAnsi="Times New Roman" w:cs="Times New Roman"/>
          <w:sz w:val="24"/>
          <w:szCs w:val="24"/>
        </w:rPr>
        <w:t xml:space="preserve"> As mentioned above, Boccaccio’s </w:t>
      </w:r>
      <w:r w:rsidRPr="00344B5A">
        <w:rPr>
          <w:rFonts w:ascii="Times New Roman" w:hAnsi="Times New Roman" w:cs="Times New Roman"/>
          <w:i/>
          <w:iCs/>
          <w:sz w:val="24"/>
          <w:szCs w:val="24"/>
        </w:rPr>
        <w:t xml:space="preserve">The Decameron </w:t>
      </w:r>
      <w:r w:rsidRPr="00344B5A">
        <w:rPr>
          <w:rFonts w:ascii="Times New Roman" w:hAnsi="Times New Roman" w:cs="Times New Roman"/>
          <w:sz w:val="24"/>
          <w:szCs w:val="24"/>
        </w:rPr>
        <w:t xml:space="preserve">and works of Petrarch such as the poems from the </w:t>
      </w:r>
      <w:r w:rsidRPr="00344B5A">
        <w:rPr>
          <w:rFonts w:ascii="Times New Roman" w:hAnsi="Times New Roman" w:cs="Times New Roman"/>
          <w:i/>
          <w:iCs/>
          <w:sz w:val="24"/>
          <w:szCs w:val="24"/>
        </w:rPr>
        <w:t xml:space="preserve">Canzoniere </w:t>
      </w:r>
      <w:r w:rsidRPr="00344B5A">
        <w:rPr>
          <w:rFonts w:ascii="Times New Roman" w:hAnsi="Times New Roman" w:cs="Times New Roman"/>
          <w:sz w:val="24"/>
          <w:szCs w:val="24"/>
        </w:rPr>
        <w:t>provide clear emotionally fuelled responses to the presence of Black Death in Florence, and allow for a reconstructed view of the reaction to the arrival of plague that cannot be drawn from statistical approaches.</w:t>
      </w:r>
      <w:r w:rsidRPr="00344B5A">
        <w:rPr>
          <w:rFonts w:ascii="Times New Roman" w:hAnsi="Times New Roman" w:cs="Times New Roman"/>
          <w:sz w:val="24"/>
          <w:szCs w:val="24"/>
          <w:vertAlign w:val="superscript"/>
        </w:rPr>
        <w:footnoteReference w:id="9"/>
      </w:r>
      <w:r w:rsidRPr="00344B5A">
        <w:rPr>
          <w:rFonts w:ascii="Times New Roman" w:hAnsi="Times New Roman" w:cs="Times New Roman"/>
          <w:sz w:val="24"/>
          <w:szCs w:val="24"/>
        </w:rPr>
        <w:t xml:space="preserve"> Alongside works of literary importance such as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 xml:space="preserve">and the </w:t>
      </w:r>
      <w:r w:rsidRPr="00344B5A">
        <w:rPr>
          <w:rFonts w:ascii="Times New Roman" w:hAnsi="Times New Roman" w:cs="Times New Roman"/>
          <w:i/>
          <w:iCs/>
          <w:sz w:val="24"/>
          <w:szCs w:val="24"/>
        </w:rPr>
        <w:t>Triumph of Death</w:t>
      </w:r>
      <w:r w:rsidRPr="00344B5A">
        <w:rPr>
          <w:rFonts w:ascii="Times New Roman" w:hAnsi="Times New Roman" w:cs="Times New Roman"/>
          <w:sz w:val="24"/>
          <w:szCs w:val="24"/>
        </w:rPr>
        <w:t xml:space="preserve">, works of deliberate historical narrative will also prove important to understand reactions to the Black Death, in particular Baldassarre Bonaiuti’s </w:t>
      </w:r>
      <w:r w:rsidRPr="00344B5A">
        <w:rPr>
          <w:rFonts w:ascii="Times New Roman" w:hAnsi="Times New Roman" w:cs="Times New Roman"/>
          <w:i/>
          <w:iCs/>
          <w:sz w:val="24"/>
          <w:szCs w:val="24"/>
        </w:rPr>
        <w:t xml:space="preserve">Cronaca Fiorentina di Marchionne di </w:t>
      </w:r>
      <w:proofErr w:type="spellStart"/>
      <w:r w:rsidRPr="00344B5A">
        <w:rPr>
          <w:rFonts w:ascii="Times New Roman" w:hAnsi="Times New Roman" w:cs="Times New Roman"/>
          <w:i/>
          <w:iCs/>
          <w:sz w:val="24"/>
          <w:szCs w:val="24"/>
        </w:rPr>
        <w:t>Coppo</w:t>
      </w:r>
      <w:proofErr w:type="spellEnd"/>
      <w:r w:rsidRPr="00344B5A">
        <w:rPr>
          <w:rFonts w:ascii="Times New Roman" w:hAnsi="Times New Roman" w:cs="Times New Roman"/>
          <w:i/>
          <w:iCs/>
          <w:sz w:val="24"/>
          <w:szCs w:val="24"/>
        </w:rPr>
        <w:t xml:space="preserve"> Stefani</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10"/>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 xml:space="preserve">It seems important to note that Boccaccio’s account of the Black Death appears to have been drawn from numerous literary influences, in particular Paul the Deacon’s eighth century work the </w:t>
      </w:r>
      <w:r w:rsidRPr="00344B5A">
        <w:rPr>
          <w:rFonts w:ascii="Times New Roman" w:hAnsi="Times New Roman" w:cs="Times New Roman"/>
          <w:i/>
          <w:iCs/>
          <w:sz w:val="24"/>
          <w:szCs w:val="24"/>
        </w:rPr>
        <w:t xml:space="preserve">Historia </w:t>
      </w:r>
      <w:proofErr w:type="spellStart"/>
      <w:r w:rsidRPr="00344B5A">
        <w:rPr>
          <w:rFonts w:ascii="Times New Roman" w:hAnsi="Times New Roman" w:cs="Times New Roman"/>
          <w:i/>
          <w:iCs/>
          <w:sz w:val="24"/>
          <w:szCs w:val="24"/>
        </w:rPr>
        <w:t>gentis</w:t>
      </w:r>
      <w:proofErr w:type="spellEnd"/>
      <w:r w:rsidRPr="00344B5A">
        <w:rPr>
          <w:rFonts w:ascii="Times New Roman" w:hAnsi="Times New Roman" w:cs="Times New Roman"/>
          <w:i/>
          <w:iCs/>
          <w:sz w:val="24"/>
          <w:szCs w:val="24"/>
        </w:rPr>
        <w:t xml:space="preserve"> Langobardorum</w:t>
      </w:r>
      <w:r w:rsidRPr="00344B5A">
        <w:rPr>
          <w:rFonts w:ascii="Times New Roman" w:hAnsi="Times New Roman" w:cs="Times New Roman"/>
          <w:sz w:val="24"/>
          <w:szCs w:val="24"/>
        </w:rPr>
        <w:t xml:space="preserve"> and cannot therefore </w:t>
      </w:r>
      <w:r w:rsidR="008A3D63" w:rsidRPr="00344B5A">
        <w:rPr>
          <w:rFonts w:ascii="Times New Roman" w:hAnsi="Times New Roman" w:cs="Times New Roman"/>
          <w:sz w:val="24"/>
          <w:szCs w:val="24"/>
        </w:rPr>
        <w:t xml:space="preserve">be </w:t>
      </w:r>
      <w:r w:rsidRPr="00344B5A">
        <w:rPr>
          <w:rFonts w:ascii="Times New Roman" w:hAnsi="Times New Roman" w:cs="Times New Roman"/>
          <w:sz w:val="24"/>
          <w:szCs w:val="24"/>
        </w:rPr>
        <w:t>considered as a complete eyewitness account.</w:t>
      </w:r>
      <w:r w:rsidRPr="00344B5A">
        <w:rPr>
          <w:rFonts w:ascii="Times New Roman" w:hAnsi="Times New Roman" w:cs="Times New Roman"/>
          <w:sz w:val="24"/>
          <w:szCs w:val="24"/>
          <w:vertAlign w:val="superscript"/>
        </w:rPr>
        <w:footnoteReference w:id="11"/>
      </w:r>
      <w:r w:rsidRPr="00344B5A">
        <w:rPr>
          <w:rFonts w:ascii="Times New Roman" w:hAnsi="Times New Roman" w:cs="Times New Roman"/>
          <w:sz w:val="24"/>
          <w:szCs w:val="24"/>
        </w:rPr>
        <w:t xml:space="preserve"> The reproduction and translation of the works of Boccaccio and Petrarch in the centuries following their composition has led to comprehensive works of </w:t>
      </w:r>
      <w:r w:rsidRPr="00344B5A">
        <w:rPr>
          <w:rFonts w:ascii="Times New Roman" w:hAnsi="Times New Roman" w:cs="Times New Roman"/>
          <w:sz w:val="24"/>
          <w:szCs w:val="24"/>
        </w:rPr>
        <w:lastRenderedPageBreak/>
        <w:t>scholarship on the Black Death, including those rewrites and revisions made by Boccaccio in the late fourteenth century.</w:t>
      </w:r>
      <w:r w:rsidRPr="00344B5A">
        <w:rPr>
          <w:rFonts w:ascii="Times New Roman" w:hAnsi="Times New Roman" w:cs="Times New Roman"/>
          <w:sz w:val="24"/>
          <w:szCs w:val="24"/>
          <w:vertAlign w:val="superscript"/>
        </w:rPr>
        <w:footnoteReference w:id="12"/>
      </w:r>
      <w:r w:rsidRPr="00344B5A">
        <w:rPr>
          <w:rFonts w:ascii="Times New Roman" w:hAnsi="Times New Roman" w:cs="Times New Roman"/>
          <w:sz w:val="24"/>
          <w:szCs w:val="24"/>
        </w:rPr>
        <w:t xml:space="preserve"> </w:t>
      </w:r>
    </w:p>
    <w:p w14:paraId="3C247BB6" w14:textId="02B37AC5" w:rsidR="00286848" w:rsidRPr="00344B5A" w:rsidRDefault="00286848"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The ability to read and understand contemporary writers such as Boccaccio and Petrarch through their fourteenth-century contextual surroundings allows for a comprehensive scholarly understanding of the events of the Black Death and the perceived reaction to its arrival as featured in surviving contemporary sources. The emergence of ‘intimate’ historical studies continues to draw upon historicism and in particular the approach of ‘new historicism’ through which literary study and analysis is given new depth of meaning. Historicism can be defined as the scholarly understanding that historical events should be researched and written about within their contemporary contexts, and that for example, ‘New Historicism argues that to read Shakespeare properly one has to read it from the perspective of his peers, and see it as his original audiences did.’</w:t>
      </w:r>
      <w:r w:rsidRPr="00344B5A">
        <w:rPr>
          <w:rFonts w:ascii="Times New Roman" w:hAnsi="Times New Roman" w:cs="Times New Roman"/>
          <w:sz w:val="24"/>
          <w:szCs w:val="24"/>
          <w:vertAlign w:val="superscript"/>
        </w:rPr>
        <w:footnoteReference w:id="13"/>
      </w:r>
      <w:r w:rsidRPr="00344B5A">
        <w:rPr>
          <w:rFonts w:ascii="Times New Roman" w:hAnsi="Times New Roman" w:cs="Times New Roman"/>
          <w:sz w:val="24"/>
          <w:szCs w:val="24"/>
        </w:rPr>
        <w:t xml:space="preserve"> Alongside the written reconstruction of the events of the mid-fourteenth century using surviving Florentine sources, it will prove beneficial to contrast the perceived reaction to the plague in Italy with contemporary written material from other European countries, such as the chronicled accounts of England and France, in particular the</w:t>
      </w:r>
      <w:r w:rsidRPr="00344B5A">
        <w:rPr>
          <w:rFonts w:ascii="Times New Roman" w:hAnsi="Times New Roman" w:cs="Times New Roman"/>
          <w:i/>
          <w:iCs/>
          <w:sz w:val="24"/>
          <w:szCs w:val="24"/>
        </w:rPr>
        <w:t xml:space="preserve"> Chronicle of Geoffrey le Baker of Swinbrook</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14"/>
      </w:r>
      <w:r w:rsidRPr="00344B5A">
        <w:rPr>
          <w:rFonts w:ascii="Times New Roman" w:hAnsi="Times New Roman" w:cs="Times New Roman"/>
          <w:sz w:val="24"/>
          <w:szCs w:val="24"/>
        </w:rPr>
        <w:t xml:space="preserve"> Utilising historicism as a literary approach will </w:t>
      </w:r>
      <w:r w:rsidR="0000229D" w:rsidRPr="00344B5A">
        <w:rPr>
          <w:rFonts w:ascii="Times New Roman" w:hAnsi="Times New Roman" w:cs="Times New Roman"/>
          <w:sz w:val="24"/>
          <w:szCs w:val="24"/>
        </w:rPr>
        <w:t>compl</w:t>
      </w:r>
      <w:r w:rsidR="0000229D">
        <w:rPr>
          <w:rFonts w:ascii="Times New Roman" w:hAnsi="Times New Roman" w:cs="Times New Roman"/>
          <w:sz w:val="24"/>
          <w:szCs w:val="24"/>
        </w:rPr>
        <w:t>e</w:t>
      </w:r>
      <w:r w:rsidR="0000229D" w:rsidRPr="00344B5A">
        <w:rPr>
          <w:rFonts w:ascii="Times New Roman" w:hAnsi="Times New Roman" w:cs="Times New Roman"/>
          <w:sz w:val="24"/>
          <w:szCs w:val="24"/>
        </w:rPr>
        <w:t>ment</w:t>
      </w:r>
      <w:r w:rsidRPr="00344B5A">
        <w:rPr>
          <w:rFonts w:ascii="Times New Roman" w:hAnsi="Times New Roman" w:cs="Times New Roman"/>
          <w:sz w:val="24"/>
          <w:szCs w:val="24"/>
        </w:rPr>
        <w:t xml:space="preserve"> the focus of a more ‘intimate’ approach to the Black Death in Florence, resulting in a more comprehensive understanding of the fear and uncertainty witnessed by the Italian population in the mid-fourteenth century. </w:t>
      </w:r>
    </w:p>
    <w:p w14:paraId="34F0186B" w14:textId="2B2ACC5D"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Secondary scholarship on the Black Death will provide context and useful information such as demographics or statistics to enable closer reading of contemporary works where these </w:t>
      </w:r>
      <w:r w:rsidRPr="00344B5A">
        <w:rPr>
          <w:rFonts w:ascii="Times New Roman" w:hAnsi="Times New Roman" w:cs="Times New Roman"/>
          <w:sz w:val="24"/>
          <w:szCs w:val="24"/>
        </w:rPr>
        <w:lastRenderedPageBreak/>
        <w:t>details are not explicitly present or are unclear. The surviving contemporary works of Boccaccio and Petrarch provide an invaluable resource for understanding the reaction of Florentine society to the arrival of the Black Death in 1348, and therefore lend themselves wholly to ‘intimate history’ and ‘new historicism’. Using contemporary sources alongside the established methodolog</w:t>
      </w:r>
      <w:r w:rsidR="00391E9C" w:rsidRPr="00344B5A">
        <w:rPr>
          <w:rFonts w:ascii="Times New Roman" w:hAnsi="Times New Roman" w:cs="Times New Roman"/>
          <w:sz w:val="24"/>
          <w:szCs w:val="24"/>
        </w:rPr>
        <w:t>ies</w:t>
      </w:r>
      <w:r w:rsidRPr="00344B5A">
        <w:rPr>
          <w:rFonts w:ascii="Times New Roman" w:hAnsi="Times New Roman" w:cs="Times New Roman"/>
          <w:sz w:val="24"/>
          <w:szCs w:val="24"/>
        </w:rPr>
        <w:t xml:space="preserve"> of intimate history and new historicism</w:t>
      </w:r>
      <w:r w:rsidR="00C40E64" w:rsidRPr="00344B5A">
        <w:rPr>
          <w:rFonts w:ascii="Times New Roman" w:hAnsi="Times New Roman" w:cs="Times New Roman"/>
          <w:sz w:val="24"/>
          <w:szCs w:val="24"/>
        </w:rPr>
        <w:t>, sources</w:t>
      </w:r>
      <w:r w:rsidRPr="00344B5A">
        <w:rPr>
          <w:rFonts w:ascii="Times New Roman" w:hAnsi="Times New Roman" w:cs="Times New Roman"/>
          <w:sz w:val="24"/>
          <w:szCs w:val="24"/>
        </w:rPr>
        <w:t xml:space="preserve"> can be given depth and context by ascertaining the accuracy of the surviving literature by Boccaccio and Petrarch. </w:t>
      </w:r>
      <w:r w:rsidR="00C40E64" w:rsidRPr="00344B5A">
        <w:rPr>
          <w:rFonts w:ascii="Times New Roman" w:hAnsi="Times New Roman" w:cs="Times New Roman"/>
          <w:sz w:val="24"/>
          <w:szCs w:val="24"/>
        </w:rPr>
        <w:t>S</w:t>
      </w:r>
      <w:r w:rsidRPr="00344B5A">
        <w:rPr>
          <w:rFonts w:ascii="Times New Roman" w:hAnsi="Times New Roman" w:cs="Times New Roman"/>
          <w:sz w:val="24"/>
          <w:szCs w:val="24"/>
        </w:rPr>
        <w:t xml:space="preserve">econdary scholarship such as Philip Ziegler’s </w:t>
      </w:r>
      <w:r w:rsidRPr="00344B5A">
        <w:rPr>
          <w:rFonts w:ascii="Times New Roman" w:hAnsi="Times New Roman" w:cs="Times New Roman"/>
          <w:i/>
          <w:iCs/>
          <w:sz w:val="24"/>
          <w:szCs w:val="24"/>
        </w:rPr>
        <w:t xml:space="preserve">The Black Death </w:t>
      </w:r>
      <w:r w:rsidRPr="00344B5A">
        <w:rPr>
          <w:rFonts w:ascii="Times New Roman" w:hAnsi="Times New Roman" w:cs="Times New Roman"/>
          <w:sz w:val="24"/>
          <w:szCs w:val="24"/>
        </w:rPr>
        <w:t xml:space="preserve">or William McNeill’s </w:t>
      </w:r>
      <w:r w:rsidRPr="00344B5A">
        <w:rPr>
          <w:rFonts w:ascii="Times New Roman" w:hAnsi="Times New Roman" w:cs="Times New Roman"/>
          <w:i/>
          <w:iCs/>
          <w:sz w:val="24"/>
          <w:szCs w:val="24"/>
        </w:rPr>
        <w:t xml:space="preserve">Plagues and Peoples </w:t>
      </w:r>
      <w:r w:rsidRPr="00344B5A">
        <w:rPr>
          <w:rFonts w:ascii="Times New Roman" w:hAnsi="Times New Roman" w:cs="Times New Roman"/>
          <w:sz w:val="24"/>
          <w:szCs w:val="24"/>
        </w:rPr>
        <w:t>will prove essential to explore the accuracy of contemporary sources and their literary portrayal of the Black Death, in particular in relation to historical accuracy within narrative and literature intended purely to entertain.</w:t>
      </w:r>
      <w:r w:rsidRPr="00344B5A">
        <w:rPr>
          <w:rFonts w:ascii="Times New Roman" w:hAnsi="Times New Roman" w:cs="Times New Roman"/>
          <w:sz w:val="24"/>
          <w:szCs w:val="24"/>
          <w:vertAlign w:val="superscript"/>
        </w:rPr>
        <w:footnoteReference w:id="15"/>
      </w:r>
      <w:r w:rsidRPr="00344B5A">
        <w:rPr>
          <w:rFonts w:ascii="Times New Roman" w:hAnsi="Times New Roman" w:cs="Times New Roman"/>
          <w:sz w:val="24"/>
          <w:szCs w:val="24"/>
        </w:rPr>
        <w:t xml:space="preserve"> It has been widely acknowledged that contemporary sources such as Boccaccio’s </w:t>
      </w:r>
      <w:r w:rsidRPr="00344B5A">
        <w:rPr>
          <w:rFonts w:ascii="Times New Roman" w:hAnsi="Times New Roman" w:cs="Times New Roman"/>
          <w:i/>
          <w:iCs/>
          <w:sz w:val="24"/>
          <w:szCs w:val="24"/>
        </w:rPr>
        <w:t xml:space="preserve">The Decameron </w:t>
      </w:r>
      <w:r w:rsidRPr="00344B5A">
        <w:rPr>
          <w:rFonts w:ascii="Times New Roman" w:hAnsi="Times New Roman" w:cs="Times New Roman"/>
          <w:sz w:val="24"/>
          <w:szCs w:val="24"/>
        </w:rPr>
        <w:t>are somewhat exaggerated in the estimation or calculation of the Black Death’s mortality rate, and historians such as Ziegler highlight the inaccuracies of contemporary sources across Europe.</w:t>
      </w:r>
      <w:r w:rsidRPr="00344B5A">
        <w:rPr>
          <w:rFonts w:ascii="Times New Roman" w:hAnsi="Times New Roman" w:cs="Times New Roman"/>
          <w:sz w:val="24"/>
          <w:szCs w:val="24"/>
          <w:vertAlign w:val="superscript"/>
        </w:rPr>
        <w:footnoteReference w:id="16"/>
      </w:r>
      <w:r w:rsidRPr="00344B5A">
        <w:rPr>
          <w:rFonts w:ascii="Times New Roman" w:hAnsi="Times New Roman" w:cs="Times New Roman"/>
          <w:sz w:val="24"/>
          <w:szCs w:val="24"/>
        </w:rPr>
        <w:t xml:space="preserve"> Furthermore, historian Rosemary </w:t>
      </w:r>
      <w:proofErr w:type="spellStart"/>
      <w:r w:rsidRPr="00344B5A">
        <w:rPr>
          <w:rFonts w:ascii="Times New Roman" w:hAnsi="Times New Roman" w:cs="Times New Roman"/>
          <w:sz w:val="24"/>
          <w:szCs w:val="24"/>
        </w:rPr>
        <w:t>Horrox’s</w:t>
      </w:r>
      <w:proofErr w:type="spellEnd"/>
      <w:r w:rsidRPr="00344B5A">
        <w:rPr>
          <w:rFonts w:ascii="Times New Roman" w:hAnsi="Times New Roman" w:cs="Times New Roman"/>
          <w:sz w:val="24"/>
          <w:szCs w:val="24"/>
        </w:rPr>
        <w:t xml:space="preserve"> work </w:t>
      </w:r>
      <w:r w:rsidRPr="00344B5A">
        <w:rPr>
          <w:rFonts w:ascii="Times New Roman" w:hAnsi="Times New Roman" w:cs="Times New Roman"/>
          <w:i/>
          <w:iCs/>
          <w:sz w:val="24"/>
          <w:szCs w:val="24"/>
        </w:rPr>
        <w:t xml:space="preserve">The Black Death </w:t>
      </w:r>
      <w:r w:rsidRPr="00344B5A">
        <w:rPr>
          <w:rFonts w:ascii="Times New Roman" w:hAnsi="Times New Roman" w:cs="Times New Roman"/>
          <w:sz w:val="24"/>
          <w:szCs w:val="24"/>
        </w:rPr>
        <w:t>utilises contemporary source material in order to explore the varying factors affecting the European population following the period of plague</w:t>
      </w:r>
      <w:r w:rsidR="00C56AD0" w:rsidRPr="00344B5A">
        <w:rPr>
          <w:rFonts w:ascii="Times New Roman" w:hAnsi="Times New Roman" w:cs="Times New Roman"/>
          <w:sz w:val="24"/>
          <w:szCs w:val="24"/>
        </w:rPr>
        <w:t>. T</w:t>
      </w:r>
      <w:r w:rsidRPr="00344B5A">
        <w:rPr>
          <w:rFonts w:ascii="Times New Roman" w:hAnsi="Times New Roman" w:cs="Times New Roman"/>
          <w:sz w:val="24"/>
          <w:szCs w:val="24"/>
        </w:rPr>
        <w:t>he dissertation will benefit from this methodology</w:t>
      </w:r>
      <w:r w:rsidR="00C56AD0" w:rsidRPr="00344B5A">
        <w:rPr>
          <w:rFonts w:ascii="Times New Roman" w:hAnsi="Times New Roman" w:cs="Times New Roman"/>
          <w:sz w:val="24"/>
          <w:szCs w:val="24"/>
        </w:rPr>
        <w:t>, however</w:t>
      </w:r>
      <w:r w:rsidRPr="00344B5A">
        <w:rPr>
          <w:rFonts w:ascii="Times New Roman" w:hAnsi="Times New Roman" w:cs="Times New Roman"/>
          <w:sz w:val="24"/>
          <w:szCs w:val="24"/>
        </w:rPr>
        <w:t xml:space="preserve"> </w:t>
      </w:r>
      <w:proofErr w:type="spellStart"/>
      <w:r w:rsidRPr="00344B5A">
        <w:rPr>
          <w:rFonts w:ascii="Times New Roman" w:hAnsi="Times New Roman" w:cs="Times New Roman"/>
          <w:sz w:val="24"/>
          <w:szCs w:val="24"/>
        </w:rPr>
        <w:t>Horrox’s</w:t>
      </w:r>
      <w:proofErr w:type="spellEnd"/>
      <w:r w:rsidRPr="00344B5A">
        <w:rPr>
          <w:rFonts w:ascii="Times New Roman" w:hAnsi="Times New Roman" w:cs="Times New Roman"/>
          <w:sz w:val="24"/>
          <w:szCs w:val="24"/>
        </w:rPr>
        <w:t xml:space="preserve"> macroscopic geographical focus contrasts the narrowed focus on Italy and particularly Florence.</w:t>
      </w:r>
      <w:r w:rsidRPr="00344B5A">
        <w:rPr>
          <w:rFonts w:ascii="Times New Roman" w:hAnsi="Times New Roman" w:cs="Times New Roman"/>
          <w:sz w:val="24"/>
          <w:szCs w:val="24"/>
          <w:vertAlign w:val="superscript"/>
        </w:rPr>
        <w:footnoteReference w:id="17"/>
      </w:r>
    </w:p>
    <w:p w14:paraId="79E5856D" w14:textId="590F07A3"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Although in the most literary sense, to be able to understand the thoughts and emotions of a fourteenth-century individual caught up in one of history’s most devastating epidemics is somewhat unachievable, this is not to say that twenty-first-century historians cannot comprehend the fear and chaotic reception of the Black Death. Historian Ian Mortimer summarises within the introduction to </w:t>
      </w:r>
      <w:r w:rsidRPr="00344B5A">
        <w:rPr>
          <w:rFonts w:ascii="Times New Roman" w:hAnsi="Times New Roman" w:cs="Times New Roman"/>
          <w:i/>
          <w:iCs/>
          <w:sz w:val="24"/>
          <w:szCs w:val="24"/>
        </w:rPr>
        <w:t xml:space="preserve">The Time Traveller’s Guide To Medieval England </w:t>
      </w:r>
      <w:r w:rsidRPr="00344B5A">
        <w:rPr>
          <w:rFonts w:ascii="Times New Roman" w:hAnsi="Times New Roman" w:cs="Times New Roman"/>
          <w:sz w:val="24"/>
          <w:szCs w:val="24"/>
        </w:rPr>
        <w:t xml:space="preserve">that </w:t>
      </w:r>
      <w:r w:rsidRPr="00344B5A">
        <w:rPr>
          <w:rFonts w:ascii="Times New Roman" w:hAnsi="Times New Roman" w:cs="Times New Roman"/>
          <w:sz w:val="24"/>
          <w:szCs w:val="24"/>
        </w:rPr>
        <w:lastRenderedPageBreak/>
        <w:t>‘our sole context for understanding all the historical data we might ever gather is our own life experience.’</w:t>
      </w:r>
      <w:r w:rsidRPr="00344B5A">
        <w:rPr>
          <w:rFonts w:ascii="Times New Roman" w:hAnsi="Times New Roman" w:cs="Times New Roman"/>
          <w:sz w:val="24"/>
          <w:szCs w:val="24"/>
          <w:vertAlign w:val="superscript"/>
        </w:rPr>
        <w:footnoteReference w:id="18"/>
      </w:r>
      <w:r w:rsidRPr="00344B5A">
        <w:rPr>
          <w:rFonts w:ascii="Times New Roman" w:hAnsi="Times New Roman" w:cs="Times New Roman"/>
          <w:sz w:val="24"/>
          <w:szCs w:val="24"/>
        </w:rPr>
        <w:t xml:space="preserve"> Another historian who approaches the exact events of the Black Death from an ‘intimate’ although more microhistorical direction is John Hatcher whose work follows the Su</w:t>
      </w:r>
      <w:r w:rsidR="0000229D">
        <w:rPr>
          <w:rFonts w:ascii="Times New Roman" w:hAnsi="Times New Roman" w:cs="Times New Roman"/>
          <w:sz w:val="24"/>
          <w:szCs w:val="24"/>
        </w:rPr>
        <w:t>ffolk</w:t>
      </w:r>
      <w:r w:rsidRPr="00344B5A">
        <w:rPr>
          <w:rFonts w:ascii="Times New Roman" w:hAnsi="Times New Roman" w:cs="Times New Roman"/>
          <w:sz w:val="24"/>
          <w:szCs w:val="24"/>
        </w:rPr>
        <w:t xml:space="preserve"> village of Walsham le Willows, </w:t>
      </w:r>
      <w:r w:rsidRPr="00344B5A">
        <w:rPr>
          <w:rFonts w:ascii="Times New Roman" w:hAnsi="Times New Roman" w:cs="Times New Roman"/>
          <w:i/>
          <w:iCs/>
          <w:sz w:val="24"/>
          <w:szCs w:val="24"/>
        </w:rPr>
        <w:t xml:space="preserve">The Black Death: An Intimate History </w:t>
      </w:r>
      <w:r w:rsidR="00AB060F" w:rsidRPr="00344B5A">
        <w:rPr>
          <w:rFonts w:ascii="Times New Roman" w:hAnsi="Times New Roman" w:cs="Times New Roman"/>
          <w:sz w:val="24"/>
          <w:szCs w:val="24"/>
        </w:rPr>
        <w:t xml:space="preserve">and </w:t>
      </w:r>
      <w:r w:rsidRPr="00344B5A">
        <w:rPr>
          <w:rFonts w:ascii="Times New Roman" w:hAnsi="Times New Roman" w:cs="Times New Roman"/>
          <w:sz w:val="24"/>
          <w:szCs w:val="24"/>
        </w:rPr>
        <w:t>succinctly emphasises that ‘the intimate history of the Black Death, as witnessed by those who experienced it, was never recorded.’</w:t>
      </w:r>
      <w:r w:rsidRPr="00344B5A">
        <w:rPr>
          <w:rFonts w:ascii="Times New Roman" w:hAnsi="Times New Roman" w:cs="Times New Roman"/>
          <w:sz w:val="24"/>
          <w:szCs w:val="24"/>
          <w:vertAlign w:val="superscript"/>
        </w:rPr>
        <w:footnoteReference w:id="19"/>
      </w:r>
      <w:r w:rsidRPr="00344B5A">
        <w:rPr>
          <w:rFonts w:ascii="Times New Roman" w:hAnsi="Times New Roman" w:cs="Times New Roman"/>
          <w:sz w:val="24"/>
          <w:szCs w:val="24"/>
        </w:rPr>
        <w:t xml:space="preserve"> </w:t>
      </w:r>
      <w:r w:rsidR="00464E7B" w:rsidRPr="00344B5A">
        <w:rPr>
          <w:rFonts w:ascii="Times New Roman" w:hAnsi="Times New Roman" w:cs="Times New Roman"/>
          <w:sz w:val="24"/>
          <w:szCs w:val="24"/>
        </w:rPr>
        <w:t xml:space="preserve">However, with the survival of the alleged eyewitness accounts of Boccaccio and Petrarch, </w:t>
      </w:r>
      <w:r w:rsidR="008D6697" w:rsidRPr="00344B5A">
        <w:rPr>
          <w:rFonts w:ascii="Times New Roman" w:hAnsi="Times New Roman" w:cs="Times New Roman"/>
          <w:sz w:val="24"/>
          <w:szCs w:val="24"/>
        </w:rPr>
        <w:t>it is to an extent possible to experience the outbreak of the Black Death</w:t>
      </w:r>
      <w:r w:rsidR="00A7537A" w:rsidRPr="00344B5A">
        <w:rPr>
          <w:rFonts w:ascii="Times New Roman" w:hAnsi="Times New Roman" w:cs="Times New Roman"/>
          <w:sz w:val="24"/>
          <w:szCs w:val="24"/>
        </w:rPr>
        <w:t xml:space="preserve"> in the city of Florence. </w:t>
      </w:r>
      <w:r w:rsidRPr="00344B5A">
        <w:rPr>
          <w:rFonts w:ascii="Times New Roman" w:hAnsi="Times New Roman" w:cs="Times New Roman"/>
          <w:sz w:val="24"/>
          <w:szCs w:val="24"/>
        </w:rPr>
        <w:t xml:space="preserve">Following the methodological approach of historians such as Hatcher and Mortimer allows for a greater understanding of </w:t>
      </w:r>
      <w:r w:rsidR="004340C0" w:rsidRPr="00344B5A">
        <w:rPr>
          <w:rFonts w:ascii="Times New Roman" w:hAnsi="Times New Roman" w:cs="Times New Roman"/>
          <w:sz w:val="24"/>
          <w:szCs w:val="24"/>
        </w:rPr>
        <w:t xml:space="preserve">how </w:t>
      </w:r>
      <w:r w:rsidRPr="00344B5A">
        <w:rPr>
          <w:rFonts w:ascii="Times New Roman" w:hAnsi="Times New Roman" w:cs="Times New Roman"/>
          <w:sz w:val="24"/>
          <w:szCs w:val="24"/>
        </w:rPr>
        <w:t>comprehensive account</w:t>
      </w:r>
      <w:r w:rsidR="004340C0" w:rsidRPr="00344B5A">
        <w:rPr>
          <w:rFonts w:ascii="Times New Roman" w:hAnsi="Times New Roman" w:cs="Times New Roman"/>
          <w:sz w:val="24"/>
          <w:szCs w:val="24"/>
        </w:rPr>
        <w:t>s</w:t>
      </w:r>
      <w:r w:rsidRPr="00344B5A">
        <w:rPr>
          <w:rFonts w:ascii="Times New Roman" w:hAnsi="Times New Roman" w:cs="Times New Roman"/>
          <w:sz w:val="24"/>
          <w:szCs w:val="24"/>
        </w:rPr>
        <w:t xml:space="preserve"> of the Black Death can be utilised in order to reproduce and relive the traumatic experience described in surviving contemporary sources. </w:t>
      </w:r>
    </w:p>
    <w:p w14:paraId="23F291D9" w14:textId="12347CC4" w:rsidR="00034B62"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The dissertation will follow the lives of those who lived and died during the period of the arrival of the Black Death in Florence, utilising surviving fourteenth century sources to judge the responses to the plague and the subsequent contemporary opinion.</w:t>
      </w:r>
      <w:r w:rsidR="005D753C" w:rsidRPr="00344B5A">
        <w:rPr>
          <w:rFonts w:ascii="Times New Roman" w:hAnsi="Times New Roman" w:cs="Times New Roman"/>
          <w:sz w:val="24"/>
          <w:szCs w:val="24"/>
        </w:rPr>
        <w:t xml:space="preserve"> Chapter One will</w:t>
      </w:r>
      <w:r w:rsidR="00893DF4" w:rsidRPr="00344B5A">
        <w:rPr>
          <w:rFonts w:ascii="Times New Roman" w:hAnsi="Times New Roman" w:cs="Times New Roman"/>
          <w:sz w:val="24"/>
          <w:szCs w:val="24"/>
        </w:rPr>
        <w:t xml:space="preserve"> consider that</w:t>
      </w:r>
      <w:r w:rsidRPr="00344B5A">
        <w:rPr>
          <w:rFonts w:ascii="Times New Roman" w:hAnsi="Times New Roman" w:cs="Times New Roman"/>
          <w:sz w:val="24"/>
          <w:szCs w:val="24"/>
        </w:rPr>
        <w:t xml:space="preserve"> from surviving contemporary sources such as Boccaccio, a seemingly large proportion of the Florentine population fled the city upon the arrival of the Black Death in March of 1348 and the perceived justification for doing so does not go uncriticised by Boccaccio.</w:t>
      </w:r>
      <w:r w:rsidR="005D753C" w:rsidRPr="00344B5A">
        <w:rPr>
          <w:rFonts w:ascii="Times New Roman" w:hAnsi="Times New Roman" w:cs="Times New Roman"/>
          <w:sz w:val="24"/>
          <w:szCs w:val="24"/>
        </w:rPr>
        <w:t xml:space="preserve"> Following</w:t>
      </w:r>
      <w:r w:rsidR="00254343" w:rsidRPr="00344B5A">
        <w:rPr>
          <w:rFonts w:ascii="Times New Roman" w:hAnsi="Times New Roman" w:cs="Times New Roman"/>
          <w:sz w:val="24"/>
          <w:szCs w:val="24"/>
        </w:rPr>
        <w:t xml:space="preserve"> this, Chapter Two will highlight that </w:t>
      </w:r>
      <w:r w:rsidRPr="00344B5A">
        <w:rPr>
          <w:rFonts w:ascii="Times New Roman" w:hAnsi="Times New Roman" w:cs="Times New Roman"/>
          <w:sz w:val="24"/>
          <w:szCs w:val="24"/>
        </w:rPr>
        <w:t>the population of Florence who remained with</w:t>
      </w:r>
      <w:r w:rsidR="008A3D63" w:rsidRPr="00344B5A">
        <w:rPr>
          <w:rFonts w:ascii="Times New Roman" w:hAnsi="Times New Roman" w:cs="Times New Roman"/>
          <w:sz w:val="24"/>
          <w:szCs w:val="24"/>
        </w:rPr>
        <w:t>in</w:t>
      </w:r>
      <w:r w:rsidRPr="00344B5A">
        <w:rPr>
          <w:rFonts w:ascii="Times New Roman" w:hAnsi="Times New Roman" w:cs="Times New Roman"/>
          <w:sz w:val="24"/>
          <w:szCs w:val="24"/>
        </w:rPr>
        <w:t xml:space="preserve"> the city walls cannot be assumed to have reacted cohesively, and the nature and understanding of the spread of the pestilence can be seen to have impacted responses greatly. </w:t>
      </w:r>
      <w:r w:rsidR="00254343" w:rsidRPr="00344B5A">
        <w:rPr>
          <w:rFonts w:ascii="Times New Roman" w:hAnsi="Times New Roman" w:cs="Times New Roman"/>
          <w:sz w:val="24"/>
          <w:szCs w:val="24"/>
        </w:rPr>
        <w:t>In Chapter Three</w:t>
      </w:r>
      <w:r w:rsidRPr="00344B5A">
        <w:rPr>
          <w:rFonts w:ascii="Times New Roman" w:hAnsi="Times New Roman" w:cs="Times New Roman"/>
          <w:sz w:val="24"/>
          <w:szCs w:val="24"/>
        </w:rPr>
        <w:t xml:space="preserve">, the responses to the Black Death made by both secular and ecclesiastical bodies of governing officials provide an insight into the successful and ultimately unsuccessful attempts to prevent the spread of the pestilence throughout the city of </w:t>
      </w:r>
      <w:r w:rsidRPr="00344B5A">
        <w:rPr>
          <w:rFonts w:ascii="Times New Roman" w:hAnsi="Times New Roman" w:cs="Times New Roman"/>
          <w:sz w:val="24"/>
          <w:szCs w:val="24"/>
        </w:rPr>
        <w:lastRenderedPageBreak/>
        <w:t>Florence. Boccaccio and Bonaiuti provide harrowing accounts of rushed funeral rites and mass burials in plague pits, stressing that regardless of the governing actions of officials, the Black Death was an unstoppable force across Florence and the rest of Europe ultimately resulting in the death of millions of people.</w:t>
      </w:r>
    </w:p>
    <w:p w14:paraId="6A5F37D8" w14:textId="77777777" w:rsidR="0087504F" w:rsidRPr="00344B5A" w:rsidRDefault="0087504F" w:rsidP="00034B62">
      <w:pPr>
        <w:spacing w:line="480" w:lineRule="auto"/>
        <w:jc w:val="both"/>
        <w:rPr>
          <w:rFonts w:ascii="Times New Roman" w:hAnsi="Times New Roman" w:cs="Times New Roman"/>
          <w:b/>
          <w:bCs/>
          <w:sz w:val="24"/>
          <w:szCs w:val="24"/>
        </w:rPr>
      </w:pPr>
    </w:p>
    <w:p w14:paraId="0EA57C29" w14:textId="77777777" w:rsidR="0087504F" w:rsidRPr="00344B5A" w:rsidRDefault="0087504F" w:rsidP="00034B62">
      <w:pPr>
        <w:spacing w:line="480" w:lineRule="auto"/>
        <w:jc w:val="both"/>
        <w:rPr>
          <w:rFonts w:ascii="Times New Roman" w:hAnsi="Times New Roman" w:cs="Times New Roman"/>
          <w:b/>
          <w:bCs/>
          <w:sz w:val="24"/>
          <w:szCs w:val="24"/>
        </w:rPr>
      </w:pPr>
    </w:p>
    <w:p w14:paraId="70130470" w14:textId="77777777" w:rsidR="0087504F" w:rsidRPr="00344B5A" w:rsidRDefault="0087504F" w:rsidP="00034B62">
      <w:pPr>
        <w:spacing w:line="480" w:lineRule="auto"/>
        <w:jc w:val="both"/>
        <w:rPr>
          <w:rFonts w:ascii="Times New Roman" w:hAnsi="Times New Roman" w:cs="Times New Roman"/>
          <w:b/>
          <w:bCs/>
          <w:sz w:val="24"/>
          <w:szCs w:val="24"/>
        </w:rPr>
      </w:pPr>
    </w:p>
    <w:p w14:paraId="6170F82A" w14:textId="77777777" w:rsidR="0087504F" w:rsidRPr="00344B5A" w:rsidRDefault="0087504F" w:rsidP="00034B62">
      <w:pPr>
        <w:spacing w:line="480" w:lineRule="auto"/>
        <w:jc w:val="both"/>
        <w:rPr>
          <w:rFonts w:ascii="Times New Roman" w:hAnsi="Times New Roman" w:cs="Times New Roman"/>
          <w:b/>
          <w:bCs/>
          <w:sz w:val="24"/>
          <w:szCs w:val="24"/>
        </w:rPr>
      </w:pPr>
    </w:p>
    <w:p w14:paraId="3D55AB54" w14:textId="77777777" w:rsidR="0087504F" w:rsidRPr="00344B5A" w:rsidRDefault="0087504F" w:rsidP="00034B62">
      <w:pPr>
        <w:spacing w:line="480" w:lineRule="auto"/>
        <w:jc w:val="both"/>
        <w:rPr>
          <w:rFonts w:ascii="Times New Roman" w:hAnsi="Times New Roman" w:cs="Times New Roman"/>
          <w:b/>
          <w:bCs/>
          <w:sz w:val="24"/>
          <w:szCs w:val="24"/>
        </w:rPr>
      </w:pPr>
    </w:p>
    <w:p w14:paraId="332A6DE2" w14:textId="77777777" w:rsidR="0087504F" w:rsidRPr="00344B5A" w:rsidRDefault="0087504F" w:rsidP="00034B62">
      <w:pPr>
        <w:spacing w:line="480" w:lineRule="auto"/>
        <w:jc w:val="both"/>
        <w:rPr>
          <w:rFonts w:ascii="Times New Roman" w:hAnsi="Times New Roman" w:cs="Times New Roman"/>
          <w:b/>
          <w:bCs/>
          <w:sz w:val="24"/>
          <w:szCs w:val="24"/>
        </w:rPr>
      </w:pPr>
    </w:p>
    <w:p w14:paraId="3A41B490" w14:textId="77777777" w:rsidR="0087504F" w:rsidRPr="00344B5A" w:rsidRDefault="0087504F" w:rsidP="00034B62">
      <w:pPr>
        <w:spacing w:line="480" w:lineRule="auto"/>
        <w:jc w:val="both"/>
        <w:rPr>
          <w:rFonts w:ascii="Times New Roman" w:hAnsi="Times New Roman" w:cs="Times New Roman"/>
          <w:b/>
          <w:bCs/>
          <w:sz w:val="24"/>
          <w:szCs w:val="24"/>
        </w:rPr>
      </w:pPr>
    </w:p>
    <w:p w14:paraId="1CBF46B9" w14:textId="77777777" w:rsidR="0087504F" w:rsidRPr="00344B5A" w:rsidRDefault="0087504F" w:rsidP="00034B62">
      <w:pPr>
        <w:spacing w:line="480" w:lineRule="auto"/>
        <w:jc w:val="both"/>
        <w:rPr>
          <w:rFonts w:ascii="Times New Roman" w:hAnsi="Times New Roman" w:cs="Times New Roman"/>
          <w:b/>
          <w:bCs/>
          <w:sz w:val="24"/>
          <w:szCs w:val="24"/>
        </w:rPr>
      </w:pPr>
    </w:p>
    <w:p w14:paraId="7F9710C1" w14:textId="77777777" w:rsidR="0087504F" w:rsidRPr="00344B5A" w:rsidRDefault="0087504F" w:rsidP="00034B62">
      <w:pPr>
        <w:spacing w:line="480" w:lineRule="auto"/>
        <w:jc w:val="both"/>
        <w:rPr>
          <w:rFonts w:ascii="Times New Roman" w:hAnsi="Times New Roman" w:cs="Times New Roman"/>
          <w:b/>
          <w:bCs/>
          <w:sz w:val="24"/>
          <w:szCs w:val="24"/>
        </w:rPr>
      </w:pPr>
    </w:p>
    <w:p w14:paraId="5700BE96" w14:textId="77777777" w:rsidR="0087504F" w:rsidRPr="00344B5A" w:rsidRDefault="0087504F" w:rsidP="00034B62">
      <w:pPr>
        <w:spacing w:line="480" w:lineRule="auto"/>
        <w:jc w:val="both"/>
        <w:rPr>
          <w:rFonts w:ascii="Times New Roman" w:hAnsi="Times New Roman" w:cs="Times New Roman"/>
          <w:b/>
          <w:bCs/>
          <w:sz w:val="24"/>
          <w:szCs w:val="24"/>
        </w:rPr>
      </w:pPr>
    </w:p>
    <w:p w14:paraId="5361DF21" w14:textId="77777777" w:rsidR="0087504F" w:rsidRPr="00344B5A" w:rsidRDefault="0087504F" w:rsidP="00034B62">
      <w:pPr>
        <w:spacing w:line="480" w:lineRule="auto"/>
        <w:jc w:val="both"/>
        <w:rPr>
          <w:rFonts w:ascii="Times New Roman" w:hAnsi="Times New Roman" w:cs="Times New Roman"/>
          <w:b/>
          <w:bCs/>
          <w:sz w:val="24"/>
          <w:szCs w:val="24"/>
        </w:rPr>
      </w:pPr>
    </w:p>
    <w:p w14:paraId="2E23D97E" w14:textId="77777777" w:rsidR="0087504F" w:rsidRPr="00344B5A" w:rsidRDefault="0087504F" w:rsidP="00034B62">
      <w:pPr>
        <w:spacing w:line="480" w:lineRule="auto"/>
        <w:jc w:val="both"/>
        <w:rPr>
          <w:rFonts w:ascii="Times New Roman" w:hAnsi="Times New Roman" w:cs="Times New Roman"/>
          <w:b/>
          <w:bCs/>
          <w:sz w:val="24"/>
          <w:szCs w:val="24"/>
        </w:rPr>
      </w:pPr>
    </w:p>
    <w:p w14:paraId="419FC18A" w14:textId="77777777" w:rsidR="0087504F" w:rsidRPr="00344B5A" w:rsidRDefault="0087504F" w:rsidP="00034B62">
      <w:pPr>
        <w:spacing w:line="480" w:lineRule="auto"/>
        <w:jc w:val="both"/>
        <w:rPr>
          <w:rFonts w:ascii="Times New Roman" w:hAnsi="Times New Roman" w:cs="Times New Roman"/>
          <w:b/>
          <w:bCs/>
          <w:sz w:val="24"/>
          <w:szCs w:val="24"/>
        </w:rPr>
      </w:pPr>
    </w:p>
    <w:p w14:paraId="651C8FBC" w14:textId="77777777" w:rsidR="0087504F" w:rsidRPr="00344B5A" w:rsidRDefault="0087504F" w:rsidP="00034B62">
      <w:pPr>
        <w:spacing w:line="480" w:lineRule="auto"/>
        <w:jc w:val="both"/>
        <w:rPr>
          <w:rFonts w:ascii="Times New Roman" w:hAnsi="Times New Roman" w:cs="Times New Roman"/>
          <w:b/>
          <w:bCs/>
          <w:sz w:val="24"/>
          <w:szCs w:val="24"/>
        </w:rPr>
      </w:pPr>
    </w:p>
    <w:p w14:paraId="3B57F451" w14:textId="77777777" w:rsidR="0087504F" w:rsidRPr="00344B5A" w:rsidRDefault="0087504F" w:rsidP="00034B62">
      <w:pPr>
        <w:spacing w:line="480" w:lineRule="auto"/>
        <w:jc w:val="both"/>
        <w:rPr>
          <w:rFonts w:ascii="Times New Roman" w:hAnsi="Times New Roman" w:cs="Times New Roman"/>
          <w:b/>
          <w:bCs/>
          <w:sz w:val="24"/>
          <w:szCs w:val="24"/>
        </w:rPr>
      </w:pPr>
    </w:p>
    <w:p w14:paraId="3AD1CC0D" w14:textId="77777777" w:rsidR="0087504F" w:rsidRPr="00344B5A" w:rsidRDefault="0087504F" w:rsidP="00034B62">
      <w:pPr>
        <w:spacing w:line="480" w:lineRule="auto"/>
        <w:jc w:val="both"/>
        <w:rPr>
          <w:rFonts w:ascii="Times New Roman" w:hAnsi="Times New Roman" w:cs="Times New Roman"/>
          <w:b/>
          <w:bCs/>
          <w:sz w:val="24"/>
          <w:szCs w:val="24"/>
        </w:rPr>
      </w:pPr>
    </w:p>
    <w:p w14:paraId="591691CC" w14:textId="096BC667" w:rsidR="00B42237" w:rsidRPr="00344B5A" w:rsidRDefault="003E5826" w:rsidP="003E5826">
      <w:pPr>
        <w:pStyle w:val="Heading1"/>
        <w:spacing w:line="480" w:lineRule="auto"/>
        <w:rPr>
          <w:rFonts w:ascii="Times New Roman" w:hAnsi="Times New Roman" w:cs="Times New Roman"/>
          <w:b/>
          <w:bCs/>
          <w:color w:val="auto"/>
          <w:sz w:val="24"/>
          <w:szCs w:val="24"/>
        </w:rPr>
      </w:pPr>
      <w:bookmarkStart w:id="3" w:name="_Toc40006743"/>
      <w:r w:rsidRPr="00344B5A">
        <w:rPr>
          <w:rFonts w:ascii="Times New Roman" w:hAnsi="Times New Roman" w:cs="Times New Roman"/>
          <w:b/>
          <w:bCs/>
          <w:color w:val="auto"/>
          <w:sz w:val="24"/>
          <w:szCs w:val="24"/>
        </w:rPr>
        <w:lastRenderedPageBreak/>
        <w:t>Chapter One</w:t>
      </w:r>
      <w:bookmarkEnd w:id="3"/>
      <w:r w:rsidRPr="00344B5A">
        <w:rPr>
          <w:rFonts w:ascii="Times New Roman" w:hAnsi="Times New Roman" w:cs="Times New Roman"/>
          <w:b/>
          <w:bCs/>
          <w:color w:val="auto"/>
          <w:sz w:val="24"/>
          <w:szCs w:val="24"/>
        </w:rPr>
        <w:t xml:space="preserve"> </w:t>
      </w:r>
    </w:p>
    <w:p w14:paraId="094AFAF9" w14:textId="0F1298FD"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Contemporary works of literature and those of deliberate historical narrative across Europe highlight that large proportions of people fled in response to the arrival of the Black Death, and the reasons for doing so appear both implicitly and explicitly throughout sources. Were those who fled Florence upon the Black Deaths’ arrival cowardly and selfish, or were their actions justifiable when considering the ferocity of the plague within the region of Tuscany? Ziegler elucidates the escape from Florence as ‘the headlong flight from the cities, abandoning possessions and leaving houses open to all the world.’</w:t>
      </w:r>
      <w:r w:rsidRPr="00344B5A">
        <w:rPr>
          <w:rFonts w:ascii="Times New Roman" w:hAnsi="Times New Roman" w:cs="Times New Roman"/>
          <w:sz w:val="24"/>
          <w:szCs w:val="24"/>
          <w:vertAlign w:val="superscript"/>
        </w:rPr>
        <w:footnoteReference w:id="20"/>
      </w:r>
      <w:r w:rsidRPr="00344B5A">
        <w:rPr>
          <w:rFonts w:ascii="Times New Roman" w:hAnsi="Times New Roman" w:cs="Times New Roman"/>
          <w:sz w:val="24"/>
          <w:szCs w:val="24"/>
        </w:rPr>
        <w:t xml:space="preserve"> However, whilst reconstructing the events of 1348 using surviving contemporary sources, it is important to consider if it is possible to gain a complete understanding of why people fled the city of Florence given the purpose and circumstance of fourteenth-century sources following the terror and fear and of the Black Death. The undeniable emotive tone of contemporary fourteenth-century sources stresses the terror and fear across Italy, with the poet and scholar Petrarch likening the events of 1348 to the end of the world, ‘and to what end, if the human race is almost extinguished, if, as I surmise, the end of the world is at hand.’</w:t>
      </w:r>
      <w:r w:rsidRPr="00344B5A">
        <w:rPr>
          <w:rFonts w:ascii="Times New Roman" w:hAnsi="Times New Roman" w:cs="Times New Roman"/>
          <w:sz w:val="24"/>
          <w:szCs w:val="24"/>
          <w:vertAlign w:val="superscript"/>
        </w:rPr>
        <w:footnoteReference w:id="21"/>
      </w:r>
      <w:r w:rsidR="00E26B95" w:rsidRPr="00344B5A">
        <w:rPr>
          <w:rFonts w:ascii="Times New Roman" w:hAnsi="Times New Roman" w:cs="Times New Roman"/>
          <w:sz w:val="24"/>
          <w:szCs w:val="24"/>
        </w:rPr>
        <w:t xml:space="preserve"> </w:t>
      </w:r>
    </w:p>
    <w:p w14:paraId="1C8AD5B6" w14:textId="58FAAF19"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The Italian writer Giovanni Boccaccio provides one of the most extensive descriptions of the Black Death’s arrival in Florence in 1348 in the collective work of novellas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detailing the circumstances in which his ten young Florentine narrators had fled to the countryside.</w:t>
      </w:r>
      <w:r w:rsidRPr="00344B5A">
        <w:rPr>
          <w:rFonts w:ascii="Times New Roman" w:hAnsi="Times New Roman" w:cs="Times New Roman"/>
          <w:sz w:val="24"/>
          <w:szCs w:val="24"/>
          <w:vertAlign w:val="superscript"/>
        </w:rPr>
        <w:footnoteReference w:id="22"/>
      </w:r>
      <w:r w:rsidRPr="00344B5A">
        <w:rPr>
          <w:rFonts w:ascii="Times New Roman" w:hAnsi="Times New Roman" w:cs="Times New Roman"/>
          <w:sz w:val="24"/>
          <w:szCs w:val="24"/>
        </w:rPr>
        <w:t xml:space="preserve">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remains a popular fourteenth-century source on the Black Death, and Boccaccio claims that ‘were it not for the fact that I am one of many people who saw it with their own eyes, I would scarcely dare to believe it’, stressing therefore the formidable and unfathomable nature of the Black Death’s arrival in Florence.</w:t>
      </w:r>
      <w:r w:rsidRPr="00344B5A">
        <w:rPr>
          <w:rFonts w:ascii="Times New Roman" w:hAnsi="Times New Roman" w:cs="Times New Roman"/>
          <w:sz w:val="24"/>
          <w:szCs w:val="24"/>
          <w:vertAlign w:val="superscript"/>
        </w:rPr>
        <w:footnoteReference w:id="23"/>
      </w:r>
      <w:r w:rsidRPr="00344B5A">
        <w:rPr>
          <w:rFonts w:ascii="Times New Roman" w:hAnsi="Times New Roman" w:cs="Times New Roman"/>
          <w:sz w:val="24"/>
          <w:szCs w:val="24"/>
        </w:rPr>
        <w:t xml:space="preserve"> Boccaccio </w:t>
      </w:r>
      <w:r w:rsidRPr="00344B5A">
        <w:rPr>
          <w:rFonts w:ascii="Times New Roman" w:hAnsi="Times New Roman" w:cs="Times New Roman"/>
          <w:sz w:val="24"/>
          <w:szCs w:val="24"/>
        </w:rPr>
        <w:lastRenderedPageBreak/>
        <w:t xml:space="preserve">presents contemporary fears </w:t>
      </w:r>
      <w:r w:rsidR="000078CF" w:rsidRPr="00344B5A">
        <w:rPr>
          <w:rFonts w:ascii="Times New Roman" w:hAnsi="Times New Roman" w:cs="Times New Roman"/>
          <w:sz w:val="24"/>
          <w:szCs w:val="24"/>
        </w:rPr>
        <w:t>towards</w:t>
      </w:r>
      <w:r w:rsidRPr="00344B5A">
        <w:rPr>
          <w:rFonts w:ascii="Times New Roman" w:hAnsi="Times New Roman" w:cs="Times New Roman"/>
          <w:sz w:val="24"/>
          <w:szCs w:val="24"/>
        </w:rPr>
        <w:t xml:space="preserve"> the arrival of the Black Death, writing that ‘some people, pursuing what was possibly the safer alternative, callously maintained that there was no better or more efficacious remedy against a plague than to run away from it’ highlighting that those who fled Florence were convinced they were saving themselves from the Black Death.</w:t>
      </w:r>
      <w:r w:rsidRPr="00344B5A">
        <w:rPr>
          <w:rFonts w:ascii="Times New Roman" w:hAnsi="Times New Roman" w:cs="Times New Roman"/>
          <w:sz w:val="24"/>
          <w:szCs w:val="24"/>
          <w:vertAlign w:val="superscript"/>
        </w:rPr>
        <w:footnoteReference w:id="24"/>
      </w:r>
      <w:r w:rsidRPr="00344B5A">
        <w:rPr>
          <w:rFonts w:ascii="Times New Roman" w:hAnsi="Times New Roman" w:cs="Times New Roman"/>
          <w:sz w:val="24"/>
          <w:szCs w:val="24"/>
        </w:rPr>
        <w:t xml:space="preserve"> Significantly, Boccaccio’s account of the Black Death presents contemporary reactions to a significant proportion of the Florentine population fleeing, both through the explicit expression of disapproval towards the notion that leaving Florence would preserve their health</w:t>
      </w:r>
      <w:r w:rsidR="000078CF" w:rsidRPr="00344B5A">
        <w:rPr>
          <w:rFonts w:ascii="Times New Roman" w:hAnsi="Times New Roman" w:cs="Times New Roman"/>
          <w:sz w:val="24"/>
          <w:szCs w:val="24"/>
        </w:rPr>
        <w:t xml:space="preserve"> </w:t>
      </w:r>
      <w:r w:rsidRPr="00344B5A">
        <w:rPr>
          <w:rFonts w:ascii="Times New Roman" w:hAnsi="Times New Roman" w:cs="Times New Roman"/>
          <w:sz w:val="24"/>
          <w:szCs w:val="24"/>
        </w:rPr>
        <w:t>and the unwitting testimony implied through Boccaccio’s resentful tone</w:t>
      </w:r>
      <w:r w:rsidR="000078CF" w:rsidRPr="00344B5A">
        <w:rPr>
          <w:rFonts w:ascii="Times New Roman" w:hAnsi="Times New Roman" w:cs="Times New Roman"/>
          <w:sz w:val="24"/>
          <w:szCs w:val="24"/>
        </w:rPr>
        <w:t>. Writing that ‘they took a single and very inhuman precaution, namely to avoid or to run away from the sick and their belongings, by which means they all thought that their own health would be preserved.’</w:t>
      </w:r>
      <w:r w:rsidR="000078CF" w:rsidRPr="00344B5A">
        <w:rPr>
          <w:rFonts w:ascii="Times New Roman" w:hAnsi="Times New Roman" w:cs="Times New Roman"/>
          <w:sz w:val="24"/>
          <w:szCs w:val="24"/>
          <w:vertAlign w:val="superscript"/>
        </w:rPr>
        <w:footnoteReference w:id="25"/>
      </w:r>
      <w:r w:rsidR="000078CF"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Reflecting upon the possible contemporary audience, had Boccaccio </w:t>
      </w:r>
      <w:r w:rsidR="009C5273" w:rsidRPr="00344B5A">
        <w:rPr>
          <w:rFonts w:ascii="Times New Roman" w:hAnsi="Times New Roman" w:cs="Times New Roman"/>
          <w:sz w:val="24"/>
          <w:szCs w:val="24"/>
        </w:rPr>
        <w:t>been seeking</w:t>
      </w:r>
      <w:r w:rsidRPr="00344B5A">
        <w:rPr>
          <w:rFonts w:ascii="Times New Roman" w:hAnsi="Times New Roman" w:cs="Times New Roman"/>
          <w:sz w:val="24"/>
          <w:szCs w:val="24"/>
        </w:rPr>
        <w:t xml:space="preserve"> to criticise his audience if they had fled the city upon the outbreak of plague, or praise his audience for weathering the storm within the city walls as a united front? </w:t>
      </w:r>
    </w:p>
    <w:p w14:paraId="153563E3" w14:textId="081AF0EE"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The Italian poet and scholar Francesco Petrarch suggests in a letter written to the ancient Greek philosopher Socrates in 1349 that there were countless groups of people fleeing their towns and cities in Italy, writing that ‘houses were emptied, cities abandoned, countryside’s untilled, fields heaped with corpses, and a vast, dreadful solitude over all the world.’</w:t>
      </w:r>
      <w:r w:rsidRPr="00344B5A">
        <w:rPr>
          <w:rFonts w:ascii="Times New Roman" w:hAnsi="Times New Roman" w:cs="Times New Roman"/>
          <w:sz w:val="24"/>
          <w:szCs w:val="24"/>
          <w:vertAlign w:val="superscript"/>
        </w:rPr>
        <w:footnoteReference w:id="26"/>
      </w:r>
      <w:r w:rsidRPr="00344B5A">
        <w:rPr>
          <w:rFonts w:ascii="Times New Roman" w:hAnsi="Times New Roman" w:cs="Times New Roman"/>
          <w:sz w:val="24"/>
          <w:szCs w:val="24"/>
        </w:rPr>
        <w:t xml:space="preserve"> Petrarch and Boccaccio provide similar accounts of abandoned cities across Italy, however the two writers present differing tones when recording the reasons for which people ran at the arrival of the Black Death. Whilst Boccaccio presents the selfish and cowardly escape of citizens of Florence in the face of the devastating Black Death, Petrarch details the tragic nature of the arrival of the plague yet offers little judgement on those who abandoned their </w:t>
      </w:r>
      <w:r w:rsidRPr="00344B5A">
        <w:rPr>
          <w:rFonts w:ascii="Times New Roman" w:hAnsi="Times New Roman" w:cs="Times New Roman"/>
          <w:sz w:val="24"/>
          <w:szCs w:val="24"/>
        </w:rPr>
        <w:lastRenderedPageBreak/>
        <w:t>friends and neighbours</w:t>
      </w:r>
      <w:r w:rsidR="000F0406" w:rsidRPr="00344B5A">
        <w:rPr>
          <w:rFonts w:ascii="Times New Roman" w:hAnsi="Times New Roman" w:cs="Times New Roman"/>
          <w:sz w:val="24"/>
          <w:szCs w:val="24"/>
        </w:rPr>
        <w:t>, i</w:t>
      </w:r>
      <w:r w:rsidR="000B0527" w:rsidRPr="00344B5A">
        <w:rPr>
          <w:rFonts w:ascii="Times New Roman" w:hAnsi="Times New Roman" w:cs="Times New Roman"/>
          <w:sz w:val="24"/>
          <w:szCs w:val="24"/>
        </w:rPr>
        <w:t>nstead</w:t>
      </w:r>
      <w:r w:rsidR="000F0406" w:rsidRPr="00344B5A">
        <w:rPr>
          <w:rFonts w:ascii="Times New Roman" w:hAnsi="Times New Roman" w:cs="Times New Roman"/>
          <w:sz w:val="24"/>
          <w:szCs w:val="24"/>
        </w:rPr>
        <w:t xml:space="preserve"> </w:t>
      </w:r>
      <w:r w:rsidR="00A132E7" w:rsidRPr="00344B5A">
        <w:rPr>
          <w:rFonts w:ascii="Times New Roman" w:hAnsi="Times New Roman" w:cs="Times New Roman"/>
          <w:sz w:val="24"/>
          <w:szCs w:val="24"/>
        </w:rPr>
        <w:t>offer</w:t>
      </w:r>
      <w:r w:rsidR="000F0406" w:rsidRPr="00344B5A">
        <w:rPr>
          <w:rFonts w:ascii="Times New Roman" w:hAnsi="Times New Roman" w:cs="Times New Roman"/>
          <w:sz w:val="24"/>
          <w:szCs w:val="24"/>
        </w:rPr>
        <w:t>ing</w:t>
      </w:r>
      <w:r w:rsidR="00A132E7" w:rsidRPr="00344B5A">
        <w:rPr>
          <w:rFonts w:ascii="Times New Roman" w:hAnsi="Times New Roman" w:cs="Times New Roman"/>
          <w:sz w:val="24"/>
          <w:szCs w:val="24"/>
        </w:rPr>
        <w:t xml:space="preserve"> sympathy ‘we should think we were dreaming, had we not the testimony of our opened eyes</w:t>
      </w:r>
      <w:r w:rsidR="000F0406" w:rsidRPr="00344B5A">
        <w:rPr>
          <w:rFonts w:ascii="Times New Roman" w:hAnsi="Times New Roman" w:cs="Times New Roman"/>
          <w:sz w:val="24"/>
          <w:szCs w:val="24"/>
        </w:rPr>
        <w:t>.</w:t>
      </w:r>
      <w:r w:rsidR="00A132E7" w:rsidRPr="00344B5A">
        <w:rPr>
          <w:rFonts w:ascii="Times New Roman" w:hAnsi="Times New Roman" w:cs="Times New Roman"/>
          <w:sz w:val="24"/>
          <w:szCs w:val="24"/>
        </w:rPr>
        <w:t>’</w:t>
      </w:r>
      <w:r w:rsidR="000F0406" w:rsidRPr="00344B5A">
        <w:rPr>
          <w:rStyle w:val="FootnoteReference"/>
          <w:rFonts w:ascii="Times New Roman" w:hAnsi="Times New Roman" w:cs="Times New Roman"/>
          <w:sz w:val="24"/>
          <w:szCs w:val="24"/>
        </w:rPr>
        <w:footnoteReference w:id="27"/>
      </w:r>
    </w:p>
    <w:p w14:paraId="3C45BADB" w14:textId="665B5F14"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The </w:t>
      </w:r>
      <w:r w:rsidRPr="00344B5A">
        <w:rPr>
          <w:rFonts w:ascii="Times New Roman" w:hAnsi="Times New Roman" w:cs="Times New Roman"/>
          <w:i/>
          <w:iCs/>
          <w:sz w:val="24"/>
          <w:szCs w:val="24"/>
        </w:rPr>
        <w:t xml:space="preserve">Cronaca Fiorentina di Marchionne di </w:t>
      </w:r>
      <w:proofErr w:type="spellStart"/>
      <w:r w:rsidRPr="00344B5A">
        <w:rPr>
          <w:rFonts w:ascii="Times New Roman" w:hAnsi="Times New Roman" w:cs="Times New Roman"/>
          <w:i/>
          <w:iCs/>
          <w:sz w:val="24"/>
          <w:szCs w:val="24"/>
        </w:rPr>
        <w:t>Coppo</w:t>
      </w:r>
      <w:proofErr w:type="spellEnd"/>
      <w:r w:rsidRPr="00344B5A">
        <w:rPr>
          <w:rFonts w:ascii="Times New Roman" w:hAnsi="Times New Roman" w:cs="Times New Roman"/>
          <w:i/>
          <w:iCs/>
          <w:sz w:val="24"/>
          <w:szCs w:val="24"/>
        </w:rPr>
        <w:t xml:space="preserve"> Stefani </w:t>
      </w:r>
      <w:r w:rsidRPr="00344B5A">
        <w:rPr>
          <w:rFonts w:ascii="Times New Roman" w:hAnsi="Times New Roman" w:cs="Times New Roman"/>
          <w:sz w:val="24"/>
          <w:szCs w:val="24"/>
        </w:rPr>
        <w:t>written by Florentine chronicler Baldassarre Bonaiuti in the late-fourteenth century provides comprehensive details on the nature of Florentine responses to the arrival of the Black Death.</w:t>
      </w:r>
      <w:r w:rsidRPr="00344B5A">
        <w:rPr>
          <w:rFonts w:ascii="Times New Roman" w:hAnsi="Times New Roman" w:cs="Times New Roman"/>
          <w:sz w:val="24"/>
          <w:szCs w:val="24"/>
          <w:vertAlign w:val="superscript"/>
        </w:rPr>
        <w:footnoteReference w:id="28"/>
      </w:r>
      <w:r w:rsidRPr="00344B5A">
        <w:rPr>
          <w:rFonts w:ascii="Times New Roman" w:hAnsi="Times New Roman" w:cs="Times New Roman"/>
          <w:sz w:val="24"/>
          <w:szCs w:val="24"/>
        </w:rPr>
        <w:t xml:space="preserve"> Born in 1336, Baldassarre Bonaiuti is likely to have witnessed first-hand the repercussions of the Black Death on the city of Florence</w:t>
      </w:r>
      <w:r w:rsidR="00D85718"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and due to the popularity of Boccaccio’s work may have read and been influenced by the </w:t>
      </w:r>
      <w:r w:rsidRPr="00344B5A">
        <w:rPr>
          <w:rFonts w:ascii="Times New Roman" w:hAnsi="Times New Roman" w:cs="Times New Roman"/>
          <w:i/>
          <w:iCs/>
          <w:sz w:val="24"/>
          <w:szCs w:val="24"/>
        </w:rPr>
        <w:t>Decameron</w:t>
      </w:r>
      <w:r w:rsidR="00D85718" w:rsidRPr="00344B5A">
        <w:rPr>
          <w:rFonts w:ascii="Times New Roman" w:hAnsi="Times New Roman" w:cs="Times New Roman"/>
          <w:sz w:val="24"/>
          <w:szCs w:val="24"/>
        </w:rPr>
        <w:t xml:space="preserve">. </w:t>
      </w:r>
      <w:r w:rsidR="00DD15B2" w:rsidRPr="00344B5A">
        <w:rPr>
          <w:rFonts w:ascii="Times New Roman" w:hAnsi="Times New Roman" w:cs="Times New Roman"/>
          <w:sz w:val="24"/>
          <w:szCs w:val="24"/>
        </w:rPr>
        <w:t xml:space="preserve">It has been widely accepted that the </w:t>
      </w:r>
      <w:r w:rsidR="00DD15B2" w:rsidRPr="00344B5A">
        <w:rPr>
          <w:rFonts w:ascii="Times New Roman" w:hAnsi="Times New Roman" w:cs="Times New Roman"/>
          <w:i/>
          <w:iCs/>
          <w:sz w:val="24"/>
          <w:szCs w:val="24"/>
        </w:rPr>
        <w:t xml:space="preserve">Decameron </w:t>
      </w:r>
      <w:r w:rsidR="00DD15B2" w:rsidRPr="00344B5A">
        <w:rPr>
          <w:rFonts w:ascii="Times New Roman" w:hAnsi="Times New Roman" w:cs="Times New Roman"/>
          <w:sz w:val="24"/>
          <w:szCs w:val="24"/>
        </w:rPr>
        <w:t xml:space="preserve">had been </w:t>
      </w:r>
      <w:r w:rsidRPr="00344B5A">
        <w:rPr>
          <w:rFonts w:ascii="Times New Roman" w:hAnsi="Times New Roman" w:cs="Times New Roman"/>
          <w:sz w:val="24"/>
          <w:szCs w:val="24"/>
        </w:rPr>
        <w:t xml:space="preserve">published sometime in the 1350s as Boccaccio ‘gave definitive shape to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between the years 1349 and 1352’.</w:t>
      </w:r>
      <w:r w:rsidRPr="00344B5A">
        <w:rPr>
          <w:rFonts w:ascii="Times New Roman" w:hAnsi="Times New Roman" w:cs="Times New Roman"/>
          <w:sz w:val="24"/>
          <w:szCs w:val="24"/>
          <w:vertAlign w:val="superscript"/>
        </w:rPr>
        <w:footnoteReference w:id="29"/>
      </w:r>
      <w:r w:rsidRPr="00344B5A">
        <w:rPr>
          <w:rFonts w:ascii="Times New Roman" w:hAnsi="Times New Roman" w:cs="Times New Roman"/>
          <w:sz w:val="24"/>
          <w:szCs w:val="24"/>
        </w:rPr>
        <w:t xml:space="preserve"> Unlike the works of Boccaccio and Petrarch, Bonaiuti’s </w:t>
      </w:r>
      <w:r w:rsidR="00DD15B2" w:rsidRPr="00344B5A">
        <w:rPr>
          <w:rFonts w:ascii="Times New Roman" w:hAnsi="Times New Roman" w:cs="Times New Roman"/>
          <w:i/>
          <w:iCs/>
          <w:sz w:val="24"/>
          <w:szCs w:val="24"/>
        </w:rPr>
        <w:t>Cronaca</w:t>
      </w:r>
      <w:r w:rsidRPr="00344B5A">
        <w:rPr>
          <w:rFonts w:ascii="Times New Roman" w:hAnsi="Times New Roman" w:cs="Times New Roman"/>
          <w:sz w:val="24"/>
          <w:szCs w:val="24"/>
        </w:rPr>
        <w:t xml:space="preserve"> would have been written for the historical record of the city during the early-fourteenth-century, however the dramatic and novel-like tone of the work creates the literary effect seen in other fourteenth-century sources. In an almost identical manner to Boccaccio in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Bonaiuti describes the large proportion of the Florentine population leaving the city, ‘child abandoned the father, husband the wife, wife the husband, one brother the other, one sister the other.’</w:t>
      </w:r>
      <w:r w:rsidRPr="00344B5A">
        <w:rPr>
          <w:rFonts w:ascii="Times New Roman" w:hAnsi="Times New Roman" w:cs="Times New Roman"/>
          <w:sz w:val="24"/>
          <w:szCs w:val="24"/>
          <w:vertAlign w:val="superscript"/>
        </w:rPr>
        <w:footnoteReference w:id="30"/>
      </w:r>
      <w:r w:rsidRPr="00344B5A">
        <w:rPr>
          <w:rFonts w:ascii="Times New Roman" w:hAnsi="Times New Roman" w:cs="Times New Roman"/>
          <w:sz w:val="24"/>
          <w:szCs w:val="24"/>
        </w:rPr>
        <w:t xml:space="preserve"> The abandonment of family seemingly appears across Florentine sources, Boccaccio describes the heart-breaking scenes of parents abandoning their children</w:t>
      </w:r>
      <w:r w:rsidR="00EA10E4" w:rsidRPr="00344B5A">
        <w:rPr>
          <w:rFonts w:ascii="Times New Roman" w:hAnsi="Times New Roman" w:cs="Times New Roman"/>
          <w:sz w:val="24"/>
          <w:szCs w:val="24"/>
        </w:rPr>
        <w:t xml:space="preserve"> </w:t>
      </w:r>
      <w:r w:rsidRPr="00344B5A">
        <w:rPr>
          <w:rFonts w:ascii="Times New Roman" w:hAnsi="Times New Roman" w:cs="Times New Roman"/>
          <w:sz w:val="24"/>
          <w:szCs w:val="24"/>
        </w:rPr>
        <w:t>‘fathers and mothers refused to nurse and assist their own children, as though they did not belong to them</w:t>
      </w:r>
      <w:r w:rsidR="00EA10E4" w:rsidRPr="00344B5A">
        <w:rPr>
          <w:rFonts w:ascii="Times New Roman" w:hAnsi="Times New Roman" w:cs="Times New Roman"/>
          <w:sz w:val="24"/>
          <w:szCs w:val="24"/>
        </w:rPr>
        <w:t>.</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31"/>
      </w:r>
      <w:r w:rsidRPr="00344B5A">
        <w:rPr>
          <w:rFonts w:ascii="Times New Roman" w:hAnsi="Times New Roman" w:cs="Times New Roman"/>
          <w:sz w:val="24"/>
          <w:szCs w:val="24"/>
        </w:rPr>
        <w:t xml:space="preserve"> It seems difficult to comprehend abandoning family during the Black </w:t>
      </w:r>
      <w:r w:rsidRPr="00344B5A">
        <w:rPr>
          <w:rFonts w:ascii="Times New Roman" w:hAnsi="Times New Roman" w:cs="Times New Roman"/>
          <w:sz w:val="24"/>
          <w:szCs w:val="24"/>
        </w:rPr>
        <w:lastRenderedPageBreak/>
        <w:t>Death’s reign of terror</w:t>
      </w:r>
      <w:r w:rsidR="006D6211" w:rsidRPr="00344B5A">
        <w:rPr>
          <w:rFonts w:ascii="Times New Roman" w:hAnsi="Times New Roman" w:cs="Times New Roman"/>
          <w:sz w:val="24"/>
          <w:szCs w:val="24"/>
        </w:rPr>
        <w:t>,</w:t>
      </w:r>
      <w:r w:rsidRPr="00344B5A">
        <w:rPr>
          <w:rFonts w:ascii="Times New Roman" w:hAnsi="Times New Roman" w:cs="Times New Roman"/>
          <w:sz w:val="24"/>
          <w:szCs w:val="24"/>
        </w:rPr>
        <w:t xml:space="preserve"> and as Bonaiuti makes significant note of this it appears likely that contemporary readers of the chronicle would be shocked and saddened.</w:t>
      </w:r>
    </w:p>
    <w:p w14:paraId="5A1E30A9" w14:textId="62F230FE"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Whilst contemporary writers in Florence stress the abandonment of the city and emphasise the damage caused by those who fled to neighbouring areas as found in the</w:t>
      </w:r>
      <w:r w:rsidR="00EA10E4" w:rsidRPr="00344B5A">
        <w:rPr>
          <w:rFonts w:ascii="Times New Roman" w:hAnsi="Times New Roman" w:cs="Times New Roman"/>
          <w:sz w:val="24"/>
          <w:szCs w:val="24"/>
        </w:rPr>
        <w:t xml:space="preserve"> </w:t>
      </w:r>
      <w:r w:rsidR="00EA10E4" w:rsidRPr="00344B5A">
        <w:rPr>
          <w:rFonts w:ascii="Times New Roman" w:hAnsi="Times New Roman" w:cs="Times New Roman"/>
          <w:i/>
          <w:iCs/>
          <w:sz w:val="24"/>
          <w:szCs w:val="24"/>
        </w:rPr>
        <w:t>Cronaca</w:t>
      </w:r>
      <w:r w:rsidRPr="00344B5A">
        <w:rPr>
          <w:rFonts w:ascii="Times New Roman" w:hAnsi="Times New Roman" w:cs="Times New Roman"/>
          <w:sz w:val="24"/>
          <w:szCs w:val="24"/>
        </w:rPr>
        <w:t>, ‘where there had been no [pestilence], there they carried it; if it was already there, they caused it to increase’, this theme does not seemingly occur across wider European accounts.</w:t>
      </w:r>
      <w:r w:rsidRPr="00344B5A">
        <w:rPr>
          <w:rFonts w:ascii="Times New Roman" w:hAnsi="Times New Roman" w:cs="Times New Roman"/>
          <w:sz w:val="24"/>
          <w:szCs w:val="24"/>
          <w:vertAlign w:val="superscript"/>
        </w:rPr>
        <w:footnoteReference w:id="32"/>
      </w:r>
      <w:r w:rsidRPr="00344B5A">
        <w:rPr>
          <w:rFonts w:ascii="Times New Roman" w:hAnsi="Times New Roman" w:cs="Times New Roman"/>
          <w:sz w:val="24"/>
          <w:szCs w:val="24"/>
        </w:rPr>
        <w:t xml:space="preserve"> Historian Benedict Gummer suggests that the </w:t>
      </w:r>
      <w:r w:rsidR="00855E97" w:rsidRPr="00344B5A">
        <w:rPr>
          <w:rFonts w:ascii="Times New Roman" w:hAnsi="Times New Roman" w:cs="Times New Roman"/>
          <w:sz w:val="24"/>
          <w:szCs w:val="24"/>
        </w:rPr>
        <w:t xml:space="preserve">theme of </w:t>
      </w:r>
      <w:r w:rsidRPr="00344B5A">
        <w:rPr>
          <w:rFonts w:ascii="Times New Roman" w:hAnsi="Times New Roman" w:cs="Times New Roman"/>
          <w:sz w:val="24"/>
          <w:szCs w:val="24"/>
        </w:rPr>
        <w:t>abandonment found in the work of Boccaccio does not appear in work composed in England, ‘there is nothing in the English accounts that suggests the heartless panic that Boccaccio described in Florence’ and implies therefore that the</w:t>
      </w:r>
      <w:r w:rsidR="00EA10E4" w:rsidRPr="00344B5A">
        <w:rPr>
          <w:rFonts w:ascii="Times New Roman" w:hAnsi="Times New Roman" w:cs="Times New Roman"/>
          <w:sz w:val="24"/>
          <w:szCs w:val="24"/>
        </w:rPr>
        <w:t xml:space="preserve"> theme of</w:t>
      </w:r>
      <w:r w:rsidRPr="00344B5A">
        <w:rPr>
          <w:rFonts w:ascii="Times New Roman" w:hAnsi="Times New Roman" w:cs="Times New Roman"/>
          <w:sz w:val="24"/>
          <w:szCs w:val="24"/>
        </w:rPr>
        <w:t xml:space="preserve"> abandonment as found in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and the</w:t>
      </w:r>
      <w:r w:rsidR="00EA10E4" w:rsidRPr="00344B5A">
        <w:rPr>
          <w:rFonts w:ascii="Times New Roman" w:hAnsi="Times New Roman" w:cs="Times New Roman"/>
          <w:sz w:val="24"/>
          <w:szCs w:val="24"/>
        </w:rPr>
        <w:t xml:space="preserve"> </w:t>
      </w:r>
      <w:r w:rsidR="00EA10E4" w:rsidRPr="00344B5A">
        <w:rPr>
          <w:rFonts w:ascii="Times New Roman" w:hAnsi="Times New Roman" w:cs="Times New Roman"/>
          <w:i/>
          <w:iCs/>
          <w:sz w:val="24"/>
          <w:szCs w:val="24"/>
        </w:rPr>
        <w:t>Cronaca</w:t>
      </w:r>
      <w:r w:rsidRPr="00344B5A">
        <w:rPr>
          <w:rFonts w:ascii="Times New Roman" w:hAnsi="Times New Roman" w:cs="Times New Roman"/>
          <w:sz w:val="24"/>
          <w:szCs w:val="24"/>
        </w:rPr>
        <w:t xml:space="preserve"> to be somewhat novel.</w:t>
      </w:r>
      <w:r w:rsidRPr="00344B5A">
        <w:rPr>
          <w:rFonts w:ascii="Times New Roman" w:hAnsi="Times New Roman" w:cs="Times New Roman"/>
          <w:sz w:val="24"/>
          <w:szCs w:val="24"/>
          <w:vertAlign w:val="superscript"/>
        </w:rPr>
        <w:footnoteReference w:id="33"/>
      </w:r>
      <w:r w:rsidRPr="00344B5A">
        <w:rPr>
          <w:rFonts w:ascii="Times New Roman" w:hAnsi="Times New Roman" w:cs="Times New Roman"/>
          <w:sz w:val="24"/>
          <w:szCs w:val="24"/>
        </w:rPr>
        <w:t xml:space="preserve"> It seems unlikely that some of the population of England did not flee their homes in fear of contracting the Black Death, and following the opinion of Gummer could suggest therefore that Boccaccio may not have influenced English writers as had previously been thought. Willard Farnham deduced in his 1924 work </w:t>
      </w:r>
      <w:r w:rsidRPr="00344B5A">
        <w:rPr>
          <w:rFonts w:ascii="Times New Roman" w:hAnsi="Times New Roman" w:cs="Times New Roman"/>
          <w:i/>
          <w:iCs/>
          <w:sz w:val="24"/>
          <w:szCs w:val="24"/>
        </w:rPr>
        <w:t xml:space="preserve">England’s Discovery of the Decameron </w:t>
      </w:r>
      <w:r w:rsidRPr="00344B5A">
        <w:rPr>
          <w:rFonts w:ascii="Times New Roman" w:hAnsi="Times New Roman" w:cs="Times New Roman"/>
          <w:sz w:val="24"/>
          <w:szCs w:val="24"/>
        </w:rPr>
        <w:t xml:space="preserve">that the infamous English author Geoffrey Chaucer is unlikely to have owned or have read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xml:space="preserve">, ‘during Chaucer’s time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appears to have been unknown in France and Spain, and it would be unreasonable to expect more from England than from those two Latin countries.’</w:t>
      </w:r>
      <w:r w:rsidRPr="00344B5A">
        <w:rPr>
          <w:rStyle w:val="FootnoteReference"/>
          <w:rFonts w:ascii="Times New Roman" w:hAnsi="Times New Roman" w:cs="Times New Roman"/>
          <w:sz w:val="24"/>
          <w:szCs w:val="24"/>
        </w:rPr>
        <w:footnoteReference w:id="34"/>
      </w:r>
      <w:r w:rsidRPr="00344B5A">
        <w:rPr>
          <w:rFonts w:ascii="Times New Roman" w:hAnsi="Times New Roman" w:cs="Times New Roman"/>
          <w:sz w:val="24"/>
          <w:szCs w:val="24"/>
        </w:rPr>
        <w:t xml:space="preserve"> Farnham states that the first Englishman known to have obtained a copy of Boccaccio’s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was Humphrey, Duke of Gloucester (1390-1447) the founder of the Bodleian Library in Oxford, however this copy is likely to have been a translation from vernacular Italian to French.</w:t>
      </w:r>
      <w:r w:rsidRPr="00344B5A">
        <w:rPr>
          <w:rStyle w:val="FootnoteReference"/>
          <w:rFonts w:ascii="Times New Roman" w:hAnsi="Times New Roman" w:cs="Times New Roman"/>
          <w:sz w:val="24"/>
          <w:szCs w:val="24"/>
        </w:rPr>
        <w:footnoteReference w:id="35"/>
      </w:r>
      <w:r w:rsidRPr="00344B5A">
        <w:rPr>
          <w:rFonts w:ascii="Times New Roman" w:hAnsi="Times New Roman" w:cs="Times New Roman"/>
          <w:sz w:val="24"/>
          <w:szCs w:val="24"/>
        </w:rPr>
        <w:t xml:space="preserve"> </w:t>
      </w:r>
    </w:p>
    <w:p w14:paraId="533D99B6" w14:textId="5DACA459"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Contrasting Boccaccio’s portrayal of the selfish Florentines fleeing the outbreak of the Black Death, Petrarch emphasises that the Black Death was an act of divine punishment and people may therefore have been fleeing retribution from God. Petrarch highlights the desolation of the city in Florence stating that houses became empty and cities were abandoned, with Petrarch’s use of ‘cities’ clearly emphasising that this was not a unique phenomenon found only in Florence.</w:t>
      </w:r>
      <w:r w:rsidRPr="00344B5A">
        <w:rPr>
          <w:rFonts w:ascii="Times New Roman" w:hAnsi="Times New Roman" w:cs="Times New Roman"/>
          <w:sz w:val="24"/>
          <w:szCs w:val="24"/>
          <w:vertAlign w:val="superscript"/>
        </w:rPr>
        <w:footnoteReference w:id="36"/>
      </w:r>
      <w:r w:rsidRPr="00344B5A">
        <w:rPr>
          <w:rFonts w:ascii="Times New Roman" w:hAnsi="Times New Roman" w:cs="Times New Roman"/>
          <w:sz w:val="24"/>
          <w:szCs w:val="24"/>
        </w:rPr>
        <w:t xml:space="preserve"> The apocalyptic tone of Petrarch’s letter clearly highlights contemporary Florentine fears concerning the Black Death, and the high levels of panic and uncertainty would have undoubtedly caused groups of Florence’s population to flee the city for refuge elsewhere. Appealing to God directly in his letter to Socrates, Petrarch pleads ‘why then, most just of judges, should the punishment of thy avenging sword fall particularly on our times?’</w:t>
      </w:r>
      <w:r w:rsidRPr="00344B5A">
        <w:rPr>
          <w:rFonts w:ascii="Times New Roman" w:hAnsi="Times New Roman" w:cs="Times New Roman"/>
          <w:sz w:val="24"/>
          <w:szCs w:val="24"/>
          <w:vertAlign w:val="superscript"/>
        </w:rPr>
        <w:footnoteReference w:id="37"/>
      </w:r>
      <w:r w:rsidRPr="00344B5A">
        <w:rPr>
          <w:rFonts w:ascii="Times New Roman" w:hAnsi="Times New Roman" w:cs="Times New Roman"/>
          <w:sz w:val="24"/>
          <w:szCs w:val="24"/>
        </w:rPr>
        <w:t xml:space="preserve"> Philip Ziegler explores the role of religion within the recorded arrival of the Black Death across Europe and states that ‘the Black Death descended on a people who were drilled by their theological and their scientific training into a reaction of apathy and fatalistic resignation.’</w:t>
      </w:r>
      <w:r w:rsidRPr="00344B5A">
        <w:rPr>
          <w:rFonts w:ascii="Times New Roman" w:hAnsi="Times New Roman" w:cs="Times New Roman"/>
          <w:sz w:val="24"/>
          <w:szCs w:val="24"/>
          <w:vertAlign w:val="superscript"/>
        </w:rPr>
        <w:footnoteReference w:id="38"/>
      </w:r>
      <w:r w:rsidRPr="00344B5A">
        <w:rPr>
          <w:rFonts w:ascii="Times New Roman" w:hAnsi="Times New Roman" w:cs="Times New Roman"/>
          <w:sz w:val="24"/>
          <w:szCs w:val="24"/>
        </w:rPr>
        <w:t xml:space="preserve"> Petrarch seemingly implies that large groups of people responded by abandoning their ordinary lives, highlighting the genuine fear of God’s retribution upon the Italian people following their alleged debauched lifestyles</w:t>
      </w:r>
      <w:r w:rsidR="00BE37B1" w:rsidRPr="00344B5A">
        <w:rPr>
          <w:rFonts w:ascii="Times New Roman" w:hAnsi="Times New Roman" w:cs="Times New Roman"/>
          <w:sz w:val="24"/>
          <w:szCs w:val="24"/>
        </w:rPr>
        <w:t xml:space="preserve">, ‘so either we are the worst of all beings, which I should like to deny but dare not; or God </w:t>
      </w:r>
      <w:r w:rsidR="0068478F" w:rsidRPr="00344B5A">
        <w:rPr>
          <w:rFonts w:ascii="Times New Roman" w:hAnsi="Times New Roman" w:cs="Times New Roman"/>
          <w:sz w:val="24"/>
          <w:szCs w:val="24"/>
        </w:rPr>
        <w:t>is</w:t>
      </w:r>
      <w:r w:rsidR="00BE37B1" w:rsidRPr="00344B5A">
        <w:rPr>
          <w:rFonts w:ascii="Times New Roman" w:hAnsi="Times New Roman" w:cs="Times New Roman"/>
          <w:sz w:val="24"/>
          <w:szCs w:val="24"/>
        </w:rPr>
        <w:t xml:space="preserve"> exercising and purging us with present evils for our future good.’</w:t>
      </w:r>
      <w:r w:rsidR="00BE37B1" w:rsidRPr="00344B5A">
        <w:rPr>
          <w:rStyle w:val="FootnoteReference"/>
          <w:rFonts w:ascii="Times New Roman" w:hAnsi="Times New Roman" w:cs="Times New Roman"/>
          <w:sz w:val="24"/>
          <w:szCs w:val="24"/>
        </w:rPr>
        <w:footnoteReference w:id="39"/>
      </w:r>
      <w:r w:rsidRPr="00344B5A">
        <w:rPr>
          <w:rFonts w:ascii="Times New Roman" w:hAnsi="Times New Roman" w:cs="Times New Roman"/>
          <w:sz w:val="24"/>
          <w:szCs w:val="24"/>
        </w:rPr>
        <w:t xml:space="preserve"> Having considered the more selfish reasons for citizens of Florence fleeing the city, abandonment of houses and family in fear of God’s divine punishment emphasises the terrifying events of early 1348 when the plague reached the Florence. </w:t>
      </w:r>
    </w:p>
    <w:p w14:paraId="7D3EBE8B" w14:textId="1966CF5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Fear induced by divine punishment appears across contemporary texts, and Boccaccio highlights that some of the Florentine population had deduced that the events of 1348 could only be retribution from God. Wh</w:t>
      </w:r>
      <w:r w:rsidR="00231227" w:rsidRPr="00344B5A">
        <w:rPr>
          <w:rFonts w:ascii="Times New Roman" w:hAnsi="Times New Roman" w:cs="Times New Roman"/>
          <w:sz w:val="24"/>
          <w:szCs w:val="24"/>
        </w:rPr>
        <w:t>ilst</w:t>
      </w:r>
      <w:r w:rsidRPr="00344B5A">
        <w:rPr>
          <w:rFonts w:ascii="Times New Roman" w:hAnsi="Times New Roman" w:cs="Times New Roman"/>
          <w:sz w:val="24"/>
          <w:szCs w:val="24"/>
        </w:rPr>
        <w:t xml:space="preserve"> introducing the conditions in which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takes place, Boccaccio states that ‘some say that it descended upon the human race through the influence of the heavenly bodies, others that it was a punishment signifying God’s righteous anger at our iniquitous way of life.’</w:t>
      </w:r>
      <w:r w:rsidRPr="00344B5A">
        <w:rPr>
          <w:rFonts w:ascii="Times New Roman" w:hAnsi="Times New Roman" w:cs="Times New Roman"/>
          <w:sz w:val="24"/>
          <w:szCs w:val="24"/>
          <w:vertAlign w:val="superscript"/>
        </w:rPr>
        <w:footnoteReference w:id="40"/>
      </w:r>
      <w:r w:rsidRPr="00344B5A">
        <w:rPr>
          <w:rFonts w:ascii="Times New Roman" w:hAnsi="Times New Roman" w:cs="Times New Roman"/>
          <w:sz w:val="24"/>
          <w:szCs w:val="24"/>
        </w:rPr>
        <w:t xml:space="preserve"> However, Boccaccio’s mention of the God-fearing citizens of the city also provides an account of fourteenth-century Florentine society, with the casual mention of Florence’s ‘iniquitous ways of life’ appearing within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almost like an unwitting testimony concerning the nature of religion and moral actions.</w:t>
      </w:r>
      <w:r w:rsidRPr="00344B5A">
        <w:rPr>
          <w:rFonts w:ascii="Times New Roman" w:hAnsi="Times New Roman" w:cs="Times New Roman"/>
          <w:sz w:val="24"/>
          <w:szCs w:val="24"/>
          <w:vertAlign w:val="superscript"/>
        </w:rPr>
        <w:footnoteReference w:id="41"/>
      </w:r>
      <w:r w:rsidRPr="00344B5A">
        <w:rPr>
          <w:rFonts w:ascii="Times New Roman" w:hAnsi="Times New Roman" w:cs="Times New Roman"/>
          <w:sz w:val="24"/>
          <w:szCs w:val="24"/>
        </w:rPr>
        <w:t xml:space="preserve"> William McNeill suggests that some contemporary writers assumed the Black Death had arrived in the harbours and on their shores as a divine punishment, in addition to exploring the significant impact the Black Death had on literature across Europe ‘writers as diverse as Boccaccio, Chaucer, and William Langland all treated the plague as a routine crisis of human life – an act of God, like the weather.’</w:t>
      </w:r>
      <w:r w:rsidRPr="00344B5A">
        <w:rPr>
          <w:rFonts w:ascii="Times New Roman" w:hAnsi="Times New Roman" w:cs="Times New Roman"/>
          <w:sz w:val="24"/>
          <w:szCs w:val="24"/>
          <w:vertAlign w:val="superscript"/>
        </w:rPr>
        <w:footnoteReference w:id="42"/>
      </w:r>
      <w:r w:rsidRPr="00344B5A">
        <w:rPr>
          <w:rFonts w:ascii="Times New Roman" w:hAnsi="Times New Roman" w:cs="Times New Roman"/>
          <w:sz w:val="24"/>
          <w:szCs w:val="24"/>
        </w:rPr>
        <w:t xml:space="preserve"> </w:t>
      </w:r>
    </w:p>
    <w:p w14:paraId="6B20DC1F" w14:textId="176DBA1B"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When considering the role of contemporary literature as an artform of the fourteenth century, Petrarch’s volumes of letters can be seen as a significant contribution to the medieval practice of letter writing, the </w:t>
      </w:r>
      <w:r w:rsidRPr="00344B5A">
        <w:rPr>
          <w:rFonts w:ascii="Times New Roman" w:hAnsi="Times New Roman" w:cs="Times New Roman"/>
          <w:i/>
          <w:iCs/>
          <w:sz w:val="24"/>
          <w:szCs w:val="24"/>
        </w:rPr>
        <w:t xml:space="preserve">ars dictaminis </w:t>
      </w:r>
      <w:r w:rsidRPr="00344B5A">
        <w:rPr>
          <w:rFonts w:ascii="Times New Roman" w:hAnsi="Times New Roman" w:cs="Times New Roman"/>
          <w:sz w:val="24"/>
          <w:szCs w:val="24"/>
        </w:rPr>
        <w:t xml:space="preserve">or ‘art of letter writing’. The </w:t>
      </w:r>
      <w:r w:rsidRPr="00344B5A">
        <w:rPr>
          <w:rFonts w:ascii="Times New Roman" w:hAnsi="Times New Roman" w:cs="Times New Roman"/>
          <w:i/>
          <w:iCs/>
          <w:sz w:val="24"/>
          <w:szCs w:val="24"/>
        </w:rPr>
        <w:t xml:space="preserve">ars dictaminis </w:t>
      </w:r>
      <w:r w:rsidRPr="00344B5A">
        <w:rPr>
          <w:rFonts w:ascii="Times New Roman" w:hAnsi="Times New Roman" w:cs="Times New Roman"/>
          <w:sz w:val="24"/>
          <w:szCs w:val="24"/>
        </w:rPr>
        <w:t xml:space="preserve">developed greatly over the course of the medieval period as the continuation of key classical culture, </w:t>
      </w:r>
      <w:r w:rsidR="003D6EAA" w:rsidRPr="00344B5A">
        <w:rPr>
          <w:rFonts w:ascii="Times New Roman" w:hAnsi="Times New Roman" w:cs="Times New Roman"/>
          <w:sz w:val="24"/>
          <w:szCs w:val="24"/>
        </w:rPr>
        <w:t>and had</w:t>
      </w:r>
      <w:r w:rsidR="00855E97" w:rsidRPr="00344B5A">
        <w:rPr>
          <w:rFonts w:ascii="Times New Roman" w:hAnsi="Times New Roman" w:cs="Times New Roman"/>
          <w:sz w:val="24"/>
          <w:szCs w:val="24"/>
        </w:rPr>
        <w:t xml:space="preserve"> a significant influence</w:t>
      </w:r>
      <w:r w:rsidRPr="00344B5A">
        <w:rPr>
          <w:rFonts w:ascii="Times New Roman" w:hAnsi="Times New Roman" w:cs="Times New Roman"/>
          <w:sz w:val="24"/>
          <w:szCs w:val="24"/>
        </w:rPr>
        <w:t xml:space="preserve"> upon the gradual emergence of the Renaissance in fourteenth-century Italy.</w:t>
      </w:r>
      <w:r w:rsidRPr="00344B5A">
        <w:rPr>
          <w:rFonts w:ascii="Times New Roman" w:hAnsi="Times New Roman" w:cs="Times New Roman"/>
          <w:sz w:val="24"/>
          <w:szCs w:val="24"/>
          <w:vertAlign w:val="superscript"/>
        </w:rPr>
        <w:footnoteReference w:id="43"/>
      </w:r>
      <w:r w:rsidRPr="00344B5A">
        <w:rPr>
          <w:rFonts w:ascii="Times New Roman" w:hAnsi="Times New Roman" w:cs="Times New Roman"/>
          <w:sz w:val="24"/>
          <w:szCs w:val="24"/>
        </w:rPr>
        <w:t xml:space="preserve"> Surviving letters written to significant classical figures of philosophy and rhetoric emphasise this, particularly the letter to Socrates in which he details the horrors of the Black Death in the previous year. If Petrarch had composed his letter to Socrates as a </w:t>
      </w:r>
      <w:r w:rsidRPr="00344B5A">
        <w:rPr>
          <w:rFonts w:ascii="Times New Roman" w:hAnsi="Times New Roman" w:cs="Times New Roman"/>
          <w:sz w:val="24"/>
          <w:szCs w:val="24"/>
        </w:rPr>
        <w:lastRenderedPageBreak/>
        <w:t xml:space="preserve">deliberate work of </w:t>
      </w:r>
      <w:r w:rsidRPr="00344B5A">
        <w:rPr>
          <w:rFonts w:ascii="Times New Roman" w:hAnsi="Times New Roman" w:cs="Times New Roman"/>
          <w:i/>
          <w:iCs/>
          <w:sz w:val="24"/>
          <w:szCs w:val="24"/>
        </w:rPr>
        <w:t>ars dictaminis</w:t>
      </w:r>
      <w:r w:rsidR="004F0ED4" w:rsidRPr="00344B5A">
        <w:rPr>
          <w:rFonts w:ascii="Times New Roman" w:hAnsi="Times New Roman" w:cs="Times New Roman"/>
          <w:sz w:val="24"/>
          <w:szCs w:val="24"/>
        </w:rPr>
        <w:t>,</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 xml:space="preserve">then the information concerning the initial Florentine reaction may be somewhat exaggerated or even fabricated. The dramatic and artistic tone of the letter is apparent throughout, with multiple references to classical writers, a key component of the </w:t>
      </w:r>
      <w:r w:rsidRPr="00344B5A">
        <w:rPr>
          <w:rFonts w:ascii="Times New Roman" w:hAnsi="Times New Roman" w:cs="Times New Roman"/>
          <w:i/>
          <w:iCs/>
          <w:sz w:val="24"/>
          <w:szCs w:val="24"/>
        </w:rPr>
        <w:t>ars dictaminis</w:t>
      </w:r>
      <w:r w:rsidRPr="00344B5A">
        <w:rPr>
          <w:rFonts w:ascii="Times New Roman" w:hAnsi="Times New Roman" w:cs="Times New Roman"/>
          <w:sz w:val="24"/>
          <w:szCs w:val="24"/>
        </w:rPr>
        <w:t>. Petrarch opens the letter by addressing Socrates, ‘Oh, brother, brother, brother!’ a rhetorical technique he notes was used by the ancients, and in particular by Cicero.</w:t>
      </w:r>
      <w:r w:rsidRPr="00344B5A">
        <w:rPr>
          <w:rFonts w:ascii="Times New Roman" w:hAnsi="Times New Roman" w:cs="Times New Roman"/>
          <w:sz w:val="24"/>
          <w:szCs w:val="24"/>
          <w:vertAlign w:val="superscript"/>
        </w:rPr>
        <w:footnoteReference w:id="44"/>
      </w:r>
      <w:r w:rsidRPr="00344B5A">
        <w:rPr>
          <w:rFonts w:ascii="Times New Roman" w:hAnsi="Times New Roman" w:cs="Times New Roman"/>
          <w:sz w:val="24"/>
          <w:szCs w:val="24"/>
        </w:rPr>
        <w:t xml:space="preserve"> Furthermore, Petrarch likens his account to that of another classical figure, ‘you may see me in what you had read in Virgil of the great city’ and arguably legitimises his account of the Black Death by comparing it to a work of prominent literary standing.</w:t>
      </w:r>
      <w:r w:rsidRPr="00344B5A">
        <w:rPr>
          <w:rFonts w:ascii="Times New Roman" w:hAnsi="Times New Roman" w:cs="Times New Roman"/>
          <w:sz w:val="24"/>
          <w:szCs w:val="24"/>
          <w:vertAlign w:val="superscript"/>
        </w:rPr>
        <w:footnoteReference w:id="45"/>
      </w:r>
    </w:p>
    <w:p w14:paraId="66A97464" w14:textId="62EA9EAE"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Despite the distinguished role of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 xml:space="preserve">in scholarly works on the Black Death in Italy and across Europe, there is reasonable evidence that suggests Boccaccio had not been in Florence during the outbreak of the Black Death in 1348. In G. H. McWilliam’s introduction to his translation of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xml:space="preserve">, it is noted that ‘he [Boccaccio] declares in his commentary on Dante’s </w:t>
      </w:r>
      <w:r w:rsidRPr="00344B5A">
        <w:rPr>
          <w:rFonts w:ascii="Times New Roman" w:hAnsi="Times New Roman" w:cs="Times New Roman"/>
          <w:i/>
          <w:iCs/>
          <w:sz w:val="24"/>
          <w:szCs w:val="24"/>
        </w:rPr>
        <w:t xml:space="preserve">Commedia </w:t>
      </w:r>
      <w:r w:rsidRPr="00344B5A">
        <w:rPr>
          <w:rFonts w:ascii="Times New Roman" w:hAnsi="Times New Roman" w:cs="Times New Roman"/>
          <w:sz w:val="24"/>
          <w:szCs w:val="24"/>
        </w:rPr>
        <w:t>that he was not in Florence during the plague of 1340’, and brings into question the reliability and provenance of Boccaccio’s account of the Black Death.</w:t>
      </w:r>
      <w:r w:rsidRPr="00344B5A">
        <w:rPr>
          <w:rFonts w:ascii="Times New Roman" w:hAnsi="Times New Roman" w:cs="Times New Roman"/>
          <w:sz w:val="24"/>
          <w:szCs w:val="24"/>
          <w:vertAlign w:val="superscript"/>
        </w:rPr>
        <w:footnoteReference w:id="46"/>
      </w:r>
      <w:r w:rsidRPr="00344B5A">
        <w:rPr>
          <w:rFonts w:ascii="Times New Roman" w:hAnsi="Times New Roman" w:cs="Times New Roman"/>
          <w:sz w:val="24"/>
          <w:szCs w:val="24"/>
        </w:rPr>
        <w:t xml:space="preserve"> It could be suggested that in staying away from Florence when the Black Death arrived, Boccaccio had acted in a similar manner to those who fled the city in search of safety and refuge, but his account of their cowardice would suggest a moral superiority to his own actions. Boccaccio’s absence from Florence also exposes the borrowing of his plague description from an earlier eighth-century work by the Benedictine monk and historian of the Lombard’s, Paul the Deacon.</w:t>
      </w:r>
      <w:r w:rsidRPr="00344B5A">
        <w:rPr>
          <w:rFonts w:ascii="Times New Roman" w:hAnsi="Times New Roman" w:cs="Times New Roman"/>
          <w:sz w:val="24"/>
          <w:szCs w:val="24"/>
          <w:vertAlign w:val="superscript"/>
        </w:rPr>
        <w:footnoteReference w:id="47"/>
      </w:r>
      <w:r w:rsidRPr="00344B5A">
        <w:rPr>
          <w:rFonts w:ascii="Times New Roman" w:hAnsi="Times New Roman" w:cs="Times New Roman"/>
          <w:sz w:val="24"/>
          <w:szCs w:val="24"/>
        </w:rPr>
        <w:t xml:space="preserve"> The </w:t>
      </w:r>
      <w:r w:rsidRPr="00344B5A">
        <w:rPr>
          <w:rFonts w:ascii="Times New Roman" w:hAnsi="Times New Roman" w:cs="Times New Roman"/>
          <w:i/>
          <w:iCs/>
          <w:sz w:val="24"/>
          <w:szCs w:val="24"/>
        </w:rPr>
        <w:t xml:space="preserve">Historia Langobardorum </w:t>
      </w:r>
      <w:r w:rsidRPr="00344B5A">
        <w:rPr>
          <w:rFonts w:ascii="Times New Roman" w:hAnsi="Times New Roman" w:cs="Times New Roman"/>
          <w:sz w:val="24"/>
          <w:szCs w:val="24"/>
        </w:rPr>
        <w:t xml:space="preserve">describes a seventh-century plague outbreak in the north-Italian region of Liguria in which homes were abandoned, </w:t>
      </w:r>
      <w:r w:rsidRPr="00344B5A">
        <w:rPr>
          <w:rFonts w:ascii="Times New Roman" w:hAnsi="Times New Roman" w:cs="Times New Roman"/>
          <w:sz w:val="24"/>
          <w:szCs w:val="24"/>
        </w:rPr>
        <w:lastRenderedPageBreak/>
        <w:t>children fled from their diseased parents and the region fell into silence, ‘there were no footsteps of passers-by, no murderers were seen, yet the corpses of the dead were more than the eyes could discern.’</w:t>
      </w:r>
      <w:r w:rsidRPr="00344B5A">
        <w:rPr>
          <w:rStyle w:val="FootnoteReference"/>
          <w:rFonts w:ascii="Times New Roman" w:hAnsi="Times New Roman" w:cs="Times New Roman"/>
          <w:sz w:val="24"/>
          <w:szCs w:val="24"/>
        </w:rPr>
        <w:footnoteReference w:id="48"/>
      </w:r>
      <w:r w:rsidRPr="00344B5A">
        <w:rPr>
          <w:rFonts w:ascii="Times New Roman" w:hAnsi="Times New Roman" w:cs="Times New Roman"/>
          <w:sz w:val="24"/>
          <w:szCs w:val="24"/>
        </w:rPr>
        <w:t xml:space="preserve"> McWilliams emphasises that ‘there is no external evidence to support Boccaccio’s contention that he was an eye-witness to the terrible suffering to which the Florentines were subjected’, therefore casting doubt on the reliability of Boccaccio as an alleged contemporary eye-witness to the arrival of the Black Death in 1348.</w:t>
      </w:r>
      <w:r w:rsidRPr="00344B5A">
        <w:rPr>
          <w:rFonts w:ascii="Times New Roman" w:hAnsi="Times New Roman" w:cs="Times New Roman"/>
          <w:sz w:val="24"/>
          <w:szCs w:val="24"/>
          <w:vertAlign w:val="superscript"/>
        </w:rPr>
        <w:footnoteReference w:id="49"/>
      </w:r>
      <w:r w:rsidRPr="00344B5A">
        <w:rPr>
          <w:rFonts w:ascii="Times New Roman" w:hAnsi="Times New Roman" w:cs="Times New Roman"/>
          <w:sz w:val="24"/>
          <w:szCs w:val="24"/>
        </w:rPr>
        <w:t xml:space="preserve"> </w:t>
      </w:r>
    </w:p>
    <w:p w14:paraId="0575E648" w14:textId="71000539" w:rsidR="00217AC0" w:rsidRPr="00344B5A" w:rsidRDefault="00217AC0" w:rsidP="00217AC0">
      <w:pPr>
        <w:spacing w:line="480" w:lineRule="auto"/>
        <w:rPr>
          <w:rFonts w:ascii="Times New Roman" w:hAnsi="Times New Roman" w:cs="Times New Roman"/>
          <w:sz w:val="24"/>
          <w:szCs w:val="24"/>
        </w:rPr>
      </w:pPr>
      <w:r w:rsidRPr="00344B5A">
        <w:rPr>
          <w:rFonts w:ascii="Times New Roman" w:hAnsi="Times New Roman" w:cs="Times New Roman"/>
          <w:sz w:val="24"/>
          <w:szCs w:val="24"/>
        </w:rPr>
        <w:t>Within scholarship on the Black Death there exists some scepticism surrounding the reliability of surviving contemporary sources, historian John M W Bean highlights that given the heavy reliance on fourteenth-century literature throughout historical studies ‘the historian of the Black Death can never escape completely from the details and patterns imposed by the chronicles’ accounts.’</w:t>
      </w:r>
      <w:r w:rsidRPr="00344B5A">
        <w:rPr>
          <w:rFonts w:ascii="Times New Roman" w:hAnsi="Times New Roman" w:cs="Times New Roman"/>
          <w:sz w:val="24"/>
          <w:szCs w:val="24"/>
          <w:vertAlign w:val="superscript"/>
        </w:rPr>
        <w:footnoteReference w:id="50"/>
      </w:r>
      <w:r w:rsidRPr="00344B5A">
        <w:rPr>
          <w:rFonts w:ascii="Times New Roman" w:hAnsi="Times New Roman" w:cs="Times New Roman"/>
          <w:sz w:val="24"/>
          <w:szCs w:val="24"/>
        </w:rPr>
        <w:t xml:space="preserve"> The statistical information obtainable from surviving contemporary sources is often exaggerated and inaccurate, but social concerns and personal opinion leak through rhetoric techniques, in particular the devastating and apocalyptic nature of the Black Death. Despite Boccaccio’s noble intention to rescue his lovelorn audience, the historical narrative of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is undeniable in regards to the detailed description that has proven popular with scholars since the fourteenth century. In spite of exploring how the purpose in which contemporary works of literature were composed and how this may affect the reliability as historical narrative, historian John Hatcher argues that works of fiction do not have to be considered antithetical to history.</w:t>
      </w:r>
      <w:r w:rsidRPr="00344B5A">
        <w:rPr>
          <w:rFonts w:ascii="Times New Roman" w:hAnsi="Times New Roman" w:cs="Times New Roman"/>
          <w:sz w:val="24"/>
          <w:szCs w:val="24"/>
          <w:vertAlign w:val="superscript"/>
        </w:rPr>
        <w:footnoteReference w:id="51"/>
      </w:r>
      <w:r w:rsidRPr="00344B5A">
        <w:rPr>
          <w:rFonts w:ascii="Times New Roman" w:hAnsi="Times New Roman" w:cs="Times New Roman"/>
          <w:sz w:val="24"/>
          <w:szCs w:val="24"/>
        </w:rPr>
        <w:t xml:space="preserve"> Hatcher writes that ‘storytellers, chroniclers, poets, propogandists and, latterly, playwrights, novelists and screenwriters have always drawn freely from history’s limitless supply of characters, events and context, and by so doing have </w:t>
      </w:r>
      <w:r w:rsidRPr="00344B5A">
        <w:rPr>
          <w:rFonts w:ascii="Times New Roman" w:hAnsi="Times New Roman" w:cs="Times New Roman"/>
          <w:sz w:val="24"/>
          <w:szCs w:val="24"/>
        </w:rPr>
        <w:lastRenderedPageBreak/>
        <w:t>repeatedly demonstrated what a potent mixture the blending of history and fiction can be.’</w:t>
      </w:r>
      <w:r w:rsidRPr="00344B5A">
        <w:rPr>
          <w:rFonts w:ascii="Times New Roman" w:hAnsi="Times New Roman" w:cs="Times New Roman"/>
          <w:sz w:val="24"/>
          <w:szCs w:val="24"/>
          <w:vertAlign w:val="superscript"/>
        </w:rPr>
        <w:footnoteReference w:id="52"/>
      </w:r>
      <w:r w:rsidRPr="00344B5A">
        <w:rPr>
          <w:rFonts w:ascii="Times New Roman" w:hAnsi="Times New Roman" w:cs="Times New Roman"/>
          <w:sz w:val="24"/>
          <w:szCs w:val="24"/>
        </w:rPr>
        <w:t xml:space="preserve"> If, as Hatcher argues, literary fiction is history, then surviving contemporary sources from the mid-fourteenth century can be considered equal in their importance to understanding the initial reaction to the arrival of the Black Death regardless of their intended purpose. The importance of contemporary sources as surviving fourteenth-century records of the Black Death transcends their intended purpose, whether it be a chronicled account or a novella for heartbroken courtly women. </w:t>
      </w:r>
    </w:p>
    <w:p w14:paraId="67A93552" w14:textId="7BD36056" w:rsidR="0087504F" w:rsidRPr="00344B5A" w:rsidRDefault="00803DF9"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It can therefore be seen that the</w:t>
      </w:r>
      <w:r w:rsidR="00B42237" w:rsidRPr="00344B5A">
        <w:rPr>
          <w:rFonts w:ascii="Times New Roman" w:hAnsi="Times New Roman" w:cs="Times New Roman"/>
          <w:sz w:val="24"/>
          <w:szCs w:val="24"/>
        </w:rPr>
        <w:t xml:space="preserve"> surviving works of Boccaccio and Bonaiuti both seem to suggest that the people who left Florence were selfish and cowardly, as though fleeing the city would save them from contracting the plague, but emphasising also that these individuals often carried the Black Death to previously unaffected areas of Italy. Petrarch however does not seem to suggest that those who fled Italy were selfish, and instead details the terrifying nature of events as a result of beliefs the plague was a divine retribution from God, perhaps showing a degree of sympathy for those who felt there was no other option. The difference between those who abandoned their houses and those who weathered the storm appears to be a reflection of the ‘fight or flight’ reaction observed in human nature as a response to life-threatening situations.</w:t>
      </w:r>
      <w:r w:rsidR="00B42237" w:rsidRPr="00344B5A">
        <w:rPr>
          <w:rFonts w:ascii="Times New Roman" w:hAnsi="Times New Roman" w:cs="Times New Roman"/>
          <w:sz w:val="24"/>
          <w:szCs w:val="24"/>
          <w:vertAlign w:val="superscript"/>
        </w:rPr>
        <w:footnoteReference w:id="53"/>
      </w:r>
      <w:r w:rsidR="00B42237" w:rsidRPr="00344B5A">
        <w:rPr>
          <w:rFonts w:ascii="Times New Roman" w:hAnsi="Times New Roman" w:cs="Times New Roman"/>
          <w:sz w:val="24"/>
          <w:szCs w:val="24"/>
        </w:rPr>
        <w:t xml:space="preserve"> Hatcher emphasises that ‘it will never be possible to know for certain more than a small part of what it was like to live and die in the time of the Black Death’, and in so far as Boccaccio and Petrarch recorded some evidence of contemporary reactions to the Black Death, it is impossible to have a complete understanding of why people fled their homes and family in response to the arrival of the Black Death in 1348.</w:t>
      </w:r>
      <w:r w:rsidR="00B42237" w:rsidRPr="00344B5A">
        <w:rPr>
          <w:rFonts w:ascii="Times New Roman" w:hAnsi="Times New Roman" w:cs="Times New Roman"/>
          <w:sz w:val="24"/>
          <w:szCs w:val="24"/>
          <w:vertAlign w:val="superscript"/>
        </w:rPr>
        <w:footnoteReference w:id="54"/>
      </w:r>
    </w:p>
    <w:p w14:paraId="31D7A1D8" w14:textId="77777777" w:rsidR="00694C6B" w:rsidRPr="00344B5A" w:rsidRDefault="00694C6B" w:rsidP="0087504F">
      <w:pPr>
        <w:spacing w:line="480" w:lineRule="auto"/>
        <w:rPr>
          <w:rFonts w:ascii="Times New Roman" w:hAnsi="Times New Roman" w:cs="Times New Roman"/>
          <w:b/>
          <w:bCs/>
          <w:sz w:val="24"/>
          <w:szCs w:val="24"/>
        </w:rPr>
      </w:pPr>
    </w:p>
    <w:p w14:paraId="25A9816C" w14:textId="129894D4" w:rsidR="001E42CF" w:rsidRPr="00344B5A" w:rsidRDefault="001E42CF" w:rsidP="001E42CF">
      <w:pPr>
        <w:pStyle w:val="Heading1"/>
        <w:spacing w:line="480" w:lineRule="auto"/>
        <w:rPr>
          <w:rFonts w:ascii="Times New Roman" w:hAnsi="Times New Roman" w:cs="Times New Roman"/>
          <w:b/>
          <w:bCs/>
          <w:color w:val="auto"/>
          <w:sz w:val="24"/>
          <w:szCs w:val="24"/>
        </w:rPr>
      </w:pPr>
      <w:bookmarkStart w:id="4" w:name="_Toc40006744"/>
      <w:r w:rsidRPr="00344B5A">
        <w:rPr>
          <w:rFonts w:ascii="Times New Roman" w:hAnsi="Times New Roman" w:cs="Times New Roman"/>
          <w:b/>
          <w:bCs/>
          <w:color w:val="auto"/>
          <w:sz w:val="24"/>
          <w:szCs w:val="24"/>
        </w:rPr>
        <w:lastRenderedPageBreak/>
        <w:t>Chapter Two</w:t>
      </w:r>
      <w:bookmarkEnd w:id="4"/>
      <w:r w:rsidRPr="00344B5A">
        <w:rPr>
          <w:rFonts w:ascii="Times New Roman" w:hAnsi="Times New Roman" w:cs="Times New Roman"/>
          <w:b/>
          <w:bCs/>
          <w:color w:val="auto"/>
          <w:sz w:val="24"/>
          <w:szCs w:val="24"/>
        </w:rPr>
        <w:t xml:space="preserve"> </w:t>
      </w:r>
    </w:p>
    <w:p w14:paraId="073997EA" w14:textId="4C77A95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Large proportions of the Florentine population who remained within the city suffered greatly at the hands of the pestilence</w:t>
      </w:r>
      <w:r w:rsidR="009C5A6B" w:rsidRPr="00344B5A">
        <w:rPr>
          <w:rFonts w:ascii="Times New Roman" w:hAnsi="Times New Roman" w:cs="Times New Roman"/>
          <w:sz w:val="24"/>
          <w:szCs w:val="24"/>
        </w:rPr>
        <w:t>;</w:t>
      </w:r>
      <w:r w:rsidRPr="00344B5A">
        <w:rPr>
          <w:rFonts w:ascii="Times New Roman" w:hAnsi="Times New Roman" w:cs="Times New Roman"/>
          <w:sz w:val="24"/>
          <w:szCs w:val="24"/>
        </w:rPr>
        <w:t xml:space="preserve"> having been abandoned by family and neighbours at the first signs of bubonic plague,</w:t>
      </w:r>
      <w:r w:rsidR="009C5A6B" w:rsidRPr="00344B5A">
        <w:rPr>
          <w:rFonts w:ascii="Times New Roman" w:hAnsi="Times New Roman" w:cs="Times New Roman"/>
          <w:sz w:val="24"/>
          <w:szCs w:val="24"/>
        </w:rPr>
        <w:t xml:space="preserve"> Florentines were</w:t>
      </w:r>
      <w:r w:rsidRPr="00344B5A">
        <w:rPr>
          <w:rFonts w:ascii="Times New Roman" w:hAnsi="Times New Roman" w:cs="Times New Roman"/>
          <w:sz w:val="24"/>
          <w:szCs w:val="24"/>
        </w:rPr>
        <w:t xml:space="preserve"> dying alone in their thousands</w:t>
      </w:r>
      <w:r w:rsidR="009C5A6B" w:rsidRPr="00344B5A">
        <w:rPr>
          <w:rFonts w:ascii="Times New Roman" w:hAnsi="Times New Roman" w:cs="Times New Roman"/>
          <w:sz w:val="24"/>
          <w:szCs w:val="24"/>
        </w:rPr>
        <w:t>,</w:t>
      </w:r>
      <w:r w:rsidRPr="00344B5A">
        <w:rPr>
          <w:rFonts w:ascii="Times New Roman" w:hAnsi="Times New Roman" w:cs="Times New Roman"/>
          <w:sz w:val="24"/>
          <w:szCs w:val="24"/>
        </w:rPr>
        <w:t xml:space="preserve"> fac</w:t>
      </w:r>
      <w:r w:rsidR="009C5A6B" w:rsidRPr="00344B5A">
        <w:rPr>
          <w:rFonts w:ascii="Times New Roman" w:hAnsi="Times New Roman" w:cs="Times New Roman"/>
          <w:sz w:val="24"/>
          <w:szCs w:val="24"/>
        </w:rPr>
        <w:t>ing</w:t>
      </w:r>
      <w:r w:rsidRPr="00344B5A">
        <w:rPr>
          <w:rFonts w:ascii="Times New Roman" w:hAnsi="Times New Roman" w:cs="Times New Roman"/>
          <w:sz w:val="24"/>
          <w:szCs w:val="24"/>
        </w:rPr>
        <w:t xml:space="preserve"> mass graves and rushed burials. As one of the first areas in Europe to be consumed by the full force of the Black Death, Ziegler highlights the importance of the city of Florence to understanding many aspects of the outbreak, stating that the city’s close association with the plague gave rise to the name ‘The Plague of Florence’ amongst contemporary writers.</w:t>
      </w:r>
      <w:r w:rsidRPr="00344B5A">
        <w:rPr>
          <w:rFonts w:ascii="Times New Roman" w:hAnsi="Times New Roman" w:cs="Times New Roman"/>
          <w:sz w:val="24"/>
          <w:szCs w:val="24"/>
          <w:vertAlign w:val="superscript"/>
        </w:rPr>
        <w:footnoteReference w:id="55"/>
      </w:r>
      <w:r w:rsidRPr="00344B5A">
        <w:rPr>
          <w:rFonts w:ascii="Times New Roman" w:hAnsi="Times New Roman" w:cs="Times New Roman"/>
          <w:sz w:val="24"/>
          <w:szCs w:val="24"/>
        </w:rPr>
        <w:t xml:space="preserve"> Contemporary fourteenth-century sources allow for the partial reconstruction of the horrors of Florentine life during the outbreak of the Black Death in 1348 resulting in the estimated deaths of two-thirds of the population</w:t>
      </w:r>
      <w:r w:rsidR="00D910AE" w:rsidRPr="00344B5A">
        <w:rPr>
          <w:rFonts w:ascii="Times New Roman" w:hAnsi="Times New Roman" w:cs="Times New Roman"/>
          <w:sz w:val="24"/>
          <w:szCs w:val="24"/>
        </w:rPr>
        <w:t>. N</w:t>
      </w:r>
      <w:r w:rsidRPr="00344B5A">
        <w:rPr>
          <w:rFonts w:ascii="Times New Roman" w:hAnsi="Times New Roman" w:cs="Times New Roman"/>
          <w:sz w:val="24"/>
          <w:szCs w:val="24"/>
        </w:rPr>
        <w:t>evertheless the possibility to reconstruct the exact events from surviving literature could arguably be hindered by missing contemporary material and the empathetic distance of the twenty-first century.</w:t>
      </w:r>
      <w:r w:rsidRPr="00344B5A">
        <w:rPr>
          <w:rFonts w:ascii="Times New Roman" w:hAnsi="Times New Roman" w:cs="Times New Roman"/>
          <w:sz w:val="24"/>
          <w:szCs w:val="24"/>
          <w:vertAlign w:val="superscript"/>
        </w:rPr>
        <w:footnoteReference w:id="56"/>
      </w:r>
      <w:r w:rsidRPr="00344B5A">
        <w:rPr>
          <w:rFonts w:ascii="Times New Roman" w:hAnsi="Times New Roman" w:cs="Times New Roman"/>
          <w:sz w:val="24"/>
          <w:szCs w:val="24"/>
        </w:rPr>
        <w:t xml:space="preserve"> With the rapid spread of the Black Death across Italy, the actions of the citizens </w:t>
      </w:r>
      <w:r w:rsidR="00D910AE" w:rsidRPr="00344B5A">
        <w:rPr>
          <w:rFonts w:ascii="Times New Roman" w:hAnsi="Times New Roman" w:cs="Times New Roman"/>
          <w:sz w:val="24"/>
          <w:szCs w:val="24"/>
        </w:rPr>
        <w:t xml:space="preserve">who remained in </w:t>
      </w:r>
      <w:r w:rsidRPr="00344B5A">
        <w:rPr>
          <w:rFonts w:ascii="Times New Roman" w:hAnsi="Times New Roman" w:cs="Times New Roman"/>
          <w:sz w:val="24"/>
          <w:szCs w:val="24"/>
        </w:rPr>
        <w:t xml:space="preserve">Florence appear in a similar nature to those who fled the city in early 1348, with many locking themselves away or abandoning the diseased in fear of catching the pestilence. The similarities between contemporary sources concerning the lives and tragic deaths of those who remained in the city of Florence raises questions concerning the transmission of texts through ‘textual community’, and additionally highlights the contemporary role of literature and historical narratives to the emergence of humanism and the Renaissance in fourteenth-century Italy. </w:t>
      </w:r>
    </w:p>
    <w:p w14:paraId="478598F7" w14:textId="0AA4FE6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Of those Florentines who remained in the city upon the outbreak of Black Death, Boccaccio illustrates two prominent responses, those who locked themselves away to prevent the pestilence from entering their homes, and those who made a mockery of the plague by </w:t>
      </w:r>
      <w:r w:rsidRPr="00344B5A">
        <w:rPr>
          <w:rFonts w:ascii="Times New Roman" w:hAnsi="Times New Roman" w:cs="Times New Roman"/>
          <w:sz w:val="24"/>
          <w:szCs w:val="24"/>
        </w:rPr>
        <w:lastRenderedPageBreak/>
        <w:t>continuing to drink in large gatherings. Having described the masses of the Florentine population who fled the city, Boccaccio continues his account by detailing the individuals who completely isolated themselves from wider society to save themselves from contracting the Black Death.</w:t>
      </w:r>
      <w:r w:rsidRPr="00344B5A">
        <w:rPr>
          <w:rFonts w:ascii="Times New Roman" w:hAnsi="Times New Roman" w:cs="Times New Roman"/>
          <w:sz w:val="24"/>
          <w:szCs w:val="24"/>
          <w:vertAlign w:val="superscript"/>
        </w:rPr>
        <w:footnoteReference w:id="57"/>
      </w:r>
      <w:r w:rsidRPr="00344B5A">
        <w:rPr>
          <w:rFonts w:ascii="Times New Roman" w:hAnsi="Times New Roman" w:cs="Times New Roman"/>
          <w:sz w:val="24"/>
          <w:szCs w:val="24"/>
        </w:rPr>
        <w:t xml:space="preserve"> Boccaccio records that having withdrawn themselves into isolated groups, ‘they locked themselves in and settled down to a peaceable existence, consuming modest quantities of delicate foods and precious wines and avoiding all excesses’, adding also that they avoided all contact with outsiders, refusing to hear news of those who were sick or had died, instead entertaining themselves with amusements such as music and the arts.</w:t>
      </w:r>
      <w:r w:rsidRPr="00344B5A">
        <w:rPr>
          <w:rFonts w:ascii="Times New Roman" w:hAnsi="Times New Roman" w:cs="Times New Roman"/>
          <w:sz w:val="24"/>
          <w:szCs w:val="24"/>
          <w:vertAlign w:val="superscript"/>
        </w:rPr>
        <w:footnoteReference w:id="58"/>
      </w:r>
      <w:r w:rsidRPr="00344B5A">
        <w:rPr>
          <w:rFonts w:ascii="Times New Roman" w:hAnsi="Times New Roman" w:cs="Times New Roman"/>
          <w:sz w:val="24"/>
          <w:szCs w:val="24"/>
        </w:rPr>
        <w:t xml:space="preserve"> There is an undeniable emphasis placed upon the description of the seemingly selfish ‘peaceable existence’ of those who shut themselves away, with the news of the increasing pestilence and fatalities falling upon deaf ears.  However, the adoption of a moderate lifestyle in avoidance of excesses suggests a moral and respectful acknowledgment of the surrounding atrocities during the outbreak of the Black Death and gives some indication to contemporary understandings of infection and treatment. </w:t>
      </w:r>
    </w:p>
    <w:p w14:paraId="6B4A14F8" w14:textId="7D83E060"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Despite </w:t>
      </w:r>
      <w:r w:rsidR="007E7F81" w:rsidRPr="00344B5A">
        <w:rPr>
          <w:rFonts w:ascii="Times New Roman" w:hAnsi="Times New Roman" w:cs="Times New Roman"/>
          <w:sz w:val="24"/>
          <w:szCs w:val="24"/>
        </w:rPr>
        <w:t xml:space="preserve">the Florentine citizens featured in the </w:t>
      </w:r>
      <w:r w:rsidR="007E7F81" w:rsidRPr="00344B5A">
        <w:rPr>
          <w:rFonts w:ascii="Times New Roman" w:hAnsi="Times New Roman" w:cs="Times New Roman"/>
          <w:i/>
          <w:iCs/>
          <w:sz w:val="24"/>
          <w:szCs w:val="24"/>
        </w:rPr>
        <w:t xml:space="preserve">Decameron </w:t>
      </w:r>
      <w:r w:rsidR="007E7F81" w:rsidRPr="00344B5A">
        <w:rPr>
          <w:rFonts w:ascii="Times New Roman" w:hAnsi="Times New Roman" w:cs="Times New Roman"/>
          <w:sz w:val="24"/>
          <w:szCs w:val="24"/>
        </w:rPr>
        <w:t>appearing</w:t>
      </w:r>
      <w:r w:rsidR="00E7583D" w:rsidRPr="00344B5A">
        <w:rPr>
          <w:rFonts w:ascii="Times New Roman" w:hAnsi="Times New Roman" w:cs="Times New Roman"/>
          <w:sz w:val="24"/>
          <w:szCs w:val="24"/>
        </w:rPr>
        <w:t xml:space="preserve"> selfish,</w:t>
      </w:r>
      <w:r w:rsidRPr="00344B5A">
        <w:rPr>
          <w:rFonts w:ascii="Times New Roman" w:hAnsi="Times New Roman" w:cs="Times New Roman"/>
          <w:sz w:val="24"/>
          <w:szCs w:val="24"/>
        </w:rPr>
        <w:t xml:space="preserve"> </w:t>
      </w:r>
      <w:r w:rsidR="00E7583D" w:rsidRPr="00344B5A">
        <w:rPr>
          <w:rFonts w:ascii="Times New Roman" w:hAnsi="Times New Roman" w:cs="Times New Roman"/>
          <w:sz w:val="24"/>
          <w:szCs w:val="24"/>
        </w:rPr>
        <w:t xml:space="preserve">their actions </w:t>
      </w:r>
      <w:r w:rsidRPr="00344B5A">
        <w:rPr>
          <w:rFonts w:ascii="Times New Roman" w:hAnsi="Times New Roman" w:cs="Times New Roman"/>
          <w:sz w:val="24"/>
          <w:szCs w:val="24"/>
        </w:rPr>
        <w:t>could be considered as an act of public service proving beneficial to slowing the spread of the Black Death. Serving themselves and the wider Florentine society, Boccaccio writes that ‘some people were of the opinion that a sober and abstemious mode of living considerably reduced the risk of infection’ implying therefore that there had been people who reacted appropriately in response to the outbreak of Black Death.</w:t>
      </w:r>
      <w:r w:rsidRPr="00344B5A">
        <w:rPr>
          <w:rFonts w:ascii="Times New Roman" w:hAnsi="Times New Roman" w:cs="Times New Roman"/>
          <w:sz w:val="24"/>
          <w:szCs w:val="24"/>
          <w:vertAlign w:val="superscript"/>
        </w:rPr>
        <w:footnoteReference w:id="59"/>
      </w:r>
      <w:r w:rsidRPr="00344B5A">
        <w:rPr>
          <w:rFonts w:ascii="Times New Roman" w:hAnsi="Times New Roman" w:cs="Times New Roman"/>
          <w:sz w:val="24"/>
          <w:szCs w:val="24"/>
        </w:rPr>
        <w:t xml:space="preserve"> In contrast with the description of those who fled the city of Florence, the tone adopted by Boccaccio in this section suggests his approval of a morally correct response to the plague, and therefore may have benefitted the city of Florence during the rapid spread of the plague.</w:t>
      </w:r>
      <w:r w:rsidR="00D910AE"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Benedictow describes the ‘spread by </w:t>
      </w:r>
      <w:r w:rsidRPr="00344B5A">
        <w:rPr>
          <w:rFonts w:ascii="Times New Roman" w:hAnsi="Times New Roman" w:cs="Times New Roman"/>
          <w:sz w:val="24"/>
          <w:szCs w:val="24"/>
        </w:rPr>
        <w:lastRenderedPageBreak/>
        <w:t>leaps’ method by which the Black Death travelled quickly across Europe, emphasising that ‘plague soon broke out in other urban and rural centres, from where the disease spread into the villages and townships of the surrounding districts by a similar process of leaps.’</w:t>
      </w:r>
      <w:r w:rsidRPr="00344B5A">
        <w:rPr>
          <w:rFonts w:ascii="Times New Roman" w:hAnsi="Times New Roman" w:cs="Times New Roman"/>
          <w:sz w:val="24"/>
          <w:szCs w:val="24"/>
          <w:vertAlign w:val="superscript"/>
        </w:rPr>
        <w:footnoteReference w:id="60"/>
      </w:r>
      <w:r w:rsidRPr="00344B5A">
        <w:rPr>
          <w:rFonts w:ascii="Times New Roman" w:hAnsi="Times New Roman" w:cs="Times New Roman"/>
          <w:sz w:val="24"/>
          <w:szCs w:val="24"/>
        </w:rPr>
        <w:t xml:space="preserve"> It could be suggested that much like placing quarantines on particular areas, groups of isolated individuals could have helped prevent the rapid ‘leaping’ of the Black Death across the region of Tuscany and the rest of Italy, however as previously explored, those who fled the city of Florence are known to have carried the pestilence with them to surrounding regions. </w:t>
      </w:r>
    </w:p>
    <w:p w14:paraId="141354C0" w14:textId="77F1D17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Petrarch describes in great detail the loss of many of his close friends to the Black Death, including his main literary subject and greatest love Laura, whose recorded death in 1348 had undoubtedly been as a result of the rapid spread of the plague in Florence. Some of Petrarch’s most prominent poetry had been written following the news of Laura’s death in May of 1348, alongside his </w:t>
      </w:r>
      <w:r w:rsidRPr="00344B5A">
        <w:rPr>
          <w:rFonts w:ascii="Times New Roman" w:hAnsi="Times New Roman" w:cs="Times New Roman"/>
          <w:i/>
          <w:iCs/>
          <w:sz w:val="24"/>
          <w:szCs w:val="24"/>
        </w:rPr>
        <w:t xml:space="preserve">Triumphus Mortis </w:t>
      </w:r>
      <w:r w:rsidRPr="00344B5A">
        <w:rPr>
          <w:rFonts w:ascii="Times New Roman" w:hAnsi="Times New Roman" w:cs="Times New Roman"/>
          <w:sz w:val="24"/>
          <w:szCs w:val="24"/>
        </w:rPr>
        <w:t>as the plague had ‘deprived Petrarch of several of his close friends that year, among them Cardinal Colonna’ his friend and patron.</w:t>
      </w:r>
      <w:r w:rsidRPr="00344B5A">
        <w:rPr>
          <w:rFonts w:ascii="Times New Roman" w:hAnsi="Times New Roman" w:cs="Times New Roman"/>
          <w:sz w:val="24"/>
          <w:szCs w:val="24"/>
          <w:vertAlign w:val="superscript"/>
        </w:rPr>
        <w:footnoteReference w:id="61"/>
      </w:r>
      <w:r w:rsidRPr="00344B5A">
        <w:rPr>
          <w:rFonts w:ascii="Times New Roman" w:hAnsi="Times New Roman" w:cs="Times New Roman"/>
          <w:sz w:val="24"/>
          <w:szCs w:val="24"/>
        </w:rPr>
        <w:t xml:space="preserve"> In </w:t>
      </w:r>
      <w:r w:rsidRPr="00344B5A">
        <w:rPr>
          <w:rFonts w:ascii="Times New Roman" w:hAnsi="Times New Roman" w:cs="Times New Roman"/>
          <w:i/>
          <w:iCs/>
          <w:sz w:val="24"/>
          <w:szCs w:val="24"/>
        </w:rPr>
        <w:t>Sonnet 272</w:t>
      </w:r>
      <w:r w:rsidRPr="00344B5A">
        <w:rPr>
          <w:rFonts w:ascii="Times New Roman" w:hAnsi="Times New Roman" w:cs="Times New Roman"/>
          <w:sz w:val="24"/>
          <w:szCs w:val="24"/>
        </w:rPr>
        <w:t xml:space="preserve"> Petrarch writes ‘I see a storm in port, and weary now / my helmsman, and my masts and lines destroyed, / and the fair stars I loved to look at, dead’ following a continued theme of sailing on turbulent seas, with the ‘fair stars’ he references being the eyes of the recently deceased Laura.</w:t>
      </w:r>
      <w:r w:rsidRPr="00344B5A">
        <w:rPr>
          <w:rFonts w:ascii="Times New Roman" w:hAnsi="Times New Roman" w:cs="Times New Roman"/>
          <w:sz w:val="24"/>
          <w:szCs w:val="24"/>
          <w:vertAlign w:val="superscript"/>
        </w:rPr>
        <w:footnoteReference w:id="62"/>
      </w:r>
      <w:r w:rsidRPr="00344B5A">
        <w:rPr>
          <w:rFonts w:ascii="Times New Roman" w:hAnsi="Times New Roman" w:cs="Times New Roman"/>
          <w:sz w:val="24"/>
          <w:szCs w:val="24"/>
        </w:rPr>
        <w:t xml:space="preserve"> In the explanatory notes of the translation by Mark Musa, it is noted that Petrarch’s placement of the poems and sonnets within the </w:t>
      </w:r>
      <w:r w:rsidRPr="00344B5A">
        <w:rPr>
          <w:rFonts w:ascii="Times New Roman" w:hAnsi="Times New Roman" w:cs="Times New Roman"/>
          <w:i/>
          <w:iCs/>
          <w:sz w:val="24"/>
          <w:szCs w:val="24"/>
        </w:rPr>
        <w:t xml:space="preserve">Canzoniere </w:t>
      </w:r>
      <w:r w:rsidRPr="00344B5A">
        <w:rPr>
          <w:rFonts w:ascii="Times New Roman" w:hAnsi="Times New Roman" w:cs="Times New Roman"/>
          <w:sz w:val="24"/>
          <w:szCs w:val="24"/>
        </w:rPr>
        <w:t>is also significant</w:t>
      </w:r>
      <w:r w:rsidR="0014492B" w:rsidRPr="00344B5A">
        <w:rPr>
          <w:rFonts w:ascii="Times New Roman" w:hAnsi="Times New Roman" w:cs="Times New Roman"/>
          <w:sz w:val="24"/>
          <w:szCs w:val="24"/>
        </w:rPr>
        <w:t>;</w:t>
      </w:r>
      <w:r w:rsidRPr="00344B5A">
        <w:rPr>
          <w:rFonts w:ascii="Times New Roman" w:hAnsi="Times New Roman" w:cs="Times New Roman"/>
          <w:sz w:val="24"/>
          <w:szCs w:val="24"/>
        </w:rPr>
        <w:t xml:space="preserve"> although likely written before Laura’s death</w:t>
      </w:r>
      <w:r w:rsidR="00D94244" w:rsidRPr="00344B5A">
        <w:rPr>
          <w:rFonts w:ascii="Times New Roman" w:hAnsi="Times New Roman" w:cs="Times New Roman"/>
          <w:sz w:val="24"/>
          <w:szCs w:val="24"/>
        </w:rPr>
        <w:t>,</w:t>
      </w:r>
      <w:r w:rsidRPr="00344B5A">
        <w:rPr>
          <w:rFonts w:ascii="Times New Roman" w:hAnsi="Times New Roman" w:cs="Times New Roman"/>
          <w:sz w:val="24"/>
          <w:szCs w:val="24"/>
        </w:rPr>
        <w:t xml:space="preserve"> </w:t>
      </w:r>
      <w:r w:rsidRPr="00344B5A">
        <w:rPr>
          <w:rFonts w:ascii="Times New Roman" w:hAnsi="Times New Roman" w:cs="Times New Roman"/>
          <w:i/>
          <w:iCs/>
          <w:sz w:val="24"/>
          <w:szCs w:val="24"/>
        </w:rPr>
        <w:t>Canzone 264</w:t>
      </w:r>
      <w:r w:rsidRPr="00344B5A">
        <w:rPr>
          <w:rFonts w:ascii="Times New Roman" w:hAnsi="Times New Roman" w:cs="Times New Roman"/>
          <w:sz w:val="24"/>
          <w:szCs w:val="24"/>
        </w:rPr>
        <w:t xml:space="preserve"> marks the change in Petrarch’s tone, with the new section marked as </w:t>
      </w:r>
      <w:r w:rsidRPr="00344B5A">
        <w:rPr>
          <w:rFonts w:ascii="Times New Roman" w:hAnsi="Times New Roman" w:cs="Times New Roman"/>
          <w:i/>
          <w:iCs/>
          <w:sz w:val="24"/>
          <w:szCs w:val="24"/>
        </w:rPr>
        <w:t>In morte di Laura</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63"/>
      </w:r>
      <w:r w:rsidRPr="00344B5A">
        <w:rPr>
          <w:rFonts w:ascii="Times New Roman" w:hAnsi="Times New Roman" w:cs="Times New Roman"/>
          <w:sz w:val="24"/>
          <w:szCs w:val="24"/>
        </w:rPr>
        <w:t xml:space="preserve"> Petrarch marks a significant shift in the perception of death within works of literature, and the grieving tone expressed in the </w:t>
      </w:r>
      <w:r w:rsidRPr="00344B5A">
        <w:rPr>
          <w:rFonts w:ascii="Times New Roman" w:hAnsi="Times New Roman" w:cs="Times New Roman"/>
          <w:i/>
          <w:iCs/>
          <w:sz w:val="24"/>
          <w:szCs w:val="24"/>
        </w:rPr>
        <w:t>Canzoniere e</w:t>
      </w:r>
      <w:r w:rsidRPr="00344B5A">
        <w:rPr>
          <w:rFonts w:ascii="Times New Roman" w:hAnsi="Times New Roman" w:cs="Times New Roman"/>
          <w:sz w:val="24"/>
          <w:szCs w:val="24"/>
        </w:rPr>
        <w:t xml:space="preserve">mphasises the tragic nature of the Black Death upon its arrival in Florence in early 1348. </w:t>
      </w:r>
    </w:p>
    <w:p w14:paraId="44A6F788" w14:textId="6117274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 xml:space="preserve">Although Boccaccio does not necessarily adopt the same desperate and lovelorn tone as Petrarch’s </w:t>
      </w:r>
      <w:r w:rsidRPr="00344B5A">
        <w:rPr>
          <w:rFonts w:ascii="Times New Roman" w:hAnsi="Times New Roman" w:cs="Times New Roman"/>
          <w:i/>
          <w:iCs/>
          <w:sz w:val="24"/>
          <w:szCs w:val="24"/>
        </w:rPr>
        <w:t>Canzoniere</w:t>
      </w:r>
      <w:r w:rsidRPr="00344B5A">
        <w:rPr>
          <w:rFonts w:ascii="Times New Roman" w:hAnsi="Times New Roman" w:cs="Times New Roman"/>
          <w:sz w:val="24"/>
          <w:szCs w:val="24"/>
        </w:rPr>
        <w:t>, McWilliam notes that ‘among its numerous victims, the plague accounted for many of Boccaccio’s closest friends and literary acquaintances.’</w:t>
      </w:r>
      <w:r w:rsidRPr="00344B5A">
        <w:rPr>
          <w:rFonts w:ascii="Times New Roman" w:hAnsi="Times New Roman" w:cs="Times New Roman"/>
          <w:sz w:val="24"/>
          <w:szCs w:val="24"/>
          <w:vertAlign w:val="superscript"/>
        </w:rPr>
        <w:footnoteReference w:id="64"/>
      </w:r>
      <w:r w:rsidRPr="00344B5A">
        <w:rPr>
          <w:rFonts w:ascii="Times New Roman" w:hAnsi="Times New Roman" w:cs="Times New Roman"/>
          <w:sz w:val="24"/>
          <w:szCs w:val="24"/>
        </w:rPr>
        <w:t xml:space="preserve"> The loss of friends and family members as a result of the Black Death brings to light the tragic nature of the plague outbreak and the shared sense of grief that can be explored between surviving fourteenth-century written works of literature and deliberate historical narrative. Mark Musa notes that Petrarch stopped in Florence whilst on pilgrimage to Rome in 1350 and became good friends with Boccaccio, </w:t>
      </w:r>
      <w:r w:rsidR="00075A11" w:rsidRPr="00344B5A">
        <w:rPr>
          <w:rFonts w:ascii="Times New Roman" w:hAnsi="Times New Roman" w:cs="Times New Roman"/>
          <w:sz w:val="24"/>
          <w:szCs w:val="24"/>
        </w:rPr>
        <w:t xml:space="preserve">and </w:t>
      </w:r>
      <w:r w:rsidRPr="00344B5A">
        <w:rPr>
          <w:rFonts w:ascii="Times New Roman" w:hAnsi="Times New Roman" w:cs="Times New Roman"/>
          <w:sz w:val="24"/>
          <w:szCs w:val="24"/>
        </w:rPr>
        <w:t xml:space="preserve">the clear literary influence between the two men first appears in works belonging to Boccaccio having been roused by the moving prose of Petrarch’s </w:t>
      </w:r>
      <w:r w:rsidRPr="00344B5A">
        <w:rPr>
          <w:rFonts w:ascii="Times New Roman" w:hAnsi="Times New Roman" w:cs="Times New Roman"/>
          <w:i/>
          <w:iCs/>
          <w:sz w:val="24"/>
          <w:szCs w:val="24"/>
        </w:rPr>
        <w:t>Canzoniere</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65"/>
      </w:r>
      <w:r w:rsidRPr="00344B5A">
        <w:rPr>
          <w:rFonts w:ascii="Times New Roman" w:hAnsi="Times New Roman" w:cs="Times New Roman"/>
          <w:sz w:val="24"/>
          <w:szCs w:val="24"/>
        </w:rPr>
        <w:t xml:space="preserve"> It seems likely that Petrarch and Boccaccio would have witnessed similar events during the arrival of the Black Death in Italy, and their friendship may have prompted a literary influence through a shared sense of grief creating a ‘textual community’ through their correspondence. The scholarly adoption of the term ‘textual community’ refers to the medieval and early modern circulation of literary works often regardless of geographical restrictions, through which the friendship of Boccaccio and Petrarch can undoubtedly be understood, with the similar apocalyptic and melancholic tone of their contemporary mid-fourteenth-century works highlighting </w:t>
      </w:r>
      <w:r w:rsidR="0014492B" w:rsidRPr="00344B5A">
        <w:rPr>
          <w:rFonts w:ascii="Times New Roman" w:hAnsi="Times New Roman" w:cs="Times New Roman"/>
          <w:sz w:val="24"/>
          <w:szCs w:val="24"/>
        </w:rPr>
        <w:t>the influence of their coterie</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66"/>
      </w:r>
      <w:r w:rsidRPr="00344B5A">
        <w:rPr>
          <w:rFonts w:ascii="Times New Roman" w:hAnsi="Times New Roman" w:cs="Times New Roman"/>
          <w:sz w:val="24"/>
          <w:szCs w:val="24"/>
        </w:rPr>
        <w:t xml:space="preserve"> </w:t>
      </w:r>
    </w:p>
    <w:p w14:paraId="5472F592" w14:textId="55767C92"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In addition to exploring the Florentine citizens who isolated themselves from the decaying society around them in order to preserve their own health, Boccaccio details the lives of those who decided to continue their debauch</w:t>
      </w:r>
      <w:r w:rsidR="00AB2807" w:rsidRPr="00344B5A">
        <w:rPr>
          <w:rFonts w:ascii="Times New Roman" w:hAnsi="Times New Roman" w:cs="Times New Roman"/>
          <w:sz w:val="24"/>
          <w:szCs w:val="24"/>
        </w:rPr>
        <w:t>ed</w:t>
      </w:r>
      <w:r w:rsidRPr="00344B5A">
        <w:rPr>
          <w:rFonts w:ascii="Times New Roman" w:hAnsi="Times New Roman" w:cs="Times New Roman"/>
          <w:sz w:val="24"/>
          <w:szCs w:val="24"/>
        </w:rPr>
        <w:t xml:space="preserve"> lifestyle in an act of denial against the atrocities faced by the population of Europe. ‘Others took the opposite view, and maintained that an infallible way of warding off this appalling evil was to drink heavily, enjoy life to the full, go </w:t>
      </w:r>
      <w:r w:rsidRPr="00344B5A">
        <w:rPr>
          <w:rFonts w:ascii="Times New Roman" w:hAnsi="Times New Roman" w:cs="Times New Roman"/>
          <w:sz w:val="24"/>
          <w:szCs w:val="24"/>
        </w:rPr>
        <w:lastRenderedPageBreak/>
        <w:t>round singing and merrymaking, gratify all of one’s cravings whenever the opportunity offered, and shrug the whole thing off as one enormous joke.’</w:t>
      </w:r>
      <w:r w:rsidRPr="00344B5A">
        <w:rPr>
          <w:rFonts w:ascii="Times New Roman" w:hAnsi="Times New Roman" w:cs="Times New Roman"/>
          <w:sz w:val="24"/>
          <w:szCs w:val="24"/>
          <w:vertAlign w:val="superscript"/>
        </w:rPr>
        <w:footnoteReference w:id="67"/>
      </w:r>
      <w:r w:rsidRPr="00344B5A">
        <w:rPr>
          <w:rFonts w:ascii="Times New Roman" w:hAnsi="Times New Roman" w:cs="Times New Roman"/>
          <w:sz w:val="24"/>
          <w:szCs w:val="24"/>
        </w:rPr>
        <w:t xml:space="preserve"> Boccaccio very clearly implies that this behaviour had been perceived as morally inappropriate and insensitive, in particular the attitude upheld by these individuals in regards to the severity of the arrival of the Black Death in Florence. It is however noted that these individuals were cautious about contracting the Black Death and took careful measures to avoid coming into contact with the infected population of Florence, a notable remark considering the detail with which Boccaccio describes their willingness to enter public and open houses to drink with friends.</w:t>
      </w:r>
      <w:r w:rsidRPr="00344B5A">
        <w:rPr>
          <w:rFonts w:ascii="Times New Roman" w:hAnsi="Times New Roman" w:cs="Times New Roman"/>
          <w:sz w:val="24"/>
          <w:szCs w:val="24"/>
          <w:vertAlign w:val="superscript"/>
        </w:rPr>
        <w:footnoteReference w:id="68"/>
      </w:r>
      <w:r w:rsidRPr="00344B5A">
        <w:rPr>
          <w:rFonts w:ascii="Times New Roman" w:hAnsi="Times New Roman" w:cs="Times New Roman"/>
          <w:sz w:val="24"/>
          <w:szCs w:val="24"/>
        </w:rPr>
        <w:t xml:space="preserve"> </w:t>
      </w:r>
      <w:r w:rsidR="00AB2807" w:rsidRPr="00344B5A">
        <w:rPr>
          <w:rFonts w:ascii="Times New Roman" w:hAnsi="Times New Roman" w:cs="Times New Roman"/>
          <w:sz w:val="24"/>
          <w:szCs w:val="24"/>
        </w:rPr>
        <w:t xml:space="preserve">In </w:t>
      </w:r>
      <w:r w:rsidRPr="00344B5A">
        <w:rPr>
          <w:rFonts w:ascii="Times New Roman" w:hAnsi="Times New Roman" w:cs="Times New Roman"/>
          <w:sz w:val="24"/>
          <w:szCs w:val="24"/>
        </w:rPr>
        <w:t>Boccaccio</w:t>
      </w:r>
      <w:r w:rsidR="00AB2807" w:rsidRPr="00344B5A">
        <w:rPr>
          <w:rFonts w:ascii="Times New Roman" w:hAnsi="Times New Roman" w:cs="Times New Roman"/>
          <w:sz w:val="24"/>
          <w:szCs w:val="24"/>
        </w:rPr>
        <w:t>’s</w:t>
      </w:r>
      <w:r w:rsidRPr="00344B5A">
        <w:rPr>
          <w:rFonts w:ascii="Times New Roman" w:hAnsi="Times New Roman" w:cs="Times New Roman"/>
          <w:sz w:val="24"/>
          <w:szCs w:val="24"/>
        </w:rPr>
        <w:t xml:space="preserve"> descri</w:t>
      </w:r>
      <w:r w:rsidR="00AB2807" w:rsidRPr="00344B5A">
        <w:rPr>
          <w:rFonts w:ascii="Times New Roman" w:hAnsi="Times New Roman" w:cs="Times New Roman"/>
          <w:sz w:val="24"/>
          <w:szCs w:val="24"/>
        </w:rPr>
        <w:t>ption</w:t>
      </w:r>
      <w:r w:rsidRPr="00344B5A">
        <w:rPr>
          <w:rFonts w:ascii="Times New Roman" w:hAnsi="Times New Roman" w:cs="Times New Roman"/>
          <w:sz w:val="24"/>
          <w:szCs w:val="24"/>
        </w:rPr>
        <w:t xml:space="preserve"> of Florentine society, the image of drunken citizens in denial of the Black Death does not seem to appear in the solemn accounts provided by Bonaiuti or Petrarch, and therefore raises doubts concerning the nature of the information in the account given by Boccaccio; if these individuals were not fabricated then their absence in other contemporary sources seems selective and perhaps deliberate. </w:t>
      </w:r>
    </w:p>
    <w:p w14:paraId="5943C1B9" w14:textId="7BE6B112"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Boccaccio raises important concerns surrounding the differing death rates between social classes within Florentine society</w:t>
      </w:r>
      <w:r w:rsidR="00AB2807" w:rsidRPr="00344B5A">
        <w:rPr>
          <w:rFonts w:ascii="Times New Roman" w:hAnsi="Times New Roman" w:cs="Times New Roman"/>
          <w:sz w:val="24"/>
          <w:szCs w:val="24"/>
        </w:rPr>
        <w:t>;</w:t>
      </w:r>
      <w:r w:rsidRPr="00344B5A">
        <w:rPr>
          <w:rFonts w:ascii="Times New Roman" w:hAnsi="Times New Roman" w:cs="Times New Roman"/>
          <w:sz w:val="24"/>
          <w:szCs w:val="24"/>
        </w:rPr>
        <w:t xml:space="preserve"> whilst many managed to escape the city in search of safety</w:t>
      </w:r>
      <w:r w:rsidR="00AB2807" w:rsidRPr="00344B5A">
        <w:rPr>
          <w:rFonts w:ascii="Times New Roman" w:hAnsi="Times New Roman" w:cs="Times New Roman"/>
          <w:sz w:val="24"/>
          <w:szCs w:val="24"/>
        </w:rPr>
        <w:t>,</w:t>
      </w:r>
      <w:r w:rsidRPr="00344B5A">
        <w:rPr>
          <w:rFonts w:ascii="Times New Roman" w:hAnsi="Times New Roman" w:cs="Times New Roman"/>
          <w:sz w:val="24"/>
          <w:szCs w:val="24"/>
        </w:rPr>
        <w:t xml:space="preserve"> large proportions of Florence were trapped by the Black Death’s arrival in 1348. If members of notable mercantile or banking families had abandoned those who relied upon their trade for income, then the arrival of the Black Death must have marked a tragic end for much of the lower society of Florence in particular. Boccaccio writes ‘as for the common people and a large proportion of the bourgeoisie, they presented a much more pathetic spectacle, for the majority of them were constrained, either by their poverty or the hope of survival, to remain in their houses’, continuing further tha</w:t>
      </w:r>
      <w:r w:rsidR="00075A11" w:rsidRPr="00344B5A">
        <w:rPr>
          <w:rFonts w:ascii="Times New Roman" w:hAnsi="Times New Roman" w:cs="Times New Roman"/>
          <w:sz w:val="24"/>
          <w:szCs w:val="24"/>
        </w:rPr>
        <w:t>t</w:t>
      </w:r>
      <w:r w:rsidRPr="00344B5A">
        <w:rPr>
          <w:rFonts w:ascii="Times New Roman" w:hAnsi="Times New Roman" w:cs="Times New Roman"/>
          <w:sz w:val="24"/>
          <w:szCs w:val="24"/>
        </w:rPr>
        <w:t xml:space="preserve"> having been confined to their own area of Florence</w:t>
      </w:r>
      <w:r w:rsidR="00075A11" w:rsidRPr="00344B5A">
        <w:rPr>
          <w:rFonts w:ascii="Times New Roman" w:hAnsi="Times New Roman" w:cs="Times New Roman"/>
          <w:sz w:val="24"/>
          <w:szCs w:val="24"/>
        </w:rPr>
        <w:t>,</w:t>
      </w:r>
      <w:r w:rsidRPr="00344B5A">
        <w:rPr>
          <w:rFonts w:ascii="Times New Roman" w:hAnsi="Times New Roman" w:cs="Times New Roman"/>
          <w:sz w:val="24"/>
          <w:szCs w:val="24"/>
        </w:rPr>
        <w:t xml:space="preserve"> thousands fell ill daily and presumably died as a result of the Black Death.</w:t>
      </w:r>
      <w:r w:rsidRPr="00344B5A">
        <w:rPr>
          <w:rFonts w:ascii="Times New Roman" w:hAnsi="Times New Roman" w:cs="Times New Roman"/>
          <w:sz w:val="24"/>
          <w:szCs w:val="24"/>
          <w:vertAlign w:val="superscript"/>
        </w:rPr>
        <w:footnoteReference w:id="69"/>
      </w:r>
      <w:r w:rsidRPr="00344B5A">
        <w:rPr>
          <w:rFonts w:ascii="Times New Roman" w:hAnsi="Times New Roman" w:cs="Times New Roman"/>
          <w:sz w:val="24"/>
          <w:szCs w:val="24"/>
        </w:rPr>
        <w:t xml:space="preserve"> The consuming </w:t>
      </w:r>
      <w:r w:rsidRPr="00344B5A">
        <w:rPr>
          <w:rFonts w:ascii="Times New Roman" w:hAnsi="Times New Roman" w:cs="Times New Roman"/>
          <w:sz w:val="24"/>
          <w:szCs w:val="24"/>
        </w:rPr>
        <w:lastRenderedPageBreak/>
        <w:t>nature of the Black Death appears similarly in the work of Florentine chronicler Bonaiuti who describes the speed and ferocity with which the arrival of the plague captured the city, ‘when it took hold in a house it often happened that no one remained who had not died. And it was not just that men and women died, but even sentient animals died.’</w:t>
      </w:r>
      <w:r w:rsidRPr="00344B5A">
        <w:rPr>
          <w:rFonts w:ascii="Times New Roman" w:hAnsi="Times New Roman" w:cs="Times New Roman"/>
          <w:sz w:val="24"/>
          <w:szCs w:val="24"/>
          <w:vertAlign w:val="superscript"/>
        </w:rPr>
        <w:footnoteReference w:id="70"/>
      </w:r>
      <w:r w:rsidRPr="00344B5A">
        <w:rPr>
          <w:rFonts w:ascii="Times New Roman" w:hAnsi="Times New Roman" w:cs="Times New Roman"/>
          <w:sz w:val="24"/>
          <w:szCs w:val="24"/>
        </w:rPr>
        <w:t xml:space="preserve"> With contemporary sources seemingly providing similar accounts of the ravaging nature of the Black Death on those who remained in cities upon its emergence, the horror and unescapable doom faced by its victims provides modern scholars with an emotive visual reconstruction.</w:t>
      </w:r>
      <w:r w:rsidR="00AD4C94" w:rsidRPr="00344B5A">
        <w:rPr>
          <w:rFonts w:ascii="Times New Roman" w:hAnsi="Times New Roman" w:cs="Times New Roman"/>
          <w:sz w:val="24"/>
          <w:szCs w:val="24"/>
        </w:rPr>
        <w:t xml:space="preserve"> </w:t>
      </w:r>
    </w:p>
    <w:p w14:paraId="176BAE53" w14:textId="704090E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It becomes clear throughout surviving contemporary sources that many Florentine citizens died alone having been abandoned by their family and neighbours, a tragic image painted by those who are said to have witnessed the events of the arrival of the Black Death. The Florentine chronicler Baldassarre Bonaiuti provides one of the most emotive and harrowing accounts of the Black Death’s arrival in Italy, detailing the thousands of people who died alone ‘many died unseen […] so they remained in their beds until they stank </w:t>
      </w:r>
      <w:r w:rsidR="000D2C5E" w:rsidRPr="00344B5A">
        <w:rPr>
          <w:rFonts w:ascii="Times New Roman" w:hAnsi="Times New Roman" w:cs="Times New Roman"/>
          <w:sz w:val="24"/>
          <w:szCs w:val="24"/>
        </w:rPr>
        <w:t>[</w:t>
      </w:r>
      <w:r w:rsidRPr="00344B5A">
        <w:rPr>
          <w:rFonts w:ascii="Times New Roman" w:hAnsi="Times New Roman" w:cs="Times New Roman"/>
          <w:sz w:val="24"/>
          <w:szCs w:val="24"/>
        </w:rPr>
        <w:t>…</w:t>
      </w:r>
      <w:r w:rsidR="000D2C5E" w:rsidRPr="00344B5A">
        <w:rPr>
          <w:rFonts w:ascii="Times New Roman" w:hAnsi="Times New Roman" w:cs="Times New Roman"/>
          <w:sz w:val="24"/>
          <w:szCs w:val="24"/>
        </w:rPr>
        <w:t>]</w:t>
      </w:r>
      <w:r w:rsidRPr="00344B5A">
        <w:rPr>
          <w:rFonts w:ascii="Times New Roman" w:hAnsi="Times New Roman" w:cs="Times New Roman"/>
          <w:sz w:val="24"/>
          <w:szCs w:val="24"/>
        </w:rPr>
        <w:t xml:space="preserve"> and the neighbours, if there were any, having smelled the stench, placed them in a shroud and sent them for burial.’</w:t>
      </w:r>
      <w:r w:rsidRPr="00344B5A">
        <w:rPr>
          <w:rFonts w:ascii="Times New Roman" w:hAnsi="Times New Roman" w:cs="Times New Roman"/>
          <w:sz w:val="24"/>
          <w:szCs w:val="24"/>
          <w:vertAlign w:val="superscript"/>
        </w:rPr>
        <w:footnoteReference w:id="71"/>
      </w:r>
      <w:r w:rsidRPr="00344B5A">
        <w:rPr>
          <w:rFonts w:ascii="Times New Roman" w:hAnsi="Times New Roman" w:cs="Times New Roman"/>
          <w:sz w:val="24"/>
          <w:szCs w:val="24"/>
        </w:rPr>
        <w:t xml:space="preserve"> Continuing further that people were cautious of entering the homes of those who had perished</w:t>
      </w:r>
      <w:r w:rsidR="003453CB" w:rsidRPr="00344B5A">
        <w:rPr>
          <w:rFonts w:ascii="Times New Roman" w:hAnsi="Times New Roman" w:cs="Times New Roman"/>
          <w:sz w:val="24"/>
          <w:szCs w:val="24"/>
        </w:rPr>
        <w:t>,</w:t>
      </w:r>
      <w:r w:rsidRPr="00344B5A">
        <w:rPr>
          <w:rFonts w:ascii="Times New Roman" w:hAnsi="Times New Roman" w:cs="Times New Roman"/>
          <w:sz w:val="24"/>
          <w:szCs w:val="24"/>
        </w:rPr>
        <w:t xml:space="preserve"> and that their houses would remain open due to fears that the belongings were contaminated with the pestilence.</w:t>
      </w:r>
      <w:r w:rsidRPr="00344B5A">
        <w:rPr>
          <w:rFonts w:ascii="Times New Roman" w:hAnsi="Times New Roman" w:cs="Times New Roman"/>
          <w:sz w:val="24"/>
          <w:szCs w:val="24"/>
          <w:vertAlign w:val="superscript"/>
        </w:rPr>
        <w:footnoteReference w:id="72"/>
      </w:r>
      <w:r w:rsidRPr="00344B5A">
        <w:rPr>
          <w:rFonts w:ascii="Times New Roman" w:hAnsi="Times New Roman" w:cs="Times New Roman"/>
          <w:sz w:val="24"/>
          <w:szCs w:val="24"/>
        </w:rPr>
        <w:t xml:space="preserve"> The ability to use the wealth of information in surviving fourteenth-century Florentine sources outweighs the reconstruction of social responses to the Black Death from demographic and statistically driven works</w:t>
      </w:r>
      <w:r w:rsidR="003453CB"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John Hatcher highlights that in his own intimate study of the village of Walsham there had been a distinct lack of sources written by contemporaries and that this limited his ability to understand contemporary reactions, ‘the absence of personal information is particularly acute </w:t>
      </w:r>
      <w:r w:rsidRPr="00344B5A">
        <w:rPr>
          <w:rFonts w:ascii="Times New Roman" w:hAnsi="Times New Roman" w:cs="Times New Roman"/>
          <w:sz w:val="24"/>
          <w:szCs w:val="24"/>
        </w:rPr>
        <w:lastRenderedPageBreak/>
        <w:t>in the middle ages where the sources simply do not survive which would enable even the most partial biographies of the great mass of the ordinary folk.’</w:t>
      </w:r>
      <w:r w:rsidRPr="00344B5A">
        <w:rPr>
          <w:rFonts w:ascii="Times New Roman" w:hAnsi="Times New Roman" w:cs="Times New Roman"/>
          <w:sz w:val="24"/>
          <w:szCs w:val="24"/>
          <w:vertAlign w:val="superscript"/>
        </w:rPr>
        <w:footnoteReference w:id="73"/>
      </w:r>
    </w:p>
    <w:p w14:paraId="190B7102" w14:textId="5AE914B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Bonaiuti provides a harrowing account of individuals taking advantage of the dying citizens of Florence through the provision of gravedigging and the transportation of the deceased, ‘the </w:t>
      </w:r>
      <w:r w:rsidRPr="00344B5A">
        <w:rPr>
          <w:rFonts w:ascii="Times New Roman" w:hAnsi="Times New Roman" w:cs="Times New Roman"/>
          <w:i/>
          <w:iCs/>
          <w:sz w:val="24"/>
          <w:szCs w:val="24"/>
        </w:rPr>
        <w:t xml:space="preserve">beccamorti </w:t>
      </w:r>
      <w:r w:rsidRPr="00344B5A">
        <w:rPr>
          <w:rFonts w:ascii="Times New Roman" w:hAnsi="Times New Roman" w:cs="Times New Roman"/>
          <w:sz w:val="24"/>
          <w:szCs w:val="24"/>
        </w:rPr>
        <w:t>[literally vultures] who provided their service, were paid such a high price that many were enriched by it.’</w:t>
      </w:r>
      <w:r w:rsidRPr="00344B5A">
        <w:rPr>
          <w:rFonts w:ascii="Times New Roman" w:hAnsi="Times New Roman" w:cs="Times New Roman"/>
          <w:sz w:val="24"/>
          <w:szCs w:val="24"/>
          <w:vertAlign w:val="superscript"/>
        </w:rPr>
        <w:footnoteReference w:id="74"/>
      </w:r>
      <w:r w:rsidRPr="00344B5A">
        <w:rPr>
          <w:rFonts w:ascii="Times New Roman" w:hAnsi="Times New Roman" w:cs="Times New Roman"/>
          <w:sz w:val="24"/>
          <w:szCs w:val="24"/>
        </w:rPr>
        <w:t xml:space="preserve"> The tone adopted by Bonaiuti suggests that despite the clear success rate of the </w:t>
      </w:r>
      <w:r w:rsidRPr="00344B5A">
        <w:rPr>
          <w:rFonts w:ascii="Times New Roman" w:hAnsi="Times New Roman" w:cs="Times New Roman"/>
          <w:i/>
          <w:iCs/>
          <w:sz w:val="24"/>
          <w:szCs w:val="24"/>
        </w:rPr>
        <w:t xml:space="preserve">beccamorti </w:t>
      </w:r>
      <w:r w:rsidRPr="00344B5A">
        <w:rPr>
          <w:rFonts w:ascii="Times New Roman" w:hAnsi="Times New Roman" w:cs="Times New Roman"/>
          <w:sz w:val="24"/>
          <w:szCs w:val="24"/>
        </w:rPr>
        <w:t xml:space="preserve">in transporting the dead to their place of burial, the moral values upheld by these individuals did not match that of the wider Florentine population. The image of the greedy gravedigger appears also in the work of Boccaccio, describing a newly founded gravedigging fraternity established by the lower echelons of Florentine society, ‘these people assumed the title of sexton, and demanded a </w:t>
      </w:r>
      <w:proofErr w:type="spellStart"/>
      <w:r w:rsidRPr="00344B5A">
        <w:rPr>
          <w:rFonts w:ascii="Times New Roman" w:hAnsi="Times New Roman" w:cs="Times New Roman"/>
          <w:sz w:val="24"/>
          <w:szCs w:val="24"/>
        </w:rPr>
        <w:t>fat</w:t>
      </w:r>
      <w:proofErr w:type="spellEnd"/>
      <w:r w:rsidRPr="00344B5A">
        <w:rPr>
          <w:rFonts w:ascii="Times New Roman" w:hAnsi="Times New Roman" w:cs="Times New Roman"/>
          <w:sz w:val="24"/>
          <w:szCs w:val="24"/>
        </w:rPr>
        <w:t xml:space="preserve"> fee for their services, which consisted in taking up the coffin and hauling it swiftly away, not to the church specified by the dead man in his will, but usually to the nearest at hand.’</w:t>
      </w:r>
      <w:r w:rsidRPr="00344B5A">
        <w:rPr>
          <w:rFonts w:ascii="Times New Roman" w:hAnsi="Times New Roman" w:cs="Times New Roman"/>
          <w:sz w:val="24"/>
          <w:szCs w:val="24"/>
          <w:vertAlign w:val="superscript"/>
        </w:rPr>
        <w:footnoteReference w:id="75"/>
      </w:r>
      <w:r w:rsidRPr="00344B5A">
        <w:rPr>
          <w:rFonts w:ascii="Times New Roman" w:hAnsi="Times New Roman" w:cs="Times New Roman"/>
          <w:sz w:val="24"/>
          <w:szCs w:val="24"/>
        </w:rPr>
        <w:t xml:space="preserve"> Despite the title ‘sexton’ not having negative connotations generally, the tone with which Boccaccio describes their role upon the sudden arrival of the Black Death in Florence appears untrusting and disapproving, with their greed and lack of </w:t>
      </w:r>
      <w:r w:rsidR="00AB2807" w:rsidRPr="00344B5A">
        <w:rPr>
          <w:rFonts w:ascii="Times New Roman" w:hAnsi="Times New Roman" w:cs="Times New Roman"/>
          <w:sz w:val="24"/>
          <w:szCs w:val="24"/>
        </w:rPr>
        <w:t>respect for the dead</w:t>
      </w:r>
      <w:r w:rsidRPr="00344B5A">
        <w:rPr>
          <w:rFonts w:ascii="Times New Roman" w:hAnsi="Times New Roman" w:cs="Times New Roman"/>
          <w:sz w:val="24"/>
          <w:szCs w:val="24"/>
        </w:rPr>
        <w:t xml:space="preserve"> presenting conflicting moral values with those held by Boccaccio and presumably most of Florence.</w:t>
      </w:r>
      <w:r w:rsidRPr="00344B5A">
        <w:rPr>
          <w:rFonts w:ascii="Times New Roman" w:hAnsi="Times New Roman" w:cs="Times New Roman"/>
          <w:sz w:val="24"/>
          <w:szCs w:val="24"/>
          <w:vertAlign w:val="superscript"/>
        </w:rPr>
        <w:footnoteReference w:id="76"/>
      </w:r>
      <w:r w:rsidRPr="00344B5A">
        <w:rPr>
          <w:rFonts w:ascii="Times New Roman" w:hAnsi="Times New Roman" w:cs="Times New Roman"/>
          <w:sz w:val="24"/>
          <w:szCs w:val="24"/>
        </w:rPr>
        <w:t xml:space="preserve"> </w:t>
      </w:r>
    </w:p>
    <w:p w14:paraId="66FB1ECF" w14:textId="7483C14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It becomes evident throughout contemporary fourteenth-century sources that the Black Death spread quickly having arrived on the coasts of mainland Italy from Sicily, contributing further to the horror and fear across cities such as Florence. In his letter addressed to Socrates Petrarch details the speed with which the Black Death killed his friend Paganino da Milano </w:t>
      </w:r>
      <w:r w:rsidRPr="00344B5A">
        <w:rPr>
          <w:rFonts w:ascii="Times New Roman" w:hAnsi="Times New Roman" w:cs="Times New Roman"/>
          <w:sz w:val="24"/>
          <w:szCs w:val="24"/>
        </w:rPr>
        <w:lastRenderedPageBreak/>
        <w:t xml:space="preserve">(Petrarch describes him as another Socrates) who spent an evening dining with friends and speaking with Petrarch, but ‘that night he was attacked </w:t>
      </w:r>
      <w:r w:rsidR="000D2C5E" w:rsidRPr="00344B5A">
        <w:rPr>
          <w:rFonts w:ascii="Times New Roman" w:hAnsi="Times New Roman" w:cs="Times New Roman"/>
          <w:sz w:val="24"/>
          <w:szCs w:val="24"/>
        </w:rPr>
        <w:t>[</w:t>
      </w:r>
      <w:r w:rsidRPr="00344B5A">
        <w:rPr>
          <w:rFonts w:ascii="Times New Roman" w:hAnsi="Times New Roman" w:cs="Times New Roman"/>
          <w:sz w:val="24"/>
          <w:szCs w:val="24"/>
        </w:rPr>
        <w:t>…</w:t>
      </w:r>
      <w:r w:rsidR="000D2C5E" w:rsidRPr="00344B5A">
        <w:rPr>
          <w:rFonts w:ascii="Times New Roman" w:hAnsi="Times New Roman" w:cs="Times New Roman"/>
          <w:sz w:val="24"/>
          <w:szCs w:val="24"/>
        </w:rPr>
        <w:t>]</w:t>
      </w:r>
      <w:r w:rsidRPr="00344B5A">
        <w:rPr>
          <w:rFonts w:ascii="Times New Roman" w:hAnsi="Times New Roman" w:cs="Times New Roman"/>
          <w:sz w:val="24"/>
          <w:szCs w:val="24"/>
        </w:rPr>
        <w:t xml:space="preserve"> in the morning death came swiftly’ highlighting the terrifying and unknown nature of the plague.</w:t>
      </w:r>
      <w:r w:rsidRPr="00344B5A">
        <w:rPr>
          <w:rFonts w:ascii="Times New Roman" w:hAnsi="Times New Roman" w:cs="Times New Roman"/>
          <w:sz w:val="24"/>
          <w:szCs w:val="24"/>
          <w:vertAlign w:val="superscript"/>
        </w:rPr>
        <w:footnoteReference w:id="77"/>
      </w:r>
      <w:r w:rsidRPr="00344B5A">
        <w:rPr>
          <w:rFonts w:ascii="Times New Roman" w:hAnsi="Times New Roman" w:cs="Times New Roman"/>
          <w:sz w:val="24"/>
          <w:szCs w:val="24"/>
        </w:rPr>
        <w:t xml:space="preserve"> A similar account appears in the chronicle of Bonaiuti who recorded that ‘almost non[e] of the ill survived past the fourth day’, providing modern readers with a sense of the speed and severity with which the Black Death swept across Europe, thousands must have died within days or weeks of the arrival of the plague in cities and towns.</w:t>
      </w:r>
      <w:r w:rsidRPr="00344B5A">
        <w:rPr>
          <w:rFonts w:ascii="Times New Roman" w:hAnsi="Times New Roman" w:cs="Times New Roman"/>
          <w:sz w:val="24"/>
          <w:szCs w:val="24"/>
          <w:vertAlign w:val="superscript"/>
        </w:rPr>
        <w:footnoteReference w:id="78"/>
      </w:r>
      <w:r w:rsidRPr="00344B5A">
        <w:rPr>
          <w:rFonts w:ascii="Times New Roman" w:hAnsi="Times New Roman" w:cs="Times New Roman"/>
          <w:sz w:val="24"/>
          <w:szCs w:val="24"/>
        </w:rPr>
        <w:t xml:space="preserve"> When attempting to reconstruct the experience of those who lived and died during the period in which the Black Death arrived in cities such as Florence, the apparent speed through which the plague killed large proportions of European populations creates an undoubtable sense of fear and anxiety concerning the lack of medical understanding of bubonic plague and the inability to observe or contain the outbreak. Benedictow acknowledges throughout his research that epidemics of this nature kill off their victims quickly, and this is shown clearly in contemporary accounts describing men and women dying almost instantly overnight and on the street.</w:t>
      </w:r>
      <w:r w:rsidRPr="00344B5A">
        <w:rPr>
          <w:rFonts w:ascii="Times New Roman" w:hAnsi="Times New Roman" w:cs="Times New Roman"/>
          <w:sz w:val="24"/>
          <w:szCs w:val="24"/>
          <w:vertAlign w:val="superscript"/>
        </w:rPr>
        <w:footnoteReference w:id="79"/>
      </w:r>
    </w:p>
    <w:p w14:paraId="4AD9D72C" w14:textId="1FD310A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The lives of those who remained in Florence upon the arrival of the Black Death were evidently different to the lives of those who fled at the first signs of the plague, with citizens dying unnoticed in their thousands whilst those around them abandoned them for a life of isolation or for a life of drinking in ignorance. The similarities between contemporary Italian sources when detailing the lives of those who remained in cities and towns highlights the consistent horror of the Black Death in its journey across Europe, although the statistics given by writers such as Boccaccio are often somewhat exaggerated. This is not to say that the population of Florence had not suffered greatly at the hands of the pestilence</w:t>
      </w:r>
      <w:r w:rsidR="00AB2807" w:rsidRPr="00344B5A">
        <w:rPr>
          <w:rFonts w:ascii="Times New Roman" w:hAnsi="Times New Roman" w:cs="Times New Roman"/>
          <w:sz w:val="24"/>
          <w:szCs w:val="24"/>
        </w:rPr>
        <w:t>;</w:t>
      </w:r>
      <w:r w:rsidRPr="00344B5A">
        <w:rPr>
          <w:rFonts w:ascii="Times New Roman" w:hAnsi="Times New Roman" w:cs="Times New Roman"/>
          <w:sz w:val="24"/>
          <w:szCs w:val="24"/>
        </w:rPr>
        <w:t xml:space="preserve"> Ziegler notes </w:t>
      </w:r>
      <w:r w:rsidRPr="00344B5A">
        <w:rPr>
          <w:rFonts w:ascii="Times New Roman" w:hAnsi="Times New Roman" w:cs="Times New Roman"/>
          <w:sz w:val="24"/>
          <w:szCs w:val="24"/>
        </w:rPr>
        <w:lastRenderedPageBreak/>
        <w:t>that although Boccaccio’s estimate had been ‘patently exaggerated’, he had acknowledged that the population of Florence in 1348 was far greater than had been believed and the rate of fatality much higher.</w:t>
      </w:r>
      <w:r w:rsidRPr="00344B5A">
        <w:rPr>
          <w:rFonts w:ascii="Times New Roman" w:hAnsi="Times New Roman" w:cs="Times New Roman"/>
          <w:sz w:val="24"/>
          <w:szCs w:val="24"/>
          <w:vertAlign w:val="superscript"/>
        </w:rPr>
        <w:footnoteReference w:id="80"/>
      </w:r>
      <w:r w:rsidRPr="00344B5A">
        <w:rPr>
          <w:rFonts w:ascii="Times New Roman" w:hAnsi="Times New Roman" w:cs="Times New Roman"/>
          <w:sz w:val="24"/>
          <w:szCs w:val="24"/>
        </w:rPr>
        <w:t xml:space="preserve"> To further explore the Florentine reaction to the arrival of the Black Death, decisions made by governing bodies with</w:t>
      </w:r>
      <w:r w:rsidR="004F1E54" w:rsidRPr="00344B5A">
        <w:rPr>
          <w:rFonts w:ascii="Times New Roman" w:hAnsi="Times New Roman" w:cs="Times New Roman"/>
          <w:sz w:val="24"/>
          <w:szCs w:val="24"/>
        </w:rPr>
        <w:t>in</w:t>
      </w:r>
      <w:r w:rsidRPr="00344B5A">
        <w:rPr>
          <w:rFonts w:ascii="Times New Roman" w:hAnsi="Times New Roman" w:cs="Times New Roman"/>
          <w:sz w:val="24"/>
          <w:szCs w:val="24"/>
        </w:rPr>
        <w:t xml:space="preserve"> the city and established practices detailed in surviving contemporary fourteenth-century sources may be able to provide readers with a comprehensive understanding of actions taken in response to the Black Death by secular and ecclesiastical officials. </w:t>
      </w:r>
    </w:p>
    <w:p w14:paraId="105425C4" w14:textId="4426494E" w:rsidR="00B42237" w:rsidRPr="00344B5A" w:rsidRDefault="00B42237" w:rsidP="00B42237">
      <w:pPr>
        <w:spacing w:line="480" w:lineRule="auto"/>
        <w:rPr>
          <w:rFonts w:ascii="Times New Roman" w:hAnsi="Times New Roman" w:cs="Times New Roman"/>
          <w:sz w:val="24"/>
          <w:szCs w:val="24"/>
        </w:rPr>
      </w:pPr>
    </w:p>
    <w:p w14:paraId="0DC9B072" w14:textId="77777777" w:rsidR="00B42237" w:rsidRPr="00344B5A" w:rsidRDefault="00B42237" w:rsidP="00B42237">
      <w:pPr>
        <w:spacing w:after="0" w:line="480" w:lineRule="auto"/>
        <w:rPr>
          <w:rFonts w:ascii="Times New Roman" w:hAnsi="Times New Roman" w:cs="Times New Roman"/>
          <w:b/>
          <w:bCs/>
          <w:sz w:val="24"/>
          <w:szCs w:val="24"/>
        </w:rPr>
      </w:pPr>
    </w:p>
    <w:p w14:paraId="6DADB576" w14:textId="77777777" w:rsidR="00B42237" w:rsidRPr="00344B5A" w:rsidRDefault="00B42237" w:rsidP="00B42237">
      <w:pPr>
        <w:spacing w:after="0" w:line="480" w:lineRule="auto"/>
        <w:rPr>
          <w:rFonts w:ascii="Times New Roman" w:hAnsi="Times New Roman" w:cs="Times New Roman"/>
          <w:b/>
          <w:bCs/>
          <w:sz w:val="24"/>
          <w:szCs w:val="24"/>
        </w:rPr>
      </w:pPr>
    </w:p>
    <w:p w14:paraId="65A428CA" w14:textId="77777777" w:rsidR="00B42237" w:rsidRPr="00344B5A" w:rsidRDefault="00B42237" w:rsidP="00B42237">
      <w:pPr>
        <w:spacing w:after="0" w:line="480" w:lineRule="auto"/>
        <w:rPr>
          <w:rFonts w:ascii="Times New Roman" w:hAnsi="Times New Roman" w:cs="Times New Roman"/>
          <w:b/>
          <w:bCs/>
          <w:sz w:val="24"/>
          <w:szCs w:val="24"/>
        </w:rPr>
      </w:pPr>
    </w:p>
    <w:p w14:paraId="3C45B385" w14:textId="77777777" w:rsidR="00B42237" w:rsidRPr="00344B5A" w:rsidRDefault="00B42237" w:rsidP="00B42237">
      <w:pPr>
        <w:spacing w:after="0" w:line="480" w:lineRule="auto"/>
        <w:rPr>
          <w:rFonts w:ascii="Times New Roman" w:hAnsi="Times New Roman" w:cs="Times New Roman"/>
          <w:b/>
          <w:bCs/>
          <w:sz w:val="24"/>
          <w:szCs w:val="24"/>
        </w:rPr>
      </w:pPr>
    </w:p>
    <w:p w14:paraId="280AA906" w14:textId="77777777" w:rsidR="00B42237" w:rsidRPr="00344B5A" w:rsidRDefault="00B42237" w:rsidP="00B42237">
      <w:pPr>
        <w:spacing w:after="0" w:line="480" w:lineRule="auto"/>
        <w:rPr>
          <w:rFonts w:ascii="Times New Roman" w:hAnsi="Times New Roman" w:cs="Times New Roman"/>
          <w:b/>
          <w:bCs/>
          <w:sz w:val="24"/>
          <w:szCs w:val="24"/>
        </w:rPr>
      </w:pPr>
    </w:p>
    <w:p w14:paraId="5EAA6E41" w14:textId="77777777" w:rsidR="00B42237" w:rsidRPr="00344B5A" w:rsidRDefault="00B42237" w:rsidP="00B42237">
      <w:pPr>
        <w:spacing w:after="0" w:line="480" w:lineRule="auto"/>
        <w:rPr>
          <w:rFonts w:ascii="Times New Roman" w:hAnsi="Times New Roman" w:cs="Times New Roman"/>
          <w:b/>
          <w:bCs/>
          <w:sz w:val="24"/>
          <w:szCs w:val="24"/>
        </w:rPr>
      </w:pPr>
    </w:p>
    <w:p w14:paraId="0A275A40" w14:textId="77777777" w:rsidR="00B42237" w:rsidRPr="00344B5A" w:rsidRDefault="00B42237" w:rsidP="00B42237">
      <w:pPr>
        <w:spacing w:after="0" w:line="480" w:lineRule="auto"/>
        <w:rPr>
          <w:rFonts w:ascii="Times New Roman" w:hAnsi="Times New Roman" w:cs="Times New Roman"/>
          <w:b/>
          <w:bCs/>
          <w:sz w:val="24"/>
          <w:szCs w:val="24"/>
        </w:rPr>
      </w:pPr>
    </w:p>
    <w:p w14:paraId="6D811E25" w14:textId="77777777" w:rsidR="00B42237" w:rsidRPr="00344B5A" w:rsidRDefault="00B42237" w:rsidP="00B42237">
      <w:pPr>
        <w:spacing w:after="0" w:line="480" w:lineRule="auto"/>
        <w:rPr>
          <w:rFonts w:ascii="Times New Roman" w:hAnsi="Times New Roman" w:cs="Times New Roman"/>
          <w:b/>
          <w:bCs/>
          <w:sz w:val="24"/>
          <w:szCs w:val="24"/>
        </w:rPr>
      </w:pPr>
    </w:p>
    <w:p w14:paraId="5F8C49F6" w14:textId="77777777" w:rsidR="00B42237" w:rsidRPr="00344B5A" w:rsidRDefault="00B42237" w:rsidP="00B42237">
      <w:pPr>
        <w:spacing w:after="0" w:line="480" w:lineRule="auto"/>
        <w:rPr>
          <w:rFonts w:ascii="Times New Roman" w:hAnsi="Times New Roman" w:cs="Times New Roman"/>
          <w:b/>
          <w:bCs/>
          <w:sz w:val="24"/>
          <w:szCs w:val="24"/>
        </w:rPr>
      </w:pPr>
    </w:p>
    <w:p w14:paraId="6F0484A2" w14:textId="77777777" w:rsidR="00B42237" w:rsidRPr="00344B5A" w:rsidRDefault="00B42237" w:rsidP="00B42237">
      <w:pPr>
        <w:spacing w:after="0" w:line="480" w:lineRule="auto"/>
        <w:rPr>
          <w:rFonts w:ascii="Times New Roman" w:hAnsi="Times New Roman" w:cs="Times New Roman"/>
          <w:b/>
          <w:bCs/>
          <w:sz w:val="24"/>
          <w:szCs w:val="24"/>
        </w:rPr>
      </w:pPr>
    </w:p>
    <w:p w14:paraId="3F9614A1" w14:textId="77777777" w:rsidR="00B42237" w:rsidRPr="00344B5A" w:rsidRDefault="00B42237" w:rsidP="00B42237">
      <w:pPr>
        <w:spacing w:after="0" w:line="480" w:lineRule="auto"/>
        <w:rPr>
          <w:rFonts w:ascii="Times New Roman" w:hAnsi="Times New Roman" w:cs="Times New Roman"/>
          <w:b/>
          <w:bCs/>
          <w:sz w:val="24"/>
          <w:szCs w:val="24"/>
        </w:rPr>
      </w:pPr>
    </w:p>
    <w:p w14:paraId="57A3845C" w14:textId="77777777" w:rsidR="008041BA" w:rsidRPr="00344B5A" w:rsidRDefault="008041BA" w:rsidP="00B42237">
      <w:pPr>
        <w:spacing w:after="0" w:line="480" w:lineRule="auto"/>
        <w:rPr>
          <w:rFonts w:ascii="Times New Roman" w:hAnsi="Times New Roman" w:cs="Times New Roman"/>
          <w:b/>
          <w:bCs/>
          <w:sz w:val="24"/>
          <w:szCs w:val="24"/>
        </w:rPr>
      </w:pPr>
    </w:p>
    <w:p w14:paraId="6CB86C68" w14:textId="77777777" w:rsidR="008041BA" w:rsidRPr="00344B5A" w:rsidRDefault="008041BA" w:rsidP="00B42237">
      <w:pPr>
        <w:spacing w:after="0" w:line="480" w:lineRule="auto"/>
        <w:rPr>
          <w:rFonts w:ascii="Times New Roman" w:hAnsi="Times New Roman" w:cs="Times New Roman"/>
          <w:b/>
          <w:bCs/>
          <w:sz w:val="24"/>
          <w:szCs w:val="24"/>
        </w:rPr>
      </w:pPr>
    </w:p>
    <w:p w14:paraId="4684389C" w14:textId="77777777" w:rsidR="008041BA" w:rsidRPr="00344B5A" w:rsidRDefault="008041BA" w:rsidP="00B42237">
      <w:pPr>
        <w:spacing w:after="0" w:line="480" w:lineRule="auto"/>
        <w:rPr>
          <w:rFonts w:ascii="Times New Roman" w:hAnsi="Times New Roman" w:cs="Times New Roman"/>
          <w:b/>
          <w:bCs/>
          <w:sz w:val="24"/>
          <w:szCs w:val="24"/>
        </w:rPr>
      </w:pPr>
    </w:p>
    <w:p w14:paraId="1CB6EA20" w14:textId="77777777" w:rsidR="008041BA" w:rsidRPr="00344B5A" w:rsidRDefault="008041BA" w:rsidP="00B42237">
      <w:pPr>
        <w:spacing w:after="0" w:line="480" w:lineRule="auto"/>
        <w:rPr>
          <w:rFonts w:ascii="Times New Roman" w:hAnsi="Times New Roman" w:cs="Times New Roman"/>
          <w:b/>
          <w:bCs/>
          <w:sz w:val="24"/>
          <w:szCs w:val="24"/>
        </w:rPr>
      </w:pPr>
    </w:p>
    <w:p w14:paraId="00F2C197" w14:textId="266D5E52" w:rsidR="00DE4CEE" w:rsidRPr="00344B5A" w:rsidRDefault="00DE4CEE" w:rsidP="00DE4CEE">
      <w:pPr>
        <w:pStyle w:val="Heading1"/>
        <w:spacing w:line="480" w:lineRule="auto"/>
        <w:rPr>
          <w:rFonts w:ascii="Times New Roman" w:hAnsi="Times New Roman" w:cs="Times New Roman"/>
          <w:b/>
          <w:bCs/>
          <w:color w:val="auto"/>
          <w:sz w:val="24"/>
          <w:szCs w:val="24"/>
        </w:rPr>
      </w:pPr>
      <w:bookmarkStart w:id="5" w:name="_Toc40006745"/>
      <w:r w:rsidRPr="00344B5A">
        <w:rPr>
          <w:rFonts w:ascii="Times New Roman" w:hAnsi="Times New Roman" w:cs="Times New Roman"/>
          <w:b/>
          <w:bCs/>
          <w:color w:val="auto"/>
          <w:sz w:val="24"/>
          <w:szCs w:val="24"/>
        </w:rPr>
        <w:lastRenderedPageBreak/>
        <w:t>Chapter Three</w:t>
      </w:r>
      <w:bookmarkEnd w:id="5"/>
    </w:p>
    <w:p w14:paraId="255DC2F6" w14:textId="0A97E9D8"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Surviving contemporary fourteenth-century sources can further highlight the responses made by governing bodies of secular and ecclesiastical officials to the outbreak of the Black Death in 1348</w:t>
      </w:r>
      <w:r w:rsidR="008041BA" w:rsidRPr="00344B5A">
        <w:rPr>
          <w:rFonts w:ascii="Times New Roman" w:hAnsi="Times New Roman" w:cs="Times New Roman"/>
          <w:sz w:val="24"/>
          <w:szCs w:val="24"/>
        </w:rPr>
        <w:t>. F</w:t>
      </w:r>
      <w:r w:rsidRPr="00344B5A">
        <w:rPr>
          <w:rFonts w:ascii="Times New Roman" w:hAnsi="Times New Roman" w:cs="Times New Roman"/>
          <w:sz w:val="24"/>
          <w:szCs w:val="24"/>
        </w:rPr>
        <w:t>rom towering funeral biers to the severely shortened funeral rites delivered in an expeditious manner, life in Italian cities and towns relied greatly upon the decisions and actions of officials. Philip Ziegler notes that ‘though the Florentines were subjected to almost intolerable pressure it does not seem that the machinery of government ever broke down altogether.’</w:t>
      </w:r>
      <w:r w:rsidRPr="00344B5A">
        <w:rPr>
          <w:rFonts w:ascii="Times New Roman" w:hAnsi="Times New Roman" w:cs="Times New Roman"/>
          <w:sz w:val="24"/>
          <w:szCs w:val="24"/>
          <w:vertAlign w:val="superscript"/>
        </w:rPr>
        <w:footnoteReference w:id="81"/>
      </w:r>
      <w:r w:rsidRPr="00344B5A">
        <w:rPr>
          <w:rFonts w:ascii="Times New Roman" w:hAnsi="Times New Roman" w:cs="Times New Roman"/>
          <w:sz w:val="24"/>
          <w:szCs w:val="24"/>
        </w:rPr>
        <w:t xml:space="preserve"> Giovanni Boccaccio illustrates the apocalyptic scenes of the Black Death in Florence by highlighting the significantly high proportion of deaths in a matter of weeks and months, with the mortality rates overwhelming burial capabilities Boccaccio notes that ‘bodies were here, there and everywhere.’</w:t>
      </w:r>
      <w:r w:rsidRPr="00344B5A">
        <w:rPr>
          <w:rFonts w:ascii="Times New Roman" w:hAnsi="Times New Roman" w:cs="Times New Roman"/>
          <w:sz w:val="24"/>
          <w:szCs w:val="24"/>
          <w:vertAlign w:val="superscript"/>
        </w:rPr>
        <w:footnoteReference w:id="82"/>
      </w:r>
      <w:r w:rsidRPr="00344B5A">
        <w:rPr>
          <w:rFonts w:ascii="Times New Roman" w:hAnsi="Times New Roman" w:cs="Times New Roman"/>
          <w:sz w:val="24"/>
          <w:szCs w:val="24"/>
        </w:rPr>
        <w:t xml:space="preserve"> Although many responses to the Black Death recorded in contemporary sources were futile in the face of a rapidly spreading epidemic, some measures taken by bodies of officials may have somewhat slowed the plague spread through means of quarantine and public hygiene measures, and clear similarities in accounts of the plague’s arrival allow for scholarly judgements to be made concerning the effectiveness or accuracy. Furthermore, the differences between those measures taken by either ecclesiastical or secular/political bodies of officials also indicate the nature of mid-fourteenth-century Italian society, particularly through the unwitting testimony present within surviving contemporary sources, regardless of intended historical narrative. </w:t>
      </w:r>
    </w:p>
    <w:p w14:paraId="190D2692" w14:textId="0C9635A6"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Whilst contemporary sources highlight the changing nature of burial preparations and techniques, there are clear similarities between the Florentine accounts of Boccaccio and Bonaiuti that corroborate some of the actions taken by officials. In his chronicle of Florence, Bonaiuti provides a macabre visual image of the layering of plague pits during the rapid </w:t>
      </w:r>
      <w:r w:rsidRPr="00344B5A">
        <w:rPr>
          <w:rFonts w:ascii="Times New Roman" w:hAnsi="Times New Roman" w:cs="Times New Roman"/>
          <w:sz w:val="24"/>
          <w:szCs w:val="24"/>
        </w:rPr>
        <w:lastRenderedPageBreak/>
        <w:t>spread of the Black Death resulting in a shortage of burial grounds; burial pits were dug in accordance with the size of a parish and bodies were buried in layers with dirt, ‘they put layer on layer just like one puts layers of cheese in a lasagne.’</w:t>
      </w:r>
      <w:r w:rsidRPr="00344B5A">
        <w:rPr>
          <w:rFonts w:ascii="Times New Roman" w:hAnsi="Times New Roman" w:cs="Times New Roman"/>
          <w:sz w:val="24"/>
          <w:szCs w:val="24"/>
          <w:vertAlign w:val="superscript"/>
        </w:rPr>
        <w:t xml:space="preserve"> </w:t>
      </w:r>
      <w:r w:rsidRPr="00344B5A">
        <w:rPr>
          <w:rFonts w:ascii="Times New Roman" w:hAnsi="Times New Roman" w:cs="Times New Roman"/>
          <w:sz w:val="24"/>
          <w:szCs w:val="24"/>
          <w:vertAlign w:val="superscript"/>
        </w:rPr>
        <w:footnoteReference w:id="83"/>
      </w:r>
      <w:r w:rsidRPr="00344B5A">
        <w:rPr>
          <w:rFonts w:ascii="Times New Roman" w:hAnsi="Times New Roman" w:cs="Times New Roman"/>
          <w:sz w:val="24"/>
          <w:szCs w:val="24"/>
        </w:rPr>
        <w:t xml:space="preserve"> Although Boccaccio does not liken the layering of bodies and earth in plague pits </w:t>
      </w:r>
      <w:r w:rsidR="008041BA" w:rsidRPr="00344B5A">
        <w:rPr>
          <w:rFonts w:ascii="Times New Roman" w:hAnsi="Times New Roman" w:cs="Times New Roman"/>
          <w:sz w:val="24"/>
          <w:szCs w:val="24"/>
        </w:rPr>
        <w:t>to</w:t>
      </w:r>
      <w:r w:rsidRPr="00344B5A">
        <w:rPr>
          <w:rFonts w:ascii="Times New Roman" w:hAnsi="Times New Roman" w:cs="Times New Roman"/>
          <w:sz w:val="24"/>
          <w:szCs w:val="24"/>
        </w:rPr>
        <w:t xml:space="preserve"> lasagne,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similarly contains a graphic description of burials</w:t>
      </w:r>
      <w:r w:rsidR="00B21D7F" w:rsidRPr="00344B5A">
        <w:rPr>
          <w:rFonts w:ascii="Times New Roman" w:hAnsi="Times New Roman" w:cs="Times New Roman"/>
          <w:sz w:val="24"/>
          <w:szCs w:val="24"/>
        </w:rPr>
        <w:t>:</w:t>
      </w:r>
      <w:r w:rsidRPr="00344B5A">
        <w:rPr>
          <w:rFonts w:ascii="Times New Roman" w:hAnsi="Times New Roman" w:cs="Times New Roman"/>
          <w:sz w:val="24"/>
          <w:szCs w:val="24"/>
        </w:rPr>
        <w:t xml:space="preserve"> ‘new arrivals were placed in their hundreds, stowed tier upon tier like ships’ cargo, each layer of corpses being covered over with a thin layer of soil till the trench was filled to the top.’</w:t>
      </w:r>
      <w:r w:rsidRPr="00344B5A">
        <w:rPr>
          <w:rFonts w:ascii="Times New Roman" w:hAnsi="Times New Roman" w:cs="Times New Roman"/>
          <w:sz w:val="24"/>
          <w:szCs w:val="24"/>
          <w:vertAlign w:val="superscript"/>
        </w:rPr>
        <w:footnoteReference w:id="84"/>
      </w:r>
      <w:r w:rsidRPr="00344B5A">
        <w:rPr>
          <w:rFonts w:ascii="Times New Roman" w:hAnsi="Times New Roman" w:cs="Times New Roman"/>
          <w:sz w:val="24"/>
          <w:szCs w:val="24"/>
        </w:rPr>
        <w:t xml:space="preserve"> Despite the literary nature of both Florentine sources and the presence of historical narrative, the tragic end to the lives of thousands of Florentine citizens highlights the ferocity of the Black Death and therefore the need for official city-wide actions to deal with the substantial and increasing number of bodies. Th</w:t>
      </w:r>
      <w:r w:rsidR="00B21D7F" w:rsidRPr="00344B5A">
        <w:rPr>
          <w:rFonts w:ascii="Times New Roman" w:hAnsi="Times New Roman" w:cs="Times New Roman"/>
          <w:sz w:val="24"/>
          <w:szCs w:val="24"/>
        </w:rPr>
        <w:t>is emphasises</w:t>
      </w:r>
      <w:r w:rsidRPr="00344B5A">
        <w:rPr>
          <w:rFonts w:ascii="Times New Roman" w:hAnsi="Times New Roman" w:cs="Times New Roman"/>
          <w:sz w:val="24"/>
          <w:szCs w:val="24"/>
        </w:rPr>
        <w:t xml:space="preserve"> that regardless of a literary source’s intended purpose, the tragic nature of the arrival of the Black Death bleeds through literary tropes and everyday imagery as a result of the undeniably horrific events of the mid-fourteenth century. </w:t>
      </w:r>
    </w:p>
    <w:p w14:paraId="288D624B"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Of the actions made by the governing officials of Florence, those concerning the changing nature of burial practices and the overwhelming number of deaths in an incredibly short period of time,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describes piles of bodies on biers and that ‘many were seen to contain a husband and wife, two or three brothers and sisters, a father and son, or some other pair of close relatives.’</w:t>
      </w:r>
      <w:r w:rsidRPr="00344B5A">
        <w:rPr>
          <w:rFonts w:ascii="Times New Roman" w:hAnsi="Times New Roman" w:cs="Times New Roman"/>
          <w:sz w:val="24"/>
          <w:szCs w:val="24"/>
          <w:vertAlign w:val="superscript"/>
        </w:rPr>
        <w:footnoteReference w:id="85"/>
      </w:r>
      <w:r w:rsidRPr="00344B5A">
        <w:rPr>
          <w:rFonts w:ascii="Times New Roman" w:hAnsi="Times New Roman" w:cs="Times New Roman"/>
          <w:sz w:val="24"/>
          <w:szCs w:val="24"/>
        </w:rPr>
        <w:t xml:space="preserve"> Boccaccio describes funeral proceedings as being held by no more than six clerics with one or two candles, and as if to stress the speed with which the Black Death was decimating the Florentine population, that ‘nor did the priests go to the trouble of pronouncing solemn and lengthy funeral rites.’</w:t>
      </w:r>
      <w:r w:rsidRPr="00344B5A">
        <w:rPr>
          <w:rFonts w:ascii="Times New Roman" w:hAnsi="Times New Roman" w:cs="Times New Roman"/>
          <w:sz w:val="24"/>
          <w:szCs w:val="24"/>
          <w:vertAlign w:val="superscript"/>
        </w:rPr>
        <w:footnoteReference w:id="86"/>
      </w:r>
      <w:r w:rsidRPr="00344B5A">
        <w:rPr>
          <w:rFonts w:ascii="Times New Roman" w:hAnsi="Times New Roman" w:cs="Times New Roman"/>
          <w:sz w:val="24"/>
          <w:szCs w:val="24"/>
        </w:rPr>
        <w:t xml:space="preserve"> Contemporary fourteenth-century sources provide an invaluable record of the events of 1348 and their survival allows for the scholarly </w:t>
      </w:r>
      <w:r w:rsidRPr="00344B5A">
        <w:rPr>
          <w:rFonts w:ascii="Times New Roman" w:hAnsi="Times New Roman" w:cs="Times New Roman"/>
          <w:sz w:val="24"/>
          <w:szCs w:val="24"/>
        </w:rPr>
        <w:lastRenderedPageBreak/>
        <w:t>comparison of social responses to the Black Death across Europe, in particular the similarities and differences within the nature of governing responses in countries such as England. The English chronicler Geoffrey le Baker describes the widespread panic and devastation of England following the outbreak of the Black Death, writing that ‘in the end it so devastated the whole of England that scarcely one person in ten of either sex remained alive’, and further describes the horrific requirement for mass burials following the rapid spread of the Black Death, tragically recording that ‘there were not enough graveyards, and people chose places in the fields to bury their dead.</w:t>
      </w:r>
      <w:r w:rsidRPr="00344B5A">
        <w:rPr>
          <w:rFonts w:ascii="Times New Roman" w:hAnsi="Times New Roman" w:cs="Times New Roman"/>
          <w:sz w:val="24"/>
          <w:szCs w:val="24"/>
          <w:vertAlign w:val="superscript"/>
        </w:rPr>
        <w:footnoteReference w:id="87"/>
      </w:r>
      <w:r w:rsidRPr="00344B5A">
        <w:rPr>
          <w:rFonts w:ascii="Times New Roman" w:hAnsi="Times New Roman" w:cs="Times New Roman"/>
          <w:sz w:val="24"/>
          <w:szCs w:val="24"/>
        </w:rPr>
        <w:t xml:space="preserve"> </w:t>
      </w:r>
    </w:p>
    <w:p w14:paraId="6ECE5791" w14:textId="1BBFBFC3"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In the </w:t>
      </w:r>
      <w:r w:rsidRPr="00344B5A">
        <w:rPr>
          <w:rFonts w:ascii="Times New Roman" w:hAnsi="Times New Roman" w:cs="Times New Roman"/>
          <w:i/>
          <w:iCs/>
          <w:sz w:val="24"/>
          <w:szCs w:val="24"/>
        </w:rPr>
        <w:t xml:space="preserve">Prologue </w:t>
      </w:r>
      <w:r w:rsidRPr="00344B5A">
        <w:rPr>
          <w:rFonts w:ascii="Times New Roman" w:hAnsi="Times New Roman" w:cs="Times New Roman"/>
          <w:sz w:val="24"/>
          <w:szCs w:val="24"/>
        </w:rPr>
        <w:t xml:space="preserve">to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Boccaccio describes some of the actions taken by Florentine officials in response to the arrival of the Black Death in early 1348, writing that ‘large quantities of refuse were cleared out of the city by officials specially appointed for the purpose, all sick persons were forbidden entry, and numerous instructions were issued for safeguarding the people health, but all to no avail.’</w:t>
      </w:r>
      <w:r w:rsidRPr="00344B5A">
        <w:rPr>
          <w:rFonts w:ascii="Times New Roman" w:hAnsi="Times New Roman" w:cs="Times New Roman"/>
          <w:sz w:val="24"/>
          <w:szCs w:val="24"/>
          <w:vertAlign w:val="superscript"/>
        </w:rPr>
        <w:footnoteReference w:id="88"/>
      </w:r>
      <w:r w:rsidRPr="00344B5A">
        <w:rPr>
          <w:rFonts w:ascii="Times New Roman" w:hAnsi="Times New Roman" w:cs="Times New Roman"/>
          <w:sz w:val="24"/>
          <w:szCs w:val="24"/>
        </w:rPr>
        <w:t xml:space="preserve"> It becomes clear that despite the selfishness of some of the Florentine population, there were efforts made to prevent the rapid spread of the Black Death through methods of public health prevention and attempts to quarantine infected people and areas. However, historian Philip Ziegler appears to criticise the account given by Boccaccio in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stating that Boccaccio ‘did less than justice to the efforts of the city fathers to control the plague in Florence.’</w:t>
      </w:r>
      <w:r w:rsidRPr="00344B5A">
        <w:rPr>
          <w:rFonts w:ascii="Times New Roman" w:hAnsi="Times New Roman" w:cs="Times New Roman"/>
          <w:sz w:val="24"/>
          <w:szCs w:val="24"/>
          <w:vertAlign w:val="superscript"/>
        </w:rPr>
        <w:footnoteReference w:id="89"/>
      </w:r>
      <w:r w:rsidRPr="00344B5A">
        <w:rPr>
          <w:rFonts w:ascii="Times New Roman" w:hAnsi="Times New Roman" w:cs="Times New Roman"/>
          <w:sz w:val="24"/>
          <w:szCs w:val="24"/>
        </w:rPr>
        <w:t xml:space="preserve"> The city fathers were a committee of eight of the ‘wisest and most respected citizens’ who set out to organise and deal with the arrival of the plague in Florence</w:t>
      </w:r>
      <w:r w:rsidR="00D37329" w:rsidRPr="00344B5A">
        <w:rPr>
          <w:rFonts w:ascii="Times New Roman" w:hAnsi="Times New Roman" w:cs="Times New Roman"/>
          <w:sz w:val="24"/>
          <w:szCs w:val="24"/>
        </w:rPr>
        <w:t>;</w:t>
      </w:r>
      <w:r w:rsidRPr="00344B5A">
        <w:rPr>
          <w:rFonts w:ascii="Times New Roman" w:hAnsi="Times New Roman" w:cs="Times New Roman"/>
          <w:sz w:val="24"/>
          <w:szCs w:val="24"/>
        </w:rPr>
        <w:t xml:space="preserve"> Ziegler writes that they were primarily concerned with removing refuse from marketplaces and decaying bodies from the streets.</w:t>
      </w:r>
      <w:r w:rsidRPr="00344B5A">
        <w:rPr>
          <w:rFonts w:ascii="Times New Roman" w:hAnsi="Times New Roman" w:cs="Times New Roman"/>
          <w:sz w:val="24"/>
          <w:szCs w:val="24"/>
          <w:vertAlign w:val="superscript"/>
        </w:rPr>
        <w:footnoteReference w:id="90"/>
      </w:r>
      <w:r w:rsidRPr="00344B5A">
        <w:rPr>
          <w:rFonts w:ascii="Times New Roman" w:hAnsi="Times New Roman" w:cs="Times New Roman"/>
          <w:sz w:val="24"/>
          <w:szCs w:val="24"/>
        </w:rPr>
        <w:t xml:space="preserve"> It becomes increasingly clear that efforts to try and control the pestilence were often futile given </w:t>
      </w:r>
      <w:r w:rsidRPr="00344B5A">
        <w:rPr>
          <w:rFonts w:ascii="Times New Roman" w:hAnsi="Times New Roman" w:cs="Times New Roman"/>
          <w:sz w:val="24"/>
          <w:szCs w:val="24"/>
        </w:rPr>
        <w:lastRenderedPageBreak/>
        <w:t>the rapid speed and ferocity of the Black Death in early 1348</w:t>
      </w:r>
      <w:r w:rsidR="00D37329" w:rsidRPr="00344B5A">
        <w:rPr>
          <w:rFonts w:ascii="Times New Roman" w:hAnsi="Times New Roman" w:cs="Times New Roman"/>
          <w:sz w:val="24"/>
          <w:szCs w:val="24"/>
        </w:rPr>
        <w:t>,</w:t>
      </w:r>
      <w:r w:rsidRPr="00344B5A">
        <w:rPr>
          <w:rFonts w:ascii="Times New Roman" w:hAnsi="Times New Roman" w:cs="Times New Roman"/>
          <w:sz w:val="24"/>
          <w:szCs w:val="24"/>
        </w:rPr>
        <w:t xml:space="preserve"> actions taken by governing officials were unmatched by the unimaginable speeds with which the pestilence killed thousands if not millions in its path.</w:t>
      </w:r>
    </w:p>
    <w:p w14:paraId="7D02525A" w14:textId="717AF250"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Ziegler notes that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portrays the happier side of the arrival of the Black Death, in particular ‘the selfless devotion of certain nuns or doctors, the efforts of the city government to keep going some sort of order and administration.’</w:t>
      </w:r>
      <w:r w:rsidRPr="00344B5A">
        <w:rPr>
          <w:rFonts w:ascii="Times New Roman" w:hAnsi="Times New Roman" w:cs="Times New Roman"/>
          <w:sz w:val="24"/>
          <w:szCs w:val="24"/>
          <w:vertAlign w:val="superscript"/>
        </w:rPr>
        <w:footnoteReference w:id="91"/>
      </w:r>
      <w:r w:rsidRPr="00344B5A">
        <w:rPr>
          <w:rFonts w:ascii="Times New Roman" w:hAnsi="Times New Roman" w:cs="Times New Roman"/>
          <w:sz w:val="24"/>
          <w:szCs w:val="24"/>
        </w:rPr>
        <w:t xml:space="preserve"> It seems significant that in a period of melancholic records reflective of the millions of Europeans who perished as a result of the Black Death, that there are identifiable positive moments within surviving contemporary fourteenth-century sources. This could be as a result of the intended nature or purpose of the source</w:t>
      </w:r>
      <w:r w:rsidR="00D37329" w:rsidRPr="00344B5A">
        <w:rPr>
          <w:rFonts w:ascii="Times New Roman" w:hAnsi="Times New Roman" w:cs="Times New Roman"/>
          <w:sz w:val="24"/>
          <w:szCs w:val="24"/>
        </w:rPr>
        <w:t>;</w:t>
      </w:r>
      <w:r w:rsidRPr="00344B5A">
        <w:rPr>
          <w:rFonts w:ascii="Times New Roman" w:hAnsi="Times New Roman" w:cs="Times New Roman"/>
          <w:sz w:val="24"/>
          <w:szCs w:val="24"/>
        </w:rPr>
        <w:t xml:space="preserve"> Bonaiuti describes the horrific events of the arrival of the Black Death as part of his </w:t>
      </w:r>
      <w:r w:rsidR="005602FC">
        <w:rPr>
          <w:rFonts w:ascii="Times New Roman" w:hAnsi="Times New Roman" w:cs="Times New Roman"/>
          <w:i/>
          <w:iCs/>
          <w:sz w:val="24"/>
          <w:szCs w:val="24"/>
        </w:rPr>
        <w:t>Cronaca</w:t>
      </w:r>
      <w:r w:rsidRPr="00344B5A">
        <w:rPr>
          <w:rFonts w:ascii="Times New Roman" w:hAnsi="Times New Roman" w:cs="Times New Roman"/>
          <w:sz w:val="24"/>
          <w:szCs w:val="24"/>
        </w:rPr>
        <w:t xml:space="preserve">, and likewise Petrarch adopts a sorrowful tone in his work following the death of many of his friends and his unrequited lover and muse Laura. Perhaps as Boccaccio edited and rewrote parts of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in the late fourteenth century, there arose the opportunity to reflect on the actions of officials and the heroic efforts of nuns and doctors. John Hatcher highlights the clear correlation between works of fiction and works of historical narrative, noting that ‘although there are many enlightening accounts of the doleful progress of the Black Death across Asia, Europe and the Middle East, most were written sometime after the event and few were composed in England.’</w:t>
      </w:r>
      <w:r w:rsidRPr="00344B5A">
        <w:rPr>
          <w:rFonts w:ascii="Times New Roman" w:hAnsi="Times New Roman" w:cs="Times New Roman"/>
          <w:sz w:val="24"/>
          <w:szCs w:val="24"/>
          <w:vertAlign w:val="superscript"/>
        </w:rPr>
        <w:footnoteReference w:id="92"/>
      </w:r>
      <w:r w:rsidRPr="00344B5A">
        <w:rPr>
          <w:rFonts w:ascii="Times New Roman" w:hAnsi="Times New Roman" w:cs="Times New Roman"/>
          <w:sz w:val="24"/>
          <w:szCs w:val="24"/>
        </w:rPr>
        <w:t xml:space="preserve"> The </w:t>
      </w:r>
      <w:r w:rsidR="00D37329" w:rsidRPr="00344B5A">
        <w:rPr>
          <w:rFonts w:ascii="Times New Roman" w:hAnsi="Times New Roman" w:cs="Times New Roman"/>
          <w:i/>
          <w:iCs/>
          <w:sz w:val="24"/>
          <w:szCs w:val="24"/>
        </w:rPr>
        <w:t>Cronaca</w:t>
      </w:r>
      <w:r w:rsidRPr="00344B5A">
        <w:rPr>
          <w:rFonts w:ascii="Times New Roman" w:hAnsi="Times New Roman" w:cs="Times New Roman"/>
          <w:sz w:val="24"/>
          <w:szCs w:val="24"/>
        </w:rPr>
        <w:t xml:space="preserve"> clearly requires the composition to </w:t>
      </w:r>
      <w:r w:rsidR="00D37329" w:rsidRPr="00344B5A">
        <w:rPr>
          <w:rFonts w:ascii="Times New Roman" w:hAnsi="Times New Roman" w:cs="Times New Roman"/>
          <w:sz w:val="24"/>
          <w:szCs w:val="24"/>
        </w:rPr>
        <w:t>have t</w:t>
      </w:r>
      <w:r w:rsidRPr="00344B5A">
        <w:rPr>
          <w:rFonts w:ascii="Times New Roman" w:hAnsi="Times New Roman" w:cs="Times New Roman"/>
          <w:sz w:val="24"/>
          <w:szCs w:val="24"/>
        </w:rPr>
        <w:t>ake</w:t>
      </w:r>
      <w:r w:rsidR="00D37329" w:rsidRPr="00344B5A">
        <w:rPr>
          <w:rFonts w:ascii="Times New Roman" w:hAnsi="Times New Roman" w:cs="Times New Roman"/>
          <w:sz w:val="24"/>
          <w:szCs w:val="24"/>
        </w:rPr>
        <w:t>n</w:t>
      </w:r>
      <w:r w:rsidRPr="00344B5A">
        <w:rPr>
          <w:rFonts w:ascii="Times New Roman" w:hAnsi="Times New Roman" w:cs="Times New Roman"/>
          <w:sz w:val="24"/>
          <w:szCs w:val="24"/>
        </w:rPr>
        <w:t xml:space="preserve"> place after the arrival of the Black Death in order to record the factual account of events of 1348, particularly as Rubrics 635 and 636 detail the mortality rate of the Florentine population and the consequences of the pestilence on society. </w:t>
      </w:r>
    </w:p>
    <w:p w14:paraId="5D1E507D" w14:textId="069B90F2"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In Rubric 635 of Bonaiuti’s </w:t>
      </w:r>
      <w:r w:rsidR="00D37329" w:rsidRPr="00344B5A">
        <w:rPr>
          <w:rFonts w:ascii="Times New Roman" w:hAnsi="Times New Roman" w:cs="Times New Roman"/>
          <w:i/>
          <w:iCs/>
          <w:sz w:val="24"/>
          <w:szCs w:val="24"/>
        </w:rPr>
        <w:t>Cronaca</w:t>
      </w:r>
      <w:r w:rsidRPr="00344B5A">
        <w:rPr>
          <w:rFonts w:ascii="Times New Roman" w:hAnsi="Times New Roman" w:cs="Times New Roman"/>
          <w:sz w:val="24"/>
          <w:szCs w:val="24"/>
        </w:rPr>
        <w:t xml:space="preserve"> titled ‘How Many Of The Dead Died Because Of The Mortality Of The Year Of Christ 1348’ it is clear that attempts were made by officials to </w:t>
      </w:r>
      <w:r w:rsidRPr="00344B5A">
        <w:rPr>
          <w:rFonts w:ascii="Times New Roman" w:hAnsi="Times New Roman" w:cs="Times New Roman"/>
          <w:sz w:val="24"/>
          <w:szCs w:val="24"/>
        </w:rPr>
        <w:lastRenderedPageBreak/>
        <w:t>collate information concerning the number of deaths.</w:t>
      </w:r>
      <w:r w:rsidRPr="00344B5A">
        <w:rPr>
          <w:rFonts w:ascii="Times New Roman" w:hAnsi="Times New Roman" w:cs="Times New Roman"/>
          <w:sz w:val="24"/>
          <w:szCs w:val="24"/>
          <w:vertAlign w:val="superscript"/>
        </w:rPr>
        <w:footnoteReference w:id="93"/>
      </w:r>
      <w:r w:rsidRPr="00344B5A">
        <w:rPr>
          <w:rFonts w:ascii="Times New Roman" w:hAnsi="Times New Roman" w:cs="Times New Roman"/>
          <w:sz w:val="24"/>
          <w:szCs w:val="24"/>
        </w:rPr>
        <w:t xml:space="preserve"> Bonaiuti writes that bishops and lords of the city government made inquiries into how many Florentines died between March and October, finding that ‘among males, females, children and adults, 96000 died.’</w:t>
      </w:r>
      <w:r w:rsidRPr="00344B5A">
        <w:rPr>
          <w:rFonts w:ascii="Times New Roman" w:hAnsi="Times New Roman" w:cs="Times New Roman"/>
          <w:sz w:val="24"/>
          <w:szCs w:val="24"/>
          <w:vertAlign w:val="superscript"/>
        </w:rPr>
        <w:footnoteReference w:id="94"/>
      </w:r>
      <w:r w:rsidRPr="00344B5A">
        <w:rPr>
          <w:rFonts w:ascii="Times New Roman" w:hAnsi="Times New Roman" w:cs="Times New Roman"/>
          <w:sz w:val="24"/>
          <w:szCs w:val="24"/>
        </w:rPr>
        <w:t xml:space="preserve"> Despite the avoidance of heavily demographic scholarship</w:t>
      </w:r>
      <w:r w:rsidR="0022318D" w:rsidRPr="00344B5A">
        <w:rPr>
          <w:rFonts w:ascii="Times New Roman" w:hAnsi="Times New Roman" w:cs="Times New Roman"/>
          <w:sz w:val="24"/>
          <w:szCs w:val="24"/>
        </w:rPr>
        <w:t xml:space="preserve"> within the methodology of the dissertation</w:t>
      </w:r>
      <w:r w:rsidRPr="00344B5A">
        <w:rPr>
          <w:rFonts w:ascii="Times New Roman" w:hAnsi="Times New Roman" w:cs="Times New Roman"/>
          <w:sz w:val="24"/>
          <w:szCs w:val="24"/>
        </w:rPr>
        <w:t>, it seems significant to explore contemporary fourteenth-century attempts to calculate the number of fatalities following the arrival of the Black Death</w:t>
      </w:r>
      <w:r w:rsidR="00D37329"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Boccaccio records in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that between March and July of 1348, ‘it is reliably thought that over a hundred thousand human lives were extinguished within the walls of the city of Florence.’</w:t>
      </w:r>
      <w:r w:rsidRPr="00344B5A">
        <w:rPr>
          <w:rFonts w:ascii="Times New Roman" w:hAnsi="Times New Roman" w:cs="Times New Roman"/>
          <w:sz w:val="24"/>
          <w:szCs w:val="24"/>
          <w:vertAlign w:val="superscript"/>
        </w:rPr>
        <w:footnoteReference w:id="95"/>
      </w:r>
      <w:r w:rsidRPr="00344B5A">
        <w:rPr>
          <w:rFonts w:ascii="Times New Roman" w:hAnsi="Times New Roman" w:cs="Times New Roman"/>
          <w:sz w:val="24"/>
          <w:szCs w:val="24"/>
        </w:rPr>
        <w:t xml:space="preserve"> It may be that Bonaiuti and Boccaccio recorded similar figures for the number of Florentines who died during the outbreak of the Black Death due to their reading of one another’s work, or somewhat optimistically because the death rate </w:t>
      </w:r>
      <w:r w:rsidR="00D37329" w:rsidRPr="00344B5A">
        <w:rPr>
          <w:rFonts w:ascii="Times New Roman" w:hAnsi="Times New Roman" w:cs="Times New Roman"/>
          <w:sz w:val="24"/>
          <w:szCs w:val="24"/>
        </w:rPr>
        <w:t>had been</w:t>
      </w:r>
      <w:r w:rsidRPr="00344B5A">
        <w:rPr>
          <w:rFonts w:ascii="Times New Roman" w:hAnsi="Times New Roman" w:cs="Times New Roman"/>
          <w:sz w:val="24"/>
          <w:szCs w:val="24"/>
        </w:rPr>
        <w:t xml:space="preserve"> between ninety-six-thousand and one-hundred-thousand</w:t>
      </w:r>
      <w:r w:rsidR="0022318D" w:rsidRPr="00344B5A">
        <w:rPr>
          <w:rFonts w:ascii="Times New Roman" w:hAnsi="Times New Roman" w:cs="Times New Roman"/>
          <w:sz w:val="24"/>
          <w:szCs w:val="24"/>
        </w:rPr>
        <w:t xml:space="preserve"> as Boccaccio and Bonaiuti described</w:t>
      </w:r>
      <w:r w:rsidRPr="00344B5A">
        <w:rPr>
          <w:rFonts w:ascii="Times New Roman" w:hAnsi="Times New Roman" w:cs="Times New Roman"/>
          <w:sz w:val="24"/>
          <w:szCs w:val="24"/>
        </w:rPr>
        <w:t>.</w:t>
      </w:r>
      <w:r w:rsidR="0022318D" w:rsidRPr="00344B5A">
        <w:rPr>
          <w:rStyle w:val="FootnoteReference"/>
          <w:rFonts w:ascii="Times New Roman" w:hAnsi="Times New Roman" w:cs="Times New Roman"/>
          <w:sz w:val="24"/>
          <w:szCs w:val="24"/>
        </w:rPr>
        <w:footnoteReference w:id="96"/>
      </w:r>
      <w:r w:rsidRPr="00344B5A">
        <w:rPr>
          <w:rFonts w:ascii="Times New Roman" w:hAnsi="Times New Roman" w:cs="Times New Roman"/>
          <w:sz w:val="24"/>
          <w:szCs w:val="24"/>
        </w:rPr>
        <w:t xml:space="preserve"> However, whilst Bonaiuti suggests that the Black Death gripped the Florentine population between the months of March and October, Boccaccio recorded a greater number of deaths between the months of March and July</w:t>
      </w:r>
      <w:r w:rsidR="00D37329" w:rsidRPr="00344B5A">
        <w:rPr>
          <w:rFonts w:ascii="Times New Roman" w:hAnsi="Times New Roman" w:cs="Times New Roman"/>
          <w:sz w:val="24"/>
          <w:szCs w:val="24"/>
        </w:rPr>
        <w:t xml:space="preserve"> alone</w:t>
      </w:r>
      <w:r w:rsidRPr="00344B5A">
        <w:rPr>
          <w:rFonts w:ascii="Times New Roman" w:hAnsi="Times New Roman" w:cs="Times New Roman"/>
          <w:sz w:val="24"/>
          <w:szCs w:val="24"/>
        </w:rPr>
        <w:t>. Benedictow emphasises the extraordinary nature of the arrival of the Black Death in the city of Florence, stating that within only a few months the population of the city had dropped by sixty percent.</w:t>
      </w:r>
      <w:r w:rsidRPr="00344B5A">
        <w:rPr>
          <w:rFonts w:ascii="Times New Roman" w:hAnsi="Times New Roman" w:cs="Times New Roman"/>
          <w:sz w:val="24"/>
          <w:szCs w:val="24"/>
          <w:vertAlign w:val="superscript"/>
        </w:rPr>
        <w:footnoteReference w:id="97"/>
      </w:r>
    </w:p>
    <w:p w14:paraId="6F02A6BF" w14:textId="431558B1"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The disruption to Florentine trade becomes increasingly apparent throughout contemporary fourteenth-century sources with scholars pinpointing the arrival of the Black Death in Florence on the established trade routes with Eastern Europe. Despite the wealth and power of Florentine trade and mercantile family business, Ziegler notes that structures began to fracture </w:t>
      </w:r>
      <w:r w:rsidRPr="00344B5A">
        <w:rPr>
          <w:rFonts w:ascii="Times New Roman" w:hAnsi="Times New Roman" w:cs="Times New Roman"/>
          <w:sz w:val="24"/>
          <w:szCs w:val="24"/>
        </w:rPr>
        <w:lastRenderedPageBreak/>
        <w:t>in the years preceding the plague due to disagreements and poor harvests</w:t>
      </w:r>
      <w:r w:rsidR="00540CED" w:rsidRPr="00344B5A">
        <w:rPr>
          <w:rFonts w:ascii="Times New Roman" w:hAnsi="Times New Roman" w:cs="Times New Roman"/>
          <w:sz w:val="24"/>
          <w:szCs w:val="24"/>
        </w:rPr>
        <w:t>. T</w:t>
      </w:r>
      <w:r w:rsidRPr="00344B5A">
        <w:rPr>
          <w:rFonts w:ascii="Times New Roman" w:hAnsi="Times New Roman" w:cs="Times New Roman"/>
          <w:sz w:val="24"/>
          <w:szCs w:val="24"/>
        </w:rPr>
        <w:t xml:space="preserve">he collapse of trade due to the arrival of the Black Death led to the disintegration of established social structures as Boccaccio notes in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‘hence everyone was free to behave as he pleased.’</w:t>
      </w:r>
      <w:r w:rsidRPr="00344B5A">
        <w:rPr>
          <w:rFonts w:ascii="Times New Roman" w:hAnsi="Times New Roman" w:cs="Times New Roman"/>
          <w:sz w:val="24"/>
          <w:szCs w:val="24"/>
          <w:vertAlign w:val="superscript"/>
        </w:rPr>
        <w:footnoteReference w:id="98"/>
      </w:r>
      <w:r w:rsidRPr="00344B5A">
        <w:rPr>
          <w:rFonts w:ascii="Times New Roman" w:hAnsi="Times New Roman" w:cs="Times New Roman"/>
          <w:sz w:val="24"/>
          <w:szCs w:val="24"/>
        </w:rPr>
        <w:t xml:space="preserve"> Similarly Bonaiuti describes the disruption caused to Florentine trade as a result of official actions and the significant loss of the working population, recording in his </w:t>
      </w:r>
      <w:r w:rsidR="00D37329" w:rsidRPr="00344B5A">
        <w:rPr>
          <w:rFonts w:ascii="Times New Roman" w:hAnsi="Times New Roman" w:cs="Times New Roman"/>
          <w:i/>
          <w:iCs/>
          <w:sz w:val="24"/>
          <w:szCs w:val="24"/>
        </w:rPr>
        <w:t xml:space="preserve">Cronaca </w:t>
      </w:r>
      <w:r w:rsidRPr="00344B5A">
        <w:rPr>
          <w:rFonts w:ascii="Times New Roman" w:hAnsi="Times New Roman" w:cs="Times New Roman"/>
          <w:sz w:val="24"/>
          <w:szCs w:val="24"/>
        </w:rPr>
        <w:t>that none of the established guilds were able to work as usual, and that ‘all shops were shut, taverns closed; only the apothecaries and the churches remained open.’</w:t>
      </w:r>
      <w:r w:rsidRPr="00344B5A">
        <w:rPr>
          <w:rFonts w:ascii="Times New Roman" w:hAnsi="Times New Roman" w:cs="Times New Roman"/>
          <w:sz w:val="24"/>
          <w:szCs w:val="24"/>
          <w:vertAlign w:val="superscript"/>
        </w:rPr>
        <w:footnoteReference w:id="99"/>
      </w:r>
      <w:r w:rsidRPr="00344B5A">
        <w:rPr>
          <w:rFonts w:ascii="Times New Roman" w:hAnsi="Times New Roman" w:cs="Times New Roman"/>
          <w:sz w:val="24"/>
          <w:szCs w:val="24"/>
        </w:rPr>
        <w:t xml:space="preserve"> Bonaiuti notes that the disruption to trade appeared only between March and September with normal life returning to Florence in late 1348, so despite the halting of trading, merchant sales and guilds upon the arrival of the Black Death, these governed decisions lasted only until the plague had begun to dwindle.</w:t>
      </w:r>
      <w:r w:rsidRPr="00344B5A">
        <w:rPr>
          <w:rFonts w:ascii="Times New Roman" w:hAnsi="Times New Roman" w:cs="Times New Roman"/>
          <w:sz w:val="24"/>
          <w:szCs w:val="24"/>
          <w:vertAlign w:val="superscript"/>
        </w:rPr>
        <w:footnoteReference w:id="100"/>
      </w:r>
      <w:r w:rsidRPr="00344B5A">
        <w:rPr>
          <w:rFonts w:ascii="Times New Roman" w:hAnsi="Times New Roman" w:cs="Times New Roman"/>
          <w:sz w:val="24"/>
          <w:szCs w:val="24"/>
        </w:rPr>
        <w:t xml:space="preserve"> </w:t>
      </w:r>
    </w:p>
    <w:p w14:paraId="53C3D756" w14:textId="03D0C00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Whilst secular and ecclesiastical officials across Italy and Florence sought to prevent the Black Death from spreading further, attempts appear fruitless against the personified figure of death presented in contemporary fourteenth century literature. Charles Mullett writes that within popular contemporary imagination there had been created a ‘man mounted on a great black horse or a giant striding along’ perhaps an attempt to understand the pestilence ravaging the European population before the Renaissance developments on anatomy and medical practices.</w:t>
      </w:r>
      <w:r w:rsidRPr="00344B5A">
        <w:rPr>
          <w:rFonts w:ascii="Times New Roman" w:hAnsi="Times New Roman" w:cs="Times New Roman"/>
          <w:sz w:val="24"/>
          <w:szCs w:val="24"/>
          <w:vertAlign w:val="superscript"/>
        </w:rPr>
        <w:footnoteReference w:id="101"/>
      </w:r>
      <w:r w:rsidRPr="00344B5A">
        <w:rPr>
          <w:rFonts w:ascii="Times New Roman" w:hAnsi="Times New Roman" w:cs="Times New Roman"/>
          <w:sz w:val="24"/>
          <w:szCs w:val="24"/>
        </w:rPr>
        <w:t xml:space="preserve"> In his </w:t>
      </w:r>
      <w:r w:rsidRPr="00344B5A">
        <w:rPr>
          <w:rFonts w:ascii="Times New Roman" w:hAnsi="Times New Roman" w:cs="Times New Roman"/>
          <w:i/>
          <w:iCs/>
          <w:sz w:val="24"/>
          <w:szCs w:val="24"/>
        </w:rPr>
        <w:t xml:space="preserve">Triumphus Mortis </w:t>
      </w:r>
      <w:r w:rsidRPr="00344B5A">
        <w:rPr>
          <w:rFonts w:ascii="Times New Roman" w:hAnsi="Times New Roman" w:cs="Times New Roman"/>
          <w:sz w:val="24"/>
          <w:szCs w:val="24"/>
        </w:rPr>
        <w:t xml:space="preserve">(Triumph of Death) Petrarch reimagines and personifies the figure of Death following the destructive events of 1348 upon the arrival of the Black Death alongside the strong sense of grief for lost friends and his muse Laura. Petrarch describes the figure of Death as a female form, a stark contrast with the image of Death </w:t>
      </w:r>
      <w:r w:rsidRPr="00344B5A">
        <w:rPr>
          <w:rFonts w:ascii="Times New Roman" w:hAnsi="Times New Roman" w:cs="Times New Roman"/>
          <w:sz w:val="24"/>
          <w:szCs w:val="24"/>
        </w:rPr>
        <w:lastRenderedPageBreak/>
        <w:t>described by Mullett, who had looks like lightening and her voice like a storm, and in a similar nature to the image described by Mullett, that ‘all wrapt in black her giant shape was seen.’</w:t>
      </w:r>
      <w:r w:rsidRPr="00344B5A">
        <w:rPr>
          <w:rFonts w:ascii="Times New Roman" w:hAnsi="Times New Roman" w:cs="Times New Roman"/>
          <w:sz w:val="24"/>
          <w:szCs w:val="24"/>
          <w:vertAlign w:val="superscript"/>
        </w:rPr>
        <w:footnoteReference w:id="102"/>
      </w:r>
      <w:r w:rsidRPr="00344B5A">
        <w:rPr>
          <w:rFonts w:ascii="Times New Roman" w:hAnsi="Times New Roman" w:cs="Times New Roman"/>
          <w:sz w:val="24"/>
          <w:szCs w:val="24"/>
        </w:rPr>
        <w:t xml:space="preserve"> Despite the somewhat sinister appearance of Death across numerous contemporary fourteenth century works of literature, Petrarch emphasises within the </w:t>
      </w:r>
      <w:r w:rsidR="00540CED" w:rsidRPr="00344B5A">
        <w:rPr>
          <w:rFonts w:ascii="Times New Roman" w:hAnsi="Times New Roman" w:cs="Times New Roman"/>
          <w:i/>
          <w:iCs/>
          <w:sz w:val="24"/>
          <w:szCs w:val="24"/>
        </w:rPr>
        <w:t>Triumph</w:t>
      </w:r>
      <w:r w:rsidRPr="00344B5A">
        <w:rPr>
          <w:rFonts w:ascii="Times New Roman" w:hAnsi="Times New Roman" w:cs="Times New Roman"/>
          <w:sz w:val="24"/>
          <w:szCs w:val="24"/>
        </w:rPr>
        <w:t xml:space="preserve"> that Death comes to her victims as a friend, </w:t>
      </w:r>
      <w:r w:rsidR="000509F7" w:rsidRPr="00344B5A">
        <w:rPr>
          <w:rFonts w:ascii="Times New Roman" w:hAnsi="Times New Roman" w:cs="Times New Roman"/>
          <w:sz w:val="24"/>
          <w:szCs w:val="24"/>
        </w:rPr>
        <w:t xml:space="preserve">writing </w:t>
      </w:r>
      <w:r w:rsidRPr="00344B5A">
        <w:rPr>
          <w:rFonts w:ascii="Times New Roman" w:hAnsi="Times New Roman" w:cs="Times New Roman"/>
          <w:sz w:val="24"/>
          <w:szCs w:val="24"/>
        </w:rPr>
        <w:t>that ‘when in a few short days the fatal range / Of pale Disease such desolation made’</w:t>
      </w:r>
      <w:r w:rsidR="000509F7" w:rsidRPr="00344B5A">
        <w:rPr>
          <w:rFonts w:ascii="Times New Roman" w:hAnsi="Times New Roman" w:cs="Times New Roman"/>
          <w:sz w:val="24"/>
          <w:szCs w:val="24"/>
        </w:rPr>
        <w:t xml:space="preserve">, with </w:t>
      </w:r>
      <w:r w:rsidRPr="00344B5A">
        <w:rPr>
          <w:rFonts w:ascii="Times New Roman" w:hAnsi="Times New Roman" w:cs="Times New Roman"/>
          <w:sz w:val="24"/>
          <w:szCs w:val="24"/>
        </w:rPr>
        <w:t xml:space="preserve">the haunting figure of Death </w:t>
      </w:r>
      <w:r w:rsidR="000509F7" w:rsidRPr="00344B5A">
        <w:rPr>
          <w:rFonts w:ascii="Times New Roman" w:hAnsi="Times New Roman" w:cs="Times New Roman"/>
          <w:sz w:val="24"/>
          <w:szCs w:val="24"/>
        </w:rPr>
        <w:t>providing</w:t>
      </w:r>
      <w:r w:rsidRPr="00344B5A">
        <w:rPr>
          <w:rFonts w:ascii="Times New Roman" w:hAnsi="Times New Roman" w:cs="Times New Roman"/>
          <w:sz w:val="24"/>
          <w:szCs w:val="24"/>
        </w:rPr>
        <w:t xml:space="preserve"> solace in a period of unknown.</w:t>
      </w:r>
      <w:r w:rsidRPr="00344B5A">
        <w:rPr>
          <w:rFonts w:ascii="Times New Roman" w:hAnsi="Times New Roman" w:cs="Times New Roman"/>
          <w:sz w:val="24"/>
          <w:szCs w:val="24"/>
          <w:vertAlign w:val="superscript"/>
        </w:rPr>
        <w:footnoteReference w:id="103"/>
      </w:r>
      <w:r w:rsidRPr="00344B5A">
        <w:rPr>
          <w:rFonts w:ascii="Times New Roman" w:hAnsi="Times New Roman" w:cs="Times New Roman"/>
          <w:sz w:val="24"/>
          <w:szCs w:val="24"/>
        </w:rPr>
        <w:t xml:space="preserve"> </w:t>
      </w:r>
    </w:p>
    <w:p w14:paraId="1B28D217" w14:textId="7F33DDDD" w:rsidR="00B42237" w:rsidRPr="00344B5A" w:rsidRDefault="00364609"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T</w:t>
      </w:r>
      <w:r w:rsidR="00B42237" w:rsidRPr="00344B5A">
        <w:rPr>
          <w:rFonts w:ascii="Times New Roman" w:hAnsi="Times New Roman" w:cs="Times New Roman"/>
          <w:sz w:val="24"/>
          <w:szCs w:val="24"/>
        </w:rPr>
        <w:t>he actions taken by governing secular and ecclesiastical bodies within Italian cities such as Florence could</w:t>
      </w:r>
      <w:r w:rsidRPr="00344B5A">
        <w:rPr>
          <w:rFonts w:ascii="Times New Roman" w:hAnsi="Times New Roman" w:cs="Times New Roman"/>
          <w:sz w:val="24"/>
          <w:szCs w:val="24"/>
        </w:rPr>
        <w:t xml:space="preserve"> have</w:t>
      </w:r>
      <w:r w:rsidR="00B42237" w:rsidRPr="00344B5A">
        <w:rPr>
          <w:rFonts w:ascii="Times New Roman" w:hAnsi="Times New Roman" w:cs="Times New Roman"/>
          <w:sz w:val="24"/>
          <w:szCs w:val="24"/>
        </w:rPr>
        <w:t xml:space="preserve"> prevented or slowed the spread of the Black Death upon its arrival in 1348, but the ravaging nature of the pestilence in countries previously devastated by famine and poor harvests gave the Black Death almost perfect conditions to devastate an estimated two-thirds of the European population. Throughout the description of the Black Death in the introduction to the first day of the </w:t>
      </w:r>
      <w:r w:rsidR="00B42237" w:rsidRPr="00344B5A">
        <w:rPr>
          <w:rFonts w:ascii="Times New Roman" w:hAnsi="Times New Roman" w:cs="Times New Roman"/>
          <w:i/>
          <w:iCs/>
          <w:sz w:val="24"/>
          <w:szCs w:val="24"/>
        </w:rPr>
        <w:t xml:space="preserve">Decameron </w:t>
      </w:r>
      <w:r w:rsidR="00B42237" w:rsidRPr="00344B5A">
        <w:rPr>
          <w:rFonts w:ascii="Times New Roman" w:hAnsi="Times New Roman" w:cs="Times New Roman"/>
          <w:sz w:val="24"/>
          <w:szCs w:val="24"/>
        </w:rPr>
        <w:t>Boccaccio expresses distaste towards those who made decisions ruled by selfishness, and this disapproving tone highlights further contemporary reactions to the immediate arrival of the plague, particularly in regards to individuals taking advantage of grief stricken and God</w:t>
      </w:r>
      <w:r w:rsidR="004F1E54" w:rsidRPr="00344B5A">
        <w:rPr>
          <w:rFonts w:ascii="Times New Roman" w:hAnsi="Times New Roman" w:cs="Times New Roman"/>
          <w:sz w:val="24"/>
          <w:szCs w:val="24"/>
        </w:rPr>
        <w:t>-</w:t>
      </w:r>
      <w:r w:rsidR="00B42237" w:rsidRPr="00344B5A">
        <w:rPr>
          <w:rFonts w:ascii="Times New Roman" w:hAnsi="Times New Roman" w:cs="Times New Roman"/>
          <w:sz w:val="24"/>
          <w:szCs w:val="24"/>
        </w:rPr>
        <w:t xml:space="preserve">fearing families. </w:t>
      </w:r>
      <w:r w:rsidRPr="00344B5A">
        <w:rPr>
          <w:rFonts w:ascii="Times New Roman" w:hAnsi="Times New Roman" w:cs="Times New Roman"/>
          <w:sz w:val="24"/>
          <w:szCs w:val="24"/>
        </w:rPr>
        <w:t>Amongst the surviving accounts of the Black Death written by alleged eyewitnesses, the actions of governing officials provide scholars with a snapshot of Florence in the mid-fourteenth century</w:t>
      </w:r>
      <w:r w:rsidR="007A4A67" w:rsidRPr="00344B5A">
        <w:rPr>
          <w:rFonts w:ascii="Times New Roman" w:hAnsi="Times New Roman" w:cs="Times New Roman"/>
          <w:sz w:val="24"/>
          <w:szCs w:val="24"/>
        </w:rPr>
        <w:t>, with t</w:t>
      </w:r>
      <w:r w:rsidRPr="00344B5A">
        <w:rPr>
          <w:rFonts w:ascii="Times New Roman" w:hAnsi="Times New Roman" w:cs="Times New Roman"/>
          <w:sz w:val="24"/>
          <w:szCs w:val="24"/>
        </w:rPr>
        <w:t>he ability to piece together social structures and communal responses</w:t>
      </w:r>
      <w:r w:rsidR="007A4A67" w:rsidRPr="00344B5A">
        <w:rPr>
          <w:rFonts w:ascii="Times New Roman" w:hAnsi="Times New Roman" w:cs="Times New Roman"/>
          <w:sz w:val="24"/>
          <w:szCs w:val="24"/>
        </w:rPr>
        <w:t xml:space="preserve"> highlighting </w:t>
      </w:r>
      <w:r w:rsidRPr="00344B5A">
        <w:rPr>
          <w:rFonts w:ascii="Times New Roman" w:hAnsi="Times New Roman" w:cs="Times New Roman"/>
          <w:sz w:val="24"/>
          <w:szCs w:val="24"/>
        </w:rPr>
        <w:t>the horrifying outbreak of plague</w:t>
      </w:r>
      <w:r w:rsidR="007A4A67" w:rsidRPr="00344B5A">
        <w:rPr>
          <w:rFonts w:ascii="Times New Roman" w:hAnsi="Times New Roman" w:cs="Times New Roman"/>
          <w:sz w:val="24"/>
          <w:szCs w:val="24"/>
        </w:rPr>
        <w:t xml:space="preserve">. </w:t>
      </w:r>
      <w:r w:rsidR="00B42237" w:rsidRPr="00344B5A">
        <w:rPr>
          <w:rFonts w:ascii="Times New Roman" w:hAnsi="Times New Roman" w:cs="Times New Roman"/>
          <w:sz w:val="24"/>
          <w:szCs w:val="24"/>
        </w:rPr>
        <w:t>Surviving contemporary sources do seem to acknowledge that attempts by governing officials to prevent the spread of the Black Death were futile, especially</w:t>
      </w:r>
      <w:r w:rsidR="007A4A67" w:rsidRPr="00344B5A">
        <w:rPr>
          <w:rFonts w:ascii="Times New Roman" w:hAnsi="Times New Roman" w:cs="Times New Roman"/>
          <w:sz w:val="24"/>
          <w:szCs w:val="24"/>
        </w:rPr>
        <w:t xml:space="preserve"> as </w:t>
      </w:r>
      <w:r w:rsidR="00B42237" w:rsidRPr="00344B5A">
        <w:rPr>
          <w:rFonts w:ascii="Times New Roman" w:hAnsi="Times New Roman" w:cs="Times New Roman"/>
          <w:sz w:val="24"/>
          <w:szCs w:val="24"/>
        </w:rPr>
        <w:t>numbers of secular and ecclesiastical governing bodies were also deplet</w:t>
      </w:r>
      <w:r w:rsidR="00540CED" w:rsidRPr="00344B5A">
        <w:rPr>
          <w:rFonts w:ascii="Times New Roman" w:hAnsi="Times New Roman" w:cs="Times New Roman"/>
          <w:sz w:val="24"/>
          <w:szCs w:val="24"/>
        </w:rPr>
        <w:t>ed</w:t>
      </w:r>
      <w:r w:rsidR="00B42237" w:rsidRPr="00344B5A">
        <w:rPr>
          <w:rFonts w:ascii="Times New Roman" w:hAnsi="Times New Roman" w:cs="Times New Roman"/>
          <w:sz w:val="24"/>
          <w:szCs w:val="24"/>
        </w:rPr>
        <w:t xml:space="preserve"> upon the arrival of the pestilence</w:t>
      </w:r>
      <w:r w:rsidR="007A4A67" w:rsidRPr="00344B5A">
        <w:rPr>
          <w:rFonts w:ascii="Times New Roman" w:hAnsi="Times New Roman" w:cs="Times New Roman"/>
          <w:sz w:val="24"/>
          <w:szCs w:val="24"/>
        </w:rPr>
        <w:t xml:space="preserve">. </w:t>
      </w:r>
      <w:r w:rsidR="00B42237" w:rsidRPr="00344B5A">
        <w:rPr>
          <w:rFonts w:ascii="Times New Roman" w:hAnsi="Times New Roman" w:cs="Times New Roman"/>
          <w:sz w:val="24"/>
          <w:szCs w:val="24"/>
        </w:rPr>
        <w:t xml:space="preserve">Charles Mullett highlights that ‘contemporaries </w:t>
      </w:r>
      <w:r w:rsidR="00B42237" w:rsidRPr="00344B5A">
        <w:rPr>
          <w:rFonts w:ascii="Times New Roman" w:hAnsi="Times New Roman" w:cs="Times New Roman"/>
          <w:sz w:val="24"/>
          <w:szCs w:val="24"/>
        </w:rPr>
        <w:lastRenderedPageBreak/>
        <w:t xml:space="preserve">themselves clearly realised the plagues impact appears from the widespread, intelligent campaign to control if not to halt so terrifying a scourge’ and </w:t>
      </w:r>
      <w:r w:rsidR="007A4A67" w:rsidRPr="00344B5A">
        <w:rPr>
          <w:rFonts w:ascii="Times New Roman" w:hAnsi="Times New Roman" w:cs="Times New Roman"/>
          <w:sz w:val="24"/>
          <w:szCs w:val="24"/>
        </w:rPr>
        <w:t xml:space="preserve">the ability to compare and analyse the decisions made by governing officials </w:t>
      </w:r>
      <w:r w:rsidR="0041592B" w:rsidRPr="00344B5A">
        <w:rPr>
          <w:rFonts w:ascii="Times New Roman" w:hAnsi="Times New Roman" w:cs="Times New Roman"/>
          <w:sz w:val="24"/>
          <w:szCs w:val="24"/>
        </w:rPr>
        <w:t>could prove beneficial to the scholarly understanding of the devastating aftermath of the Black Death. It can t</w:t>
      </w:r>
      <w:r w:rsidR="00B42237" w:rsidRPr="00344B5A">
        <w:rPr>
          <w:rFonts w:ascii="Times New Roman" w:hAnsi="Times New Roman" w:cs="Times New Roman"/>
          <w:sz w:val="24"/>
          <w:szCs w:val="24"/>
        </w:rPr>
        <w:t>herefore</w:t>
      </w:r>
      <w:r w:rsidR="0041592B" w:rsidRPr="00344B5A">
        <w:rPr>
          <w:rFonts w:ascii="Times New Roman" w:hAnsi="Times New Roman" w:cs="Times New Roman"/>
          <w:sz w:val="24"/>
          <w:szCs w:val="24"/>
        </w:rPr>
        <w:t xml:space="preserve"> be seen that the actions of governing bodies</w:t>
      </w:r>
      <w:r w:rsidR="00B42237" w:rsidRPr="00344B5A">
        <w:rPr>
          <w:rFonts w:ascii="Times New Roman" w:hAnsi="Times New Roman" w:cs="Times New Roman"/>
          <w:sz w:val="24"/>
          <w:szCs w:val="24"/>
        </w:rPr>
        <w:t xml:space="preserve"> had a significant effect on the social and economic consequences of the pestilence, particularly </w:t>
      </w:r>
      <w:r w:rsidR="0041592B" w:rsidRPr="00344B5A">
        <w:rPr>
          <w:rFonts w:ascii="Times New Roman" w:hAnsi="Times New Roman" w:cs="Times New Roman"/>
          <w:sz w:val="24"/>
          <w:szCs w:val="24"/>
        </w:rPr>
        <w:t>in regard to</w:t>
      </w:r>
      <w:r w:rsidR="00B42237" w:rsidRPr="00344B5A">
        <w:rPr>
          <w:rFonts w:ascii="Times New Roman" w:hAnsi="Times New Roman" w:cs="Times New Roman"/>
          <w:sz w:val="24"/>
          <w:szCs w:val="24"/>
        </w:rPr>
        <w:t xml:space="preserve"> the emergence of the Renaissance and the presence of Humanist thought.</w:t>
      </w:r>
      <w:r w:rsidR="00B42237" w:rsidRPr="00344B5A">
        <w:rPr>
          <w:rFonts w:ascii="Times New Roman" w:hAnsi="Times New Roman" w:cs="Times New Roman"/>
          <w:sz w:val="24"/>
          <w:szCs w:val="24"/>
          <w:vertAlign w:val="superscript"/>
        </w:rPr>
        <w:footnoteReference w:id="104"/>
      </w:r>
      <w:r w:rsidRPr="00344B5A">
        <w:rPr>
          <w:rFonts w:ascii="Times New Roman" w:hAnsi="Times New Roman" w:cs="Times New Roman"/>
          <w:sz w:val="24"/>
          <w:szCs w:val="24"/>
        </w:rPr>
        <w:t xml:space="preserve"> </w:t>
      </w:r>
    </w:p>
    <w:p w14:paraId="37F8D049" w14:textId="416C1F9C" w:rsidR="00540CED" w:rsidRPr="00344B5A" w:rsidRDefault="00540CED" w:rsidP="00B42237">
      <w:pPr>
        <w:spacing w:line="480" w:lineRule="auto"/>
        <w:rPr>
          <w:rFonts w:ascii="Times New Roman" w:hAnsi="Times New Roman" w:cs="Times New Roman"/>
          <w:sz w:val="24"/>
          <w:szCs w:val="24"/>
        </w:rPr>
      </w:pPr>
    </w:p>
    <w:p w14:paraId="6C05859A" w14:textId="2AE34E4C" w:rsidR="000509F7" w:rsidRPr="00344B5A" w:rsidRDefault="000509F7" w:rsidP="00B42237">
      <w:pPr>
        <w:spacing w:line="480" w:lineRule="auto"/>
        <w:rPr>
          <w:rFonts w:ascii="Times New Roman" w:hAnsi="Times New Roman" w:cs="Times New Roman"/>
          <w:sz w:val="24"/>
          <w:szCs w:val="24"/>
        </w:rPr>
      </w:pPr>
    </w:p>
    <w:p w14:paraId="6D3F7C11" w14:textId="77777777" w:rsidR="000509F7" w:rsidRPr="00344B5A" w:rsidRDefault="000509F7" w:rsidP="00B42237">
      <w:pPr>
        <w:spacing w:line="480" w:lineRule="auto"/>
        <w:rPr>
          <w:rFonts w:ascii="Times New Roman" w:hAnsi="Times New Roman" w:cs="Times New Roman"/>
          <w:sz w:val="24"/>
          <w:szCs w:val="24"/>
        </w:rPr>
      </w:pPr>
    </w:p>
    <w:p w14:paraId="2B4600C8" w14:textId="2EB0D8A5" w:rsidR="00B42237" w:rsidRPr="00344B5A" w:rsidRDefault="00B42237" w:rsidP="00B42237">
      <w:pPr>
        <w:spacing w:line="480" w:lineRule="auto"/>
        <w:rPr>
          <w:rFonts w:ascii="Times New Roman" w:hAnsi="Times New Roman" w:cs="Times New Roman"/>
          <w:sz w:val="24"/>
          <w:szCs w:val="24"/>
        </w:rPr>
      </w:pPr>
    </w:p>
    <w:p w14:paraId="17722E64" w14:textId="77777777" w:rsidR="00B42237" w:rsidRPr="00344B5A" w:rsidRDefault="00B42237" w:rsidP="00B42237">
      <w:pPr>
        <w:spacing w:line="480" w:lineRule="auto"/>
        <w:rPr>
          <w:rFonts w:ascii="Times New Roman" w:hAnsi="Times New Roman" w:cs="Times New Roman"/>
          <w:b/>
          <w:bCs/>
          <w:sz w:val="24"/>
          <w:szCs w:val="24"/>
        </w:rPr>
      </w:pPr>
    </w:p>
    <w:p w14:paraId="0A1D47FF" w14:textId="77777777" w:rsidR="00435C5D" w:rsidRPr="00344B5A" w:rsidRDefault="00435C5D" w:rsidP="00B42237">
      <w:pPr>
        <w:spacing w:after="0" w:line="480" w:lineRule="auto"/>
        <w:rPr>
          <w:rFonts w:ascii="Times New Roman" w:hAnsi="Times New Roman" w:cs="Times New Roman"/>
          <w:b/>
          <w:bCs/>
          <w:sz w:val="24"/>
          <w:szCs w:val="24"/>
        </w:rPr>
      </w:pPr>
    </w:p>
    <w:p w14:paraId="15EA0639" w14:textId="77777777" w:rsidR="00435C5D" w:rsidRPr="00344B5A" w:rsidRDefault="00435C5D" w:rsidP="00B42237">
      <w:pPr>
        <w:spacing w:after="0" w:line="480" w:lineRule="auto"/>
        <w:rPr>
          <w:rFonts w:ascii="Times New Roman" w:hAnsi="Times New Roman" w:cs="Times New Roman"/>
          <w:b/>
          <w:bCs/>
          <w:sz w:val="24"/>
          <w:szCs w:val="24"/>
        </w:rPr>
      </w:pPr>
    </w:p>
    <w:p w14:paraId="0FB30729" w14:textId="77777777" w:rsidR="00435C5D" w:rsidRPr="00344B5A" w:rsidRDefault="00435C5D" w:rsidP="00B42237">
      <w:pPr>
        <w:spacing w:after="0" w:line="480" w:lineRule="auto"/>
        <w:rPr>
          <w:rFonts w:ascii="Times New Roman" w:hAnsi="Times New Roman" w:cs="Times New Roman"/>
          <w:b/>
          <w:bCs/>
          <w:sz w:val="24"/>
          <w:szCs w:val="24"/>
        </w:rPr>
      </w:pPr>
    </w:p>
    <w:p w14:paraId="77ECAC17" w14:textId="77777777" w:rsidR="00435C5D" w:rsidRPr="00344B5A" w:rsidRDefault="00435C5D" w:rsidP="00B42237">
      <w:pPr>
        <w:spacing w:after="0" w:line="480" w:lineRule="auto"/>
        <w:rPr>
          <w:rFonts w:ascii="Times New Roman" w:hAnsi="Times New Roman" w:cs="Times New Roman"/>
          <w:b/>
          <w:bCs/>
          <w:sz w:val="24"/>
          <w:szCs w:val="24"/>
        </w:rPr>
      </w:pPr>
    </w:p>
    <w:p w14:paraId="19B12BDF" w14:textId="77777777" w:rsidR="00435C5D" w:rsidRPr="00344B5A" w:rsidRDefault="00435C5D" w:rsidP="00B42237">
      <w:pPr>
        <w:spacing w:after="0" w:line="480" w:lineRule="auto"/>
        <w:rPr>
          <w:rFonts w:ascii="Times New Roman" w:hAnsi="Times New Roman" w:cs="Times New Roman"/>
          <w:b/>
          <w:bCs/>
          <w:sz w:val="24"/>
          <w:szCs w:val="24"/>
        </w:rPr>
      </w:pPr>
    </w:p>
    <w:p w14:paraId="6136D5B1" w14:textId="77777777" w:rsidR="00435C5D" w:rsidRPr="00344B5A" w:rsidRDefault="00435C5D" w:rsidP="00B42237">
      <w:pPr>
        <w:spacing w:after="0" w:line="480" w:lineRule="auto"/>
        <w:rPr>
          <w:rFonts w:ascii="Times New Roman" w:hAnsi="Times New Roman" w:cs="Times New Roman"/>
          <w:b/>
          <w:bCs/>
          <w:sz w:val="24"/>
          <w:szCs w:val="24"/>
        </w:rPr>
      </w:pPr>
    </w:p>
    <w:p w14:paraId="0EC287A7" w14:textId="77777777" w:rsidR="00435C5D" w:rsidRPr="00344B5A" w:rsidRDefault="00435C5D" w:rsidP="00B42237">
      <w:pPr>
        <w:spacing w:after="0" w:line="480" w:lineRule="auto"/>
        <w:rPr>
          <w:rFonts w:ascii="Times New Roman" w:hAnsi="Times New Roman" w:cs="Times New Roman"/>
          <w:b/>
          <w:bCs/>
          <w:sz w:val="24"/>
          <w:szCs w:val="24"/>
        </w:rPr>
      </w:pPr>
    </w:p>
    <w:p w14:paraId="00D7F673" w14:textId="77777777" w:rsidR="00435C5D" w:rsidRPr="00344B5A" w:rsidRDefault="00435C5D" w:rsidP="00B42237">
      <w:pPr>
        <w:spacing w:after="0" w:line="480" w:lineRule="auto"/>
        <w:rPr>
          <w:rFonts w:ascii="Times New Roman" w:hAnsi="Times New Roman" w:cs="Times New Roman"/>
          <w:b/>
          <w:bCs/>
          <w:sz w:val="24"/>
          <w:szCs w:val="24"/>
        </w:rPr>
      </w:pPr>
    </w:p>
    <w:p w14:paraId="0C84526F" w14:textId="77777777" w:rsidR="00435C5D" w:rsidRPr="00344B5A" w:rsidRDefault="00435C5D" w:rsidP="00B42237">
      <w:pPr>
        <w:spacing w:after="0" w:line="480" w:lineRule="auto"/>
        <w:rPr>
          <w:rFonts w:ascii="Times New Roman" w:hAnsi="Times New Roman" w:cs="Times New Roman"/>
          <w:b/>
          <w:bCs/>
          <w:sz w:val="24"/>
          <w:szCs w:val="24"/>
        </w:rPr>
      </w:pPr>
    </w:p>
    <w:p w14:paraId="02A90419" w14:textId="77777777" w:rsidR="00435C5D" w:rsidRPr="00344B5A" w:rsidRDefault="00435C5D" w:rsidP="00B42237">
      <w:pPr>
        <w:spacing w:after="0" w:line="480" w:lineRule="auto"/>
        <w:rPr>
          <w:rFonts w:ascii="Times New Roman" w:hAnsi="Times New Roman" w:cs="Times New Roman"/>
          <w:b/>
          <w:bCs/>
          <w:sz w:val="24"/>
          <w:szCs w:val="24"/>
        </w:rPr>
      </w:pPr>
    </w:p>
    <w:p w14:paraId="1E2DD5B6" w14:textId="7B71B04F" w:rsidR="00DE4CEE" w:rsidRPr="00344B5A" w:rsidRDefault="00DE4CEE" w:rsidP="00DE4CEE">
      <w:pPr>
        <w:pStyle w:val="Heading1"/>
        <w:spacing w:line="480" w:lineRule="auto"/>
        <w:rPr>
          <w:rFonts w:ascii="Times New Roman" w:hAnsi="Times New Roman" w:cs="Times New Roman"/>
          <w:b/>
          <w:bCs/>
          <w:color w:val="auto"/>
          <w:sz w:val="24"/>
          <w:szCs w:val="24"/>
        </w:rPr>
      </w:pPr>
      <w:bookmarkStart w:id="7" w:name="_Toc40006746"/>
      <w:bookmarkStart w:id="8" w:name="_Hlk39328572"/>
      <w:r w:rsidRPr="00344B5A">
        <w:rPr>
          <w:rFonts w:ascii="Times New Roman" w:hAnsi="Times New Roman" w:cs="Times New Roman"/>
          <w:b/>
          <w:bCs/>
          <w:color w:val="auto"/>
          <w:sz w:val="24"/>
          <w:szCs w:val="24"/>
        </w:rPr>
        <w:lastRenderedPageBreak/>
        <w:t>Conclusion</w:t>
      </w:r>
      <w:bookmarkEnd w:id="7"/>
      <w:r w:rsidRPr="00344B5A">
        <w:rPr>
          <w:rFonts w:ascii="Times New Roman" w:hAnsi="Times New Roman" w:cs="Times New Roman"/>
          <w:b/>
          <w:bCs/>
          <w:color w:val="auto"/>
          <w:sz w:val="24"/>
          <w:szCs w:val="24"/>
        </w:rPr>
        <w:t xml:space="preserve"> </w:t>
      </w:r>
    </w:p>
    <w:p w14:paraId="066A698D" w14:textId="6642727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Having considered the main responses to the arrival of the Black Death in Florence through the surviving accounts of fourteenth-century literature, it becomes clear that the lives of those who experienced the outbreak of plague can be </w:t>
      </w:r>
      <w:r w:rsidR="00CC748D" w:rsidRPr="00344B5A">
        <w:rPr>
          <w:rFonts w:ascii="Times New Roman" w:hAnsi="Times New Roman" w:cs="Times New Roman"/>
          <w:sz w:val="24"/>
          <w:szCs w:val="24"/>
        </w:rPr>
        <w:t xml:space="preserve">explored to gain a more nuanced understanding of </w:t>
      </w:r>
      <w:r w:rsidR="00A17847" w:rsidRPr="00344B5A">
        <w:rPr>
          <w:rFonts w:ascii="Times New Roman" w:hAnsi="Times New Roman" w:cs="Times New Roman"/>
          <w:sz w:val="24"/>
          <w:szCs w:val="24"/>
        </w:rPr>
        <w:t>emotional responses and communal attitudes</w:t>
      </w:r>
      <w:r w:rsidRPr="00344B5A">
        <w:rPr>
          <w:rFonts w:ascii="Times New Roman" w:hAnsi="Times New Roman" w:cs="Times New Roman"/>
          <w:sz w:val="24"/>
          <w:szCs w:val="24"/>
        </w:rPr>
        <w:t xml:space="preserve">. Although each surviving account can be examined within its own individual context as invaluable resources for understanding contemporary responses to the Black Death, the ability to combine fourteenth-century sources provided an </w:t>
      </w:r>
      <w:r w:rsidR="00540CED" w:rsidRPr="00344B5A">
        <w:rPr>
          <w:rFonts w:ascii="Times New Roman" w:hAnsi="Times New Roman" w:cs="Times New Roman"/>
          <w:sz w:val="24"/>
          <w:szCs w:val="24"/>
        </w:rPr>
        <w:t>valuable</w:t>
      </w:r>
      <w:r w:rsidRPr="00344B5A">
        <w:rPr>
          <w:rFonts w:ascii="Times New Roman" w:hAnsi="Times New Roman" w:cs="Times New Roman"/>
          <w:sz w:val="24"/>
          <w:szCs w:val="24"/>
        </w:rPr>
        <w:t xml:space="preserve"> historical narrative of the city of Florence during one of the most catastrophic outbreaks of plague in European history. Whilst the intended purpose of the</w:t>
      </w:r>
      <w:r w:rsidR="00540CED" w:rsidRPr="00344B5A">
        <w:rPr>
          <w:rFonts w:ascii="Times New Roman" w:hAnsi="Times New Roman" w:cs="Times New Roman"/>
          <w:sz w:val="24"/>
          <w:szCs w:val="24"/>
        </w:rPr>
        <w:t xml:space="preserve"> </w:t>
      </w:r>
      <w:r w:rsidRPr="00344B5A">
        <w:rPr>
          <w:rFonts w:ascii="Times New Roman" w:hAnsi="Times New Roman" w:cs="Times New Roman"/>
          <w:i/>
          <w:iCs/>
          <w:sz w:val="24"/>
          <w:szCs w:val="24"/>
        </w:rPr>
        <w:t>C</w:t>
      </w:r>
      <w:r w:rsidR="00540CED" w:rsidRPr="00344B5A">
        <w:rPr>
          <w:rFonts w:ascii="Times New Roman" w:hAnsi="Times New Roman" w:cs="Times New Roman"/>
          <w:i/>
          <w:iCs/>
          <w:sz w:val="24"/>
          <w:szCs w:val="24"/>
        </w:rPr>
        <w:t>ronaca</w:t>
      </w:r>
      <w:r w:rsidRPr="00344B5A">
        <w:rPr>
          <w:rFonts w:ascii="Times New Roman" w:hAnsi="Times New Roman" w:cs="Times New Roman"/>
          <w:sz w:val="24"/>
          <w:szCs w:val="24"/>
        </w:rPr>
        <w:t xml:space="preserve"> had been to record the history of Florence and the events of 1348, the historical account presented by Boccaccio in a work intended to entertain and allegedly aid lovelorn women highlights the multifaceted nature of contemporary literature, through ‘unwitting testimony’ and the emerging presence of humanism in the Renaissance. The melancholic tone of Petrarch’s prose, Boccaccio’s novellas and Bonaiuti’s chronicle emphasise the horrific scenes faced by the Florentine population following the outbreak of plague, and Philip Ziegler notes that ‘if ever there was a people with a right to despair of life, it was the Italian peasantry of the mid-fourteenth century.’</w:t>
      </w:r>
      <w:r w:rsidRPr="00344B5A">
        <w:rPr>
          <w:rFonts w:ascii="Times New Roman" w:hAnsi="Times New Roman" w:cs="Times New Roman"/>
          <w:sz w:val="24"/>
          <w:szCs w:val="24"/>
          <w:vertAlign w:val="superscript"/>
        </w:rPr>
        <w:footnoteReference w:id="105"/>
      </w:r>
      <w:r w:rsidRPr="00344B5A">
        <w:rPr>
          <w:rFonts w:ascii="Times New Roman" w:hAnsi="Times New Roman" w:cs="Times New Roman"/>
          <w:sz w:val="24"/>
          <w:szCs w:val="24"/>
        </w:rPr>
        <w:t xml:space="preserve"> </w:t>
      </w:r>
    </w:p>
    <w:p w14:paraId="3B5FEE63" w14:textId="64A1384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The outbreak of plague in March 1348 in the city of Florence gave rise to some of the most influential humanists of the fourteenth century</w:t>
      </w:r>
      <w:r w:rsidR="00C74641" w:rsidRPr="00344B5A">
        <w:rPr>
          <w:rFonts w:ascii="Times New Roman" w:hAnsi="Times New Roman" w:cs="Times New Roman"/>
          <w:sz w:val="24"/>
          <w:szCs w:val="24"/>
        </w:rPr>
        <w:t>.</w:t>
      </w:r>
      <w:r w:rsidRPr="00344B5A">
        <w:rPr>
          <w:rFonts w:ascii="Times New Roman" w:hAnsi="Times New Roman" w:cs="Times New Roman"/>
          <w:sz w:val="24"/>
          <w:szCs w:val="24"/>
        </w:rPr>
        <w:t xml:space="preserve"> </w:t>
      </w:r>
      <w:r w:rsidR="00C74641" w:rsidRPr="00344B5A">
        <w:rPr>
          <w:rFonts w:ascii="Times New Roman" w:hAnsi="Times New Roman" w:cs="Times New Roman"/>
          <w:sz w:val="24"/>
          <w:szCs w:val="24"/>
        </w:rPr>
        <w:t>Th</w:t>
      </w:r>
      <w:r w:rsidRPr="00344B5A">
        <w:rPr>
          <w:rFonts w:ascii="Times New Roman" w:hAnsi="Times New Roman" w:cs="Times New Roman"/>
          <w:sz w:val="24"/>
          <w:szCs w:val="24"/>
        </w:rPr>
        <w:t xml:space="preserve">e rebirth of classical antiquity </w:t>
      </w:r>
      <w:r w:rsidR="00C74641" w:rsidRPr="00344B5A">
        <w:rPr>
          <w:rFonts w:ascii="Times New Roman" w:hAnsi="Times New Roman" w:cs="Times New Roman"/>
          <w:sz w:val="24"/>
          <w:szCs w:val="24"/>
        </w:rPr>
        <w:t xml:space="preserve">is </w:t>
      </w:r>
      <w:r w:rsidRPr="00344B5A">
        <w:rPr>
          <w:rFonts w:ascii="Times New Roman" w:hAnsi="Times New Roman" w:cs="Times New Roman"/>
          <w:sz w:val="24"/>
          <w:szCs w:val="24"/>
        </w:rPr>
        <w:t xml:space="preserve">clearly present in Petrarch’s emotional plea to Socrates written during the Black Death’s devastating reign over Europe, highlighting the reflection on moral values and the changing nature of grief in Italy. Margaret King highlights that Humanism was rather a way of life than a philosophical movement, that the established continued process of reading and interacting with classical tradition varied in its contents ‘over time, from setting to setting, according to </w:t>
      </w:r>
      <w:r w:rsidRPr="00344B5A">
        <w:rPr>
          <w:rFonts w:ascii="Times New Roman" w:hAnsi="Times New Roman" w:cs="Times New Roman"/>
          <w:sz w:val="24"/>
          <w:szCs w:val="24"/>
        </w:rPr>
        <w:lastRenderedPageBreak/>
        <w:t>circumstances, and among actors of different social classes and occupations’; and that the efforts of individuals like Petrarch who were ‘committed to the recovery, imitation, and extension of classical culture’ made Humanism the ‘dominant intellectual movement.’</w:t>
      </w:r>
      <w:r w:rsidRPr="00344B5A">
        <w:rPr>
          <w:rFonts w:ascii="Times New Roman" w:hAnsi="Times New Roman" w:cs="Times New Roman"/>
          <w:sz w:val="24"/>
          <w:szCs w:val="24"/>
          <w:vertAlign w:val="superscript"/>
        </w:rPr>
        <w:footnoteReference w:id="106"/>
      </w:r>
      <w:r w:rsidRPr="00344B5A">
        <w:rPr>
          <w:rFonts w:ascii="Times New Roman" w:hAnsi="Times New Roman" w:cs="Times New Roman"/>
          <w:sz w:val="24"/>
          <w:szCs w:val="24"/>
        </w:rPr>
        <w:t xml:space="preserve"> It can therefore be seen that regardless of the intended purpose and content of surviving fourteenth-century sources on the Black Death, both the implicit and explicit information on contemporary society stresses the importance of the works of Boccaccio and Petrarch to scholars exploring the emergence of Humanism. The opportunity to piece together the works of Petrarch and Boccaccio to explore the responses to the Black Death in 1348, highlights the importance of their literary contribution and thought as a driving force of the Italian Renaissance and Humanist movement. </w:t>
      </w:r>
    </w:p>
    <w:p w14:paraId="6A490D3A" w14:textId="752CDBA2"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Despite the immediate differences in genre and audience, Florence provides some of the most comprehensive accounts of the Black Death that have proven quintessential to both contemporary and modern scholarly understanding, and sources such as Petrarch and Bonaiuti present contemporary fears and concerns both explicitly and implicitly. The presence of ‘unwitting testimony’ within contemporary source material gives depth to the available information on the influence of the Black Death on Florentine society, particularly contemporary opinions and critique of the actions taken by Florentine citizens and ecclesiastical or secular officials. For instance, the disapproving tone of Boccaccio present amongst the prologue and introduction to the first day of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xml:space="preserve"> highlights contemporary opinion towards the actions of some Florentine citizens in accordance with fourteenth-century social normalities, particularly the emphasis on the selfish departure of Florentines whilst the city faced probable divine retribution for its debauch</w:t>
      </w:r>
      <w:r w:rsidR="007248EC" w:rsidRPr="00344B5A">
        <w:rPr>
          <w:rFonts w:ascii="Times New Roman" w:hAnsi="Times New Roman" w:cs="Times New Roman"/>
          <w:sz w:val="24"/>
          <w:szCs w:val="24"/>
        </w:rPr>
        <w:t>ed</w:t>
      </w:r>
      <w:r w:rsidRPr="00344B5A">
        <w:rPr>
          <w:rFonts w:ascii="Times New Roman" w:hAnsi="Times New Roman" w:cs="Times New Roman"/>
          <w:sz w:val="24"/>
          <w:szCs w:val="24"/>
        </w:rPr>
        <w:t xml:space="preserve"> past. Furthermore, Hatcher writes that it would be incorrect to assume the fourteenth century had </w:t>
      </w:r>
      <w:r w:rsidRPr="00344B5A">
        <w:rPr>
          <w:rFonts w:ascii="Times New Roman" w:hAnsi="Times New Roman" w:cs="Times New Roman"/>
          <w:sz w:val="24"/>
          <w:szCs w:val="24"/>
        </w:rPr>
        <w:lastRenderedPageBreak/>
        <w:t>been poorly documented, and that there exists a multitude of illuminating records concerning areas of religion, politics, legalities and economic aspects of society, and many of these are present within the contemporary works of literature through the ‘unwitting testimony’ of the authors.</w:t>
      </w:r>
      <w:r w:rsidRPr="00344B5A">
        <w:rPr>
          <w:rFonts w:ascii="Times New Roman" w:hAnsi="Times New Roman" w:cs="Times New Roman"/>
          <w:sz w:val="24"/>
          <w:szCs w:val="24"/>
          <w:vertAlign w:val="superscript"/>
        </w:rPr>
        <w:footnoteReference w:id="107"/>
      </w:r>
      <w:r w:rsidRPr="00344B5A">
        <w:rPr>
          <w:rFonts w:ascii="Times New Roman" w:hAnsi="Times New Roman" w:cs="Times New Roman"/>
          <w:sz w:val="24"/>
          <w:szCs w:val="24"/>
        </w:rPr>
        <w:t xml:space="preserve"> The complex nature of contemporary surviving sources allows for the scholarly exploration of Florentine responses to the Black Death, and adds emotion and empathy to an area of history dominated by demographic statistics. </w:t>
      </w:r>
    </w:p>
    <w:p w14:paraId="0F8D4BEE" w14:textId="4942FC5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Regardless of the purpose </w:t>
      </w:r>
      <w:r w:rsidR="00BC5002" w:rsidRPr="00344B5A">
        <w:rPr>
          <w:rFonts w:ascii="Times New Roman" w:hAnsi="Times New Roman" w:cs="Times New Roman"/>
          <w:sz w:val="24"/>
          <w:szCs w:val="24"/>
        </w:rPr>
        <w:t>for</w:t>
      </w:r>
      <w:r w:rsidRPr="00344B5A">
        <w:rPr>
          <w:rFonts w:ascii="Times New Roman" w:hAnsi="Times New Roman" w:cs="Times New Roman"/>
          <w:sz w:val="24"/>
          <w:szCs w:val="24"/>
        </w:rPr>
        <w:t xml:space="preserve"> which contemporary sources are composed, the recorded accounts of 1348 by Boccaccio, Bonaiuti and Petrarch are not only contemporaries of the mid-fourteenth century but of the same geographical location, and the influence on one another’s work has become of increasing interest within scholarly discussion. The friendship between Boccaccio and Petrarch contributes further to the established ideas surrounding ‘textual community’ in the mid-fourteenth century, and when read together alongside works such as Bonaiuti’s </w:t>
      </w:r>
      <w:r w:rsidRPr="00344B5A">
        <w:rPr>
          <w:rFonts w:ascii="Times New Roman" w:hAnsi="Times New Roman" w:cs="Times New Roman"/>
          <w:i/>
          <w:iCs/>
          <w:sz w:val="24"/>
          <w:szCs w:val="24"/>
        </w:rPr>
        <w:t xml:space="preserve">Cronaca </w:t>
      </w:r>
      <w:r w:rsidRPr="00344B5A">
        <w:rPr>
          <w:rFonts w:ascii="Times New Roman" w:hAnsi="Times New Roman" w:cs="Times New Roman"/>
          <w:sz w:val="24"/>
          <w:szCs w:val="24"/>
        </w:rPr>
        <w:t>provide a more reliable and well-rounded account of initial responses to the Black Death. Given statistics are however occasionally exaggerated</w:t>
      </w:r>
      <w:r w:rsidR="007248EC" w:rsidRPr="00344B5A">
        <w:rPr>
          <w:rFonts w:ascii="Times New Roman" w:hAnsi="Times New Roman" w:cs="Times New Roman"/>
          <w:sz w:val="24"/>
          <w:szCs w:val="24"/>
        </w:rPr>
        <w:t>,</w:t>
      </w:r>
      <w:r w:rsidRPr="00344B5A">
        <w:rPr>
          <w:rFonts w:ascii="Times New Roman" w:hAnsi="Times New Roman" w:cs="Times New Roman"/>
          <w:sz w:val="24"/>
          <w:szCs w:val="24"/>
        </w:rPr>
        <w:t xml:space="preserve"> and despite claims of being an eyewitness account</w:t>
      </w:r>
      <w:r w:rsidR="007248EC" w:rsidRPr="00344B5A">
        <w:rPr>
          <w:rFonts w:ascii="Times New Roman" w:hAnsi="Times New Roman" w:cs="Times New Roman"/>
          <w:sz w:val="24"/>
          <w:szCs w:val="24"/>
        </w:rPr>
        <w:t>,</w:t>
      </w:r>
      <w:r w:rsidRPr="00344B5A">
        <w:rPr>
          <w:rFonts w:ascii="Times New Roman" w:hAnsi="Times New Roman" w:cs="Times New Roman"/>
          <w:sz w:val="24"/>
          <w:szCs w:val="24"/>
        </w:rPr>
        <w:t xml:space="preserve"> there is reasonable evidence to support Boccaccio being away from Florence </w:t>
      </w:r>
      <w:r w:rsidR="00882575" w:rsidRPr="00344B5A">
        <w:rPr>
          <w:rFonts w:ascii="Times New Roman" w:hAnsi="Times New Roman" w:cs="Times New Roman"/>
          <w:sz w:val="24"/>
          <w:szCs w:val="24"/>
        </w:rPr>
        <w:t>for</w:t>
      </w:r>
      <w:r w:rsidRPr="00344B5A">
        <w:rPr>
          <w:rFonts w:ascii="Times New Roman" w:hAnsi="Times New Roman" w:cs="Times New Roman"/>
          <w:sz w:val="24"/>
          <w:szCs w:val="24"/>
        </w:rPr>
        <w:t xml:space="preserve"> the duration of the Black Death. Despite scholarly criticisms of the nature of Boccaccio’s work, the illustration of his contemporary society ravaged by the Black Death highlights the importance of available surviving accounts, and</w:t>
      </w:r>
      <w:r w:rsidR="007248EC" w:rsidRPr="00344B5A">
        <w:rPr>
          <w:rFonts w:ascii="Times New Roman" w:hAnsi="Times New Roman" w:cs="Times New Roman"/>
          <w:sz w:val="24"/>
          <w:szCs w:val="24"/>
        </w:rPr>
        <w:t xml:space="preserve"> </w:t>
      </w:r>
      <w:r w:rsidRPr="00344B5A">
        <w:rPr>
          <w:rFonts w:ascii="Times New Roman" w:hAnsi="Times New Roman" w:cs="Times New Roman"/>
          <w:sz w:val="24"/>
          <w:szCs w:val="24"/>
        </w:rPr>
        <w:t>Mullett notes that ‘lacking such materials and others that abound later, the historian must treasure every scrap.’</w:t>
      </w:r>
      <w:r w:rsidRPr="00344B5A">
        <w:rPr>
          <w:rFonts w:ascii="Times New Roman" w:hAnsi="Times New Roman" w:cs="Times New Roman"/>
          <w:sz w:val="24"/>
          <w:szCs w:val="24"/>
          <w:vertAlign w:val="superscript"/>
        </w:rPr>
        <w:footnoteReference w:id="108"/>
      </w:r>
      <w:r w:rsidRPr="00344B5A">
        <w:rPr>
          <w:rFonts w:ascii="Times New Roman" w:hAnsi="Times New Roman" w:cs="Times New Roman"/>
          <w:sz w:val="24"/>
          <w:szCs w:val="24"/>
        </w:rPr>
        <w:t xml:space="preserve"> The ability to piece together fragments of the mid-fourteenth century using both prose literature and historic chronicles provides scholars with the opportunity to reconstruct the lives of individuals who Boccaccio criticises for fleeing the city</w:t>
      </w:r>
      <w:r w:rsidR="007248EC" w:rsidRPr="00344B5A">
        <w:rPr>
          <w:rFonts w:ascii="Times New Roman" w:hAnsi="Times New Roman" w:cs="Times New Roman"/>
          <w:sz w:val="24"/>
          <w:szCs w:val="24"/>
        </w:rPr>
        <w:t>,</w:t>
      </w:r>
      <w:r w:rsidRPr="00344B5A">
        <w:rPr>
          <w:rFonts w:ascii="Times New Roman" w:hAnsi="Times New Roman" w:cs="Times New Roman"/>
          <w:sz w:val="24"/>
          <w:szCs w:val="24"/>
        </w:rPr>
        <w:t xml:space="preserve"> or those who Bonaiuti describes suffering alone having been abandoned. </w:t>
      </w:r>
    </w:p>
    <w:p w14:paraId="3AA6A57B" w14:textId="1AFABE33"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 xml:space="preserve">The ability to reconstruct the </w:t>
      </w:r>
      <w:r w:rsidR="00882575" w:rsidRPr="00344B5A">
        <w:rPr>
          <w:rFonts w:ascii="Times New Roman" w:hAnsi="Times New Roman" w:cs="Times New Roman"/>
          <w:sz w:val="24"/>
          <w:szCs w:val="24"/>
        </w:rPr>
        <w:t>lived experience</w:t>
      </w:r>
      <w:r w:rsidRPr="00344B5A">
        <w:rPr>
          <w:rFonts w:ascii="Times New Roman" w:hAnsi="Times New Roman" w:cs="Times New Roman"/>
          <w:sz w:val="24"/>
          <w:szCs w:val="24"/>
        </w:rPr>
        <w:t xml:space="preserve"> of the mid-fourteenth century using surviving contemporary source material follows the theoretical approach of ‘new historicism’, allowing responses to the Black Death by the population of Florence to be researched and rewritten within their own contemporary contexts. The wealth of information and contemporary opinion present within the works of fourteenth-century writers such as Boccaccio immortalises the actions of each individual</w:t>
      </w:r>
      <w:r w:rsidR="007248EC" w:rsidRPr="00344B5A">
        <w:rPr>
          <w:rFonts w:ascii="Times New Roman" w:hAnsi="Times New Roman" w:cs="Times New Roman"/>
          <w:sz w:val="24"/>
          <w:szCs w:val="24"/>
        </w:rPr>
        <w:t>. W</w:t>
      </w:r>
      <w:r w:rsidRPr="00344B5A">
        <w:rPr>
          <w:rFonts w:ascii="Times New Roman" w:hAnsi="Times New Roman" w:cs="Times New Roman"/>
          <w:sz w:val="24"/>
          <w:szCs w:val="24"/>
        </w:rPr>
        <w:t>ithout literary works and historical narratives, scholars would not be able to comprehend and apply a greater sense of empathy to the citizens of Florence who lived and died during the outbreak of plague. As highlighted by historian Ian Mortimer, ‘the key to learning something about the past might be a ruin or an archive but the means whereby we may understand it is – and always will be – ourselves.’</w:t>
      </w:r>
      <w:r w:rsidRPr="00344B5A">
        <w:rPr>
          <w:rFonts w:ascii="Times New Roman" w:hAnsi="Times New Roman" w:cs="Times New Roman"/>
          <w:sz w:val="24"/>
          <w:szCs w:val="24"/>
          <w:vertAlign w:val="superscript"/>
        </w:rPr>
        <w:footnoteReference w:id="109"/>
      </w:r>
      <w:r w:rsidRPr="00344B5A">
        <w:rPr>
          <w:rFonts w:ascii="Times New Roman" w:hAnsi="Times New Roman" w:cs="Times New Roman"/>
          <w:sz w:val="24"/>
          <w:szCs w:val="24"/>
        </w:rPr>
        <w:t xml:space="preserve"> </w:t>
      </w:r>
      <w:bookmarkEnd w:id="8"/>
    </w:p>
    <w:p w14:paraId="569BBC8C" w14:textId="49AE2FCF" w:rsidR="00B42237" w:rsidRPr="00344B5A" w:rsidRDefault="00B42237">
      <w:pPr>
        <w:rPr>
          <w:rFonts w:ascii="Times New Roman" w:hAnsi="Times New Roman" w:cs="Times New Roman"/>
          <w:sz w:val="24"/>
          <w:szCs w:val="24"/>
        </w:rPr>
      </w:pPr>
    </w:p>
    <w:p w14:paraId="3A6CE5FA" w14:textId="7EBF701F" w:rsidR="00B42237" w:rsidRPr="00344B5A" w:rsidRDefault="00B42237">
      <w:pPr>
        <w:rPr>
          <w:rFonts w:ascii="Times New Roman" w:hAnsi="Times New Roman" w:cs="Times New Roman"/>
          <w:sz w:val="24"/>
          <w:szCs w:val="24"/>
        </w:rPr>
      </w:pPr>
    </w:p>
    <w:p w14:paraId="113D6055" w14:textId="7AA55526" w:rsidR="00B42237" w:rsidRPr="00344B5A" w:rsidRDefault="00B42237">
      <w:pPr>
        <w:rPr>
          <w:rFonts w:ascii="Times New Roman" w:hAnsi="Times New Roman" w:cs="Times New Roman"/>
          <w:sz w:val="24"/>
          <w:szCs w:val="24"/>
        </w:rPr>
      </w:pPr>
    </w:p>
    <w:p w14:paraId="33C07C74" w14:textId="7A734C79" w:rsidR="00B42237" w:rsidRPr="00344B5A" w:rsidRDefault="00B42237">
      <w:pPr>
        <w:rPr>
          <w:rFonts w:ascii="Times New Roman" w:hAnsi="Times New Roman" w:cs="Times New Roman"/>
          <w:sz w:val="24"/>
          <w:szCs w:val="24"/>
        </w:rPr>
      </w:pPr>
    </w:p>
    <w:p w14:paraId="3449B219" w14:textId="0A42318B" w:rsidR="00B42237" w:rsidRPr="00344B5A" w:rsidRDefault="00B42237">
      <w:pPr>
        <w:rPr>
          <w:rFonts w:ascii="Times New Roman" w:hAnsi="Times New Roman" w:cs="Times New Roman"/>
          <w:sz w:val="24"/>
          <w:szCs w:val="24"/>
        </w:rPr>
      </w:pPr>
    </w:p>
    <w:p w14:paraId="196AC9DD" w14:textId="77777777" w:rsidR="00435C5D" w:rsidRPr="00344B5A" w:rsidRDefault="00435C5D">
      <w:pPr>
        <w:rPr>
          <w:rFonts w:ascii="Times New Roman" w:hAnsi="Times New Roman" w:cs="Times New Roman"/>
          <w:sz w:val="24"/>
          <w:szCs w:val="24"/>
        </w:rPr>
      </w:pPr>
    </w:p>
    <w:p w14:paraId="51000263" w14:textId="77777777" w:rsidR="00435C5D" w:rsidRPr="00344B5A" w:rsidRDefault="00435C5D">
      <w:pPr>
        <w:rPr>
          <w:rFonts w:ascii="Times New Roman" w:hAnsi="Times New Roman" w:cs="Times New Roman"/>
          <w:b/>
          <w:bCs/>
          <w:sz w:val="24"/>
          <w:szCs w:val="24"/>
        </w:rPr>
      </w:pPr>
    </w:p>
    <w:p w14:paraId="2A5382A1" w14:textId="77777777" w:rsidR="00435C5D" w:rsidRPr="00344B5A" w:rsidRDefault="00435C5D">
      <w:pPr>
        <w:rPr>
          <w:rFonts w:ascii="Times New Roman" w:hAnsi="Times New Roman" w:cs="Times New Roman"/>
          <w:b/>
          <w:bCs/>
          <w:sz w:val="24"/>
          <w:szCs w:val="24"/>
        </w:rPr>
      </w:pPr>
    </w:p>
    <w:p w14:paraId="512FFA3A" w14:textId="77777777" w:rsidR="00435C5D" w:rsidRPr="00344B5A" w:rsidRDefault="00435C5D">
      <w:pPr>
        <w:rPr>
          <w:rFonts w:ascii="Times New Roman" w:hAnsi="Times New Roman" w:cs="Times New Roman"/>
          <w:b/>
          <w:bCs/>
          <w:sz w:val="24"/>
          <w:szCs w:val="24"/>
        </w:rPr>
      </w:pPr>
    </w:p>
    <w:p w14:paraId="560F590E" w14:textId="77777777" w:rsidR="00435C5D" w:rsidRPr="00344B5A" w:rsidRDefault="00435C5D">
      <w:pPr>
        <w:rPr>
          <w:rFonts w:ascii="Times New Roman" w:hAnsi="Times New Roman" w:cs="Times New Roman"/>
          <w:b/>
          <w:bCs/>
          <w:sz w:val="24"/>
          <w:szCs w:val="24"/>
        </w:rPr>
      </w:pPr>
    </w:p>
    <w:p w14:paraId="77180C13" w14:textId="77777777" w:rsidR="00435C5D" w:rsidRPr="00344B5A" w:rsidRDefault="00435C5D">
      <w:pPr>
        <w:rPr>
          <w:rFonts w:ascii="Times New Roman" w:hAnsi="Times New Roman" w:cs="Times New Roman"/>
          <w:b/>
          <w:bCs/>
          <w:sz w:val="24"/>
          <w:szCs w:val="24"/>
        </w:rPr>
      </w:pPr>
    </w:p>
    <w:p w14:paraId="7FA0EBBE" w14:textId="77777777" w:rsidR="00435C5D" w:rsidRPr="00344B5A" w:rsidRDefault="00435C5D">
      <w:pPr>
        <w:rPr>
          <w:rFonts w:ascii="Times New Roman" w:hAnsi="Times New Roman" w:cs="Times New Roman"/>
          <w:b/>
          <w:bCs/>
          <w:sz w:val="24"/>
          <w:szCs w:val="24"/>
        </w:rPr>
      </w:pPr>
    </w:p>
    <w:p w14:paraId="79B1B247" w14:textId="77777777" w:rsidR="00435C5D" w:rsidRPr="00344B5A" w:rsidRDefault="00435C5D">
      <w:pPr>
        <w:rPr>
          <w:rFonts w:ascii="Times New Roman" w:hAnsi="Times New Roman" w:cs="Times New Roman"/>
          <w:b/>
          <w:bCs/>
          <w:sz w:val="24"/>
          <w:szCs w:val="24"/>
        </w:rPr>
      </w:pPr>
    </w:p>
    <w:p w14:paraId="005FDC03" w14:textId="77777777" w:rsidR="00435C5D" w:rsidRPr="00344B5A" w:rsidRDefault="00435C5D">
      <w:pPr>
        <w:rPr>
          <w:rFonts w:ascii="Times New Roman" w:hAnsi="Times New Roman" w:cs="Times New Roman"/>
          <w:b/>
          <w:bCs/>
          <w:sz w:val="24"/>
          <w:szCs w:val="24"/>
        </w:rPr>
      </w:pPr>
    </w:p>
    <w:p w14:paraId="14D8D1E6" w14:textId="77777777" w:rsidR="00435C5D" w:rsidRPr="00344B5A" w:rsidRDefault="00435C5D">
      <w:pPr>
        <w:rPr>
          <w:rFonts w:ascii="Times New Roman" w:hAnsi="Times New Roman" w:cs="Times New Roman"/>
          <w:b/>
          <w:bCs/>
          <w:sz w:val="24"/>
          <w:szCs w:val="24"/>
        </w:rPr>
      </w:pPr>
    </w:p>
    <w:p w14:paraId="5C85EC48" w14:textId="77777777" w:rsidR="00435C5D" w:rsidRPr="00344B5A" w:rsidRDefault="00435C5D">
      <w:pPr>
        <w:rPr>
          <w:rFonts w:ascii="Times New Roman" w:hAnsi="Times New Roman" w:cs="Times New Roman"/>
          <w:b/>
          <w:bCs/>
          <w:sz w:val="24"/>
          <w:szCs w:val="24"/>
        </w:rPr>
      </w:pPr>
    </w:p>
    <w:p w14:paraId="0FF86D4F" w14:textId="77777777" w:rsidR="00435C5D" w:rsidRPr="00344B5A" w:rsidRDefault="00435C5D">
      <w:pPr>
        <w:rPr>
          <w:rFonts w:ascii="Times New Roman" w:hAnsi="Times New Roman" w:cs="Times New Roman"/>
          <w:b/>
          <w:bCs/>
          <w:sz w:val="24"/>
          <w:szCs w:val="24"/>
        </w:rPr>
      </w:pPr>
    </w:p>
    <w:p w14:paraId="69983A77" w14:textId="282245A4" w:rsidR="00B42237" w:rsidRPr="00344B5A" w:rsidRDefault="00DE4CEE" w:rsidP="00DE4CEE">
      <w:pPr>
        <w:pStyle w:val="Heading1"/>
        <w:rPr>
          <w:rFonts w:ascii="Times New Roman" w:hAnsi="Times New Roman" w:cs="Times New Roman"/>
          <w:color w:val="auto"/>
        </w:rPr>
      </w:pPr>
      <w:bookmarkStart w:id="9" w:name="_Toc40006747"/>
      <w:r w:rsidRPr="00344B5A">
        <w:rPr>
          <w:rFonts w:ascii="Times New Roman" w:hAnsi="Times New Roman" w:cs="Times New Roman"/>
          <w:b/>
          <w:bCs/>
          <w:color w:val="auto"/>
          <w:sz w:val="24"/>
          <w:szCs w:val="24"/>
        </w:rPr>
        <w:lastRenderedPageBreak/>
        <w:t>Bibliography</w:t>
      </w:r>
      <w:bookmarkEnd w:id="9"/>
      <w:r w:rsidRPr="00344B5A">
        <w:rPr>
          <w:rFonts w:ascii="Times New Roman" w:hAnsi="Times New Roman" w:cs="Times New Roman"/>
          <w:b/>
          <w:bCs/>
          <w:color w:val="auto"/>
          <w:sz w:val="24"/>
          <w:szCs w:val="24"/>
        </w:rPr>
        <w:t xml:space="preserve"> </w:t>
      </w:r>
      <w:r w:rsidR="00B42237" w:rsidRPr="00344B5A">
        <w:rPr>
          <w:rFonts w:ascii="Times New Roman" w:hAnsi="Times New Roman" w:cs="Times New Roman"/>
          <w:color w:val="auto"/>
        </w:rPr>
        <w:t xml:space="preserve"> </w:t>
      </w:r>
    </w:p>
    <w:p w14:paraId="13ED729E" w14:textId="77777777" w:rsidR="00B42237" w:rsidRPr="00344B5A" w:rsidRDefault="00B42237" w:rsidP="00B42237">
      <w:pPr>
        <w:spacing w:before="240" w:after="0" w:line="480" w:lineRule="auto"/>
        <w:rPr>
          <w:rFonts w:ascii="Times New Roman" w:hAnsi="Times New Roman" w:cs="Times New Roman"/>
          <w:b/>
          <w:bCs/>
          <w:sz w:val="24"/>
          <w:szCs w:val="24"/>
        </w:rPr>
      </w:pPr>
      <w:r w:rsidRPr="00344B5A">
        <w:rPr>
          <w:rFonts w:ascii="Times New Roman" w:hAnsi="Times New Roman" w:cs="Times New Roman"/>
          <w:b/>
          <w:bCs/>
          <w:sz w:val="24"/>
          <w:szCs w:val="24"/>
        </w:rPr>
        <w:t xml:space="preserve">Primary Source Material </w:t>
      </w:r>
    </w:p>
    <w:p w14:paraId="1752D01F"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“From Petrarch to Socrates” in </w:t>
      </w:r>
      <w:r w:rsidRPr="00344B5A">
        <w:rPr>
          <w:rFonts w:ascii="Times New Roman" w:hAnsi="Times New Roman" w:cs="Times New Roman"/>
          <w:i/>
          <w:iCs/>
          <w:sz w:val="24"/>
          <w:szCs w:val="24"/>
        </w:rPr>
        <w:t>The Voice of the Middle Ages: In Personal Letters 1100-1500</w:t>
      </w:r>
      <w:r w:rsidRPr="00344B5A">
        <w:rPr>
          <w:rFonts w:ascii="Times New Roman" w:hAnsi="Times New Roman" w:cs="Times New Roman"/>
          <w:sz w:val="24"/>
          <w:szCs w:val="24"/>
        </w:rPr>
        <w:t>, ed. Catherine Moriarty (Oxford: Lennard Publishing, 1989)</w:t>
      </w:r>
    </w:p>
    <w:p w14:paraId="5F06FBFE"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Giovanni Boccaccio, </w:t>
      </w:r>
      <w:r w:rsidRPr="00344B5A">
        <w:rPr>
          <w:rFonts w:ascii="Times New Roman" w:hAnsi="Times New Roman" w:cs="Times New Roman"/>
          <w:i/>
          <w:iCs/>
          <w:sz w:val="24"/>
          <w:szCs w:val="24"/>
        </w:rPr>
        <w:t>The Decameron</w:t>
      </w:r>
      <w:r w:rsidRPr="00344B5A">
        <w:rPr>
          <w:rFonts w:ascii="Times New Roman" w:hAnsi="Times New Roman" w:cs="Times New Roman"/>
          <w:sz w:val="24"/>
          <w:szCs w:val="24"/>
        </w:rPr>
        <w:t>, trans. G. H. McWilliam (London: Penguin Books, 2003)</w:t>
      </w:r>
    </w:p>
    <w:p w14:paraId="29FE2B19"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Paul the Deacon, </w:t>
      </w:r>
      <w:r w:rsidRPr="00344B5A">
        <w:rPr>
          <w:rFonts w:ascii="Times New Roman" w:hAnsi="Times New Roman" w:cs="Times New Roman"/>
          <w:i/>
          <w:iCs/>
          <w:sz w:val="24"/>
          <w:szCs w:val="24"/>
        </w:rPr>
        <w:t xml:space="preserve">History of the </w:t>
      </w:r>
      <w:proofErr w:type="spellStart"/>
      <w:r w:rsidRPr="00344B5A">
        <w:rPr>
          <w:rFonts w:ascii="Times New Roman" w:hAnsi="Times New Roman" w:cs="Times New Roman"/>
          <w:i/>
          <w:iCs/>
          <w:sz w:val="24"/>
          <w:szCs w:val="24"/>
        </w:rPr>
        <w:t>Lombards</w:t>
      </w:r>
      <w:proofErr w:type="spellEnd"/>
      <w:r w:rsidRPr="00344B5A">
        <w:rPr>
          <w:rFonts w:ascii="Times New Roman" w:hAnsi="Times New Roman" w:cs="Times New Roman"/>
          <w:sz w:val="24"/>
          <w:szCs w:val="24"/>
        </w:rPr>
        <w:t xml:space="preserve">, trans. William Dudley </w:t>
      </w:r>
      <w:proofErr w:type="spellStart"/>
      <w:r w:rsidRPr="00344B5A">
        <w:rPr>
          <w:rFonts w:ascii="Times New Roman" w:hAnsi="Times New Roman" w:cs="Times New Roman"/>
          <w:sz w:val="24"/>
          <w:szCs w:val="24"/>
        </w:rPr>
        <w:t>Foulke</w:t>
      </w:r>
      <w:proofErr w:type="spellEnd"/>
      <w:r w:rsidRPr="00344B5A">
        <w:rPr>
          <w:rFonts w:ascii="Times New Roman" w:hAnsi="Times New Roman" w:cs="Times New Roman"/>
          <w:sz w:val="24"/>
          <w:szCs w:val="24"/>
        </w:rPr>
        <w:t xml:space="preserve">, ed. Edward Peters (Pennsylvania: University of Pennsylvania Press, 1975) </w:t>
      </w:r>
    </w:p>
    <w:p w14:paraId="16C8202C"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Petrarch: Selections from Canzoniere and Other Works</w:t>
      </w:r>
      <w:r w:rsidRPr="00344B5A">
        <w:rPr>
          <w:rFonts w:ascii="Times New Roman" w:hAnsi="Times New Roman" w:cs="Times New Roman"/>
          <w:sz w:val="24"/>
          <w:szCs w:val="24"/>
        </w:rPr>
        <w:t>, ed and trans. Mark Musa (Oxford: Oxford University Press, 2008)</w:t>
      </w:r>
    </w:p>
    <w:p w14:paraId="1686F368"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Chronicle of Geoffrey le Baker</w:t>
      </w:r>
      <w:r w:rsidRPr="00344B5A">
        <w:rPr>
          <w:rFonts w:ascii="Times New Roman" w:hAnsi="Times New Roman" w:cs="Times New Roman"/>
          <w:sz w:val="24"/>
          <w:szCs w:val="24"/>
        </w:rPr>
        <w:t>, trans. David Priest (Woodbridge: The Boydell Press, 2018)</w:t>
      </w:r>
    </w:p>
    <w:p w14:paraId="523491D4" w14:textId="77777777" w:rsidR="00B42237" w:rsidRPr="00344B5A" w:rsidRDefault="00B42237" w:rsidP="00B42237">
      <w:pPr>
        <w:spacing w:line="480" w:lineRule="auto"/>
        <w:rPr>
          <w:rFonts w:ascii="Times New Roman" w:hAnsi="Times New Roman" w:cs="Times New Roman"/>
          <w:i/>
          <w:sz w:val="24"/>
          <w:szCs w:val="24"/>
        </w:rPr>
      </w:pPr>
      <w:r w:rsidRPr="00344B5A">
        <w:rPr>
          <w:rFonts w:ascii="Times New Roman" w:hAnsi="Times New Roman" w:cs="Times New Roman"/>
          <w:i/>
          <w:iCs/>
          <w:sz w:val="24"/>
          <w:szCs w:val="24"/>
        </w:rPr>
        <w:t>The Triumphs of Petrarch</w:t>
      </w:r>
      <w:r w:rsidRPr="00344B5A">
        <w:rPr>
          <w:rFonts w:ascii="Times New Roman" w:hAnsi="Times New Roman" w:cs="Times New Roman"/>
          <w:sz w:val="24"/>
          <w:szCs w:val="24"/>
        </w:rPr>
        <w:t>, trans. Rev. Henry Boyd (</w:t>
      </w:r>
      <w:r w:rsidRPr="00344B5A">
        <w:rPr>
          <w:rFonts w:ascii="Times New Roman" w:hAnsi="Times New Roman" w:cs="Times New Roman"/>
          <w:iCs/>
          <w:sz w:val="24"/>
          <w:szCs w:val="24"/>
        </w:rPr>
        <w:t>London: Forgotten Books, 2015)</w:t>
      </w:r>
    </w:p>
    <w:p w14:paraId="01F3625B" w14:textId="7110DD80"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Voice of the Middle Ages: In Personal Letters 1100-1500</w:t>
      </w:r>
      <w:r w:rsidRPr="00344B5A">
        <w:rPr>
          <w:rFonts w:ascii="Times New Roman" w:hAnsi="Times New Roman" w:cs="Times New Roman"/>
          <w:sz w:val="24"/>
          <w:szCs w:val="24"/>
        </w:rPr>
        <w:t>, ed. Catherine Moriarty (Oxford: Lennard Publishing, 1989)</w:t>
      </w:r>
    </w:p>
    <w:p w14:paraId="269F3A66" w14:textId="77777777" w:rsidR="00B42237" w:rsidRPr="00344B5A" w:rsidRDefault="00B42237" w:rsidP="00B42237">
      <w:pPr>
        <w:spacing w:after="0" w:line="480" w:lineRule="auto"/>
        <w:rPr>
          <w:rFonts w:ascii="Times New Roman" w:hAnsi="Times New Roman" w:cs="Times New Roman"/>
          <w:b/>
          <w:bCs/>
          <w:sz w:val="24"/>
          <w:szCs w:val="24"/>
        </w:rPr>
      </w:pPr>
      <w:r w:rsidRPr="00344B5A">
        <w:rPr>
          <w:rFonts w:ascii="Times New Roman" w:hAnsi="Times New Roman" w:cs="Times New Roman"/>
          <w:b/>
          <w:bCs/>
          <w:sz w:val="24"/>
          <w:szCs w:val="24"/>
        </w:rPr>
        <w:t xml:space="preserve">Secondary Source Material </w:t>
      </w:r>
    </w:p>
    <w:p w14:paraId="720B644C" w14:textId="77777777" w:rsidR="00124947" w:rsidRPr="00344B5A" w:rsidRDefault="00124947" w:rsidP="00CF03B2">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Beal, Peter, ‘textual community’, </w:t>
      </w:r>
      <w:r w:rsidRPr="00344B5A">
        <w:rPr>
          <w:rFonts w:ascii="Times New Roman" w:hAnsi="Times New Roman" w:cs="Times New Roman"/>
          <w:i/>
          <w:iCs/>
          <w:sz w:val="24"/>
          <w:szCs w:val="24"/>
        </w:rPr>
        <w:t xml:space="preserve">A Dictionary of English Manuscript Terminology 1450-2000 </w:t>
      </w:r>
      <w:r w:rsidRPr="00344B5A">
        <w:rPr>
          <w:rFonts w:ascii="Times New Roman" w:hAnsi="Times New Roman" w:cs="Times New Roman"/>
          <w:sz w:val="24"/>
          <w:szCs w:val="24"/>
        </w:rPr>
        <w:t xml:space="preserve">(Oxford University Press, 2011) </w:t>
      </w:r>
      <w:r w:rsidRPr="00344B5A">
        <w:rPr>
          <w:rFonts w:ascii="Times New Roman" w:hAnsi="Times New Roman" w:cs="Times New Roman"/>
          <w:i/>
          <w:iCs/>
          <w:sz w:val="24"/>
          <w:szCs w:val="24"/>
        </w:rPr>
        <w:t xml:space="preserve">Oxford Reference </w:t>
      </w:r>
      <w:r w:rsidRPr="00344B5A">
        <w:rPr>
          <w:rFonts w:ascii="Times New Roman" w:hAnsi="Times New Roman" w:cs="Times New Roman"/>
          <w:sz w:val="24"/>
          <w:szCs w:val="24"/>
        </w:rPr>
        <w:t>&lt;https://www.oxfordreference.com/view/10.1093/acref/9780199576128.001.0001/acref-9780199576128-e-1058&gt; [Date Accessed: 24 March 2020]</w:t>
      </w:r>
    </w:p>
    <w:p w14:paraId="3A13BBDC"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Bean, J M W, ‘The Black Death: The Crisis and its Social and Economic Consequences’ in </w:t>
      </w:r>
      <w:r w:rsidRPr="00344B5A">
        <w:rPr>
          <w:rFonts w:ascii="Times New Roman" w:hAnsi="Times New Roman" w:cs="Times New Roman"/>
          <w:i/>
          <w:iCs/>
          <w:sz w:val="24"/>
          <w:szCs w:val="24"/>
        </w:rPr>
        <w:t>The Black Death: The Impact of the Fourteenth Century Plague</w:t>
      </w:r>
      <w:r w:rsidRPr="00344B5A">
        <w:rPr>
          <w:rFonts w:ascii="Times New Roman" w:hAnsi="Times New Roman" w:cs="Times New Roman"/>
          <w:sz w:val="24"/>
          <w:szCs w:val="24"/>
        </w:rPr>
        <w:t xml:space="preserve">, ed. Daniel </w:t>
      </w:r>
      <w:proofErr w:type="spellStart"/>
      <w:r w:rsidRPr="00344B5A">
        <w:rPr>
          <w:rFonts w:ascii="Times New Roman" w:hAnsi="Times New Roman" w:cs="Times New Roman"/>
          <w:sz w:val="24"/>
          <w:szCs w:val="24"/>
        </w:rPr>
        <w:t>Williman</w:t>
      </w:r>
      <w:proofErr w:type="spellEnd"/>
      <w:r w:rsidRPr="00344B5A">
        <w:rPr>
          <w:rFonts w:ascii="Times New Roman" w:hAnsi="Times New Roman" w:cs="Times New Roman"/>
          <w:sz w:val="24"/>
          <w:szCs w:val="24"/>
        </w:rPr>
        <w:t xml:space="preserve"> (New York: Centre for Medieval and Early Renaissance Studies, 1982) </w:t>
      </w:r>
    </w:p>
    <w:p w14:paraId="221AB154"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Benedictow, Ole, “The Black Death: The Greatest Catastrophe Ever” </w:t>
      </w:r>
      <w:r w:rsidRPr="00344B5A">
        <w:rPr>
          <w:rFonts w:ascii="Times New Roman" w:hAnsi="Times New Roman" w:cs="Times New Roman"/>
          <w:i/>
          <w:iCs/>
          <w:sz w:val="24"/>
          <w:szCs w:val="24"/>
        </w:rPr>
        <w:t>History Today</w:t>
      </w:r>
      <w:r w:rsidRPr="00344B5A">
        <w:rPr>
          <w:rFonts w:ascii="Times New Roman" w:hAnsi="Times New Roman" w:cs="Times New Roman"/>
          <w:sz w:val="24"/>
          <w:szCs w:val="24"/>
        </w:rPr>
        <w:t xml:space="preserve">, vol. 55, no. 3, 2005, pp.42–49 </w:t>
      </w:r>
    </w:p>
    <w:p w14:paraId="7511A526" w14:textId="77777777" w:rsidR="00124947" w:rsidRPr="00344B5A" w:rsidRDefault="00124947" w:rsidP="00CF03B2">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Buchanan, Ian, ‘historicism’, </w:t>
      </w:r>
      <w:r w:rsidRPr="00344B5A">
        <w:rPr>
          <w:rFonts w:ascii="Times New Roman" w:hAnsi="Times New Roman" w:cs="Times New Roman"/>
          <w:i/>
          <w:iCs/>
          <w:sz w:val="24"/>
          <w:szCs w:val="24"/>
        </w:rPr>
        <w:t xml:space="preserve">Dictionary of Critical </w:t>
      </w:r>
      <w:r w:rsidRPr="00344B5A">
        <w:rPr>
          <w:rFonts w:ascii="Times New Roman" w:hAnsi="Times New Roman" w:cs="Times New Roman"/>
          <w:sz w:val="24"/>
          <w:szCs w:val="24"/>
        </w:rPr>
        <w:t>Thinking</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(Oxford: Oxford University Press, 2010</w:t>
      </w:r>
      <w:r w:rsidRPr="00344B5A">
        <w:rPr>
          <w:rFonts w:ascii="Times New Roman" w:hAnsi="Times New Roman" w:cs="Times New Roman"/>
          <w:i/>
          <w:iCs/>
          <w:sz w:val="24"/>
          <w:szCs w:val="24"/>
        </w:rPr>
        <w:t>)</w:t>
      </w:r>
      <w:r w:rsidRPr="00344B5A">
        <w:rPr>
          <w:rFonts w:ascii="Times New Roman" w:hAnsi="Times New Roman" w:cs="Times New Roman"/>
          <w:sz w:val="24"/>
          <w:szCs w:val="24"/>
        </w:rPr>
        <w:t xml:space="preserve"> </w:t>
      </w:r>
      <w:r w:rsidRPr="00344B5A">
        <w:rPr>
          <w:rFonts w:ascii="Times New Roman" w:hAnsi="Times New Roman" w:cs="Times New Roman"/>
          <w:i/>
          <w:iCs/>
          <w:sz w:val="24"/>
          <w:szCs w:val="24"/>
        </w:rPr>
        <w:t xml:space="preserve">Oxford </w:t>
      </w:r>
      <w:r w:rsidRPr="00344B5A">
        <w:rPr>
          <w:rFonts w:ascii="Times New Roman" w:hAnsi="Times New Roman" w:cs="Times New Roman"/>
          <w:sz w:val="24"/>
          <w:szCs w:val="24"/>
        </w:rPr>
        <w:t>Reference</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&lt;https://www.oxfordreference.com/view/10.1093/acref/9780199532919.001.0001/acref-9780199532919-e-323&gt; [Date Accessed: 20 April 2020]</w:t>
      </w:r>
    </w:p>
    <w:p w14:paraId="40F9A781"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Epstein, Steven A., </w:t>
      </w:r>
      <w:r w:rsidRPr="00344B5A">
        <w:rPr>
          <w:rFonts w:ascii="Times New Roman" w:hAnsi="Times New Roman" w:cs="Times New Roman"/>
          <w:i/>
          <w:iCs/>
          <w:sz w:val="24"/>
          <w:szCs w:val="24"/>
        </w:rPr>
        <w:t xml:space="preserve">An Economic and Social History of Later Medieval Europe, 1000-1500 </w:t>
      </w:r>
      <w:r w:rsidRPr="00344B5A">
        <w:rPr>
          <w:rFonts w:ascii="Times New Roman" w:hAnsi="Times New Roman" w:cs="Times New Roman"/>
          <w:sz w:val="24"/>
          <w:szCs w:val="24"/>
        </w:rPr>
        <w:t xml:space="preserve">(Cambridge: Cambridge University Press, 2009) </w:t>
      </w:r>
    </w:p>
    <w:p w14:paraId="449BCDB7"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Europe in the Fourteenth and Fifteenth Centuries</w:t>
      </w:r>
      <w:r w:rsidRPr="00344B5A">
        <w:rPr>
          <w:rFonts w:ascii="Times New Roman" w:hAnsi="Times New Roman" w:cs="Times New Roman"/>
          <w:sz w:val="24"/>
          <w:szCs w:val="24"/>
        </w:rPr>
        <w:t xml:space="preserve">, ed. Denys Hay (London: Longman Group, 1989) </w:t>
      </w:r>
    </w:p>
    <w:p w14:paraId="282FB4C2" w14:textId="68D49304"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Farnham, Willard, ‘England’s Discovery of the Decameron’, </w:t>
      </w:r>
      <w:r w:rsidRPr="00344B5A">
        <w:rPr>
          <w:rFonts w:ascii="Times New Roman" w:hAnsi="Times New Roman" w:cs="Times New Roman"/>
          <w:i/>
          <w:iCs/>
          <w:sz w:val="24"/>
          <w:szCs w:val="24"/>
        </w:rPr>
        <w:t>PMLA,</w:t>
      </w:r>
      <w:r w:rsidRPr="00344B5A">
        <w:rPr>
          <w:rFonts w:ascii="Times New Roman" w:hAnsi="Times New Roman" w:cs="Times New Roman"/>
          <w:sz w:val="24"/>
          <w:szCs w:val="24"/>
        </w:rPr>
        <w:t xml:space="preserve"> vol.39.1 (March 1924) pp.123-139</w:t>
      </w:r>
    </w:p>
    <w:p w14:paraId="3E18F544" w14:textId="587B3966"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‘Fight-or-Flight Response’, </w:t>
      </w:r>
      <w:proofErr w:type="spellStart"/>
      <w:r w:rsidRPr="00344B5A">
        <w:rPr>
          <w:rFonts w:ascii="Times New Roman" w:hAnsi="Times New Roman" w:cs="Times New Roman"/>
          <w:i/>
          <w:iCs/>
          <w:sz w:val="24"/>
          <w:szCs w:val="24"/>
        </w:rPr>
        <w:t>Encyclopedia</w:t>
      </w:r>
      <w:proofErr w:type="spellEnd"/>
      <w:r w:rsidRPr="00344B5A">
        <w:rPr>
          <w:rFonts w:ascii="Times New Roman" w:hAnsi="Times New Roman" w:cs="Times New Roman"/>
          <w:i/>
          <w:iCs/>
          <w:sz w:val="24"/>
          <w:szCs w:val="24"/>
        </w:rPr>
        <w:t xml:space="preserve"> Britannica</w:t>
      </w:r>
      <w:r w:rsidRPr="00344B5A">
        <w:rPr>
          <w:rFonts w:ascii="Times New Roman" w:hAnsi="Times New Roman" w:cs="Times New Roman"/>
          <w:sz w:val="24"/>
          <w:szCs w:val="24"/>
        </w:rPr>
        <w:t xml:space="preserve"> &lt;https://www.britannica.com/science/fight-or-flight-response&gt; [Last Accessed 07 April 2020]</w:t>
      </w:r>
    </w:p>
    <w:p w14:paraId="493630B2"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Gummer, Benedict, </w:t>
      </w:r>
      <w:r w:rsidRPr="00344B5A">
        <w:rPr>
          <w:rFonts w:ascii="Times New Roman" w:hAnsi="Times New Roman" w:cs="Times New Roman"/>
          <w:i/>
          <w:iCs/>
          <w:sz w:val="24"/>
          <w:szCs w:val="24"/>
        </w:rPr>
        <w:t xml:space="preserve">The Scourging Angel: The Black Death in the British Isles </w:t>
      </w:r>
      <w:r w:rsidRPr="00344B5A">
        <w:rPr>
          <w:rFonts w:ascii="Times New Roman" w:hAnsi="Times New Roman" w:cs="Times New Roman"/>
          <w:sz w:val="24"/>
          <w:szCs w:val="24"/>
        </w:rPr>
        <w:t xml:space="preserve">(London: Vintage Books, 2010) </w:t>
      </w:r>
    </w:p>
    <w:p w14:paraId="3EF6FBAC"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Hatcher, John, “Fiction as History: The Black Death and Beyond.” </w:t>
      </w:r>
      <w:r w:rsidRPr="00344B5A">
        <w:rPr>
          <w:rFonts w:ascii="Times New Roman" w:hAnsi="Times New Roman" w:cs="Times New Roman"/>
          <w:i/>
          <w:iCs/>
          <w:sz w:val="24"/>
          <w:szCs w:val="24"/>
        </w:rPr>
        <w:t>History</w:t>
      </w:r>
      <w:r w:rsidRPr="00344B5A">
        <w:rPr>
          <w:rFonts w:ascii="Times New Roman" w:hAnsi="Times New Roman" w:cs="Times New Roman"/>
          <w:sz w:val="24"/>
          <w:szCs w:val="24"/>
        </w:rPr>
        <w:t xml:space="preserve">, vol. 97, no. 325, 2012, pp. 3–24 </w:t>
      </w:r>
    </w:p>
    <w:p w14:paraId="2421DB9D"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Hatcher, John, </w:t>
      </w:r>
      <w:r w:rsidRPr="00344B5A">
        <w:rPr>
          <w:rFonts w:ascii="Times New Roman" w:hAnsi="Times New Roman" w:cs="Times New Roman"/>
          <w:i/>
          <w:iCs/>
          <w:sz w:val="24"/>
          <w:szCs w:val="24"/>
        </w:rPr>
        <w:t xml:space="preserve">The Black Death: An Intimate History </w:t>
      </w:r>
      <w:r w:rsidRPr="00344B5A">
        <w:rPr>
          <w:rFonts w:ascii="Times New Roman" w:hAnsi="Times New Roman" w:cs="Times New Roman"/>
          <w:sz w:val="24"/>
          <w:szCs w:val="24"/>
        </w:rPr>
        <w:t>(London: Weidenfeld and Nicolson, 2008)</w:t>
      </w:r>
    </w:p>
    <w:p w14:paraId="41F2DF9D"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Jones, Terry and Alan </w:t>
      </w:r>
      <w:proofErr w:type="spellStart"/>
      <w:r w:rsidRPr="00344B5A">
        <w:rPr>
          <w:rFonts w:ascii="Times New Roman" w:hAnsi="Times New Roman" w:cs="Times New Roman"/>
          <w:sz w:val="24"/>
          <w:szCs w:val="24"/>
        </w:rPr>
        <w:t>Ereira</w:t>
      </w:r>
      <w:proofErr w:type="spellEnd"/>
      <w:r w:rsidRPr="00344B5A">
        <w:rPr>
          <w:rFonts w:ascii="Times New Roman" w:hAnsi="Times New Roman" w:cs="Times New Roman"/>
          <w:sz w:val="24"/>
          <w:szCs w:val="24"/>
        </w:rPr>
        <w:t xml:space="preserve">, </w:t>
      </w:r>
      <w:r w:rsidRPr="00344B5A">
        <w:rPr>
          <w:rFonts w:ascii="Times New Roman" w:hAnsi="Times New Roman" w:cs="Times New Roman"/>
          <w:i/>
          <w:iCs/>
          <w:sz w:val="24"/>
          <w:szCs w:val="24"/>
        </w:rPr>
        <w:t xml:space="preserve">Medieval Lives </w:t>
      </w:r>
      <w:r w:rsidRPr="00344B5A">
        <w:rPr>
          <w:rFonts w:ascii="Times New Roman" w:hAnsi="Times New Roman" w:cs="Times New Roman"/>
          <w:sz w:val="24"/>
          <w:szCs w:val="24"/>
        </w:rPr>
        <w:t xml:space="preserve">(London: BBC Books, 2004) </w:t>
      </w:r>
    </w:p>
    <w:p w14:paraId="1D79721D"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 xml:space="preserve">Knowles, Elizabeth, ‘sexton’, </w:t>
      </w:r>
      <w:r w:rsidRPr="00344B5A">
        <w:rPr>
          <w:rFonts w:ascii="Times New Roman" w:hAnsi="Times New Roman" w:cs="Times New Roman"/>
          <w:i/>
          <w:iCs/>
          <w:sz w:val="24"/>
          <w:szCs w:val="24"/>
        </w:rPr>
        <w:t xml:space="preserve">The Oxford Dictionary of Phrase and Fable </w:t>
      </w:r>
      <w:r w:rsidRPr="00344B5A">
        <w:rPr>
          <w:rFonts w:ascii="Times New Roman" w:hAnsi="Times New Roman" w:cs="Times New Roman"/>
          <w:sz w:val="24"/>
          <w:szCs w:val="24"/>
        </w:rPr>
        <w:t xml:space="preserve">(Oxford University Press, 2006) </w:t>
      </w:r>
      <w:r w:rsidRPr="00344B5A">
        <w:rPr>
          <w:rFonts w:ascii="Times New Roman" w:hAnsi="Times New Roman" w:cs="Times New Roman"/>
          <w:i/>
          <w:iCs/>
          <w:sz w:val="24"/>
          <w:szCs w:val="24"/>
        </w:rPr>
        <w:t>Oxford Reference</w:t>
      </w:r>
      <w:r w:rsidRPr="00344B5A">
        <w:rPr>
          <w:rFonts w:ascii="Times New Roman" w:hAnsi="Times New Roman" w:cs="Times New Roman"/>
          <w:sz w:val="24"/>
          <w:szCs w:val="24"/>
        </w:rPr>
        <w:t xml:space="preserve"> &lt;https://www.oxfordreference.com/view/10.1093/acref/9780198609810.001.0001/acref-9780198609810-e-6389&gt; [Date Accessed: 30 April 2020] </w:t>
      </w:r>
    </w:p>
    <w:p w14:paraId="571B8179"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McNeill, William H, </w:t>
      </w:r>
      <w:r w:rsidRPr="00344B5A">
        <w:rPr>
          <w:rFonts w:ascii="Times New Roman" w:hAnsi="Times New Roman" w:cs="Times New Roman"/>
          <w:i/>
          <w:iCs/>
          <w:sz w:val="24"/>
          <w:szCs w:val="24"/>
        </w:rPr>
        <w:t xml:space="preserve">Plagues and People </w:t>
      </w:r>
      <w:r w:rsidRPr="00344B5A">
        <w:rPr>
          <w:rFonts w:ascii="Times New Roman" w:hAnsi="Times New Roman" w:cs="Times New Roman"/>
          <w:sz w:val="24"/>
          <w:szCs w:val="24"/>
        </w:rPr>
        <w:t>(New York: Anchor Books, 1976)</w:t>
      </w:r>
    </w:p>
    <w:p w14:paraId="5542EEF9"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Mortimer, Ian, </w:t>
      </w:r>
      <w:r w:rsidRPr="00344B5A">
        <w:rPr>
          <w:rFonts w:ascii="Times New Roman" w:hAnsi="Times New Roman" w:cs="Times New Roman"/>
          <w:i/>
          <w:iCs/>
          <w:sz w:val="24"/>
          <w:szCs w:val="24"/>
        </w:rPr>
        <w:t xml:space="preserve">The Time Traveller’s Guide </w:t>
      </w:r>
      <w:proofErr w:type="gramStart"/>
      <w:r w:rsidRPr="00344B5A">
        <w:rPr>
          <w:rFonts w:ascii="Times New Roman" w:hAnsi="Times New Roman" w:cs="Times New Roman"/>
          <w:i/>
          <w:iCs/>
          <w:sz w:val="24"/>
          <w:szCs w:val="24"/>
        </w:rPr>
        <w:t>To</w:t>
      </w:r>
      <w:proofErr w:type="gramEnd"/>
      <w:r w:rsidRPr="00344B5A">
        <w:rPr>
          <w:rFonts w:ascii="Times New Roman" w:hAnsi="Times New Roman" w:cs="Times New Roman"/>
          <w:i/>
          <w:iCs/>
          <w:sz w:val="24"/>
          <w:szCs w:val="24"/>
        </w:rPr>
        <w:t xml:space="preserve"> Medieval England </w:t>
      </w:r>
      <w:r w:rsidRPr="00344B5A">
        <w:rPr>
          <w:rFonts w:ascii="Times New Roman" w:hAnsi="Times New Roman" w:cs="Times New Roman"/>
          <w:sz w:val="24"/>
          <w:szCs w:val="24"/>
        </w:rPr>
        <w:t>(London: Vintage Books, 2009)</w:t>
      </w:r>
    </w:p>
    <w:p w14:paraId="03D6B581"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Mullett, Charles F, </w:t>
      </w:r>
      <w:r w:rsidRPr="00344B5A">
        <w:rPr>
          <w:rFonts w:ascii="Times New Roman" w:hAnsi="Times New Roman" w:cs="Times New Roman"/>
          <w:i/>
          <w:iCs/>
          <w:sz w:val="24"/>
          <w:szCs w:val="24"/>
        </w:rPr>
        <w:t xml:space="preserve">The Bubonic Plague and England: An Essay in the History of Preventative Medicine </w:t>
      </w:r>
      <w:r w:rsidRPr="00344B5A">
        <w:rPr>
          <w:rFonts w:ascii="Times New Roman" w:hAnsi="Times New Roman" w:cs="Times New Roman"/>
          <w:sz w:val="24"/>
          <w:szCs w:val="24"/>
        </w:rPr>
        <w:t>(Lexington: University of Kentucky, 1956)</w:t>
      </w:r>
    </w:p>
    <w:p w14:paraId="5EFDD0AE"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Perelman, Les, ‘The Medieval Art of Letter Writing: Rhetoric as Institutional Expression’ in </w:t>
      </w:r>
      <w:r w:rsidRPr="00344B5A">
        <w:rPr>
          <w:rFonts w:ascii="Times New Roman" w:hAnsi="Times New Roman" w:cs="Times New Roman"/>
          <w:i/>
          <w:iCs/>
          <w:sz w:val="24"/>
          <w:szCs w:val="24"/>
        </w:rPr>
        <w:t>Textual Dynamics of the Professions: Historical and Contemporary Studies of Writing in Professional Communities</w:t>
      </w:r>
      <w:r w:rsidRPr="00344B5A">
        <w:rPr>
          <w:rFonts w:ascii="Times New Roman" w:hAnsi="Times New Roman" w:cs="Times New Roman"/>
          <w:sz w:val="24"/>
          <w:szCs w:val="24"/>
        </w:rPr>
        <w:t>, ed. Charles Bazerman and James Paradis (University of Wisconsin Press, 1991)</w:t>
      </w:r>
    </w:p>
    <w:p w14:paraId="4A3B939A"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Renaissance Humanism: An Anthology of Sources</w:t>
      </w:r>
      <w:r w:rsidRPr="00344B5A">
        <w:rPr>
          <w:rFonts w:ascii="Times New Roman" w:hAnsi="Times New Roman" w:cs="Times New Roman"/>
          <w:sz w:val="24"/>
          <w:szCs w:val="24"/>
        </w:rPr>
        <w:t xml:space="preserve">, trans and ed. Margaret L. King (Indiana: Hackett Publishing Company, 2014) </w:t>
      </w:r>
    </w:p>
    <w:p w14:paraId="6A9A6677" w14:textId="77777777" w:rsidR="00124947" w:rsidRPr="00344B5A" w:rsidRDefault="00124947" w:rsidP="00CF03B2">
      <w:pPr>
        <w:spacing w:line="480" w:lineRule="auto"/>
        <w:rPr>
          <w:rFonts w:ascii="Times New Roman" w:hAnsi="Times New Roman" w:cs="Times New Roman"/>
          <w:i/>
          <w:iCs/>
          <w:sz w:val="24"/>
          <w:szCs w:val="24"/>
        </w:rPr>
      </w:pPr>
      <w:r w:rsidRPr="00344B5A">
        <w:rPr>
          <w:rFonts w:ascii="Times New Roman" w:hAnsi="Times New Roman" w:cs="Times New Roman"/>
          <w:sz w:val="24"/>
          <w:szCs w:val="24"/>
        </w:rPr>
        <w:t xml:space="preserve">Ross, Trevor, ‘Literature’, </w:t>
      </w:r>
      <w:r w:rsidRPr="00344B5A">
        <w:rPr>
          <w:rFonts w:ascii="Times New Roman" w:hAnsi="Times New Roman" w:cs="Times New Roman"/>
          <w:i/>
          <w:iCs/>
          <w:sz w:val="24"/>
          <w:szCs w:val="24"/>
        </w:rPr>
        <w:t xml:space="preserve">The Oxford </w:t>
      </w:r>
      <w:proofErr w:type="spellStart"/>
      <w:r w:rsidRPr="00344B5A">
        <w:rPr>
          <w:rFonts w:ascii="Times New Roman" w:hAnsi="Times New Roman" w:cs="Times New Roman"/>
          <w:i/>
          <w:iCs/>
          <w:sz w:val="24"/>
          <w:szCs w:val="24"/>
        </w:rPr>
        <w:t>Encyclopedia</w:t>
      </w:r>
      <w:proofErr w:type="spellEnd"/>
      <w:r w:rsidRPr="00344B5A">
        <w:rPr>
          <w:rFonts w:ascii="Times New Roman" w:hAnsi="Times New Roman" w:cs="Times New Roman"/>
          <w:i/>
          <w:iCs/>
          <w:sz w:val="24"/>
          <w:szCs w:val="24"/>
        </w:rPr>
        <w:t xml:space="preserve"> of British Literature</w:t>
      </w:r>
      <w:r w:rsidRPr="00344B5A">
        <w:rPr>
          <w:rFonts w:ascii="Times New Roman" w:hAnsi="Times New Roman" w:cs="Times New Roman"/>
          <w:sz w:val="24"/>
          <w:szCs w:val="24"/>
        </w:rPr>
        <w:t xml:space="preserve">, ed. David Scott </w:t>
      </w:r>
      <w:proofErr w:type="spellStart"/>
      <w:r w:rsidRPr="00344B5A">
        <w:rPr>
          <w:rFonts w:ascii="Times New Roman" w:hAnsi="Times New Roman" w:cs="Times New Roman"/>
          <w:sz w:val="24"/>
          <w:szCs w:val="24"/>
        </w:rPr>
        <w:t>Kastan</w:t>
      </w:r>
      <w:proofErr w:type="spellEnd"/>
      <w:r w:rsidRPr="00344B5A">
        <w:rPr>
          <w:rFonts w:ascii="Times New Roman" w:hAnsi="Times New Roman" w:cs="Times New Roman"/>
          <w:sz w:val="24"/>
          <w:szCs w:val="24"/>
        </w:rPr>
        <w:t xml:space="preserve"> (Oxford University Press, 2006) </w:t>
      </w:r>
      <w:r w:rsidRPr="00344B5A">
        <w:rPr>
          <w:rFonts w:ascii="Times New Roman" w:hAnsi="Times New Roman" w:cs="Times New Roman"/>
          <w:i/>
          <w:iCs/>
          <w:sz w:val="24"/>
          <w:szCs w:val="24"/>
        </w:rPr>
        <w:t xml:space="preserve">Oxford Reference </w:t>
      </w:r>
      <w:r w:rsidRPr="00344B5A">
        <w:rPr>
          <w:rFonts w:ascii="Times New Roman" w:hAnsi="Times New Roman" w:cs="Times New Roman"/>
          <w:sz w:val="24"/>
          <w:szCs w:val="24"/>
        </w:rPr>
        <w:t xml:space="preserve">&lt;https://www.oxfordreference.com/view/10.1093/acref/9780195169218.001.0001/acref-9780195169218-e-0278?rskey=AIJJnU&amp;result=1&gt; [Date Accessed 30 March 2020] </w:t>
      </w:r>
    </w:p>
    <w:p w14:paraId="4059D62C"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Black Death in England</w:t>
      </w:r>
      <w:r w:rsidRPr="00344B5A">
        <w:rPr>
          <w:rFonts w:ascii="Times New Roman" w:hAnsi="Times New Roman" w:cs="Times New Roman"/>
          <w:sz w:val="24"/>
          <w:szCs w:val="24"/>
        </w:rPr>
        <w:t>, ed. Mark Ormrod and Phillip Lindley (</w:t>
      </w:r>
      <w:proofErr w:type="spellStart"/>
      <w:r w:rsidRPr="00344B5A">
        <w:rPr>
          <w:rFonts w:ascii="Times New Roman" w:hAnsi="Times New Roman" w:cs="Times New Roman"/>
          <w:sz w:val="24"/>
          <w:szCs w:val="24"/>
        </w:rPr>
        <w:t>Donington</w:t>
      </w:r>
      <w:proofErr w:type="spellEnd"/>
      <w:r w:rsidRPr="00344B5A">
        <w:rPr>
          <w:rFonts w:ascii="Times New Roman" w:hAnsi="Times New Roman" w:cs="Times New Roman"/>
          <w:sz w:val="24"/>
          <w:szCs w:val="24"/>
        </w:rPr>
        <w:t xml:space="preserve">: Shaun </w:t>
      </w:r>
      <w:proofErr w:type="spellStart"/>
      <w:r w:rsidRPr="00344B5A">
        <w:rPr>
          <w:rFonts w:ascii="Times New Roman" w:hAnsi="Times New Roman" w:cs="Times New Roman"/>
          <w:sz w:val="24"/>
          <w:szCs w:val="24"/>
        </w:rPr>
        <w:t>Tyas</w:t>
      </w:r>
      <w:proofErr w:type="spellEnd"/>
      <w:r w:rsidRPr="00344B5A">
        <w:rPr>
          <w:rFonts w:ascii="Times New Roman" w:hAnsi="Times New Roman" w:cs="Times New Roman"/>
          <w:sz w:val="24"/>
          <w:szCs w:val="24"/>
        </w:rPr>
        <w:t xml:space="preserve">, 2003) </w:t>
      </w:r>
    </w:p>
    <w:p w14:paraId="517A21E3"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Black Death</w:t>
      </w:r>
      <w:r w:rsidRPr="00344B5A">
        <w:rPr>
          <w:rFonts w:ascii="Times New Roman" w:hAnsi="Times New Roman" w:cs="Times New Roman"/>
          <w:sz w:val="24"/>
          <w:szCs w:val="24"/>
        </w:rPr>
        <w:t xml:space="preserve">, trans and ed. Rosemary </w:t>
      </w:r>
      <w:proofErr w:type="spellStart"/>
      <w:r w:rsidRPr="00344B5A">
        <w:rPr>
          <w:rFonts w:ascii="Times New Roman" w:hAnsi="Times New Roman" w:cs="Times New Roman"/>
          <w:sz w:val="24"/>
          <w:szCs w:val="24"/>
        </w:rPr>
        <w:t>Horrox</w:t>
      </w:r>
      <w:proofErr w:type="spellEnd"/>
      <w:r w:rsidRPr="00344B5A">
        <w:rPr>
          <w:rFonts w:ascii="Times New Roman" w:hAnsi="Times New Roman" w:cs="Times New Roman"/>
          <w:sz w:val="24"/>
          <w:szCs w:val="24"/>
        </w:rPr>
        <w:t xml:space="preserve"> (Manchester: Manchester University Press, 1994) </w:t>
      </w:r>
    </w:p>
    <w:p w14:paraId="5572DB61"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lastRenderedPageBreak/>
        <w:t>The Black Death: The Impact of the Fourteenth-Century Plague</w:t>
      </w:r>
      <w:r w:rsidRPr="00344B5A">
        <w:rPr>
          <w:rFonts w:ascii="Times New Roman" w:hAnsi="Times New Roman" w:cs="Times New Roman"/>
          <w:sz w:val="24"/>
          <w:szCs w:val="24"/>
        </w:rPr>
        <w:t xml:space="preserve">, ed. Daniel </w:t>
      </w:r>
      <w:proofErr w:type="spellStart"/>
      <w:r w:rsidRPr="00344B5A">
        <w:rPr>
          <w:rFonts w:ascii="Times New Roman" w:hAnsi="Times New Roman" w:cs="Times New Roman"/>
          <w:sz w:val="24"/>
          <w:szCs w:val="24"/>
        </w:rPr>
        <w:t>Williman</w:t>
      </w:r>
      <w:proofErr w:type="spellEnd"/>
      <w:r w:rsidRPr="00344B5A">
        <w:rPr>
          <w:rFonts w:ascii="Times New Roman" w:hAnsi="Times New Roman" w:cs="Times New Roman"/>
          <w:sz w:val="24"/>
          <w:szCs w:val="24"/>
        </w:rPr>
        <w:t xml:space="preserve"> (Birmingham: Centre for Medieval and Early Renaissance Studies, 1982) </w:t>
      </w:r>
    </w:p>
    <w:p w14:paraId="3256F0E1"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Voice of the Middle Ages: In Personal Letters 1100-1500</w:t>
      </w:r>
      <w:r w:rsidRPr="00344B5A">
        <w:rPr>
          <w:rFonts w:ascii="Times New Roman" w:hAnsi="Times New Roman" w:cs="Times New Roman"/>
          <w:sz w:val="24"/>
          <w:szCs w:val="24"/>
        </w:rPr>
        <w:t>, ed. Catherine Moriarty (Oxford: Lennard Publishing, 1989)</w:t>
      </w:r>
    </w:p>
    <w:p w14:paraId="4C63BD02"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Webster, Roger, </w:t>
      </w:r>
      <w:r w:rsidRPr="00344B5A">
        <w:rPr>
          <w:rFonts w:ascii="Times New Roman" w:hAnsi="Times New Roman" w:cs="Times New Roman"/>
          <w:i/>
          <w:iCs/>
          <w:sz w:val="24"/>
          <w:szCs w:val="24"/>
        </w:rPr>
        <w:t>Studying Literary Theory: An Introduction</w:t>
      </w:r>
      <w:r w:rsidRPr="00344B5A">
        <w:rPr>
          <w:rFonts w:ascii="Times New Roman" w:hAnsi="Times New Roman" w:cs="Times New Roman"/>
          <w:sz w:val="24"/>
          <w:szCs w:val="24"/>
        </w:rPr>
        <w:t xml:space="preserve"> (London: Edward Arnold of Hodder and Stoughton, 1990)</w:t>
      </w:r>
    </w:p>
    <w:p w14:paraId="2956C454" w14:textId="77777777" w:rsidR="00124947" w:rsidRPr="00344B5A" w:rsidRDefault="00124947" w:rsidP="00CF03B2">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Ziegler, Philip, </w:t>
      </w:r>
      <w:r w:rsidRPr="00344B5A">
        <w:rPr>
          <w:rFonts w:ascii="Times New Roman" w:hAnsi="Times New Roman" w:cs="Times New Roman"/>
          <w:i/>
          <w:iCs/>
          <w:sz w:val="24"/>
          <w:szCs w:val="24"/>
        </w:rPr>
        <w:t xml:space="preserve">The Black Death </w:t>
      </w:r>
      <w:r w:rsidRPr="00344B5A">
        <w:rPr>
          <w:rFonts w:ascii="Times New Roman" w:hAnsi="Times New Roman" w:cs="Times New Roman"/>
          <w:sz w:val="24"/>
          <w:szCs w:val="24"/>
        </w:rPr>
        <w:t xml:space="preserve">(Stroud: The History Press, 2010) </w:t>
      </w:r>
    </w:p>
    <w:p w14:paraId="38217AA7" w14:textId="77777777" w:rsidR="00124947" w:rsidRPr="00344B5A" w:rsidRDefault="00124947" w:rsidP="00CF03B2">
      <w:pPr>
        <w:spacing w:line="480" w:lineRule="auto"/>
        <w:rPr>
          <w:rFonts w:ascii="Times New Roman" w:hAnsi="Times New Roman" w:cs="Times New Roman"/>
          <w:sz w:val="24"/>
          <w:szCs w:val="24"/>
        </w:rPr>
      </w:pPr>
    </w:p>
    <w:sectPr w:rsidR="00124947" w:rsidRPr="00344B5A" w:rsidSect="001D3EDA">
      <w:headerReference w:type="default" r:id="rId8"/>
      <w:pgSz w:w="11906" w:h="16838"/>
      <w:pgMar w:top="1418" w:right="1418" w:bottom="1418" w:left="1418" w:header="907"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02747" w14:textId="77777777" w:rsidR="00FE2D0C" w:rsidRDefault="00FE2D0C" w:rsidP="00B42237">
      <w:pPr>
        <w:spacing w:after="0" w:line="240" w:lineRule="auto"/>
      </w:pPr>
      <w:r>
        <w:separator/>
      </w:r>
    </w:p>
  </w:endnote>
  <w:endnote w:type="continuationSeparator" w:id="0">
    <w:p w14:paraId="1727017D" w14:textId="77777777" w:rsidR="00FE2D0C" w:rsidRDefault="00FE2D0C" w:rsidP="00B42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EAFBC2" w14:textId="77777777" w:rsidR="00FE2D0C" w:rsidRDefault="00FE2D0C" w:rsidP="00B42237">
      <w:pPr>
        <w:spacing w:after="0" w:line="240" w:lineRule="auto"/>
      </w:pPr>
      <w:r>
        <w:separator/>
      </w:r>
    </w:p>
  </w:footnote>
  <w:footnote w:type="continuationSeparator" w:id="0">
    <w:p w14:paraId="2054341F" w14:textId="77777777" w:rsidR="00FE2D0C" w:rsidRDefault="00FE2D0C" w:rsidP="00B42237">
      <w:pPr>
        <w:spacing w:after="0" w:line="240" w:lineRule="auto"/>
      </w:pPr>
      <w:r>
        <w:continuationSeparator/>
      </w:r>
    </w:p>
  </w:footnote>
  <w:footnote w:id="1">
    <w:p w14:paraId="25A0DA84" w14:textId="43E0C987" w:rsidR="00B42237" w:rsidRPr="00344B5A" w:rsidRDefault="00B42237" w:rsidP="00B42237">
      <w:pPr>
        <w:pStyle w:val="FootnoteText"/>
        <w:rPr>
          <w:rFonts w:ascii="Times New Roman" w:hAnsi="Times New Roman" w:cs="Times New Roman"/>
        </w:rPr>
      </w:pPr>
      <w:r w:rsidRPr="00344B5A">
        <w:rPr>
          <w:rStyle w:val="FootnoteReference"/>
          <w:rFonts w:ascii="Times New Roman" w:hAnsi="Times New Roman" w:cs="Times New Roman"/>
        </w:rPr>
        <w:footnoteRef/>
      </w:r>
      <w:r w:rsidRPr="00344B5A">
        <w:rPr>
          <w:rFonts w:ascii="Times New Roman" w:hAnsi="Times New Roman" w:cs="Times New Roman"/>
        </w:rPr>
        <w:t xml:space="preserve"> Philip Ziegler, </w:t>
      </w:r>
      <w:r w:rsidRPr="00344B5A">
        <w:rPr>
          <w:rFonts w:ascii="Times New Roman" w:hAnsi="Times New Roman" w:cs="Times New Roman"/>
          <w:i/>
          <w:iCs/>
        </w:rPr>
        <w:t xml:space="preserve">The Black Death </w:t>
      </w:r>
      <w:r w:rsidRPr="00344B5A">
        <w:rPr>
          <w:rFonts w:ascii="Times New Roman" w:hAnsi="Times New Roman" w:cs="Times New Roman"/>
        </w:rPr>
        <w:t xml:space="preserve">(Stroud: The History Press, 2010). </w:t>
      </w:r>
      <w:r w:rsidR="00184859" w:rsidRPr="00344B5A">
        <w:rPr>
          <w:rFonts w:ascii="Times New Roman" w:hAnsi="Times New Roman" w:cs="Times New Roman"/>
        </w:rPr>
        <w:t>P</w:t>
      </w:r>
      <w:r w:rsidRPr="00344B5A">
        <w:rPr>
          <w:rFonts w:ascii="Times New Roman" w:hAnsi="Times New Roman" w:cs="Times New Roman"/>
        </w:rPr>
        <w:t>hilip Ziegler provides a clear and comprehensive background to, and account of the Black Death across Europe using a broad variety of source material.</w:t>
      </w:r>
      <w:r w:rsidRPr="00344B5A">
        <w:t xml:space="preserve"> </w:t>
      </w:r>
    </w:p>
  </w:footnote>
  <w:footnote w:id="2">
    <w:p w14:paraId="1804A98C" w14:textId="19E92D22" w:rsidR="00B42237" w:rsidRPr="00344B5A" w:rsidRDefault="00B42237" w:rsidP="00B42237">
      <w:pPr>
        <w:pStyle w:val="FootnoteText"/>
        <w:rPr>
          <w:rFonts w:ascii="Times New Roman" w:hAnsi="Times New Roman" w:cs="Times New Roman"/>
        </w:rPr>
      </w:pPr>
      <w:r w:rsidRPr="00344B5A">
        <w:rPr>
          <w:rStyle w:val="FootnoteReference"/>
          <w:rFonts w:ascii="Times New Roman" w:hAnsi="Times New Roman" w:cs="Times New Roman"/>
        </w:rPr>
        <w:footnoteRef/>
      </w:r>
      <w:r w:rsidRPr="00344B5A">
        <w:rPr>
          <w:rFonts w:ascii="Times New Roman" w:hAnsi="Times New Roman" w:cs="Times New Roman"/>
        </w:rPr>
        <w:t xml:space="preserve"> “From Petrarch to Socrates” in </w:t>
      </w:r>
      <w:r w:rsidRPr="00344B5A">
        <w:rPr>
          <w:rFonts w:ascii="Times New Roman" w:hAnsi="Times New Roman" w:cs="Times New Roman"/>
          <w:i/>
          <w:iCs/>
        </w:rPr>
        <w:t>The Voice of the Middle Ages: In Personal Letters 1100-1500</w:t>
      </w:r>
      <w:r w:rsidRPr="00344B5A">
        <w:rPr>
          <w:rFonts w:ascii="Times New Roman" w:hAnsi="Times New Roman" w:cs="Times New Roman"/>
        </w:rPr>
        <w:t>, ed. Catherine Moriarty (Oxford: Lennard Publishing, 1989).</w:t>
      </w:r>
      <w:r w:rsidR="00536BB9" w:rsidRPr="00344B5A">
        <w:rPr>
          <w:rFonts w:ascii="Times New Roman" w:hAnsi="Times New Roman" w:cs="Times New Roman"/>
        </w:rPr>
        <w:t xml:space="preserve"> </w:t>
      </w:r>
      <w:r w:rsidRPr="00344B5A">
        <w:rPr>
          <w:rFonts w:ascii="Times New Roman" w:hAnsi="Times New Roman" w:cs="Times New Roman"/>
          <w:i/>
          <w:iCs/>
        </w:rPr>
        <w:t>Petrarch: Selections from Canzoniere and Other Works</w:t>
      </w:r>
      <w:r w:rsidRPr="00344B5A">
        <w:rPr>
          <w:rFonts w:ascii="Times New Roman" w:hAnsi="Times New Roman" w:cs="Times New Roman"/>
        </w:rPr>
        <w:t>, ed and trans. Mark Musa (Oxford: Oxford University Press, 2008).</w:t>
      </w:r>
      <w:r w:rsidR="00536BB9" w:rsidRPr="00344B5A">
        <w:rPr>
          <w:rFonts w:ascii="Times New Roman" w:hAnsi="Times New Roman" w:cs="Times New Roman"/>
        </w:rPr>
        <w:t xml:space="preserve"> </w:t>
      </w:r>
      <w:r w:rsidR="00861357" w:rsidRPr="00344B5A">
        <w:rPr>
          <w:rFonts w:ascii="Times New Roman" w:hAnsi="Times New Roman" w:cs="Times New Roman"/>
        </w:rPr>
        <w:t xml:space="preserve">Giovanni </w:t>
      </w:r>
      <w:r w:rsidRPr="00344B5A">
        <w:rPr>
          <w:rFonts w:ascii="Times New Roman" w:hAnsi="Times New Roman" w:cs="Times New Roman"/>
        </w:rPr>
        <w:t>Boccaccio,</w:t>
      </w:r>
      <w:r w:rsidR="00536BB9" w:rsidRPr="00344B5A">
        <w:rPr>
          <w:rFonts w:ascii="Times New Roman" w:hAnsi="Times New Roman" w:cs="Times New Roman"/>
        </w:rPr>
        <w:t xml:space="preserve"> </w:t>
      </w:r>
      <w:r w:rsidR="00861357" w:rsidRPr="00344B5A">
        <w:rPr>
          <w:rFonts w:ascii="Times New Roman" w:hAnsi="Times New Roman" w:cs="Times New Roman"/>
          <w:i/>
          <w:iCs/>
        </w:rPr>
        <w:t>The D</w:t>
      </w:r>
      <w:r w:rsidRPr="00344B5A">
        <w:rPr>
          <w:rFonts w:ascii="Times New Roman" w:hAnsi="Times New Roman" w:cs="Times New Roman"/>
          <w:i/>
          <w:iCs/>
        </w:rPr>
        <w:t>ecameron</w:t>
      </w:r>
      <w:r w:rsidR="00861357" w:rsidRPr="00344B5A">
        <w:rPr>
          <w:rFonts w:ascii="Times New Roman" w:hAnsi="Times New Roman" w:cs="Times New Roman"/>
        </w:rPr>
        <w:t>, trans. trans. G. H. McWilliam (London: Penguin Books, 2003).</w:t>
      </w:r>
    </w:p>
  </w:footnote>
  <w:footnote w:id="3">
    <w:p w14:paraId="05E9216D" w14:textId="79AACA08" w:rsidR="00B42237" w:rsidRPr="00F34618" w:rsidRDefault="00B42237" w:rsidP="00B42237">
      <w:pPr>
        <w:pStyle w:val="FootnoteText"/>
        <w:rPr>
          <w:rFonts w:ascii="Times New Roman" w:hAnsi="Times New Roman" w:cs="Times New Roman"/>
        </w:rPr>
      </w:pPr>
      <w:r w:rsidRPr="00344B5A">
        <w:rPr>
          <w:rStyle w:val="FootnoteReference"/>
          <w:rFonts w:ascii="Times New Roman" w:hAnsi="Times New Roman" w:cs="Times New Roman"/>
        </w:rPr>
        <w:footnoteRef/>
      </w:r>
      <w:r w:rsidRPr="00344B5A">
        <w:rPr>
          <w:rFonts w:ascii="Times New Roman" w:hAnsi="Times New Roman" w:cs="Times New Roman"/>
        </w:rPr>
        <w:t xml:space="preserve"> Boccaccio,</w:t>
      </w:r>
      <w:r w:rsidRPr="00344B5A">
        <w:rPr>
          <w:rFonts w:ascii="Times New Roman" w:hAnsi="Times New Roman" w:cs="Times New Roman"/>
          <w:i/>
          <w:iCs/>
        </w:rPr>
        <w:t xml:space="preserve"> Decameron</w:t>
      </w:r>
      <w:r w:rsidRPr="00344B5A">
        <w:rPr>
          <w:rFonts w:ascii="Times New Roman" w:hAnsi="Times New Roman" w:cs="Times New Roman"/>
        </w:rPr>
        <w:t>, pp.8-9.</w:t>
      </w:r>
    </w:p>
  </w:footnote>
  <w:footnote w:id="4">
    <w:p w14:paraId="5BB40399" w14:textId="77777777" w:rsidR="00B42237" w:rsidRPr="00455457" w:rsidRDefault="00B42237" w:rsidP="00B42237">
      <w:pPr>
        <w:pStyle w:val="FootnoteText"/>
        <w:rPr>
          <w:i/>
          <w:iCs/>
        </w:rPr>
      </w:pPr>
      <w:r w:rsidRPr="00F34618">
        <w:rPr>
          <w:rStyle w:val="FootnoteReference"/>
          <w:rFonts w:ascii="Times New Roman" w:hAnsi="Times New Roman" w:cs="Times New Roman"/>
        </w:rPr>
        <w:footnoteRef/>
      </w:r>
      <w:r w:rsidRPr="00F34618">
        <w:rPr>
          <w:rFonts w:ascii="Times New Roman" w:hAnsi="Times New Roman" w:cs="Times New Roman"/>
        </w:rPr>
        <w:t xml:space="preserve"> Trevor Ross, ‘Literature’, </w:t>
      </w:r>
      <w:r w:rsidRPr="00F34618">
        <w:rPr>
          <w:rFonts w:ascii="Times New Roman" w:hAnsi="Times New Roman" w:cs="Times New Roman"/>
          <w:i/>
          <w:iCs/>
        </w:rPr>
        <w:t xml:space="preserve">The Oxford </w:t>
      </w:r>
      <w:proofErr w:type="spellStart"/>
      <w:r w:rsidRPr="00F34618">
        <w:rPr>
          <w:rFonts w:ascii="Times New Roman" w:hAnsi="Times New Roman" w:cs="Times New Roman"/>
          <w:i/>
          <w:iCs/>
        </w:rPr>
        <w:t>Encyclopedia</w:t>
      </w:r>
      <w:proofErr w:type="spellEnd"/>
      <w:r w:rsidRPr="00F34618">
        <w:rPr>
          <w:rFonts w:ascii="Times New Roman" w:hAnsi="Times New Roman" w:cs="Times New Roman"/>
          <w:i/>
          <w:iCs/>
        </w:rPr>
        <w:t xml:space="preserve"> of British Literature</w:t>
      </w:r>
      <w:r w:rsidRPr="00F34618">
        <w:rPr>
          <w:rFonts w:ascii="Times New Roman" w:hAnsi="Times New Roman" w:cs="Times New Roman"/>
        </w:rPr>
        <w:t xml:space="preserve">, ed. David Scott </w:t>
      </w:r>
      <w:proofErr w:type="spellStart"/>
      <w:r w:rsidRPr="00F34618">
        <w:rPr>
          <w:rFonts w:ascii="Times New Roman" w:hAnsi="Times New Roman" w:cs="Times New Roman"/>
        </w:rPr>
        <w:t>Kastan</w:t>
      </w:r>
      <w:proofErr w:type="spellEnd"/>
      <w:r w:rsidRPr="00F34618">
        <w:rPr>
          <w:rFonts w:ascii="Times New Roman" w:hAnsi="Times New Roman" w:cs="Times New Roman"/>
        </w:rPr>
        <w:t xml:space="preserve"> (Oxford University Press, 2006) </w:t>
      </w:r>
      <w:r w:rsidRPr="00F34618">
        <w:rPr>
          <w:rFonts w:ascii="Times New Roman" w:hAnsi="Times New Roman" w:cs="Times New Roman"/>
          <w:i/>
          <w:iCs/>
        </w:rPr>
        <w:t xml:space="preserve">Oxford Reference </w:t>
      </w:r>
      <w:r w:rsidRPr="00F34618">
        <w:rPr>
          <w:rFonts w:ascii="Times New Roman" w:hAnsi="Times New Roman" w:cs="Times New Roman"/>
        </w:rPr>
        <w:t xml:space="preserve">&lt;https://www.oxfordreference.com/view/10.1093/acref/9780195169218.001.0001/acref-9780195169218-e-0278?rskey=AIJJnU&amp;result=1&gt; [Date Accessed 30 March 2020]. </w:t>
      </w:r>
    </w:p>
  </w:footnote>
  <w:footnote w:id="5">
    <w:p w14:paraId="23FAFCD8" w14:textId="77777777" w:rsidR="00B42237" w:rsidRPr="00F34618" w:rsidRDefault="00B42237" w:rsidP="00B42237">
      <w:pPr>
        <w:pStyle w:val="FootnoteText"/>
        <w:rPr>
          <w:rFonts w:ascii="Times New Roman" w:hAnsi="Times New Roman" w:cs="Times New Roman"/>
          <w:lang w:val="en-US"/>
        </w:rPr>
      </w:pPr>
      <w:r w:rsidRPr="00F34618">
        <w:rPr>
          <w:rStyle w:val="FootnoteReference"/>
          <w:rFonts w:ascii="Times New Roman" w:hAnsi="Times New Roman" w:cs="Times New Roman"/>
        </w:rPr>
        <w:footnoteRef/>
      </w:r>
      <w:r w:rsidRPr="00F34618">
        <w:rPr>
          <w:rFonts w:ascii="Times New Roman" w:hAnsi="Times New Roman" w:cs="Times New Roman"/>
        </w:rPr>
        <w:t xml:space="preserve"> Peter Beal, ‘textual community’, </w:t>
      </w:r>
      <w:r w:rsidRPr="00F34618">
        <w:rPr>
          <w:rFonts w:ascii="Times New Roman" w:hAnsi="Times New Roman" w:cs="Times New Roman"/>
          <w:i/>
          <w:iCs/>
        </w:rPr>
        <w:t xml:space="preserve">A Dictionary of English Manuscript Terminology 1450-2000 </w:t>
      </w:r>
      <w:r w:rsidRPr="00F34618">
        <w:rPr>
          <w:rFonts w:ascii="Times New Roman" w:hAnsi="Times New Roman" w:cs="Times New Roman"/>
        </w:rPr>
        <w:t xml:space="preserve">(Oxford University Press, 2011) </w:t>
      </w:r>
      <w:r w:rsidRPr="00F34618">
        <w:rPr>
          <w:rFonts w:ascii="Times New Roman" w:hAnsi="Times New Roman" w:cs="Times New Roman"/>
          <w:i/>
          <w:iCs/>
        </w:rPr>
        <w:t xml:space="preserve">Oxford Reference </w:t>
      </w:r>
      <w:r w:rsidRPr="00F34618">
        <w:rPr>
          <w:rFonts w:ascii="Times New Roman" w:hAnsi="Times New Roman" w:cs="Times New Roman"/>
        </w:rPr>
        <w:t>&lt;https://www.oxfordreference.com/view/10.1093/acref/9780199576128.001.0001/acref-9780199576128-e-1058&gt; [Date Accessed: 24 March 2020].</w:t>
      </w:r>
    </w:p>
  </w:footnote>
  <w:footnote w:id="6">
    <w:p w14:paraId="3E42DB48" w14:textId="3C52C2F8" w:rsidR="00B42237" w:rsidRPr="00B810C4" w:rsidRDefault="00B42237" w:rsidP="00B42237">
      <w:pPr>
        <w:pStyle w:val="FootnoteText"/>
        <w:rPr>
          <w:rFonts w:ascii="Times New Roman" w:hAnsi="Times New Roman" w:cs="Times New Roman"/>
        </w:rPr>
      </w:pPr>
      <w:r w:rsidRPr="00F34618">
        <w:rPr>
          <w:rStyle w:val="FootnoteReference"/>
          <w:rFonts w:ascii="Times New Roman" w:hAnsi="Times New Roman" w:cs="Times New Roman"/>
        </w:rPr>
        <w:footnoteRef/>
      </w:r>
      <w:r w:rsidRPr="00F34618">
        <w:rPr>
          <w:rFonts w:ascii="Times New Roman" w:hAnsi="Times New Roman" w:cs="Times New Roman"/>
        </w:rPr>
        <w:t xml:space="preserve"> Ziegler, </w:t>
      </w:r>
      <w:r w:rsidRPr="00F34618">
        <w:rPr>
          <w:rFonts w:ascii="Times New Roman" w:hAnsi="Times New Roman" w:cs="Times New Roman"/>
          <w:i/>
          <w:iCs/>
        </w:rPr>
        <w:t>The Black Deat</w:t>
      </w:r>
      <w:r>
        <w:rPr>
          <w:rFonts w:ascii="Times New Roman" w:hAnsi="Times New Roman" w:cs="Times New Roman"/>
          <w:i/>
          <w:iCs/>
        </w:rPr>
        <w:t>h</w:t>
      </w:r>
      <w:r w:rsidRPr="00F34618">
        <w:rPr>
          <w:rFonts w:ascii="Times New Roman" w:hAnsi="Times New Roman" w:cs="Times New Roman"/>
        </w:rPr>
        <w:t>.</w:t>
      </w:r>
      <w:r w:rsidR="00B810C4">
        <w:rPr>
          <w:rFonts w:ascii="Times New Roman" w:hAnsi="Times New Roman" w:cs="Times New Roman"/>
        </w:rPr>
        <w:t xml:space="preserve"> </w:t>
      </w:r>
      <w:r w:rsidRPr="00F34618">
        <w:rPr>
          <w:rFonts w:ascii="Times New Roman" w:hAnsi="Times New Roman" w:cs="Times New Roman"/>
        </w:rPr>
        <w:t>Ole J. Benedictow, ‘The Black Death: The Greatest Catastrophe Ever’ </w:t>
      </w:r>
      <w:r w:rsidRPr="00F34618">
        <w:rPr>
          <w:rFonts w:ascii="Times New Roman" w:hAnsi="Times New Roman" w:cs="Times New Roman"/>
          <w:i/>
          <w:iCs/>
        </w:rPr>
        <w:t>History Today</w:t>
      </w:r>
      <w:r w:rsidRPr="00F34618">
        <w:rPr>
          <w:rFonts w:ascii="Times New Roman" w:hAnsi="Times New Roman" w:cs="Times New Roman"/>
        </w:rPr>
        <w:t>, vol. 55, no. 3</w:t>
      </w:r>
      <w:r w:rsidR="00861357">
        <w:rPr>
          <w:rFonts w:ascii="Times New Roman" w:hAnsi="Times New Roman" w:cs="Times New Roman"/>
        </w:rPr>
        <w:t xml:space="preserve"> (</w:t>
      </w:r>
      <w:r w:rsidRPr="00F34618">
        <w:rPr>
          <w:rFonts w:ascii="Times New Roman" w:hAnsi="Times New Roman" w:cs="Times New Roman"/>
        </w:rPr>
        <w:t>2005</w:t>
      </w:r>
      <w:r w:rsidR="00861357">
        <w:rPr>
          <w:rFonts w:ascii="Times New Roman" w:hAnsi="Times New Roman" w:cs="Times New Roman"/>
        </w:rPr>
        <w:t>)</w:t>
      </w:r>
      <w:r w:rsidRPr="00F34618">
        <w:rPr>
          <w:rFonts w:ascii="Times New Roman" w:hAnsi="Times New Roman" w:cs="Times New Roman"/>
        </w:rPr>
        <w:t xml:space="preserve"> pp. 42–49.</w:t>
      </w:r>
    </w:p>
  </w:footnote>
  <w:footnote w:id="7">
    <w:p w14:paraId="41CFB4E5" w14:textId="0D8341A7" w:rsidR="00B42237" w:rsidRPr="00B810C4" w:rsidRDefault="00B42237" w:rsidP="00B42237">
      <w:pPr>
        <w:pStyle w:val="FootnoteText"/>
        <w:rPr>
          <w:rFonts w:ascii="Times New Roman" w:hAnsi="Times New Roman" w:cs="Times New Roman"/>
          <w:lang w:val="en-US"/>
        </w:rPr>
      </w:pPr>
      <w:r w:rsidRPr="00F34618">
        <w:rPr>
          <w:rStyle w:val="FootnoteReference"/>
          <w:rFonts w:ascii="Times New Roman" w:hAnsi="Times New Roman" w:cs="Times New Roman"/>
        </w:rPr>
        <w:footnoteRef/>
      </w:r>
      <w:r w:rsidRPr="00F34618">
        <w:rPr>
          <w:rFonts w:ascii="Times New Roman" w:hAnsi="Times New Roman" w:cs="Times New Roman"/>
        </w:rPr>
        <w:t xml:space="preserve"> </w:t>
      </w:r>
      <w:r w:rsidRPr="00F34618">
        <w:rPr>
          <w:rFonts w:ascii="Times New Roman" w:hAnsi="Times New Roman" w:cs="Times New Roman"/>
          <w:i/>
          <w:iCs/>
          <w:lang w:val="en-US"/>
        </w:rPr>
        <w:t>The Black Death</w:t>
      </w:r>
      <w:r w:rsidRPr="00F34618">
        <w:rPr>
          <w:rFonts w:ascii="Times New Roman" w:hAnsi="Times New Roman" w:cs="Times New Roman"/>
          <w:lang w:val="en-US"/>
        </w:rPr>
        <w:t xml:space="preserve">, Rosemary </w:t>
      </w:r>
      <w:proofErr w:type="spellStart"/>
      <w:r w:rsidRPr="00F34618">
        <w:rPr>
          <w:rFonts w:ascii="Times New Roman" w:hAnsi="Times New Roman" w:cs="Times New Roman"/>
          <w:lang w:val="en-US"/>
        </w:rPr>
        <w:t>Horrox</w:t>
      </w:r>
      <w:proofErr w:type="spellEnd"/>
      <w:r w:rsidRPr="00F34618">
        <w:rPr>
          <w:rFonts w:ascii="Times New Roman" w:hAnsi="Times New Roman" w:cs="Times New Roman"/>
          <w:lang w:val="en-US"/>
        </w:rPr>
        <w:t xml:space="preserve">, </w:t>
      </w:r>
      <w:r w:rsidRPr="00F34618">
        <w:rPr>
          <w:rFonts w:ascii="Times New Roman" w:hAnsi="Times New Roman" w:cs="Times New Roman"/>
          <w:i/>
          <w:iCs/>
          <w:lang w:val="en-US"/>
        </w:rPr>
        <w:t xml:space="preserve">Manchester Medieval Sources Series </w:t>
      </w:r>
      <w:r w:rsidRPr="00F34618">
        <w:rPr>
          <w:rFonts w:ascii="Times New Roman" w:hAnsi="Times New Roman" w:cs="Times New Roman"/>
          <w:lang w:val="en-US"/>
        </w:rPr>
        <w:t>(Manchester: Manchester University Press, 1994).</w:t>
      </w:r>
      <w:r w:rsidR="00B810C4">
        <w:rPr>
          <w:rFonts w:ascii="Times New Roman" w:hAnsi="Times New Roman" w:cs="Times New Roman"/>
          <w:lang w:val="en-US"/>
        </w:rPr>
        <w:t xml:space="preserve"> </w:t>
      </w:r>
      <w:r w:rsidRPr="00F34618">
        <w:rPr>
          <w:rFonts w:ascii="Times New Roman" w:hAnsi="Times New Roman" w:cs="Times New Roman"/>
        </w:rPr>
        <w:t xml:space="preserve">Ziegler, </w:t>
      </w:r>
      <w:r w:rsidRPr="00F34618">
        <w:rPr>
          <w:rFonts w:ascii="Times New Roman" w:hAnsi="Times New Roman" w:cs="Times New Roman"/>
          <w:i/>
          <w:iCs/>
        </w:rPr>
        <w:t>The Black Death</w:t>
      </w:r>
      <w:r w:rsidRPr="00F34618">
        <w:rPr>
          <w:rFonts w:ascii="Times New Roman" w:hAnsi="Times New Roman" w:cs="Times New Roman"/>
        </w:rPr>
        <w:t>.</w:t>
      </w:r>
      <w:r w:rsidR="00B810C4">
        <w:rPr>
          <w:rFonts w:ascii="Times New Roman" w:hAnsi="Times New Roman" w:cs="Times New Roman"/>
          <w:lang w:val="en-US"/>
        </w:rPr>
        <w:t xml:space="preserve"> </w:t>
      </w:r>
      <w:r w:rsidRPr="00F34618">
        <w:rPr>
          <w:rFonts w:ascii="Times New Roman" w:hAnsi="Times New Roman" w:cs="Times New Roman"/>
        </w:rPr>
        <w:t>Benedictow, ‘The Black Death: The Greatest Catastrophe Ever’ </w:t>
      </w:r>
      <w:r w:rsidRPr="00F34618">
        <w:rPr>
          <w:rFonts w:ascii="Times New Roman" w:hAnsi="Times New Roman" w:cs="Times New Roman"/>
          <w:i/>
          <w:iCs/>
        </w:rPr>
        <w:t>History Today</w:t>
      </w:r>
      <w:r w:rsidRPr="00F34618">
        <w:rPr>
          <w:rFonts w:ascii="Times New Roman" w:hAnsi="Times New Roman" w:cs="Times New Roman"/>
        </w:rPr>
        <w:t>.</w:t>
      </w:r>
    </w:p>
  </w:footnote>
  <w:footnote w:id="8">
    <w:p w14:paraId="78FC1894" w14:textId="37337A46" w:rsidR="00B42237" w:rsidRPr="000663B4" w:rsidRDefault="00B42237" w:rsidP="00B42237">
      <w:pPr>
        <w:pStyle w:val="FootnoteText"/>
        <w:rPr>
          <w:rFonts w:ascii="Times New Roman" w:hAnsi="Times New Roman" w:cs="Times New Roman"/>
        </w:rPr>
      </w:pPr>
      <w:r w:rsidRPr="000663B4">
        <w:rPr>
          <w:rStyle w:val="FootnoteReference"/>
          <w:rFonts w:ascii="Times New Roman" w:hAnsi="Times New Roman" w:cs="Times New Roman"/>
        </w:rPr>
        <w:footnoteRef/>
      </w:r>
      <w:r w:rsidRPr="000663B4">
        <w:rPr>
          <w:rFonts w:ascii="Times New Roman" w:hAnsi="Times New Roman" w:cs="Times New Roman"/>
        </w:rPr>
        <w:t xml:space="preserve"> “From Petrarch to Socrates” in </w:t>
      </w:r>
      <w:r w:rsidRPr="000663B4">
        <w:rPr>
          <w:rFonts w:ascii="Times New Roman" w:hAnsi="Times New Roman" w:cs="Times New Roman"/>
          <w:i/>
          <w:iCs/>
        </w:rPr>
        <w:t>The Voice of the Middle Ages: In Personal Letters 1100-1500</w:t>
      </w:r>
      <w:r w:rsidR="002A352E" w:rsidRPr="000663B4">
        <w:rPr>
          <w:rFonts w:ascii="Times New Roman" w:hAnsi="Times New Roman" w:cs="Times New Roman"/>
        </w:rPr>
        <w:t xml:space="preserve">. </w:t>
      </w:r>
      <w:r w:rsidRPr="000663B4">
        <w:rPr>
          <w:rFonts w:ascii="Times New Roman" w:hAnsi="Times New Roman" w:cs="Times New Roman"/>
          <w:i/>
          <w:iCs/>
        </w:rPr>
        <w:t>Petrarch: Selections from Canzoniere and Other Works</w:t>
      </w:r>
      <w:r w:rsidR="002A352E" w:rsidRPr="000663B4">
        <w:rPr>
          <w:rFonts w:ascii="Times New Roman" w:hAnsi="Times New Roman" w:cs="Times New Roman"/>
        </w:rPr>
        <w:t xml:space="preserve">. </w:t>
      </w:r>
      <w:r w:rsidRPr="000663B4">
        <w:rPr>
          <w:rFonts w:ascii="Times New Roman" w:hAnsi="Times New Roman" w:cs="Times New Roman"/>
        </w:rPr>
        <w:t xml:space="preserve">Boccaccio, </w:t>
      </w:r>
      <w:r w:rsidRPr="000663B4">
        <w:rPr>
          <w:rFonts w:ascii="Times New Roman" w:hAnsi="Times New Roman" w:cs="Times New Roman"/>
          <w:i/>
          <w:iCs/>
        </w:rPr>
        <w:t>The Decameron</w:t>
      </w:r>
      <w:r w:rsidR="002A352E" w:rsidRPr="000663B4">
        <w:rPr>
          <w:rFonts w:ascii="Times New Roman" w:hAnsi="Times New Roman" w:cs="Times New Roman"/>
        </w:rPr>
        <w:t xml:space="preserve">. </w:t>
      </w:r>
      <w:r w:rsidRPr="000663B4">
        <w:rPr>
          <w:rFonts w:ascii="Times New Roman" w:hAnsi="Times New Roman" w:cs="Times New Roman"/>
          <w:lang w:val="en-US"/>
        </w:rPr>
        <w:t xml:space="preserve">Baldassarre Bonaiuti, </w:t>
      </w:r>
      <w:r w:rsidRPr="000663B4">
        <w:rPr>
          <w:rFonts w:ascii="Times New Roman" w:hAnsi="Times New Roman" w:cs="Times New Roman"/>
          <w:i/>
          <w:iCs/>
          <w:lang w:val="en-US"/>
        </w:rPr>
        <w:t xml:space="preserve">Cronaca Fiorentina di Marchionne di </w:t>
      </w:r>
      <w:proofErr w:type="spellStart"/>
      <w:r w:rsidRPr="000663B4">
        <w:rPr>
          <w:rFonts w:ascii="Times New Roman" w:hAnsi="Times New Roman" w:cs="Times New Roman"/>
          <w:i/>
          <w:iCs/>
          <w:lang w:val="en-US"/>
        </w:rPr>
        <w:t>Coppo</w:t>
      </w:r>
      <w:proofErr w:type="spellEnd"/>
      <w:r w:rsidRPr="000663B4">
        <w:rPr>
          <w:rFonts w:ascii="Times New Roman" w:hAnsi="Times New Roman" w:cs="Times New Roman"/>
          <w:i/>
          <w:iCs/>
          <w:lang w:val="en-US"/>
        </w:rPr>
        <w:t xml:space="preserve"> Stefani </w:t>
      </w:r>
      <w:r w:rsidRPr="000663B4">
        <w:rPr>
          <w:rFonts w:ascii="Times New Roman" w:hAnsi="Times New Roman" w:cs="Times New Roman"/>
          <w:lang w:val="en-US"/>
        </w:rPr>
        <w:t>&lt;</w:t>
      </w:r>
      <w:r w:rsidRPr="000663B4">
        <w:rPr>
          <w:rFonts w:ascii="Times New Roman" w:hAnsi="Times New Roman" w:cs="Times New Roman"/>
        </w:rPr>
        <w:t>https://sourcebooks.fordham.edu/med/marchione.asp&gt; [Date Accessed: 24 March 2020].</w:t>
      </w:r>
    </w:p>
  </w:footnote>
  <w:footnote w:id="9">
    <w:p w14:paraId="32319992" w14:textId="78F25A4D" w:rsidR="00B42237" w:rsidRPr="000663B4" w:rsidRDefault="00B42237" w:rsidP="00B42237">
      <w:pPr>
        <w:pStyle w:val="FootnoteText"/>
        <w:rPr>
          <w:rFonts w:ascii="Times New Roman" w:hAnsi="Times New Roman" w:cs="Times New Roman"/>
        </w:rPr>
      </w:pPr>
      <w:r w:rsidRPr="000663B4">
        <w:rPr>
          <w:rStyle w:val="FootnoteReference"/>
          <w:rFonts w:ascii="Times New Roman" w:hAnsi="Times New Roman" w:cs="Times New Roman"/>
        </w:rPr>
        <w:footnoteRef/>
      </w:r>
      <w:r w:rsidRPr="000663B4">
        <w:rPr>
          <w:rFonts w:ascii="Times New Roman" w:hAnsi="Times New Roman" w:cs="Times New Roman"/>
        </w:rPr>
        <w:t xml:space="preserve"> Giovanni Boccaccio, </w:t>
      </w:r>
      <w:r w:rsidRPr="000663B4">
        <w:rPr>
          <w:rFonts w:ascii="Times New Roman" w:hAnsi="Times New Roman" w:cs="Times New Roman"/>
          <w:i/>
          <w:iCs/>
        </w:rPr>
        <w:t>The Decameron</w:t>
      </w:r>
      <w:r w:rsidR="002A352E" w:rsidRPr="000663B4">
        <w:rPr>
          <w:rFonts w:ascii="Times New Roman" w:hAnsi="Times New Roman" w:cs="Times New Roman"/>
        </w:rPr>
        <w:t xml:space="preserve">. </w:t>
      </w:r>
      <w:r w:rsidRPr="000663B4">
        <w:rPr>
          <w:rFonts w:ascii="Times New Roman" w:hAnsi="Times New Roman" w:cs="Times New Roman"/>
          <w:i/>
          <w:iCs/>
        </w:rPr>
        <w:t>Petrarch: Selections from Canzoniere and Other Works</w:t>
      </w:r>
      <w:r w:rsidR="002A352E" w:rsidRPr="000663B4">
        <w:rPr>
          <w:rFonts w:ascii="Times New Roman" w:hAnsi="Times New Roman" w:cs="Times New Roman"/>
        </w:rPr>
        <w:t xml:space="preserve">. </w:t>
      </w:r>
    </w:p>
  </w:footnote>
  <w:footnote w:id="10">
    <w:p w14:paraId="33DD417E" w14:textId="2EE3364B" w:rsidR="00B42237" w:rsidRPr="000663B4" w:rsidRDefault="00B42237" w:rsidP="00B42237">
      <w:pPr>
        <w:pStyle w:val="FootnoteText"/>
        <w:rPr>
          <w:rFonts w:ascii="Times New Roman" w:hAnsi="Times New Roman" w:cs="Times New Roman"/>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w:t>
      </w:r>
      <w:r w:rsidRPr="000663B4">
        <w:rPr>
          <w:rFonts w:ascii="Times New Roman" w:hAnsi="Times New Roman" w:cs="Times New Roman"/>
          <w:lang w:val="en-US"/>
        </w:rPr>
        <w:t xml:space="preserve">Bonaiuti, </w:t>
      </w:r>
      <w:r w:rsidRPr="000663B4">
        <w:rPr>
          <w:rFonts w:ascii="Times New Roman" w:hAnsi="Times New Roman" w:cs="Times New Roman"/>
          <w:i/>
          <w:iCs/>
          <w:lang w:val="en-US"/>
        </w:rPr>
        <w:t>Cronaca Fiorentina</w:t>
      </w:r>
      <w:r w:rsidR="00A95914" w:rsidRPr="000663B4">
        <w:rPr>
          <w:rFonts w:ascii="Times New Roman" w:hAnsi="Times New Roman" w:cs="Times New Roman"/>
          <w:i/>
          <w:iCs/>
          <w:lang w:val="en-US"/>
        </w:rPr>
        <w:t xml:space="preserve"> </w:t>
      </w:r>
      <w:r w:rsidRPr="000663B4">
        <w:rPr>
          <w:rFonts w:ascii="Times New Roman" w:hAnsi="Times New Roman" w:cs="Times New Roman"/>
          <w:lang w:val="en-US"/>
        </w:rPr>
        <w:t>&lt;</w:t>
      </w:r>
      <w:r w:rsidRPr="000663B4">
        <w:rPr>
          <w:rFonts w:ascii="Times New Roman" w:hAnsi="Times New Roman" w:cs="Times New Roman"/>
        </w:rPr>
        <w:t>https://sourcebooks.fordham.edu/med/marchione.asp&gt; [Date Accessed: 24 March 2020].</w:t>
      </w:r>
      <w:r w:rsidRPr="000663B4">
        <w:rPr>
          <w:rFonts w:ascii="Times New Roman" w:hAnsi="Times New Roman" w:cs="Times New Roman"/>
          <w:lang w:val="en-US"/>
        </w:rPr>
        <w:t xml:space="preserve"> </w:t>
      </w:r>
    </w:p>
  </w:footnote>
  <w:footnote w:id="11">
    <w:p w14:paraId="3BA0F687" w14:textId="4D995033" w:rsidR="00B42237" w:rsidRPr="00072752" w:rsidRDefault="00B42237" w:rsidP="00B42237">
      <w:pPr>
        <w:pStyle w:val="FootnoteText"/>
        <w:rPr>
          <w:rFonts w:ascii="Times New Roman" w:hAnsi="Times New Roman" w:cs="Times New Roman"/>
          <w:color w:val="0099CC"/>
        </w:rPr>
      </w:pPr>
      <w:r w:rsidRPr="000663B4">
        <w:rPr>
          <w:rStyle w:val="FootnoteReference"/>
          <w:rFonts w:ascii="Times New Roman" w:hAnsi="Times New Roman" w:cs="Times New Roman"/>
        </w:rPr>
        <w:footnoteRef/>
      </w:r>
      <w:r w:rsidRPr="000663B4">
        <w:rPr>
          <w:rFonts w:ascii="Times New Roman" w:hAnsi="Times New Roman" w:cs="Times New Roman"/>
        </w:rPr>
        <w:t xml:space="preserve"> G H McWilliam, ‘Translators Introduction’ in Giovanni Boccaccio, </w:t>
      </w:r>
      <w:r w:rsidRPr="000663B4">
        <w:rPr>
          <w:rFonts w:ascii="Times New Roman" w:hAnsi="Times New Roman" w:cs="Times New Roman"/>
          <w:i/>
          <w:iCs/>
        </w:rPr>
        <w:t>The Decameron</w:t>
      </w:r>
      <w:r w:rsidRPr="000663B4">
        <w:rPr>
          <w:rFonts w:ascii="Times New Roman" w:hAnsi="Times New Roman" w:cs="Times New Roman"/>
        </w:rPr>
        <w:t xml:space="preserve">, trans. G. H. McWilliam (London: Penguin Books, 2003) </w:t>
      </w:r>
      <w:proofErr w:type="spellStart"/>
      <w:proofErr w:type="gramStart"/>
      <w:r w:rsidRPr="000663B4">
        <w:rPr>
          <w:rFonts w:ascii="Times New Roman" w:hAnsi="Times New Roman" w:cs="Times New Roman"/>
        </w:rPr>
        <w:t>p.xliv</w:t>
      </w:r>
      <w:proofErr w:type="spellEnd"/>
      <w:r w:rsidRPr="000663B4">
        <w:rPr>
          <w:rFonts w:ascii="Times New Roman" w:hAnsi="Times New Roman" w:cs="Times New Roman"/>
        </w:rPr>
        <w:t>.</w:t>
      </w:r>
      <w:proofErr w:type="gramEnd"/>
      <w:r w:rsidR="00072752" w:rsidRPr="000663B4">
        <w:rPr>
          <w:rFonts w:ascii="Times New Roman" w:hAnsi="Times New Roman" w:cs="Times New Roman"/>
        </w:rPr>
        <w:t xml:space="preserve"> </w:t>
      </w:r>
      <w:r w:rsidRPr="000663B4">
        <w:rPr>
          <w:rFonts w:ascii="Times New Roman" w:hAnsi="Times New Roman" w:cs="Times New Roman"/>
        </w:rPr>
        <w:t xml:space="preserve">Paul the Deacon, </w:t>
      </w:r>
      <w:r w:rsidRPr="000663B4">
        <w:rPr>
          <w:rFonts w:ascii="Times New Roman" w:hAnsi="Times New Roman" w:cs="Times New Roman"/>
          <w:i/>
          <w:iCs/>
        </w:rPr>
        <w:t xml:space="preserve">History of the </w:t>
      </w:r>
      <w:proofErr w:type="spellStart"/>
      <w:r w:rsidRPr="000663B4">
        <w:rPr>
          <w:rFonts w:ascii="Times New Roman" w:hAnsi="Times New Roman" w:cs="Times New Roman"/>
          <w:i/>
          <w:iCs/>
        </w:rPr>
        <w:t>Lombards</w:t>
      </w:r>
      <w:proofErr w:type="spellEnd"/>
      <w:r w:rsidRPr="000663B4">
        <w:rPr>
          <w:rFonts w:ascii="Times New Roman" w:hAnsi="Times New Roman" w:cs="Times New Roman"/>
        </w:rPr>
        <w:t xml:space="preserve">, trans. William Dudley </w:t>
      </w:r>
      <w:proofErr w:type="spellStart"/>
      <w:r w:rsidRPr="000663B4">
        <w:rPr>
          <w:rFonts w:ascii="Times New Roman" w:hAnsi="Times New Roman" w:cs="Times New Roman"/>
        </w:rPr>
        <w:t>Foulke</w:t>
      </w:r>
      <w:proofErr w:type="spellEnd"/>
      <w:r w:rsidRPr="000663B4">
        <w:rPr>
          <w:rFonts w:ascii="Times New Roman" w:hAnsi="Times New Roman" w:cs="Times New Roman"/>
        </w:rPr>
        <w:t>, ed. Edward Peters (Pennsylvania: University of Pennsylvania Press, 1975).</w:t>
      </w:r>
    </w:p>
  </w:footnote>
  <w:footnote w:id="12">
    <w:p w14:paraId="291E6C11" w14:textId="6D88509C" w:rsidR="00B42237" w:rsidRPr="000663B4" w:rsidRDefault="00B42237" w:rsidP="00B42237">
      <w:pPr>
        <w:pStyle w:val="FootnoteText"/>
        <w:rPr>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McWilliam, ‘Translators Introduction’ in </w:t>
      </w:r>
      <w:r w:rsidRPr="000663B4">
        <w:rPr>
          <w:rFonts w:ascii="Times New Roman" w:hAnsi="Times New Roman" w:cs="Times New Roman"/>
          <w:i/>
          <w:iCs/>
        </w:rPr>
        <w:t>The Decameron</w:t>
      </w:r>
      <w:r w:rsidRPr="000663B4">
        <w:rPr>
          <w:rFonts w:ascii="Times New Roman" w:hAnsi="Times New Roman" w:cs="Times New Roman"/>
        </w:rPr>
        <w:t xml:space="preserve">, </w:t>
      </w:r>
      <w:proofErr w:type="spellStart"/>
      <w:r w:rsidRPr="000663B4">
        <w:rPr>
          <w:rFonts w:ascii="Times New Roman" w:hAnsi="Times New Roman" w:cs="Times New Roman"/>
          <w:lang w:val="en-US"/>
        </w:rPr>
        <w:t>p.liv</w:t>
      </w:r>
      <w:proofErr w:type="spellEnd"/>
      <w:r w:rsidRPr="000663B4">
        <w:rPr>
          <w:rFonts w:ascii="Times New Roman" w:hAnsi="Times New Roman" w:cs="Times New Roman"/>
          <w:lang w:val="en-US"/>
        </w:rPr>
        <w:t>.</w:t>
      </w:r>
    </w:p>
  </w:footnote>
  <w:footnote w:id="13">
    <w:p w14:paraId="56B6227F" w14:textId="77777777" w:rsidR="00286848" w:rsidRPr="000663B4" w:rsidRDefault="00286848" w:rsidP="00286848">
      <w:pPr>
        <w:pStyle w:val="FootnoteText"/>
        <w:rPr>
          <w:rFonts w:ascii="Times New Roman" w:hAnsi="Times New Roman" w:cs="Times New Roman"/>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Ian Buchanan, ‘historicism’, </w:t>
      </w:r>
      <w:r w:rsidRPr="000663B4">
        <w:rPr>
          <w:rFonts w:ascii="Times New Roman" w:hAnsi="Times New Roman" w:cs="Times New Roman"/>
          <w:i/>
          <w:iCs/>
          <w:lang w:val="en-US"/>
        </w:rPr>
        <w:t xml:space="preserve">Dictionary of Critical </w:t>
      </w:r>
      <w:r w:rsidRPr="000663B4">
        <w:rPr>
          <w:rFonts w:ascii="Times New Roman" w:hAnsi="Times New Roman" w:cs="Times New Roman"/>
          <w:lang w:val="en-US"/>
        </w:rPr>
        <w:t>Thinking</w:t>
      </w:r>
      <w:r w:rsidRPr="000663B4">
        <w:rPr>
          <w:rFonts w:ascii="Times New Roman" w:hAnsi="Times New Roman" w:cs="Times New Roman"/>
          <w:i/>
          <w:iCs/>
          <w:lang w:val="en-US"/>
        </w:rPr>
        <w:t xml:space="preserve"> </w:t>
      </w:r>
      <w:r w:rsidRPr="000663B4">
        <w:rPr>
          <w:rFonts w:ascii="Times New Roman" w:hAnsi="Times New Roman" w:cs="Times New Roman"/>
          <w:lang w:val="en-US"/>
        </w:rPr>
        <w:t>(Oxford: Oxford University Press, 2010</w:t>
      </w:r>
      <w:r w:rsidRPr="000663B4">
        <w:rPr>
          <w:rFonts w:ascii="Times New Roman" w:hAnsi="Times New Roman" w:cs="Times New Roman"/>
          <w:i/>
          <w:iCs/>
          <w:lang w:val="en-US"/>
        </w:rPr>
        <w:t>)</w:t>
      </w:r>
      <w:r w:rsidRPr="000663B4">
        <w:rPr>
          <w:rFonts w:ascii="Times New Roman" w:hAnsi="Times New Roman" w:cs="Times New Roman"/>
          <w:lang w:val="en-US"/>
        </w:rPr>
        <w:t xml:space="preserve"> </w:t>
      </w:r>
      <w:r w:rsidRPr="000663B4">
        <w:rPr>
          <w:rFonts w:ascii="Times New Roman" w:hAnsi="Times New Roman" w:cs="Times New Roman"/>
          <w:i/>
          <w:iCs/>
          <w:lang w:val="en-US"/>
        </w:rPr>
        <w:t xml:space="preserve">Oxford </w:t>
      </w:r>
      <w:r w:rsidRPr="000663B4">
        <w:rPr>
          <w:rFonts w:ascii="Times New Roman" w:hAnsi="Times New Roman" w:cs="Times New Roman"/>
          <w:lang w:val="en-US"/>
        </w:rPr>
        <w:t>Reference</w:t>
      </w:r>
      <w:r w:rsidRPr="000663B4">
        <w:rPr>
          <w:rFonts w:ascii="Times New Roman" w:hAnsi="Times New Roman" w:cs="Times New Roman"/>
          <w:i/>
          <w:iCs/>
          <w:lang w:val="en-US"/>
        </w:rPr>
        <w:t xml:space="preserve"> </w:t>
      </w:r>
      <w:r w:rsidRPr="000663B4">
        <w:rPr>
          <w:rFonts w:ascii="Times New Roman" w:hAnsi="Times New Roman" w:cs="Times New Roman"/>
          <w:lang w:val="en-US"/>
        </w:rPr>
        <w:t>&lt;</w:t>
      </w:r>
      <w:r w:rsidRPr="000663B4">
        <w:rPr>
          <w:rFonts w:ascii="Times New Roman" w:hAnsi="Times New Roman" w:cs="Times New Roman"/>
        </w:rPr>
        <w:t>https://www.oxfordreference.com/view/10.1093/acref/9780199532919.001.0001/acref-9780199532919-e-323&gt; [Date Accessed: 20 April 2020].</w:t>
      </w:r>
    </w:p>
  </w:footnote>
  <w:footnote w:id="14">
    <w:p w14:paraId="24565887" w14:textId="77777777" w:rsidR="00286848" w:rsidRPr="00F34618" w:rsidRDefault="00286848" w:rsidP="00286848">
      <w:pPr>
        <w:pStyle w:val="FootnoteText"/>
        <w:rPr>
          <w:rFonts w:ascii="Times New Roman" w:hAnsi="Times New Roman" w:cs="Times New Roman"/>
          <w:vertAlign w:val="subscript"/>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w:t>
      </w:r>
      <w:r w:rsidRPr="000663B4">
        <w:rPr>
          <w:rFonts w:ascii="Times New Roman" w:hAnsi="Times New Roman" w:cs="Times New Roman"/>
          <w:lang w:val="en-US"/>
        </w:rPr>
        <w:t xml:space="preserve">Geoffrey le Baker, </w:t>
      </w:r>
      <w:r w:rsidRPr="000663B4">
        <w:rPr>
          <w:rFonts w:ascii="Times New Roman" w:hAnsi="Times New Roman" w:cs="Times New Roman"/>
          <w:i/>
          <w:iCs/>
          <w:lang w:val="en-US"/>
        </w:rPr>
        <w:t>The Chronicle of Geoffrey le Baker of Swinbrook</w:t>
      </w:r>
      <w:r w:rsidRPr="000663B4">
        <w:rPr>
          <w:rFonts w:ascii="Times New Roman" w:hAnsi="Times New Roman" w:cs="Times New Roman"/>
          <w:vertAlign w:val="subscript"/>
          <w:lang w:val="en-US"/>
        </w:rPr>
        <w:t xml:space="preserve">, </w:t>
      </w:r>
      <w:r w:rsidRPr="000663B4">
        <w:rPr>
          <w:rFonts w:ascii="Times New Roman" w:hAnsi="Times New Roman" w:cs="Times New Roman"/>
          <w:lang w:val="en-US"/>
        </w:rPr>
        <w:t xml:space="preserve">trans. David </w:t>
      </w:r>
      <w:proofErr w:type="spellStart"/>
      <w:r w:rsidRPr="000663B4">
        <w:rPr>
          <w:rFonts w:ascii="Times New Roman" w:hAnsi="Times New Roman" w:cs="Times New Roman"/>
          <w:lang w:val="en-US"/>
        </w:rPr>
        <w:t>Preest</w:t>
      </w:r>
      <w:proofErr w:type="spellEnd"/>
      <w:r w:rsidRPr="000663B4">
        <w:rPr>
          <w:rFonts w:ascii="Times New Roman" w:hAnsi="Times New Roman" w:cs="Times New Roman"/>
          <w:lang w:val="en-US"/>
        </w:rPr>
        <w:t>, intro. Richard Barber (Woodbridge: Boydell Press, 2018).</w:t>
      </w:r>
    </w:p>
  </w:footnote>
  <w:footnote w:id="15">
    <w:p w14:paraId="0723F646" w14:textId="112C9AC3" w:rsidR="00B42237" w:rsidRPr="000663B4" w:rsidRDefault="00B42237" w:rsidP="00B42237">
      <w:pPr>
        <w:pStyle w:val="FootnoteText"/>
        <w:rPr>
          <w:rFonts w:ascii="Times New Roman" w:hAnsi="Times New Roman" w:cs="Times New Roman"/>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Ziegler, </w:t>
      </w:r>
      <w:r w:rsidRPr="000663B4">
        <w:rPr>
          <w:rFonts w:ascii="Times New Roman" w:hAnsi="Times New Roman" w:cs="Times New Roman"/>
          <w:i/>
          <w:iCs/>
        </w:rPr>
        <w:t>The Black Death</w:t>
      </w:r>
      <w:r w:rsidRPr="000663B4">
        <w:rPr>
          <w:rFonts w:ascii="Times New Roman" w:hAnsi="Times New Roman" w:cs="Times New Roman"/>
        </w:rPr>
        <w:t>.</w:t>
      </w:r>
      <w:r w:rsidR="00286848" w:rsidRPr="000663B4">
        <w:rPr>
          <w:rFonts w:ascii="Times New Roman" w:hAnsi="Times New Roman" w:cs="Times New Roman"/>
          <w:lang w:val="en-US"/>
        </w:rPr>
        <w:t xml:space="preserve"> </w:t>
      </w:r>
      <w:r w:rsidRPr="000663B4">
        <w:rPr>
          <w:rFonts w:ascii="Times New Roman" w:hAnsi="Times New Roman" w:cs="Times New Roman"/>
          <w:lang w:val="en-US"/>
        </w:rPr>
        <w:t xml:space="preserve">William H. McNeill, </w:t>
      </w:r>
      <w:r w:rsidRPr="000663B4">
        <w:rPr>
          <w:rFonts w:ascii="Times New Roman" w:hAnsi="Times New Roman" w:cs="Times New Roman"/>
          <w:i/>
          <w:iCs/>
          <w:lang w:val="en-US"/>
        </w:rPr>
        <w:t xml:space="preserve">Plagues and People </w:t>
      </w:r>
      <w:r w:rsidRPr="000663B4">
        <w:rPr>
          <w:rFonts w:ascii="Times New Roman" w:hAnsi="Times New Roman" w:cs="Times New Roman"/>
          <w:lang w:val="en-US"/>
        </w:rPr>
        <w:t>(New York: Anchor Books, 1976).</w:t>
      </w:r>
    </w:p>
  </w:footnote>
  <w:footnote w:id="16">
    <w:p w14:paraId="09AB8791" w14:textId="77777777" w:rsidR="00B42237" w:rsidRPr="000663B4" w:rsidRDefault="00B42237" w:rsidP="00B42237">
      <w:pPr>
        <w:pStyle w:val="FootnoteText"/>
        <w:rPr>
          <w:rFonts w:ascii="Times New Roman" w:hAnsi="Times New Roman" w:cs="Times New Roman"/>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w:t>
      </w:r>
      <w:r w:rsidRPr="000663B4">
        <w:rPr>
          <w:rFonts w:ascii="Times New Roman" w:hAnsi="Times New Roman" w:cs="Times New Roman"/>
          <w:lang w:val="en-US"/>
        </w:rPr>
        <w:t xml:space="preserve">Ziegler, </w:t>
      </w:r>
      <w:r w:rsidRPr="000663B4">
        <w:rPr>
          <w:rFonts w:ascii="Times New Roman" w:hAnsi="Times New Roman" w:cs="Times New Roman"/>
          <w:i/>
          <w:iCs/>
          <w:lang w:val="en-US"/>
        </w:rPr>
        <w:t>The Black Death</w:t>
      </w:r>
      <w:r w:rsidRPr="000663B4">
        <w:rPr>
          <w:rFonts w:ascii="Times New Roman" w:hAnsi="Times New Roman" w:cs="Times New Roman"/>
          <w:lang w:val="en-US"/>
        </w:rPr>
        <w:t>, p.37.</w:t>
      </w:r>
    </w:p>
  </w:footnote>
  <w:footnote w:id="17">
    <w:p w14:paraId="147C78A1" w14:textId="1881DE96" w:rsidR="00B42237" w:rsidRPr="00225112" w:rsidRDefault="00B42237" w:rsidP="00B42237">
      <w:pPr>
        <w:pStyle w:val="FootnoteText"/>
        <w:rPr>
          <w:rFonts w:ascii="Times New Roman" w:hAnsi="Times New Roman" w:cs="Times New Roman"/>
          <w:color w:val="0099CC"/>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w:t>
      </w:r>
      <w:r w:rsidRPr="000663B4">
        <w:rPr>
          <w:rFonts w:ascii="Times New Roman" w:hAnsi="Times New Roman" w:cs="Times New Roman"/>
          <w:i/>
          <w:iCs/>
          <w:lang w:val="en-US"/>
        </w:rPr>
        <w:t>The Black Death</w:t>
      </w:r>
      <w:r w:rsidRPr="000663B4">
        <w:rPr>
          <w:rFonts w:ascii="Times New Roman" w:hAnsi="Times New Roman" w:cs="Times New Roman"/>
          <w:lang w:val="en-US"/>
        </w:rPr>
        <w:t xml:space="preserve">, ed. Rosemary </w:t>
      </w:r>
      <w:proofErr w:type="spellStart"/>
      <w:r w:rsidRPr="000663B4">
        <w:rPr>
          <w:rFonts w:ascii="Times New Roman" w:hAnsi="Times New Roman" w:cs="Times New Roman"/>
          <w:lang w:val="en-US"/>
        </w:rPr>
        <w:t>Horrox</w:t>
      </w:r>
      <w:proofErr w:type="spellEnd"/>
      <w:r w:rsidR="00072752" w:rsidRPr="000663B4">
        <w:rPr>
          <w:rFonts w:ascii="Times New Roman" w:hAnsi="Times New Roman" w:cs="Times New Roman"/>
          <w:lang w:val="en-US"/>
        </w:rPr>
        <w:t xml:space="preserve">. </w:t>
      </w:r>
    </w:p>
  </w:footnote>
  <w:footnote w:id="18">
    <w:p w14:paraId="062C7FC0" w14:textId="77777777" w:rsidR="00B42237" w:rsidRPr="00874253" w:rsidRDefault="00B42237" w:rsidP="00B42237">
      <w:pPr>
        <w:pStyle w:val="FootnoteText"/>
        <w:rPr>
          <w:rFonts w:ascii="Times New Roman" w:hAnsi="Times New Roman" w:cs="Times New Roman"/>
          <w:lang w:val="en-US"/>
        </w:rPr>
      </w:pPr>
      <w:r w:rsidRPr="00874253">
        <w:rPr>
          <w:rStyle w:val="FootnoteReference"/>
          <w:rFonts w:ascii="Times New Roman" w:hAnsi="Times New Roman" w:cs="Times New Roman"/>
        </w:rPr>
        <w:footnoteRef/>
      </w:r>
      <w:r w:rsidRPr="00874253">
        <w:rPr>
          <w:rFonts w:ascii="Times New Roman" w:hAnsi="Times New Roman" w:cs="Times New Roman"/>
        </w:rPr>
        <w:t xml:space="preserve"> </w:t>
      </w:r>
      <w:r w:rsidRPr="00874253">
        <w:rPr>
          <w:rFonts w:ascii="Times New Roman" w:hAnsi="Times New Roman" w:cs="Times New Roman"/>
          <w:lang w:val="en-US"/>
        </w:rPr>
        <w:t xml:space="preserve">Ian Mortimer, </w:t>
      </w:r>
      <w:r w:rsidRPr="00874253">
        <w:rPr>
          <w:rFonts w:ascii="Times New Roman" w:hAnsi="Times New Roman" w:cs="Times New Roman"/>
          <w:i/>
          <w:iCs/>
        </w:rPr>
        <w:t xml:space="preserve">The Time Traveller’s Guide </w:t>
      </w:r>
      <w:proofErr w:type="gramStart"/>
      <w:r w:rsidRPr="00874253">
        <w:rPr>
          <w:rFonts w:ascii="Times New Roman" w:hAnsi="Times New Roman" w:cs="Times New Roman"/>
          <w:i/>
          <w:iCs/>
        </w:rPr>
        <w:t>To</w:t>
      </w:r>
      <w:proofErr w:type="gramEnd"/>
      <w:r w:rsidRPr="00874253">
        <w:rPr>
          <w:rFonts w:ascii="Times New Roman" w:hAnsi="Times New Roman" w:cs="Times New Roman"/>
          <w:i/>
          <w:iCs/>
        </w:rPr>
        <w:t xml:space="preserve"> Medieval England </w:t>
      </w:r>
      <w:r w:rsidRPr="00874253">
        <w:rPr>
          <w:rFonts w:ascii="Times New Roman" w:hAnsi="Times New Roman" w:cs="Times New Roman"/>
        </w:rPr>
        <w:t xml:space="preserve">(London: Vintage Books, 2009) </w:t>
      </w:r>
      <w:r w:rsidRPr="00874253">
        <w:rPr>
          <w:rFonts w:ascii="Times New Roman" w:hAnsi="Times New Roman" w:cs="Times New Roman"/>
          <w:lang w:val="en-US"/>
        </w:rPr>
        <w:t>p.5.</w:t>
      </w:r>
    </w:p>
  </w:footnote>
  <w:footnote w:id="19">
    <w:p w14:paraId="742D9242" w14:textId="1A90549D" w:rsidR="00B42237" w:rsidRPr="00874253" w:rsidRDefault="00B42237" w:rsidP="00B42237">
      <w:pPr>
        <w:spacing w:after="0"/>
        <w:rPr>
          <w:rFonts w:ascii="Times New Roman" w:hAnsi="Times New Roman" w:cs="Times New Roman"/>
          <w:i/>
          <w:iCs/>
          <w:sz w:val="20"/>
          <w:szCs w:val="20"/>
        </w:rPr>
      </w:pPr>
      <w:r w:rsidRPr="00874253">
        <w:rPr>
          <w:rStyle w:val="FootnoteReference"/>
          <w:rFonts w:ascii="Times New Roman" w:hAnsi="Times New Roman" w:cs="Times New Roman"/>
          <w:sz w:val="20"/>
          <w:szCs w:val="20"/>
        </w:rPr>
        <w:footnoteRef/>
      </w:r>
      <w:r w:rsidRPr="00874253">
        <w:rPr>
          <w:rFonts w:ascii="Times New Roman" w:hAnsi="Times New Roman" w:cs="Times New Roman"/>
          <w:sz w:val="20"/>
          <w:szCs w:val="20"/>
        </w:rPr>
        <w:t xml:space="preserve"> John Hatcher, </w:t>
      </w:r>
      <w:r w:rsidRPr="00874253">
        <w:rPr>
          <w:rFonts w:ascii="Times New Roman" w:hAnsi="Times New Roman" w:cs="Times New Roman"/>
          <w:i/>
          <w:iCs/>
          <w:sz w:val="20"/>
          <w:szCs w:val="20"/>
        </w:rPr>
        <w:t>The Black Death</w:t>
      </w:r>
      <w:r w:rsidR="00874253">
        <w:rPr>
          <w:rFonts w:ascii="Times New Roman" w:hAnsi="Times New Roman" w:cs="Times New Roman"/>
          <w:i/>
          <w:iCs/>
          <w:sz w:val="20"/>
          <w:szCs w:val="20"/>
        </w:rPr>
        <w:t xml:space="preserve">: </w:t>
      </w:r>
      <w:r w:rsidRPr="00874253">
        <w:rPr>
          <w:rFonts w:ascii="Times New Roman" w:hAnsi="Times New Roman" w:cs="Times New Roman"/>
          <w:i/>
          <w:iCs/>
          <w:sz w:val="20"/>
          <w:szCs w:val="20"/>
        </w:rPr>
        <w:t xml:space="preserve">An Intimate History </w:t>
      </w:r>
      <w:r w:rsidRPr="00874253">
        <w:rPr>
          <w:rFonts w:ascii="Times New Roman" w:hAnsi="Times New Roman" w:cs="Times New Roman"/>
          <w:sz w:val="20"/>
          <w:szCs w:val="20"/>
        </w:rPr>
        <w:t xml:space="preserve">(London: Weidenfeld and Nicolson, 2008) </w:t>
      </w:r>
      <w:proofErr w:type="spellStart"/>
      <w:proofErr w:type="gramStart"/>
      <w:r w:rsidRPr="00874253">
        <w:rPr>
          <w:rFonts w:ascii="Times New Roman" w:hAnsi="Times New Roman" w:cs="Times New Roman"/>
          <w:sz w:val="20"/>
          <w:szCs w:val="20"/>
        </w:rPr>
        <w:t>p.</w:t>
      </w:r>
      <w:r w:rsidR="00FC0898" w:rsidRPr="00874253">
        <w:rPr>
          <w:rFonts w:ascii="Times New Roman" w:hAnsi="Times New Roman" w:cs="Times New Roman"/>
          <w:sz w:val="20"/>
          <w:szCs w:val="20"/>
        </w:rPr>
        <w:t>xiii</w:t>
      </w:r>
      <w:proofErr w:type="spellEnd"/>
      <w:r w:rsidRPr="00874253">
        <w:rPr>
          <w:rFonts w:ascii="Times New Roman" w:hAnsi="Times New Roman" w:cs="Times New Roman"/>
          <w:sz w:val="20"/>
          <w:szCs w:val="20"/>
        </w:rPr>
        <w:t>.</w:t>
      </w:r>
      <w:proofErr w:type="gramEnd"/>
    </w:p>
  </w:footnote>
  <w:footnote w:id="20">
    <w:p w14:paraId="3430D6E2" w14:textId="77777777"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Pr="0072205B">
        <w:rPr>
          <w:rFonts w:ascii="Times New Roman" w:hAnsi="Times New Roman" w:cs="Times New Roman"/>
          <w:lang w:val="en-US"/>
        </w:rPr>
        <w:t xml:space="preserve">Ziegler, </w:t>
      </w:r>
      <w:r w:rsidRPr="0072205B">
        <w:rPr>
          <w:rFonts w:ascii="Times New Roman" w:hAnsi="Times New Roman" w:cs="Times New Roman"/>
          <w:i/>
          <w:iCs/>
          <w:lang w:val="en-US"/>
        </w:rPr>
        <w:t>The Black Death</w:t>
      </w:r>
      <w:r w:rsidRPr="0072205B">
        <w:rPr>
          <w:rFonts w:ascii="Times New Roman" w:hAnsi="Times New Roman" w:cs="Times New Roman"/>
          <w:lang w:val="en-US"/>
        </w:rPr>
        <w:t>, p.36.</w:t>
      </w:r>
    </w:p>
  </w:footnote>
  <w:footnote w:id="21">
    <w:p w14:paraId="50B073D8" w14:textId="4F644849" w:rsidR="00B42237" w:rsidRPr="0072205B" w:rsidRDefault="00B42237" w:rsidP="00B42237">
      <w:pPr>
        <w:pStyle w:val="FootnoteText"/>
        <w:rPr>
          <w:rFonts w:ascii="Times New Roman" w:hAnsi="Times New Roman" w:cs="Times New Roman"/>
        </w:rPr>
      </w:pPr>
      <w:r w:rsidRPr="0072205B">
        <w:rPr>
          <w:rStyle w:val="FootnoteReference"/>
          <w:rFonts w:ascii="Times New Roman" w:hAnsi="Times New Roman" w:cs="Times New Roman"/>
        </w:rPr>
        <w:footnoteRef/>
      </w:r>
      <w:r w:rsidRPr="0072205B">
        <w:rPr>
          <w:rFonts w:ascii="Times New Roman" w:hAnsi="Times New Roman" w:cs="Times New Roman"/>
        </w:rPr>
        <w:t xml:space="preserve"> “From Petrarch to Socrates” </w:t>
      </w:r>
      <w:r w:rsidRPr="0072205B">
        <w:rPr>
          <w:rFonts w:ascii="Times New Roman" w:hAnsi="Times New Roman" w:cs="Times New Roman"/>
          <w:i/>
          <w:iCs/>
        </w:rPr>
        <w:t>The Voice of the Middle Ages</w:t>
      </w:r>
      <w:r w:rsidRPr="0072205B">
        <w:rPr>
          <w:rFonts w:ascii="Times New Roman" w:hAnsi="Times New Roman" w:cs="Times New Roman"/>
        </w:rPr>
        <w:t>, p.324.</w:t>
      </w:r>
    </w:p>
  </w:footnote>
  <w:footnote w:id="22">
    <w:p w14:paraId="1C58F3D9" w14:textId="5ACEE179"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lang w:val="en-US"/>
        </w:rPr>
        <w:t xml:space="preserve"> </w:t>
      </w:r>
      <w:r w:rsidRPr="0072205B">
        <w:rPr>
          <w:rFonts w:ascii="Times New Roman" w:hAnsi="Times New Roman" w:cs="Times New Roman"/>
        </w:rPr>
        <w:t xml:space="preserve">Boccaccio, </w:t>
      </w:r>
      <w:r w:rsidRPr="0072205B">
        <w:rPr>
          <w:rFonts w:ascii="Times New Roman" w:hAnsi="Times New Roman" w:cs="Times New Roman"/>
          <w:i/>
          <w:iCs/>
        </w:rPr>
        <w:t>The Decameron</w:t>
      </w:r>
      <w:r w:rsidRPr="0072205B">
        <w:rPr>
          <w:rFonts w:ascii="Times New Roman" w:hAnsi="Times New Roman" w:cs="Times New Roman"/>
        </w:rPr>
        <w:t>.</w:t>
      </w:r>
    </w:p>
  </w:footnote>
  <w:footnote w:id="23">
    <w:p w14:paraId="1B8F7F29" w14:textId="639EDF4B"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Pr>
          <w:rFonts w:ascii="Times New Roman" w:hAnsi="Times New Roman" w:cs="Times New Roman"/>
        </w:rPr>
        <w:t xml:space="preserve">, </w:t>
      </w:r>
      <w:r w:rsidRPr="0072205B">
        <w:rPr>
          <w:rFonts w:ascii="Times New Roman" w:hAnsi="Times New Roman" w:cs="Times New Roman"/>
          <w:lang w:val="en-US"/>
        </w:rPr>
        <w:t>p.6.</w:t>
      </w:r>
    </w:p>
  </w:footnote>
  <w:footnote w:id="24">
    <w:p w14:paraId="6B0E0BA1" w14:textId="77A3719C" w:rsidR="00B42237" w:rsidRPr="0084287D" w:rsidRDefault="00B42237" w:rsidP="00B42237">
      <w:pPr>
        <w:pStyle w:val="FootnoteText"/>
        <w:rPr>
          <w:rFonts w:ascii="Arial" w:hAnsi="Arial" w:cs="Arial"/>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Pr>
          <w:rFonts w:ascii="Times New Roman" w:hAnsi="Times New Roman" w:cs="Times New Roman"/>
        </w:rPr>
        <w:t>,</w:t>
      </w:r>
      <w:r w:rsidRPr="0072205B">
        <w:rPr>
          <w:rFonts w:ascii="Times New Roman" w:hAnsi="Times New Roman" w:cs="Times New Roman"/>
          <w:lang w:val="en-US"/>
        </w:rPr>
        <w:t xml:space="preserve"> p.8.</w:t>
      </w:r>
      <w:r w:rsidRPr="0084287D">
        <w:rPr>
          <w:rFonts w:ascii="Arial" w:hAnsi="Arial" w:cs="Arial"/>
          <w:lang w:val="en-US"/>
        </w:rPr>
        <w:t xml:space="preserve"> </w:t>
      </w:r>
    </w:p>
  </w:footnote>
  <w:footnote w:id="25">
    <w:p w14:paraId="2104E18D" w14:textId="77777777" w:rsidR="000078CF" w:rsidRPr="0072205B" w:rsidRDefault="000078CF" w:rsidP="000078CF">
      <w:pPr>
        <w:pStyle w:val="FootnoteText"/>
        <w:rPr>
          <w:rFonts w:ascii="Times New Roman" w:hAnsi="Times New Roman" w:cs="Times New Roman"/>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sidRPr="0072205B">
        <w:rPr>
          <w:rFonts w:ascii="Times New Roman" w:hAnsi="Times New Roman" w:cs="Times New Roman"/>
        </w:rPr>
        <w:t>,</w:t>
      </w:r>
      <w:r>
        <w:rPr>
          <w:rFonts w:ascii="Times New Roman" w:hAnsi="Times New Roman" w:cs="Times New Roman"/>
        </w:rPr>
        <w:t xml:space="preserve"> </w:t>
      </w:r>
      <w:r w:rsidRPr="0072205B">
        <w:rPr>
          <w:rFonts w:ascii="Times New Roman" w:hAnsi="Times New Roman" w:cs="Times New Roman"/>
          <w:lang w:val="en-US"/>
        </w:rPr>
        <w:t xml:space="preserve">p.7. </w:t>
      </w:r>
    </w:p>
  </w:footnote>
  <w:footnote w:id="26">
    <w:p w14:paraId="48D53854" w14:textId="2562A911"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“From Petrarch to Socrates” </w:t>
      </w:r>
      <w:r w:rsidRPr="0072205B">
        <w:rPr>
          <w:rFonts w:ascii="Times New Roman" w:hAnsi="Times New Roman" w:cs="Times New Roman"/>
          <w:i/>
          <w:iCs/>
        </w:rPr>
        <w:t>The Voice of the Middle Ages</w:t>
      </w:r>
      <w:r w:rsidRPr="0072205B">
        <w:rPr>
          <w:rFonts w:ascii="Times New Roman" w:hAnsi="Times New Roman" w:cs="Times New Roman"/>
        </w:rPr>
        <w:t xml:space="preserve">, </w:t>
      </w:r>
      <w:r w:rsidRPr="0072205B">
        <w:rPr>
          <w:rFonts w:ascii="Times New Roman" w:hAnsi="Times New Roman" w:cs="Times New Roman"/>
          <w:lang w:val="en-US"/>
        </w:rPr>
        <w:t>p.322.</w:t>
      </w:r>
    </w:p>
  </w:footnote>
  <w:footnote w:id="27">
    <w:p w14:paraId="0C997F54" w14:textId="45BF69E6" w:rsidR="000F0406" w:rsidRPr="00CD2C89" w:rsidRDefault="000F0406">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“From Petrarch to Socrates” </w:t>
      </w:r>
      <w:r w:rsidRPr="00CD2C89">
        <w:rPr>
          <w:rFonts w:ascii="Times New Roman" w:hAnsi="Times New Roman" w:cs="Times New Roman"/>
          <w:i/>
          <w:iCs/>
        </w:rPr>
        <w:t>The Voice of the Middle Ages</w:t>
      </w:r>
      <w:r w:rsidRPr="00CD2C89">
        <w:rPr>
          <w:rFonts w:ascii="Times New Roman" w:hAnsi="Times New Roman" w:cs="Times New Roman"/>
        </w:rPr>
        <w:t xml:space="preserve">, </w:t>
      </w:r>
      <w:r w:rsidRPr="00CD2C89">
        <w:rPr>
          <w:rFonts w:ascii="Times New Roman" w:hAnsi="Times New Roman" w:cs="Times New Roman"/>
          <w:lang w:val="en-US"/>
        </w:rPr>
        <w:t>p.322.</w:t>
      </w:r>
    </w:p>
  </w:footnote>
  <w:footnote w:id="28">
    <w:p w14:paraId="36DEB938" w14:textId="0425F97D"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r w:rsidRPr="00CD2C89">
        <w:rPr>
          <w:rFonts w:ascii="Times New Roman" w:hAnsi="Times New Roman" w:cs="Times New Roman"/>
        </w:rPr>
        <w:t xml:space="preserve"> </w:t>
      </w:r>
    </w:p>
  </w:footnote>
  <w:footnote w:id="29">
    <w:p w14:paraId="197476DB" w14:textId="6C6DF3BB"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p>
    <w:p w14:paraId="24007D69" w14:textId="5C4BA073" w:rsidR="00B42237" w:rsidRPr="00CD2C89" w:rsidRDefault="009C5507" w:rsidP="00B42237">
      <w:pPr>
        <w:pStyle w:val="FootnoteText"/>
        <w:rPr>
          <w:rFonts w:ascii="Times New Roman" w:hAnsi="Times New Roman" w:cs="Times New Roman"/>
        </w:rPr>
      </w:pPr>
      <w:r w:rsidRPr="00CD2C89">
        <w:rPr>
          <w:rFonts w:ascii="Times New Roman" w:hAnsi="Times New Roman" w:cs="Times New Roman"/>
          <w:lang w:val="en-US"/>
        </w:rPr>
        <w:t xml:space="preserve">McWilliam, </w:t>
      </w:r>
      <w:r w:rsidR="00B42237" w:rsidRPr="00CD2C89">
        <w:rPr>
          <w:rFonts w:ascii="Times New Roman" w:hAnsi="Times New Roman" w:cs="Times New Roman"/>
          <w:lang w:val="en-US"/>
        </w:rPr>
        <w:t>‘Translator’s Introduction’</w:t>
      </w:r>
      <w:r w:rsidR="00B42237" w:rsidRPr="00CD2C89">
        <w:rPr>
          <w:rFonts w:ascii="Times New Roman" w:hAnsi="Times New Roman" w:cs="Times New Roman"/>
        </w:rPr>
        <w:t xml:space="preserve">, </w:t>
      </w:r>
      <w:r w:rsidR="00B42237" w:rsidRPr="00CD2C89">
        <w:rPr>
          <w:rFonts w:ascii="Times New Roman" w:hAnsi="Times New Roman" w:cs="Times New Roman"/>
          <w:i/>
          <w:iCs/>
        </w:rPr>
        <w:t>The Decameron</w:t>
      </w:r>
      <w:r w:rsidR="00B42237" w:rsidRPr="00CD2C89">
        <w:rPr>
          <w:rFonts w:ascii="Times New Roman" w:hAnsi="Times New Roman" w:cs="Times New Roman"/>
        </w:rPr>
        <w:t xml:space="preserve">, </w:t>
      </w:r>
      <w:proofErr w:type="spellStart"/>
      <w:proofErr w:type="gramStart"/>
      <w:r w:rsidR="00B42237" w:rsidRPr="00CD2C89">
        <w:rPr>
          <w:rFonts w:ascii="Times New Roman" w:hAnsi="Times New Roman" w:cs="Times New Roman"/>
        </w:rPr>
        <w:t>p.xlii</w:t>
      </w:r>
      <w:proofErr w:type="spellEnd"/>
      <w:r w:rsidR="00B42237" w:rsidRPr="00CD2C89">
        <w:rPr>
          <w:rFonts w:ascii="Times New Roman" w:hAnsi="Times New Roman" w:cs="Times New Roman"/>
        </w:rPr>
        <w:t>.</w:t>
      </w:r>
      <w:proofErr w:type="gramEnd"/>
    </w:p>
  </w:footnote>
  <w:footnote w:id="30">
    <w:p w14:paraId="41D7F46B" w14:textId="11DA962B"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 xml:space="preserve">https://sourcebooks.fordham.edu/med/marchione.asp&gt; [Date Accessed: 24 March 2020]. </w:t>
      </w:r>
    </w:p>
  </w:footnote>
  <w:footnote w:id="31">
    <w:p w14:paraId="14C88D75" w14:textId="250FBF01" w:rsidR="00B42237" w:rsidRPr="002170A8"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Boccaccio, </w:t>
      </w:r>
      <w:r w:rsidRPr="00CD2C89">
        <w:rPr>
          <w:rFonts w:ascii="Times New Roman" w:hAnsi="Times New Roman" w:cs="Times New Roman"/>
          <w:i/>
          <w:iCs/>
        </w:rPr>
        <w:t>The Decameron</w:t>
      </w:r>
      <w:r w:rsidRPr="00CD2C89">
        <w:rPr>
          <w:rFonts w:ascii="Times New Roman" w:hAnsi="Times New Roman" w:cs="Times New Roman"/>
        </w:rPr>
        <w:t>, pp.8-9.</w:t>
      </w:r>
    </w:p>
  </w:footnote>
  <w:footnote w:id="32">
    <w:p w14:paraId="6CE77A26" w14:textId="26432452" w:rsidR="00B42237" w:rsidRPr="002170A8" w:rsidRDefault="00B42237" w:rsidP="00B42237">
      <w:pPr>
        <w:pStyle w:val="FootnoteText"/>
        <w:rPr>
          <w:rFonts w:ascii="Times New Roman" w:hAnsi="Times New Roman" w:cs="Times New Roman"/>
          <w:lang w:val="en-US"/>
        </w:rPr>
      </w:pPr>
      <w:r w:rsidRPr="002170A8">
        <w:rPr>
          <w:rStyle w:val="FootnoteReference"/>
          <w:rFonts w:ascii="Times New Roman" w:hAnsi="Times New Roman" w:cs="Times New Roman"/>
        </w:rPr>
        <w:footnoteRef/>
      </w:r>
      <w:r w:rsidRPr="002170A8">
        <w:rPr>
          <w:rFonts w:ascii="Times New Roman" w:hAnsi="Times New Roman" w:cs="Times New Roman"/>
        </w:rPr>
        <w:t xml:space="preserve"> </w:t>
      </w:r>
      <w:r w:rsidRPr="002170A8">
        <w:rPr>
          <w:rFonts w:ascii="Times New Roman" w:hAnsi="Times New Roman" w:cs="Times New Roman"/>
          <w:lang w:val="en-US"/>
        </w:rPr>
        <w:t xml:space="preserve">Bonaiuti, </w:t>
      </w:r>
      <w:r w:rsidRPr="002170A8">
        <w:rPr>
          <w:rFonts w:ascii="Times New Roman" w:hAnsi="Times New Roman" w:cs="Times New Roman"/>
          <w:i/>
          <w:iCs/>
          <w:lang w:val="en-US"/>
        </w:rPr>
        <w:t xml:space="preserve">Cronaca Fiorentina </w:t>
      </w:r>
      <w:r w:rsidRPr="002170A8">
        <w:rPr>
          <w:rFonts w:ascii="Times New Roman" w:hAnsi="Times New Roman" w:cs="Times New Roman"/>
          <w:lang w:val="en-US"/>
        </w:rPr>
        <w:t>&lt;</w:t>
      </w:r>
      <w:r w:rsidRPr="002170A8">
        <w:rPr>
          <w:rFonts w:ascii="Times New Roman" w:hAnsi="Times New Roman" w:cs="Times New Roman"/>
        </w:rPr>
        <w:t>https://sourcebooks.fordham.edu/med/marchione.asp&gt; [Date Accessed: 24 March 2020].</w:t>
      </w:r>
      <w:r w:rsidRPr="002170A8">
        <w:rPr>
          <w:rFonts w:ascii="Times New Roman" w:hAnsi="Times New Roman" w:cs="Times New Roman"/>
          <w:lang w:val="en-US"/>
        </w:rPr>
        <w:t xml:space="preserve"> </w:t>
      </w:r>
      <w:r w:rsidRPr="002170A8">
        <w:rPr>
          <w:rFonts w:ascii="Times New Roman" w:hAnsi="Times New Roman" w:cs="Times New Roman"/>
        </w:rPr>
        <w:t xml:space="preserve"> </w:t>
      </w:r>
    </w:p>
  </w:footnote>
  <w:footnote w:id="33">
    <w:p w14:paraId="0745E9F0" w14:textId="77777777" w:rsidR="00B42237" w:rsidRPr="002170A8" w:rsidRDefault="00B42237" w:rsidP="00B42237">
      <w:pPr>
        <w:pStyle w:val="FootnoteText"/>
        <w:rPr>
          <w:rFonts w:ascii="Times New Roman" w:hAnsi="Times New Roman" w:cs="Times New Roman"/>
          <w:lang w:val="en-US"/>
        </w:rPr>
      </w:pPr>
      <w:r w:rsidRPr="002170A8">
        <w:rPr>
          <w:rStyle w:val="FootnoteReference"/>
          <w:rFonts w:ascii="Times New Roman" w:hAnsi="Times New Roman" w:cs="Times New Roman"/>
        </w:rPr>
        <w:footnoteRef/>
      </w:r>
      <w:r w:rsidRPr="002170A8">
        <w:rPr>
          <w:rFonts w:ascii="Times New Roman" w:hAnsi="Times New Roman" w:cs="Times New Roman"/>
        </w:rPr>
        <w:t xml:space="preserve"> </w:t>
      </w:r>
      <w:r w:rsidRPr="002170A8">
        <w:rPr>
          <w:rFonts w:ascii="Times New Roman" w:hAnsi="Times New Roman" w:cs="Times New Roman"/>
          <w:lang w:val="en-US"/>
        </w:rPr>
        <w:t xml:space="preserve">Benedict Gummer, </w:t>
      </w:r>
      <w:r w:rsidRPr="002170A8">
        <w:rPr>
          <w:rFonts w:ascii="Times New Roman" w:hAnsi="Times New Roman" w:cs="Times New Roman"/>
          <w:i/>
          <w:iCs/>
          <w:lang w:val="en-US"/>
        </w:rPr>
        <w:t xml:space="preserve">The Scourging Angel: The Black Death in the British Isles </w:t>
      </w:r>
      <w:r w:rsidRPr="002170A8">
        <w:rPr>
          <w:rFonts w:ascii="Times New Roman" w:hAnsi="Times New Roman" w:cs="Times New Roman"/>
          <w:lang w:val="en-US"/>
        </w:rPr>
        <w:t xml:space="preserve">(London: Vintage Books, 2010) p.211. </w:t>
      </w:r>
    </w:p>
  </w:footnote>
  <w:footnote w:id="34">
    <w:p w14:paraId="202C3F7B" w14:textId="77777777" w:rsidR="00B42237" w:rsidRPr="002170A8" w:rsidRDefault="00B42237" w:rsidP="00B42237">
      <w:pPr>
        <w:pStyle w:val="FootnoteText"/>
        <w:rPr>
          <w:rFonts w:ascii="Times New Roman" w:hAnsi="Times New Roman" w:cs="Times New Roman"/>
          <w:lang w:val="en-US"/>
        </w:rPr>
      </w:pPr>
      <w:r w:rsidRPr="002170A8">
        <w:rPr>
          <w:rStyle w:val="FootnoteReference"/>
          <w:rFonts w:ascii="Times New Roman" w:hAnsi="Times New Roman" w:cs="Times New Roman"/>
        </w:rPr>
        <w:footnoteRef/>
      </w:r>
      <w:r w:rsidRPr="002170A8">
        <w:rPr>
          <w:rFonts w:ascii="Times New Roman" w:hAnsi="Times New Roman" w:cs="Times New Roman"/>
        </w:rPr>
        <w:t xml:space="preserve"> </w:t>
      </w:r>
      <w:r w:rsidRPr="002170A8">
        <w:rPr>
          <w:rFonts w:ascii="Times New Roman" w:hAnsi="Times New Roman" w:cs="Times New Roman"/>
          <w:lang w:val="en-US"/>
        </w:rPr>
        <w:t xml:space="preserve">Willard Farnham, ‘England’s Discovery of the Decameron’, </w:t>
      </w:r>
      <w:r w:rsidRPr="002170A8">
        <w:rPr>
          <w:rFonts w:ascii="Times New Roman" w:hAnsi="Times New Roman" w:cs="Times New Roman"/>
          <w:i/>
          <w:iCs/>
          <w:lang w:val="en-US"/>
        </w:rPr>
        <w:t>PMLA,</w:t>
      </w:r>
      <w:r w:rsidRPr="002170A8">
        <w:rPr>
          <w:rFonts w:ascii="Times New Roman" w:hAnsi="Times New Roman" w:cs="Times New Roman"/>
          <w:lang w:val="en-US"/>
        </w:rPr>
        <w:t xml:space="preserve"> </w:t>
      </w:r>
      <w:r>
        <w:rPr>
          <w:rFonts w:ascii="Times New Roman" w:hAnsi="Times New Roman" w:cs="Times New Roman"/>
          <w:lang w:val="en-US"/>
        </w:rPr>
        <w:t>vol.</w:t>
      </w:r>
      <w:r w:rsidRPr="002170A8">
        <w:rPr>
          <w:rFonts w:ascii="Times New Roman" w:hAnsi="Times New Roman" w:cs="Times New Roman"/>
          <w:lang w:val="en-US"/>
        </w:rPr>
        <w:t>39</w:t>
      </w:r>
      <w:r>
        <w:rPr>
          <w:rFonts w:ascii="Times New Roman" w:hAnsi="Times New Roman" w:cs="Times New Roman"/>
          <w:lang w:val="en-US"/>
        </w:rPr>
        <w:t>.</w:t>
      </w:r>
      <w:r w:rsidRPr="002170A8">
        <w:rPr>
          <w:rFonts w:ascii="Times New Roman" w:hAnsi="Times New Roman" w:cs="Times New Roman"/>
          <w:lang w:val="en-US"/>
        </w:rPr>
        <w:t xml:space="preserve">1 (March 1924) 123-139 (p.132). </w:t>
      </w:r>
    </w:p>
  </w:footnote>
  <w:footnote w:id="35">
    <w:p w14:paraId="5C8C1A5D" w14:textId="77777777" w:rsidR="00B42237" w:rsidRPr="002170A8" w:rsidRDefault="00B42237" w:rsidP="00B42237">
      <w:pPr>
        <w:pStyle w:val="FootnoteText"/>
        <w:rPr>
          <w:rFonts w:ascii="Times New Roman" w:hAnsi="Times New Roman" w:cs="Times New Roman"/>
          <w:lang w:val="en-US"/>
        </w:rPr>
      </w:pPr>
      <w:r w:rsidRPr="002170A8">
        <w:rPr>
          <w:rStyle w:val="FootnoteReference"/>
          <w:rFonts w:ascii="Times New Roman" w:hAnsi="Times New Roman" w:cs="Times New Roman"/>
        </w:rPr>
        <w:footnoteRef/>
      </w:r>
      <w:r w:rsidRPr="002170A8">
        <w:rPr>
          <w:rFonts w:ascii="Times New Roman" w:hAnsi="Times New Roman" w:cs="Times New Roman"/>
        </w:rPr>
        <w:t xml:space="preserve"> </w:t>
      </w:r>
      <w:r w:rsidRPr="002170A8">
        <w:rPr>
          <w:rFonts w:ascii="Times New Roman" w:hAnsi="Times New Roman" w:cs="Times New Roman"/>
          <w:lang w:val="en-US"/>
        </w:rPr>
        <w:t>Farnham, ‘England’s Discovery of the Decameron’ p.132.</w:t>
      </w:r>
    </w:p>
  </w:footnote>
  <w:footnote w:id="36">
    <w:p w14:paraId="05DC42F9" w14:textId="0CEDE23E"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“From Petrarch to Socrates” </w:t>
      </w:r>
      <w:r w:rsidRPr="00CD2C89">
        <w:rPr>
          <w:rFonts w:ascii="Times New Roman" w:hAnsi="Times New Roman" w:cs="Times New Roman"/>
          <w:i/>
          <w:iCs/>
        </w:rPr>
        <w:t>The Voice of the Middle Ages</w:t>
      </w:r>
      <w:r w:rsidRPr="00CD2C89">
        <w:rPr>
          <w:rFonts w:ascii="Times New Roman" w:hAnsi="Times New Roman" w:cs="Times New Roman"/>
        </w:rPr>
        <w:t xml:space="preserve">, </w:t>
      </w:r>
      <w:r w:rsidRPr="00CD2C89">
        <w:rPr>
          <w:rFonts w:ascii="Times New Roman" w:hAnsi="Times New Roman" w:cs="Times New Roman"/>
          <w:lang w:val="en-US"/>
        </w:rPr>
        <w:t>p.322.</w:t>
      </w:r>
    </w:p>
  </w:footnote>
  <w:footnote w:id="37">
    <w:p w14:paraId="6E01EE1F" w14:textId="5B0A5CDE"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“From Petrarch to Socrates” </w:t>
      </w:r>
      <w:r w:rsidRPr="00CD2C89">
        <w:rPr>
          <w:rFonts w:ascii="Times New Roman" w:hAnsi="Times New Roman" w:cs="Times New Roman"/>
          <w:i/>
          <w:iCs/>
        </w:rPr>
        <w:t>The Voice of the Middle Ages</w:t>
      </w:r>
      <w:r w:rsidRPr="00CD2C89">
        <w:rPr>
          <w:rFonts w:ascii="Times New Roman" w:hAnsi="Times New Roman" w:cs="Times New Roman"/>
        </w:rPr>
        <w:t xml:space="preserve">, </w:t>
      </w:r>
      <w:r w:rsidRPr="00CD2C89">
        <w:rPr>
          <w:rFonts w:ascii="Times New Roman" w:hAnsi="Times New Roman" w:cs="Times New Roman"/>
          <w:lang w:val="en-US"/>
        </w:rPr>
        <w:t xml:space="preserve">p.323. </w:t>
      </w:r>
    </w:p>
  </w:footnote>
  <w:footnote w:id="38">
    <w:p w14:paraId="5B1906C8" w14:textId="77777777"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Ziegler, </w:t>
      </w:r>
      <w:r w:rsidRPr="00CD2C89">
        <w:rPr>
          <w:rFonts w:ascii="Times New Roman" w:hAnsi="Times New Roman" w:cs="Times New Roman"/>
          <w:i/>
          <w:iCs/>
          <w:lang w:val="en-US"/>
        </w:rPr>
        <w:t>The Black Death</w:t>
      </w:r>
      <w:r w:rsidRPr="00CD2C89">
        <w:rPr>
          <w:rFonts w:ascii="Times New Roman" w:hAnsi="Times New Roman" w:cs="Times New Roman"/>
          <w:lang w:val="en-US"/>
        </w:rPr>
        <w:t>, p.26.</w:t>
      </w:r>
    </w:p>
  </w:footnote>
  <w:footnote w:id="39">
    <w:p w14:paraId="0B802C9A" w14:textId="77777777" w:rsidR="00BE37B1" w:rsidRDefault="00BE37B1" w:rsidP="00BE37B1">
      <w:pPr>
        <w:pStyle w:val="FootnoteText"/>
      </w:pPr>
      <w:r w:rsidRPr="00CD2C89">
        <w:rPr>
          <w:rStyle w:val="FootnoteReference"/>
          <w:rFonts w:ascii="Times New Roman" w:hAnsi="Times New Roman" w:cs="Times New Roman"/>
        </w:rPr>
        <w:footnoteRef/>
      </w:r>
      <w:r w:rsidRPr="00CD2C89">
        <w:rPr>
          <w:rFonts w:ascii="Times New Roman" w:hAnsi="Times New Roman" w:cs="Times New Roman"/>
        </w:rPr>
        <w:t xml:space="preserve"> “From Petrarch to Socrates” </w:t>
      </w:r>
      <w:r w:rsidRPr="00CD2C89">
        <w:rPr>
          <w:rFonts w:ascii="Times New Roman" w:hAnsi="Times New Roman" w:cs="Times New Roman"/>
          <w:i/>
          <w:iCs/>
        </w:rPr>
        <w:t>The Voice of the Middle Ages</w:t>
      </w:r>
      <w:r w:rsidRPr="00CD2C89">
        <w:rPr>
          <w:rFonts w:ascii="Times New Roman" w:hAnsi="Times New Roman" w:cs="Times New Roman"/>
        </w:rPr>
        <w:t xml:space="preserve">, </w:t>
      </w:r>
      <w:r w:rsidRPr="00CD2C89">
        <w:rPr>
          <w:rFonts w:ascii="Times New Roman" w:hAnsi="Times New Roman" w:cs="Times New Roman"/>
          <w:lang w:val="en-US"/>
        </w:rPr>
        <w:t>p.323.</w:t>
      </w:r>
    </w:p>
  </w:footnote>
  <w:footnote w:id="40">
    <w:p w14:paraId="6A2619AB" w14:textId="443335DD" w:rsidR="00B42237" w:rsidRPr="000B6CF3" w:rsidRDefault="00B42237" w:rsidP="00B42237">
      <w:pPr>
        <w:pStyle w:val="FootnoteText"/>
        <w:rPr>
          <w:rFonts w:ascii="Arial" w:hAnsi="Arial" w:cs="Arial"/>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Pr>
          <w:rFonts w:ascii="Times New Roman" w:hAnsi="Times New Roman" w:cs="Times New Roman"/>
        </w:rPr>
        <w:t xml:space="preserve">, </w:t>
      </w:r>
      <w:r w:rsidRPr="0072205B">
        <w:rPr>
          <w:rFonts w:ascii="Times New Roman" w:hAnsi="Times New Roman" w:cs="Times New Roman"/>
          <w:lang w:val="en-US"/>
        </w:rPr>
        <w:t>p.5.</w:t>
      </w:r>
      <w:r w:rsidRPr="000B6CF3">
        <w:rPr>
          <w:rFonts w:ascii="Arial" w:hAnsi="Arial" w:cs="Arial"/>
          <w:lang w:val="en-US"/>
        </w:rPr>
        <w:t xml:space="preserve"> </w:t>
      </w:r>
    </w:p>
  </w:footnote>
  <w:footnote w:id="41">
    <w:p w14:paraId="52B3AE5B" w14:textId="63C7EA67"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Pr>
          <w:rFonts w:ascii="Times New Roman" w:hAnsi="Times New Roman" w:cs="Times New Roman"/>
        </w:rPr>
        <w:t xml:space="preserve">, </w:t>
      </w:r>
      <w:r w:rsidRPr="0072205B">
        <w:rPr>
          <w:rFonts w:ascii="Times New Roman" w:hAnsi="Times New Roman" w:cs="Times New Roman"/>
          <w:lang w:val="en-US"/>
        </w:rPr>
        <w:t xml:space="preserve">p.5. </w:t>
      </w:r>
    </w:p>
  </w:footnote>
  <w:footnote w:id="42">
    <w:p w14:paraId="5234AEDA" w14:textId="77777777"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Pr="0072205B">
        <w:rPr>
          <w:rFonts w:ascii="Times New Roman" w:hAnsi="Times New Roman" w:cs="Times New Roman"/>
          <w:lang w:val="en-US"/>
        </w:rPr>
        <w:t xml:space="preserve">McNeill, </w:t>
      </w:r>
      <w:r w:rsidRPr="0072205B">
        <w:rPr>
          <w:rFonts w:ascii="Times New Roman" w:hAnsi="Times New Roman" w:cs="Times New Roman"/>
          <w:i/>
          <w:iCs/>
          <w:lang w:val="en-US"/>
        </w:rPr>
        <w:t>Plagues and People</w:t>
      </w:r>
      <w:r w:rsidRPr="0072205B">
        <w:rPr>
          <w:rFonts w:ascii="Times New Roman" w:hAnsi="Times New Roman" w:cs="Times New Roman"/>
          <w:lang w:val="en-US"/>
        </w:rPr>
        <w:t xml:space="preserve">, p.193. </w:t>
      </w:r>
    </w:p>
  </w:footnote>
  <w:footnote w:id="43">
    <w:p w14:paraId="4A24BA36" w14:textId="77777777"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Les Perelman, ‘The Medieval Art of Letter Writing: Rhetoric as Institutional Expression’ in </w:t>
      </w:r>
      <w:r w:rsidRPr="0072205B">
        <w:rPr>
          <w:rFonts w:ascii="Times New Roman" w:hAnsi="Times New Roman" w:cs="Times New Roman"/>
          <w:i/>
          <w:iCs/>
        </w:rPr>
        <w:t>Textual Dynamics of the Professions: Historical and Contemporary Studies of Writing in Professional Communities</w:t>
      </w:r>
      <w:r w:rsidRPr="0072205B">
        <w:rPr>
          <w:rFonts w:ascii="Times New Roman" w:hAnsi="Times New Roman" w:cs="Times New Roman"/>
        </w:rPr>
        <w:t>, ed. Charles Bazerman and James Paradis (University of Wisconsin Press, 1991).</w:t>
      </w:r>
      <w:r w:rsidRPr="0072205B">
        <w:rPr>
          <w:rFonts w:ascii="Times New Roman" w:hAnsi="Times New Roman" w:cs="Times New Roman"/>
          <w:lang w:val="en-US"/>
        </w:rPr>
        <w:t xml:space="preserve"> </w:t>
      </w:r>
    </w:p>
  </w:footnote>
  <w:footnote w:id="44">
    <w:p w14:paraId="7E087B5C" w14:textId="145BBA63"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“From Petrarch to Socrates” </w:t>
      </w:r>
      <w:r w:rsidRPr="0072205B">
        <w:rPr>
          <w:rFonts w:ascii="Times New Roman" w:hAnsi="Times New Roman" w:cs="Times New Roman"/>
          <w:i/>
          <w:iCs/>
        </w:rPr>
        <w:t>The Voice of the Middle Ag</w:t>
      </w:r>
      <w:r w:rsidR="00C12CA0">
        <w:rPr>
          <w:rFonts w:ascii="Times New Roman" w:hAnsi="Times New Roman" w:cs="Times New Roman"/>
          <w:i/>
          <w:iCs/>
        </w:rPr>
        <w:t>es</w:t>
      </w:r>
      <w:r w:rsidRPr="0072205B">
        <w:rPr>
          <w:rFonts w:ascii="Times New Roman" w:hAnsi="Times New Roman" w:cs="Times New Roman"/>
        </w:rPr>
        <w:t xml:space="preserve">, </w:t>
      </w:r>
      <w:r w:rsidRPr="0072205B">
        <w:rPr>
          <w:rFonts w:ascii="Times New Roman" w:hAnsi="Times New Roman" w:cs="Times New Roman"/>
          <w:lang w:val="en-US"/>
        </w:rPr>
        <w:t>p.322.</w:t>
      </w:r>
    </w:p>
  </w:footnote>
  <w:footnote w:id="45">
    <w:p w14:paraId="26717F25" w14:textId="09999A78"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“From Petrarch to Socrates” </w:t>
      </w:r>
      <w:r w:rsidRPr="0072205B">
        <w:rPr>
          <w:rFonts w:ascii="Times New Roman" w:hAnsi="Times New Roman" w:cs="Times New Roman"/>
          <w:i/>
          <w:iCs/>
        </w:rPr>
        <w:t>The Voice of the Middle Ages</w:t>
      </w:r>
      <w:r w:rsidRPr="0072205B">
        <w:rPr>
          <w:rFonts w:ascii="Times New Roman" w:hAnsi="Times New Roman" w:cs="Times New Roman"/>
        </w:rPr>
        <w:t>, p.322.</w:t>
      </w:r>
      <w:r w:rsidRPr="0072205B">
        <w:rPr>
          <w:rFonts w:ascii="Times New Roman" w:hAnsi="Times New Roman" w:cs="Times New Roman"/>
          <w:lang w:val="en-US"/>
        </w:rPr>
        <w:t xml:space="preserve"> </w:t>
      </w:r>
    </w:p>
  </w:footnote>
  <w:footnote w:id="46">
    <w:p w14:paraId="6B2778B1" w14:textId="46AA9211" w:rsidR="00B42237" w:rsidRPr="001504BA" w:rsidRDefault="00B42237" w:rsidP="00B42237">
      <w:pPr>
        <w:pStyle w:val="FootnoteText"/>
        <w:rPr>
          <w:rFonts w:ascii="Arial" w:hAnsi="Arial" w:cs="Arial"/>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00C12CA0" w:rsidRPr="0072205B">
        <w:rPr>
          <w:rFonts w:ascii="Times New Roman" w:hAnsi="Times New Roman" w:cs="Times New Roman"/>
        </w:rPr>
        <w:t>McWilliam</w:t>
      </w:r>
      <w:r w:rsidR="00C12CA0">
        <w:rPr>
          <w:rFonts w:ascii="Times New Roman" w:hAnsi="Times New Roman" w:cs="Times New Roman"/>
          <w:lang w:val="en-US"/>
        </w:rPr>
        <w:t xml:space="preserve">, </w:t>
      </w:r>
      <w:r w:rsidRPr="0072205B">
        <w:rPr>
          <w:rFonts w:ascii="Times New Roman" w:hAnsi="Times New Roman" w:cs="Times New Roman"/>
          <w:lang w:val="en-US"/>
        </w:rPr>
        <w:t>‘Translator’s Introduction’</w:t>
      </w:r>
      <w:r w:rsidRPr="0072205B">
        <w:rPr>
          <w:rFonts w:ascii="Times New Roman" w:hAnsi="Times New Roman" w:cs="Times New Roman"/>
        </w:rPr>
        <w:t xml:space="preserve">, </w:t>
      </w:r>
      <w:r w:rsidRPr="0072205B">
        <w:rPr>
          <w:rFonts w:ascii="Times New Roman" w:hAnsi="Times New Roman" w:cs="Times New Roman"/>
          <w:i/>
          <w:iCs/>
        </w:rPr>
        <w:t>The Decameron</w:t>
      </w:r>
      <w:r w:rsidRPr="0072205B">
        <w:rPr>
          <w:rFonts w:ascii="Times New Roman" w:hAnsi="Times New Roman" w:cs="Times New Roman"/>
        </w:rPr>
        <w:t xml:space="preserve">, </w:t>
      </w:r>
      <w:proofErr w:type="spellStart"/>
      <w:proofErr w:type="gramStart"/>
      <w:r w:rsidRPr="0072205B">
        <w:rPr>
          <w:rFonts w:ascii="Times New Roman" w:hAnsi="Times New Roman" w:cs="Times New Roman"/>
          <w:lang w:val="en-US"/>
        </w:rPr>
        <w:t>p.xxxvii</w:t>
      </w:r>
      <w:proofErr w:type="spellEnd"/>
      <w:r w:rsidRPr="0072205B">
        <w:rPr>
          <w:rFonts w:ascii="Times New Roman" w:hAnsi="Times New Roman" w:cs="Times New Roman"/>
          <w:lang w:val="en-US"/>
        </w:rPr>
        <w:t>.</w:t>
      </w:r>
      <w:proofErr w:type="gramEnd"/>
    </w:p>
  </w:footnote>
  <w:footnote w:id="47">
    <w:p w14:paraId="644E1EBA" w14:textId="35FEB701"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00C12CA0" w:rsidRPr="0072205B">
        <w:rPr>
          <w:rFonts w:ascii="Times New Roman" w:hAnsi="Times New Roman" w:cs="Times New Roman"/>
        </w:rPr>
        <w:t>McWilliam</w:t>
      </w:r>
      <w:r w:rsidR="00C12CA0">
        <w:rPr>
          <w:rFonts w:ascii="Times New Roman" w:hAnsi="Times New Roman" w:cs="Times New Roman"/>
          <w:lang w:val="en-US"/>
        </w:rPr>
        <w:t xml:space="preserve">, </w:t>
      </w:r>
      <w:r w:rsidRPr="0072205B">
        <w:rPr>
          <w:rFonts w:ascii="Times New Roman" w:hAnsi="Times New Roman" w:cs="Times New Roman"/>
          <w:lang w:val="en-US"/>
        </w:rPr>
        <w:t>‘Translator’s Introduction’</w:t>
      </w:r>
      <w:r w:rsidRPr="0072205B">
        <w:rPr>
          <w:rFonts w:ascii="Times New Roman" w:hAnsi="Times New Roman" w:cs="Times New Roman"/>
        </w:rPr>
        <w:t xml:space="preserve">, </w:t>
      </w:r>
      <w:r w:rsidRPr="0072205B">
        <w:rPr>
          <w:rFonts w:ascii="Times New Roman" w:hAnsi="Times New Roman" w:cs="Times New Roman"/>
          <w:i/>
          <w:iCs/>
        </w:rPr>
        <w:t>The Decameron</w:t>
      </w:r>
      <w:r w:rsidRPr="0072205B">
        <w:rPr>
          <w:rFonts w:ascii="Times New Roman" w:hAnsi="Times New Roman" w:cs="Times New Roman"/>
        </w:rPr>
        <w:t xml:space="preserve">, </w:t>
      </w:r>
      <w:proofErr w:type="spellStart"/>
      <w:proofErr w:type="gramStart"/>
      <w:r w:rsidRPr="0072205B">
        <w:rPr>
          <w:rFonts w:ascii="Times New Roman" w:hAnsi="Times New Roman" w:cs="Times New Roman"/>
          <w:lang w:val="en-US"/>
        </w:rPr>
        <w:t>p.xliv</w:t>
      </w:r>
      <w:proofErr w:type="spellEnd"/>
      <w:r w:rsidRPr="0072205B">
        <w:rPr>
          <w:rFonts w:ascii="Times New Roman" w:hAnsi="Times New Roman" w:cs="Times New Roman"/>
          <w:lang w:val="en-US"/>
        </w:rPr>
        <w:t>.</w:t>
      </w:r>
      <w:proofErr w:type="gramEnd"/>
    </w:p>
  </w:footnote>
  <w:footnote w:id="48">
    <w:p w14:paraId="23FDAC4D" w14:textId="45A4683D" w:rsidR="00B42237" w:rsidRPr="009940DF" w:rsidRDefault="00B42237" w:rsidP="00B42237">
      <w:pPr>
        <w:pStyle w:val="FootnoteText"/>
        <w:rPr>
          <w:rFonts w:ascii="Times New Roman" w:hAnsi="Times New Roman" w:cs="Times New Roman"/>
          <w:lang w:val="en-US"/>
        </w:rPr>
      </w:pPr>
      <w:r w:rsidRPr="009940DF">
        <w:rPr>
          <w:rStyle w:val="FootnoteReference"/>
          <w:rFonts w:ascii="Times New Roman" w:hAnsi="Times New Roman" w:cs="Times New Roman"/>
        </w:rPr>
        <w:footnoteRef/>
      </w:r>
      <w:r w:rsidRPr="009940DF">
        <w:rPr>
          <w:rFonts w:ascii="Times New Roman" w:hAnsi="Times New Roman" w:cs="Times New Roman"/>
        </w:rPr>
        <w:t xml:space="preserve"> Paul the Deacon, </w:t>
      </w:r>
      <w:r w:rsidRPr="009940DF">
        <w:rPr>
          <w:rFonts w:ascii="Times New Roman" w:hAnsi="Times New Roman" w:cs="Times New Roman"/>
          <w:i/>
          <w:iCs/>
        </w:rPr>
        <w:t xml:space="preserve">History of the </w:t>
      </w:r>
      <w:proofErr w:type="spellStart"/>
      <w:r w:rsidRPr="009940DF">
        <w:rPr>
          <w:rFonts w:ascii="Times New Roman" w:hAnsi="Times New Roman" w:cs="Times New Roman"/>
          <w:i/>
          <w:iCs/>
        </w:rPr>
        <w:t>Lombards</w:t>
      </w:r>
      <w:proofErr w:type="spellEnd"/>
      <w:r w:rsidRPr="009940DF">
        <w:rPr>
          <w:rFonts w:ascii="Times New Roman" w:hAnsi="Times New Roman" w:cs="Times New Roman"/>
        </w:rPr>
        <w:t xml:space="preserve">, </w:t>
      </w:r>
      <w:r w:rsidRPr="009940DF">
        <w:rPr>
          <w:rFonts w:ascii="Times New Roman" w:hAnsi="Times New Roman" w:cs="Times New Roman"/>
          <w:lang w:val="en-US"/>
        </w:rPr>
        <w:t xml:space="preserve">pp.57-8. </w:t>
      </w:r>
    </w:p>
  </w:footnote>
  <w:footnote w:id="49">
    <w:p w14:paraId="55C7BA92" w14:textId="26DB1E77" w:rsidR="00B42237" w:rsidRPr="0072205B" w:rsidRDefault="00B42237" w:rsidP="00B42237">
      <w:pPr>
        <w:pStyle w:val="FootnoteText"/>
        <w:rPr>
          <w:rFonts w:ascii="Times New Roman" w:hAnsi="Times New Roman" w:cs="Times New Roman"/>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00C12CA0" w:rsidRPr="0072205B">
        <w:rPr>
          <w:rFonts w:ascii="Times New Roman" w:hAnsi="Times New Roman" w:cs="Times New Roman"/>
        </w:rPr>
        <w:t>McWilliam</w:t>
      </w:r>
      <w:r w:rsidR="00C12CA0">
        <w:rPr>
          <w:rFonts w:ascii="Times New Roman" w:hAnsi="Times New Roman" w:cs="Times New Roman"/>
          <w:lang w:val="en-US"/>
        </w:rPr>
        <w:t xml:space="preserve">, </w:t>
      </w:r>
      <w:r w:rsidRPr="0072205B">
        <w:rPr>
          <w:rFonts w:ascii="Times New Roman" w:hAnsi="Times New Roman" w:cs="Times New Roman"/>
          <w:lang w:val="en-US"/>
        </w:rPr>
        <w:t>‘Translator’s Introduction’</w:t>
      </w:r>
      <w:r w:rsidRPr="0072205B">
        <w:rPr>
          <w:rFonts w:ascii="Times New Roman" w:hAnsi="Times New Roman" w:cs="Times New Roman"/>
        </w:rPr>
        <w:t xml:space="preserve">, </w:t>
      </w:r>
      <w:r w:rsidRPr="0072205B">
        <w:rPr>
          <w:rFonts w:ascii="Times New Roman" w:hAnsi="Times New Roman" w:cs="Times New Roman"/>
          <w:i/>
          <w:iCs/>
        </w:rPr>
        <w:t>The Decameron</w:t>
      </w:r>
      <w:r w:rsidRPr="0072205B">
        <w:rPr>
          <w:rFonts w:ascii="Times New Roman" w:hAnsi="Times New Roman" w:cs="Times New Roman"/>
        </w:rPr>
        <w:t xml:space="preserve">, </w:t>
      </w:r>
      <w:proofErr w:type="spellStart"/>
      <w:proofErr w:type="gramStart"/>
      <w:r w:rsidRPr="0072205B">
        <w:rPr>
          <w:rFonts w:ascii="Times New Roman" w:hAnsi="Times New Roman" w:cs="Times New Roman"/>
          <w:lang w:val="en-US"/>
        </w:rPr>
        <w:t>p.xliv</w:t>
      </w:r>
      <w:proofErr w:type="spellEnd"/>
      <w:r w:rsidRPr="0072205B">
        <w:rPr>
          <w:rFonts w:ascii="Times New Roman" w:hAnsi="Times New Roman" w:cs="Times New Roman"/>
          <w:lang w:val="en-US"/>
        </w:rPr>
        <w:t>.</w:t>
      </w:r>
      <w:proofErr w:type="gramEnd"/>
    </w:p>
  </w:footnote>
  <w:footnote w:id="50">
    <w:p w14:paraId="171011B4" w14:textId="77777777" w:rsidR="00217AC0" w:rsidRPr="00810170" w:rsidRDefault="00217AC0" w:rsidP="00217AC0">
      <w:pPr>
        <w:pStyle w:val="FootnoteText"/>
        <w:rPr>
          <w:rFonts w:ascii="Times New Roman" w:hAnsi="Times New Roman" w:cs="Times New Roman"/>
        </w:rPr>
      </w:pPr>
      <w:r w:rsidRPr="00810170">
        <w:rPr>
          <w:rStyle w:val="FootnoteReference"/>
          <w:rFonts w:ascii="Times New Roman" w:hAnsi="Times New Roman" w:cs="Times New Roman"/>
        </w:rPr>
        <w:footnoteRef/>
      </w:r>
      <w:r w:rsidRPr="00810170">
        <w:rPr>
          <w:rFonts w:ascii="Times New Roman" w:hAnsi="Times New Roman" w:cs="Times New Roman"/>
        </w:rPr>
        <w:t xml:space="preserve"> J M W Bean, ‘The Black Death: The Crisis and its Social and Economic Consequences’ in </w:t>
      </w:r>
      <w:r w:rsidRPr="00810170">
        <w:rPr>
          <w:rFonts w:ascii="Times New Roman" w:hAnsi="Times New Roman" w:cs="Times New Roman"/>
          <w:i/>
          <w:iCs/>
        </w:rPr>
        <w:t>The Black Death: The Impact of the Fourteenth Century Plague</w:t>
      </w:r>
      <w:r w:rsidRPr="00810170">
        <w:rPr>
          <w:rFonts w:ascii="Times New Roman" w:hAnsi="Times New Roman" w:cs="Times New Roman"/>
        </w:rPr>
        <w:t xml:space="preserve">, ed. Daniel </w:t>
      </w:r>
      <w:proofErr w:type="spellStart"/>
      <w:r w:rsidRPr="00810170">
        <w:rPr>
          <w:rFonts w:ascii="Times New Roman" w:hAnsi="Times New Roman" w:cs="Times New Roman"/>
        </w:rPr>
        <w:t>Williman</w:t>
      </w:r>
      <w:proofErr w:type="spellEnd"/>
      <w:r w:rsidRPr="00810170">
        <w:rPr>
          <w:rFonts w:ascii="Times New Roman" w:hAnsi="Times New Roman" w:cs="Times New Roman"/>
        </w:rPr>
        <w:t xml:space="preserve"> (New York: Centre for Medieval and Early Renaissance Studies, 1982) p.23.</w:t>
      </w:r>
    </w:p>
  </w:footnote>
  <w:footnote w:id="51">
    <w:p w14:paraId="5E83ED0C" w14:textId="77777777" w:rsidR="00217AC0" w:rsidRPr="00181D84" w:rsidRDefault="00217AC0" w:rsidP="00217AC0">
      <w:pPr>
        <w:pStyle w:val="FootnoteText"/>
        <w:rPr>
          <w:rFonts w:ascii="Times New Roman" w:hAnsi="Times New Roman" w:cs="Times New Roman"/>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w:t>
      </w:r>
      <w:r w:rsidRPr="00810170">
        <w:rPr>
          <w:rFonts w:ascii="Times New Roman" w:hAnsi="Times New Roman" w:cs="Times New Roman"/>
          <w:lang w:val="en-US"/>
        </w:rPr>
        <w:t xml:space="preserve">John Hatcher, </w:t>
      </w:r>
      <w:r>
        <w:rPr>
          <w:rFonts w:ascii="Times New Roman" w:hAnsi="Times New Roman" w:cs="Times New Roman"/>
          <w:lang w:val="en-US"/>
        </w:rPr>
        <w:t>‘</w:t>
      </w:r>
      <w:r w:rsidRPr="00AB70D3">
        <w:rPr>
          <w:rFonts w:ascii="Times New Roman" w:hAnsi="Times New Roman" w:cs="Times New Roman"/>
          <w:lang w:val="en-US"/>
        </w:rPr>
        <w:t>Fiction as History: The Black Death and Beyond</w:t>
      </w:r>
      <w:r>
        <w:rPr>
          <w:rFonts w:ascii="Times New Roman" w:hAnsi="Times New Roman" w:cs="Times New Roman"/>
          <w:lang w:val="en-US"/>
        </w:rPr>
        <w:t xml:space="preserve">’, </w:t>
      </w:r>
      <w:r>
        <w:rPr>
          <w:rFonts w:ascii="Times New Roman" w:hAnsi="Times New Roman" w:cs="Times New Roman"/>
          <w:i/>
          <w:iCs/>
          <w:lang w:val="en-US"/>
        </w:rPr>
        <w:t>History</w:t>
      </w:r>
      <w:r>
        <w:rPr>
          <w:rFonts w:ascii="Times New Roman" w:hAnsi="Times New Roman" w:cs="Times New Roman"/>
          <w:lang w:val="en-US"/>
        </w:rPr>
        <w:t>, vol.97, no.1 (January 1012)</w:t>
      </w:r>
      <w:r w:rsidRPr="00AB70D3">
        <w:rPr>
          <w:rFonts w:ascii="Times New Roman" w:hAnsi="Times New Roman" w:cs="Times New Roman"/>
          <w:lang w:val="en-US"/>
        </w:rPr>
        <w:t xml:space="preserve"> </w:t>
      </w:r>
      <w:r>
        <w:rPr>
          <w:rFonts w:ascii="Times New Roman" w:hAnsi="Times New Roman" w:cs="Times New Roman"/>
          <w:lang w:val="en-US"/>
        </w:rPr>
        <w:t>3-23 (p.</w:t>
      </w:r>
      <w:r w:rsidRPr="00810170">
        <w:rPr>
          <w:rFonts w:ascii="Times New Roman" w:hAnsi="Times New Roman" w:cs="Times New Roman"/>
          <w:lang w:val="en-US"/>
        </w:rPr>
        <w:t>6</w:t>
      </w:r>
      <w:r>
        <w:rPr>
          <w:rFonts w:ascii="Times New Roman" w:hAnsi="Times New Roman" w:cs="Times New Roman"/>
          <w:lang w:val="en-US"/>
        </w:rPr>
        <w:t xml:space="preserve">) provided by </w:t>
      </w:r>
      <w:r>
        <w:rPr>
          <w:rFonts w:ascii="Times New Roman" w:hAnsi="Times New Roman" w:cs="Times New Roman"/>
          <w:i/>
          <w:iCs/>
          <w:lang w:val="en-US"/>
        </w:rPr>
        <w:t>JSTOR</w:t>
      </w:r>
      <w:r>
        <w:rPr>
          <w:rFonts w:ascii="Times New Roman" w:hAnsi="Times New Roman" w:cs="Times New Roman"/>
          <w:lang w:val="en-US"/>
        </w:rPr>
        <w:t>, &lt;</w:t>
      </w:r>
      <w:r w:rsidRPr="00181D84">
        <w:rPr>
          <w:rFonts w:ascii="Times New Roman" w:hAnsi="Times New Roman" w:cs="Times New Roman"/>
        </w:rPr>
        <w:t>https://www.jstor.org/stable/24429362</w:t>
      </w:r>
      <w:r>
        <w:rPr>
          <w:rFonts w:ascii="Times New Roman" w:hAnsi="Times New Roman" w:cs="Times New Roman"/>
        </w:rPr>
        <w:t xml:space="preserve">&gt; [Date Accessed: 28 April]. </w:t>
      </w:r>
    </w:p>
  </w:footnote>
  <w:footnote w:id="52">
    <w:p w14:paraId="0629CA37" w14:textId="77777777" w:rsidR="00217AC0" w:rsidRPr="007272E8" w:rsidRDefault="00217AC0" w:rsidP="00217AC0">
      <w:pPr>
        <w:pStyle w:val="FootnoteText"/>
        <w:rPr>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w:t>
      </w:r>
      <w:r w:rsidRPr="00810170">
        <w:rPr>
          <w:rFonts w:ascii="Times New Roman" w:hAnsi="Times New Roman" w:cs="Times New Roman"/>
          <w:lang w:val="en-US"/>
        </w:rPr>
        <w:t xml:space="preserve">Hatcher, </w:t>
      </w:r>
      <w:r>
        <w:rPr>
          <w:rFonts w:ascii="Times New Roman" w:hAnsi="Times New Roman" w:cs="Times New Roman"/>
          <w:lang w:val="en-US"/>
        </w:rPr>
        <w:t>‘</w:t>
      </w:r>
      <w:r w:rsidRPr="00810170">
        <w:rPr>
          <w:rFonts w:ascii="Times New Roman" w:hAnsi="Times New Roman" w:cs="Times New Roman"/>
          <w:lang w:val="en-US"/>
        </w:rPr>
        <w:t>Fiction as History</w:t>
      </w:r>
      <w:r>
        <w:rPr>
          <w:rFonts w:ascii="Times New Roman" w:hAnsi="Times New Roman" w:cs="Times New Roman"/>
          <w:lang w:val="en-US"/>
        </w:rPr>
        <w:t xml:space="preserve">’ </w:t>
      </w:r>
      <w:r w:rsidRPr="00810170">
        <w:rPr>
          <w:rFonts w:ascii="Times New Roman" w:hAnsi="Times New Roman" w:cs="Times New Roman"/>
          <w:lang w:val="en-US"/>
        </w:rPr>
        <w:t>p.3</w:t>
      </w:r>
      <w:r>
        <w:rPr>
          <w:rFonts w:ascii="Times New Roman" w:hAnsi="Times New Roman" w:cs="Times New Roman"/>
          <w:lang w:val="en-US"/>
        </w:rPr>
        <w:t xml:space="preserve">. </w:t>
      </w:r>
      <w:r>
        <w:rPr>
          <w:rFonts w:ascii="Times New Roman" w:hAnsi="Times New Roman" w:cs="Times New Roman"/>
          <w:i/>
          <w:iCs/>
          <w:lang w:val="en-US"/>
        </w:rPr>
        <w:t>JSTOR</w:t>
      </w:r>
      <w:r>
        <w:rPr>
          <w:rFonts w:ascii="Times New Roman" w:hAnsi="Times New Roman" w:cs="Times New Roman"/>
          <w:lang w:val="en-US"/>
        </w:rPr>
        <w:t>, &lt;</w:t>
      </w:r>
      <w:r w:rsidRPr="00181D84">
        <w:rPr>
          <w:rFonts w:ascii="Times New Roman" w:hAnsi="Times New Roman" w:cs="Times New Roman"/>
        </w:rPr>
        <w:t>https://www.jstor.org/stable/24429362</w:t>
      </w:r>
      <w:r>
        <w:rPr>
          <w:rFonts w:ascii="Times New Roman" w:hAnsi="Times New Roman" w:cs="Times New Roman"/>
        </w:rPr>
        <w:t>&gt; [Date Accessed: 28 April].</w:t>
      </w:r>
    </w:p>
  </w:footnote>
  <w:footnote w:id="53">
    <w:p w14:paraId="6A4D6082" w14:textId="77777777" w:rsidR="00B42237" w:rsidRPr="00F21FD0"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Pr="0072205B">
        <w:rPr>
          <w:rFonts w:ascii="Times New Roman" w:hAnsi="Times New Roman" w:cs="Times New Roman"/>
          <w:lang w:val="en-US"/>
        </w:rPr>
        <w:t xml:space="preserve">‘Fight-or-Flight Response’, </w:t>
      </w:r>
      <w:r w:rsidRPr="0072205B">
        <w:rPr>
          <w:rFonts w:ascii="Times New Roman" w:hAnsi="Times New Roman" w:cs="Times New Roman"/>
          <w:i/>
          <w:iCs/>
          <w:lang w:val="en-US"/>
        </w:rPr>
        <w:t>Encyclopedia Britannica</w:t>
      </w:r>
      <w:r w:rsidRPr="0072205B">
        <w:rPr>
          <w:rFonts w:ascii="Times New Roman" w:hAnsi="Times New Roman" w:cs="Times New Roman"/>
          <w:lang w:val="en-US"/>
        </w:rPr>
        <w:t xml:space="preserve"> &lt;</w:t>
      </w:r>
      <w:r w:rsidRPr="0072205B">
        <w:rPr>
          <w:rFonts w:ascii="Times New Roman" w:hAnsi="Times New Roman" w:cs="Times New Roman"/>
        </w:rPr>
        <w:t>https://www.britannica.com/science/fight-or-flight-</w:t>
      </w:r>
      <w:r w:rsidRPr="00F21FD0">
        <w:rPr>
          <w:rFonts w:ascii="Times New Roman" w:hAnsi="Times New Roman" w:cs="Times New Roman"/>
        </w:rPr>
        <w:t xml:space="preserve">response&gt; [Last Accessed 07 April 2020]. </w:t>
      </w:r>
    </w:p>
  </w:footnote>
  <w:footnote w:id="54">
    <w:p w14:paraId="357C4387" w14:textId="77777777" w:rsidR="00B42237" w:rsidRPr="00F21FD0" w:rsidRDefault="00B42237" w:rsidP="00B42237">
      <w:pPr>
        <w:pStyle w:val="FootnoteText"/>
        <w:rPr>
          <w:rFonts w:ascii="Times New Roman" w:hAnsi="Times New Roman" w:cs="Times New Roman"/>
          <w:lang w:val="en-US"/>
        </w:rPr>
      </w:pPr>
      <w:r w:rsidRPr="00F21FD0">
        <w:rPr>
          <w:rStyle w:val="FootnoteReference"/>
          <w:rFonts w:ascii="Times New Roman" w:hAnsi="Times New Roman" w:cs="Times New Roman"/>
        </w:rPr>
        <w:footnoteRef/>
      </w:r>
      <w:r w:rsidRPr="00F21FD0">
        <w:rPr>
          <w:rFonts w:ascii="Times New Roman" w:hAnsi="Times New Roman" w:cs="Times New Roman"/>
        </w:rPr>
        <w:t xml:space="preserve"> </w:t>
      </w:r>
      <w:r w:rsidRPr="00F21FD0">
        <w:rPr>
          <w:rFonts w:ascii="Times New Roman" w:hAnsi="Times New Roman" w:cs="Times New Roman"/>
          <w:lang w:val="en-US"/>
        </w:rPr>
        <w:t xml:space="preserve">Hatcher, </w:t>
      </w:r>
      <w:r w:rsidRPr="00F21FD0">
        <w:rPr>
          <w:rFonts w:ascii="Times New Roman" w:hAnsi="Times New Roman" w:cs="Times New Roman"/>
          <w:i/>
          <w:iCs/>
          <w:lang w:val="en-US"/>
        </w:rPr>
        <w:t xml:space="preserve">The Black Death: An Intimate </w:t>
      </w:r>
      <w:r w:rsidRPr="00F21FD0">
        <w:rPr>
          <w:rFonts w:ascii="Times New Roman" w:hAnsi="Times New Roman" w:cs="Times New Roman"/>
          <w:lang w:val="en-US"/>
        </w:rPr>
        <w:t xml:space="preserve">History, </w:t>
      </w:r>
      <w:proofErr w:type="spellStart"/>
      <w:r w:rsidRPr="00F21FD0">
        <w:rPr>
          <w:rFonts w:ascii="Times New Roman" w:hAnsi="Times New Roman" w:cs="Times New Roman"/>
          <w:lang w:val="en-US"/>
        </w:rPr>
        <w:t>p.xii</w:t>
      </w:r>
      <w:proofErr w:type="spellEnd"/>
      <w:r w:rsidRPr="00F21FD0">
        <w:rPr>
          <w:rFonts w:ascii="Times New Roman" w:hAnsi="Times New Roman" w:cs="Times New Roman"/>
          <w:lang w:val="en-US"/>
        </w:rPr>
        <w:t xml:space="preserve">. </w:t>
      </w:r>
    </w:p>
  </w:footnote>
  <w:footnote w:id="55">
    <w:p w14:paraId="22208303" w14:textId="77777777" w:rsidR="00B42237" w:rsidRPr="00F21FD0" w:rsidRDefault="00B42237" w:rsidP="00B42237">
      <w:pPr>
        <w:pStyle w:val="FootnoteText"/>
        <w:rPr>
          <w:rFonts w:ascii="Times New Roman" w:hAnsi="Times New Roman" w:cs="Times New Roman"/>
          <w:lang w:val="en-US"/>
        </w:rPr>
      </w:pPr>
      <w:r w:rsidRPr="00F21FD0">
        <w:rPr>
          <w:rStyle w:val="FootnoteReference"/>
          <w:rFonts w:ascii="Times New Roman" w:hAnsi="Times New Roman" w:cs="Times New Roman"/>
        </w:rPr>
        <w:footnoteRef/>
      </w:r>
      <w:r w:rsidRPr="00F21FD0">
        <w:rPr>
          <w:rFonts w:ascii="Times New Roman" w:hAnsi="Times New Roman" w:cs="Times New Roman"/>
        </w:rPr>
        <w:t xml:space="preserve"> </w:t>
      </w:r>
      <w:r w:rsidRPr="00F21FD0">
        <w:rPr>
          <w:rFonts w:ascii="Times New Roman" w:hAnsi="Times New Roman" w:cs="Times New Roman"/>
          <w:lang w:val="en-US"/>
        </w:rPr>
        <w:t xml:space="preserve">Ziegler, </w:t>
      </w:r>
      <w:r w:rsidRPr="00F21FD0">
        <w:rPr>
          <w:rFonts w:ascii="Times New Roman" w:hAnsi="Times New Roman" w:cs="Times New Roman"/>
          <w:i/>
          <w:iCs/>
          <w:lang w:val="en-US"/>
        </w:rPr>
        <w:t>The Black Death</w:t>
      </w:r>
      <w:r w:rsidRPr="00F21FD0">
        <w:rPr>
          <w:rFonts w:ascii="Times New Roman" w:hAnsi="Times New Roman" w:cs="Times New Roman"/>
          <w:lang w:val="en-US"/>
        </w:rPr>
        <w:t>, p.32.</w:t>
      </w:r>
    </w:p>
  </w:footnote>
  <w:footnote w:id="56">
    <w:p w14:paraId="544EBD44" w14:textId="77777777" w:rsidR="00B42237" w:rsidRPr="00F21FD0" w:rsidRDefault="00B42237" w:rsidP="00B42237">
      <w:pPr>
        <w:pStyle w:val="FootnoteText"/>
        <w:rPr>
          <w:rFonts w:ascii="Times New Roman" w:hAnsi="Times New Roman" w:cs="Times New Roman"/>
          <w:lang w:val="en-US"/>
        </w:rPr>
      </w:pPr>
      <w:r w:rsidRPr="00F21FD0">
        <w:rPr>
          <w:rStyle w:val="FootnoteReference"/>
          <w:rFonts w:ascii="Times New Roman" w:hAnsi="Times New Roman" w:cs="Times New Roman"/>
        </w:rPr>
        <w:footnoteRef/>
      </w:r>
      <w:r w:rsidRPr="00F21FD0">
        <w:rPr>
          <w:rFonts w:ascii="Times New Roman" w:hAnsi="Times New Roman" w:cs="Times New Roman"/>
        </w:rPr>
        <w:t xml:space="preserve"> Benedictow, ‘The Black Death: The Greatest Catastrophe Ever’ </w:t>
      </w:r>
      <w:r w:rsidRPr="00F21FD0">
        <w:rPr>
          <w:rFonts w:ascii="Times New Roman" w:hAnsi="Times New Roman" w:cs="Times New Roman"/>
          <w:i/>
          <w:iCs/>
        </w:rPr>
        <w:t>History Today</w:t>
      </w:r>
      <w:r w:rsidRPr="00F21FD0">
        <w:rPr>
          <w:rFonts w:ascii="Times New Roman" w:hAnsi="Times New Roman" w:cs="Times New Roman"/>
        </w:rPr>
        <w:t>, p.42.</w:t>
      </w:r>
      <w:r w:rsidRPr="00F21FD0">
        <w:rPr>
          <w:rFonts w:ascii="Times New Roman" w:hAnsi="Times New Roman" w:cs="Times New Roman"/>
          <w:lang w:val="en-US"/>
        </w:rPr>
        <w:t xml:space="preserve"> </w:t>
      </w:r>
    </w:p>
  </w:footnote>
  <w:footnote w:id="57">
    <w:p w14:paraId="6BBFB5DD" w14:textId="35BA271C" w:rsidR="00B42237" w:rsidRPr="009821DD" w:rsidRDefault="00B42237" w:rsidP="00B42237">
      <w:pPr>
        <w:pStyle w:val="FootnoteText"/>
        <w:rPr>
          <w:lang w:val="en-US"/>
        </w:rPr>
      </w:pPr>
      <w:r w:rsidRPr="00F21FD0">
        <w:rPr>
          <w:rStyle w:val="FootnoteReference"/>
          <w:rFonts w:ascii="Times New Roman" w:hAnsi="Times New Roman" w:cs="Times New Roman"/>
        </w:rPr>
        <w:footnoteRef/>
      </w:r>
      <w:r w:rsidRPr="00F21FD0">
        <w:rPr>
          <w:rFonts w:ascii="Times New Roman" w:hAnsi="Times New Roman" w:cs="Times New Roman"/>
        </w:rPr>
        <w:t xml:space="preserve"> </w:t>
      </w:r>
      <w:r w:rsidRPr="00F21FD0">
        <w:rPr>
          <w:rFonts w:ascii="Times New Roman" w:hAnsi="Times New Roman" w:cs="Times New Roman"/>
          <w:lang w:val="en-US"/>
        </w:rPr>
        <w:t>Boccaccio, The Decameron</w:t>
      </w:r>
      <w:r w:rsidRPr="00F21FD0">
        <w:rPr>
          <w:rFonts w:ascii="Times New Roman" w:hAnsi="Times New Roman" w:cs="Times New Roman"/>
        </w:rPr>
        <w:t>,</w:t>
      </w:r>
      <w:r w:rsidRPr="00F21FD0">
        <w:rPr>
          <w:rFonts w:ascii="Times New Roman" w:hAnsi="Times New Roman" w:cs="Times New Roman"/>
          <w:lang w:val="en-US"/>
        </w:rPr>
        <w:t xml:space="preserve"> p.7.</w:t>
      </w:r>
    </w:p>
  </w:footnote>
  <w:footnote w:id="58">
    <w:p w14:paraId="34B0C929" w14:textId="302A99E8" w:rsidR="00B42237" w:rsidRPr="008B2547" w:rsidRDefault="00B42237" w:rsidP="00B42237">
      <w:pPr>
        <w:pStyle w:val="FootnoteText"/>
        <w:rPr>
          <w:rFonts w:ascii="Times New Roman" w:hAnsi="Times New Roman" w:cs="Times New Roman"/>
          <w:lang w:val="en-US"/>
        </w:rPr>
      </w:pPr>
      <w:r w:rsidRPr="008B2547">
        <w:rPr>
          <w:rStyle w:val="FootnoteReference"/>
          <w:rFonts w:ascii="Times New Roman" w:hAnsi="Times New Roman" w:cs="Times New Roman"/>
        </w:rPr>
        <w:footnoteRef/>
      </w:r>
      <w:r w:rsidRPr="008B2547">
        <w:rPr>
          <w:rFonts w:ascii="Times New Roman" w:hAnsi="Times New Roman" w:cs="Times New Roman"/>
        </w:rPr>
        <w:t xml:space="preserve"> </w:t>
      </w:r>
      <w:r w:rsidRPr="008B2547">
        <w:rPr>
          <w:rFonts w:ascii="Times New Roman" w:hAnsi="Times New Roman" w:cs="Times New Roman"/>
          <w:lang w:val="en-US"/>
        </w:rPr>
        <w:t xml:space="preserve">Boccaccio, </w:t>
      </w:r>
      <w:r w:rsidRPr="008B2547">
        <w:rPr>
          <w:rFonts w:ascii="Times New Roman" w:hAnsi="Times New Roman" w:cs="Times New Roman"/>
          <w:i/>
          <w:iCs/>
          <w:lang w:val="en-US"/>
        </w:rPr>
        <w:t>The Decameron</w:t>
      </w:r>
      <w:r w:rsidRPr="008B2547">
        <w:rPr>
          <w:rFonts w:ascii="Times New Roman" w:hAnsi="Times New Roman" w:cs="Times New Roman"/>
        </w:rPr>
        <w:t>,</w:t>
      </w:r>
      <w:r w:rsidRPr="008B2547">
        <w:rPr>
          <w:rFonts w:ascii="Times New Roman" w:hAnsi="Times New Roman" w:cs="Times New Roman"/>
          <w:lang w:val="en-US"/>
        </w:rPr>
        <w:t xml:space="preserve"> p.7. </w:t>
      </w:r>
    </w:p>
  </w:footnote>
  <w:footnote w:id="59">
    <w:p w14:paraId="7D21F6B1" w14:textId="73ACDE2B" w:rsidR="00B42237" w:rsidRPr="008B2547" w:rsidRDefault="00B42237" w:rsidP="00B42237">
      <w:pPr>
        <w:pStyle w:val="FootnoteText"/>
        <w:rPr>
          <w:rFonts w:ascii="Times New Roman" w:hAnsi="Times New Roman" w:cs="Times New Roman"/>
          <w:lang w:val="en-US"/>
        </w:rPr>
      </w:pPr>
      <w:r w:rsidRPr="008B2547">
        <w:rPr>
          <w:rStyle w:val="FootnoteReference"/>
          <w:rFonts w:ascii="Times New Roman" w:hAnsi="Times New Roman" w:cs="Times New Roman"/>
        </w:rPr>
        <w:footnoteRef/>
      </w:r>
      <w:r w:rsidRPr="008B2547">
        <w:rPr>
          <w:rFonts w:ascii="Times New Roman" w:hAnsi="Times New Roman" w:cs="Times New Roman"/>
        </w:rPr>
        <w:t xml:space="preserve"> </w:t>
      </w:r>
      <w:r w:rsidRPr="008B2547">
        <w:rPr>
          <w:rFonts w:ascii="Times New Roman" w:hAnsi="Times New Roman" w:cs="Times New Roman"/>
          <w:lang w:val="en-US"/>
        </w:rPr>
        <w:t xml:space="preserve">Boccaccio, </w:t>
      </w:r>
      <w:r w:rsidRPr="008B2547">
        <w:rPr>
          <w:rFonts w:ascii="Times New Roman" w:hAnsi="Times New Roman" w:cs="Times New Roman"/>
          <w:i/>
          <w:iCs/>
          <w:lang w:val="en-US"/>
        </w:rPr>
        <w:t>The Decameron</w:t>
      </w:r>
      <w:r w:rsidRPr="008B2547">
        <w:rPr>
          <w:rFonts w:ascii="Times New Roman" w:hAnsi="Times New Roman" w:cs="Times New Roman"/>
        </w:rPr>
        <w:t>,</w:t>
      </w:r>
      <w:r w:rsidRPr="008B2547">
        <w:rPr>
          <w:rFonts w:ascii="Times New Roman" w:hAnsi="Times New Roman" w:cs="Times New Roman"/>
          <w:lang w:val="en-US"/>
        </w:rPr>
        <w:t xml:space="preserve"> p.7. </w:t>
      </w:r>
    </w:p>
  </w:footnote>
  <w:footnote w:id="60">
    <w:p w14:paraId="1B01EB79" w14:textId="77777777" w:rsidR="00B42237" w:rsidRPr="008B2547" w:rsidRDefault="00B42237" w:rsidP="00B42237">
      <w:pPr>
        <w:pStyle w:val="FootnoteText"/>
        <w:rPr>
          <w:rFonts w:ascii="Times New Roman" w:hAnsi="Times New Roman" w:cs="Times New Roman"/>
          <w:lang w:val="en-US"/>
        </w:rPr>
      </w:pPr>
      <w:r w:rsidRPr="008B2547">
        <w:rPr>
          <w:rStyle w:val="FootnoteReference"/>
          <w:rFonts w:ascii="Times New Roman" w:hAnsi="Times New Roman" w:cs="Times New Roman"/>
        </w:rPr>
        <w:footnoteRef/>
      </w:r>
      <w:r w:rsidRPr="008B2547">
        <w:rPr>
          <w:rFonts w:ascii="Times New Roman" w:hAnsi="Times New Roman" w:cs="Times New Roman"/>
        </w:rPr>
        <w:t xml:space="preserve"> </w:t>
      </w:r>
      <w:r w:rsidRPr="008B2547">
        <w:rPr>
          <w:rFonts w:ascii="Times New Roman" w:hAnsi="Times New Roman" w:cs="Times New Roman"/>
          <w:lang w:val="en-US"/>
        </w:rPr>
        <w:t xml:space="preserve">Benedictow, </w:t>
      </w:r>
      <w:r w:rsidRPr="00F21FD0">
        <w:rPr>
          <w:rFonts w:ascii="Times New Roman" w:hAnsi="Times New Roman" w:cs="Times New Roman"/>
        </w:rPr>
        <w:t>‘The Black Death: The Greatest Catastrophe Ever’ </w:t>
      </w:r>
      <w:r w:rsidRPr="00F21FD0">
        <w:rPr>
          <w:rFonts w:ascii="Times New Roman" w:hAnsi="Times New Roman" w:cs="Times New Roman"/>
          <w:i/>
          <w:iCs/>
        </w:rPr>
        <w:t>History Today</w:t>
      </w:r>
      <w:r>
        <w:rPr>
          <w:rFonts w:ascii="Times New Roman" w:hAnsi="Times New Roman" w:cs="Times New Roman"/>
        </w:rPr>
        <w:t>.</w:t>
      </w:r>
    </w:p>
  </w:footnote>
  <w:footnote w:id="61">
    <w:p w14:paraId="00D7AAFF" w14:textId="3C3FC4C7" w:rsidR="00B42237" w:rsidRPr="00C834D3" w:rsidRDefault="00B42237" w:rsidP="00B42237">
      <w:pPr>
        <w:pStyle w:val="FootnoteText"/>
        <w:rPr>
          <w:rFonts w:ascii="Times New Roman" w:hAnsi="Times New Roman" w:cs="Times New Roman"/>
        </w:rPr>
      </w:pPr>
      <w:r w:rsidRPr="002C413D">
        <w:rPr>
          <w:rStyle w:val="FootnoteReference"/>
          <w:rFonts w:ascii="Times New Roman" w:hAnsi="Times New Roman" w:cs="Times New Roman"/>
        </w:rPr>
        <w:footnoteRef/>
      </w:r>
      <w:r w:rsidRPr="002C413D">
        <w:rPr>
          <w:rFonts w:ascii="Times New Roman" w:hAnsi="Times New Roman" w:cs="Times New Roman"/>
        </w:rPr>
        <w:t xml:space="preserve"> </w:t>
      </w:r>
      <w:r w:rsidR="00C12CA0" w:rsidRPr="002C413D">
        <w:rPr>
          <w:rFonts w:ascii="Times New Roman" w:hAnsi="Times New Roman" w:cs="Times New Roman"/>
        </w:rPr>
        <w:t>Musa</w:t>
      </w:r>
      <w:r w:rsidR="00C12CA0">
        <w:rPr>
          <w:rFonts w:ascii="Times New Roman" w:hAnsi="Times New Roman" w:cs="Times New Roman"/>
        </w:rPr>
        <w:t xml:space="preserve">, </w:t>
      </w:r>
      <w:r w:rsidRPr="002C413D">
        <w:rPr>
          <w:rFonts w:ascii="Times New Roman" w:hAnsi="Times New Roman" w:cs="Times New Roman"/>
        </w:rPr>
        <w:t xml:space="preserve">‘Introduction’, </w:t>
      </w:r>
      <w:r w:rsidRPr="002C413D">
        <w:rPr>
          <w:rFonts w:ascii="Times New Roman" w:hAnsi="Times New Roman" w:cs="Times New Roman"/>
          <w:i/>
          <w:iCs/>
        </w:rPr>
        <w:t>Petrarch: Selections from Canzoniere and Other Works</w:t>
      </w:r>
      <w:r w:rsidRPr="002C413D">
        <w:rPr>
          <w:rFonts w:ascii="Times New Roman" w:hAnsi="Times New Roman" w:cs="Times New Roman"/>
        </w:rPr>
        <w:t>,</w:t>
      </w:r>
      <w:r w:rsidRPr="002C413D">
        <w:rPr>
          <w:rFonts w:ascii="Times New Roman" w:hAnsi="Times New Roman" w:cs="Times New Roman"/>
          <w:lang w:val="en-US"/>
        </w:rPr>
        <w:t xml:space="preserve"> </w:t>
      </w:r>
      <w:proofErr w:type="spellStart"/>
      <w:proofErr w:type="gramStart"/>
      <w:r w:rsidRPr="002C413D">
        <w:rPr>
          <w:rFonts w:ascii="Times New Roman" w:hAnsi="Times New Roman" w:cs="Times New Roman"/>
          <w:lang w:val="en-US"/>
        </w:rPr>
        <w:t>p.xi</w:t>
      </w:r>
      <w:proofErr w:type="spellEnd"/>
      <w:r w:rsidRPr="002C413D">
        <w:rPr>
          <w:rFonts w:ascii="Times New Roman" w:hAnsi="Times New Roman" w:cs="Times New Roman"/>
          <w:lang w:val="en-US"/>
        </w:rPr>
        <w:t>.</w:t>
      </w:r>
      <w:proofErr w:type="gramEnd"/>
      <w:r w:rsidR="00C12CA0">
        <w:rPr>
          <w:rFonts w:ascii="Times New Roman" w:hAnsi="Times New Roman" w:cs="Times New Roman"/>
        </w:rPr>
        <w:t xml:space="preserve"> </w:t>
      </w:r>
      <w:r w:rsidRPr="002C413D">
        <w:rPr>
          <w:rFonts w:ascii="Times New Roman" w:hAnsi="Times New Roman" w:cs="Times New Roman"/>
          <w:i/>
          <w:iCs/>
        </w:rPr>
        <w:t>The Triumphs of Petrarch</w:t>
      </w:r>
      <w:r w:rsidRPr="002C413D">
        <w:rPr>
          <w:rFonts w:ascii="Times New Roman" w:hAnsi="Times New Roman" w:cs="Times New Roman"/>
        </w:rPr>
        <w:t>, trans. Rev. Henry Boyd (</w:t>
      </w:r>
      <w:r w:rsidRPr="002C413D">
        <w:rPr>
          <w:rFonts w:ascii="Times New Roman" w:hAnsi="Times New Roman" w:cs="Times New Roman"/>
          <w:iCs/>
        </w:rPr>
        <w:t>London: Forgotten Books, 2015).</w:t>
      </w:r>
      <w:r w:rsidR="00C12CA0">
        <w:rPr>
          <w:rFonts w:ascii="Times New Roman" w:hAnsi="Times New Roman" w:cs="Times New Roman"/>
          <w:iCs/>
        </w:rPr>
        <w:t xml:space="preserve"> </w:t>
      </w:r>
    </w:p>
  </w:footnote>
  <w:footnote w:id="62">
    <w:p w14:paraId="6CC79CF9" w14:textId="58A90DF9" w:rsidR="00B42237" w:rsidRPr="002C413D" w:rsidRDefault="00B42237" w:rsidP="00B42237">
      <w:pPr>
        <w:pStyle w:val="FootnoteText"/>
        <w:rPr>
          <w:rFonts w:ascii="Times New Roman" w:hAnsi="Times New Roman" w:cs="Times New Roman"/>
          <w:lang w:val="en-US"/>
        </w:rPr>
      </w:pPr>
      <w:r w:rsidRPr="002C413D">
        <w:rPr>
          <w:rStyle w:val="FootnoteReference"/>
          <w:rFonts w:ascii="Times New Roman" w:hAnsi="Times New Roman" w:cs="Times New Roman"/>
        </w:rPr>
        <w:footnoteRef/>
      </w:r>
      <w:r w:rsidRPr="002C413D">
        <w:rPr>
          <w:rFonts w:ascii="Times New Roman" w:hAnsi="Times New Roman" w:cs="Times New Roman"/>
        </w:rPr>
        <w:t xml:space="preserve"> ‘Sonnet 272’, </w:t>
      </w:r>
      <w:r w:rsidRPr="002C413D">
        <w:rPr>
          <w:rFonts w:ascii="Times New Roman" w:hAnsi="Times New Roman" w:cs="Times New Roman"/>
          <w:i/>
          <w:iCs/>
        </w:rPr>
        <w:t>Petrarch: Selections from Canzoniere and Other Works</w:t>
      </w:r>
      <w:r w:rsidRPr="002C413D">
        <w:rPr>
          <w:rFonts w:ascii="Times New Roman" w:hAnsi="Times New Roman" w:cs="Times New Roman"/>
        </w:rPr>
        <w:t xml:space="preserve">, p.65. </w:t>
      </w:r>
    </w:p>
  </w:footnote>
  <w:footnote w:id="63">
    <w:p w14:paraId="40DE0055" w14:textId="097DFD5E" w:rsidR="00B42237" w:rsidRPr="002C413D" w:rsidRDefault="00B42237" w:rsidP="00B42237">
      <w:pPr>
        <w:pStyle w:val="FootnoteText"/>
        <w:rPr>
          <w:rFonts w:ascii="Times New Roman" w:hAnsi="Times New Roman" w:cs="Times New Roman"/>
          <w:lang w:val="en-US"/>
        </w:rPr>
      </w:pPr>
      <w:r w:rsidRPr="002C413D">
        <w:rPr>
          <w:rStyle w:val="FootnoteReference"/>
          <w:rFonts w:ascii="Times New Roman" w:hAnsi="Times New Roman" w:cs="Times New Roman"/>
        </w:rPr>
        <w:footnoteRef/>
      </w:r>
      <w:r w:rsidRPr="002C413D">
        <w:rPr>
          <w:rFonts w:ascii="Times New Roman" w:hAnsi="Times New Roman" w:cs="Times New Roman"/>
        </w:rPr>
        <w:t xml:space="preserve"> </w:t>
      </w:r>
      <w:r w:rsidR="00857D1B">
        <w:rPr>
          <w:rFonts w:ascii="Times New Roman" w:hAnsi="Times New Roman" w:cs="Times New Roman"/>
        </w:rPr>
        <w:t xml:space="preserve">Musa, </w:t>
      </w:r>
      <w:r w:rsidRPr="002C413D">
        <w:rPr>
          <w:rFonts w:ascii="Times New Roman" w:hAnsi="Times New Roman" w:cs="Times New Roman"/>
        </w:rPr>
        <w:t>‘</w:t>
      </w:r>
      <w:r w:rsidRPr="002C413D">
        <w:rPr>
          <w:rFonts w:ascii="Times New Roman" w:hAnsi="Times New Roman" w:cs="Times New Roman"/>
          <w:lang w:val="en-US"/>
        </w:rPr>
        <w:t xml:space="preserve">Explanatory Notes’, </w:t>
      </w:r>
      <w:r w:rsidRPr="002C413D">
        <w:rPr>
          <w:rFonts w:ascii="Times New Roman" w:hAnsi="Times New Roman" w:cs="Times New Roman"/>
          <w:i/>
          <w:iCs/>
        </w:rPr>
        <w:t>Petrarch: Selections from Canzoniere and Other Works</w:t>
      </w:r>
      <w:r w:rsidRPr="002C413D">
        <w:rPr>
          <w:rFonts w:ascii="Times New Roman" w:hAnsi="Times New Roman" w:cs="Times New Roman"/>
        </w:rPr>
        <w:t>,</w:t>
      </w:r>
      <w:r w:rsidRPr="002C413D">
        <w:rPr>
          <w:rFonts w:ascii="Times New Roman" w:hAnsi="Times New Roman" w:cs="Times New Roman"/>
          <w:lang w:val="en-US"/>
        </w:rPr>
        <w:t xml:space="preserve"> p.84.</w:t>
      </w:r>
    </w:p>
  </w:footnote>
  <w:footnote w:id="64">
    <w:p w14:paraId="1FBF9645" w14:textId="6AF4C21B"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McWilliam, ‘Translators Introduction’ in </w:t>
      </w:r>
      <w:r w:rsidRPr="00CD2C89">
        <w:rPr>
          <w:rFonts w:ascii="Times New Roman" w:hAnsi="Times New Roman" w:cs="Times New Roman"/>
          <w:i/>
          <w:iCs/>
        </w:rPr>
        <w:t>The Decameron</w:t>
      </w:r>
      <w:r w:rsidRPr="00CD2C89">
        <w:rPr>
          <w:rFonts w:ascii="Times New Roman" w:hAnsi="Times New Roman" w:cs="Times New Roman"/>
        </w:rPr>
        <w:t xml:space="preserve">, </w:t>
      </w:r>
      <w:proofErr w:type="spellStart"/>
      <w:proofErr w:type="gramStart"/>
      <w:r w:rsidRPr="00CD2C89">
        <w:rPr>
          <w:rFonts w:ascii="Times New Roman" w:hAnsi="Times New Roman" w:cs="Times New Roman"/>
          <w:lang w:val="en-US"/>
        </w:rPr>
        <w:t>p.xliv</w:t>
      </w:r>
      <w:proofErr w:type="spellEnd"/>
      <w:r w:rsidRPr="00CD2C89">
        <w:rPr>
          <w:rFonts w:ascii="Times New Roman" w:hAnsi="Times New Roman" w:cs="Times New Roman"/>
          <w:lang w:val="en-US"/>
        </w:rPr>
        <w:t>.</w:t>
      </w:r>
      <w:proofErr w:type="gramEnd"/>
    </w:p>
  </w:footnote>
  <w:footnote w:id="65">
    <w:p w14:paraId="13F4A34B" w14:textId="291B96C8"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‘Introduction’, </w:t>
      </w:r>
      <w:r w:rsidRPr="00CD2C89">
        <w:rPr>
          <w:rFonts w:ascii="Times New Roman" w:hAnsi="Times New Roman" w:cs="Times New Roman"/>
          <w:i/>
          <w:iCs/>
        </w:rPr>
        <w:t>Petrarch: Selections from Canzoniere and Other Works</w:t>
      </w:r>
      <w:r w:rsidRPr="00CD2C89">
        <w:rPr>
          <w:rFonts w:ascii="Times New Roman" w:hAnsi="Times New Roman" w:cs="Times New Roman"/>
        </w:rPr>
        <w:t>,</w:t>
      </w:r>
      <w:r w:rsidRPr="00CD2C89">
        <w:rPr>
          <w:rFonts w:ascii="Times New Roman" w:hAnsi="Times New Roman" w:cs="Times New Roman"/>
          <w:lang w:val="en-US"/>
        </w:rPr>
        <w:t xml:space="preserve"> </w:t>
      </w:r>
      <w:proofErr w:type="spellStart"/>
      <w:proofErr w:type="gramStart"/>
      <w:r w:rsidRPr="00CD2C89">
        <w:rPr>
          <w:rFonts w:ascii="Times New Roman" w:hAnsi="Times New Roman" w:cs="Times New Roman"/>
          <w:lang w:val="en-US"/>
        </w:rPr>
        <w:t>p.xiii</w:t>
      </w:r>
      <w:proofErr w:type="spellEnd"/>
      <w:r w:rsidRPr="00CD2C89">
        <w:rPr>
          <w:rFonts w:ascii="Times New Roman" w:hAnsi="Times New Roman" w:cs="Times New Roman"/>
          <w:lang w:val="en-US"/>
        </w:rPr>
        <w:t>.</w:t>
      </w:r>
      <w:proofErr w:type="gramEnd"/>
    </w:p>
  </w:footnote>
  <w:footnote w:id="66">
    <w:p w14:paraId="2B294000" w14:textId="6C6A43AB" w:rsidR="00B42237" w:rsidRPr="00C834D3"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Beal, ‘textual community’, </w:t>
      </w:r>
      <w:r w:rsidRPr="00CD2C89">
        <w:rPr>
          <w:rFonts w:ascii="Times New Roman" w:hAnsi="Times New Roman" w:cs="Times New Roman"/>
          <w:i/>
          <w:iCs/>
        </w:rPr>
        <w:t xml:space="preserve">A Dictionary of English Manuscript Terminology 1450-2000 </w:t>
      </w:r>
      <w:r w:rsidRPr="00CD2C89">
        <w:rPr>
          <w:rFonts w:ascii="Times New Roman" w:hAnsi="Times New Roman" w:cs="Times New Roman"/>
        </w:rPr>
        <w:t>&lt;https://www.oxfordreference.com/view/10.1093/acref/9780199576128.001.0001/acref-9780199576128-e-1058&gt; [Date Accessed: 30 April 2020].</w:t>
      </w:r>
      <w:r w:rsidR="00857D1B">
        <w:rPr>
          <w:rFonts w:ascii="Times New Roman" w:hAnsi="Times New Roman" w:cs="Times New Roman"/>
        </w:rPr>
        <w:t xml:space="preserve"> </w:t>
      </w:r>
    </w:p>
  </w:footnote>
  <w:footnote w:id="67">
    <w:p w14:paraId="68890BFA" w14:textId="0F5AC93D" w:rsidR="00B42237" w:rsidRPr="00F92BA3" w:rsidRDefault="00B42237" w:rsidP="00B42237">
      <w:pPr>
        <w:pStyle w:val="FootnoteText"/>
        <w:rPr>
          <w:rFonts w:ascii="Times New Roman" w:hAnsi="Times New Roman" w:cs="Times New Roman"/>
          <w:lang w:val="en-US"/>
        </w:rPr>
      </w:pPr>
      <w:r w:rsidRPr="00F92BA3">
        <w:rPr>
          <w:rStyle w:val="FootnoteReference"/>
          <w:rFonts w:ascii="Times New Roman" w:hAnsi="Times New Roman" w:cs="Times New Roman"/>
        </w:rPr>
        <w:footnoteRef/>
      </w:r>
      <w:r>
        <w:rPr>
          <w:rFonts w:ascii="Times New Roman" w:hAnsi="Times New Roman" w:cs="Times New Roman"/>
        </w:rPr>
        <w:t xml:space="preserve"> </w:t>
      </w:r>
      <w:r w:rsidRPr="009C2D32">
        <w:rPr>
          <w:rFonts w:ascii="Times New Roman" w:hAnsi="Times New Roman" w:cs="Times New Roman"/>
        </w:rPr>
        <w:t xml:space="preserve">Boccaccio, </w:t>
      </w:r>
      <w:r w:rsidRPr="009C2D32">
        <w:rPr>
          <w:rFonts w:ascii="Times New Roman" w:hAnsi="Times New Roman" w:cs="Times New Roman"/>
          <w:i/>
          <w:iCs/>
        </w:rPr>
        <w:t>The Decameron</w:t>
      </w:r>
      <w:r>
        <w:rPr>
          <w:rFonts w:ascii="Times New Roman" w:hAnsi="Times New Roman" w:cs="Times New Roman"/>
          <w:lang w:val="en-US"/>
        </w:rPr>
        <w:t xml:space="preserve">, </w:t>
      </w:r>
      <w:r w:rsidRPr="00F92BA3">
        <w:rPr>
          <w:rFonts w:ascii="Times New Roman" w:hAnsi="Times New Roman" w:cs="Times New Roman"/>
          <w:lang w:val="en-US"/>
        </w:rPr>
        <w:t xml:space="preserve">p.7. </w:t>
      </w:r>
    </w:p>
  </w:footnote>
  <w:footnote w:id="68">
    <w:p w14:paraId="6C9D56B3" w14:textId="5E5CC1ED" w:rsidR="00B42237" w:rsidRPr="00F92BA3" w:rsidRDefault="00B42237" w:rsidP="00B42237">
      <w:pPr>
        <w:pStyle w:val="FootnoteText"/>
        <w:rPr>
          <w:rFonts w:ascii="Times New Roman" w:hAnsi="Times New Roman" w:cs="Times New Roman"/>
          <w:lang w:val="en-US"/>
        </w:rPr>
      </w:pPr>
      <w:r w:rsidRPr="00F92BA3">
        <w:rPr>
          <w:rStyle w:val="FootnoteReference"/>
          <w:rFonts w:ascii="Times New Roman" w:hAnsi="Times New Roman" w:cs="Times New Roman"/>
        </w:rPr>
        <w:footnoteRef/>
      </w:r>
      <w:r w:rsidRPr="00F92BA3">
        <w:rPr>
          <w:rFonts w:ascii="Times New Roman" w:hAnsi="Times New Roman" w:cs="Times New Roman"/>
        </w:rPr>
        <w:t xml:space="preserve"> Boccaccio, </w:t>
      </w:r>
      <w:r w:rsidRPr="00F92BA3">
        <w:rPr>
          <w:rFonts w:ascii="Times New Roman" w:hAnsi="Times New Roman" w:cs="Times New Roman"/>
          <w:i/>
          <w:iCs/>
        </w:rPr>
        <w:t>The Decameron</w:t>
      </w:r>
      <w:r w:rsidRPr="00F92BA3">
        <w:rPr>
          <w:rFonts w:ascii="Times New Roman" w:hAnsi="Times New Roman" w:cs="Times New Roman"/>
        </w:rPr>
        <w:t>,</w:t>
      </w:r>
      <w:r w:rsidRPr="00F92BA3">
        <w:rPr>
          <w:rFonts w:ascii="Times New Roman" w:hAnsi="Times New Roman" w:cs="Times New Roman"/>
          <w:lang w:val="en-US"/>
        </w:rPr>
        <w:t xml:space="preserve"> p.7. </w:t>
      </w:r>
    </w:p>
  </w:footnote>
  <w:footnote w:id="69">
    <w:p w14:paraId="6B140BE8" w14:textId="6F1E37C1" w:rsidR="00B42237" w:rsidRPr="001A490C" w:rsidRDefault="00B42237" w:rsidP="00B42237">
      <w:pPr>
        <w:pStyle w:val="FootnoteText"/>
        <w:rPr>
          <w:lang w:val="en-US"/>
        </w:rPr>
      </w:pPr>
      <w:r w:rsidRPr="00F92BA3">
        <w:rPr>
          <w:rStyle w:val="FootnoteReference"/>
          <w:rFonts w:ascii="Times New Roman" w:hAnsi="Times New Roman" w:cs="Times New Roman"/>
        </w:rPr>
        <w:footnoteRef/>
      </w:r>
      <w:r w:rsidRPr="00F92BA3">
        <w:rPr>
          <w:rFonts w:ascii="Times New Roman" w:hAnsi="Times New Roman" w:cs="Times New Roman"/>
        </w:rPr>
        <w:t xml:space="preserve"> Boccaccio, </w:t>
      </w:r>
      <w:r w:rsidRPr="00F92BA3">
        <w:rPr>
          <w:rFonts w:ascii="Times New Roman" w:hAnsi="Times New Roman" w:cs="Times New Roman"/>
          <w:i/>
          <w:iCs/>
        </w:rPr>
        <w:t>The Decameron</w:t>
      </w:r>
      <w:r w:rsidRPr="00F92BA3">
        <w:rPr>
          <w:rFonts w:ascii="Times New Roman" w:hAnsi="Times New Roman" w:cs="Times New Roman"/>
        </w:rPr>
        <w:t>, pp.10-11.</w:t>
      </w:r>
      <w:r>
        <w:t xml:space="preserve"> </w:t>
      </w:r>
    </w:p>
  </w:footnote>
  <w:footnote w:id="70">
    <w:p w14:paraId="7B19BF49" w14:textId="250A7B8D" w:rsidR="00B42237" w:rsidRPr="00BA0CAE" w:rsidRDefault="00B42237" w:rsidP="00B42237">
      <w:pPr>
        <w:pStyle w:val="FootnoteText"/>
        <w:rPr>
          <w:rFonts w:ascii="Times New Roman" w:hAnsi="Times New Roman" w:cs="Times New Roman"/>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Bonaiuti, </w:t>
      </w:r>
      <w:r w:rsidRPr="00BA0CAE">
        <w:rPr>
          <w:rFonts w:ascii="Times New Roman" w:hAnsi="Times New Roman" w:cs="Times New Roman"/>
          <w:i/>
          <w:iCs/>
          <w:lang w:val="en-US"/>
        </w:rPr>
        <w:t>Cronaca Fiorentina</w:t>
      </w:r>
      <w:r w:rsidR="00857D1B">
        <w:rPr>
          <w:rFonts w:ascii="Times New Roman" w:hAnsi="Times New Roman" w:cs="Times New Roman"/>
          <w:i/>
          <w:iCs/>
          <w:lang w:val="en-US"/>
        </w:rPr>
        <w:t xml:space="preserve"> </w:t>
      </w:r>
      <w:r w:rsidRPr="00BA0CAE">
        <w:rPr>
          <w:rFonts w:ascii="Times New Roman" w:hAnsi="Times New Roman" w:cs="Times New Roman"/>
          <w:lang w:val="en-US"/>
        </w:rPr>
        <w:t>&lt;</w:t>
      </w:r>
      <w:r w:rsidRPr="00BA0CAE">
        <w:rPr>
          <w:rFonts w:ascii="Times New Roman" w:hAnsi="Times New Roman" w:cs="Times New Roman"/>
        </w:rPr>
        <w:t>https://sourcebooks.fordham.edu/med/marchione.asp&gt; [Date Accessed: 24 March 2020].</w:t>
      </w:r>
      <w:r w:rsidRPr="00BA0CAE">
        <w:rPr>
          <w:rFonts w:ascii="Times New Roman" w:hAnsi="Times New Roman" w:cs="Times New Roman"/>
          <w:lang w:val="en-US"/>
        </w:rPr>
        <w:t xml:space="preserve"> </w:t>
      </w:r>
      <w:r w:rsidRPr="00BA0CAE">
        <w:rPr>
          <w:rFonts w:ascii="Times New Roman" w:hAnsi="Times New Roman" w:cs="Times New Roman"/>
        </w:rPr>
        <w:t xml:space="preserve"> </w:t>
      </w:r>
    </w:p>
  </w:footnote>
  <w:footnote w:id="71">
    <w:p w14:paraId="25CC450A" w14:textId="6C10A651" w:rsidR="00B42237" w:rsidRPr="00BA0CAE" w:rsidRDefault="00B42237" w:rsidP="00B42237">
      <w:pPr>
        <w:pStyle w:val="FootnoteText"/>
        <w:rPr>
          <w:rFonts w:ascii="Times New Roman" w:hAnsi="Times New Roman" w:cs="Times New Roman"/>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Bonaiuti, </w:t>
      </w:r>
      <w:r w:rsidRPr="00BA0CAE">
        <w:rPr>
          <w:rFonts w:ascii="Times New Roman" w:hAnsi="Times New Roman" w:cs="Times New Roman"/>
          <w:i/>
          <w:iCs/>
          <w:lang w:val="en-US"/>
        </w:rPr>
        <w:t xml:space="preserve">Cronaca Fiorentina </w:t>
      </w:r>
      <w:r w:rsidRPr="00BA0CAE">
        <w:rPr>
          <w:rFonts w:ascii="Times New Roman" w:hAnsi="Times New Roman" w:cs="Times New Roman"/>
          <w:lang w:val="en-US"/>
        </w:rPr>
        <w:t>&lt;</w:t>
      </w:r>
      <w:r w:rsidRPr="00BA0CAE">
        <w:rPr>
          <w:rFonts w:ascii="Times New Roman" w:hAnsi="Times New Roman" w:cs="Times New Roman"/>
        </w:rPr>
        <w:t>https://sourcebooks.fordham.edu/med/marchione.asp&gt; [Date Accessed: 24 March 2020].</w:t>
      </w:r>
      <w:r w:rsidRPr="00BA0CAE">
        <w:rPr>
          <w:rFonts w:ascii="Times New Roman" w:hAnsi="Times New Roman" w:cs="Times New Roman"/>
          <w:lang w:val="en-US"/>
        </w:rPr>
        <w:t xml:space="preserve"> </w:t>
      </w:r>
      <w:r w:rsidRPr="00BA0CAE">
        <w:rPr>
          <w:rFonts w:ascii="Times New Roman" w:hAnsi="Times New Roman" w:cs="Times New Roman"/>
        </w:rPr>
        <w:t xml:space="preserve"> </w:t>
      </w:r>
    </w:p>
  </w:footnote>
  <w:footnote w:id="72">
    <w:p w14:paraId="28814B4E" w14:textId="584B2C9D" w:rsidR="00B42237" w:rsidRPr="00BA0CAE" w:rsidRDefault="00B42237" w:rsidP="00B42237">
      <w:pPr>
        <w:pStyle w:val="FootnoteText"/>
        <w:rPr>
          <w:rFonts w:ascii="Times New Roman" w:hAnsi="Times New Roman" w:cs="Times New Roman"/>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Bonaiuti, </w:t>
      </w:r>
      <w:r w:rsidRPr="00BA0CAE">
        <w:rPr>
          <w:rFonts w:ascii="Times New Roman" w:hAnsi="Times New Roman" w:cs="Times New Roman"/>
          <w:i/>
          <w:iCs/>
          <w:lang w:val="en-US"/>
        </w:rPr>
        <w:t xml:space="preserve">Cronaca Fiorentina </w:t>
      </w:r>
      <w:r w:rsidRPr="00BA0CAE">
        <w:rPr>
          <w:rFonts w:ascii="Times New Roman" w:hAnsi="Times New Roman" w:cs="Times New Roman"/>
          <w:lang w:val="en-US"/>
        </w:rPr>
        <w:t>&lt;</w:t>
      </w:r>
      <w:r w:rsidRPr="00BA0CAE">
        <w:rPr>
          <w:rFonts w:ascii="Times New Roman" w:hAnsi="Times New Roman" w:cs="Times New Roman"/>
        </w:rPr>
        <w:t>https://sourcebooks.fordham.edu/med/marchione.asp&gt; [Date Accessed: 24 March 2020].</w:t>
      </w:r>
      <w:r w:rsidRPr="00BA0CAE">
        <w:rPr>
          <w:rFonts w:ascii="Times New Roman" w:hAnsi="Times New Roman" w:cs="Times New Roman"/>
          <w:lang w:val="en-US"/>
        </w:rPr>
        <w:t xml:space="preserve"> </w:t>
      </w:r>
      <w:r w:rsidRPr="00BA0CAE">
        <w:rPr>
          <w:rFonts w:ascii="Times New Roman" w:hAnsi="Times New Roman" w:cs="Times New Roman"/>
        </w:rPr>
        <w:t xml:space="preserve"> </w:t>
      </w:r>
    </w:p>
  </w:footnote>
  <w:footnote w:id="73">
    <w:p w14:paraId="0332AB6F" w14:textId="77777777" w:rsidR="00B42237" w:rsidRPr="00BA0CAE" w:rsidRDefault="00B42237" w:rsidP="00B42237">
      <w:pPr>
        <w:pStyle w:val="FootnoteText"/>
        <w:rPr>
          <w:rFonts w:ascii="Times New Roman" w:hAnsi="Times New Roman" w:cs="Times New Roman"/>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Hatcher, </w:t>
      </w:r>
      <w:r w:rsidRPr="00BA0CAE">
        <w:rPr>
          <w:rFonts w:ascii="Times New Roman" w:hAnsi="Times New Roman" w:cs="Times New Roman"/>
          <w:i/>
          <w:iCs/>
          <w:lang w:val="en-US"/>
        </w:rPr>
        <w:t>The Black Death: An Intimate History</w:t>
      </w:r>
      <w:r w:rsidRPr="00BA0CAE">
        <w:rPr>
          <w:rFonts w:ascii="Times New Roman" w:hAnsi="Times New Roman" w:cs="Times New Roman"/>
          <w:lang w:val="en-US"/>
        </w:rPr>
        <w:t xml:space="preserve">, </w:t>
      </w:r>
      <w:proofErr w:type="spellStart"/>
      <w:r w:rsidRPr="00BA0CAE">
        <w:rPr>
          <w:rFonts w:ascii="Times New Roman" w:hAnsi="Times New Roman" w:cs="Times New Roman"/>
          <w:lang w:val="en-US"/>
        </w:rPr>
        <w:t>p.xii</w:t>
      </w:r>
      <w:proofErr w:type="spellEnd"/>
      <w:r w:rsidRPr="00BA0CAE">
        <w:rPr>
          <w:rFonts w:ascii="Times New Roman" w:hAnsi="Times New Roman" w:cs="Times New Roman"/>
          <w:lang w:val="en-US"/>
        </w:rPr>
        <w:t>.</w:t>
      </w:r>
    </w:p>
  </w:footnote>
  <w:footnote w:id="74">
    <w:p w14:paraId="49E7685D" w14:textId="368948A7" w:rsidR="00B42237" w:rsidRPr="00B23CC8" w:rsidRDefault="00B42237" w:rsidP="00B42237">
      <w:pPr>
        <w:pStyle w:val="FootnoteText"/>
        <w:rPr>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Bonaiuti, </w:t>
      </w:r>
      <w:r w:rsidRPr="00BA0CAE">
        <w:rPr>
          <w:rFonts w:ascii="Times New Roman" w:hAnsi="Times New Roman" w:cs="Times New Roman"/>
          <w:i/>
          <w:iCs/>
          <w:lang w:val="en-US"/>
        </w:rPr>
        <w:t xml:space="preserve">Cronaca Fiorentina </w:t>
      </w:r>
      <w:r w:rsidRPr="00BA0CAE">
        <w:rPr>
          <w:rFonts w:ascii="Times New Roman" w:hAnsi="Times New Roman" w:cs="Times New Roman"/>
          <w:lang w:val="en-US"/>
        </w:rPr>
        <w:t>&lt;</w:t>
      </w:r>
      <w:r w:rsidRPr="00BA0CAE">
        <w:rPr>
          <w:rFonts w:ascii="Times New Roman" w:hAnsi="Times New Roman" w:cs="Times New Roman"/>
        </w:rPr>
        <w:t>https://sourcebooks.fordham.edu/med/marchione.asp&gt; [Date Accessed: 24 March 2020].</w:t>
      </w:r>
      <w:r w:rsidRPr="00BA0CAE">
        <w:rPr>
          <w:rFonts w:ascii="Times New Roman" w:hAnsi="Times New Roman" w:cs="Times New Roman"/>
          <w:lang w:val="en-US"/>
        </w:rPr>
        <w:t xml:space="preserve">  </w:t>
      </w:r>
    </w:p>
  </w:footnote>
  <w:footnote w:id="75">
    <w:p w14:paraId="4D9B839D" w14:textId="0B0AFBE0" w:rsidR="00B42237" w:rsidRPr="00F338C5" w:rsidRDefault="00B42237" w:rsidP="00B42237">
      <w:pPr>
        <w:pStyle w:val="FootnoteText"/>
        <w:rPr>
          <w:rFonts w:ascii="Times New Roman" w:hAnsi="Times New Roman" w:cs="Times New Roman"/>
          <w:lang w:val="en-US"/>
        </w:rPr>
      </w:pPr>
      <w:r w:rsidRPr="00F338C5">
        <w:rPr>
          <w:rStyle w:val="FootnoteReference"/>
          <w:rFonts w:ascii="Times New Roman" w:hAnsi="Times New Roman" w:cs="Times New Roman"/>
        </w:rPr>
        <w:footnoteRef/>
      </w:r>
      <w:r w:rsidRPr="00F338C5">
        <w:rPr>
          <w:rFonts w:ascii="Times New Roman" w:hAnsi="Times New Roman" w:cs="Times New Roman"/>
        </w:rPr>
        <w:t xml:space="preserve"> Boccaccio, </w:t>
      </w:r>
      <w:r w:rsidRPr="00F338C5">
        <w:rPr>
          <w:rFonts w:ascii="Times New Roman" w:hAnsi="Times New Roman" w:cs="Times New Roman"/>
          <w:i/>
          <w:iCs/>
        </w:rPr>
        <w:t>The Decameron</w:t>
      </w:r>
      <w:r w:rsidRPr="00F338C5">
        <w:rPr>
          <w:rFonts w:ascii="Times New Roman" w:hAnsi="Times New Roman" w:cs="Times New Roman"/>
          <w:lang w:val="en-US"/>
        </w:rPr>
        <w:t>, p.10.</w:t>
      </w:r>
    </w:p>
  </w:footnote>
  <w:footnote w:id="76">
    <w:p w14:paraId="621507FB" w14:textId="77777777" w:rsidR="00B42237" w:rsidRPr="00F338C5" w:rsidRDefault="00B42237" w:rsidP="00B42237">
      <w:pPr>
        <w:pStyle w:val="FootnoteText"/>
        <w:rPr>
          <w:rFonts w:ascii="Times New Roman" w:hAnsi="Times New Roman" w:cs="Times New Roman"/>
          <w:lang w:val="en-US"/>
        </w:rPr>
      </w:pPr>
      <w:r w:rsidRPr="00F338C5">
        <w:rPr>
          <w:rStyle w:val="FootnoteReference"/>
          <w:rFonts w:ascii="Times New Roman" w:hAnsi="Times New Roman" w:cs="Times New Roman"/>
        </w:rPr>
        <w:footnoteRef/>
      </w:r>
      <w:r w:rsidRPr="00F338C5">
        <w:rPr>
          <w:rFonts w:ascii="Times New Roman" w:hAnsi="Times New Roman" w:cs="Times New Roman"/>
        </w:rPr>
        <w:t xml:space="preserve"> Elizabeth Knowles, </w:t>
      </w:r>
      <w:r w:rsidRPr="00F338C5">
        <w:rPr>
          <w:rFonts w:ascii="Times New Roman" w:hAnsi="Times New Roman" w:cs="Times New Roman"/>
          <w:lang w:val="en-US"/>
        </w:rPr>
        <w:t xml:space="preserve">‘sexton’, </w:t>
      </w:r>
      <w:r w:rsidRPr="00F338C5">
        <w:rPr>
          <w:rFonts w:ascii="Times New Roman" w:hAnsi="Times New Roman" w:cs="Times New Roman"/>
          <w:i/>
          <w:iCs/>
          <w:lang w:val="en-US"/>
        </w:rPr>
        <w:t xml:space="preserve">The Oxford Dictionary of Phrase and Fable </w:t>
      </w:r>
      <w:r w:rsidRPr="00F338C5">
        <w:rPr>
          <w:rFonts w:ascii="Times New Roman" w:hAnsi="Times New Roman" w:cs="Times New Roman"/>
          <w:lang w:val="en-US"/>
        </w:rPr>
        <w:t xml:space="preserve">(Oxford University Press, 2006) </w:t>
      </w:r>
      <w:r w:rsidRPr="00F338C5">
        <w:rPr>
          <w:rFonts w:ascii="Times New Roman" w:hAnsi="Times New Roman" w:cs="Times New Roman"/>
          <w:i/>
          <w:iCs/>
          <w:lang w:val="en-US"/>
        </w:rPr>
        <w:t>Oxford Reference</w:t>
      </w:r>
      <w:r w:rsidRPr="00F338C5">
        <w:rPr>
          <w:rFonts w:ascii="Times New Roman" w:hAnsi="Times New Roman" w:cs="Times New Roman"/>
          <w:lang w:val="en-US"/>
        </w:rPr>
        <w:t xml:space="preserve"> &lt;</w:t>
      </w:r>
      <w:r w:rsidRPr="00F338C5">
        <w:rPr>
          <w:rFonts w:ascii="Times New Roman" w:hAnsi="Times New Roman" w:cs="Times New Roman"/>
        </w:rPr>
        <w:t xml:space="preserve">https://www.oxfordreference.com/view/10.1093/acref/9780198609810.001.0001/acref-9780198609810-e-6389&gt; [Date Accessed: 30 April 2020]. </w:t>
      </w:r>
    </w:p>
  </w:footnote>
  <w:footnote w:id="77">
    <w:p w14:paraId="5BE0223E" w14:textId="76518D2A" w:rsidR="00B42237" w:rsidRPr="00F338C5" w:rsidRDefault="00B42237" w:rsidP="00B42237">
      <w:pPr>
        <w:pStyle w:val="FootnoteText"/>
        <w:rPr>
          <w:rFonts w:ascii="Times New Roman" w:hAnsi="Times New Roman" w:cs="Times New Roman"/>
        </w:rPr>
      </w:pPr>
      <w:r w:rsidRPr="00F338C5">
        <w:rPr>
          <w:rStyle w:val="FootnoteReference"/>
          <w:rFonts w:ascii="Times New Roman" w:hAnsi="Times New Roman" w:cs="Times New Roman"/>
        </w:rPr>
        <w:footnoteRef/>
      </w:r>
      <w:r w:rsidRPr="00F338C5">
        <w:rPr>
          <w:rFonts w:ascii="Times New Roman" w:hAnsi="Times New Roman" w:cs="Times New Roman"/>
        </w:rPr>
        <w:t xml:space="preserve"> “From Petrarch to Socrates” in </w:t>
      </w:r>
      <w:r w:rsidRPr="00F338C5">
        <w:rPr>
          <w:rFonts w:ascii="Times New Roman" w:hAnsi="Times New Roman" w:cs="Times New Roman"/>
          <w:i/>
          <w:iCs/>
        </w:rPr>
        <w:t>The Voice of the Middle Ages: In Personal Letters 1100-1500</w:t>
      </w:r>
      <w:r w:rsidRPr="00F338C5">
        <w:rPr>
          <w:rFonts w:ascii="Times New Roman" w:hAnsi="Times New Roman" w:cs="Times New Roman"/>
        </w:rPr>
        <w:t xml:space="preserve">, </w:t>
      </w:r>
      <w:r w:rsidRPr="00F338C5">
        <w:rPr>
          <w:rFonts w:ascii="Times New Roman" w:hAnsi="Times New Roman" w:cs="Times New Roman"/>
          <w:lang w:val="en-US"/>
        </w:rPr>
        <w:t xml:space="preserve">p.323. </w:t>
      </w:r>
    </w:p>
  </w:footnote>
  <w:footnote w:id="78">
    <w:p w14:paraId="408E7A3E" w14:textId="48DBB5DF" w:rsidR="00B42237" w:rsidRPr="00E412AB" w:rsidRDefault="00B42237" w:rsidP="00B42237">
      <w:pPr>
        <w:pStyle w:val="FootnoteText"/>
        <w:rPr>
          <w:lang w:val="en-US"/>
        </w:rPr>
      </w:pPr>
      <w:r w:rsidRPr="00F338C5">
        <w:rPr>
          <w:rStyle w:val="FootnoteReference"/>
          <w:rFonts w:ascii="Times New Roman" w:hAnsi="Times New Roman" w:cs="Times New Roman"/>
        </w:rPr>
        <w:footnoteRef/>
      </w:r>
      <w:r w:rsidRPr="00F338C5">
        <w:rPr>
          <w:rFonts w:ascii="Times New Roman" w:hAnsi="Times New Roman" w:cs="Times New Roman"/>
        </w:rPr>
        <w:t xml:space="preserve"> </w:t>
      </w:r>
      <w:r w:rsidRPr="00F338C5">
        <w:rPr>
          <w:rFonts w:ascii="Times New Roman" w:hAnsi="Times New Roman" w:cs="Times New Roman"/>
          <w:lang w:val="en-US"/>
        </w:rPr>
        <w:t xml:space="preserve">Bonaiuti, </w:t>
      </w:r>
      <w:r w:rsidRPr="00F338C5">
        <w:rPr>
          <w:rFonts w:ascii="Times New Roman" w:hAnsi="Times New Roman" w:cs="Times New Roman"/>
          <w:i/>
          <w:iCs/>
          <w:lang w:val="en-US"/>
        </w:rPr>
        <w:t xml:space="preserve">Cronaca Fiorentina </w:t>
      </w:r>
      <w:r w:rsidRPr="00F338C5">
        <w:rPr>
          <w:rFonts w:ascii="Times New Roman" w:hAnsi="Times New Roman" w:cs="Times New Roman"/>
          <w:lang w:val="en-US"/>
        </w:rPr>
        <w:t>&lt;</w:t>
      </w:r>
      <w:r w:rsidRPr="00F338C5">
        <w:rPr>
          <w:rFonts w:ascii="Times New Roman" w:hAnsi="Times New Roman" w:cs="Times New Roman"/>
        </w:rPr>
        <w:t>https://sourcebooks.fordham.edu/med/marchione.asp&gt; [Date Accessed: 24 March 2020].</w:t>
      </w:r>
      <w:r w:rsidRPr="009C2D32">
        <w:rPr>
          <w:rFonts w:ascii="Times New Roman" w:hAnsi="Times New Roman" w:cs="Times New Roman"/>
          <w:lang w:val="en-US"/>
        </w:rPr>
        <w:t xml:space="preserve"> </w:t>
      </w:r>
      <w:r w:rsidRPr="009C2D32">
        <w:rPr>
          <w:rFonts w:ascii="Times New Roman" w:hAnsi="Times New Roman" w:cs="Times New Roman"/>
        </w:rPr>
        <w:t xml:space="preserve"> </w:t>
      </w:r>
    </w:p>
  </w:footnote>
  <w:footnote w:id="79">
    <w:p w14:paraId="34F46E92" w14:textId="77777777" w:rsidR="00B42237" w:rsidRPr="00F338C5" w:rsidRDefault="00B42237" w:rsidP="00B42237">
      <w:pPr>
        <w:pStyle w:val="FootnoteText"/>
        <w:rPr>
          <w:rFonts w:ascii="Times New Roman" w:hAnsi="Times New Roman" w:cs="Times New Roman"/>
          <w:lang w:val="en-US"/>
        </w:rPr>
      </w:pPr>
      <w:r w:rsidRPr="00F338C5">
        <w:rPr>
          <w:rStyle w:val="FootnoteReference"/>
          <w:rFonts w:ascii="Times New Roman" w:hAnsi="Times New Roman" w:cs="Times New Roman"/>
        </w:rPr>
        <w:footnoteRef/>
      </w:r>
      <w:r w:rsidRPr="00F338C5">
        <w:rPr>
          <w:rFonts w:ascii="Times New Roman" w:hAnsi="Times New Roman" w:cs="Times New Roman"/>
        </w:rPr>
        <w:t xml:space="preserve"> </w:t>
      </w:r>
      <w:r w:rsidRPr="00F338C5">
        <w:rPr>
          <w:rFonts w:ascii="Times New Roman" w:hAnsi="Times New Roman" w:cs="Times New Roman"/>
          <w:lang w:val="en-US"/>
        </w:rPr>
        <w:t xml:space="preserve">Ole J. Benedictow, </w:t>
      </w:r>
      <w:r w:rsidRPr="00F338C5">
        <w:rPr>
          <w:rFonts w:ascii="Times New Roman" w:hAnsi="Times New Roman" w:cs="Times New Roman"/>
          <w:i/>
          <w:iCs/>
          <w:lang w:val="en-US"/>
        </w:rPr>
        <w:t xml:space="preserve">The Black Death, 1346-1353: The Complete History </w:t>
      </w:r>
      <w:r w:rsidRPr="00F338C5">
        <w:rPr>
          <w:rFonts w:ascii="Times New Roman" w:hAnsi="Times New Roman" w:cs="Times New Roman"/>
          <w:lang w:val="en-US"/>
        </w:rPr>
        <w:t>(Woodbridge: Boydell Press, 2006).</w:t>
      </w:r>
    </w:p>
  </w:footnote>
  <w:footnote w:id="80">
    <w:p w14:paraId="2042ACE9" w14:textId="77777777" w:rsidR="00B42237" w:rsidRPr="00F92BA3" w:rsidRDefault="00B42237" w:rsidP="00B42237">
      <w:pPr>
        <w:pStyle w:val="FootnoteText"/>
        <w:rPr>
          <w:rFonts w:ascii="Times New Roman" w:hAnsi="Times New Roman" w:cs="Times New Roman"/>
        </w:rPr>
      </w:pPr>
      <w:r w:rsidRPr="00F92BA3">
        <w:rPr>
          <w:rStyle w:val="FootnoteReference"/>
          <w:rFonts w:ascii="Times New Roman" w:hAnsi="Times New Roman" w:cs="Times New Roman"/>
        </w:rPr>
        <w:footnoteRef/>
      </w:r>
      <w:r w:rsidRPr="00F92BA3">
        <w:rPr>
          <w:rFonts w:ascii="Times New Roman" w:hAnsi="Times New Roman" w:cs="Times New Roman"/>
        </w:rPr>
        <w:t xml:space="preserve"> Ziegler, </w:t>
      </w:r>
      <w:r w:rsidRPr="00F92BA3">
        <w:rPr>
          <w:rFonts w:ascii="Times New Roman" w:hAnsi="Times New Roman" w:cs="Times New Roman"/>
          <w:i/>
          <w:iCs/>
        </w:rPr>
        <w:t>The Black Death</w:t>
      </w:r>
      <w:r w:rsidRPr="00F92BA3">
        <w:rPr>
          <w:rFonts w:ascii="Times New Roman" w:hAnsi="Times New Roman" w:cs="Times New Roman"/>
        </w:rPr>
        <w:t xml:space="preserve">, pp.36-7. </w:t>
      </w:r>
    </w:p>
  </w:footnote>
  <w:footnote w:id="81">
    <w:p w14:paraId="081079A7" w14:textId="77777777" w:rsidR="00B42237" w:rsidRPr="009C2D32" w:rsidRDefault="00B42237" w:rsidP="00B42237">
      <w:pPr>
        <w:pStyle w:val="FootnoteText"/>
        <w:rPr>
          <w:rFonts w:ascii="Times New Roman" w:hAnsi="Times New Roman" w:cs="Times New Roman"/>
          <w:lang w:val="en-US"/>
        </w:rPr>
      </w:pPr>
      <w:r w:rsidRPr="009C2D32">
        <w:rPr>
          <w:rStyle w:val="FootnoteReference"/>
          <w:rFonts w:ascii="Times New Roman" w:hAnsi="Times New Roman" w:cs="Times New Roman"/>
        </w:rPr>
        <w:footnoteRef/>
      </w:r>
      <w:r w:rsidRPr="009C2D32">
        <w:rPr>
          <w:rFonts w:ascii="Times New Roman" w:hAnsi="Times New Roman" w:cs="Times New Roman"/>
        </w:rPr>
        <w:t xml:space="preserve"> </w:t>
      </w:r>
      <w:r w:rsidRPr="009C2D32">
        <w:rPr>
          <w:rFonts w:ascii="Times New Roman" w:hAnsi="Times New Roman" w:cs="Times New Roman"/>
          <w:lang w:val="en-US"/>
        </w:rPr>
        <w:t xml:space="preserve">Ziegler, </w:t>
      </w:r>
      <w:r w:rsidRPr="009C2D32">
        <w:rPr>
          <w:rFonts w:ascii="Times New Roman" w:hAnsi="Times New Roman" w:cs="Times New Roman"/>
          <w:i/>
          <w:iCs/>
          <w:lang w:val="en-US"/>
        </w:rPr>
        <w:t>The Black Death</w:t>
      </w:r>
      <w:r w:rsidRPr="009C2D32">
        <w:rPr>
          <w:rFonts w:ascii="Times New Roman" w:hAnsi="Times New Roman" w:cs="Times New Roman"/>
          <w:lang w:val="en-US"/>
        </w:rPr>
        <w:t>, p.</w:t>
      </w:r>
      <w:r>
        <w:rPr>
          <w:rFonts w:ascii="Times New Roman" w:hAnsi="Times New Roman" w:cs="Times New Roman"/>
          <w:lang w:val="en-US"/>
        </w:rPr>
        <w:t>38.</w:t>
      </w:r>
    </w:p>
  </w:footnote>
  <w:footnote w:id="82">
    <w:p w14:paraId="7B179F1B" w14:textId="602B1821" w:rsidR="00B42237" w:rsidRPr="009C2D32" w:rsidRDefault="00B42237" w:rsidP="00B42237">
      <w:pPr>
        <w:pStyle w:val="FootnoteText"/>
        <w:rPr>
          <w:rFonts w:ascii="Times New Roman" w:hAnsi="Times New Roman" w:cs="Times New Roman"/>
          <w:lang w:val="en-US"/>
        </w:rPr>
      </w:pPr>
      <w:r w:rsidRPr="009C2D32">
        <w:rPr>
          <w:rStyle w:val="FootnoteReference"/>
          <w:rFonts w:ascii="Times New Roman" w:hAnsi="Times New Roman" w:cs="Times New Roman"/>
        </w:rPr>
        <w:footnoteRef/>
      </w:r>
      <w:r w:rsidRPr="009C2D32">
        <w:rPr>
          <w:rFonts w:ascii="Times New Roman" w:hAnsi="Times New Roman" w:cs="Times New Roman"/>
        </w:rPr>
        <w:t xml:space="preserve"> Boccaccio, </w:t>
      </w:r>
      <w:r w:rsidRPr="009C2D32">
        <w:rPr>
          <w:rFonts w:ascii="Times New Roman" w:hAnsi="Times New Roman" w:cs="Times New Roman"/>
          <w:i/>
          <w:iCs/>
        </w:rPr>
        <w:t>The Decameron</w:t>
      </w:r>
      <w:r w:rsidRPr="009C2D32">
        <w:rPr>
          <w:rFonts w:ascii="Times New Roman" w:hAnsi="Times New Roman" w:cs="Times New Roman"/>
        </w:rPr>
        <w:t>,</w:t>
      </w:r>
      <w:r w:rsidRPr="009C2D32">
        <w:rPr>
          <w:rFonts w:ascii="Times New Roman" w:hAnsi="Times New Roman" w:cs="Times New Roman"/>
          <w:lang w:val="en-US"/>
        </w:rPr>
        <w:t xml:space="preserve"> p.11.</w:t>
      </w:r>
    </w:p>
  </w:footnote>
  <w:footnote w:id="83">
    <w:p w14:paraId="543FCBCA" w14:textId="4E3611E2" w:rsidR="00B42237" w:rsidRPr="009C2D32" w:rsidRDefault="00B42237" w:rsidP="00B42237">
      <w:pPr>
        <w:pStyle w:val="FootnoteText"/>
        <w:rPr>
          <w:rFonts w:ascii="Times New Roman" w:hAnsi="Times New Roman" w:cs="Times New Roman"/>
          <w:lang w:val="en-US"/>
        </w:rPr>
      </w:pPr>
      <w:r w:rsidRPr="009C2D32">
        <w:rPr>
          <w:rStyle w:val="FootnoteReference"/>
          <w:rFonts w:ascii="Times New Roman" w:hAnsi="Times New Roman" w:cs="Times New Roman"/>
        </w:rPr>
        <w:footnoteRef/>
      </w:r>
      <w:r w:rsidRPr="009C2D32">
        <w:rPr>
          <w:rFonts w:ascii="Times New Roman" w:hAnsi="Times New Roman" w:cs="Times New Roman"/>
        </w:rPr>
        <w:t xml:space="preserve"> </w:t>
      </w:r>
      <w:r w:rsidRPr="009C2D32">
        <w:rPr>
          <w:rFonts w:ascii="Times New Roman" w:hAnsi="Times New Roman" w:cs="Times New Roman"/>
          <w:lang w:val="en-US"/>
        </w:rPr>
        <w:t xml:space="preserve">Bonaiuti, </w:t>
      </w:r>
      <w:r w:rsidRPr="009C2D32">
        <w:rPr>
          <w:rFonts w:ascii="Times New Roman" w:hAnsi="Times New Roman" w:cs="Times New Roman"/>
          <w:i/>
          <w:iCs/>
          <w:lang w:val="en-US"/>
        </w:rPr>
        <w:t xml:space="preserve">Cronaca Fiorentina </w:t>
      </w:r>
      <w:r w:rsidRPr="009C2D32">
        <w:rPr>
          <w:rFonts w:ascii="Times New Roman" w:hAnsi="Times New Roman" w:cs="Times New Roman"/>
          <w:lang w:val="en-US"/>
        </w:rPr>
        <w:t>&lt;</w:t>
      </w:r>
      <w:r w:rsidRPr="009C2D32">
        <w:rPr>
          <w:rFonts w:ascii="Times New Roman" w:hAnsi="Times New Roman" w:cs="Times New Roman"/>
        </w:rPr>
        <w:t>https://sourcebooks.fordham.edu/med/marchione.asp&gt; [Date Accessed: 24 March 2020].</w:t>
      </w:r>
      <w:r w:rsidRPr="009C2D32">
        <w:rPr>
          <w:rFonts w:ascii="Times New Roman" w:hAnsi="Times New Roman" w:cs="Times New Roman"/>
          <w:lang w:val="en-US"/>
        </w:rPr>
        <w:t xml:space="preserve"> </w:t>
      </w:r>
      <w:r w:rsidRPr="009C2D32">
        <w:rPr>
          <w:rFonts w:ascii="Times New Roman" w:hAnsi="Times New Roman" w:cs="Times New Roman"/>
        </w:rPr>
        <w:t xml:space="preserve"> </w:t>
      </w:r>
    </w:p>
  </w:footnote>
  <w:footnote w:id="84">
    <w:p w14:paraId="2E79DD53" w14:textId="015B71FE" w:rsidR="00B42237" w:rsidRPr="00457D9C" w:rsidRDefault="00B42237" w:rsidP="00B42237">
      <w:pPr>
        <w:pStyle w:val="FootnoteText"/>
        <w:rPr>
          <w:lang w:val="en-US"/>
        </w:rPr>
      </w:pPr>
      <w:r w:rsidRPr="009C2D32">
        <w:rPr>
          <w:rStyle w:val="FootnoteReference"/>
          <w:rFonts w:ascii="Times New Roman" w:hAnsi="Times New Roman" w:cs="Times New Roman"/>
        </w:rPr>
        <w:footnoteRef/>
      </w:r>
      <w:r w:rsidRPr="009C2D32">
        <w:rPr>
          <w:rFonts w:ascii="Times New Roman" w:hAnsi="Times New Roman" w:cs="Times New Roman"/>
        </w:rPr>
        <w:t xml:space="preserve"> Boccaccio, </w:t>
      </w:r>
      <w:r w:rsidRPr="009C2D32">
        <w:rPr>
          <w:rFonts w:ascii="Times New Roman" w:hAnsi="Times New Roman" w:cs="Times New Roman"/>
          <w:i/>
          <w:iCs/>
        </w:rPr>
        <w:t>The Decameron</w:t>
      </w:r>
      <w:r w:rsidRPr="009C2D32">
        <w:rPr>
          <w:rFonts w:ascii="Times New Roman" w:hAnsi="Times New Roman" w:cs="Times New Roman"/>
        </w:rPr>
        <w:t>,</w:t>
      </w:r>
      <w:r w:rsidRPr="009C2D32">
        <w:rPr>
          <w:rFonts w:ascii="Times New Roman" w:hAnsi="Times New Roman" w:cs="Times New Roman"/>
          <w:lang w:val="en-US"/>
        </w:rPr>
        <w:t xml:space="preserve"> p 12.</w:t>
      </w:r>
    </w:p>
  </w:footnote>
  <w:footnote w:id="85">
    <w:p w14:paraId="142C83EF" w14:textId="1A7C7892" w:rsidR="00B42237" w:rsidRPr="00810170" w:rsidRDefault="00B42237" w:rsidP="00B42237">
      <w:pPr>
        <w:pStyle w:val="FootnoteText"/>
        <w:rPr>
          <w:rFonts w:ascii="Times New Roman" w:hAnsi="Times New Roman" w:cs="Times New Roman"/>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Boccaccio, </w:t>
      </w:r>
      <w:r w:rsidRPr="00810170">
        <w:rPr>
          <w:rFonts w:ascii="Times New Roman" w:hAnsi="Times New Roman" w:cs="Times New Roman"/>
          <w:i/>
          <w:iCs/>
        </w:rPr>
        <w:t>The Decameron</w:t>
      </w:r>
      <w:r w:rsidRPr="00810170">
        <w:rPr>
          <w:rFonts w:ascii="Times New Roman" w:hAnsi="Times New Roman" w:cs="Times New Roman"/>
        </w:rPr>
        <w:t>,</w:t>
      </w:r>
      <w:r w:rsidRPr="00810170">
        <w:rPr>
          <w:rFonts w:ascii="Times New Roman" w:hAnsi="Times New Roman" w:cs="Times New Roman"/>
          <w:lang w:val="en-US"/>
        </w:rPr>
        <w:t xml:space="preserve"> p.11.</w:t>
      </w:r>
    </w:p>
  </w:footnote>
  <w:footnote w:id="86">
    <w:p w14:paraId="0ACE25F1" w14:textId="3EB784AD" w:rsidR="00B42237" w:rsidRPr="00810170" w:rsidRDefault="00B42237" w:rsidP="00B42237">
      <w:pPr>
        <w:pStyle w:val="FootnoteText"/>
        <w:rPr>
          <w:rFonts w:ascii="Times New Roman" w:hAnsi="Times New Roman" w:cs="Times New Roman"/>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Boccaccio, </w:t>
      </w:r>
      <w:r w:rsidRPr="00810170">
        <w:rPr>
          <w:rFonts w:ascii="Times New Roman" w:hAnsi="Times New Roman" w:cs="Times New Roman"/>
          <w:i/>
          <w:iCs/>
        </w:rPr>
        <w:t>The Decameron</w:t>
      </w:r>
      <w:r w:rsidRPr="00810170">
        <w:rPr>
          <w:rFonts w:ascii="Times New Roman" w:hAnsi="Times New Roman" w:cs="Times New Roman"/>
        </w:rPr>
        <w:t>,</w:t>
      </w:r>
      <w:r w:rsidRPr="00810170">
        <w:rPr>
          <w:rFonts w:ascii="Times New Roman" w:hAnsi="Times New Roman" w:cs="Times New Roman"/>
          <w:lang w:val="en-US"/>
        </w:rPr>
        <w:t xml:space="preserve"> p.10.</w:t>
      </w:r>
    </w:p>
  </w:footnote>
  <w:footnote w:id="87">
    <w:p w14:paraId="21925848" w14:textId="72CE5E4D" w:rsidR="00B42237" w:rsidRPr="00810170" w:rsidRDefault="00B42237" w:rsidP="00B42237">
      <w:pPr>
        <w:pStyle w:val="FootnoteText"/>
        <w:rPr>
          <w:rFonts w:ascii="Times New Roman" w:hAnsi="Times New Roman" w:cs="Times New Roman"/>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w:t>
      </w:r>
      <w:r w:rsidRPr="00810170">
        <w:rPr>
          <w:rFonts w:ascii="Times New Roman" w:hAnsi="Times New Roman" w:cs="Times New Roman"/>
          <w:lang w:val="en-US"/>
        </w:rPr>
        <w:t>Geoffrey le Baker,</w:t>
      </w:r>
      <w:r w:rsidRPr="00810170">
        <w:rPr>
          <w:rFonts w:ascii="Times New Roman" w:hAnsi="Times New Roman" w:cs="Times New Roman"/>
          <w:i/>
          <w:iCs/>
          <w:lang w:val="en-US"/>
        </w:rPr>
        <w:t xml:space="preserve"> The Chronicle of Geoffrey le Baker of Swinbrook</w:t>
      </w:r>
      <w:r w:rsidRPr="00810170">
        <w:rPr>
          <w:rFonts w:ascii="Times New Roman" w:hAnsi="Times New Roman" w:cs="Times New Roman"/>
          <w:lang w:val="en-US"/>
        </w:rPr>
        <w:t>, p.86.</w:t>
      </w:r>
    </w:p>
  </w:footnote>
  <w:footnote w:id="88">
    <w:p w14:paraId="78E9913F" w14:textId="0C2D0BF4" w:rsidR="00B42237" w:rsidRPr="00AB70D3" w:rsidRDefault="00B42237" w:rsidP="00B42237">
      <w:pPr>
        <w:pStyle w:val="FootnoteText"/>
        <w:rPr>
          <w:rFonts w:ascii="Times New Roman" w:hAnsi="Times New Roman" w:cs="Times New Roman"/>
        </w:rPr>
      </w:pPr>
      <w:r w:rsidRPr="00AB70D3">
        <w:rPr>
          <w:rStyle w:val="FootnoteReference"/>
          <w:rFonts w:ascii="Times New Roman" w:hAnsi="Times New Roman" w:cs="Times New Roman"/>
        </w:rPr>
        <w:footnoteRef/>
      </w:r>
      <w:r w:rsidRPr="00AB70D3">
        <w:rPr>
          <w:rFonts w:ascii="Times New Roman" w:hAnsi="Times New Roman" w:cs="Times New Roman"/>
        </w:rPr>
        <w:t xml:space="preserve"> Boccaccio, </w:t>
      </w:r>
      <w:r w:rsidRPr="00AB70D3">
        <w:rPr>
          <w:rFonts w:ascii="Times New Roman" w:hAnsi="Times New Roman" w:cs="Times New Roman"/>
          <w:i/>
          <w:iCs/>
        </w:rPr>
        <w:t>The Decameron</w:t>
      </w:r>
      <w:r w:rsidRPr="00AB70D3">
        <w:rPr>
          <w:rFonts w:ascii="Times New Roman" w:hAnsi="Times New Roman" w:cs="Times New Roman"/>
        </w:rPr>
        <w:t>, p.5.</w:t>
      </w:r>
    </w:p>
  </w:footnote>
  <w:footnote w:id="89">
    <w:p w14:paraId="33761B52" w14:textId="77777777" w:rsidR="00B42237" w:rsidRPr="00AB70D3" w:rsidRDefault="00B42237" w:rsidP="00B42237">
      <w:pPr>
        <w:pStyle w:val="FootnoteText"/>
        <w:rPr>
          <w:rFonts w:ascii="Times New Roman" w:hAnsi="Times New Roman" w:cs="Times New Roman"/>
        </w:rPr>
      </w:pPr>
      <w:r w:rsidRPr="00AB70D3">
        <w:rPr>
          <w:rStyle w:val="FootnoteReference"/>
          <w:rFonts w:ascii="Times New Roman" w:hAnsi="Times New Roman" w:cs="Times New Roman"/>
        </w:rPr>
        <w:footnoteRef/>
      </w:r>
      <w:r w:rsidRPr="00AB70D3">
        <w:rPr>
          <w:rFonts w:ascii="Times New Roman" w:hAnsi="Times New Roman" w:cs="Times New Roman"/>
        </w:rPr>
        <w:t xml:space="preserve"> </w:t>
      </w:r>
      <w:r w:rsidRPr="00AB70D3">
        <w:rPr>
          <w:rFonts w:ascii="Times New Roman" w:hAnsi="Times New Roman" w:cs="Times New Roman"/>
          <w:lang w:val="en-US"/>
        </w:rPr>
        <w:t xml:space="preserve">Ziegler, </w:t>
      </w:r>
      <w:r w:rsidRPr="00AB70D3">
        <w:rPr>
          <w:rFonts w:ascii="Times New Roman" w:hAnsi="Times New Roman" w:cs="Times New Roman"/>
          <w:i/>
          <w:iCs/>
          <w:lang w:val="en-US"/>
        </w:rPr>
        <w:t>The Black Death</w:t>
      </w:r>
      <w:r w:rsidRPr="00AB70D3">
        <w:rPr>
          <w:rFonts w:ascii="Times New Roman" w:hAnsi="Times New Roman" w:cs="Times New Roman"/>
          <w:lang w:val="en-US"/>
        </w:rPr>
        <w:t>,</w:t>
      </w:r>
      <w:r w:rsidRPr="00AB70D3">
        <w:rPr>
          <w:rFonts w:ascii="Times New Roman" w:hAnsi="Times New Roman" w:cs="Times New Roman"/>
        </w:rPr>
        <w:t xml:space="preserve"> p.39.</w:t>
      </w:r>
    </w:p>
  </w:footnote>
  <w:footnote w:id="90">
    <w:p w14:paraId="5502DA5A" w14:textId="77777777" w:rsidR="00B42237" w:rsidRPr="00AB70D3" w:rsidRDefault="00B42237" w:rsidP="00B42237">
      <w:pPr>
        <w:pStyle w:val="FootnoteText"/>
        <w:rPr>
          <w:rFonts w:ascii="Times New Roman" w:hAnsi="Times New Roman" w:cs="Times New Roman"/>
        </w:rPr>
      </w:pPr>
      <w:r w:rsidRPr="00AB70D3">
        <w:rPr>
          <w:rStyle w:val="FootnoteReference"/>
          <w:rFonts w:ascii="Times New Roman" w:hAnsi="Times New Roman" w:cs="Times New Roman"/>
        </w:rPr>
        <w:footnoteRef/>
      </w:r>
      <w:r w:rsidRPr="00AB70D3">
        <w:rPr>
          <w:rFonts w:ascii="Times New Roman" w:hAnsi="Times New Roman" w:cs="Times New Roman"/>
        </w:rPr>
        <w:t xml:space="preserve"> </w:t>
      </w:r>
      <w:r w:rsidRPr="00AB70D3">
        <w:rPr>
          <w:rFonts w:ascii="Times New Roman" w:hAnsi="Times New Roman" w:cs="Times New Roman"/>
          <w:lang w:val="en-US"/>
        </w:rPr>
        <w:t xml:space="preserve">Ziegler, </w:t>
      </w:r>
      <w:r w:rsidRPr="00AB70D3">
        <w:rPr>
          <w:rFonts w:ascii="Times New Roman" w:hAnsi="Times New Roman" w:cs="Times New Roman"/>
          <w:i/>
          <w:iCs/>
          <w:lang w:val="en-US"/>
        </w:rPr>
        <w:t>The Black Death</w:t>
      </w:r>
      <w:r w:rsidRPr="00AB70D3">
        <w:rPr>
          <w:rFonts w:ascii="Times New Roman" w:hAnsi="Times New Roman" w:cs="Times New Roman"/>
          <w:lang w:val="en-US"/>
        </w:rPr>
        <w:t xml:space="preserve">, </w:t>
      </w:r>
      <w:r w:rsidRPr="00AB70D3">
        <w:rPr>
          <w:rFonts w:ascii="Times New Roman" w:hAnsi="Times New Roman" w:cs="Times New Roman"/>
        </w:rPr>
        <w:t xml:space="preserve">p.39. </w:t>
      </w:r>
    </w:p>
  </w:footnote>
  <w:footnote w:id="91">
    <w:p w14:paraId="697F860F" w14:textId="77777777" w:rsidR="00B42237" w:rsidRDefault="00B42237" w:rsidP="00B42237">
      <w:pPr>
        <w:pStyle w:val="FootnoteText"/>
      </w:pPr>
      <w:r w:rsidRPr="00AB70D3">
        <w:rPr>
          <w:rStyle w:val="FootnoteReference"/>
          <w:rFonts w:ascii="Times New Roman" w:hAnsi="Times New Roman" w:cs="Times New Roman"/>
        </w:rPr>
        <w:footnoteRef/>
      </w:r>
      <w:r w:rsidRPr="00AB70D3">
        <w:rPr>
          <w:rFonts w:ascii="Times New Roman" w:hAnsi="Times New Roman" w:cs="Times New Roman"/>
        </w:rPr>
        <w:t xml:space="preserve"> </w:t>
      </w:r>
      <w:r w:rsidRPr="00AB70D3">
        <w:rPr>
          <w:rFonts w:ascii="Times New Roman" w:hAnsi="Times New Roman" w:cs="Times New Roman"/>
          <w:lang w:val="en-US"/>
        </w:rPr>
        <w:t xml:space="preserve">Ziegler, </w:t>
      </w:r>
      <w:r w:rsidRPr="00AB70D3">
        <w:rPr>
          <w:rFonts w:ascii="Times New Roman" w:hAnsi="Times New Roman" w:cs="Times New Roman"/>
          <w:i/>
          <w:iCs/>
          <w:lang w:val="en-US"/>
        </w:rPr>
        <w:t>The Black Death</w:t>
      </w:r>
      <w:r w:rsidRPr="00AB70D3">
        <w:rPr>
          <w:rFonts w:ascii="Times New Roman" w:hAnsi="Times New Roman" w:cs="Times New Roman"/>
          <w:lang w:val="en-US"/>
        </w:rPr>
        <w:t xml:space="preserve">, </w:t>
      </w:r>
      <w:r w:rsidRPr="00AB70D3">
        <w:rPr>
          <w:rFonts w:ascii="Times New Roman" w:hAnsi="Times New Roman" w:cs="Times New Roman"/>
        </w:rPr>
        <w:t>p.136.</w:t>
      </w:r>
      <w:r>
        <w:t xml:space="preserve"> </w:t>
      </w:r>
    </w:p>
  </w:footnote>
  <w:footnote w:id="92">
    <w:p w14:paraId="5C46E5B5" w14:textId="77777777" w:rsidR="00B42237" w:rsidRPr="008D0CCC" w:rsidRDefault="00B42237" w:rsidP="00B42237">
      <w:pPr>
        <w:pStyle w:val="FootnoteText"/>
        <w:rPr>
          <w:rFonts w:ascii="Times New Roman" w:hAnsi="Times New Roman" w:cs="Times New Roman"/>
          <w:lang w:val="en-US"/>
        </w:rPr>
      </w:pPr>
      <w:r w:rsidRPr="008D0CCC">
        <w:rPr>
          <w:rStyle w:val="FootnoteReference"/>
          <w:rFonts w:ascii="Times New Roman" w:hAnsi="Times New Roman" w:cs="Times New Roman"/>
        </w:rPr>
        <w:footnoteRef/>
      </w:r>
      <w:r w:rsidRPr="008D0CCC">
        <w:rPr>
          <w:rFonts w:ascii="Times New Roman" w:hAnsi="Times New Roman" w:cs="Times New Roman"/>
        </w:rPr>
        <w:t xml:space="preserve"> </w:t>
      </w:r>
      <w:r w:rsidRPr="008D0CCC">
        <w:rPr>
          <w:rFonts w:ascii="Times New Roman" w:hAnsi="Times New Roman" w:cs="Times New Roman"/>
          <w:lang w:val="en-US"/>
        </w:rPr>
        <w:t>Hatcher, ‘Fiction as History’</w:t>
      </w:r>
      <w:r w:rsidRPr="008D0CCC">
        <w:rPr>
          <w:rFonts w:ascii="Times New Roman" w:hAnsi="Times New Roman" w:cs="Times New Roman"/>
        </w:rPr>
        <w:t xml:space="preserve"> p.16. </w:t>
      </w:r>
      <w:r w:rsidRPr="008D0CCC">
        <w:rPr>
          <w:rFonts w:ascii="Times New Roman" w:hAnsi="Times New Roman" w:cs="Times New Roman"/>
          <w:i/>
          <w:iCs/>
          <w:lang w:val="en-US"/>
        </w:rPr>
        <w:t>JSTOR</w:t>
      </w:r>
      <w:r w:rsidRPr="008D0CCC">
        <w:rPr>
          <w:rFonts w:ascii="Times New Roman" w:hAnsi="Times New Roman" w:cs="Times New Roman"/>
          <w:lang w:val="en-US"/>
        </w:rPr>
        <w:t>, &lt;</w:t>
      </w:r>
      <w:r w:rsidRPr="008D0CCC">
        <w:rPr>
          <w:rFonts w:ascii="Times New Roman" w:hAnsi="Times New Roman" w:cs="Times New Roman"/>
        </w:rPr>
        <w:t>https://www.jstor.org/stable/24429362&gt; [Date Accessed: 28 April].</w:t>
      </w:r>
    </w:p>
  </w:footnote>
  <w:footnote w:id="93">
    <w:p w14:paraId="26E73F0D" w14:textId="1635C363"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Bonaiuti</w:t>
      </w:r>
      <w:bookmarkStart w:id="6" w:name="_Hlk39671940"/>
      <w:r w:rsidRPr="00CD2C89">
        <w:rPr>
          <w:rFonts w:ascii="Times New Roman" w:hAnsi="Times New Roman" w:cs="Times New Roman"/>
          <w:lang w:val="en-US"/>
        </w:rPr>
        <w:t xml:space="preserve">,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r w:rsidRPr="00CD2C89">
        <w:rPr>
          <w:rFonts w:ascii="Times New Roman" w:hAnsi="Times New Roman" w:cs="Times New Roman"/>
        </w:rPr>
        <w:t xml:space="preserve"> </w:t>
      </w:r>
      <w:bookmarkEnd w:id="6"/>
    </w:p>
  </w:footnote>
  <w:footnote w:id="94">
    <w:p w14:paraId="106A9796" w14:textId="0E3941E8"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r w:rsidRPr="00CD2C89">
        <w:rPr>
          <w:rFonts w:ascii="Times New Roman" w:hAnsi="Times New Roman" w:cs="Times New Roman"/>
        </w:rPr>
        <w:t xml:space="preserve"> </w:t>
      </w:r>
    </w:p>
  </w:footnote>
  <w:footnote w:id="95">
    <w:p w14:paraId="6446225E" w14:textId="62A38D15"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Boccaccio, </w:t>
      </w:r>
      <w:r w:rsidRPr="00CD2C89">
        <w:rPr>
          <w:rFonts w:ascii="Times New Roman" w:hAnsi="Times New Roman" w:cs="Times New Roman"/>
          <w:i/>
          <w:iCs/>
        </w:rPr>
        <w:t>The Decameron</w:t>
      </w:r>
      <w:r w:rsidRPr="00CD2C89">
        <w:rPr>
          <w:rFonts w:ascii="Times New Roman" w:hAnsi="Times New Roman" w:cs="Times New Roman"/>
        </w:rPr>
        <w:t>,</w:t>
      </w:r>
      <w:r w:rsidRPr="00CD2C89">
        <w:rPr>
          <w:rFonts w:ascii="Times New Roman" w:hAnsi="Times New Roman" w:cs="Times New Roman"/>
          <w:lang w:val="en-US"/>
        </w:rPr>
        <w:t xml:space="preserve"> </w:t>
      </w:r>
      <w:r w:rsidRPr="00CD2C89">
        <w:rPr>
          <w:rFonts w:ascii="Times New Roman" w:hAnsi="Times New Roman" w:cs="Times New Roman"/>
        </w:rPr>
        <w:t>p.13.</w:t>
      </w:r>
    </w:p>
  </w:footnote>
  <w:footnote w:id="96">
    <w:p w14:paraId="20940B23" w14:textId="721A8125" w:rsidR="0022318D" w:rsidRPr="00CD2C89" w:rsidRDefault="0022318D">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Boccaccio, </w:t>
      </w:r>
      <w:r w:rsidRPr="00CD2C89">
        <w:rPr>
          <w:rFonts w:ascii="Times New Roman" w:hAnsi="Times New Roman" w:cs="Times New Roman"/>
          <w:i/>
          <w:iCs/>
          <w:lang w:val="en-US"/>
        </w:rPr>
        <w:t>The Decameron</w:t>
      </w:r>
      <w:r w:rsidRPr="00CD2C89">
        <w:rPr>
          <w:rFonts w:ascii="Times New Roman" w:hAnsi="Times New Roman" w:cs="Times New Roman"/>
          <w:lang w:val="en-US"/>
        </w:rPr>
        <w:t>, p.</w:t>
      </w:r>
      <w:r w:rsidR="00435C5D" w:rsidRPr="00CD2C89">
        <w:rPr>
          <w:rFonts w:ascii="Times New Roman" w:hAnsi="Times New Roman" w:cs="Times New Roman"/>
          <w:lang w:val="en-US"/>
        </w:rPr>
        <w:t>13.</w:t>
      </w:r>
      <w:r w:rsidRPr="00CD2C89">
        <w:rPr>
          <w:rFonts w:ascii="Times New Roman" w:hAnsi="Times New Roman" w:cs="Times New Roman"/>
          <w:lang w:val="en-US"/>
        </w:rPr>
        <w:t xml:space="preserve"> 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r w:rsidRPr="00CD2C89">
        <w:rPr>
          <w:rFonts w:ascii="Times New Roman" w:hAnsi="Times New Roman" w:cs="Times New Roman"/>
        </w:rPr>
        <w:t xml:space="preserve"> </w:t>
      </w:r>
    </w:p>
  </w:footnote>
  <w:footnote w:id="97">
    <w:p w14:paraId="71A157EC" w14:textId="77777777" w:rsidR="00B42237" w:rsidRPr="00C57AEC" w:rsidRDefault="00B42237" w:rsidP="00B42237">
      <w:pPr>
        <w:pStyle w:val="FootnoteText"/>
      </w:pPr>
      <w:r w:rsidRPr="00CD2C89">
        <w:rPr>
          <w:rStyle w:val="FootnoteReference"/>
          <w:rFonts w:ascii="Times New Roman" w:hAnsi="Times New Roman" w:cs="Times New Roman"/>
        </w:rPr>
        <w:footnoteRef/>
      </w:r>
      <w:r w:rsidRPr="00CD2C89">
        <w:rPr>
          <w:rFonts w:ascii="Times New Roman" w:hAnsi="Times New Roman" w:cs="Times New Roman"/>
        </w:rPr>
        <w:t xml:space="preserve"> Benedictow, ‘The Black Death: The Greatest Catastrophe Ever’ </w:t>
      </w:r>
      <w:r w:rsidRPr="00CD2C89">
        <w:rPr>
          <w:rFonts w:ascii="Times New Roman" w:hAnsi="Times New Roman" w:cs="Times New Roman"/>
          <w:i/>
          <w:iCs/>
        </w:rPr>
        <w:t>History Today</w:t>
      </w:r>
      <w:r w:rsidRPr="00CD2C89">
        <w:rPr>
          <w:rFonts w:ascii="Times New Roman" w:hAnsi="Times New Roman" w:cs="Times New Roman"/>
        </w:rPr>
        <w:t>.</w:t>
      </w:r>
      <w:r>
        <w:rPr>
          <w:rFonts w:ascii="Times New Roman" w:hAnsi="Times New Roman" w:cs="Times New Roman"/>
        </w:rPr>
        <w:t xml:space="preserve"> </w:t>
      </w:r>
    </w:p>
  </w:footnote>
  <w:footnote w:id="98">
    <w:p w14:paraId="55B6E887" w14:textId="77777777" w:rsidR="00B42237" w:rsidRPr="00214476" w:rsidRDefault="00B42237" w:rsidP="00B42237">
      <w:pPr>
        <w:pStyle w:val="FootnoteText"/>
        <w:rPr>
          <w:rFonts w:ascii="Times New Roman" w:hAnsi="Times New Roman" w:cs="Times New Roman"/>
        </w:rPr>
      </w:pPr>
      <w:r w:rsidRPr="00214476">
        <w:rPr>
          <w:rStyle w:val="FootnoteReference"/>
          <w:rFonts w:ascii="Times New Roman" w:hAnsi="Times New Roman" w:cs="Times New Roman"/>
        </w:rPr>
        <w:footnoteRef/>
      </w:r>
      <w:r w:rsidRPr="00214476">
        <w:rPr>
          <w:rFonts w:ascii="Times New Roman" w:hAnsi="Times New Roman" w:cs="Times New Roman"/>
        </w:rPr>
        <w:t xml:space="preserve"> </w:t>
      </w:r>
      <w:r w:rsidRPr="009C2D32">
        <w:rPr>
          <w:rFonts w:ascii="Times New Roman" w:hAnsi="Times New Roman" w:cs="Times New Roman"/>
          <w:lang w:val="en-US"/>
        </w:rPr>
        <w:t xml:space="preserve">Ziegler, </w:t>
      </w:r>
      <w:r w:rsidRPr="009C2D32">
        <w:rPr>
          <w:rFonts w:ascii="Times New Roman" w:hAnsi="Times New Roman" w:cs="Times New Roman"/>
          <w:i/>
          <w:iCs/>
          <w:lang w:val="en-US"/>
        </w:rPr>
        <w:t>The Black Death</w:t>
      </w:r>
      <w:r w:rsidRPr="009C2D32">
        <w:rPr>
          <w:rFonts w:ascii="Times New Roman" w:hAnsi="Times New Roman" w:cs="Times New Roman"/>
          <w:lang w:val="en-US"/>
        </w:rPr>
        <w:t xml:space="preserve">, </w:t>
      </w:r>
      <w:r w:rsidRPr="00214476">
        <w:rPr>
          <w:rFonts w:ascii="Times New Roman" w:hAnsi="Times New Roman" w:cs="Times New Roman"/>
        </w:rPr>
        <w:t>p</w:t>
      </w:r>
      <w:r>
        <w:rPr>
          <w:rFonts w:ascii="Times New Roman" w:hAnsi="Times New Roman" w:cs="Times New Roman"/>
        </w:rPr>
        <w:t>.</w:t>
      </w:r>
      <w:r w:rsidRPr="00214476">
        <w:rPr>
          <w:rFonts w:ascii="Times New Roman" w:hAnsi="Times New Roman" w:cs="Times New Roman"/>
        </w:rPr>
        <w:t>31</w:t>
      </w:r>
      <w:r>
        <w:rPr>
          <w:rFonts w:ascii="Times New Roman" w:hAnsi="Times New Roman" w:cs="Times New Roman"/>
        </w:rPr>
        <w:t>.</w:t>
      </w:r>
    </w:p>
    <w:p w14:paraId="65035D2E" w14:textId="03A035CD" w:rsidR="00B42237" w:rsidRPr="00214476" w:rsidRDefault="00B42237" w:rsidP="00B42237">
      <w:pPr>
        <w:pStyle w:val="FootnoteText"/>
        <w:rPr>
          <w:rFonts w:ascii="Times New Roman" w:hAnsi="Times New Roman" w:cs="Times New Roman"/>
        </w:rPr>
      </w:pPr>
      <w:r w:rsidRPr="00214476">
        <w:rPr>
          <w:rFonts w:ascii="Times New Roman" w:hAnsi="Times New Roman" w:cs="Times New Roman"/>
        </w:rPr>
        <w:t xml:space="preserve">Boccaccio, </w:t>
      </w:r>
      <w:r w:rsidRPr="00214476">
        <w:rPr>
          <w:rFonts w:ascii="Times New Roman" w:hAnsi="Times New Roman" w:cs="Times New Roman"/>
          <w:i/>
          <w:iCs/>
        </w:rPr>
        <w:t>The Decameron</w:t>
      </w:r>
      <w:r w:rsidRPr="00214476">
        <w:rPr>
          <w:rFonts w:ascii="Times New Roman" w:hAnsi="Times New Roman" w:cs="Times New Roman"/>
        </w:rPr>
        <w:t>,</w:t>
      </w:r>
      <w:r w:rsidRPr="00214476">
        <w:rPr>
          <w:rFonts w:ascii="Times New Roman" w:hAnsi="Times New Roman" w:cs="Times New Roman"/>
          <w:lang w:val="en-US"/>
        </w:rPr>
        <w:t xml:space="preserve"> p.8.</w:t>
      </w:r>
    </w:p>
  </w:footnote>
  <w:footnote w:id="99">
    <w:p w14:paraId="4D1A9B41" w14:textId="45AAEC94" w:rsidR="00B42237" w:rsidRPr="00214476" w:rsidRDefault="00B42237" w:rsidP="00B42237">
      <w:pPr>
        <w:pStyle w:val="FootnoteText"/>
        <w:rPr>
          <w:rFonts w:ascii="Times New Roman" w:hAnsi="Times New Roman" w:cs="Times New Roman"/>
          <w:lang w:val="en-US"/>
        </w:rPr>
      </w:pPr>
      <w:r w:rsidRPr="00214476">
        <w:rPr>
          <w:rStyle w:val="FootnoteReference"/>
          <w:rFonts w:ascii="Times New Roman" w:hAnsi="Times New Roman" w:cs="Times New Roman"/>
        </w:rPr>
        <w:footnoteRef/>
      </w:r>
      <w:r w:rsidRPr="00214476">
        <w:rPr>
          <w:rFonts w:ascii="Times New Roman" w:hAnsi="Times New Roman" w:cs="Times New Roman"/>
        </w:rPr>
        <w:t xml:space="preserve"> </w:t>
      </w:r>
      <w:r w:rsidRPr="008D0CCC">
        <w:rPr>
          <w:rFonts w:ascii="Times New Roman" w:hAnsi="Times New Roman" w:cs="Times New Roman"/>
          <w:lang w:val="en-US"/>
        </w:rPr>
        <w:t xml:space="preserve">Bonaiuti, </w:t>
      </w:r>
      <w:r w:rsidRPr="008D0CCC">
        <w:rPr>
          <w:rFonts w:ascii="Times New Roman" w:hAnsi="Times New Roman" w:cs="Times New Roman"/>
          <w:i/>
          <w:iCs/>
          <w:lang w:val="en-US"/>
        </w:rPr>
        <w:t xml:space="preserve">Cronaca Fiorentina </w:t>
      </w:r>
      <w:r w:rsidRPr="008D0CCC">
        <w:rPr>
          <w:rFonts w:ascii="Times New Roman" w:hAnsi="Times New Roman" w:cs="Times New Roman"/>
          <w:lang w:val="en-US"/>
        </w:rPr>
        <w:t>&lt;</w:t>
      </w:r>
      <w:r w:rsidRPr="008D0CCC">
        <w:rPr>
          <w:rFonts w:ascii="Times New Roman" w:hAnsi="Times New Roman" w:cs="Times New Roman"/>
        </w:rPr>
        <w:t>https://sourcebooks.fordham.edu/med/marchione.asp&gt; [Date Accessed: 24 March 2020].</w:t>
      </w:r>
      <w:r w:rsidRPr="008D0CCC">
        <w:rPr>
          <w:rFonts w:ascii="Times New Roman" w:hAnsi="Times New Roman" w:cs="Times New Roman"/>
          <w:lang w:val="en-US"/>
        </w:rPr>
        <w:t xml:space="preserve"> </w:t>
      </w:r>
      <w:r w:rsidRPr="008D0CCC">
        <w:rPr>
          <w:rFonts w:ascii="Times New Roman" w:hAnsi="Times New Roman" w:cs="Times New Roman"/>
        </w:rPr>
        <w:t xml:space="preserve"> </w:t>
      </w:r>
    </w:p>
  </w:footnote>
  <w:footnote w:id="100">
    <w:p w14:paraId="10C2FBE3" w14:textId="7ECA8539" w:rsidR="00B42237" w:rsidRPr="00214476" w:rsidRDefault="00B42237" w:rsidP="00B42237">
      <w:pPr>
        <w:pStyle w:val="FootnoteText"/>
        <w:rPr>
          <w:rFonts w:ascii="Times New Roman" w:hAnsi="Times New Roman" w:cs="Times New Roman"/>
          <w:lang w:val="en-US"/>
        </w:rPr>
      </w:pPr>
      <w:r w:rsidRPr="00214476">
        <w:rPr>
          <w:rStyle w:val="FootnoteReference"/>
          <w:rFonts w:ascii="Times New Roman" w:hAnsi="Times New Roman" w:cs="Times New Roman"/>
        </w:rPr>
        <w:footnoteRef/>
      </w:r>
      <w:r w:rsidR="00A03E4E">
        <w:rPr>
          <w:rFonts w:ascii="Times New Roman" w:hAnsi="Times New Roman" w:cs="Times New Roman"/>
        </w:rPr>
        <w:t xml:space="preserve"> </w:t>
      </w:r>
      <w:r w:rsidRPr="008D0CCC">
        <w:rPr>
          <w:rFonts w:ascii="Times New Roman" w:hAnsi="Times New Roman" w:cs="Times New Roman"/>
          <w:lang w:val="en-US"/>
        </w:rPr>
        <w:t xml:space="preserve">Bonaiuti, </w:t>
      </w:r>
      <w:r w:rsidRPr="008D0CCC">
        <w:rPr>
          <w:rFonts w:ascii="Times New Roman" w:hAnsi="Times New Roman" w:cs="Times New Roman"/>
          <w:i/>
          <w:iCs/>
          <w:lang w:val="en-US"/>
        </w:rPr>
        <w:t xml:space="preserve">Cronaca Fiorentina </w:t>
      </w:r>
      <w:r w:rsidRPr="008D0CCC">
        <w:rPr>
          <w:rFonts w:ascii="Times New Roman" w:hAnsi="Times New Roman" w:cs="Times New Roman"/>
          <w:lang w:val="en-US"/>
        </w:rPr>
        <w:t>&lt;</w:t>
      </w:r>
      <w:r w:rsidRPr="008D0CCC">
        <w:rPr>
          <w:rFonts w:ascii="Times New Roman" w:hAnsi="Times New Roman" w:cs="Times New Roman"/>
        </w:rPr>
        <w:t>https://sourcebooks.fordham.edu/med/marchione.asp&gt; [Date Accessed: 24 March 2020].</w:t>
      </w:r>
      <w:r w:rsidRPr="008D0CCC">
        <w:rPr>
          <w:rFonts w:ascii="Times New Roman" w:hAnsi="Times New Roman" w:cs="Times New Roman"/>
          <w:lang w:val="en-US"/>
        </w:rPr>
        <w:t xml:space="preserve"> </w:t>
      </w:r>
      <w:r w:rsidRPr="008D0CCC">
        <w:rPr>
          <w:rFonts w:ascii="Times New Roman" w:hAnsi="Times New Roman" w:cs="Times New Roman"/>
        </w:rPr>
        <w:t xml:space="preserve"> </w:t>
      </w:r>
    </w:p>
  </w:footnote>
  <w:footnote w:id="101">
    <w:p w14:paraId="2345DCD4" w14:textId="77777777" w:rsidR="00B42237" w:rsidRPr="00214476" w:rsidRDefault="00B42237" w:rsidP="00B42237">
      <w:pPr>
        <w:pStyle w:val="FootnoteText"/>
        <w:rPr>
          <w:rFonts w:ascii="Times New Roman" w:hAnsi="Times New Roman" w:cs="Times New Roman"/>
          <w:lang w:val="en-US"/>
        </w:rPr>
      </w:pPr>
      <w:r w:rsidRPr="00214476">
        <w:rPr>
          <w:rStyle w:val="FootnoteReference"/>
          <w:rFonts w:ascii="Times New Roman" w:hAnsi="Times New Roman" w:cs="Times New Roman"/>
        </w:rPr>
        <w:footnoteRef/>
      </w:r>
      <w:r w:rsidRPr="00214476">
        <w:rPr>
          <w:rFonts w:ascii="Times New Roman" w:hAnsi="Times New Roman" w:cs="Times New Roman"/>
        </w:rPr>
        <w:t xml:space="preserve"> </w:t>
      </w:r>
      <w:r>
        <w:rPr>
          <w:rFonts w:ascii="Times New Roman" w:hAnsi="Times New Roman" w:cs="Times New Roman"/>
        </w:rPr>
        <w:t xml:space="preserve">Charles F. </w:t>
      </w:r>
      <w:r w:rsidRPr="00214476">
        <w:rPr>
          <w:rFonts w:ascii="Times New Roman" w:hAnsi="Times New Roman" w:cs="Times New Roman"/>
          <w:lang w:val="en-US"/>
        </w:rPr>
        <w:t>Mullett</w:t>
      </w:r>
      <w:r>
        <w:rPr>
          <w:rFonts w:ascii="Times New Roman" w:hAnsi="Times New Roman" w:cs="Times New Roman"/>
          <w:lang w:val="en-US"/>
        </w:rPr>
        <w:t xml:space="preserve">, </w:t>
      </w:r>
      <w:r>
        <w:rPr>
          <w:rFonts w:ascii="Times New Roman" w:hAnsi="Times New Roman" w:cs="Times New Roman"/>
          <w:i/>
          <w:iCs/>
          <w:lang w:val="en-US"/>
        </w:rPr>
        <w:t xml:space="preserve">The Bubonic Plague and England: An Essay in the History of Preventative Medicine </w:t>
      </w:r>
      <w:r>
        <w:rPr>
          <w:rFonts w:ascii="Times New Roman" w:hAnsi="Times New Roman" w:cs="Times New Roman"/>
          <w:lang w:val="en-US"/>
        </w:rPr>
        <w:t>(Lexington: University of Kentucky, 1956)</w:t>
      </w:r>
      <w:r w:rsidRPr="00214476">
        <w:rPr>
          <w:rFonts w:ascii="Times New Roman" w:hAnsi="Times New Roman" w:cs="Times New Roman"/>
          <w:lang w:val="en-US"/>
        </w:rPr>
        <w:t xml:space="preserve"> p</w:t>
      </w:r>
      <w:r>
        <w:rPr>
          <w:rFonts w:ascii="Times New Roman" w:hAnsi="Times New Roman" w:cs="Times New Roman"/>
          <w:lang w:val="en-US"/>
        </w:rPr>
        <w:t>.16.</w:t>
      </w:r>
    </w:p>
  </w:footnote>
  <w:footnote w:id="102">
    <w:p w14:paraId="4A356EAE" w14:textId="2090629F" w:rsidR="00B42237" w:rsidRPr="00D64D0E" w:rsidRDefault="00B42237" w:rsidP="00B42237">
      <w:pPr>
        <w:spacing w:after="0" w:line="240" w:lineRule="auto"/>
        <w:rPr>
          <w:rFonts w:ascii="Times New Roman" w:hAnsi="Times New Roman" w:cs="Times New Roman"/>
          <w:i/>
          <w:sz w:val="20"/>
          <w:szCs w:val="20"/>
        </w:rPr>
      </w:pPr>
      <w:r w:rsidRPr="00D64D0E">
        <w:rPr>
          <w:rStyle w:val="FootnoteReference"/>
          <w:rFonts w:ascii="Times New Roman" w:hAnsi="Times New Roman" w:cs="Times New Roman"/>
          <w:sz w:val="20"/>
          <w:szCs w:val="20"/>
        </w:rPr>
        <w:footnoteRef/>
      </w:r>
      <w:r w:rsidRPr="00D64D0E">
        <w:rPr>
          <w:rFonts w:ascii="Times New Roman" w:hAnsi="Times New Roman" w:cs="Times New Roman"/>
          <w:sz w:val="20"/>
          <w:szCs w:val="20"/>
        </w:rPr>
        <w:t xml:space="preserve"> </w:t>
      </w:r>
      <w:r w:rsidRPr="00D64D0E">
        <w:rPr>
          <w:rFonts w:ascii="Times New Roman" w:hAnsi="Times New Roman" w:cs="Times New Roman"/>
          <w:sz w:val="20"/>
          <w:szCs w:val="20"/>
          <w:lang w:val="en-US"/>
        </w:rPr>
        <w:t xml:space="preserve">Petrarch, ‘Triumphus Mortis’ in </w:t>
      </w:r>
      <w:r w:rsidRPr="00D64D0E">
        <w:rPr>
          <w:rFonts w:ascii="Times New Roman" w:hAnsi="Times New Roman" w:cs="Times New Roman"/>
          <w:i/>
          <w:iCs/>
          <w:sz w:val="20"/>
          <w:szCs w:val="20"/>
        </w:rPr>
        <w:t>The Triumphs of Petrarch</w:t>
      </w:r>
      <w:r w:rsidRPr="00D64D0E">
        <w:rPr>
          <w:rFonts w:ascii="Times New Roman" w:hAnsi="Times New Roman" w:cs="Times New Roman"/>
          <w:sz w:val="20"/>
          <w:szCs w:val="20"/>
        </w:rPr>
        <w:t xml:space="preserve">, </w:t>
      </w:r>
      <w:r w:rsidRPr="00D64D0E">
        <w:rPr>
          <w:rFonts w:ascii="Times New Roman" w:hAnsi="Times New Roman" w:cs="Times New Roman"/>
          <w:sz w:val="20"/>
          <w:szCs w:val="20"/>
          <w:lang w:val="en-US"/>
        </w:rPr>
        <w:t xml:space="preserve">p.119. </w:t>
      </w:r>
    </w:p>
  </w:footnote>
  <w:footnote w:id="103">
    <w:p w14:paraId="7EE3F5DA" w14:textId="71C7F190" w:rsidR="00B42237" w:rsidRPr="00D64D0E" w:rsidRDefault="00B42237" w:rsidP="00B42237">
      <w:pPr>
        <w:pStyle w:val="FootnoteText"/>
        <w:rPr>
          <w:rFonts w:ascii="Times New Roman" w:hAnsi="Times New Roman" w:cs="Times New Roman"/>
          <w:lang w:val="en-US"/>
        </w:rPr>
      </w:pPr>
      <w:r w:rsidRPr="00D64D0E">
        <w:rPr>
          <w:rStyle w:val="FootnoteReference"/>
          <w:rFonts w:ascii="Times New Roman" w:hAnsi="Times New Roman" w:cs="Times New Roman"/>
        </w:rPr>
        <w:footnoteRef/>
      </w:r>
      <w:r w:rsidRPr="00D64D0E">
        <w:rPr>
          <w:rFonts w:ascii="Times New Roman" w:hAnsi="Times New Roman" w:cs="Times New Roman"/>
        </w:rPr>
        <w:t xml:space="preserve"> </w:t>
      </w:r>
      <w:r w:rsidRPr="00D64D0E">
        <w:rPr>
          <w:rFonts w:ascii="Times New Roman" w:hAnsi="Times New Roman" w:cs="Times New Roman"/>
          <w:lang w:val="en-US"/>
        </w:rPr>
        <w:t xml:space="preserve">Petrarch, ‘Triumphus Mortis’ in </w:t>
      </w:r>
      <w:r w:rsidRPr="00D64D0E">
        <w:rPr>
          <w:rFonts w:ascii="Times New Roman" w:hAnsi="Times New Roman" w:cs="Times New Roman"/>
          <w:i/>
          <w:iCs/>
        </w:rPr>
        <w:t>The Triumphs of Petrarch</w:t>
      </w:r>
      <w:r w:rsidRPr="00D64D0E">
        <w:rPr>
          <w:rFonts w:ascii="Times New Roman" w:hAnsi="Times New Roman" w:cs="Times New Roman"/>
        </w:rPr>
        <w:t xml:space="preserve">, </w:t>
      </w:r>
      <w:r w:rsidRPr="00D64D0E">
        <w:rPr>
          <w:rFonts w:ascii="Times New Roman" w:hAnsi="Times New Roman" w:cs="Times New Roman"/>
          <w:lang w:val="en-US"/>
        </w:rPr>
        <w:t xml:space="preserve">p.121 and p.126. </w:t>
      </w:r>
    </w:p>
  </w:footnote>
  <w:footnote w:id="104">
    <w:p w14:paraId="0A5BBAF0" w14:textId="77777777" w:rsidR="00B42237" w:rsidRPr="004C645A" w:rsidRDefault="00B42237" w:rsidP="00B42237">
      <w:pPr>
        <w:pStyle w:val="FootnoteText"/>
        <w:rPr>
          <w:rFonts w:ascii="Times New Roman" w:hAnsi="Times New Roman" w:cs="Times New Roman"/>
          <w:lang w:val="en-US"/>
        </w:rPr>
      </w:pPr>
      <w:r w:rsidRPr="00D64D0E">
        <w:rPr>
          <w:rStyle w:val="FootnoteReference"/>
          <w:rFonts w:ascii="Times New Roman" w:hAnsi="Times New Roman" w:cs="Times New Roman"/>
        </w:rPr>
        <w:footnoteRef/>
      </w:r>
      <w:r w:rsidRPr="00D64D0E">
        <w:rPr>
          <w:rFonts w:ascii="Times New Roman" w:hAnsi="Times New Roman" w:cs="Times New Roman"/>
        </w:rPr>
        <w:t xml:space="preserve"> </w:t>
      </w:r>
      <w:r w:rsidRPr="00D64D0E">
        <w:rPr>
          <w:rFonts w:ascii="Times New Roman" w:hAnsi="Times New Roman" w:cs="Times New Roman"/>
          <w:lang w:val="en-US"/>
        </w:rPr>
        <w:t xml:space="preserve">Mullett, </w:t>
      </w:r>
      <w:r w:rsidRPr="00D64D0E">
        <w:rPr>
          <w:rFonts w:ascii="Times New Roman" w:hAnsi="Times New Roman" w:cs="Times New Roman"/>
          <w:i/>
          <w:iCs/>
          <w:lang w:val="en-US"/>
        </w:rPr>
        <w:t>The Bubonic Plague and England</w:t>
      </w:r>
      <w:r w:rsidRPr="00D64D0E">
        <w:rPr>
          <w:rFonts w:ascii="Times New Roman" w:hAnsi="Times New Roman" w:cs="Times New Roman"/>
          <w:lang w:val="en-US"/>
        </w:rPr>
        <w:t>, p.2.</w:t>
      </w:r>
      <w:r w:rsidRPr="004C645A">
        <w:rPr>
          <w:rFonts w:ascii="Times New Roman" w:hAnsi="Times New Roman" w:cs="Times New Roman"/>
          <w:lang w:val="en-US"/>
        </w:rPr>
        <w:t xml:space="preserve"> </w:t>
      </w:r>
    </w:p>
  </w:footnote>
  <w:footnote w:id="105">
    <w:p w14:paraId="2627261E" w14:textId="77777777" w:rsidR="00B42237" w:rsidRPr="00E601A2" w:rsidRDefault="00B42237" w:rsidP="00B42237">
      <w:pPr>
        <w:pStyle w:val="FootnoteText"/>
        <w:rPr>
          <w:rFonts w:ascii="Times New Roman" w:hAnsi="Times New Roman" w:cs="Times New Roman"/>
          <w:lang w:val="en-US"/>
        </w:rPr>
      </w:pPr>
      <w:r w:rsidRPr="0042349D">
        <w:rPr>
          <w:rStyle w:val="FootnoteReference"/>
          <w:rFonts w:ascii="Times New Roman" w:hAnsi="Times New Roman" w:cs="Times New Roman"/>
        </w:rPr>
        <w:footnoteRef/>
      </w:r>
      <w:r w:rsidRPr="0042349D">
        <w:rPr>
          <w:rFonts w:ascii="Times New Roman" w:hAnsi="Times New Roman" w:cs="Times New Roman"/>
        </w:rPr>
        <w:t xml:space="preserve"> </w:t>
      </w:r>
      <w:r w:rsidRPr="0042349D">
        <w:rPr>
          <w:rFonts w:ascii="Times New Roman" w:hAnsi="Times New Roman" w:cs="Times New Roman"/>
          <w:lang w:val="en-US"/>
        </w:rPr>
        <w:t xml:space="preserve">Ziegler, </w:t>
      </w:r>
      <w:r w:rsidRPr="0042349D">
        <w:rPr>
          <w:rFonts w:ascii="Times New Roman" w:hAnsi="Times New Roman" w:cs="Times New Roman"/>
          <w:i/>
          <w:iCs/>
          <w:lang w:val="en-US"/>
        </w:rPr>
        <w:t>The Black Death</w:t>
      </w:r>
      <w:r w:rsidRPr="0042349D">
        <w:rPr>
          <w:rFonts w:ascii="Times New Roman" w:hAnsi="Times New Roman" w:cs="Times New Roman"/>
          <w:lang w:val="en-US"/>
        </w:rPr>
        <w:t>, p.32.</w:t>
      </w:r>
      <w:r w:rsidRPr="00E601A2">
        <w:rPr>
          <w:rFonts w:ascii="Times New Roman" w:hAnsi="Times New Roman" w:cs="Times New Roman"/>
          <w:lang w:val="en-US"/>
        </w:rPr>
        <w:t xml:space="preserve"> </w:t>
      </w:r>
    </w:p>
  </w:footnote>
  <w:footnote w:id="106">
    <w:p w14:paraId="46EE1CD9" w14:textId="77777777" w:rsidR="00B42237" w:rsidRPr="00124059" w:rsidRDefault="00B42237" w:rsidP="00B42237">
      <w:pPr>
        <w:pStyle w:val="FootnoteText"/>
        <w:rPr>
          <w:rFonts w:ascii="Times New Roman" w:hAnsi="Times New Roman" w:cs="Times New Roman"/>
          <w:lang w:val="en-US"/>
        </w:rPr>
      </w:pPr>
      <w:r w:rsidRPr="00124059">
        <w:rPr>
          <w:rStyle w:val="FootnoteReference"/>
          <w:rFonts w:ascii="Times New Roman" w:hAnsi="Times New Roman" w:cs="Times New Roman"/>
        </w:rPr>
        <w:footnoteRef/>
      </w:r>
      <w:r w:rsidRPr="00124059">
        <w:rPr>
          <w:rFonts w:ascii="Times New Roman" w:hAnsi="Times New Roman" w:cs="Times New Roman"/>
        </w:rPr>
        <w:t xml:space="preserve"> </w:t>
      </w:r>
      <w:r w:rsidRPr="00124059">
        <w:rPr>
          <w:rFonts w:ascii="Times New Roman" w:hAnsi="Times New Roman" w:cs="Times New Roman"/>
          <w:i/>
          <w:iCs/>
          <w:lang w:val="en-US"/>
        </w:rPr>
        <w:t>Renaissance Humanism: An Anthology of Sources</w:t>
      </w:r>
      <w:r w:rsidRPr="00124059">
        <w:rPr>
          <w:rFonts w:ascii="Times New Roman" w:hAnsi="Times New Roman" w:cs="Times New Roman"/>
          <w:lang w:val="en-US"/>
        </w:rPr>
        <w:t xml:space="preserve">, </w:t>
      </w:r>
      <w:proofErr w:type="gramStart"/>
      <w:r w:rsidRPr="00124059">
        <w:rPr>
          <w:rFonts w:ascii="Times New Roman" w:hAnsi="Times New Roman" w:cs="Times New Roman"/>
          <w:lang w:val="en-US"/>
        </w:rPr>
        <w:t>ed.</w:t>
      </w:r>
      <w:proofErr w:type="gramEnd"/>
      <w:r w:rsidRPr="00124059">
        <w:rPr>
          <w:rFonts w:ascii="Times New Roman" w:hAnsi="Times New Roman" w:cs="Times New Roman"/>
          <w:lang w:val="en-US"/>
        </w:rPr>
        <w:t xml:space="preserve"> and trans. Margaret L. King (Indiana: Hackett Publishing Company, 2014) </w:t>
      </w:r>
      <w:proofErr w:type="spellStart"/>
      <w:r w:rsidRPr="00124059">
        <w:rPr>
          <w:rFonts w:ascii="Times New Roman" w:hAnsi="Times New Roman" w:cs="Times New Roman"/>
          <w:lang w:val="en-US"/>
        </w:rPr>
        <w:t>p.</w:t>
      </w:r>
      <w:r>
        <w:rPr>
          <w:rFonts w:ascii="Times New Roman" w:hAnsi="Times New Roman" w:cs="Times New Roman"/>
          <w:lang w:val="en-US"/>
        </w:rPr>
        <w:t>i</w:t>
      </w:r>
      <w:r w:rsidRPr="00124059">
        <w:rPr>
          <w:rFonts w:ascii="Times New Roman" w:hAnsi="Times New Roman" w:cs="Times New Roman"/>
          <w:lang w:val="en-US"/>
        </w:rPr>
        <w:t>x</w:t>
      </w:r>
      <w:proofErr w:type="spellEnd"/>
      <w:r>
        <w:rPr>
          <w:rFonts w:ascii="Times New Roman" w:hAnsi="Times New Roman" w:cs="Times New Roman"/>
          <w:lang w:val="en-US"/>
        </w:rPr>
        <w:t>-x</w:t>
      </w:r>
      <w:r w:rsidRPr="00124059">
        <w:rPr>
          <w:rFonts w:ascii="Times New Roman" w:hAnsi="Times New Roman" w:cs="Times New Roman"/>
          <w:lang w:val="en-US"/>
        </w:rPr>
        <w:t xml:space="preserve">. </w:t>
      </w:r>
    </w:p>
  </w:footnote>
  <w:footnote w:id="107">
    <w:p w14:paraId="37D58367" w14:textId="77777777" w:rsidR="00B42237" w:rsidRPr="00015667" w:rsidRDefault="00B42237" w:rsidP="00B42237">
      <w:pPr>
        <w:pStyle w:val="FootnoteText"/>
        <w:rPr>
          <w:lang w:val="en-US"/>
        </w:rPr>
      </w:pPr>
      <w:r w:rsidRPr="00124059">
        <w:rPr>
          <w:rStyle w:val="FootnoteReference"/>
          <w:rFonts w:ascii="Times New Roman" w:hAnsi="Times New Roman" w:cs="Times New Roman"/>
        </w:rPr>
        <w:footnoteRef/>
      </w:r>
      <w:r w:rsidRPr="00124059">
        <w:rPr>
          <w:rFonts w:ascii="Times New Roman" w:hAnsi="Times New Roman" w:cs="Times New Roman"/>
        </w:rPr>
        <w:t xml:space="preserve"> </w:t>
      </w:r>
      <w:r w:rsidRPr="00124059">
        <w:rPr>
          <w:rFonts w:ascii="Times New Roman" w:hAnsi="Times New Roman" w:cs="Times New Roman"/>
          <w:lang w:val="en-US"/>
        </w:rPr>
        <w:t xml:space="preserve">Hatcher, </w:t>
      </w:r>
      <w:r w:rsidRPr="00124059">
        <w:rPr>
          <w:rFonts w:ascii="Times New Roman" w:hAnsi="Times New Roman" w:cs="Times New Roman"/>
          <w:i/>
          <w:iCs/>
          <w:lang w:val="en-US"/>
        </w:rPr>
        <w:t>The Black Death: An Intimate History</w:t>
      </w:r>
      <w:r w:rsidRPr="00124059">
        <w:rPr>
          <w:rFonts w:ascii="Times New Roman" w:hAnsi="Times New Roman" w:cs="Times New Roman"/>
          <w:lang w:val="en-US"/>
        </w:rPr>
        <w:t xml:space="preserve">, </w:t>
      </w:r>
      <w:proofErr w:type="spellStart"/>
      <w:proofErr w:type="gramStart"/>
      <w:r w:rsidRPr="00124059">
        <w:rPr>
          <w:rFonts w:ascii="Times New Roman" w:hAnsi="Times New Roman" w:cs="Times New Roman"/>
          <w:lang w:val="en-US"/>
        </w:rPr>
        <w:t>p.xi</w:t>
      </w:r>
      <w:proofErr w:type="spellEnd"/>
      <w:r w:rsidRPr="00124059">
        <w:rPr>
          <w:rFonts w:ascii="Times New Roman" w:hAnsi="Times New Roman" w:cs="Times New Roman"/>
          <w:lang w:val="en-US"/>
        </w:rPr>
        <w:t>.</w:t>
      </w:r>
      <w:proofErr w:type="gramEnd"/>
      <w:r>
        <w:rPr>
          <w:lang w:val="en-US"/>
        </w:rPr>
        <w:t xml:space="preserve"> </w:t>
      </w:r>
    </w:p>
  </w:footnote>
  <w:footnote w:id="108">
    <w:p w14:paraId="151EE6B4" w14:textId="77777777" w:rsidR="00B42237" w:rsidRPr="0042349D" w:rsidRDefault="00B42237" w:rsidP="00B42237">
      <w:pPr>
        <w:pStyle w:val="FootnoteText"/>
        <w:rPr>
          <w:rFonts w:ascii="Times New Roman" w:hAnsi="Times New Roman" w:cs="Times New Roman"/>
          <w:lang w:val="en-US"/>
        </w:rPr>
      </w:pPr>
      <w:r w:rsidRPr="0042349D">
        <w:rPr>
          <w:rStyle w:val="FootnoteReference"/>
          <w:rFonts w:ascii="Times New Roman" w:hAnsi="Times New Roman" w:cs="Times New Roman"/>
        </w:rPr>
        <w:footnoteRef/>
      </w:r>
      <w:r w:rsidRPr="0042349D">
        <w:rPr>
          <w:rFonts w:ascii="Times New Roman" w:hAnsi="Times New Roman" w:cs="Times New Roman"/>
        </w:rPr>
        <w:t xml:space="preserve"> </w:t>
      </w:r>
      <w:r w:rsidRPr="0042349D">
        <w:rPr>
          <w:rFonts w:ascii="Times New Roman" w:hAnsi="Times New Roman" w:cs="Times New Roman"/>
          <w:lang w:val="en-US"/>
        </w:rPr>
        <w:t xml:space="preserve">Mullett, </w:t>
      </w:r>
      <w:r w:rsidRPr="0042349D">
        <w:rPr>
          <w:rFonts w:ascii="Times New Roman" w:hAnsi="Times New Roman" w:cs="Times New Roman"/>
          <w:i/>
          <w:iCs/>
          <w:lang w:val="en-US"/>
        </w:rPr>
        <w:t>The Bubonic Plague and England</w:t>
      </w:r>
      <w:r w:rsidRPr="0042349D">
        <w:rPr>
          <w:rFonts w:ascii="Times New Roman" w:hAnsi="Times New Roman" w:cs="Times New Roman"/>
          <w:lang w:val="en-US"/>
        </w:rPr>
        <w:t>, p.30.</w:t>
      </w:r>
    </w:p>
  </w:footnote>
  <w:footnote w:id="109">
    <w:p w14:paraId="5D854A86" w14:textId="77777777" w:rsidR="00B42237" w:rsidRPr="009D1403" w:rsidRDefault="00B42237" w:rsidP="00B42237">
      <w:pPr>
        <w:pStyle w:val="FootnoteText"/>
        <w:rPr>
          <w:rFonts w:ascii="Times New Roman" w:hAnsi="Times New Roman" w:cs="Times New Roman"/>
          <w:lang w:val="en-US"/>
        </w:rPr>
      </w:pPr>
      <w:r w:rsidRPr="00E601A2">
        <w:rPr>
          <w:rStyle w:val="FootnoteReference"/>
          <w:rFonts w:ascii="Times New Roman" w:hAnsi="Times New Roman" w:cs="Times New Roman"/>
        </w:rPr>
        <w:footnoteRef/>
      </w:r>
      <w:r w:rsidRPr="00E601A2">
        <w:rPr>
          <w:rFonts w:ascii="Times New Roman" w:hAnsi="Times New Roman" w:cs="Times New Roman"/>
        </w:rPr>
        <w:t xml:space="preserve"> </w:t>
      </w:r>
      <w:r w:rsidRPr="00E601A2">
        <w:rPr>
          <w:rFonts w:ascii="Times New Roman" w:hAnsi="Times New Roman" w:cs="Times New Roman"/>
          <w:lang w:val="en-US"/>
        </w:rPr>
        <w:t xml:space="preserve">Mortimer, </w:t>
      </w:r>
      <w:r w:rsidRPr="00E601A2">
        <w:rPr>
          <w:rFonts w:ascii="Times New Roman" w:hAnsi="Times New Roman" w:cs="Times New Roman"/>
          <w:i/>
          <w:iCs/>
        </w:rPr>
        <w:t xml:space="preserve">The Time Traveller’s Guide </w:t>
      </w:r>
      <w:proofErr w:type="gramStart"/>
      <w:r w:rsidRPr="00E601A2">
        <w:rPr>
          <w:rFonts w:ascii="Times New Roman" w:hAnsi="Times New Roman" w:cs="Times New Roman"/>
          <w:i/>
          <w:iCs/>
        </w:rPr>
        <w:t>To</w:t>
      </w:r>
      <w:proofErr w:type="gramEnd"/>
      <w:r w:rsidRPr="00E601A2">
        <w:rPr>
          <w:rFonts w:ascii="Times New Roman" w:hAnsi="Times New Roman" w:cs="Times New Roman"/>
          <w:i/>
          <w:iCs/>
        </w:rPr>
        <w:t xml:space="preserve"> Medieval England</w:t>
      </w:r>
      <w:r w:rsidRPr="00E601A2">
        <w:rPr>
          <w:rFonts w:ascii="Times New Roman" w:hAnsi="Times New Roman" w:cs="Times New Roman"/>
        </w:rPr>
        <w:t>, p.5.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1404895"/>
      <w:docPartObj>
        <w:docPartGallery w:val="Page Numbers (Top of Page)"/>
        <w:docPartUnique/>
      </w:docPartObj>
    </w:sdtPr>
    <w:sdtEndPr>
      <w:rPr>
        <w:noProof/>
      </w:rPr>
    </w:sdtEndPr>
    <w:sdtContent>
      <w:p w14:paraId="03B7FCA2" w14:textId="37DD64EE" w:rsidR="00240065" w:rsidRDefault="0024006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D689C7" w14:textId="77777777" w:rsidR="00E43644" w:rsidRDefault="00E436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8552874"/>
      <w:docPartObj>
        <w:docPartGallery w:val="Page Numbers (Top of Page)"/>
        <w:docPartUnique/>
      </w:docPartObj>
    </w:sdtPr>
    <w:sdtEndPr>
      <w:rPr>
        <w:rFonts w:ascii="Times New Roman" w:hAnsi="Times New Roman" w:cs="Times New Roman"/>
        <w:noProof/>
      </w:rPr>
    </w:sdtEndPr>
    <w:sdtContent>
      <w:p w14:paraId="30BFCC38" w14:textId="77777777" w:rsidR="0087504F" w:rsidRPr="0087504F" w:rsidRDefault="0087504F">
        <w:pPr>
          <w:pStyle w:val="Header"/>
          <w:jc w:val="right"/>
          <w:rPr>
            <w:rFonts w:ascii="Times New Roman" w:hAnsi="Times New Roman" w:cs="Times New Roman"/>
          </w:rPr>
        </w:pPr>
        <w:r w:rsidRPr="0087504F">
          <w:rPr>
            <w:rFonts w:ascii="Times New Roman" w:hAnsi="Times New Roman" w:cs="Times New Roman"/>
          </w:rPr>
          <w:fldChar w:fldCharType="begin"/>
        </w:r>
        <w:r w:rsidRPr="0087504F">
          <w:rPr>
            <w:rFonts w:ascii="Times New Roman" w:hAnsi="Times New Roman" w:cs="Times New Roman"/>
          </w:rPr>
          <w:instrText xml:space="preserve"> PAGE   \* MERGEFORMAT </w:instrText>
        </w:r>
        <w:r w:rsidRPr="0087504F">
          <w:rPr>
            <w:rFonts w:ascii="Times New Roman" w:hAnsi="Times New Roman" w:cs="Times New Roman"/>
          </w:rPr>
          <w:fldChar w:fldCharType="separate"/>
        </w:r>
        <w:r w:rsidRPr="0087504F">
          <w:rPr>
            <w:rFonts w:ascii="Times New Roman" w:hAnsi="Times New Roman" w:cs="Times New Roman"/>
            <w:noProof/>
          </w:rPr>
          <w:t>2</w:t>
        </w:r>
        <w:r w:rsidRPr="0087504F">
          <w:rPr>
            <w:rFonts w:ascii="Times New Roman" w:hAnsi="Times New Roman" w:cs="Times New Roman"/>
            <w:noProof/>
          </w:rPr>
          <w:fldChar w:fldCharType="end"/>
        </w:r>
      </w:p>
    </w:sdtContent>
  </w:sdt>
  <w:p w14:paraId="490A589C" w14:textId="77777777" w:rsidR="0087504F" w:rsidRDefault="008750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237"/>
    <w:rsid w:val="0000229D"/>
    <w:rsid w:val="00007183"/>
    <w:rsid w:val="000078CF"/>
    <w:rsid w:val="00007E4F"/>
    <w:rsid w:val="00011EDF"/>
    <w:rsid w:val="00017587"/>
    <w:rsid w:val="00034B62"/>
    <w:rsid w:val="000509F7"/>
    <w:rsid w:val="000663B4"/>
    <w:rsid w:val="00072752"/>
    <w:rsid w:val="00075A11"/>
    <w:rsid w:val="00081C27"/>
    <w:rsid w:val="000B0527"/>
    <w:rsid w:val="000B1829"/>
    <w:rsid w:val="000B1C7C"/>
    <w:rsid w:val="000B294F"/>
    <w:rsid w:val="000C5ACD"/>
    <w:rsid w:val="000D2C5E"/>
    <w:rsid w:val="000D68A2"/>
    <w:rsid w:val="000E649A"/>
    <w:rsid w:val="000F0406"/>
    <w:rsid w:val="00101CC1"/>
    <w:rsid w:val="00124947"/>
    <w:rsid w:val="0014492B"/>
    <w:rsid w:val="0017681A"/>
    <w:rsid w:val="00176EB4"/>
    <w:rsid w:val="001841B0"/>
    <w:rsid w:val="00184859"/>
    <w:rsid w:val="001A2BE9"/>
    <w:rsid w:val="001D3EDA"/>
    <w:rsid w:val="001D5FAA"/>
    <w:rsid w:val="001E42CF"/>
    <w:rsid w:val="001F1192"/>
    <w:rsid w:val="00206352"/>
    <w:rsid w:val="00217AC0"/>
    <w:rsid w:val="0022318D"/>
    <w:rsid w:val="00224707"/>
    <w:rsid w:val="00225112"/>
    <w:rsid w:val="00231227"/>
    <w:rsid w:val="00240065"/>
    <w:rsid w:val="0024439B"/>
    <w:rsid w:val="00254343"/>
    <w:rsid w:val="00256B5C"/>
    <w:rsid w:val="00257163"/>
    <w:rsid w:val="0026795B"/>
    <w:rsid w:val="00286848"/>
    <w:rsid w:val="00293CFE"/>
    <w:rsid w:val="002A352E"/>
    <w:rsid w:val="002B68DB"/>
    <w:rsid w:val="002C21BD"/>
    <w:rsid w:val="002C60CE"/>
    <w:rsid w:val="002E74EA"/>
    <w:rsid w:val="002F707A"/>
    <w:rsid w:val="0032244D"/>
    <w:rsid w:val="00344B5A"/>
    <w:rsid w:val="003453CB"/>
    <w:rsid w:val="00363FDB"/>
    <w:rsid w:val="00364609"/>
    <w:rsid w:val="00391E9C"/>
    <w:rsid w:val="003C14DB"/>
    <w:rsid w:val="003D6EAA"/>
    <w:rsid w:val="003E5826"/>
    <w:rsid w:val="0040185B"/>
    <w:rsid w:val="00405967"/>
    <w:rsid w:val="0041592B"/>
    <w:rsid w:val="00417E20"/>
    <w:rsid w:val="00424219"/>
    <w:rsid w:val="004340C0"/>
    <w:rsid w:val="00435C5D"/>
    <w:rsid w:val="00444A8F"/>
    <w:rsid w:val="004464BD"/>
    <w:rsid w:val="00454BC5"/>
    <w:rsid w:val="00464BE6"/>
    <w:rsid w:val="00464E7B"/>
    <w:rsid w:val="00466868"/>
    <w:rsid w:val="00475173"/>
    <w:rsid w:val="00482F36"/>
    <w:rsid w:val="004A1B81"/>
    <w:rsid w:val="004B5DF0"/>
    <w:rsid w:val="004C27E0"/>
    <w:rsid w:val="004C50FE"/>
    <w:rsid w:val="004C59D1"/>
    <w:rsid w:val="004F0ED4"/>
    <w:rsid w:val="004F1E54"/>
    <w:rsid w:val="004F6B3F"/>
    <w:rsid w:val="00504479"/>
    <w:rsid w:val="005336E3"/>
    <w:rsid w:val="00536BB9"/>
    <w:rsid w:val="00540CED"/>
    <w:rsid w:val="005418B5"/>
    <w:rsid w:val="005602FC"/>
    <w:rsid w:val="005663F5"/>
    <w:rsid w:val="00595E75"/>
    <w:rsid w:val="005B5569"/>
    <w:rsid w:val="005B7801"/>
    <w:rsid w:val="005D753C"/>
    <w:rsid w:val="005F65BE"/>
    <w:rsid w:val="006018DC"/>
    <w:rsid w:val="006165E3"/>
    <w:rsid w:val="00623F0C"/>
    <w:rsid w:val="00630C87"/>
    <w:rsid w:val="00647DD5"/>
    <w:rsid w:val="0068478F"/>
    <w:rsid w:val="00694C6B"/>
    <w:rsid w:val="006A6367"/>
    <w:rsid w:val="006C5684"/>
    <w:rsid w:val="006D6211"/>
    <w:rsid w:val="007070A8"/>
    <w:rsid w:val="007248EC"/>
    <w:rsid w:val="0073198F"/>
    <w:rsid w:val="00746A1F"/>
    <w:rsid w:val="00766983"/>
    <w:rsid w:val="007710AD"/>
    <w:rsid w:val="00776C6F"/>
    <w:rsid w:val="007A042D"/>
    <w:rsid w:val="007A4A67"/>
    <w:rsid w:val="007B1B99"/>
    <w:rsid w:val="007B7680"/>
    <w:rsid w:val="007D06A0"/>
    <w:rsid w:val="007E7F81"/>
    <w:rsid w:val="00803DF9"/>
    <w:rsid w:val="00804084"/>
    <w:rsid w:val="008041BA"/>
    <w:rsid w:val="008045CD"/>
    <w:rsid w:val="008149A7"/>
    <w:rsid w:val="008371C1"/>
    <w:rsid w:val="00841653"/>
    <w:rsid w:val="00841EBA"/>
    <w:rsid w:val="00855E97"/>
    <w:rsid w:val="00857D1B"/>
    <w:rsid w:val="00861357"/>
    <w:rsid w:val="00874253"/>
    <w:rsid w:val="0087504F"/>
    <w:rsid w:val="00882575"/>
    <w:rsid w:val="00893DF4"/>
    <w:rsid w:val="008A3D63"/>
    <w:rsid w:val="008C2FC3"/>
    <w:rsid w:val="008D6697"/>
    <w:rsid w:val="008F0730"/>
    <w:rsid w:val="00934F6C"/>
    <w:rsid w:val="00955DC7"/>
    <w:rsid w:val="00991245"/>
    <w:rsid w:val="009B3A9D"/>
    <w:rsid w:val="009C22AF"/>
    <w:rsid w:val="009C5273"/>
    <w:rsid w:val="009C5507"/>
    <w:rsid w:val="009C5A6B"/>
    <w:rsid w:val="009C72DB"/>
    <w:rsid w:val="009E48B2"/>
    <w:rsid w:val="00A03E4E"/>
    <w:rsid w:val="00A062BA"/>
    <w:rsid w:val="00A132E7"/>
    <w:rsid w:val="00A17847"/>
    <w:rsid w:val="00A266AE"/>
    <w:rsid w:val="00A27AC6"/>
    <w:rsid w:val="00A460F5"/>
    <w:rsid w:val="00A7537A"/>
    <w:rsid w:val="00A826C1"/>
    <w:rsid w:val="00A839F3"/>
    <w:rsid w:val="00A95914"/>
    <w:rsid w:val="00AA6FA7"/>
    <w:rsid w:val="00AB060F"/>
    <w:rsid w:val="00AB22AA"/>
    <w:rsid w:val="00AB2807"/>
    <w:rsid w:val="00AB6ED3"/>
    <w:rsid w:val="00AC196B"/>
    <w:rsid w:val="00AD4C94"/>
    <w:rsid w:val="00AE339B"/>
    <w:rsid w:val="00AF0751"/>
    <w:rsid w:val="00B21D7F"/>
    <w:rsid w:val="00B3539A"/>
    <w:rsid w:val="00B42237"/>
    <w:rsid w:val="00B76A9E"/>
    <w:rsid w:val="00B810C4"/>
    <w:rsid w:val="00B93291"/>
    <w:rsid w:val="00B938BC"/>
    <w:rsid w:val="00BA587F"/>
    <w:rsid w:val="00BC5002"/>
    <w:rsid w:val="00BD765E"/>
    <w:rsid w:val="00BE37B1"/>
    <w:rsid w:val="00BE38D3"/>
    <w:rsid w:val="00BF252E"/>
    <w:rsid w:val="00C03EA6"/>
    <w:rsid w:val="00C12CA0"/>
    <w:rsid w:val="00C144A2"/>
    <w:rsid w:val="00C22DC8"/>
    <w:rsid w:val="00C26DA3"/>
    <w:rsid w:val="00C40E64"/>
    <w:rsid w:val="00C5141F"/>
    <w:rsid w:val="00C56AD0"/>
    <w:rsid w:val="00C61073"/>
    <w:rsid w:val="00C72F65"/>
    <w:rsid w:val="00C74641"/>
    <w:rsid w:val="00CA6661"/>
    <w:rsid w:val="00CB336B"/>
    <w:rsid w:val="00CC748D"/>
    <w:rsid w:val="00CD2C89"/>
    <w:rsid w:val="00CF03B2"/>
    <w:rsid w:val="00D0200B"/>
    <w:rsid w:val="00D0318B"/>
    <w:rsid w:val="00D03776"/>
    <w:rsid w:val="00D21333"/>
    <w:rsid w:val="00D32948"/>
    <w:rsid w:val="00D37329"/>
    <w:rsid w:val="00D408E5"/>
    <w:rsid w:val="00D72D4E"/>
    <w:rsid w:val="00D85718"/>
    <w:rsid w:val="00D86336"/>
    <w:rsid w:val="00D8778F"/>
    <w:rsid w:val="00D910AE"/>
    <w:rsid w:val="00D93B08"/>
    <w:rsid w:val="00D94244"/>
    <w:rsid w:val="00DD15B2"/>
    <w:rsid w:val="00DE1A48"/>
    <w:rsid w:val="00DE4CEE"/>
    <w:rsid w:val="00E02AEC"/>
    <w:rsid w:val="00E17E55"/>
    <w:rsid w:val="00E26B95"/>
    <w:rsid w:val="00E43644"/>
    <w:rsid w:val="00E4370B"/>
    <w:rsid w:val="00E47384"/>
    <w:rsid w:val="00E52111"/>
    <w:rsid w:val="00E67654"/>
    <w:rsid w:val="00E7583D"/>
    <w:rsid w:val="00EA10E4"/>
    <w:rsid w:val="00EB0B9A"/>
    <w:rsid w:val="00EF5D36"/>
    <w:rsid w:val="00F00BD1"/>
    <w:rsid w:val="00F204E3"/>
    <w:rsid w:val="00F602CF"/>
    <w:rsid w:val="00FB2F2F"/>
    <w:rsid w:val="00FC0898"/>
    <w:rsid w:val="00FD04C0"/>
    <w:rsid w:val="00FE2D0C"/>
    <w:rsid w:val="00FF0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BDD5C88"/>
  <w15:chartTrackingRefBased/>
  <w15:docId w15:val="{E9551BE0-D5FF-48C9-B4B1-FACAAC96E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8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42237"/>
    <w:pPr>
      <w:spacing w:after="0" w:line="240" w:lineRule="auto"/>
    </w:pPr>
    <w:rPr>
      <w:sz w:val="20"/>
      <w:szCs w:val="20"/>
    </w:rPr>
  </w:style>
  <w:style w:type="character" w:customStyle="1" w:styleId="FootnoteTextChar">
    <w:name w:val="Footnote Text Char"/>
    <w:basedOn w:val="DefaultParagraphFont"/>
    <w:link w:val="FootnoteText"/>
    <w:uiPriority w:val="99"/>
    <w:rsid w:val="00B42237"/>
    <w:rPr>
      <w:sz w:val="20"/>
      <w:szCs w:val="20"/>
    </w:rPr>
  </w:style>
  <w:style w:type="character" w:styleId="FootnoteReference">
    <w:name w:val="footnote reference"/>
    <w:basedOn w:val="DefaultParagraphFont"/>
    <w:uiPriority w:val="99"/>
    <w:semiHidden/>
    <w:unhideWhenUsed/>
    <w:rsid w:val="00B42237"/>
    <w:rPr>
      <w:vertAlign w:val="superscript"/>
    </w:rPr>
  </w:style>
  <w:style w:type="paragraph" w:styleId="BalloonText">
    <w:name w:val="Balloon Text"/>
    <w:basedOn w:val="Normal"/>
    <w:link w:val="BalloonTextChar"/>
    <w:uiPriority w:val="99"/>
    <w:semiHidden/>
    <w:unhideWhenUsed/>
    <w:rsid w:val="001848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4859"/>
    <w:rPr>
      <w:rFonts w:ascii="Segoe UI" w:hAnsi="Segoe UI" w:cs="Segoe UI"/>
      <w:sz w:val="18"/>
      <w:szCs w:val="18"/>
    </w:rPr>
  </w:style>
  <w:style w:type="paragraph" w:styleId="Header">
    <w:name w:val="header"/>
    <w:basedOn w:val="Normal"/>
    <w:link w:val="HeaderChar"/>
    <w:uiPriority w:val="99"/>
    <w:unhideWhenUsed/>
    <w:rsid w:val="00875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04F"/>
  </w:style>
  <w:style w:type="paragraph" w:styleId="Footer">
    <w:name w:val="footer"/>
    <w:basedOn w:val="Normal"/>
    <w:link w:val="FooterChar"/>
    <w:uiPriority w:val="99"/>
    <w:unhideWhenUsed/>
    <w:rsid w:val="00875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04F"/>
  </w:style>
  <w:style w:type="character" w:customStyle="1" w:styleId="Heading1Char">
    <w:name w:val="Heading 1 Char"/>
    <w:basedOn w:val="DefaultParagraphFont"/>
    <w:link w:val="Heading1"/>
    <w:uiPriority w:val="9"/>
    <w:rsid w:val="003E5826"/>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424219"/>
    <w:pPr>
      <w:spacing w:after="100"/>
    </w:pPr>
  </w:style>
  <w:style w:type="character" w:styleId="Hyperlink">
    <w:name w:val="Hyperlink"/>
    <w:basedOn w:val="DefaultParagraphFont"/>
    <w:uiPriority w:val="99"/>
    <w:unhideWhenUsed/>
    <w:rsid w:val="004242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72D72-94F8-48C1-9EDD-F1EE77741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2952</TotalTime>
  <Pages>1</Pages>
  <Words>11320</Words>
  <Characters>64529</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dc:creator>
  <cp:keywords/>
  <dc:description/>
  <cp:lastModifiedBy>Ruth Hardy</cp:lastModifiedBy>
  <cp:revision>88</cp:revision>
  <cp:lastPrinted>2020-05-08T12:20:00Z</cp:lastPrinted>
  <dcterms:created xsi:type="dcterms:W3CDTF">2020-05-02T15:18:00Z</dcterms:created>
  <dcterms:modified xsi:type="dcterms:W3CDTF">2020-05-10T12:45:00Z</dcterms:modified>
</cp:coreProperties>
</file>