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5A39D8E9"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830C85">
              <w:rPr>
                <w:rFonts w:ascii="Times New Roman" w:hAnsi="Times New Roman" w:cs="Times New Roman"/>
                <w:b/>
                <w:color w:val="auto"/>
                <w:sz w:val="48"/>
              </w:rPr>
              <w:t>Helen Tanner</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86FE3C1"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Email </w:t>
            </w:r>
            <w:proofErr w:type="gramStart"/>
            <w:r>
              <w:rPr>
                <w:rFonts w:ascii="Times New Roman" w:hAnsi="Times New Roman" w:cs="Times New Roman"/>
                <w:b/>
                <w:color w:val="auto"/>
                <w:sz w:val="48"/>
              </w:rPr>
              <w:t>address:</w:t>
            </w:r>
            <w:r w:rsidR="005B6A0C">
              <w:rPr>
                <w:rFonts w:ascii="Times New Roman" w:hAnsi="Times New Roman" w:cs="Times New Roman"/>
                <w:b/>
                <w:color w:val="auto"/>
                <w:sz w:val="48"/>
              </w:rPr>
              <w:t>helen.tanner@powys.gov.uk</w:t>
            </w:r>
            <w:proofErr w:type="gramEnd"/>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59675BAA"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5531FF">
              <w:rPr>
                <w:rFonts w:ascii="Times New Roman" w:hAnsi="Times New Roman" w:cs="Times New Roman"/>
                <w:b/>
                <w:color w:val="auto"/>
                <w:sz w:val="48"/>
              </w:rPr>
              <w:t>2416654</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r w:rsidR="00B9790C" w:rsidRPr="005D3F07" w14:paraId="25CE64C0" w14:textId="77777777" w:rsidTr="005D3F07">
        <w:tc>
          <w:tcPr>
            <w:tcW w:w="10368" w:type="dxa"/>
          </w:tcPr>
          <w:p w14:paraId="5DAF3699" w14:textId="77777777" w:rsidR="00B9790C" w:rsidRDefault="00B9790C" w:rsidP="005D3F07">
            <w:pPr>
              <w:overflowPunct/>
              <w:autoSpaceDE/>
              <w:autoSpaceDN/>
              <w:adjustRightInd/>
              <w:ind w:right="-957"/>
              <w:textAlignment w:val="auto"/>
              <w:rPr>
                <w:rFonts w:ascii="Times New Roman" w:hAnsi="Times New Roman" w:cs="Times New Roman"/>
                <w:b/>
                <w:color w:val="auto"/>
                <w:sz w:val="48"/>
              </w:rPr>
            </w:pP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14666975" w14:textId="76AA6B0B" w:rsidR="00423234" w:rsidRDefault="00423234" w:rsidP="00327A9C">
            <w:pPr>
              <w:spacing w:line="278" w:lineRule="auto"/>
              <w:rPr>
                <w:rFonts w:ascii="Aptos" w:eastAsia="Aptos" w:hAnsi="Aptos" w:cs="Times New Roman"/>
                <w:sz w:val="24"/>
                <w:szCs w:val="24"/>
              </w:rPr>
            </w:pPr>
            <w:r w:rsidRPr="007C0BBC">
              <w:rPr>
                <w:rFonts w:ascii="Aptos" w:eastAsia="Aptos" w:hAnsi="Aptos" w:cs="Times New Roman"/>
                <w:sz w:val="24"/>
                <w:szCs w:val="24"/>
              </w:rPr>
              <w:t>In my role as a social worker within the Connected Persons Team, I completed a viability assessment with the child’s social worker to determine whether the maternal aunt and uncle of a four-year-old girl could provide safe care. My role was to critically evaluate the carers’ capacity, drawing on multi-agency reports, direct assessment visits, and safeguarding records. While the assessment was completed collaboratively, I was responsible for analysing risk, identifying gaps, and contributing to the overall recommendation.</w:t>
            </w:r>
            <w:r w:rsidR="000B72EB">
              <w:rPr>
                <w:rFonts w:ascii="Aptos" w:eastAsia="Aptos" w:hAnsi="Aptos" w:cs="Times New Roman"/>
                <w:sz w:val="24"/>
                <w:szCs w:val="24"/>
              </w:rPr>
              <w:t xml:space="preserve"> </w:t>
            </w:r>
            <w:r w:rsidRPr="007C0BBC">
              <w:rPr>
                <w:rFonts w:ascii="Aptos" w:eastAsia="Aptos" w:hAnsi="Aptos" w:cs="Times New Roman"/>
                <w:sz w:val="24"/>
                <w:szCs w:val="24"/>
              </w:rPr>
              <w:t>Although the aunt and uncle resided in England, the child’s needs were assessed within the Welsh statutory context, requiring consideration of whether principles such as well-being, the child’s rights under the UNCRC, and the Active Offer could be upheld in a cross-border placement. This raised questions about whether the carers could support the child’s identity, continuity of care, and access to services within or beyond Wales.</w:t>
            </w:r>
          </w:p>
          <w:p w14:paraId="6C81B696" w14:textId="77777777" w:rsidR="000B72EB" w:rsidRPr="007C0BBC" w:rsidRDefault="000B72EB" w:rsidP="00327A9C">
            <w:pPr>
              <w:spacing w:line="278" w:lineRule="auto"/>
              <w:rPr>
                <w:rFonts w:ascii="Aptos" w:eastAsia="Aptos" w:hAnsi="Aptos" w:cs="Times New Roman"/>
                <w:sz w:val="24"/>
                <w:szCs w:val="24"/>
              </w:rPr>
            </w:pPr>
          </w:p>
          <w:p w14:paraId="37E8584A" w14:textId="77777777" w:rsidR="00423234" w:rsidRPr="007C0BBC" w:rsidRDefault="00423234" w:rsidP="00327A9C">
            <w:pPr>
              <w:spacing w:line="278" w:lineRule="auto"/>
              <w:rPr>
                <w:rFonts w:ascii="Aptos" w:eastAsia="Aptos" w:hAnsi="Aptos" w:cs="Times New Roman"/>
                <w:sz w:val="24"/>
                <w:szCs w:val="24"/>
              </w:rPr>
            </w:pPr>
            <w:r w:rsidRPr="007C0BBC">
              <w:rPr>
                <w:rFonts w:ascii="Aptos" w:eastAsia="Aptos" w:hAnsi="Aptos" w:cs="Times New Roman"/>
                <w:sz w:val="24"/>
                <w:szCs w:val="24"/>
              </w:rPr>
              <w:t>This followed safeguarding concerns involving chronic neglect and physical harm investigated under Section 47 of the Children Act 1989 (Law Wales, n.d.). In Wales, viability assessments sit within the Social Services and Well-being (Wales) Act 2014, which establishes duties when responding to children at risk. Part 7 sets out responsibilities to report children at risk, undertake safeguarding enquiries, and coordinate multi-agency working (</w:t>
            </w:r>
            <w:proofErr w:type="spellStart"/>
            <w:r w:rsidRPr="007C0BBC">
              <w:rPr>
                <w:rFonts w:ascii="Aptos" w:eastAsia="Aptos" w:hAnsi="Aptos" w:cs="Times New Roman"/>
                <w:sz w:val="24"/>
                <w:szCs w:val="24"/>
              </w:rPr>
              <w:t>Gov.Wales</w:t>
            </w:r>
            <w:proofErr w:type="spellEnd"/>
            <w:r w:rsidRPr="007C0BBC">
              <w:rPr>
                <w:rFonts w:ascii="Aptos" w:eastAsia="Aptos" w:hAnsi="Aptos" w:cs="Times New Roman"/>
                <w:sz w:val="24"/>
                <w:szCs w:val="24"/>
              </w:rPr>
              <w:t xml:space="preserve">, 2016; Law Wales, n.d.). Practice is further shaped by the Wales Safeguarding Procedures 2019, </w:t>
            </w:r>
            <w:r w:rsidRPr="007C0BBC">
              <w:rPr>
                <w:rFonts w:ascii="Aptos" w:eastAsia="Aptos" w:hAnsi="Aptos" w:cs="Times New Roman"/>
                <w:sz w:val="24"/>
                <w:szCs w:val="24"/>
              </w:rPr>
              <w:lastRenderedPageBreak/>
              <w:t>providing a consistent national framework. CoramBAAF also offers guidance and tools widely used in Wales to support fostering and viability assessments (CoramBAAF, 2025).</w:t>
            </w:r>
          </w:p>
          <w:p w14:paraId="678FDDDB" w14:textId="77777777" w:rsidR="00423234" w:rsidRDefault="00423234" w:rsidP="00327A9C">
            <w:pPr>
              <w:rPr>
                <w:rFonts w:ascii="Aptos" w:eastAsia="Aptos" w:hAnsi="Aptos" w:cs="Times New Roman"/>
                <w:sz w:val="24"/>
                <w:szCs w:val="24"/>
              </w:rPr>
            </w:pPr>
            <w:r w:rsidRPr="007C0BBC">
              <w:rPr>
                <w:rFonts w:ascii="Aptos" w:eastAsia="Aptos" w:hAnsi="Aptos" w:cs="Times New Roman"/>
                <w:sz w:val="24"/>
                <w:szCs w:val="24"/>
              </w:rPr>
              <w:t>Prior to progressing to a viability assessment, I engaged in a series of statutory safeguarding processes undertaken by the local authority consistent with the Social Services and Well</w:t>
            </w:r>
            <w:r w:rsidRPr="007C0BBC">
              <w:rPr>
                <w:rFonts w:ascii="Aptos" w:eastAsia="Aptos" w:hAnsi="Aptos" w:cs="Times New Roman"/>
                <w:sz w:val="24"/>
                <w:szCs w:val="24"/>
              </w:rPr>
              <w:noBreakHyphen/>
              <w:t>being (Wales) Act 2014 and the Wales Safeguarding Procedures 2019. CoramBAAF guidance additionally supports practitioners in applying clear and evidence</w:t>
            </w:r>
            <w:r w:rsidRPr="007C0BBC">
              <w:rPr>
                <w:rFonts w:ascii="Aptos" w:eastAsia="Aptos" w:hAnsi="Aptos" w:cs="Times New Roman"/>
                <w:sz w:val="24"/>
                <w:szCs w:val="24"/>
              </w:rPr>
              <w:noBreakHyphen/>
              <w:t>based assessment standards throughout these processes (CoramBAAF, 2025). Concerns relating to potential neglect and physical harm triggered the completion of a Multi</w:t>
            </w:r>
            <w:r w:rsidRPr="007C0BBC">
              <w:rPr>
                <w:rFonts w:ascii="Aptos" w:eastAsia="Aptos" w:hAnsi="Aptos" w:cs="Times New Roman"/>
                <w:sz w:val="24"/>
                <w:szCs w:val="24"/>
              </w:rPr>
              <w:noBreakHyphen/>
              <w:t xml:space="preserve">Agency Referral Form (MARF), fulfilling the statutory duty under Part 7 of the Act to report children at risk (Welsh Government, 2016; Law Wales, n.d.). </w:t>
            </w:r>
          </w:p>
          <w:p w14:paraId="28BCEED8" w14:textId="77777777" w:rsidR="003710D7" w:rsidRPr="007C0BBC" w:rsidRDefault="003710D7" w:rsidP="00423234">
            <w:pPr>
              <w:rPr>
                <w:rFonts w:ascii="Aptos" w:eastAsia="Aptos" w:hAnsi="Aptos" w:cs="Times New Roman"/>
                <w:sz w:val="24"/>
                <w:szCs w:val="24"/>
              </w:rPr>
            </w:pPr>
          </w:p>
          <w:p w14:paraId="153F05A2" w14:textId="77777777" w:rsidR="00423234" w:rsidRDefault="00423234" w:rsidP="00423234">
            <w:pPr>
              <w:rPr>
                <w:rFonts w:ascii="Aptos" w:eastAsia="Aptos" w:hAnsi="Aptos" w:cs="Times New Roman"/>
                <w:sz w:val="24"/>
                <w:szCs w:val="24"/>
              </w:rPr>
            </w:pPr>
            <w:r w:rsidRPr="007C0BBC">
              <w:rPr>
                <w:rFonts w:ascii="Aptos" w:eastAsia="Aptos" w:hAnsi="Aptos" w:cs="Times New Roman"/>
                <w:sz w:val="24"/>
                <w:szCs w:val="24"/>
              </w:rPr>
              <w:t>Following the referral, the local authority undertook immediate protective actions in line with its duty to make enquiries where abuse or neglect is suspected (Welsh Government, 2016). I contributed to a strategy meeting with key agencies to share information, assess the available evidence, and determine whether the child was at risk of significant harm, as required by the multi</w:t>
            </w:r>
            <w:r w:rsidRPr="007C0BBC">
              <w:rPr>
                <w:rFonts w:ascii="Aptos" w:eastAsia="Aptos" w:hAnsi="Aptos" w:cs="Times New Roman"/>
                <w:sz w:val="24"/>
                <w:szCs w:val="24"/>
              </w:rPr>
              <w:noBreakHyphen/>
              <w:t>agency coordination duties set out in Part 7 (Law Wales, n.d.). When the threshold for significant harm was met, a child protection investigation was initiated under Section 47 of the Children Act 1989, alongside the statutory duty to make enquiries outlined in the Social Services and Well-being (Wales) Act 2014 (Welsh Government, 2016).</w:t>
            </w:r>
          </w:p>
          <w:p w14:paraId="36035680" w14:textId="77777777" w:rsidR="003710D7" w:rsidRPr="007C0BBC" w:rsidRDefault="003710D7" w:rsidP="00423234">
            <w:pPr>
              <w:rPr>
                <w:rFonts w:ascii="Aptos" w:eastAsia="Aptos" w:hAnsi="Aptos" w:cs="Times New Roman"/>
                <w:sz w:val="24"/>
                <w:szCs w:val="24"/>
              </w:rPr>
            </w:pPr>
          </w:p>
          <w:p w14:paraId="2DC7E0FC" w14:textId="77777777" w:rsidR="00423234" w:rsidRDefault="00423234" w:rsidP="00423234">
            <w:pPr>
              <w:rPr>
                <w:rFonts w:ascii="Aptos" w:eastAsia="Aptos" w:hAnsi="Aptos" w:cs="Times New Roman"/>
                <w:sz w:val="24"/>
                <w:szCs w:val="24"/>
              </w:rPr>
            </w:pPr>
            <w:r w:rsidRPr="007C0BBC">
              <w:rPr>
                <w:rFonts w:ascii="Aptos" w:eastAsia="Aptos" w:hAnsi="Aptos" w:cs="Times New Roman"/>
                <w:sz w:val="24"/>
                <w:szCs w:val="24"/>
              </w:rPr>
              <w:t>The outcome of this investigation was the development of a safeguarding plan, formulated in accordance with the Wales Safeguarding Procedures 2019 to manage and mitigate ongoing risks. Once these statutory safeguarding steps had been completed, and it was determined through multi</w:t>
            </w:r>
            <w:r w:rsidRPr="007C0BBC">
              <w:rPr>
                <w:rFonts w:ascii="Aptos" w:eastAsia="Aptos" w:hAnsi="Aptos" w:cs="Times New Roman"/>
                <w:sz w:val="24"/>
                <w:szCs w:val="24"/>
              </w:rPr>
              <w:noBreakHyphen/>
              <w:t>agency assessment that the child could not remain safely within the parental home, the local authority proceeded to consider wider family options as required under Welsh legislation. This led me, alongside the wider team, to undertake a viability assessment of the child’s maternal aunt and uncle, aligned with expectations that kinship care options must be fully explored before alternative permanence plans are considered (Law Wales, n.d.). CoramBAAF resources support the structured and evidence</w:t>
            </w:r>
            <w:r w:rsidRPr="007C0BBC">
              <w:rPr>
                <w:rFonts w:ascii="Aptos" w:eastAsia="Aptos" w:hAnsi="Aptos" w:cs="Times New Roman"/>
                <w:sz w:val="24"/>
                <w:szCs w:val="24"/>
              </w:rPr>
              <w:noBreakHyphen/>
              <w:t>based completion of such assessments within a Welsh professional context (CoramBAAF, 2025).</w:t>
            </w:r>
          </w:p>
          <w:p w14:paraId="3DCA6325" w14:textId="77777777" w:rsidR="003710D7" w:rsidRPr="007C0BBC" w:rsidRDefault="003710D7" w:rsidP="00423234">
            <w:pPr>
              <w:rPr>
                <w:rFonts w:ascii="Aptos" w:eastAsia="Aptos" w:hAnsi="Aptos" w:cs="Times New Roman"/>
                <w:sz w:val="24"/>
                <w:szCs w:val="24"/>
              </w:rPr>
            </w:pPr>
          </w:p>
          <w:p w14:paraId="680EE1CF" w14:textId="77777777" w:rsidR="00423234" w:rsidRDefault="00423234" w:rsidP="00423234">
            <w:pPr>
              <w:rPr>
                <w:rFonts w:ascii="Aptos" w:eastAsia="Aptos" w:hAnsi="Aptos" w:cs="Times New Roman"/>
                <w:sz w:val="24"/>
                <w:szCs w:val="24"/>
              </w:rPr>
            </w:pPr>
            <w:r w:rsidRPr="007C0BBC">
              <w:rPr>
                <w:rFonts w:ascii="Aptos" w:eastAsia="Aptos" w:hAnsi="Aptos" w:cs="Times New Roman"/>
                <w:sz w:val="24"/>
                <w:szCs w:val="24"/>
              </w:rPr>
              <w:t>Applying the Code of Practice on Assessing Care and Support Needs (Welsh Government, 2015) required more than demonstrating a person</w:t>
            </w:r>
            <w:r w:rsidRPr="007C0BBC">
              <w:rPr>
                <w:rFonts w:ascii="Aptos" w:eastAsia="Aptos" w:hAnsi="Aptos" w:cs="Times New Roman"/>
                <w:sz w:val="24"/>
                <w:szCs w:val="24"/>
              </w:rPr>
              <w:noBreakHyphen/>
              <w:t>centred approach; it demanded careful scrutiny of whether this principle risked diluting safeguarding rigour. I reflected on the tension between maintaining respect and dignity and exercising sufficient professional challenge when assessing family members. The General Social Care Functions Code of Practice (Welsh Government, 2024) reinforced my accountability to ensure that compassion did not override analysis of risk. This strengthened my understanding that proportionate assessment must still be robust, as insufficient challenge can directly compromise a child’s safety and the credibility of safeguarding decisions.</w:t>
            </w:r>
          </w:p>
          <w:p w14:paraId="74BAEABE" w14:textId="77777777" w:rsidR="003710D7" w:rsidRPr="007C0BBC" w:rsidRDefault="003710D7" w:rsidP="00423234">
            <w:pPr>
              <w:rPr>
                <w:rFonts w:ascii="Aptos" w:eastAsia="Aptos" w:hAnsi="Aptos" w:cs="Times New Roman"/>
                <w:sz w:val="24"/>
                <w:szCs w:val="24"/>
              </w:rPr>
            </w:pPr>
          </w:p>
          <w:p w14:paraId="1DF9C03B" w14:textId="77777777" w:rsidR="00423234" w:rsidRDefault="00423234" w:rsidP="00423234">
            <w:pPr>
              <w:rPr>
                <w:rFonts w:ascii="Aptos" w:eastAsia="Aptos" w:hAnsi="Aptos" w:cs="Times New Roman"/>
                <w:sz w:val="24"/>
                <w:szCs w:val="24"/>
              </w:rPr>
            </w:pPr>
            <w:r w:rsidRPr="007C0BBC">
              <w:rPr>
                <w:rFonts w:ascii="Aptos" w:eastAsia="Aptos" w:hAnsi="Aptos" w:cs="Times New Roman"/>
                <w:sz w:val="24"/>
                <w:szCs w:val="24"/>
              </w:rPr>
              <w:t xml:space="preserve">I used the CoramBAAF Form C Wales (Connected Persons, 2022) as a structured framework to analyse historical safeguarding concerns, current risks, and the carers’ capacity to meet the </w:t>
            </w:r>
            <w:r w:rsidRPr="007C0BBC">
              <w:rPr>
                <w:rFonts w:ascii="Aptos" w:eastAsia="Aptos" w:hAnsi="Aptos" w:cs="Times New Roman"/>
                <w:sz w:val="24"/>
                <w:szCs w:val="24"/>
              </w:rPr>
              <w:lastRenderedPageBreak/>
              <w:t>child’s needs, ensuring my judgements were evidence</w:t>
            </w:r>
            <w:r w:rsidRPr="007C0BBC">
              <w:rPr>
                <w:rFonts w:ascii="Aptos" w:eastAsia="Aptos" w:hAnsi="Aptos" w:cs="Times New Roman"/>
                <w:sz w:val="24"/>
                <w:szCs w:val="24"/>
              </w:rPr>
              <w:noBreakHyphen/>
              <w:t>based rather than assumption</w:t>
            </w:r>
            <w:r w:rsidRPr="007C0BBC">
              <w:rPr>
                <w:rFonts w:ascii="Aptos" w:eastAsia="Aptos" w:hAnsi="Aptos" w:cs="Times New Roman"/>
                <w:sz w:val="24"/>
                <w:szCs w:val="24"/>
              </w:rPr>
              <w:noBreakHyphen/>
              <w:t>led. Although Regulation 26 of the Care Planning, Placement and Case Review (Wales) Regulations 2015 was considered, I determined that immediate placement was not appropriate due to the absence of an existing relationship and an unsuitable home environment, reinforcing the need for a full connected carers assessment to prioritise safeguarding over expediency.</w:t>
            </w:r>
          </w:p>
          <w:p w14:paraId="5C94B255" w14:textId="77777777" w:rsidR="003710D7" w:rsidRPr="007C0BBC" w:rsidRDefault="003710D7" w:rsidP="00423234">
            <w:pPr>
              <w:rPr>
                <w:rFonts w:ascii="Aptos" w:eastAsia="Aptos" w:hAnsi="Aptos" w:cs="Times New Roman"/>
                <w:sz w:val="24"/>
                <w:szCs w:val="24"/>
              </w:rPr>
            </w:pPr>
          </w:p>
          <w:p w14:paraId="11505ED8" w14:textId="77777777" w:rsidR="00423234" w:rsidRDefault="00423234" w:rsidP="00423234">
            <w:pPr>
              <w:rPr>
                <w:rFonts w:ascii="Aptos" w:eastAsia="Aptos" w:hAnsi="Aptos" w:cs="Times New Roman"/>
                <w:sz w:val="24"/>
                <w:szCs w:val="24"/>
              </w:rPr>
            </w:pPr>
            <w:r w:rsidRPr="007C0BBC">
              <w:rPr>
                <w:rFonts w:ascii="Aptos" w:eastAsia="Aptos" w:hAnsi="Aptos" w:cs="Times New Roman"/>
                <w:sz w:val="24"/>
                <w:szCs w:val="24"/>
              </w:rPr>
              <w:t xml:space="preserve">The decision to place the child under Regulation 26 of the Care Planning, Placement and Case Review (Wales) Regulations 2015 must ensure that temporary placements do not compromise safety. This legislation is unique to Wales and reflects the principles of well-being, protection, and the Active Offer. Safeguarding legislation and guidance were central to the assessment process. I used The Children Act 1989 and 2004, the United Nations Convention on the Rights of the Child (UNCRC), and the Welsh Safeguarding Procedures (2019) to inform my understanding of the child’s right to safety, stability, and family life. The Working Together to Safeguard People Code of Practice (2022) reinforced the need for multi-agency collaboration, especially given that historical safeguarding concerns were present. </w:t>
            </w:r>
          </w:p>
          <w:p w14:paraId="09541CD1" w14:textId="77777777" w:rsidR="003710D7" w:rsidRPr="007C0BBC" w:rsidRDefault="003710D7" w:rsidP="00423234">
            <w:pPr>
              <w:rPr>
                <w:rFonts w:ascii="Aptos" w:eastAsia="Aptos" w:hAnsi="Aptos" w:cs="Times New Roman"/>
                <w:sz w:val="24"/>
                <w:szCs w:val="24"/>
              </w:rPr>
            </w:pPr>
          </w:p>
          <w:p w14:paraId="3B2E69BB" w14:textId="0F961B80" w:rsidR="00423234" w:rsidRDefault="00423234" w:rsidP="003710D7">
            <w:pPr>
              <w:rPr>
                <w:rFonts w:ascii="Aptos" w:eastAsia="Aptos" w:hAnsi="Aptos" w:cs="Times New Roman"/>
                <w:sz w:val="24"/>
                <w:szCs w:val="24"/>
              </w:rPr>
            </w:pPr>
            <w:r w:rsidRPr="007C0BBC">
              <w:rPr>
                <w:rFonts w:ascii="Aptos" w:eastAsia="Aptos" w:hAnsi="Aptos" w:cs="Times New Roman"/>
                <w:sz w:val="24"/>
                <w:szCs w:val="24"/>
              </w:rPr>
              <w:t>This experience prompted me to reflect on how historical safeguarding concerns should inform current assessment practice, particularly when evaluating the long</w:t>
            </w:r>
            <w:r w:rsidRPr="007C0BBC">
              <w:rPr>
                <w:rFonts w:ascii="Aptos" w:eastAsia="Aptos" w:hAnsi="Aptos" w:cs="Times New Roman"/>
                <w:sz w:val="24"/>
                <w:szCs w:val="24"/>
              </w:rPr>
              <w:noBreakHyphen/>
              <w:t>term impact of early adversity It challenged me to consider how effectively such information is integrated into decision</w:t>
            </w:r>
            <w:r w:rsidRPr="007C0BBC">
              <w:rPr>
                <w:rFonts w:ascii="Aptos" w:eastAsia="Aptos" w:hAnsi="Aptos" w:cs="Times New Roman"/>
                <w:sz w:val="24"/>
                <w:szCs w:val="24"/>
              </w:rPr>
              <w:noBreakHyphen/>
              <w:t>making, and whether I was giving sufficient weight to the cumulative effect of harm rather than viewing incidents in isolation.</w:t>
            </w:r>
            <w:r w:rsidR="003710D7">
              <w:rPr>
                <w:rFonts w:ascii="Aptos" w:eastAsia="Aptos" w:hAnsi="Aptos" w:cs="Times New Roman"/>
                <w:sz w:val="24"/>
                <w:szCs w:val="24"/>
              </w:rPr>
              <w:t xml:space="preserve"> </w:t>
            </w:r>
            <w:r w:rsidRPr="007C0BBC">
              <w:rPr>
                <w:rFonts w:ascii="Aptos" w:eastAsia="Aptos" w:hAnsi="Aptos" w:cs="Times New Roman"/>
                <w:sz w:val="24"/>
                <w:szCs w:val="24"/>
              </w:rPr>
              <w:t>The child’s previous exposure to neglect and physical harm required me to adopt a more analytical approach when evaluating the protective capacity of the proposed carers. Research consistently demonstrates that early neglect has profound and long</w:t>
            </w:r>
            <w:r w:rsidRPr="007C0BBC">
              <w:rPr>
                <w:rFonts w:ascii="Aptos" w:eastAsia="Aptos" w:hAnsi="Aptos" w:cs="Times New Roman"/>
                <w:sz w:val="24"/>
                <w:szCs w:val="24"/>
              </w:rPr>
              <w:noBreakHyphen/>
              <w:t>term effects on children’s development, particularly in relation to attachment, emotional regulation, and cognitive functioning. Studies show that neglected children are more likely to develop insecure attachment patterns, social withdrawal, and developmental delays, particularly in the early years (RCPCH, 2022). Neurodevelopmental research further indicates that chronic neglect disrupts brain development, particularly in areas responsible for executive functioning such as impulse control and emotional regulation, which can have lifelong consequences (Herrero Roldán and Martín Rodríguez, 2025).</w:t>
            </w:r>
          </w:p>
          <w:p w14:paraId="6558F418" w14:textId="77777777" w:rsidR="003710D7" w:rsidRPr="007C0BBC" w:rsidRDefault="003710D7" w:rsidP="003710D7">
            <w:pPr>
              <w:rPr>
                <w:rFonts w:ascii="Aptos" w:eastAsia="Aptos" w:hAnsi="Aptos" w:cs="Times New Roman"/>
                <w:sz w:val="24"/>
                <w:szCs w:val="24"/>
              </w:rPr>
            </w:pPr>
          </w:p>
          <w:p w14:paraId="7E9B1015" w14:textId="77777777" w:rsidR="00423234" w:rsidRPr="007C0BBC" w:rsidRDefault="00423234" w:rsidP="00423234">
            <w:pPr>
              <w:rPr>
                <w:rFonts w:ascii="Aptos" w:eastAsia="Aptos" w:hAnsi="Aptos" w:cs="Times New Roman"/>
                <w:sz w:val="24"/>
                <w:szCs w:val="24"/>
              </w:rPr>
            </w:pPr>
            <w:r w:rsidRPr="007C0BBC">
              <w:rPr>
                <w:rFonts w:ascii="Aptos" w:eastAsia="Aptos" w:hAnsi="Aptos" w:cs="Times New Roman"/>
                <w:sz w:val="24"/>
                <w:szCs w:val="24"/>
              </w:rPr>
              <w:t>Research indicates that while kinship care can offer important relational benefits, it is not automatically protective and may be associated with ongoing neglect where carers are insufficiently supported or assessed (Hallett, Garstang and Taylor, 2021). This required me to consider not only the carers’ willingness to provide care, but their capacity to consistently meet the child’s physical and emotional needs considering her trauma history.</w:t>
            </w:r>
          </w:p>
          <w:p w14:paraId="497A3D4B" w14:textId="77777777" w:rsidR="003710D7" w:rsidRDefault="00423234" w:rsidP="003710D7">
            <w:pPr>
              <w:rPr>
                <w:rFonts w:ascii="Aptos" w:eastAsia="Aptos" w:hAnsi="Aptos" w:cs="Times New Roman"/>
                <w:sz w:val="24"/>
                <w:szCs w:val="24"/>
              </w:rPr>
            </w:pPr>
            <w:r w:rsidRPr="007C0BBC">
              <w:rPr>
                <w:rFonts w:ascii="Aptos" w:eastAsia="Aptos" w:hAnsi="Aptos" w:cs="Times New Roman"/>
                <w:sz w:val="24"/>
                <w:szCs w:val="24"/>
              </w:rPr>
              <w:t>I applied a structured approach to analysing risk and protective factors within the family network, guided by the Wales Safeguarding Procedures 2019, with an emphasis on professional judgement, multi-agency collaboration, and the child’s voice. While these procedures offered clarity, I found that effective decision</w:t>
            </w:r>
            <w:r w:rsidRPr="007C0BBC">
              <w:rPr>
                <w:rFonts w:ascii="Aptos" w:eastAsia="Aptos" w:hAnsi="Aptos" w:cs="Times New Roman"/>
                <w:sz w:val="24"/>
                <w:szCs w:val="24"/>
              </w:rPr>
              <w:noBreakHyphen/>
              <w:t>making still relied heavily on my professional judgement, particularly when multi</w:t>
            </w:r>
            <w:r w:rsidRPr="007C0BBC">
              <w:rPr>
                <w:rFonts w:ascii="Aptos" w:eastAsia="Aptos" w:hAnsi="Aptos" w:cs="Times New Roman"/>
                <w:sz w:val="24"/>
                <w:szCs w:val="24"/>
              </w:rPr>
              <w:noBreakHyphen/>
              <w:t xml:space="preserve">agency perspectives conflicted or risked overshadowing the child’s lived experience. To assess the carers’ capacity for change, I drew on Kolb’s Experiential Learning Theory (1984), using it to consider whether their reflections on past difficulties demonstrated genuine learning rather than rehearsed insight. This encouraged </w:t>
            </w:r>
            <w:r w:rsidRPr="007C0BBC">
              <w:rPr>
                <w:rFonts w:ascii="Aptos" w:eastAsia="Aptos" w:hAnsi="Aptos" w:cs="Times New Roman"/>
                <w:sz w:val="24"/>
                <w:szCs w:val="24"/>
              </w:rPr>
              <w:lastRenderedPageBreak/>
              <w:t>me to focus not only on what they reported but on whether their understanding had translated into observable behavioural change. This approach emphasised the need to corroborate their self</w:t>
            </w:r>
            <w:r w:rsidRPr="007C0BBC">
              <w:rPr>
                <w:rFonts w:ascii="Aptos" w:eastAsia="Aptos" w:hAnsi="Aptos" w:cs="Times New Roman"/>
                <w:sz w:val="24"/>
                <w:szCs w:val="24"/>
              </w:rPr>
              <w:noBreakHyphen/>
              <w:t>reported insight with observable behaviour, reinforcing the importance of cautious interpretation rather than accepting stated reflections at face value.</w:t>
            </w:r>
            <w:r w:rsidR="003710D7">
              <w:rPr>
                <w:rFonts w:ascii="Aptos" w:eastAsia="Aptos" w:hAnsi="Aptos" w:cs="Times New Roman"/>
                <w:sz w:val="24"/>
                <w:szCs w:val="24"/>
              </w:rPr>
              <w:t xml:space="preserve"> </w:t>
            </w:r>
            <w:r w:rsidRPr="007C0BBC">
              <w:rPr>
                <w:rFonts w:ascii="Aptos" w:eastAsia="Aptos" w:hAnsi="Aptos" w:cs="Times New Roman"/>
                <w:sz w:val="24"/>
                <w:szCs w:val="24"/>
              </w:rPr>
              <w:t xml:space="preserve">I considered how legislative frameworks guide our practice and how they must be actively applied rather than passively referenced. The Violence Against Women, Domestic Abuse and Sexual Violence (Wales) Act 2015 was also considered in relation to the couple’s ability to provide a safe, non-violent environment. I recognised that safeguarding is not just about the absence of risk but also about the presence of protective factors and resilience within the family system. </w:t>
            </w:r>
          </w:p>
          <w:p w14:paraId="77631300" w14:textId="77777777" w:rsidR="003710D7" w:rsidRDefault="003710D7" w:rsidP="003710D7">
            <w:pPr>
              <w:rPr>
                <w:rFonts w:ascii="Aptos" w:eastAsia="Aptos" w:hAnsi="Aptos" w:cs="Times New Roman"/>
                <w:sz w:val="24"/>
                <w:szCs w:val="24"/>
              </w:rPr>
            </w:pPr>
          </w:p>
          <w:p w14:paraId="142731F5" w14:textId="718E33B8" w:rsidR="00423234" w:rsidRDefault="00423234" w:rsidP="003710D7">
            <w:pPr>
              <w:rPr>
                <w:rFonts w:ascii="Aptos" w:eastAsia="Aptos" w:hAnsi="Aptos" w:cs="Times New Roman"/>
                <w:sz w:val="24"/>
                <w:szCs w:val="24"/>
              </w:rPr>
            </w:pPr>
            <w:r w:rsidRPr="007C0BBC">
              <w:rPr>
                <w:rFonts w:ascii="Aptos" w:eastAsia="Aptos" w:hAnsi="Aptos" w:cs="Times New Roman"/>
                <w:sz w:val="24"/>
                <w:szCs w:val="24"/>
              </w:rPr>
              <w:t>Mezirow’s Transformative Learning Theory (1991) informed my analysis of whether the carers had genuinely re-evaluated their beliefs and assumptions about safeguarding, particularly in light of their previous failure to act on known risks within the family. While the carers were able to articulate appropriate safeguarding responses, I identified limited evidence that this reflected a deeper transformation in their understanding or behaviour. This raised concerns about whether their insight would be sustained in practice, particularly in situations involving conflicting family loyalties. The Social Services and Well-being (Wales) Act 2014 further guided my judgement, reinforcing that promoting well-being must be balanced with robust protection from harm. Integrating this legislative framework with learning theory enabled me to critically evaluate not only what the carers said, but the extent to which they demonstrated the capacity for meaningful and sustained change.</w:t>
            </w:r>
          </w:p>
          <w:p w14:paraId="69FADA84" w14:textId="77777777" w:rsidR="003710D7" w:rsidRPr="007C0BBC" w:rsidRDefault="003710D7" w:rsidP="003710D7">
            <w:pPr>
              <w:rPr>
                <w:rFonts w:ascii="Aptos" w:eastAsia="Aptos" w:hAnsi="Aptos" w:cs="Times New Roman"/>
                <w:sz w:val="24"/>
                <w:szCs w:val="24"/>
              </w:rPr>
            </w:pPr>
          </w:p>
          <w:p w14:paraId="3EB450F5" w14:textId="77777777" w:rsidR="00423234" w:rsidRDefault="00423234" w:rsidP="00423234">
            <w:pPr>
              <w:rPr>
                <w:rFonts w:ascii="Aptos" w:eastAsia="Aptos" w:hAnsi="Aptos" w:cs="Times New Roman"/>
                <w:sz w:val="24"/>
                <w:szCs w:val="24"/>
              </w:rPr>
            </w:pPr>
            <w:r w:rsidRPr="007C0BBC">
              <w:rPr>
                <w:rFonts w:ascii="Aptos" w:eastAsia="Aptos" w:hAnsi="Aptos" w:cs="Times New Roman"/>
                <w:sz w:val="24"/>
                <w:szCs w:val="24"/>
              </w:rPr>
              <w:t>Research shows that kinship placements can offer children greater stability and improved long</w:t>
            </w:r>
            <w:r w:rsidRPr="007C0BBC">
              <w:rPr>
                <w:rFonts w:ascii="Aptos" w:eastAsia="Aptos" w:hAnsi="Aptos" w:cs="Times New Roman"/>
                <w:sz w:val="24"/>
                <w:szCs w:val="24"/>
              </w:rPr>
              <w:noBreakHyphen/>
              <w:t>term outcomes (Welsh Government, 2018). While kinship care is associated with positive outcomes, including greater placement stability and stronger attachment relationships, evidence highlights that these placements are not without challenges. Research suggests that children in kinship care often have similar pre</w:t>
            </w:r>
            <w:r w:rsidRPr="007C0BBC">
              <w:rPr>
                <w:rFonts w:ascii="Aptos" w:eastAsia="Aptos" w:hAnsi="Aptos" w:cs="Times New Roman"/>
                <w:sz w:val="24"/>
                <w:szCs w:val="24"/>
              </w:rPr>
              <w:noBreakHyphen/>
              <w:t>care experiences of trauma as those in unrelated foster care, yet carers frequently receive less formal support, which can impact placement stability and outcomes (Family Rights Group, 2020). Furthermore, studies indicate that the success of kinship placements is heavily dependent on the carers’ capacity, access to support, and ability to respond to complex emotional and behavioural needs (Foundations, 2024).</w:t>
            </w:r>
          </w:p>
          <w:p w14:paraId="0F4EDF2D" w14:textId="77777777" w:rsidR="003710D7" w:rsidRPr="007C0BBC" w:rsidRDefault="003710D7" w:rsidP="00423234">
            <w:pPr>
              <w:rPr>
                <w:rFonts w:ascii="Aptos" w:eastAsia="Aptos" w:hAnsi="Aptos" w:cs="Times New Roman"/>
                <w:sz w:val="24"/>
                <w:szCs w:val="24"/>
              </w:rPr>
            </w:pPr>
          </w:p>
          <w:p w14:paraId="26928F63" w14:textId="77777777" w:rsidR="00423234" w:rsidRDefault="00423234" w:rsidP="00423234">
            <w:pPr>
              <w:rPr>
                <w:rFonts w:ascii="Aptos" w:eastAsia="Aptos" w:hAnsi="Aptos" w:cs="Times New Roman"/>
                <w:sz w:val="24"/>
                <w:szCs w:val="24"/>
              </w:rPr>
            </w:pPr>
            <w:r w:rsidRPr="007C0BBC">
              <w:rPr>
                <w:rFonts w:ascii="Aptos" w:eastAsia="Aptos" w:hAnsi="Aptos" w:cs="Times New Roman"/>
                <w:sz w:val="24"/>
                <w:szCs w:val="24"/>
              </w:rPr>
              <w:t>However, assessment of family members requires critical reflection, as emotional bonds may create conflicted loyalties and lead to the minimisation of safeguarding concerns. I therefore needed to balance empathy with professional curiosity and remain alert to how my own positive view of kinship care might influence my judgement. I also recognised that connected carers may not have actively chosen this role, making it essential to explore their motivation, willingness and understanding of safeguarding responsibilities. Research further indicates that outcomes in kinship care are highly dependent on carers’ capacity, support, and engagement with safeguarding systems, with insufficient assessment increasing the risk of placement breakdown and ongoing neglect, particularly where historical family dynamics remain unaddressed (Hallett, Garstang and Taylor, 2021; Welsh Government, 2018).</w:t>
            </w:r>
          </w:p>
          <w:p w14:paraId="61BB0BE7" w14:textId="77777777" w:rsidR="003710D7" w:rsidRPr="007C0BBC" w:rsidRDefault="003710D7" w:rsidP="00423234">
            <w:pPr>
              <w:rPr>
                <w:rFonts w:ascii="Aptos" w:eastAsia="Aptos" w:hAnsi="Aptos" w:cs="Times New Roman"/>
                <w:sz w:val="24"/>
                <w:szCs w:val="24"/>
              </w:rPr>
            </w:pPr>
          </w:p>
          <w:p w14:paraId="5F938E46" w14:textId="77777777" w:rsidR="00423234" w:rsidRDefault="00423234" w:rsidP="00423234">
            <w:pPr>
              <w:rPr>
                <w:rFonts w:ascii="Aptos" w:eastAsia="Aptos" w:hAnsi="Aptos" w:cs="Times New Roman"/>
                <w:sz w:val="24"/>
                <w:szCs w:val="24"/>
              </w:rPr>
            </w:pPr>
            <w:r w:rsidRPr="007C0BBC">
              <w:rPr>
                <w:rFonts w:ascii="Aptos" w:eastAsia="Aptos" w:hAnsi="Aptos" w:cs="Times New Roman"/>
                <w:sz w:val="24"/>
                <w:szCs w:val="24"/>
              </w:rPr>
              <w:lastRenderedPageBreak/>
              <w:t>Under Article 8 of the Human Rights Act 1998, the right to family life can be lawfully restricted to protect a child from harm. My role was to ensure any intervention was proportionate, justified and legally compliant. In assessing the relatives, I needed to balance the child’s right to safety with maintaining family relationships. Where a child cannot remain within their family, permanency must be considered through long</w:t>
            </w:r>
            <w:r w:rsidRPr="007C0BBC">
              <w:rPr>
                <w:rFonts w:ascii="Aptos" w:eastAsia="Aptos" w:hAnsi="Aptos" w:cs="Times New Roman"/>
                <w:sz w:val="24"/>
                <w:szCs w:val="24"/>
              </w:rPr>
              <w:noBreakHyphen/>
              <w:t>term fostering or adoption, both of which raise complex human rights issues. Adoption involves severing legal ties with birth parents, while long</w:t>
            </w:r>
            <w:r w:rsidRPr="007C0BBC">
              <w:rPr>
                <w:rFonts w:ascii="Aptos" w:eastAsia="Aptos" w:hAnsi="Aptos" w:cs="Times New Roman"/>
                <w:sz w:val="24"/>
                <w:szCs w:val="24"/>
              </w:rPr>
              <w:noBreakHyphen/>
              <w:t xml:space="preserve">term fostering results in continued statutory involvement. Practitioners must carefully balance these considerations through robust analysis, supported by case law such as </w:t>
            </w:r>
            <w:r w:rsidRPr="007C0BBC">
              <w:rPr>
                <w:rFonts w:ascii="Aptos" w:eastAsia="Aptos" w:hAnsi="Aptos" w:cs="Times New Roman"/>
                <w:i/>
                <w:iCs/>
                <w:sz w:val="24"/>
                <w:szCs w:val="24"/>
              </w:rPr>
              <w:t>Re B</w:t>
            </w:r>
            <w:r w:rsidRPr="007C0BBC">
              <w:rPr>
                <w:rFonts w:ascii="Aptos" w:eastAsia="Aptos" w:hAnsi="Aptos" w:cs="Times New Roman"/>
                <w:i/>
                <w:iCs/>
                <w:sz w:val="24"/>
                <w:szCs w:val="24"/>
              </w:rPr>
              <w:noBreakHyphen/>
              <w:t>S (Children) (2014)</w:t>
            </w:r>
            <w:r w:rsidRPr="007C0BBC">
              <w:rPr>
                <w:rFonts w:ascii="Aptos" w:eastAsia="Aptos" w:hAnsi="Aptos" w:cs="Times New Roman"/>
                <w:sz w:val="24"/>
                <w:szCs w:val="24"/>
              </w:rPr>
              <w:t>, which emphasises the need for thorough justification when separating a child from their birth family. In this context, connected carer assessments play a crucial role in informing permanency planning decisions.</w:t>
            </w:r>
          </w:p>
          <w:p w14:paraId="778C520D" w14:textId="77777777" w:rsidR="003710D7" w:rsidRPr="007C0BBC" w:rsidRDefault="003710D7" w:rsidP="00423234">
            <w:pPr>
              <w:rPr>
                <w:rFonts w:ascii="Aptos" w:eastAsia="Aptos" w:hAnsi="Aptos" w:cs="Times New Roman"/>
                <w:sz w:val="24"/>
                <w:szCs w:val="24"/>
              </w:rPr>
            </w:pPr>
          </w:p>
          <w:p w14:paraId="3AC5EDF2" w14:textId="77777777" w:rsidR="00423234" w:rsidRDefault="00423234" w:rsidP="00423234">
            <w:pPr>
              <w:rPr>
                <w:rFonts w:ascii="Aptos" w:eastAsia="Aptos" w:hAnsi="Aptos" w:cs="Times New Roman"/>
                <w:sz w:val="24"/>
                <w:szCs w:val="24"/>
              </w:rPr>
            </w:pPr>
            <w:r w:rsidRPr="007C0BBC">
              <w:rPr>
                <w:rFonts w:ascii="Aptos" w:eastAsia="Aptos" w:hAnsi="Aptos" w:cs="Times New Roman"/>
                <w:sz w:val="24"/>
                <w:szCs w:val="24"/>
              </w:rPr>
              <w:t>As previously discussed, kinship care can offer stability but also presents safeguarding complexities. Family carers are more likely to maintain the child’s cultural, religious, and linguistic background and remaining within the family network can reduce the impact of trauma and mitigate feelings of abandonment or loss. Although the child shared the same ethnic background as the prospective carers, continuity of identity extends beyond ethnicity and includes shared values, routines, and emotional belonging. Removal from her birth parents, combined with limited prior relationship with the carers, raised questions about her sense of belonging and stability within the family network. This highlighted the importance of assessing not only the carers’ ability to meet practical needs, but their capacity to support the child’s developing identity and provide consistent, culturally familiar care.</w:t>
            </w:r>
          </w:p>
          <w:p w14:paraId="4880619B" w14:textId="77777777" w:rsidR="003710D7" w:rsidRPr="007C0BBC" w:rsidRDefault="003710D7" w:rsidP="00423234">
            <w:pPr>
              <w:rPr>
                <w:rFonts w:ascii="Aptos" w:eastAsia="Aptos" w:hAnsi="Aptos" w:cs="Times New Roman"/>
                <w:sz w:val="24"/>
                <w:szCs w:val="24"/>
              </w:rPr>
            </w:pPr>
          </w:p>
          <w:p w14:paraId="56462093" w14:textId="77777777" w:rsidR="00423234" w:rsidRDefault="00423234" w:rsidP="00423234">
            <w:pPr>
              <w:rPr>
                <w:rFonts w:ascii="Aptos" w:eastAsia="Aptos" w:hAnsi="Aptos" w:cs="Times New Roman"/>
                <w:sz w:val="24"/>
                <w:szCs w:val="24"/>
              </w:rPr>
            </w:pPr>
            <w:r w:rsidRPr="007C0BBC">
              <w:rPr>
                <w:rFonts w:ascii="Aptos" w:eastAsia="Aptos" w:hAnsi="Aptos" w:cs="Times New Roman"/>
                <w:sz w:val="24"/>
                <w:szCs w:val="24"/>
              </w:rPr>
              <w:t>However, there are significant vulnerabilities to consider, including the transition from family member to foster carer, compliance with regulatory requirements, and managing conflicting loyalties between the child and their parents. Assessing carers’ parenting style, adaptability, and capacity to meet the needs of a traumatised child is essential, alongside their ability to meet safeguarding standards and foster carer competencies. As highlighted in the Foster Wales Good Practice Guide (AFKA, 2025), connected carers are often assessed during periods of family crisis or grief, frequently having never anticipated assuming a full</w:t>
            </w:r>
            <w:r w:rsidRPr="007C0BBC">
              <w:rPr>
                <w:rFonts w:ascii="Aptos" w:eastAsia="Aptos" w:hAnsi="Aptos" w:cs="Times New Roman"/>
                <w:sz w:val="24"/>
                <w:szCs w:val="24"/>
              </w:rPr>
              <w:noBreakHyphen/>
              <w:t>time parenting role, which can further impact their readiness and resilience.</w:t>
            </w:r>
          </w:p>
          <w:p w14:paraId="63A92655" w14:textId="77777777" w:rsidR="003710D7" w:rsidRPr="007C0BBC" w:rsidRDefault="003710D7" w:rsidP="00423234">
            <w:pPr>
              <w:rPr>
                <w:rFonts w:ascii="Aptos" w:eastAsia="Aptos" w:hAnsi="Aptos" w:cs="Times New Roman"/>
                <w:sz w:val="24"/>
                <w:szCs w:val="24"/>
              </w:rPr>
            </w:pPr>
          </w:p>
          <w:p w14:paraId="5B5C8210" w14:textId="77777777" w:rsidR="00423234" w:rsidRDefault="00423234" w:rsidP="00423234">
            <w:pPr>
              <w:rPr>
                <w:rFonts w:ascii="Aptos" w:eastAsia="Aptos" w:hAnsi="Aptos" w:cs="Times New Roman"/>
                <w:sz w:val="24"/>
                <w:szCs w:val="24"/>
              </w:rPr>
            </w:pPr>
            <w:r w:rsidRPr="007C0BBC">
              <w:rPr>
                <w:rFonts w:ascii="Aptos" w:eastAsia="Aptos" w:hAnsi="Aptos" w:cs="Times New Roman"/>
                <w:sz w:val="24"/>
                <w:szCs w:val="24"/>
              </w:rPr>
              <w:t>This requires skill in understanding assessments quickly at a time when families are likely to be distressed. However, a decision to place a child prior to thorough assessment might result in the child being exposed to further harm, placement disruption and additional trauma and instability. It could also undermine trust in the fostering system and raise questions about the integrity of the assessment process. The assessment must rigorously explore whether the family member can prioritise the child’s needs above familial bonds, which may require significant shifts in behaviour, boundaries, and expectations. This is not merely a procedural task but a deeply ethical one, requiring sensitivity, professional judgement, and a clear understanding of what is in the child’s best interests.</w:t>
            </w:r>
          </w:p>
          <w:p w14:paraId="3B669D76" w14:textId="77777777" w:rsidR="003710D7" w:rsidRPr="007C0BBC" w:rsidRDefault="003710D7" w:rsidP="00423234">
            <w:pPr>
              <w:rPr>
                <w:rFonts w:ascii="Aptos" w:eastAsia="Aptos" w:hAnsi="Aptos" w:cs="Times New Roman"/>
                <w:sz w:val="24"/>
                <w:szCs w:val="24"/>
              </w:rPr>
            </w:pPr>
          </w:p>
          <w:p w14:paraId="06F697C7" w14:textId="77777777" w:rsidR="00423234" w:rsidRDefault="00423234" w:rsidP="00423234">
            <w:pPr>
              <w:rPr>
                <w:rFonts w:ascii="Aptos" w:eastAsia="Aptos" w:hAnsi="Aptos" w:cs="Times New Roman"/>
                <w:sz w:val="24"/>
                <w:szCs w:val="24"/>
              </w:rPr>
            </w:pPr>
            <w:r w:rsidRPr="007C0BBC">
              <w:rPr>
                <w:rFonts w:ascii="Aptos" w:eastAsia="Aptos" w:hAnsi="Aptos" w:cs="Times New Roman"/>
                <w:sz w:val="24"/>
                <w:szCs w:val="24"/>
              </w:rPr>
              <w:t xml:space="preserve">The primary safeguarding consideration is whether prospective carers can consistently act in the best interests of the child, even when doing so may strain or alter their relationships with </w:t>
            </w:r>
            <w:r w:rsidRPr="007C0BBC">
              <w:rPr>
                <w:rFonts w:ascii="Aptos" w:eastAsia="Aptos" w:hAnsi="Aptos" w:cs="Times New Roman"/>
                <w:sz w:val="24"/>
                <w:szCs w:val="24"/>
              </w:rPr>
              <w:lastRenderedPageBreak/>
              <w:t xml:space="preserve">other family members. This includes being able to recognise and respond to risks posed by other relatives, maintain confidentiality and professional boundaries, and accept and implement care plans that may conflict with family normality. This shift from relative to carer demands a mindset change and the development of a new set of skills which can be supported by training and supervision. The Competency Framework: Skills and Qualities for Kinship Foster carers in Wales (AFKA Cymru) is designed as a guide to support assessing social workers to make appropriate recommendations and understand where potential kinship carers may need support. If there are significant concerns about a potential foster carers ability to develop or maintain these skills with support, then the framework supports the evidence in deciding not to recommend approval. </w:t>
            </w:r>
          </w:p>
          <w:p w14:paraId="060C1CE1" w14:textId="77777777" w:rsidR="003710D7" w:rsidRPr="007C0BBC" w:rsidRDefault="003710D7" w:rsidP="00423234">
            <w:pPr>
              <w:rPr>
                <w:rFonts w:ascii="Aptos" w:eastAsia="Aptos" w:hAnsi="Aptos" w:cs="Times New Roman"/>
                <w:sz w:val="24"/>
                <w:szCs w:val="24"/>
              </w:rPr>
            </w:pPr>
          </w:p>
          <w:p w14:paraId="3D29595A" w14:textId="77777777" w:rsidR="00423234" w:rsidRDefault="00423234" w:rsidP="00423234">
            <w:pPr>
              <w:rPr>
                <w:rFonts w:ascii="Aptos" w:eastAsia="Aptos" w:hAnsi="Aptos" w:cs="Times New Roman"/>
                <w:sz w:val="24"/>
                <w:szCs w:val="24"/>
              </w:rPr>
            </w:pPr>
            <w:r w:rsidRPr="007C0BBC">
              <w:rPr>
                <w:rFonts w:ascii="Aptos" w:eastAsia="Aptos" w:hAnsi="Aptos" w:cs="Times New Roman"/>
                <w:sz w:val="24"/>
                <w:szCs w:val="24"/>
              </w:rPr>
              <w:t>In completing the assessment, I found myself critically reflecting on how my primary task, evaluating whether the aunt and uncle could protect the child from further harm, required more than simply gathering information. It required me to examine how historical safeguarding failures should influence my current professional judgement. Their previous lack of action, despite being aware of the birth parents’ domestic abuse, raised important questions about their understanding of risk, their willingness to intervene, and their capacity to prioritise the child’s safety over family loyalty. This challenged me to reflect on whether I was sufficiently interrogating the implications of their past decisions rather than accepting their current intentions at face value.</w:t>
            </w:r>
          </w:p>
          <w:p w14:paraId="71473E91" w14:textId="77777777" w:rsidR="003710D7" w:rsidRPr="007C0BBC" w:rsidRDefault="003710D7" w:rsidP="00423234">
            <w:pPr>
              <w:rPr>
                <w:rFonts w:ascii="Aptos" w:eastAsia="Aptos" w:hAnsi="Aptos" w:cs="Times New Roman"/>
                <w:sz w:val="24"/>
                <w:szCs w:val="24"/>
              </w:rPr>
            </w:pPr>
          </w:p>
          <w:p w14:paraId="7655A40A" w14:textId="77777777" w:rsidR="00423234" w:rsidRDefault="00423234" w:rsidP="00423234">
            <w:pPr>
              <w:rPr>
                <w:rFonts w:ascii="Aptos" w:eastAsia="Aptos" w:hAnsi="Aptos" w:cs="Times New Roman"/>
                <w:sz w:val="24"/>
                <w:szCs w:val="24"/>
              </w:rPr>
            </w:pPr>
            <w:r w:rsidRPr="007C0BBC">
              <w:rPr>
                <w:rFonts w:ascii="Aptos" w:eastAsia="Aptos" w:hAnsi="Aptos" w:cs="Times New Roman"/>
                <w:sz w:val="24"/>
                <w:szCs w:val="24"/>
              </w:rPr>
              <w:t>The undisclosed domestic conflict within their own household further complicated my assessment. Learning that police had attended an incident which resulted in the aunt being hospitalised required me to reconsider my initial assumptions about their stability and protective capacity. Their failure to disclose this information prompted deeper reflection on issues of openness, integrity, and the reliability of self</w:t>
            </w:r>
            <w:r w:rsidRPr="007C0BBC">
              <w:rPr>
                <w:rFonts w:ascii="Aptos" w:eastAsia="Aptos" w:hAnsi="Aptos" w:cs="Times New Roman"/>
                <w:sz w:val="24"/>
                <w:szCs w:val="24"/>
              </w:rPr>
              <w:noBreakHyphen/>
              <w:t>reported accounts within viability assessments. It made me more aware of the risk of minimisation within family networks and the importance of maintaining professional curiosity, particularly when information gaps emerge.</w:t>
            </w:r>
          </w:p>
          <w:p w14:paraId="676BE885" w14:textId="77777777" w:rsidR="003710D7" w:rsidRPr="007C0BBC" w:rsidRDefault="003710D7" w:rsidP="00423234">
            <w:pPr>
              <w:rPr>
                <w:rFonts w:ascii="Aptos" w:eastAsia="Aptos" w:hAnsi="Aptos" w:cs="Times New Roman"/>
                <w:sz w:val="24"/>
                <w:szCs w:val="24"/>
              </w:rPr>
            </w:pPr>
          </w:p>
          <w:p w14:paraId="4E830560" w14:textId="77777777" w:rsidR="00423234" w:rsidRDefault="00423234" w:rsidP="00423234">
            <w:pPr>
              <w:rPr>
                <w:rFonts w:ascii="Aptos" w:eastAsia="Aptos" w:hAnsi="Aptos" w:cs="Times New Roman"/>
                <w:sz w:val="24"/>
                <w:szCs w:val="24"/>
              </w:rPr>
            </w:pPr>
            <w:r w:rsidRPr="007C0BBC">
              <w:rPr>
                <w:rFonts w:ascii="Aptos" w:eastAsia="Aptos" w:hAnsi="Aptos" w:cs="Times New Roman"/>
                <w:sz w:val="24"/>
                <w:szCs w:val="24"/>
              </w:rPr>
              <w:t>This experience also led me to examine my own cognitive biases and the potential tendency to idealise kinship carers as inherently safer or more appropriate. It reinforced the need for a balanced, trauma</w:t>
            </w:r>
            <w:r w:rsidRPr="007C0BBC">
              <w:rPr>
                <w:rFonts w:ascii="Aptos" w:eastAsia="Aptos" w:hAnsi="Aptos" w:cs="Times New Roman"/>
                <w:sz w:val="24"/>
                <w:szCs w:val="24"/>
              </w:rPr>
              <w:noBreakHyphen/>
              <w:t xml:space="preserve">informed approach that recognises the value of family connections while critically assessing whether relatives can genuinely provide the level of emotional availability, safety and consistency required by a child who has experienced harm. These reflections strengthened my appreciation of how safeguarding assessments must integrate past behaviour, current circumstances, and future capacity, rather than treating them as separate considerations. </w:t>
            </w:r>
          </w:p>
          <w:p w14:paraId="4F248139" w14:textId="77777777" w:rsidR="003710D7" w:rsidRPr="007C0BBC" w:rsidRDefault="003710D7" w:rsidP="00423234">
            <w:pPr>
              <w:rPr>
                <w:rFonts w:ascii="Aptos" w:eastAsia="Aptos" w:hAnsi="Aptos" w:cs="Times New Roman"/>
                <w:sz w:val="24"/>
                <w:szCs w:val="24"/>
              </w:rPr>
            </w:pPr>
          </w:p>
          <w:p w14:paraId="13720387" w14:textId="77777777" w:rsidR="00423234" w:rsidRDefault="00423234" w:rsidP="00423234">
            <w:pPr>
              <w:rPr>
                <w:rFonts w:ascii="Aptos" w:eastAsia="Aptos" w:hAnsi="Aptos" w:cs="Times New Roman"/>
                <w:sz w:val="24"/>
                <w:szCs w:val="24"/>
              </w:rPr>
            </w:pPr>
            <w:r w:rsidRPr="007C0BBC">
              <w:rPr>
                <w:rFonts w:ascii="Aptos" w:eastAsia="Aptos" w:hAnsi="Aptos" w:cs="Times New Roman"/>
                <w:sz w:val="24"/>
                <w:szCs w:val="24"/>
              </w:rPr>
              <w:t>In line with Form C guidance, I undertook a joint second</w:t>
            </w:r>
            <w:r w:rsidRPr="007C0BBC">
              <w:rPr>
                <w:rFonts w:ascii="Aptos" w:eastAsia="Aptos" w:hAnsi="Aptos" w:cs="Times New Roman"/>
                <w:sz w:val="24"/>
                <w:szCs w:val="24"/>
              </w:rPr>
              <w:noBreakHyphen/>
              <w:t>opinion visit with a colleague to ensure greater objectivity and reduce the risk of my own interpretations being influenced by the emotional complexity of the case. Involving a colleague also prompted me to critically examine my initial impressions and test whether my concerns about the carers’ ability to prioritise the child’s safety were evidence</w:t>
            </w:r>
            <w:r w:rsidRPr="007C0BBC">
              <w:rPr>
                <w:rFonts w:ascii="Aptos" w:eastAsia="Aptos" w:hAnsi="Aptos" w:cs="Times New Roman"/>
                <w:sz w:val="24"/>
                <w:szCs w:val="24"/>
              </w:rPr>
              <w:noBreakHyphen/>
              <w:t xml:space="preserve">based rather than shaped by professional bias or assumptions. </w:t>
            </w:r>
            <w:r w:rsidRPr="007C0BBC">
              <w:rPr>
                <w:rFonts w:ascii="Aptos" w:eastAsia="Aptos" w:hAnsi="Aptos" w:cs="Times New Roman"/>
                <w:sz w:val="24"/>
                <w:szCs w:val="24"/>
              </w:rPr>
              <w:lastRenderedPageBreak/>
              <w:t>During the visit, we deliberately explored inconsistencies in the carers’ accounts and observed how they responded when safeguarding concerns were raised. This process reinforced the importance of corroborating observations rather than relying solely on the carers stated intentions. The second</w:t>
            </w:r>
            <w:r w:rsidRPr="007C0BBC">
              <w:rPr>
                <w:rFonts w:ascii="Aptos" w:eastAsia="Aptos" w:hAnsi="Aptos" w:cs="Times New Roman"/>
                <w:sz w:val="24"/>
                <w:szCs w:val="24"/>
              </w:rPr>
              <w:noBreakHyphen/>
              <w:t xml:space="preserve">opinion discussion added further weight to the assessment that the couple’s loyalty to family relationships continued to obscure their recognition of risk, and highlighted ongoing gaps in their understanding of safeguarding responsibilities and the fostering competencies required, even with support. </w:t>
            </w:r>
          </w:p>
          <w:p w14:paraId="72C55F20" w14:textId="77777777" w:rsidR="003710D7" w:rsidRPr="007C0BBC" w:rsidRDefault="003710D7" w:rsidP="00423234">
            <w:pPr>
              <w:rPr>
                <w:rFonts w:ascii="Aptos" w:eastAsia="Aptos" w:hAnsi="Aptos" w:cs="Times New Roman"/>
                <w:sz w:val="24"/>
                <w:szCs w:val="24"/>
              </w:rPr>
            </w:pPr>
          </w:p>
          <w:p w14:paraId="17FE08BE" w14:textId="77777777" w:rsidR="00423234" w:rsidRDefault="00423234" w:rsidP="00423234">
            <w:pPr>
              <w:rPr>
                <w:rFonts w:ascii="Aptos" w:eastAsia="Aptos" w:hAnsi="Aptos" w:cs="Times New Roman"/>
                <w:sz w:val="24"/>
                <w:szCs w:val="24"/>
              </w:rPr>
            </w:pPr>
            <w:r w:rsidRPr="007C0BBC">
              <w:rPr>
                <w:rFonts w:ascii="Aptos" w:eastAsia="Aptos" w:hAnsi="Aptos" w:cs="Times New Roman"/>
                <w:sz w:val="24"/>
                <w:szCs w:val="24"/>
              </w:rPr>
              <w:t>Safeguarding is a core function of my role as a social worker in the Connected Persons Team, and it involves identifying and mitigating risks, reviewing historical concerns, and ensuring the potential carers understand child protection procedures. It also involves consulting with other professionals and safeguarding partners to gather a holistic view of the carer’s capacity and the child’s safety (Welsh Government, 2025). When completing an effective safeguarding assessment, it requires me to apply a holistic approach, evaluating the person’s parenting capacity, household dynamics, and support networks. Building trust and rapport is essential, especially as kinship carers may feel scrutinised or overwhelmed. Empathy and transparency are key to engaging carers and ensuring accurate assessments (AFKA Cymru, 2018).</w:t>
            </w:r>
          </w:p>
          <w:p w14:paraId="07C2B27F" w14:textId="77777777" w:rsidR="009C3EAB" w:rsidRPr="007C0BBC" w:rsidRDefault="009C3EAB" w:rsidP="00423234">
            <w:pPr>
              <w:rPr>
                <w:rFonts w:ascii="Aptos" w:eastAsia="Aptos" w:hAnsi="Aptos" w:cs="Times New Roman"/>
                <w:sz w:val="24"/>
                <w:szCs w:val="24"/>
              </w:rPr>
            </w:pPr>
          </w:p>
          <w:p w14:paraId="07A22B6E" w14:textId="77777777" w:rsidR="00423234" w:rsidRDefault="00423234" w:rsidP="00423234">
            <w:pPr>
              <w:rPr>
                <w:rFonts w:ascii="Aptos" w:eastAsia="Aptos" w:hAnsi="Aptos" w:cs="Times New Roman"/>
                <w:sz w:val="24"/>
                <w:szCs w:val="24"/>
              </w:rPr>
            </w:pPr>
            <w:r w:rsidRPr="007C0BBC">
              <w:rPr>
                <w:rFonts w:ascii="Aptos" w:eastAsia="Aptos" w:hAnsi="Aptos" w:cs="Times New Roman"/>
                <w:sz w:val="24"/>
                <w:szCs w:val="24"/>
              </w:rPr>
              <w:t>The Active Offer requires me to proactively offer services in Welsh, recognising that language is central to identity and emotional safety. This is especially important in safeguarding, where clear and culturally sensitive communication can impact outcomes. Providing services in Welsh is both a legal and ethical obligation under Welsh Government policy (Welsh Government, 2015). It is important to note that the framework for my involvement with the family sits within the context of Welsh legislation and regulations, however the family in this case were not of Welsh heritage and were not living in Wales. While there was still a requirement for me to consider the Active Offer “More than Just Words” framework of providing a service in Welsh it was not applicable in this situation. </w:t>
            </w:r>
          </w:p>
          <w:p w14:paraId="509DB3B9" w14:textId="77777777" w:rsidR="009C3EAB" w:rsidRPr="007C0BBC" w:rsidRDefault="009C3EAB" w:rsidP="00423234">
            <w:pPr>
              <w:rPr>
                <w:rFonts w:ascii="Aptos" w:eastAsia="Aptos" w:hAnsi="Aptos" w:cs="Times New Roman"/>
                <w:sz w:val="24"/>
                <w:szCs w:val="24"/>
              </w:rPr>
            </w:pPr>
          </w:p>
          <w:p w14:paraId="18E3B7EB" w14:textId="229B1ED6" w:rsidR="00423234" w:rsidRPr="007C0BBC" w:rsidRDefault="00423234" w:rsidP="00423234">
            <w:pPr>
              <w:rPr>
                <w:rFonts w:ascii="Aptos" w:eastAsia="Aptos" w:hAnsi="Aptos" w:cs="Times New Roman"/>
                <w:sz w:val="24"/>
                <w:szCs w:val="24"/>
              </w:rPr>
            </w:pPr>
            <w:r w:rsidRPr="007C0BBC">
              <w:rPr>
                <w:rFonts w:ascii="Aptos" w:eastAsia="Aptos" w:hAnsi="Aptos" w:cs="Times New Roman"/>
                <w:sz w:val="24"/>
                <w:szCs w:val="24"/>
              </w:rPr>
              <w:t>I needed to consider the family’s cultural context and ensure clear, culturally sensitive communication, as this can significantly affect outcomes (Welsh Government, 2015). Although the family was white English and living in England, I remained aware of differences in language and legal frameworks between England and Wales. For example, physical punishment of children is illegal in Wales but not in England, which is an important safeguarding consideration (Children (Abolition of Defence of Reasonable Punishment) (Wales) Act 2020)</w:t>
            </w:r>
            <w:r w:rsidR="009C3EAB">
              <w:rPr>
                <w:rFonts w:ascii="Aptos" w:eastAsia="Aptos" w:hAnsi="Aptos" w:cs="Times New Roman"/>
                <w:sz w:val="24"/>
                <w:szCs w:val="24"/>
              </w:rPr>
              <w:t xml:space="preserve">. </w:t>
            </w:r>
            <w:r w:rsidRPr="007C0BBC">
              <w:rPr>
                <w:rFonts w:ascii="Aptos" w:eastAsia="Aptos" w:hAnsi="Aptos" w:cs="Times New Roman"/>
                <w:sz w:val="24"/>
                <w:szCs w:val="24"/>
              </w:rPr>
              <w:t xml:space="preserve">When assessing a family in England as a social worker based in Wales, I drew on the Rimmer Triangle to ensure a holistic and strengths-based approach, even though the legal frameworks differ between the two countries. The Rimmer Triangle, rooted in the Social Services and Well-being (Wales) Act 2014, emphasizes the importance of understanding what matters to the family, identifying available resources, and promoting well-being through voice, choice, and control. While English assessments are guided by the Children Act 1989, the principles of the Rimmer Triangle such as focusing on strengths, community networks, and preventative support remain highly relevant and align with best practice in both contexts. By transparently applying this Welsh framework, I was able to offer a more person-centred assessment, ensuring that the family’s views and informal support systems were fully considered. </w:t>
            </w:r>
          </w:p>
          <w:p w14:paraId="73138038" w14:textId="77777777" w:rsidR="00423234" w:rsidRDefault="00423234" w:rsidP="00423234">
            <w:pPr>
              <w:rPr>
                <w:rFonts w:ascii="Aptos" w:eastAsia="Aptos" w:hAnsi="Aptos" w:cs="Times New Roman"/>
                <w:sz w:val="24"/>
                <w:szCs w:val="24"/>
              </w:rPr>
            </w:pPr>
            <w:r w:rsidRPr="007C0BBC">
              <w:rPr>
                <w:rFonts w:ascii="Aptos" w:eastAsia="Aptos" w:hAnsi="Aptos" w:cs="Times New Roman"/>
                <w:sz w:val="24"/>
                <w:szCs w:val="24"/>
              </w:rPr>
              <w:lastRenderedPageBreak/>
              <w:t>In assessing the emotional impact on the child, I drew on Attachment Theory (Bowlby, 1969) to consider how removal from her birth parents and transition to relative care might affect her ability to form secure attachments. The child’s history of neglect increased the likelihood of attachment</w:t>
            </w:r>
            <w:r w:rsidRPr="007C0BBC">
              <w:rPr>
                <w:rFonts w:ascii="Aptos" w:eastAsia="Aptos" w:hAnsi="Aptos" w:cs="Times New Roman"/>
                <w:sz w:val="24"/>
                <w:szCs w:val="24"/>
              </w:rPr>
              <w:noBreakHyphen/>
              <w:t>related anxiety and mistrust, requiring carers to offer consistent, emotionally available, and predictable care. Attachment Theory informed discussions with the prospective carers about the child’s potential emotional responses, the importance of routine and attuned caregiving, and their role as therapeutic caregivers rather than solely relatives. This supported assessment of whether they could provide the stability and emotional containment necessary to promote secure attachment and support the child’s recovery.</w:t>
            </w:r>
          </w:p>
          <w:p w14:paraId="3752BDCB" w14:textId="77777777" w:rsidR="009C3EAB" w:rsidRPr="007C0BBC" w:rsidRDefault="009C3EAB" w:rsidP="00423234">
            <w:pPr>
              <w:rPr>
                <w:rFonts w:ascii="Aptos" w:eastAsia="Aptos" w:hAnsi="Aptos" w:cs="Times New Roman"/>
                <w:sz w:val="24"/>
                <w:szCs w:val="24"/>
              </w:rPr>
            </w:pPr>
          </w:p>
          <w:p w14:paraId="4E2AD9FB" w14:textId="77777777" w:rsidR="00423234" w:rsidRDefault="00423234" w:rsidP="00423234">
            <w:pPr>
              <w:rPr>
                <w:rFonts w:ascii="Aptos" w:eastAsia="Aptos" w:hAnsi="Aptos" w:cs="Times New Roman"/>
                <w:sz w:val="24"/>
                <w:szCs w:val="24"/>
              </w:rPr>
            </w:pPr>
            <w:r w:rsidRPr="007C0BBC">
              <w:rPr>
                <w:rFonts w:ascii="Aptos" w:eastAsia="Aptos" w:hAnsi="Aptos" w:cs="Times New Roman"/>
                <w:sz w:val="24"/>
                <w:szCs w:val="24"/>
              </w:rPr>
              <w:t>Ecological Systems Theory (EST) was used to contextualise the carers’ support networks and available community resources, alongside the use of a genogram and ecomap to visualise family dynamics and informal support systems. Bronfenbrenner’s model identifies five interacting systems micro, meso, exo, macro and chronosystem—which shape individual development and caregiving capacity (Bronfenbrenner, 1979). In kinship care, this framework supported analysis not only of the immediate caregiver child relationship but also of broader familial, social and policy influences on placement stability and child wellbeing (Hong et al., 2011; Saraw, 2009). EST promotes a strengths</w:t>
            </w:r>
            <w:r w:rsidRPr="007C0BBC">
              <w:rPr>
                <w:rFonts w:ascii="Aptos" w:eastAsia="Aptos" w:hAnsi="Aptos" w:cs="Times New Roman"/>
                <w:sz w:val="24"/>
                <w:szCs w:val="24"/>
              </w:rPr>
              <w:noBreakHyphen/>
              <w:t>based and dynamic approach, recognising reciprocal environmental influences while remaining alert to systemic barriers that may undermine care.</w:t>
            </w:r>
          </w:p>
          <w:p w14:paraId="6F481A46" w14:textId="77777777" w:rsidR="009C3EAB" w:rsidRPr="007C0BBC" w:rsidRDefault="009C3EAB" w:rsidP="00423234">
            <w:pPr>
              <w:rPr>
                <w:rFonts w:ascii="Aptos" w:eastAsia="Aptos" w:hAnsi="Aptos" w:cs="Times New Roman"/>
                <w:sz w:val="24"/>
                <w:szCs w:val="24"/>
              </w:rPr>
            </w:pPr>
          </w:p>
          <w:p w14:paraId="5CF952EA" w14:textId="77777777" w:rsidR="00423234" w:rsidRDefault="00423234" w:rsidP="00423234">
            <w:pPr>
              <w:rPr>
                <w:rFonts w:ascii="Aptos" w:eastAsia="Aptos" w:hAnsi="Aptos" w:cs="Times New Roman"/>
                <w:sz w:val="24"/>
                <w:szCs w:val="24"/>
              </w:rPr>
            </w:pPr>
            <w:r w:rsidRPr="007C0BBC">
              <w:rPr>
                <w:rFonts w:ascii="Aptos" w:eastAsia="Aptos" w:hAnsi="Aptos" w:cs="Times New Roman"/>
                <w:sz w:val="24"/>
                <w:szCs w:val="24"/>
              </w:rPr>
              <w:t>Applying this framework to the assessment raised several concerns. The carers’ limited prior involvement with the child and the weak quality of their relationship led me to question whether their motivation to care was primarily child</w:t>
            </w:r>
            <w:r w:rsidRPr="007C0BBC">
              <w:rPr>
                <w:rFonts w:ascii="Aptos" w:eastAsia="Aptos" w:hAnsi="Aptos" w:cs="Times New Roman"/>
                <w:sz w:val="24"/>
                <w:szCs w:val="24"/>
              </w:rPr>
              <w:noBreakHyphen/>
              <w:t>centred or driven by family expectation. I also reflected on whether their lifestyle choices, including plans to conceive another child, might divide their emotional and practical capacity, potentially compromising their ability to meet the needs of a traumatised child. Their vague account of a historical domestic abuse incident raised concerns about insight and openness, while minimisation of their own child’s gender identity support needs suggested a pattern of overlooking complex emotional needs.</w:t>
            </w:r>
          </w:p>
          <w:p w14:paraId="6CCE10D7" w14:textId="77777777" w:rsidR="009C3EAB" w:rsidRPr="007C0BBC" w:rsidRDefault="009C3EAB" w:rsidP="00423234">
            <w:pPr>
              <w:rPr>
                <w:rFonts w:ascii="Aptos" w:eastAsia="Aptos" w:hAnsi="Aptos" w:cs="Times New Roman"/>
                <w:sz w:val="24"/>
                <w:szCs w:val="24"/>
              </w:rPr>
            </w:pPr>
          </w:p>
          <w:p w14:paraId="63EEC7F4" w14:textId="77777777" w:rsidR="00423234" w:rsidRDefault="00423234" w:rsidP="00423234">
            <w:pPr>
              <w:rPr>
                <w:rFonts w:ascii="Aptos" w:eastAsia="Aptos" w:hAnsi="Aptos" w:cs="Times New Roman"/>
                <w:sz w:val="24"/>
                <w:szCs w:val="24"/>
              </w:rPr>
            </w:pPr>
            <w:r w:rsidRPr="007C0BBC">
              <w:rPr>
                <w:rFonts w:ascii="Aptos" w:eastAsia="Aptos" w:hAnsi="Aptos" w:cs="Times New Roman"/>
                <w:sz w:val="24"/>
                <w:szCs w:val="24"/>
              </w:rPr>
              <w:t>Using EST, I considered how limited attachment and ambivalence within the microsystem could affect the child’s emotional security. Lifestyle pressures (mesosystem), past safeguarding concerns (exosystem), carers’ attitudes to diversity (macrosystem) and responses to historical events (chronosystem) were all relevant to assessing placement stability (Hong et al., 2011; Saraw, 2009). These interacting factors suggested potential risks to the child’s emotional security, identity development, and overall wellbeing, reinforcing the value of a holistic assessment to inform safe and proportionate decision</w:t>
            </w:r>
            <w:r w:rsidRPr="007C0BBC">
              <w:rPr>
                <w:rFonts w:ascii="Aptos" w:eastAsia="Aptos" w:hAnsi="Aptos" w:cs="Times New Roman"/>
                <w:sz w:val="24"/>
                <w:szCs w:val="24"/>
              </w:rPr>
              <w:noBreakHyphen/>
              <w:t>making.</w:t>
            </w:r>
          </w:p>
          <w:p w14:paraId="310EA969" w14:textId="77777777" w:rsidR="009C3EAB" w:rsidRPr="007C0BBC" w:rsidRDefault="009C3EAB" w:rsidP="00423234">
            <w:pPr>
              <w:rPr>
                <w:rFonts w:ascii="Aptos" w:eastAsia="Aptos" w:hAnsi="Aptos" w:cs="Times New Roman"/>
                <w:sz w:val="24"/>
                <w:szCs w:val="24"/>
              </w:rPr>
            </w:pPr>
          </w:p>
          <w:p w14:paraId="5A79B986" w14:textId="7CF2C5E4" w:rsidR="00423234" w:rsidRDefault="00423234" w:rsidP="00423234">
            <w:pPr>
              <w:rPr>
                <w:rFonts w:ascii="Aptos" w:eastAsia="Aptos" w:hAnsi="Aptos" w:cs="Times New Roman"/>
                <w:sz w:val="24"/>
                <w:szCs w:val="24"/>
              </w:rPr>
            </w:pPr>
            <w:r w:rsidRPr="007C0BBC">
              <w:rPr>
                <w:rFonts w:ascii="Aptos" w:eastAsia="Aptos" w:hAnsi="Aptos" w:cs="Times New Roman"/>
                <w:sz w:val="24"/>
                <w:szCs w:val="24"/>
              </w:rPr>
              <w:t xml:space="preserve">When assessing family members as potential kinship carers, I must balance my duties under the Social Services and Well-being (Wales) Act 2014 which requires me to promote the child’s well-being and safeguard their rights with the Human Rights Act 1998, particularly Article 8, which protects the right to respect for private and family life. This means my assessment must be thorough and evidence-based to justify any intervention, ensuring that I investigate concerns to protect the child while also respecting the family’s autonomy and privacy. The </w:t>
            </w:r>
            <w:r w:rsidRPr="007C0BBC">
              <w:rPr>
                <w:rFonts w:ascii="Aptos" w:eastAsia="Aptos" w:hAnsi="Aptos" w:cs="Times New Roman"/>
                <w:sz w:val="24"/>
                <w:szCs w:val="24"/>
              </w:rPr>
              <w:lastRenderedPageBreak/>
              <w:t>legal framework requires me to consider whether intervention is necessary and proportionate, and to demonstrate that I have explored all options to support family life before recommending alternative care arrangements (Social Services and Well-being (Wales) Act 2014; Human Rights Act 1998)</w:t>
            </w:r>
            <w:r w:rsidR="009C3EAB">
              <w:rPr>
                <w:rFonts w:ascii="Aptos" w:eastAsia="Aptos" w:hAnsi="Aptos" w:cs="Times New Roman"/>
                <w:sz w:val="24"/>
                <w:szCs w:val="24"/>
              </w:rPr>
              <w:t xml:space="preserve">. </w:t>
            </w:r>
          </w:p>
          <w:p w14:paraId="4C21D658" w14:textId="77777777" w:rsidR="009C3EAB" w:rsidRPr="007C0BBC" w:rsidRDefault="009C3EAB" w:rsidP="00423234">
            <w:pPr>
              <w:rPr>
                <w:rFonts w:ascii="Aptos" w:eastAsia="Aptos" w:hAnsi="Aptos" w:cs="Times New Roman"/>
                <w:sz w:val="24"/>
                <w:szCs w:val="24"/>
              </w:rPr>
            </w:pPr>
          </w:p>
          <w:p w14:paraId="0ACF3A60" w14:textId="77777777" w:rsidR="00423234" w:rsidRDefault="00423234" w:rsidP="00423234">
            <w:pPr>
              <w:rPr>
                <w:rFonts w:ascii="Aptos" w:eastAsia="Aptos" w:hAnsi="Aptos" w:cs="Times New Roman"/>
                <w:sz w:val="24"/>
                <w:szCs w:val="24"/>
              </w:rPr>
            </w:pPr>
            <w:r w:rsidRPr="007C0BBC">
              <w:rPr>
                <w:rFonts w:ascii="Aptos" w:eastAsia="Aptos" w:hAnsi="Aptos" w:cs="Times New Roman"/>
                <w:sz w:val="24"/>
                <w:szCs w:val="24"/>
              </w:rPr>
              <w:t>I supported open and honest conversations with the potential carers, ensuring they understood the expectations of them if they were approved as connected carers and what support was available to them. This helped to build trust and transparency, which are key to successful placements. According to the Code of Professional Practice for Social Care Worker</w:t>
            </w:r>
            <w:r w:rsidRPr="007C0BBC">
              <w:rPr>
                <w:rFonts w:ascii="Aptos" w:eastAsia="Aptos" w:hAnsi="Aptos" w:cs="Times New Roman"/>
                <w:i/>
                <w:iCs/>
                <w:sz w:val="24"/>
                <w:szCs w:val="24"/>
              </w:rPr>
              <w:t>s</w:t>
            </w:r>
            <w:r w:rsidRPr="007C0BBC">
              <w:rPr>
                <w:rFonts w:ascii="Aptos" w:eastAsia="Aptos" w:hAnsi="Aptos" w:cs="Times New Roman"/>
                <w:sz w:val="24"/>
                <w:szCs w:val="24"/>
              </w:rPr>
              <w:t> (Social Care Wales, 2021), practitioners must “work in partnership with individuals, carers, families, colleagues and other professionals” to promote well-being and safeguard those in their care. By working collaboratively, I was able to triangulate information, challenge any assumptions, and ensure that the child’s voice and best interests remained central throughout the assessment process.</w:t>
            </w:r>
          </w:p>
          <w:p w14:paraId="3BEDC8BA" w14:textId="77777777" w:rsidR="009C3EAB" w:rsidRPr="007C0BBC" w:rsidRDefault="009C3EAB" w:rsidP="00423234">
            <w:pPr>
              <w:rPr>
                <w:rFonts w:ascii="Aptos" w:eastAsia="Aptos" w:hAnsi="Aptos" w:cs="Times New Roman"/>
                <w:sz w:val="24"/>
                <w:szCs w:val="24"/>
              </w:rPr>
            </w:pPr>
          </w:p>
          <w:p w14:paraId="4AFF2F8B" w14:textId="77777777" w:rsidR="00423234" w:rsidRDefault="00423234" w:rsidP="00423234">
            <w:pPr>
              <w:rPr>
                <w:rFonts w:ascii="Aptos" w:eastAsia="Aptos" w:hAnsi="Aptos" w:cs="Times New Roman"/>
                <w:sz w:val="24"/>
                <w:szCs w:val="24"/>
              </w:rPr>
            </w:pPr>
            <w:r w:rsidRPr="007C0BBC">
              <w:rPr>
                <w:rFonts w:ascii="Aptos" w:eastAsia="Aptos" w:hAnsi="Aptos" w:cs="Times New Roman"/>
                <w:sz w:val="24"/>
                <w:szCs w:val="24"/>
              </w:rPr>
              <w:t>I relied on my professional judgement to navigate an increasingly complex situation, as I balanced the child’s best interests with the rights and expectations of the prospective carers. I found myself continually reflecting on the tension between assessing the aunt and uncle as potential foster carers while recognising their primary identity as family members, and the risk that familial loyalty might overshadow their ability to prioritise the child’s needs. Capturing the child’s voice through those who knew her well and through my own direct communication and observations required careful interpretation to ensure her experiences were not diluted by adult narratives or assumptions. This process highlighted the importance of remaining critically aware of how competing rights and relational dynamics can shape, and sometimes distort, the assessment of a child’s safety and wellbeing.</w:t>
            </w:r>
          </w:p>
          <w:p w14:paraId="54E33FE5" w14:textId="77777777" w:rsidR="009C3EAB" w:rsidRPr="007C0BBC" w:rsidRDefault="009C3EAB" w:rsidP="00423234">
            <w:pPr>
              <w:rPr>
                <w:rFonts w:ascii="Aptos" w:eastAsia="Aptos" w:hAnsi="Aptos" w:cs="Times New Roman"/>
                <w:sz w:val="24"/>
                <w:szCs w:val="24"/>
              </w:rPr>
            </w:pPr>
          </w:p>
          <w:p w14:paraId="3ACFC9F4" w14:textId="77777777" w:rsidR="00423234" w:rsidRPr="007C0BBC" w:rsidRDefault="00423234" w:rsidP="00423234">
            <w:pPr>
              <w:rPr>
                <w:rFonts w:ascii="Aptos" w:eastAsia="Aptos" w:hAnsi="Aptos" w:cs="Times New Roman"/>
                <w:sz w:val="24"/>
                <w:szCs w:val="24"/>
              </w:rPr>
            </w:pPr>
            <w:r w:rsidRPr="007C0BBC">
              <w:rPr>
                <w:rFonts w:ascii="Aptos" w:eastAsia="Aptos" w:hAnsi="Aptos" w:cs="Times New Roman"/>
                <w:sz w:val="24"/>
                <w:szCs w:val="24"/>
              </w:rPr>
              <w:t xml:space="preserve">The integration of analysis and assessment emphasised the importance of synthesising information from various sources, including interviews, observations, historical records, and professional reports, to form a comprehensive understanding of the prospective carers’ capacity to meet the child’s needs. I was required to balance the child’s right to safety and protection with their right to family life, as outlined in Article 8 of the Human Rights Act. </w:t>
            </w:r>
          </w:p>
          <w:p w14:paraId="5083630A" w14:textId="77777777" w:rsidR="00423234" w:rsidRDefault="00423234" w:rsidP="00423234">
            <w:pPr>
              <w:rPr>
                <w:rFonts w:ascii="Aptos" w:eastAsia="Aptos" w:hAnsi="Aptos" w:cs="Times New Roman"/>
                <w:sz w:val="24"/>
                <w:szCs w:val="24"/>
              </w:rPr>
            </w:pPr>
            <w:r w:rsidRPr="007C0BBC">
              <w:rPr>
                <w:rFonts w:ascii="Aptos" w:eastAsia="Aptos" w:hAnsi="Aptos" w:cs="Times New Roman"/>
                <w:sz w:val="24"/>
                <w:szCs w:val="24"/>
              </w:rPr>
              <w:t>In conclusion, assessing family members as connected carers required a careful and critical balance between safeguarding responsibilities and the child’s right to family life. This process demonstrated that applying legislation and policy within a Welsh context is not simply procedural, but requires informed professional judgement, ethical awareness, and the ability to interpret complex and sometimes conflicting information. While kinship care can offer important opportunities for stability, identity, and continuity, this assessment reinforced that such placements are not inherently protective and must be rigorously evaluated against safeguarding standards.</w:t>
            </w:r>
          </w:p>
          <w:p w14:paraId="6B5F1999" w14:textId="77777777" w:rsidR="009C3EAB" w:rsidRPr="007C0BBC" w:rsidRDefault="009C3EAB" w:rsidP="00423234">
            <w:pPr>
              <w:rPr>
                <w:rFonts w:ascii="Aptos" w:eastAsia="Aptos" w:hAnsi="Aptos" w:cs="Times New Roman"/>
                <w:sz w:val="24"/>
                <w:szCs w:val="24"/>
              </w:rPr>
            </w:pPr>
          </w:p>
          <w:p w14:paraId="2871399A" w14:textId="394E77B4" w:rsidR="00423234" w:rsidRDefault="00423234" w:rsidP="00423234">
            <w:pPr>
              <w:rPr>
                <w:rFonts w:ascii="Aptos" w:eastAsia="Aptos" w:hAnsi="Aptos" w:cs="Times New Roman"/>
                <w:sz w:val="24"/>
                <w:szCs w:val="24"/>
              </w:rPr>
            </w:pPr>
            <w:r w:rsidRPr="007C0BBC">
              <w:rPr>
                <w:rFonts w:ascii="Aptos" w:eastAsia="Aptos" w:hAnsi="Aptos" w:cs="Times New Roman"/>
                <w:sz w:val="24"/>
                <w:szCs w:val="24"/>
              </w:rPr>
              <w:t xml:space="preserve">A key learning from this experience was the importance of giving appropriate weight to historical safeguarding concerns, recognising them as indicators of patterns of behaviour rather than isolated events. This strengthened my understanding that effective assessments must integrate past behaviour, present circumstances, and the carers’ capacity for sustained </w:t>
            </w:r>
            <w:r w:rsidRPr="007C0BBC">
              <w:rPr>
                <w:rFonts w:ascii="Aptos" w:eastAsia="Aptos" w:hAnsi="Aptos" w:cs="Times New Roman"/>
                <w:sz w:val="24"/>
                <w:szCs w:val="24"/>
              </w:rPr>
              <w:lastRenderedPageBreak/>
              <w:t>change. It also highlighted the need to remain professionally curious, particularly where information is incomplete, minimised, or inconsistently presented.</w:t>
            </w:r>
            <w:r w:rsidR="009C3EAB">
              <w:rPr>
                <w:rFonts w:ascii="Aptos" w:eastAsia="Aptos" w:hAnsi="Aptos" w:cs="Times New Roman"/>
                <w:sz w:val="24"/>
                <w:szCs w:val="24"/>
              </w:rPr>
              <w:t xml:space="preserve"> </w:t>
            </w:r>
            <w:r w:rsidRPr="007C0BBC">
              <w:rPr>
                <w:rFonts w:ascii="Aptos" w:eastAsia="Aptos" w:hAnsi="Aptos" w:cs="Times New Roman"/>
                <w:sz w:val="24"/>
                <w:szCs w:val="24"/>
              </w:rPr>
              <w:t>The assessment further deepened my awareness of the potential influence of personal assumptions and professional bias, particularly the tendency to view kinship care as a preferred option. Through reflection and collaborative practice, including the use of a second opinion, I was able to challenge my initial perceptions and ensure that my analysis remained evidence-based and focused on the child’s best interests. This reinforced the importance of maintaining objectivity, even in emotionally complex family situations.</w:t>
            </w:r>
          </w:p>
          <w:p w14:paraId="1752DF3D" w14:textId="77777777" w:rsidR="009C3EAB" w:rsidRPr="007C0BBC" w:rsidRDefault="009C3EAB" w:rsidP="00423234">
            <w:pPr>
              <w:rPr>
                <w:rFonts w:ascii="Aptos" w:eastAsia="Aptos" w:hAnsi="Aptos" w:cs="Times New Roman"/>
                <w:sz w:val="24"/>
                <w:szCs w:val="24"/>
              </w:rPr>
            </w:pPr>
          </w:p>
          <w:p w14:paraId="1ABB7F59" w14:textId="77777777" w:rsidR="00423234" w:rsidRDefault="00423234" w:rsidP="00423234">
            <w:pPr>
              <w:rPr>
                <w:rFonts w:ascii="Aptos" w:eastAsia="Aptos" w:hAnsi="Aptos" w:cs="Times New Roman"/>
                <w:sz w:val="24"/>
                <w:szCs w:val="24"/>
              </w:rPr>
            </w:pPr>
            <w:r w:rsidRPr="007C0BBC">
              <w:rPr>
                <w:rFonts w:ascii="Aptos" w:eastAsia="Aptos" w:hAnsi="Aptos" w:cs="Times New Roman"/>
                <w:sz w:val="24"/>
                <w:szCs w:val="24"/>
              </w:rPr>
              <w:t>This experience highlighted that safeguarding decisions must prioritise the child’s safety, emotional well-being, and long-term stability more than anything else. While maintaining family relationships is valuable, it cannot outweigh the need for consistent, safe, and nurturing care. Moving forward, this has strengthened my commitment to applying a reflective, analytical, and child-centred approach to practice, ensuring that decisions are proportionate, evidence-based, and responsive to the complexity of each individual case.</w:t>
            </w:r>
          </w:p>
          <w:p w14:paraId="103F4A8E" w14:textId="77777777" w:rsidR="009C3EAB" w:rsidRPr="007C0BBC" w:rsidRDefault="009C3EAB" w:rsidP="00423234">
            <w:pPr>
              <w:rPr>
                <w:rFonts w:ascii="Aptos" w:eastAsia="Aptos" w:hAnsi="Aptos" w:cs="Times New Roman"/>
                <w:sz w:val="24"/>
                <w:szCs w:val="24"/>
              </w:rPr>
            </w:pPr>
          </w:p>
          <w:p w14:paraId="261127DD" w14:textId="77777777" w:rsidR="00423234" w:rsidRPr="007C0BBC" w:rsidRDefault="00423234" w:rsidP="00423234">
            <w:pPr>
              <w:rPr>
                <w:rFonts w:ascii="Aptos" w:eastAsia="Aptos" w:hAnsi="Aptos" w:cs="Times New Roman"/>
                <w:sz w:val="24"/>
                <w:szCs w:val="24"/>
              </w:rPr>
            </w:pPr>
            <w:r w:rsidRPr="007C0BBC">
              <w:rPr>
                <w:rFonts w:ascii="Aptos" w:eastAsia="Aptos" w:hAnsi="Aptos" w:cs="Times New Roman"/>
                <w:sz w:val="24"/>
                <w:szCs w:val="24"/>
              </w:rPr>
              <w:t>Words: - 4369</w:t>
            </w:r>
          </w:p>
          <w:p w14:paraId="20370495" w14:textId="79B79501" w:rsidR="00D3203C" w:rsidRPr="005D3336" w:rsidRDefault="00D3203C" w:rsidP="00FF7EBB">
            <w:pPr>
              <w:jc w:val="both"/>
              <w:rPr>
                <w:iCs/>
                <w:sz w:val="24"/>
                <w:szCs w:val="24"/>
              </w:rPr>
            </w:pPr>
          </w:p>
          <w:p w14:paraId="12DC2F24" w14:textId="24094196" w:rsidR="00D3203C" w:rsidRPr="005D3336" w:rsidRDefault="00D3203C" w:rsidP="00FF7EBB">
            <w:pPr>
              <w:jc w:val="both"/>
              <w:rPr>
                <w:iCs/>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0F7714" w14:textId="77777777" w:rsidR="00D47F67" w:rsidRDefault="00D47F67">
      <w:r>
        <w:separator/>
      </w:r>
    </w:p>
  </w:endnote>
  <w:endnote w:type="continuationSeparator" w:id="0">
    <w:p w14:paraId="5C2E84DC" w14:textId="77777777" w:rsidR="00D47F67" w:rsidRDefault="00D47F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E84D59" w14:textId="77777777" w:rsidR="00D47F67" w:rsidRDefault="00D47F67">
      <w:r>
        <w:separator/>
      </w:r>
    </w:p>
  </w:footnote>
  <w:footnote w:type="continuationSeparator" w:id="0">
    <w:p w14:paraId="74B46389" w14:textId="77777777" w:rsidR="00D47F67" w:rsidRDefault="00D47F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B72EB"/>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3E71"/>
    <w:rsid w:val="001C4DB8"/>
    <w:rsid w:val="001C50B8"/>
    <w:rsid w:val="001D229F"/>
    <w:rsid w:val="001E2EB6"/>
    <w:rsid w:val="001F4552"/>
    <w:rsid w:val="002019EB"/>
    <w:rsid w:val="00204B58"/>
    <w:rsid w:val="00205051"/>
    <w:rsid w:val="00211F65"/>
    <w:rsid w:val="00214047"/>
    <w:rsid w:val="00216563"/>
    <w:rsid w:val="0021792F"/>
    <w:rsid w:val="00220D06"/>
    <w:rsid w:val="00222DCF"/>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27A9C"/>
    <w:rsid w:val="00330881"/>
    <w:rsid w:val="00331CD2"/>
    <w:rsid w:val="00332426"/>
    <w:rsid w:val="00335C41"/>
    <w:rsid w:val="00335FC5"/>
    <w:rsid w:val="0033771E"/>
    <w:rsid w:val="00337FEF"/>
    <w:rsid w:val="00354B6D"/>
    <w:rsid w:val="00355210"/>
    <w:rsid w:val="00355CFD"/>
    <w:rsid w:val="00365DF9"/>
    <w:rsid w:val="0037066E"/>
    <w:rsid w:val="003710D7"/>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3234"/>
    <w:rsid w:val="00425160"/>
    <w:rsid w:val="0042595C"/>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31FF"/>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B6A0C"/>
    <w:rsid w:val="005C1567"/>
    <w:rsid w:val="005C28D3"/>
    <w:rsid w:val="005C6CE5"/>
    <w:rsid w:val="005D3336"/>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359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0BBC"/>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C85"/>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0EDF"/>
    <w:rsid w:val="009A5F3B"/>
    <w:rsid w:val="009A5F79"/>
    <w:rsid w:val="009A6F87"/>
    <w:rsid w:val="009B0B61"/>
    <w:rsid w:val="009B28C0"/>
    <w:rsid w:val="009B3178"/>
    <w:rsid w:val="009B3E46"/>
    <w:rsid w:val="009B7136"/>
    <w:rsid w:val="009C337F"/>
    <w:rsid w:val="009C3EAB"/>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D5A3A"/>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9790C"/>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47F67"/>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02C"/>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Metadata/LabelInfo.xml><?xml version="1.0" encoding="utf-8"?>
<clbl:labelList xmlns:clbl="http://schemas.microsoft.com/office/2020/mipLabelMetadata">
  <clbl:label id="{c01d9ee1-0eb0-4754-99ae-03ae8a732b50}" enabled="0" method="" siteId="{c01d9ee1-0eb0-4754-99ae-03ae8a732b50}" removed="1"/>
</clbl:labelList>
</file>

<file path=docProps/app.xml><?xml version="1.0" encoding="utf-8"?>
<Properties xmlns="http://schemas.openxmlformats.org/officeDocument/2006/extended-properties" xmlns:vt="http://schemas.openxmlformats.org/officeDocument/2006/docPropsVTypes">
  <Template>Normal</Template>
  <TotalTime>12</TotalTime>
  <Pages>11</Pages>
  <Words>4818</Words>
  <Characters>27464</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32218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Helen Tanner</cp:lastModifiedBy>
  <cp:revision>13</cp:revision>
  <cp:lastPrinted>2020-02-11T19:20:00Z</cp:lastPrinted>
  <dcterms:created xsi:type="dcterms:W3CDTF">2026-06-10T15:19:00Z</dcterms:created>
  <dcterms:modified xsi:type="dcterms:W3CDTF">2026-06-11T06:17:00Z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