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CDC290" w14:textId="77777777" w:rsidR="007436A6" w:rsidRDefault="007436A6" w:rsidP="00E61671">
      <w:pPr>
        <w:pStyle w:val="NormalWeb"/>
        <w:spacing w:before="0" w:beforeAutospacing="0" w:after="0" w:afterAutospacing="0"/>
        <w:ind w:right="-334"/>
        <w:rPr>
          <w:rFonts w:ascii="Trebuchet MS" w:hAnsi="Trebuchet MS" w:cs="Tahoma"/>
        </w:rPr>
      </w:pPr>
      <w:bookmarkStart w:id="0" w:name="_Hlk530613494"/>
      <w:r>
        <w:rPr>
          <w:noProof/>
        </w:rPr>
        <w:drawing>
          <wp:inline distT="0" distB="0" distL="0" distR="0" wp14:anchorId="4F7363A0" wp14:editId="18C1C233">
            <wp:extent cx="2783205" cy="1009650"/>
            <wp:effectExtent l="19050" t="19050" r="17145" b="19050"/>
            <wp:docPr id="2" name="Picture 2"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83205" cy="1009650"/>
                    </a:xfrm>
                    <a:prstGeom prst="rect">
                      <a:avLst/>
                    </a:prstGeom>
                    <a:noFill/>
                    <a:ln w="19050" cmpd="sng">
                      <a:solidFill>
                        <a:srgbClr val="000000"/>
                      </a:solidFill>
                      <a:miter lim="800000"/>
                      <a:headEnd/>
                      <a:tailEnd/>
                    </a:ln>
                    <a:effectLst/>
                  </pic:spPr>
                </pic:pic>
              </a:graphicData>
            </a:graphic>
          </wp:inline>
        </w:drawing>
      </w:r>
    </w:p>
    <w:p w14:paraId="0AADED07" w14:textId="77777777" w:rsidR="007436A6" w:rsidRDefault="007436A6" w:rsidP="007436A6">
      <w:pPr>
        <w:pStyle w:val="Heading1"/>
        <w:jc w:val="center"/>
        <w:rPr>
          <w:lang w:val="cy-GB"/>
        </w:rPr>
      </w:pPr>
      <w:r>
        <w:rPr>
          <w:lang w:val="cy-GB"/>
        </w:rPr>
        <w:t>Undergraduate assignment feedback form</w:t>
      </w:r>
    </w:p>
    <w:tbl>
      <w:tblPr>
        <w:tblpPr w:leftFromText="180" w:rightFromText="180" w:bottomFromText="160" w:vertAnchor="text" w:horzAnchor="margin" w:tblpY="699"/>
        <w:tblW w:w="100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9"/>
        <w:gridCol w:w="2159"/>
        <w:gridCol w:w="2716"/>
      </w:tblGrid>
      <w:tr w:rsidR="007436A6" w14:paraId="6B76998A" w14:textId="77777777" w:rsidTr="00893C57">
        <w:trPr>
          <w:trHeight w:val="372"/>
        </w:trPr>
        <w:tc>
          <w:tcPr>
            <w:tcW w:w="10094" w:type="dxa"/>
            <w:gridSpan w:val="3"/>
            <w:tcBorders>
              <w:top w:val="single" w:sz="4" w:space="0" w:color="auto"/>
              <w:left w:val="single" w:sz="4" w:space="0" w:color="auto"/>
              <w:bottom w:val="single" w:sz="4" w:space="0" w:color="auto"/>
              <w:right w:val="single" w:sz="4" w:space="0" w:color="auto"/>
            </w:tcBorders>
            <w:vAlign w:val="center"/>
          </w:tcPr>
          <w:p w14:paraId="4D6AC96F" w14:textId="77777777" w:rsidR="007436A6" w:rsidRDefault="007436A6" w:rsidP="00893C57">
            <w:pPr>
              <w:pStyle w:val="NormalWeb"/>
              <w:spacing w:before="0" w:beforeAutospacing="0" w:after="0" w:afterAutospacing="0"/>
              <w:ind w:right="34"/>
              <w:rPr>
                <w:rFonts w:ascii="Calibri" w:hAnsi="Calibri" w:cs="Tahoma"/>
                <w:i/>
                <w:lang w:eastAsia="en-US"/>
              </w:rPr>
            </w:pPr>
            <w:bookmarkStart w:id="1" w:name="_Hlk536795148"/>
            <w:r>
              <w:rPr>
                <w:rFonts w:ascii="Calibri" w:hAnsi="Calibri" w:cs="Tahoma"/>
                <w:i/>
                <w:lang w:eastAsia="en-US"/>
              </w:rPr>
              <w:t>Student Name: Annie Thomas</w:t>
            </w:r>
          </w:p>
          <w:p w14:paraId="14BE8164" w14:textId="77777777" w:rsidR="007436A6" w:rsidRDefault="007436A6" w:rsidP="00893C57">
            <w:pPr>
              <w:pStyle w:val="NormalWeb"/>
              <w:spacing w:before="0" w:beforeAutospacing="0" w:after="0" w:afterAutospacing="0"/>
              <w:ind w:right="34"/>
              <w:rPr>
                <w:rFonts w:ascii="Calibri" w:hAnsi="Calibri" w:cs="Tahoma"/>
                <w:i/>
                <w:lang w:eastAsia="en-US"/>
              </w:rPr>
            </w:pPr>
          </w:p>
        </w:tc>
      </w:tr>
      <w:tr w:rsidR="007436A6" w14:paraId="6BCC8B1F" w14:textId="77777777" w:rsidTr="00893C57">
        <w:trPr>
          <w:trHeight w:val="439"/>
        </w:trPr>
        <w:tc>
          <w:tcPr>
            <w:tcW w:w="5219" w:type="dxa"/>
            <w:tcBorders>
              <w:top w:val="single" w:sz="4" w:space="0" w:color="auto"/>
              <w:left w:val="single" w:sz="4" w:space="0" w:color="auto"/>
              <w:bottom w:val="single" w:sz="4" w:space="0" w:color="auto"/>
              <w:right w:val="single" w:sz="4" w:space="0" w:color="auto"/>
            </w:tcBorders>
            <w:vAlign w:val="center"/>
          </w:tcPr>
          <w:p w14:paraId="3FED3686" w14:textId="77777777" w:rsidR="007436A6" w:rsidRDefault="007436A6" w:rsidP="00893C57">
            <w:pPr>
              <w:pStyle w:val="NormalWeb"/>
              <w:spacing w:before="0" w:beforeAutospacing="0" w:after="0" w:afterAutospacing="0"/>
              <w:ind w:right="34"/>
              <w:rPr>
                <w:rFonts w:ascii="Calibri" w:hAnsi="Calibri" w:cs="Tahoma"/>
                <w:i/>
                <w:lang w:eastAsia="en-US"/>
              </w:rPr>
            </w:pPr>
            <w:r>
              <w:rPr>
                <w:rFonts w:ascii="Calibri" w:hAnsi="Calibri" w:cs="Tahoma"/>
                <w:i/>
                <w:lang w:eastAsia="en-US"/>
              </w:rPr>
              <w:t>Module Code: HPEN6008-1</w:t>
            </w:r>
          </w:p>
          <w:p w14:paraId="0A518208" w14:textId="77777777" w:rsidR="007436A6" w:rsidRDefault="007436A6" w:rsidP="00893C57">
            <w:pPr>
              <w:pStyle w:val="NormalWeb"/>
              <w:spacing w:before="0" w:beforeAutospacing="0" w:after="0" w:afterAutospacing="0"/>
              <w:ind w:right="34"/>
              <w:rPr>
                <w:rFonts w:ascii="Calibri" w:hAnsi="Calibri" w:cs="Tahoma"/>
                <w:i/>
                <w:lang w:eastAsia="en-US"/>
              </w:rPr>
            </w:pPr>
          </w:p>
          <w:p w14:paraId="73F62E17" w14:textId="77777777" w:rsidR="007436A6" w:rsidRDefault="007436A6" w:rsidP="00893C57">
            <w:pPr>
              <w:pStyle w:val="NormalWeb"/>
              <w:spacing w:before="0" w:beforeAutospacing="0" w:after="0" w:afterAutospacing="0"/>
              <w:ind w:right="34"/>
              <w:rPr>
                <w:rFonts w:ascii="Calibri" w:hAnsi="Calibri" w:cs="Tahoma"/>
                <w:i/>
                <w:lang w:eastAsia="en-US"/>
              </w:rPr>
            </w:pPr>
            <w:r>
              <w:rPr>
                <w:rFonts w:ascii="Calibri" w:hAnsi="Calibri" w:cs="Tahoma"/>
                <w:i/>
                <w:lang w:eastAsia="en-US"/>
              </w:rPr>
              <w:t>Module title: Modernism and Modernisms</w:t>
            </w:r>
          </w:p>
        </w:tc>
        <w:tc>
          <w:tcPr>
            <w:tcW w:w="4875" w:type="dxa"/>
            <w:gridSpan w:val="2"/>
            <w:tcBorders>
              <w:top w:val="single" w:sz="4" w:space="0" w:color="auto"/>
              <w:left w:val="single" w:sz="4" w:space="0" w:color="auto"/>
              <w:bottom w:val="single" w:sz="4" w:space="0" w:color="auto"/>
              <w:right w:val="single" w:sz="4" w:space="0" w:color="auto"/>
            </w:tcBorders>
            <w:hideMark/>
          </w:tcPr>
          <w:p w14:paraId="4653299B" w14:textId="77777777" w:rsidR="007436A6" w:rsidRDefault="007436A6" w:rsidP="00893C57">
            <w:pPr>
              <w:pStyle w:val="NormalWeb"/>
              <w:spacing w:before="0" w:beforeAutospacing="0" w:after="0" w:afterAutospacing="0"/>
              <w:ind w:right="34"/>
              <w:rPr>
                <w:rFonts w:ascii="Calibri" w:hAnsi="Calibri" w:cs="Tahoma"/>
                <w:i/>
                <w:lang w:eastAsia="en-US"/>
              </w:rPr>
            </w:pPr>
            <w:r>
              <w:rPr>
                <w:rFonts w:ascii="Calibri" w:hAnsi="Calibri" w:cs="Tahoma"/>
                <w:i/>
                <w:lang w:eastAsia="en-US"/>
              </w:rPr>
              <w:t>Student number: 2301021</w:t>
            </w:r>
          </w:p>
          <w:p w14:paraId="7F7005E2" w14:textId="77777777" w:rsidR="007436A6" w:rsidRDefault="007436A6" w:rsidP="00893C57">
            <w:pPr>
              <w:pStyle w:val="NormalWeb"/>
              <w:spacing w:before="0" w:beforeAutospacing="0" w:after="0" w:afterAutospacing="0"/>
              <w:ind w:right="34"/>
              <w:rPr>
                <w:rFonts w:ascii="Calibri" w:hAnsi="Calibri" w:cs="Tahoma"/>
                <w:i/>
                <w:lang w:eastAsia="en-US"/>
              </w:rPr>
            </w:pPr>
          </w:p>
          <w:p w14:paraId="079EA27F" w14:textId="77777777" w:rsidR="007436A6" w:rsidRDefault="007436A6" w:rsidP="00893C57">
            <w:pPr>
              <w:pStyle w:val="NormalWeb"/>
              <w:spacing w:before="0" w:beforeAutospacing="0" w:after="0" w:afterAutospacing="0"/>
              <w:ind w:right="34"/>
              <w:rPr>
                <w:rFonts w:ascii="Calibri" w:hAnsi="Calibri" w:cs="Tahoma"/>
                <w:i/>
                <w:lang w:eastAsia="en-US"/>
              </w:rPr>
            </w:pPr>
          </w:p>
        </w:tc>
      </w:tr>
      <w:tr w:rsidR="007436A6" w14:paraId="11F2AD67" w14:textId="77777777" w:rsidTr="00893C57">
        <w:trPr>
          <w:trHeight w:val="2066"/>
        </w:trPr>
        <w:tc>
          <w:tcPr>
            <w:tcW w:w="10094" w:type="dxa"/>
            <w:gridSpan w:val="3"/>
            <w:tcBorders>
              <w:top w:val="single" w:sz="4" w:space="0" w:color="auto"/>
              <w:left w:val="single" w:sz="4" w:space="0" w:color="auto"/>
              <w:bottom w:val="single" w:sz="4" w:space="0" w:color="auto"/>
              <w:right w:val="single" w:sz="4" w:space="0" w:color="auto"/>
            </w:tcBorders>
          </w:tcPr>
          <w:p w14:paraId="21020BD1" w14:textId="77777777" w:rsidR="007436A6" w:rsidRDefault="007436A6" w:rsidP="00893C57">
            <w:pPr>
              <w:pStyle w:val="NormalWeb"/>
              <w:spacing w:before="0" w:beforeAutospacing="0" w:after="0" w:afterAutospacing="0"/>
              <w:rPr>
                <w:rFonts w:ascii="Calibri" w:hAnsi="Calibri" w:cs="Tahoma"/>
                <w:i/>
                <w:lang w:eastAsia="en-US"/>
              </w:rPr>
            </w:pPr>
            <w:r>
              <w:rPr>
                <w:rFonts w:ascii="Calibri" w:hAnsi="Calibri" w:cs="Tahoma"/>
                <w:i/>
                <w:lang w:eastAsia="en-US"/>
              </w:rPr>
              <w:t>For completion by marker:</w:t>
            </w:r>
          </w:p>
          <w:p w14:paraId="668C0599" w14:textId="77777777" w:rsidR="007436A6" w:rsidRDefault="007436A6" w:rsidP="00893C57">
            <w:pPr>
              <w:pStyle w:val="NormalWeb"/>
              <w:rPr>
                <w:rFonts w:ascii="Calibri" w:hAnsi="Calibri" w:cs="Tahoma"/>
                <w:i/>
                <w:lang w:eastAsia="en-US"/>
              </w:rPr>
            </w:pPr>
            <w:r>
              <w:rPr>
                <w:rFonts w:ascii="Calibri" w:hAnsi="Calibri" w:cs="Tahoma"/>
                <w:i/>
                <w:lang w:eastAsia="en-US"/>
              </w:rPr>
              <w:t>Comments:</w:t>
            </w:r>
          </w:p>
          <w:p w14:paraId="24BFB306" w14:textId="77777777" w:rsidR="007436A6" w:rsidRDefault="007436A6" w:rsidP="00893C57">
            <w:pPr>
              <w:pStyle w:val="NormalWeb"/>
              <w:rPr>
                <w:rFonts w:ascii="Calibri" w:hAnsi="Calibri" w:cs="Tahoma"/>
                <w:i/>
                <w:lang w:eastAsia="en-US"/>
              </w:rPr>
            </w:pPr>
          </w:p>
          <w:p w14:paraId="6943AAFE" w14:textId="77777777" w:rsidR="007436A6" w:rsidRDefault="007436A6" w:rsidP="00893C57">
            <w:pPr>
              <w:pStyle w:val="NormalWeb"/>
              <w:rPr>
                <w:rFonts w:ascii="Calibri" w:hAnsi="Calibri" w:cs="Tahoma"/>
                <w:i/>
                <w:lang w:eastAsia="en-US"/>
              </w:rPr>
            </w:pPr>
          </w:p>
          <w:p w14:paraId="6403CCDB" w14:textId="77777777" w:rsidR="007436A6" w:rsidRDefault="007436A6" w:rsidP="00893C57">
            <w:pPr>
              <w:pStyle w:val="NormalWeb"/>
              <w:rPr>
                <w:rFonts w:ascii="Calibri" w:hAnsi="Calibri" w:cs="Tahoma"/>
                <w:i/>
                <w:lang w:eastAsia="en-US"/>
              </w:rPr>
            </w:pPr>
          </w:p>
          <w:p w14:paraId="00D6CDB2" w14:textId="77777777" w:rsidR="007436A6" w:rsidRDefault="007436A6" w:rsidP="00893C57">
            <w:pPr>
              <w:pStyle w:val="NormalWeb"/>
              <w:rPr>
                <w:rFonts w:ascii="Calibri" w:hAnsi="Calibri" w:cs="Tahoma"/>
                <w:i/>
                <w:lang w:eastAsia="en-US"/>
              </w:rPr>
            </w:pPr>
          </w:p>
          <w:p w14:paraId="4B9DDADD" w14:textId="77777777" w:rsidR="007436A6" w:rsidRDefault="007436A6" w:rsidP="00893C57">
            <w:pPr>
              <w:pStyle w:val="NormalWeb"/>
              <w:rPr>
                <w:rFonts w:ascii="Calibri" w:hAnsi="Calibri" w:cs="Tahoma"/>
                <w:i/>
                <w:lang w:eastAsia="en-US"/>
              </w:rPr>
            </w:pPr>
          </w:p>
          <w:p w14:paraId="01E228C8" w14:textId="77777777" w:rsidR="007436A6" w:rsidRDefault="007436A6" w:rsidP="00893C57">
            <w:pPr>
              <w:pStyle w:val="NormalWeb"/>
              <w:rPr>
                <w:rFonts w:ascii="Calibri" w:hAnsi="Calibri" w:cs="Tahoma"/>
                <w:i/>
                <w:lang w:eastAsia="en-US"/>
              </w:rPr>
            </w:pPr>
          </w:p>
          <w:p w14:paraId="5C432D16" w14:textId="77777777" w:rsidR="007436A6" w:rsidRDefault="007436A6" w:rsidP="00893C57">
            <w:pPr>
              <w:pStyle w:val="NormalWeb"/>
              <w:rPr>
                <w:rFonts w:ascii="Calibri" w:hAnsi="Calibri" w:cs="Tahoma"/>
                <w:i/>
                <w:lang w:eastAsia="en-US"/>
              </w:rPr>
            </w:pPr>
          </w:p>
          <w:p w14:paraId="18259A2F" w14:textId="77777777" w:rsidR="007436A6" w:rsidRDefault="007436A6" w:rsidP="00893C57">
            <w:pPr>
              <w:pStyle w:val="NormalWeb"/>
              <w:rPr>
                <w:rFonts w:ascii="Calibri" w:hAnsi="Calibri" w:cs="Tahoma"/>
                <w:i/>
                <w:lang w:eastAsia="en-US"/>
              </w:rPr>
            </w:pPr>
          </w:p>
          <w:p w14:paraId="7598CAD9" w14:textId="77777777" w:rsidR="007436A6" w:rsidRDefault="007436A6" w:rsidP="00893C57">
            <w:pPr>
              <w:pStyle w:val="NormalWeb"/>
              <w:rPr>
                <w:rFonts w:ascii="Calibri" w:hAnsi="Calibri" w:cs="Tahoma"/>
                <w:i/>
                <w:lang w:eastAsia="en-US"/>
              </w:rPr>
            </w:pPr>
          </w:p>
          <w:p w14:paraId="01AAD581" w14:textId="77777777" w:rsidR="007436A6" w:rsidRDefault="007436A6" w:rsidP="00893C57">
            <w:pPr>
              <w:pStyle w:val="NormalWeb"/>
              <w:rPr>
                <w:rFonts w:ascii="Calibri" w:hAnsi="Calibri" w:cs="Tahoma"/>
                <w:i/>
                <w:lang w:eastAsia="en-US"/>
              </w:rPr>
            </w:pPr>
          </w:p>
          <w:p w14:paraId="11CD7448" w14:textId="77777777" w:rsidR="007436A6" w:rsidRDefault="007436A6" w:rsidP="00893C57">
            <w:pPr>
              <w:pStyle w:val="NormalWeb"/>
              <w:rPr>
                <w:rFonts w:ascii="Calibri" w:hAnsi="Calibri" w:cs="Tahoma"/>
                <w:i/>
                <w:lang w:eastAsia="en-US"/>
              </w:rPr>
            </w:pPr>
          </w:p>
        </w:tc>
      </w:tr>
      <w:tr w:rsidR="007436A6" w14:paraId="52F52008" w14:textId="77777777" w:rsidTr="00893C57">
        <w:trPr>
          <w:trHeight w:val="251"/>
        </w:trPr>
        <w:tc>
          <w:tcPr>
            <w:tcW w:w="7378" w:type="dxa"/>
            <w:gridSpan w:val="2"/>
            <w:tcBorders>
              <w:top w:val="single" w:sz="4" w:space="0" w:color="auto"/>
              <w:left w:val="single" w:sz="4" w:space="0" w:color="auto"/>
              <w:bottom w:val="single" w:sz="4" w:space="0" w:color="auto"/>
              <w:right w:val="single" w:sz="4" w:space="0" w:color="auto"/>
            </w:tcBorders>
            <w:vAlign w:val="center"/>
            <w:hideMark/>
          </w:tcPr>
          <w:p w14:paraId="25F2F839" w14:textId="77777777" w:rsidR="007436A6" w:rsidRDefault="007436A6" w:rsidP="00893C57">
            <w:pPr>
              <w:pStyle w:val="NormalWeb"/>
              <w:spacing w:beforeAutospacing="0" w:afterAutospacing="0"/>
              <w:ind w:left="142" w:right="34"/>
              <w:rPr>
                <w:rFonts w:ascii="Calibri" w:hAnsi="Calibri" w:cs="Tahoma"/>
                <w:i/>
                <w:lang w:eastAsia="en-US"/>
              </w:rPr>
            </w:pPr>
            <w:r>
              <w:rPr>
                <w:rFonts w:ascii="Calibri" w:hAnsi="Calibri" w:cs="Tahoma"/>
                <w:i/>
                <w:lang w:eastAsia="en-US"/>
              </w:rPr>
              <w:t>Marker’s signature:</w:t>
            </w:r>
          </w:p>
        </w:tc>
        <w:tc>
          <w:tcPr>
            <w:tcW w:w="2716" w:type="dxa"/>
            <w:tcBorders>
              <w:top w:val="single" w:sz="4" w:space="0" w:color="auto"/>
              <w:left w:val="single" w:sz="4" w:space="0" w:color="auto"/>
              <w:bottom w:val="single" w:sz="4" w:space="0" w:color="auto"/>
              <w:right w:val="single" w:sz="4" w:space="0" w:color="auto"/>
            </w:tcBorders>
            <w:vAlign w:val="center"/>
            <w:hideMark/>
          </w:tcPr>
          <w:p w14:paraId="75297833" w14:textId="77777777" w:rsidR="007436A6" w:rsidRDefault="007436A6" w:rsidP="00893C57">
            <w:pPr>
              <w:pStyle w:val="NormalWeb"/>
              <w:spacing w:beforeAutospacing="0" w:after="0" w:afterAutospacing="0"/>
              <w:ind w:left="142" w:right="34"/>
              <w:rPr>
                <w:rFonts w:ascii="Calibri" w:hAnsi="Calibri" w:cs="Tahoma"/>
                <w:i/>
                <w:lang w:eastAsia="en-US"/>
              </w:rPr>
            </w:pPr>
            <w:r>
              <w:rPr>
                <w:rFonts w:ascii="Calibri" w:hAnsi="Calibri" w:cs="Tahoma"/>
                <w:i/>
                <w:lang w:eastAsia="en-US"/>
              </w:rPr>
              <w:t>Date:</w:t>
            </w:r>
          </w:p>
        </w:tc>
      </w:tr>
      <w:tr w:rsidR="007436A6" w14:paraId="6F5E8597" w14:textId="77777777" w:rsidTr="00893C57">
        <w:trPr>
          <w:trHeight w:val="620"/>
        </w:trPr>
        <w:tc>
          <w:tcPr>
            <w:tcW w:w="10094" w:type="dxa"/>
            <w:gridSpan w:val="3"/>
            <w:tcBorders>
              <w:top w:val="single" w:sz="4" w:space="0" w:color="auto"/>
              <w:left w:val="single" w:sz="4" w:space="0" w:color="auto"/>
              <w:bottom w:val="single" w:sz="4" w:space="0" w:color="auto"/>
              <w:right w:val="single" w:sz="4" w:space="0" w:color="auto"/>
            </w:tcBorders>
            <w:vAlign w:val="center"/>
            <w:hideMark/>
          </w:tcPr>
          <w:p w14:paraId="20DAB524" w14:textId="77777777" w:rsidR="007436A6" w:rsidRDefault="007436A6" w:rsidP="00893C57">
            <w:pPr>
              <w:pStyle w:val="NormalWeb"/>
              <w:spacing w:before="0" w:beforeAutospacing="0" w:after="0" w:afterAutospacing="0"/>
              <w:ind w:left="142" w:right="34"/>
              <w:rPr>
                <w:rFonts w:ascii="Calibri" w:hAnsi="Calibri" w:cs="Tahoma"/>
                <w:i/>
                <w:lang w:eastAsia="en-US"/>
              </w:rPr>
            </w:pPr>
            <w:r>
              <w:rPr>
                <w:rFonts w:ascii="Calibri" w:hAnsi="Calibri" w:cs="Tahoma"/>
                <w:i/>
                <w:lang w:eastAsia="en-US"/>
              </w:rPr>
              <w:t xml:space="preserve">Provisional mark: </w:t>
            </w:r>
          </w:p>
          <w:p w14:paraId="0163DE94" w14:textId="77777777" w:rsidR="007436A6" w:rsidRDefault="007436A6" w:rsidP="00893C57">
            <w:pPr>
              <w:pStyle w:val="NormalWeb"/>
              <w:spacing w:before="0" w:beforeAutospacing="0" w:after="0" w:afterAutospacing="0"/>
              <w:ind w:left="142" w:right="34"/>
              <w:rPr>
                <w:rFonts w:ascii="Calibri" w:hAnsi="Calibri" w:cs="Tahoma"/>
                <w:i/>
                <w:lang w:eastAsia="en-US"/>
              </w:rPr>
            </w:pPr>
            <w:r>
              <w:rPr>
                <w:rFonts w:ascii="Calibri" w:hAnsi="Calibri" w:cs="Tahoma"/>
                <w:b/>
                <w:i/>
                <w:lang w:eastAsia="en-US"/>
              </w:rPr>
              <w:t>NB.</w:t>
            </w:r>
            <w:r>
              <w:rPr>
                <w:rFonts w:ascii="Calibri" w:hAnsi="Calibri" w:cs="Tahoma"/>
                <w:i/>
                <w:lang w:eastAsia="en-US"/>
              </w:rPr>
              <w:t xml:space="preserve">  All marks are provisional until confirmed by the final examination board. </w:t>
            </w:r>
          </w:p>
        </w:tc>
        <w:bookmarkEnd w:id="0"/>
        <w:bookmarkEnd w:id="1"/>
      </w:tr>
    </w:tbl>
    <w:p w14:paraId="1837EA0B" w14:textId="6A6D9437" w:rsidR="007436A6" w:rsidRDefault="007436A6" w:rsidP="007436A6">
      <w:pPr>
        <w:spacing w:line="480" w:lineRule="auto"/>
        <w:rPr>
          <w:rFonts w:ascii="Arial" w:hAnsi="Arial" w:cs="Arial"/>
          <w:b/>
          <w:bCs/>
          <w:sz w:val="24"/>
          <w:szCs w:val="24"/>
        </w:rPr>
      </w:pPr>
      <w:r>
        <w:rPr>
          <w:rFonts w:ascii="Arial" w:hAnsi="Arial" w:cs="Arial"/>
          <w:b/>
          <w:bCs/>
          <w:sz w:val="24"/>
          <w:szCs w:val="24"/>
        </w:rPr>
        <w:lastRenderedPageBreak/>
        <w:t>‘Sibyl</w:t>
      </w:r>
      <w:r w:rsidR="00E53E46">
        <w:rPr>
          <w:rFonts w:ascii="Arial" w:hAnsi="Arial" w:cs="Arial"/>
          <w:b/>
          <w:bCs/>
          <w:sz w:val="24"/>
          <w:szCs w:val="24"/>
        </w:rPr>
        <w:t>,</w:t>
      </w:r>
      <w:r>
        <w:rPr>
          <w:rFonts w:ascii="Arial" w:hAnsi="Arial" w:cs="Arial"/>
          <w:b/>
          <w:bCs/>
          <w:sz w:val="24"/>
          <w:szCs w:val="24"/>
        </w:rPr>
        <w:t xml:space="preserve"> what do you want? - I want to die’: modernism, time and spectral overcrowding.</w:t>
      </w:r>
      <w:r>
        <w:rPr>
          <w:rStyle w:val="FootnoteReference"/>
          <w:rFonts w:ascii="Arial" w:hAnsi="Arial" w:cs="Arial"/>
          <w:b/>
          <w:bCs/>
          <w:sz w:val="24"/>
          <w:szCs w:val="24"/>
        </w:rPr>
        <w:footnoteReference w:id="1"/>
      </w:r>
    </w:p>
    <w:p w14:paraId="341A7480" w14:textId="5CEF255D" w:rsidR="007436A6" w:rsidRDefault="007436A6" w:rsidP="007436A6">
      <w:pPr>
        <w:spacing w:line="480" w:lineRule="auto"/>
        <w:rPr>
          <w:rFonts w:ascii="Arial" w:hAnsi="Arial" w:cs="Arial"/>
          <w:sz w:val="24"/>
          <w:szCs w:val="24"/>
          <w:shd w:val="clear" w:color="auto" w:fill="FFFFFF"/>
        </w:rPr>
      </w:pPr>
      <w:r w:rsidRPr="00007018">
        <w:rPr>
          <w:rFonts w:ascii="Arial" w:hAnsi="Arial" w:cs="Arial"/>
          <w:sz w:val="24"/>
          <w:szCs w:val="24"/>
        </w:rPr>
        <w:t xml:space="preserve">Marcel Duchamp’s </w:t>
      </w:r>
      <w:r w:rsidRPr="00007018">
        <w:rPr>
          <w:rFonts w:ascii="Arial" w:hAnsi="Arial" w:cs="Arial"/>
          <w:i/>
          <w:iCs/>
          <w:sz w:val="24"/>
          <w:szCs w:val="24"/>
        </w:rPr>
        <w:t>Nude Descending a Staircase No. 2</w:t>
      </w:r>
      <w:r w:rsidRPr="00007018">
        <w:rPr>
          <w:rFonts w:ascii="Arial" w:hAnsi="Arial" w:cs="Arial"/>
          <w:sz w:val="24"/>
          <w:szCs w:val="24"/>
        </w:rPr>
        <w:t xml:space="preserve"> (1912)</w:t>
      </w:r>
      <w:r w:rsidRPr="00007018">
        <w:rPr>
          <w:rFonts w:ascii="Arial" w:hAnsi="Arial" w:cs="Arial"/>
          <w:sz w:val="24"/>
          <w:szCs w:val="24"/>
          <w:shd w:val="clear" w:color="auto" w:fill="FFFFFF"/>
        </w:rPr>
        <w:t xml:space="preserve"> is a modernist painting that exhibits the contemporary modern</w:t>
      </w:r>
      <w:r>
        <w:rPr>
          <w:rFonts w:ascii="Arial" w:hAnsi="Arial" w:cs="Arial"/>
          <w:sz w:val="24"/>
          <w:szCs w:val="24"/>
          <w:shd w:val="clear" w:color="auto" w:fill="FFFFFF"/>
        </w:rPr>
        <w:t xml:space="preserve"> artist’s</w:t>
      </w:r>
      <w:r w:rsidRPr="00007018">
        <w:rPr>
          <w:rFonts w:ascii="Arial" w:hAnsi="Arial" w:cs="Arial"/>
          <w:sz w:val="24"/>
          <w:szCs w:val="24"/>
          <w:shd w:val="clear" w:color="auto" w:fill="FFFFFF"/>
        </w:rPr>
        <w:t xml:space="preserve"> response to the challenge of film</w:t>
      </w:r>
      <w:r w:rsidR="002E6468">
        <w:rPr>
          <w:rFonts w:ascii="Arial" w:hAnsi="Arial" w:cs="Arial"/>
          <w:sz w:val="24"/>
          <w:szCs w:val="24"/>
          <w:shd w:val="clear" w:color="auto" w:fill="FFFFFF"/>
        </w:rPr>
        <w:t>,</w:t>
      </w:r>
      <w:r w:rsidRPr="00007018">
        <w:rPr>
          <w:rFonts w:ascii="Arial" w:hAnsi="Arial" w:cs="Arial"/>
          <w:sz w:val="24"/>
          <w:szCs w:val="24"/>
          <w:shd w:val="clear" w:color="auto" w:fill="FFFFFF"/>
        </w:rPr>
        <w:t xml:space="preserve"> to both ‘the camera [that] freezes time, and the projector [that] starts it up again’.</w:t>
      </w:r>
      <w:r w:rsidRPr="00007018">
        <w:rPr>
          <w:rStyle w:val="FootnoteReference"/>
          <w:rFonts w:ascii="Arial" w:hAnsi="Arial" w:cs="Arial"/>
          <w:sz w:val="24"/>
          <w:szCs w:val="24"/>
          <w:shd w:val="clear" w:color="auto" w:fill="FFFFFF"/>
        </w:rPr>
        <w:footnoteReference w:id="2"/>
      </w:r>
      <w:r w:rsidRPr="00007018">
        <w:rPr>
          <w:rFonts w:ascii="Arial" w:hAnsi="Arial" w:cs="Arial"/>
          <w:sz w:val="24"/>
          <w:szCs w:val="24"/>
          <w:shd w:val="clear" w:color="auto" w:fill="FFFFFF"/>
        </w:rPr>
        <w:t xml:space="preserve">  Not only does it replace the detailed, though somewhat deadened, realism </w:t>
      </w:r>
      <w:r>
        <w:rPr>
          <w:rFonts w:ascii="Arial" w:hAnsi="Arial" w:cs="Arial"/>
          <w:sz w:val="24"/>
          <w:szCs w:val="24"/>
          <w:shd w:val="clear" w:color="auto" w:fill="FFFFFF"/>
        </w:rPr>
        <w:t>of</w:t>
      </w:r>
      <w:r w:rsidRPr="00007018">
        <w:rPr>
          <w:rFonts w:ascii="Arial" w:hAnsi="Arial" w:cs="Arial"/>
          <w:sz w:val="24"/>
          <w:szCs w:val="24"/>
          <w:shd w:val="clear" w:color="auto" w:fill="FFFFFF"/>
        </w:rPr>
        <w:t xml:space="preserve"> the photograph with </w:t>
      </w:r>
      <w:r>
        <w:rPr>
          <w:rFonts w:ascii="Arial" w:hAnsi="Arial" w:cs="Arial"/>
          <w:sz w:val="24"/>
          <w:szCs w:val="24"/>
          <w:shd w:val="clear" w:color="auto" w:fill="FFFFFF"/>
        </w:rPr>
        <w:t xml:space="preserve">suggestion and </w:t>
      </w:r>
      <w:r w:rsidRPr="00007018">
        <w:rPr>
          <w:rFonts w:ascii="Arial" w:hAnsi="Arial" w:cs="Arial"/>
          <w:sz w:val="24"/>
          <w:szCs w:val="24"/>
          <w:shd w:val="clear" w:color="auto" w:fill="FFFFFF"/>
        </w:rPr>
        <w:t xml:space="preserve">emotion, but further, it plays </w:t>
      </w:r>
      <w:r>
        <w:rPr>
          <w:rFonts w:ascii="Arial" w:hAnsi="Arial" w:cs="Arial"/>
          <w:sz w:val="24"/>
          <w:szCs w:val="24"/>
          <w:shd w:val="clear" w:color="auto" w:fill="FFFFFF"/>
        </w:rPr>
        <w:t>with</w:t>
      </w:r>
      <w:r w:rsidRPr="00007018">
        <w:rPr>
          <w:rFonts w:ascii="Arial" w:hAnsi="Arial" w:cs="Arial"/>
          <w:sz w:val="24"/>
          <w:szCs w:val="24"/>
        </w:rPr>
        <w:t xml:space="preserve"> film’s ability to capture movement</w:t>
      </w:r>
      <w:r>
        <w:rPr>
          <w:rFonts w:ascii="Arial" w:hAnsi="Arial" w:cs="Arial"/>
          <w:sz w:val="24"/>
          <w:szCs w:val="24"/>
        </w:rPr>
        <w:t>, discovering and displaying it as a facet of time</w:t>
      </w:r>
      <w:r w:rsidRPr="00007018">
        <w:rPr>
          <w:rFonts w:ascii="Arial" w:hAnsi="Arial" w:cs="Arial"/>
          <w:sz w:val="24"/>
          <w:szCs w:val="24"/>
        </w:rPr>
        <w:t xml:space="preserve">. It </w:t>
      </w:r>
      <w:r>
        <w:rPr>
          <w:rFonts w:ascii="Arial" w:hAnsi="Arial" w:cs="Arial"/>
          <w:sz w:val="24"/>
          <w:szCs w:val="24"/>
        </w:rPr>
        <w:t>offers,</w:t>
      </w:r>
      <w:r w:rsidRPr="00007018">
        <w:rPr>
          <w:rFonts w:ascii="Arial" w:hAnsi="Arial" w:cs="Arial"/>
          <w:sz w:val="24"/>
          <w:szCs w:val="24"/>
        </w:rPr>
        <w:t xml:space="preserve"> </w:t>
      </w:r>
      <w:r>
        <w:rPr>
          <w:rFonts w:ascii="Arial" w:hAnsi="Arial" w:cs="Arial"/>
          <w:sz w:val="24"/>
          <w:szCs w:val="24"/>
        </w:rPr>
        <w:t>in a single frame,</w:t>
      </w:r>
      <w:r w:rsidRPr="00007018">
        <w:rPr>
          <w:rFonts w:ascii="Arial" w:hAnsi="Arial" w:cs="Arial"/>
          <w:sz w:val="24"/>
          <w:szCs w:val="24"/>
        </w:rPr>
        <w:t xml:space="preserve"> a body moving through space</w:t>
      </w:r>
      <w:r>
        <w:rPr>
          <w:rFonts w:ascii="Arial" w:hAnsi="Arial" w:cs="Arial"/>
          <w:sz w:val="24"/>
          <w:szCs w:val="24"/>
        </w:rPr>
        <w:t>. S</w:t>
      </w:r>
      <w:r w:rsidRPr="00007018">
        <w:rPr>
          <w:rFonts w:ascii="Arial" w:hAnsi="Arial" w:cs="Arial"/>
          <w:sz w:val="24"/>
          <w:szCs w:val="24"/>
        </w:rPr>
        <w:t xml:space="preserve">ince every incidence of that movement remains in that space </w:t>
      </w:r>
      <w:r>
        <w:rPr>
          <w:rFonts w:ascii="Arial" w:hAnsi="Arial" w:cs="Arial"/>
          <w:sz w:val="24"/>
          <w:szCs w:val="24"/>
        </w:rPr>
        <w:t>the painting</w:t>
      </w:r>
      <w:r w:rsidRPr="00007018">
        <w:rPr>
          <w:rFonts w:ascii="Arial" w:hAnsi="Arial" w:cs="Arial"/>
          <w:sz w:val="24"/>
          <w:szCs w:val="24"/>
        </w:rPr>
        <w:t xml:space="preserve"> collapses the </w:t>
      </w:r>
      <w:r>
        <w:rPr>
          <w:rFonts w:ascii="Arial" w:hAnsi="Arial" w:cs="Arial"/>
          <w:sz w:val="24"/>
          <w:szCs w:val="24"/>
        </w:rPr>
        <w:t>concept</w:t>
      </w:r>
      <w:r w:rsidRPr="00007018">
        <w:rPr>
          <w:rFonts w:ascii="Arial" w:hAnsi="Arial" w:cs="Arial"/>
          <w:sz w:val="24"/>
          <w:szCs w:val="24"/>
        </w:rPr>
        <w:t xml:space="preserve"> of the present moment as </w:t>
      </w:r>
      <w:r>
        <w:rPr>
          <w:rFonts w:ascii="Arial" w:hAnsi="Arial" w:cs="Arial"/>
          <w:sz w:val="24"/>
          <w:szCs w:val="24"/>
        </w:rPr>
        <w:t>the</w:t>
      </w:r>
      <w:r w:rsidRPr="00007018">
        <w:rPr>
          <w:rFonts w:ascii="Arial" w:hAnsi="Arial" w:cs="Arial"/>
          <w:sz w:val="24"/>
          <w:szCs w:val="24"/>
        </w:rPr>
        <w:t xml:space="preserve"> ultimate destination</w:t>
      </w:r>
      <w:r>
        <w:rPr>
          <w:rFonts w:ascii="Arial" w:hAnsi="Arial" w:cs="Arial"/>
          <w:sz w:val="24"/>
          <w:szCs w:val="24"/>
        </w:rPr>
        <w:t xml:space="preserve"> of time,</w:t>
      </w:r>
      <w:r w:rsidRPr="00007018">
        <w:rPr>
          <w:rFonts w:ascii="Arial" w:hAnsi="Arial" w:cs="Arial"/>
          <w:sz w:val="24"/>
          <w:szCs w:val="24"/>
        </w:rPr>
        <w:t xml:space="preserve"> free from its past. Further, the body in the </w:t>
      </w:r>
      <w:r w:rsidRPr="00007018">
        <w:rPr>
          <w:rFonts w:ascii="Arial" w:hAnsi="Arial" w:cs="Arial"/>
          <w:i/>
          <w:iCs/>
          <w:sz w:val="24"/>
          <w:szCs w:val="24"/>
        </w:rPr>
        <w:t>Nude</w:t>
      </w:r>
      <w:r w:rsidRPr="00007018">
        <w:rPr>
          <w:rFonts w:ascii="Arial" w:hAnsi="Arial" w:cs="Arial"/>
          <w:sz w:val="24"/>
          <w:szCs w:val="24"/>
        </w:rPr>
        <w:t xml:space="preserve"> seems made of shards of </w:t>
      </w:r>
      <w:r>
        <w:rPr>
          <w:rFonts w:ascii="Arial" w:hAnsi="Arial" w:cs="Arial"/>
          <w:sz w:val="24"/>
          <w:szCs w:val="24"/>
        </w:rPr>
        <w:t>wood</w:t>
      </w:r>
      <w:r w:rsidRPr="00007018">
        <w:rPr>
          <w:rFonts w:ascii="Arial" w:hAnsi="Arial" w:cs="Arial"/>
          <w:sz w:val="24"/>
          <w:szCs w:val="24"/>
        </w:rPr>
        <w:t xml:space="preserve"> so that every movement made is part of the staircase itself. Therefore, the staircase is also drawn into the eternal and</w:t>
      </w:r>
      <w:r>
        <w:rPr>
          <w:rFonts w:ascii="Arial" w:hAnsi="Arial" w:cs="Arial"/>
          <w:sz w:val="24"/>
          <w:szCs w:val="24"/>
        </w:rPr>
        <w:t>,</w:t>
      </w:r>
      <w:r w:rsidRPr="00007018">
        <w:rPr>
          <w:rFonts w:ascii="Arial" w:hAnsi="Arial" w:cs="Arial"/>
          <w:sz w:val="24"/>
          <w:szCs w:val="24"/>
        </w:rPr>
        <w:t xml:space="preserve"> by that measure</w:t>
      </w:r>
      <w:r>
        <w:rPr>
          <w:rFonts w:ascii="Arial" w:hAnsi="Arial" w:cs="Arial"/>
          <w:sz w:val="24"/>
          <w:szCs w:val="24"/>
        </w:rPr>
        <w:t>,</w:t>
      </w:r>
      <w:r w:rsidRPr="00007018">
        <w:rPr>
          <w:rFonts w:ascii="Arial" w:hAnsi="Arial" w:cs="Arial"/>
          <w:sz w:val="24"/>
          <w:szCs w:val="24"/>
        </w:rPr>
        <w:t xml:space="preserve"> so </w:t>
      </w:r>
      <w:r>
        <w:rPr>
          <w:rFonts w:ascii="Arial" w:hAnsi="Arial" w:cs="Arial"/>
          <w:sz w:val="24"/>
          <w:szCs w:val="24"/>
        </w:rPr>
        <w:t xml:space="preserve">too </w:t>
      </w:r>
      <w:r w:rsidRPr="00007018">
        <w:rPr>
          <w:rFonts w:ascii="Arial" w:hAnsi="Arial" w:cs="Arial"/>
          <w:sz w:val="24"/>
          <w:szCs w:val="24"/>
        </w:rPr>
        <w:t>is the space the staircase occupies</w:t>
      </w:r>
      <w:r w:rsidR="00C22D2C">
        <w:rPr>
          <w:rFonts w:ascii="Arial" w:hAnsi="Arial" w:cs="Arial"/>
          <w:sz w:val="24"/>
          <w:szCs w:val="24"/>
        </w:rPr>
        <w:t>;</w:t>
      </w:r>
      <w:r w:rsidRPr="00007018">
        <w:rPr>
          <w:rFonts w:ascii="Arial" w:hAnsi="Arial" w:cs="Arial"/>
          <w:sz w:val="24"/>
          <w:szCs w:val="24"/>
        </w:rPr>
        <w:t xml:space="preserve"> the painting seems to insist all must be included, since the eternal demands everything that existed in that space before and after the staircase. Thus, </w:t>
      </w:r>
      <w:r w:rsidRPr="00007018">
        <w:rPr>
          <w:rFonts w:ascii="Arial" w:hAnsi="Arial" w:cs="Arial"/>
          <w:i/>
          <w:iCs/>
          <w:sz w:val="24"/>
          <w:szCs w:val="24"/>
        </w:rPr>
        <w:t>Nude</w:t>
      </w:r>
      <w:r w:rsidRPr="00007018">
        <w:rPr>
          <w:rFonts w:ascii="Arial" w:hAnsi="Arial" w:cs="Arial"/>
          <w:sz w:val="24"/>
          <w:szCs w:val="24"/>
        </w:rPr>
        <w:t xml:space="preserve"> is a perfect visual representation of the</w:t>
      </w:r>
      <w:r w:rsidRPr="00007018">
        <w:rPr>
          <w:rFonts w:ascii="Arial" w:hAnsi="Arial" w:cs="Arial"/>
          <w:sz w:val="24"/>
          <w:szCs w:val="24"/>
          <w:shd w:val="clear" w:color="auto" w:fill="FFFFFF"/>
        </w:rPr>
        <w:t xml:space="preserve"> modernist preoccupation with time. </w:t>
      </w:r>
    </w:p>
    <w:p w14:paraId="75F4176E" w14:textId="3FB62A25" w:rsidR="007436A6" w:rsidRDefault="007436A6" w:rsidP="007436A6">
      <w:pPr>
        <w:spacing w:line="480" w:lineRule="auto"/>
        <w:rPr>
          <w:rFonts w:ascii="Arial" w:hAnsi="Arial" w:cs="Arial"/>
          <w:sz w:val="24"/>
          <w:szCs w:val="24"/>
        </w:rPr>
      </w:pPr>
      <w:r w:rsidRPr="00007018">
        <w:rPr>
          <w:rFonts w:ascii="Arial" w:hAnsi="Arial" w:cs="Arial"/>
          <w:sz w:val="24"/>
          <w:szCs w:val="24"/>
          <w:shd w:val="clear" w:color="auto" w:fill="FFFFFF"/>
        </w:rPr>
        <w:lastRenderedPageBreak/>
        <w:t xml:space="preserve">The concern here though </w:t>
      </w:r>
      <w:r>
        <w:rPr>
          <w:rFonts w:ascii="Arial" w:hAnsi="Arial" w:cs="Arial"/>
          <w:sz w:val="24"/>
          <w:szCs w:val="24"/>
          <w:shd w:val="clear" w:color="auto" w:fill="FFFFFF"/>
        </w:rPr>
        <w:t xml:space="preserve">is </w:t>
      </w:r>
      <w:r w:rsidRPr="00007018">
        <w:rPr>
          <w:rFonts w:ascii="Arial" w:hAnsi="Arial" w:cs="Arial"/>
          <w:sz w:val="24"/>
          <w:szCs w:val="24"/>
          <w:shd w:val="clear" w:color="auto" w:fill="FFFFFF"/>
        </w:rPr>
        <w:t>in the literary response to that preoccupation</w:t>
      </w:r>
      <w:r>
        <w:rPr>
          <w:rFonts w:ascii="Arial" w:hAnsi="Arial" w:cs="Arial"/>
          <w:sz w:val="24"/>
          <w:szCs w:val="24"/>
          <w:shd w:val="clear" w:color="auto" w:fill="FFFFFF"/>
        </w:rPr>
        <w:t xml:space="preserve">, which for the purposes of this analysis will largely centre on a selection of work by Eliot. ‘The Love Song of Alfred J Prufrock’ and </w:t>
      </w:r>
      <w:r>
        <w:rPr>
          <w:rFonts w:ascii="Arial" w:hAnsi="Arial" w:cs="Arial"/>
          <w:i/>
          <w:iCs/>
          <w:sz w:val="24"/>
          <w:szCs w:val="24"/>
          <w:shd w:val="clear" w:color="auto" w:fill="FFFFFF"/>
        </w:rPr>
        <w:t>The Waste Land</w:t>
      </w:r>
      <w:r>
        <w:rPr>
          <w:rFonts w:ascii="Arial" w:hAnsi="Arial" w:cs="Arial"/>
          <w:sz w:val="24"/>
          <w:szCs w:val="24"/>
          <w:shd w:val="clear" w:color="auto" w:fill="FFFFFF"/>
        </w:rPr>
        <w:t xml:space="preserve"> (1922) will be considered poetic representations of time as fractured but interpenetrating, with all things</w:t>
      </w:r>
      <w:r w:rsidRPr="00007018">
        <w:rPr>
          <w:rFonts w:ascii="Arial" w:hAnsi="Arial" w:cs="Arial"/>
          <w:sz w:val="24"/>
          <w:szCs w:val="24"/>
          <w:shd w:val="clear" w:color="auto" w:fill="FFFFFF"/>
        </w:rPr>
        <w:t xml:space="preserve"> that ever </w:t>
      </w:r>
      <w:r>
        <w:rPr>
          <w:rFonts w:ascii="Arial" w:hAnsi="Arial" w:cs="Arial"/>
          <w:sz w:val="24"/>
          <w:szCs w:val="24"/>
          <w:shd w:val="clear" w:color="auto" w:fill="FFFFFF"/>
        </w:rPr>
        <w:t>were</w:t>
      </w:r>
      <w:r w:rsidRPr="00007018">
        <w:rPr>
          <w:rFonts w:ascii="Arial" w:hAnsi="Arial" w:cs="Arial"/>
          <w:sz w:val="24"/>
          <w:szCs w:val="24"/>
          <w:shd w:val="clear" w:color="auto" w:fill="FFFFFF"/>
        </w:rPr>
        <w:t xml:space="preserve">, </w:t>
      </w:r>
      <w:r>
        <w:rPr>
          <w:rFonts w:ascii="Arial" w:hAnsi="Arial" w:cs="Arial"/>
          <w:sz w:val="24"/>
          <w:szCs w:val="24"/>
          <w:shd w:val="clear" w:color="auto" w:fill="FFFFFF"/>
        </w:rPr>
        <w:t>are</w:t>
      </w:r>
      <w:r w:rsidRPr="00007018">
        <w:rPr>
          <w:rFonts w:ascii="Arial" w:hAnsi="Arial" w:cs="Arial"/>
          <w:sz w:val="24"/>
          <w:szCs w:val="24"/>
          <w:shd w:val="clear" w:color="auto" w:fill="FFFFFF"/>
        </w:rPr>
        <w:t xml:space="preserve"> and shall be eternally present</w:t>
      </w:r>
      <w:r>
        <w:rPr>
          <w:rFonts w:ascii="Arial" w:hAnsi="Arial" w:cs="Arial"/>
          <w:sz w:val="24"/>
          <w:szCs w:val="24"/>
          <w:shd w:val="clear" w:color="auto" w:fill="FFFFFF"/>
        </w:rPr>
        <w:t xml:space="preserve"> - a formulation indebted to Henri Bergson</w:t>
      </w:r>
      <w:r w:rsidR="005958AD">
        <w:rPr>
          <w:rFonts w:ascii="Arial" w:hAnsi="Arial" w:cs="Arial"/>
          <w:sz w:val="24"/>
          <w:szCs w:val="24"/>
          <w:shd w:val="clear" w:color="auto" w:fill="FFFFFF"/>
        </w:rPr>
        <w:t>,</w:t>
      </w:r>
      <w:r>
        <w:rPr>
          <w:rFonts w:ascii="Arial" w:hAnsi="Arial" w:cs="Arial"/>
          <w:sz w:val="24"/>
          <w:szCs w:val="24"/>
          <w:shd w:val="clear" w:color="auto" w:fill="FFFFFF"/>
        </w:rPr>
        <w:t xml:space="preserve"> a formative philosophical influence on Eliot. Further, the problem explored in these poems for the modern human of an enforced ‘clock time’ (a quantitative multiplicity) that attempts to wrest them from eternal time (</w:t>
      </w:r>
      <w:r w:rsidRPr="003D1D8E">
        <w:rPr>
          <w:rStyle w:val="Emphasis"/>
          <w:rFonts w:ascii="Arial" w:hAnsi="Arial" w:cs="Arial"/>
          <w:i w:val="0"/>
          <w:iCs w:val="0"/>
          <w:color w:val="1A1A1A"/>
          <w:sz w:val="24"/>
          <w:szCs w:val="24"/>
          <w:shd w:val="clear" w:color="auto" w:fill="FFFFFF"/>
        </w:rPr>
        <w:t>durée</w:t>
      </w:r>
      <w:r>
        <w:rPr>
          <w:rStyle w:val="Emphasis"/>
          <w:rFonts w:ascii="Arial" w:hAnsi="Arial" w:cs="Arial"/>
          <w:i w:val="0"/>
          <w:iCs w:val="0"/>
          <w:color w:val="1A1A1A"/>
          <w:sz w:val="24"/>
          <w:szCs w:val="24"/>
          <w:shd w:val="clear" w:color="auto" w:fill="FFFFFF"/>
        </w:rPr>
        <w:t>, a qualitative multiplicity</w:t>
      </w:r>
      <w:r>
        <w:rPr>
          <w:rFonts w:ascii="Arial" w:hAnsi="Arial" w:cs="Arial"/>
          <w:sz w:val="24"/>
          <w:szCs w:val="24"/>
          <w:shd w:val="clear" w:color="auto" w:fill="FFFFFF"/>
        </w:rPr>
        <w:t>) is seen answered by Eliot’s</w:t>
      </w:r>
      <w:r w:rsidRPr="00007018">
        <w:rPr>
          <w:rFonts w:ascii="Arial" w:hAnsi="Arial" w:cs="Arial"/>
          <w:sz w:val="24"/>
          <w:szCs w:val="24"/>
          <w:shd w:val="clear" w:color="auto" w:fill="FFFFFF"/>
        </w:rPr>
        <w:t xml:space="preserve"> essay ‘Tradition and the Individual Talent’ (1919)</w:t>
      </w:r>
      <w:r>
        <w:rPr>
          <w:rFonts w:ascii="Arial" w:hAnsi="Arial" w:cs="Arial"/>
          <w:sz w:val="24"/>
          <w:szCs w:val="24"/>
          <w:shd w:val="clear" w:color="auto" w:fill="FFFFFF"/>
        </w:rPr>
        <w:t xml:space="preserve">. </w:t>
      </w:r>
      <w:bookmarkStart w:id="2" w:name="_Hlk37517158"/>
      <w:r>
        <w:rPr>
          <w:rFonts w:ascii="Arial" w:hAnsi="Arial" w:cs="Arial"/>
          <w:sz w:val="24"/>
          <w:szCs w:val="24"/>
          <w:shd w:val="clear" w:color="auto" w:fill="FFFFFF"/>
        </w:rPr>
        <w:t xml:space="preserve">However, for Eliot and other modernist writers (including Joyce, Woolf and Mansfield) </w:t>
      </w:r>
      <w:r w:rsidRPr="00007018">
        <w:rPr>
          <w:rFonts w:ascii="Arial" w:hAnsi="Arial" w:cs="Arial"/>
          <w:sz w:val="24"/>
          <w:szCs w:val="24"/>
          <w:shd w:val="clear" w:color="auto" w:fill="FFFFFF"/>
        </w:rPr>
        <w:t>t</w:t>
      </w:r>
      <w:r w:rsidRPr="00007018">
        <w:rPr>
          <w:rFonts w:ascii="Arial" w:hAnsi="Arial" w:cs="Arial"/>
          <w:sz w:val="24"/>
          <w:szCs w:val="24"/>
        </w:rPr>
        <w:t xml:space="preserve">ime, and dislocation from the past, </w:t>
      </w:r>
      <w:r>
        <w:rPr>
          <w:rFonts w:ascii="Arial" w:hAnsi="Arial" w:cs="Arial"/>
          <w:sz w:val="24"/>
          <w:szCs w:val="24"/>
        </w:rPr>
        <w:t xml:space="preserve">seem </w:t>
      </w:r>
      <w:r w:rsidRPr="00007018">
        <w:rPr>
          <w:rFonts w:ascii="Arial" w:hAnsi="Arial" w:cs="Arial"/>
          <w:sz w:val="24"/>
          <w:szCs w:val="24"/>
        </w:rPr>
        <w:t>to be measured in ghosts</w:t>
      </w:r>
      <w:r>
        <w:rPr>
          <w:rFonts w:ascii="Arial" w:hAnsi="Arial" w:cs="Arial"/>
          <w:sz w:val="24"/>
          <w:szCs w:val="24"/>
        </w:rPr>
        <w:t xml:space="preserve">, an increasingly problematic premise </w:t>
      </w:r>
      <w:bookmarkStart w:id="3" w:name="_Hlk37517215"/>
      <w:r>
        <w:rPr>
          <w:rFonts w:ascii="Arial" w:hAnsi="Arial" w:cs="Arial"/>
          <w:sz w:val="24"/>
          <w:szCs w:val="24"/>
        </w:rPr>
        <w:t>in the aftermath of the devastating loss of WW1.</w:t>
      </w:r>
    </w:p>
    <w:bookmarkEnd w:id="2"/>
    <w:bookmarkEnd w:id="3"/>
    <w:p w14:paraId="3033DB5C" w14:textId="77777777" w:rsidR="007436A6" w:rsidRPr="002B20B8" w:rsidRDefault="007436A6" w:rsidP="007436A6">
      <w:pPr>
        <w:spacing w:line="480" w:lineRule="auto"/>
        <w:rPr>
          <w:rFonts w:ascii="Arial" w:hAnsi="Arial" w:cs="Arial"/>
          <w:sz w:val="24"/>
          <w:szCs w:val="24"/>
          <w:shd w:val="clear" w:color="auto" w:fill="FFFFFF"/>
        </w:rPr>
      </w:pPr>
      <w:r>
        <w:rPr>
          <w:rFonts w:ascii="Arial" w:hAnsi="Arial" w:cs="Arial"/>
          <w:sz w:val="24"/>
          <w:szCs w:val="24"/>
        </w:rPr>
        <w:t xml:space="preserve">Thus, attention will be turned </w:t>
      </w:r>
      <w:r w:rsidRPr="00007018">
        <w:rPr>
          <w:rFonts w:ascii="Arial" w:hAnsi="Arial" w:cs="Arial"/>
          <w:sz w:val="24"/>
          <w:szCs w:val="24"/>
          <w:shd w:val="clear" w:color="auto" w:fill="FFFFFF"/>
        </w:rPr>
        <w:t xml:space="preserve">to </w:t>
      </w:r>
      <w:r w:rsidRPr="00007018">
        <w:rPr>
          <w:rFonts w:ascii="Arial" w:hAnsi="Arial" w:cs="Arial"/>
          <w:i/>
          <w:iCs/>
          <w:sz w:val="24"/>
          <w:szCs w:val="24"/>
          <w:shd w:val="clear" w:color="auto" w:fill="FFFFFF"/>
        </w:rPr>
        <w:t>The Waste Land’s</w:t>
      </w:r>
      <w:r w:rsidRPr="00007018">
        <w:rPr>
          <w:rFonts w:ascii="Arial" w:hAnsi="Arial" w:cs="Arial"/>
          <w:sz w:val="24"/>
          <w:szCs w:val="24"/>
          <w:shd w:val="clear" w:color="auto" w:fill="FFFFFF"/>
        </w:rPr>
        <w:t xml:space="preserve"> epi</w:t>
      </w:r>
      <w:r>
        <w:rPr>
          <w:rFonts w:ascii="Arial" w:hAnsi="Arial" w:cs="Arial"/>
          <w:sz w:val="24"/>
          <w:szCs w:val="24"/>
          <w:shd w:val="clear" w:color="auto" w:fill="FFFFFF"/>
        </w:rPr>
        <w:t>graph</w:t>
      </w:r>
      <w:r w:rsidRPr="00007018">
        <w:rPr>
          <w:rFonts w:ascii="Arial" w:hAnsi="Arial" w:cs="Arial"/>
          <w:sz w:val="24"/>
          <w:szCs w:val="24"/>
          <w:shd w:val="clear" w:color="auto" w:fill="FFFFFF"/>
        </w:rPr>
        <w:t>, and</w:t>
      </w:r>
      <w:r>
        <w:rPr>
          <w:rFonts w:ascii="Arial" w:hAnsi="Arial" w:cs="Arial"/>
          <w:sz w:val="24"/>
          <w:szCs w:val="24"/>
          <w:shd w:val="clear" w:color="auto" w:fill="FFFFFF"/>
        </w:rPr>
        <w:t xml:space="preserve"> also </w:t>
      </w:r>
      <w:r w:rsidRPr="00007018">
        <w:rPr>
          <w:rFonts w:ascii="Arial" w:hAnsi="Arial" w:cs="Arial"/>
          <w:sz w:val="24"/>
          <w:szCs w:val="24"/>
          <w:shd w:val="clear" w:color="auto" w:fill="FFFFFF"/>
        </w:rPr>
        <w:t>to the epi</w:t>
      </w:r>
      <w:r>
        <w:rPr>
          <w:rFonts w:ascii="Arial" w:hAnsi="Arial" w:cs="Arial"/>
          <w:sz w:val="24"/>
          <w:szCs w:val="24"/>
          <w:shd w:val="clear" w:color="auto" w:fill="FFFFFF"/>
        </w:rPr>
        <w:t>gra</w:t>
      </w:r>
      <w:r w:rsidRPr="00007018">
        <w:rPr>
          <w:rFonts w:ascii="Arial" w:hAnsi="Arial" w:cs="Arial"/>
          <w:sz w:val="24"/>
          <w:szCs w:val="24"/>
          <w:shd w:val="clear" w:color="auto" w:fill="FFFFFF"/>
        </w:rPr>
        <w:t>ph and content of ‘Prufrock’ (1915) which complicate the call back to eternal time as a curative for the ills of modern life. The</w:t>
      </w:r>
      <w:r>
        <w:rPr>
          <w:rFonts w:ascii="Arial" w:hAnsi="Arial" w:cs="Arial"/>
          <w:sz w:val="24"/>
          <w:szCs w:val="24"/>
          <w:shd w:val="clear" w:color="auto" w:fill="FFFFFF"/>
        </w:rPr>
        <w:t>re is the complication of the</w:t>
      </w:r>
      <w:r w:rsidRPr="00007018">
        <w:rPr>
          <w:rFonts w:ascii="Arial" w:hAnsi="Arial" w:cs="Arial"/>
          <w:sz w:val="24"/>
          <w:szCs w:val="24"/>
          <w:shd w:val="clear" w:color="auto" w:fill="FFFFFF"/>
        </w:rPr>
        <w:t xml:space="preserve"> exhausted seers, the Sibyl of Cumae and Tiresias, called again to look upon our world of nothing. The </w:t>
      </w:r>
      <w:r>
        <w:rPr>
          <w:rFonts w:ascii="Arial" w:hAnsi="Arial" w:cs="Arial"/>
          <w:sz w:val="24"/>
          <w:szCs w:val="24"/>
          <w:shd w:val="clear" w:color="auto" w:fill="FFFFFF"/>
        </w:rPr>
        <w:t xml:space="preserve">complication that the </w:t>
      </w:r>
      <w:r w:rsidRPr="00007018">
        <w:rPr>
          <w:rFonts w:ascii="Arial" w:hAnsi="Arial" w:cs="Arial"/>
          <w:sz w:val="24"/>
          <w:szCs w:val="24"/>
          <w:shd w:val="clear" w:color="auto" w:fill="FFFFFF"/>
        </w:rPr>
        <w:t xml:space="preserve">past we seek communion with </w:t>
      </w:r>
      <w:r>
        <w:rPr>
          <w:rFonts w:ascii="Arial" w:hAnsi="Arial" w:cs="Arial"/>
          <w:sz w:val="24"/>
          <w:szCs w:val="24"/>
          <w:shd w:val="clear" w:color="auto" w:fill="FFFFFF"/>
        </w:rPr>
        <w:t>is</w:t>
      </w:r>
      <w:r w:rsidRPr="00007018">
        <w:rPr>
          <w:rFonts w:ascii="Arial" w:hAnsi="Arial" w:cs="Arial"/>
          <w:sz w:val="24"/>
          <w:szCs w:val="24"/>
          <w:shd w:val="clear" w:color="auto" w:fill="FFFFFF"/>
        </w:rPr>
        <w:t xml:space="preserve"> in the underworld</w:t>
      </w:r>
      <w:r>
        <w:rPr>
          <w:rFonts w:ascii="Arial" w:hAnsi="Arial" w:cs="Arial"/>
          <w:sz w:val="24"/>
          <w:szCs w:val="24"/>
          <w:shd w:val="clear" w:color="auto" w:fill="FFFFFF"/>
        </w:rPr>
        <w:t xml:space="preserve"> –</w:t>
      </w:r>
      <w:r w:rsidRPr="00007018">
        <w:rPr>
          <w:rFonts w:ascii="Arial" w:hAnsi="Arial" w:cs="Arial"/>
          <w:sz w:val="24"/>
          <w:szCs w:val="24"/>
          <w:shd w:val="clear" w:color="auto" w:fill="FFFFFF"/>
        </w:rPr>
        <w:t xml:space="preserve"> </w:t>
      </w:r>
      <w:r>
        <w:rPr>
          <w:rFonts w:ascii="Arial" w:hAnsi="Arial" w:cs="Arial"/>
          <w:sz w:val="24"/>
          <w:szCs w:val="24"/>
          <w:shd w:val="clear" w:color="auto" w:fill="FFFFFF"/>
        </w:rPr>
        <w:t>and that</w:t>
      </w:r>
      <w:r w:rsidRPr="00007018">
        <w:rPr>
          <w:rFonts w:ascii="Arial" w:hAnsi="Arial" w:cs="Arial"/>
          <w:sz w:val="24"/>
          <w:szCs w:val="24"/>
          <w:shd w:val="clear" w:color="auto" w:fill="FFFFFF"/>
        </w:rPr>
        <w:t xml:space="preserve"> no truth from there really reaches the top world,</w:t>
      </w:r>
      <w:r>
        <w:rPr>
          <w:rFonts w:ascii="Arial" w:hAnsi="Arial" w:cs="Arial"/>
          <w:sz w:val="24"/>
          <w:szCs w:val="24"/>
          <w:shd w:val="clear" w:color="auto" w:fill="FFFFFF"/>
        </w:rPr>
        <w:t xml:space="preserve"> </w:t>
      </w:r>
      <w:r w:rsidRPr="00007018">
        <w:rPr>
          <w:rFonts w:ascii="Arial" w:hAnsi="Arial" w:cs="Arial"/>
          <w:sz w:val="24"/>
          <w:szCs w:val="24"/>
          <w:shd w:val="clear" w:color="auto" w:fill="FFFFFF"/>
        </w:rPr>
        <w:t>the present</w:t>
      </w:r>
      <w:r>
        <w:rPr>
          <w:rFonts w:ascii="Arial" w:hAnsi="Arial" w:cs="Arial"/>
          <w:sz w:val="24"/>
          <w:szCs w:val="24"/>
          <w:shd w:val="clear" w:color="auto" w:fill="FFFFFF"/>
        </w:rPr>
        <w:t xml:space="preserve">, </w:t>
      </w:r>
      <w:r w:rsidRPr="00007018">
        <w:rPr>
          <w:rFonts w:ascii="Arial" w:hAnsi="Arial" w:cs="Arial"/>
          <w:sz w:val="24"/>
          <w:szCs w:val="24"/>
          <w:shd w:val="clear" w:color="auto" w:fill="FFFFFF"/>
        </w:rPr>
        <w:t>that is</w:t>
      </w:r>
      <w:r>
        <w:rPr>
          <w:rFonts w:ascii="Arial" w:hAnsi="Arial" w:cs="Arial"/>
          <w:sz w:val="24"/>
          <w:szCs w:val="24"/>
          <w:shd w:val="clear" w:color="auto" w:fill="FFFFFF"/>
        </w:rPr>
        <w:t xml:space="preserve"> wholly</w:t>
      </w:r>
      <w:r w:rsidRPr="00007018">
        <w:rPr>
          <w:rFonts w:ascii="Arial" w:hAnsi="Arial" w:cs="Arial"/>
          <w:sz w:val="24"/>
          <w:szCs w:val="24"/>
          <w:shd w:val="clear" w:color="auto" w:fill="FFFFFF"/>
        </w:rPr>
        <w:t xml:space="preserve"> intelligible to the living. </w:t>
      </w:r>
      <w:r>
        <w:rPr>
          <w:rFonts w:ascii="Arial" w:hAnsi="Arial" w:cs="Arial"/>
          <w:sz w:val="24"/>
          <w:szCs w:val="24"/>
          <w:shd w:val="clear" w:color="auto" w:fill="FFFFFF"/>
        </w:rPr>
        <w:t xml:space="preserve">The complication of summoning up past ‘greats’ </w:t>
      </w:r>
      <w:r w:rsidRPr="00007018">
        <w:rPr>
          <w:rFonts w:ascii="Arial" w:hAnsi="Arial" w:cs="Arial"/>
          <w:sz w:val="24"/>
          <w:szCs w:val="24"/>
          <w:shd w:val="clear" w:color="auto" w:fill="FFFFFF"/>
        </w:rPr>
        <w:t>add</w:t>
      </w:r>
      <w:r>
        <w:rPr>
          <w:rFonts w:ascii="Arial" w:hAnsi="Arial" w:cs="Arial"/>
          <w:sz w:val="24"/>
          <w:szCs w:val="24"/>
          <w:shd w:val="clear" w:color="auto" w:fill="FFFFFF"/>
        </w:rPr>
        <w:t>s</w:t>
      </w:r>
      <w:r w:rsidRPr="00007018">
        <w:rPr>
          <w:rFonts w:ascii="Arial" w:hAnsi="Arial" w:cs="Arial"/>
          <w:sz w:val="24"/>
          <w:szCs w:val="24"/>
          <w:shd w:val="clear" w:color="auto" w:fill="FFFFFF"/>
        </w:rPr>
        <w:t xml:space="preserve"> to the</w:t>
      </w:r>
      <w:r>
        <w:rPr>
          <w:rFonts w:ascii="Arial" w:hAnsi="Arial" w:cs="Arial"/>
          <w:sz w:val="24"/>
          <w:szCs w:val="24"/>
          <w:shd w:val="clear" w:color="auto" w:fill="FFFFFF"/>
        </w:rPr>
        <w:t xml:space="preserve"> sense of the</w:t>
      </w:r>
      <w:r w:rsidRPr="00007018">
        <w:rPr>
          <w:rFonts w:ascii="Arial" w:hAnsi="Arial" w:cs="Arial"/>
          <w:sz w:val="24"/>
          <w:szCs w:val="24"/>
          <w:shd w:val="clear" w:color="auto" w:fill="FFFFFF"/>
        </w:rPr>
        <w:t xml:space="preserve"> overpopulation of time with the dead. </w:t>
      </w:r>
    </w:p>
    <w:p w14:paraId="507330C3" w14:textId="30B3A421" w:rsidR="007436A6" w:rsidRPr="002B20B8" w:rsidRDefault="007436A6" w:rsidP="007436A6">
      <w:pPr>
        <w:spacing w:line="480" w:lineRule="auto"/>
        <w:rPr>
          <w:rFonts w:ascii="Arial" w:hAnsi="Arial" w:cs="Arial"/>
          <w:sz w:val="24"/>
          <w:szCs w:val="24"/>
        </w:rPr>
      </w:pPr>
      <w:r w:rsidRPr="002B20B8">
        <w:rPr>
          <w:rFonts w:ascii="Arial" w:hAnsi="Arial" w:cs="Arial"/>
          <w:sz w:val="24"/>
          <w:szCs w:val="24"/>
        </w:rPr>
        <w:t xml:space="preserve">Henri Bergson enjoyed a brief </w:t>
      </w:r>
      <w:r>
        <w:rPr>
          <w:rFonts w:ascii="Arial" w:hAnsi="Arial" w:cs="Arial"/>
          <w:sz w:val="24"/>
          <w:szCs w:val="24"/>
        </w:rPr>
        <w:t xml:space="preserve">but </w:t>
      </w:r>
      <w:r w:rsidRPr="002B20B8">
        <w:rPr>
          <w:rFonts w:ascii="Arial" w:hAnsi="Arial" w:cs="Arial"/>
          <w:sz w:val="24"/>
          <w:szCs w:val="24"/>
        </w:rPr>
        <w:t xml:space="preserve">stellar moment in the public gaze. Eliot, who like many </w:t>
      </w:r>
      <w:r>
        <w:rPr>
          <w:rFonts w:ascii="Arial" w:hAnsi="Arial" w:cs="Arial"/>
          <w:sz w:val="24"/>
          <w:szCs w:val="24"/>
        </w:rPr>
        <w:t xml:space="preserve">was </w:t>
      </w:r>
      <w:r w:rsidRPr="002B20B8">
        <w:rPr>
          <w:rFonts w:ascii="Arial" w:hAnsi="Arial" w:cs="Arial"/>
          <w:sz w:val="24"/>
          <w:szCs w:val="24"/>
        </w:rPr>
        <w:t>initially struck by Bergson’s ideas on time, explained his ‘</w:t>
      </w:r>
      <w:r>
        <w:rPr>
          <w:rFonts w:ascii="Arial" w:hAnsi="Arial" w:cs="Arial"/>
          <w:sz w:val="24"/>
          <w:szCs w:val="24"/>
        </w:rPr>
        <w:t>“</w:t>
      </w:r>
      <w:r w:rsidRPr="002B20B8">
        <w:rPr>
          <w:rFonts w:ascii="Arial" w:hAnsi="Arial" w:cs="Arial"/>
          <w:sz w:val="24"/>
          <w:szCs w:val="24"/>
        </w:rPr>
        <w:t>temporary conversion to Bergsonism”’ as a ‘seduction’, lured by Bergson</w:t>
      </w:r>
      <w:r w:rsidR="00ED1E79">
        <w:rPr>
          <w:rFonts w:ascii="Arial" w:hAnsi="Arial" w:cs="Arial"/>
          <w:sz w:val="24"/>
          <w:szCs w:val="24"/>
        </w:rPr>
        <w:t>,</w:t>
      </w:r>
      <w:r w:rsidRPr="002B20B8">
        <w:rPr>
          <w:rFonts w:ascii="Arial" w:hAnsi="Arial" w:cs="Arial"/>
          <w:sz w:val="24"/>
          <w:szCs w:val="24"/>
        </w:rPr>
        <w:t xml:space="preserve"> ‘the sweet siren of </w:t>
      </w:r>
      <w:r w:rsidRPr="002B20B8">
        <w:rPr>
          <w:rFonts w:ascii="Arial" w:hAnsi="Arial" w:cs="Arial"/>
          <w:sz w:val="24"/>
          <w:szCs w:val="24"/>
        </w:rPr>
        <w:lastRenderedPageBreak/>
        <w:t>philosophers’.</w:t>
      </w:r>
      <w:r w:rsidRPr="002B20B8">
        <w:rPr>
          <w:rStyle w:val="FootnoteReference"/>
          <w:rFonts w:ascii="Arial" w:hAnsi="Arial" w:cs="Arial"/>
          <w:sz w:val="24"/>
          <w:szCs w:val="24"/>
        </w:rPr>
        <w:footnoteReference w:id="3"/>
      </w:r>
      <w:r w:rsidRPr="002B20B8">
        <w:rPr>
          <w:rFonts w:ascii="Arial" w:hAnsi="Arial" w:cs="Arial"/>
          <w:sz w:val="24"/>
          <w:szCs w:val="24"/>
        </w:rPr>
        <w:t xml:space="preserve"> This conversion and rejection places Eliot in the zeitgeist of modern thought on Bergson and time, so that </w:t>
      </w:r>
      <w:r>
        <w:rPr>
          <w:rFonts w:ascii="Arial" w:hAnsi="Arial" w:cs="Arial"/>
          <w:sz w:val="24"/>
          <w:szCs w:val="24"/>
        </w:rPr>
        <w:t>Eliot’s</w:t>
      </w:r>
      <w:r w:rsidRPr="002B20B8">
        <w:rPr>
          <w:rFonts w:ascii="Arial" w:hAnsi="Arial" w:cs="Arial"/>
          <w:sz w:val="24"/>
          <w:szCs w:val="24"/>
        </w:rPr>
        <w:t xml:space="preserve"> work can be used as an exemplar for exploring this particular modernist preoccupation. </w:t>
      </w:r>
    </w:p>
    <w:p w14:paraId="6E228899" w14:textId="77777777" w:rsidR="007436A6" w:rsidRDefault="007436A6" w:rsidP="007436A6">
      <w:pPr>
        <w:spacing w:line="480" w:lineRule="auto"/>
        <w:rPr>
          <w:rFonts w:ascii="Arial" w:hAnsi="Arial" w:cs="Arial"/>
          <w:sz w:val="24"/>
          <w:szCs w:val="24"/>
        </w:rPr>
      </w:pPr>
      <w:r w:rsidRPr="002B20B8">
        <w:rPr>
          <w:rFonts w:ascii="Arial" w:hAnsi="Arial" w:cs="Arial"/>
          <w:sz w:val="24"/>
          <w:szCs w:val="24"/>
        </w:rPr>
        <w:t xml:space="preserve">However, </w:t>
      </w:r>
      <w:r>
        <w:rPr>
          <w:rFonts w:ascii="Arial" w:hAnsi="Arial" w:cs="Arial"/>
          <w:sz w:val="24"/>
          <w:szCs w:val="24"/>
        </w:rPr>
        <w:t xml:space="preserve">for Eliot, </w:t>
      </w:r>
      <w:r w:rsidRPr="002B20B8">
        <w:rPr>
          <w:rFonts w:ascii="Arial" w:hAnsi="Arial" w:cs="Arial"/>
          <w:sz w:val="24"/>
          <w:szCs w:val="24"/>
        </w:rPr>
        <w:t xml:space="preserve">the trajectory that Bergson’s theory set </w:t>
      </w:r>
      <w:r>
        <w:rPr>
          <w:rFonts w:ascii="Arial" w:hAnsi="Arial" w:cs="Arial"/>
          <w:sz w:val="24"/>
          <w:szCs w:val="24"/>
        </w:rPr>
        <w:t>him</w:t>
      </w:r>
      <w:r w:rsidRPr="002B20B8">
        <w:rPr>
          <w:rFonts w:ascii="Arial" w:hAnsi="Arial" w:cs="Arial"/>
          <w:sz w:val="24"/>
          <w:szCs w:val="24"/>
        </w:rPr>
        <w:t xml:space="preserve"> on </w:t>
      </w:r>
      <w:r>
        <w:rPr>
          <w:rFonts w:ascii="Arial" w:hAnsi="Arial" w:cs="Arial"/>
          <w:sz w:val="24"/>
          <w:szCs w:val="24"/>
        </w:rPr>
        <w:t xml:space="preserve">somewhat </w:t>
      </w:r>
      <w:r w:rsidRPr="002B20B8">
        <w:rPr>
          <w:rFonts w:ascii="Arial" w:hAnsi="Arial" w:cs="Arial"/>
          <w:sz w:val="24"/>
          <w:szCs w:val="24"/>
        </w:rPr>
        <w:t xml:space="preserve">belies this arc. </w:t>
      </w:r>
      <w:r>
        <w:rPr>
          <w:rFonts w:ascii="Arial" w:hAnsi="Arial" w:cs="Arial"/>
          <w:sz w:val="24"/>
          <w:szCs w:val="24"/>
        </w:rPr>
        <w:t>Eliot, a</w:t>
      </w:r>
      <w:r w:rsidRPr="002B20B8">
        <w:rPr>
          <w:rFonts w:ascii="Arial" w:hAnsi="Arial" w:cs="Arial"/>
          <w:sz w:val="24"/>
          <w:szCs w:val="24"/>
        </w:rPr>
        <w:t>t least in his poetic work,</w:t>
      </w:r>
      <w:r>
        <w:rPr>
          <w:rFonts w:ascii="Arial" w:hAnsi="Arial" w:cs="Arial"/>
          <w:sz w:val="24"/>
          <w:szCs w:val="24"/>
        </w:rPr>
        <w:t xml:space="preserve"> </w:t>
      </w:r>
      <w:r w:rsidRPr="002B20B8">
        <w:rPr>
          <w:rFonts w:ascii="Arial" w:hAnsi="Arial" w:cs="Arial"/>
          <w:sz w:val="24"/>
          <w:szCs w:val="24"/>
        </w:rPr>
        <w:t xml:space="preserve">does not simply reject Bergson’s theory of time as </w:t>
      </w:r>
      <w:r>
        <w:rPr>
          <w:rFonts w:ascii="Arial" w:hAnsi="Arial" w:cs="Arial"/>
          <w:sz w:val="24"/>
          <w:szCs w:val="24"/>
        </w:rPr>
        <w:t>something</w:t>
      </w:r>
      <w:r w:rsidRPr="002B20B8">
        <w:rPr>
          <w:rFonts w:ascii="Arial" w:hAnsi="Arial" w:cs="Arial"/>
          <w:sz w:val="24"/>
          <w:szCs w:val="24"/>
        </w:rPr>
        <w:t xml:space="preserve"> that was once of interest but now rebuffed, rather his poetry</w:t>
      </w:r>
      <w:r>
        <w:rPr>
          <w:rFonts w:ascii="Arial" w:hAnsi="Arial" w:cs="Arial"/>
          <w:sz w:val="24"/>
          <w:szCs w:val="24"/>
        </w:rPr>
        <w:t>, even as it problematises the theory,</w:t>
      </w:r>
      <w:r w:rsidRPr="002B20B8">
        <w:rPr>
          <w:rFonts w:ascii="Arial" w:hAnsi="Arial" w:cs="Arial"/>
          <w:sz w:val="24"/>
          <w:szCs w:val="24"/>
        </w:rPr>
        <w:t xml:space="preserve"> continues </w:t>
      </w:r>
      <w:r>
        <w:rPr>
          <w:rFonts w:ascii="Arial" w:hAnsi="Arial" w:cs="Arial"/>
          <w:sz w:val="24"/>
          <w:szCs w:val="24"/>
        </w:rPr>
        <w:t>to inhabit it</w:t>
      </w:r>
      <w:r w:rsidRPr="002B20B8">
        <w:rPr>
          <w:rFonts w:ascii="Arial" w:hAnsi="Arial" w:cs="Arial"/>
          <w:sz w:val="24"/>
          <w:szCs w:val="24"/>
        </w:rPr>
        <w:t>. As Spears Brooker observes ‘the last word on Eliot’s response to [Berg</w:t>
      </w:r>
      <w:r>
        <w:rPr>
          <w:rFonts w:ascii="Arial" w:hAnsi="Arial" w:cs="Arial"/>
          <w:sz w:val="24"/>
          <w:szCs w:val="24"/>
        </w:rPr>
        <w:t>so</w:t>
      </w:r>
      <w:r w:rsidRPr="002B20B8">
        <w:rPr>
          <w:rFonts w:ascii="Arial" w:hAnsi="Arial" w:cs="Arial"/>
          <w:sz w:val="24"/>
          <w:szCs w:val="24"/>
        </w:rPr>
        <w:t>n] lie[s] in […] the […] traces of Bergsonian motifs in his poetry’.</w:t>
      </w:r>
      <w:r w:rsidRPr="002B20B8">
        <w:rPr>
          <w:rStyle w:val="FootnoteReference"/>
          <w:rFonts w:ascii="Arial" w:hAnsi="Arial" w:cs="Arial"/>
          <w:sz w:val="24"/>
          <w:szCs w:val="24"/>
        </w:rPr>
        <w:footnoteReference w:id="4"/>
      </w:r>
      <w:r w:rsidRPr="002B20B8">
        <w:rPr>
          <w:rFonts w:ascii="Arial" w:hAnsi="Arial" w:cs="Arial"/>
          <w:sz w:val="24"/>
          <w:szCs w:val="24"/>
        </w:rPr>
        <w:t xml:space="preserve"> Thus Eliot’s work will be read as simultaneously embracing and rejecting Bergson’s theory</w:t>
      </w:r>
      <w:r>
        <w:rPr>
          <w:rFonts w:ascii="Arial" w:hAnsi="Arial" w:cs="Arial"/>
          <w:sz w:val="24"/>
          <w:szCs w:val="24"/>
        </w:rPr>
        <w:t>, developing a</w:t>
      </w:r>
      <w:r w:rsidRPr="002B20B8">
        <w:rPr>
          <w:rFonts w:ascii="Arial" w:hAnsi="Arial" w:cs="Arial"/>
          <w:sz w:val="24"/>
          <w:szCs w:val="24"/>
        </w:rPr>
        <w:t xml:space="preserve"> sophisticated, modernist response to the complexities of time</w:t>
      </w:r>
      <w:r>
        <w:rPr>
          <w:rFonts w:ascii="Arial" w:hAnsi="Arial" w:cs="Arial"/>
          <w:sz w:val="24"/>
          <w:szCs w:val="24"/>
        </w:rPr>
        <w:t xml:space="preserve"> in an era that had recently become so heavily populated by the dead</w:t>
      </w:r>
      <w:r w:rsidRPr="002B20B8">
        <w:rPr>
          <w:rFonts w:ascii="Arial" w:hAnsi="Arial" w:cs="Arial"/>
          <w:sz w:val="24"/>
          <w:szCs w:val="24"/>
        </w:rPr>
        <w:t xml:space="preserve">. </w:t>
      </w:r>
    </w:p>
    <w:p w14:paraId="3DDF34AB" w14:textId="77777777" w:rsidR="007436A6" w:rsidRDefault="007436A6" w:rsidP="007436A6">
      <w:pPr>
        <w:spacing w:line="480" w:lineRule="auto"/>
      </w:pPr>
      <w:r>
        <w:rPr>
          <w:rFonts w:ascii="Arial" w:hAnsi="Arial" w:cs="Arial"/>
          <w:sz w:val="24"/>
          <w:szCs w:val="24"/>
        </w:rPr>
        <w:t xml:space="preserve">Bergson describes a quantitative (clock) time, one that is time divided into years, months, weeks, days, hours, minutes, seconds, as an artificial compartmentalising of time. Maguire summarises what Bergson saw as problematic in this: </w:t>
      </w:r>
      <w:r w:rsidRPr="0075328B">
        <w:rPr>
          <w:rFonts w:ascii="Arial" w:hAnsi="Arial" w:cs="Arial"/>
          <w:sz w:val="24"/>
          <w:szCs w:val="24"/>
        </w:rPr>
        <w:t>‘we inadvertently spatialize time when we refer to it as linear or measurable, […] real time—or durée—is something that can only be experienced not quantified’</w:t>
      </w:r>
      <w:r>
        <w:rPr>
          <w:rFonts w:ascii="Arial" w:hAnsi="Arial" w:cs="Arial"/>
          <w:sz w:val="24"/>
          <w:szCs w:val="24"/>
        </w:rPr>
        <w:t>.</w:t>
      </w:r>
      <w:r>
        <w:rPr>
          <w:rStyle w:val="FootnoteReference"/>
          <w:rFonts w:ascii="Arial" w:hAnsi="Arial" w:cs="Arial"/>
          <w:sz w:val="24"/>
          <w:szCs w:val="24"/>
        </w:rPr>
        <w:footnoteReference w:id="5"/>
      </w:r>
      <w:r>
        <w:t xml:space="preserve"> </w:t>
      </w:r>
      <w:r>
        <w:rPr>
          <w:rFonts w:ascii="Arial" w:hAnsi="Arial" w:cs="Arial"/>
          <w:sz w:val="24"/>
          <w:szCs w:val="24"/>
        </w:rPr>
        <w:t xml:space="preserve">This artificial time had extended its reach since, in the mid-1800s, the need for a </w:t>
      </w:r>
      <w:r>
        <w:rPr>
          <w:rFonts w:ascii="Arial" w:hAnsi="Arial" w:cs="Arial"/>
          <w:sz w:val="24"/>
          <w:szCs w:val="24"/>
        </w:rPr>
        <w:lastRenderedPageBreak/>
        <w:t>standardised system to ensure the safe and smooth running of the railway system contrived to enforce a centralised time over a local time.</w:t>
      </w:r>
      <w:r>
        <w:rPr>
          <w:rStyle w:val="FootnoteReference"/>
          <w:rFonts w:ascii="Arial" w:hAnsi="Arial" w:cs="Arial"/>
          <w:sz w:val="24"/>
          <w:szCs w:val="24"/>
        </w:rPr>
        <w:footnoteReference w:id="6"/>
      </w:r>
      <w:r>
        <w:rPr>
          <w:rFonts w:ascii="Arial" w:hAnsi="Arial" w:cs="Arial"/>
          <w:sz w:val="24"/>
          <w:szCs w:val="24"/>
        </w:rPr>
        <w:t xml:space="preserve"> </w:t>
      </w:r>
    </w:p>
    <w:p w14:paraId="36F44AEE" w14:textId="77777777" w:rsidR="007436A6" w:rsidRDefault="007436A6" w:rsidP="007436A6">
      <w:pPr>
        <w:spacing w:line="480" w:lineRule="auto"/>
        <w:rPr>
          <w:rFonts w:ascii="Arial" w:hAnsi="Arial" w:cs="Arial"/>
          <w:color w:val="1A1A1A"/>
          <w:sz w:val="24"/>
          <w:szCs w:val="24"/>
          <w:shd w:val="clear" w:color="auto" w:fill="FFFFFF"/>
        </w:rPr>
      </w:pPr>
      <w:r>
        <w:rPr>
          <w:rFonts w:ascii="Arial" w:hAnsi="Arial" w:cs="Arial"/>
          <w:sz w:val="24"/>
          <w:szCs w:val="24"/>
        </w:rPr>
        <w:t xml:space="preserve">This was a further dislocation from la durée, from the real time that an individual experienced, an eternal time that connected the individual to all of the past and the future, where </w:t>
      </w:r>
      <w:r w:rsidRPr="002F0173">
        <w:rPr>
          <w:rFonts w:ascii="Arial" w:hAnsi="Arial" w:cs="Arial"/>
          <w:sz w:val="24"/>
          <w:szCs w:val="24"/>
        </w:rPr>
        <w:t>‘</w:t>
      </w:r>
      <w:r w:rsidRPr="002F0173">
        <w:rPr>
          <w:rFonts w:ascii="Arial" w:hAnsi="Arial" w:cs="Arial"/>
          <w:color w:val="1A1A1A"/>
          <w:sz w:val="24"/>
          <w:szCs w:val="24"/>
          <w:shd w:val="clear" w:color="auto" w:fill="FFFFFF"/>
        </w:rPr>
        <w:t>every single one that comes into existence must be related, as a part, to the others. </w:t>
      </w:r>
      <w:r w:rsidRPr="002F0173">
        <w:rPr>
          <w:rStyle w:val="Emphasis"/>
          <w:rFonts w:ascii="Arial" w:hAnsi="Arial" w:cs="Arial"/>
          <w:color w:val="1A1A1A"/>
          <w:sz w:val="24"/>
          <w:szCs w:val="24"/>
          <w:shd w:val="clear" w:color="auto" w:fill="FFFFFF"/>
        </w:rPr>
        <w:t>The</w:t>
      </w:r>
      <w:r w:rsidRPr="002F0173">
        <w:rPr>
          <w:rFonts w:ascii="Arial" w:hAnsi="Arial" w:cs="Arial"/>
          <w:color w:val="1A1A1A"/>
          <w:sz w:val="24"/>
          <w:szCs w:val="24"/>
          <w:shd w:val="clear" w:color="auto" w:fill="FFFFFF"/>
        </w:rPr>
        <w:t> duration [la durée] is that to which everything is related and […] is absolute.</w:t>
      </w:r>
      <w:r>
        <w:rPr>
          <w:rFonts w:ascii="Arial" w:hAnsi="Arial" w:cs="Arial"/>
          <w:color w:val="1A1A1A"/>
          <w:sz w:val="24"/>
          <w:szCs w:val="24"/>
          <w:shd w:val="clear" w:color="auto" w:fill="FFFFFF"/>
        </w:rPr>
        <w:t>’</w:t>
      </w:r>
      <w:r>
        <w:rPr>
          <w:rStyle w:val="FootnoteReference"/>
          <w:rFonts w:ascii="Arial" w:hAnsi="Arial" w:cs="Arial"/>
          <w:color w:val="1A1A1A"/>
          <w:sz w:val="24"/>
          <w:szCs w:val="24"/>
          <w:shd w:val="clear" w:color="auto" w:fill="FFFFFF"/>
        </w:rPr>
        <w:footnoteReference w:id="7"/>
      </w:r>
      <w:r>
        <w:rPr>
          <w:rFonts w:ascii="Arial" w:hAnsi="Arial" w:cs="Arial"/>
          <w:color w:val="1A1A1A"/>
          <w:sz w:val="24"/>
          <w:szCs w:val="24"/>
          <w:shd w:val="clear" w:color="auto" w:fill="FFFFFF"/>
        </w:rPr>
        <w:t xml:space="preserve"> </w:t>
      </w:r>
    </w:p>
    <w:p w14:paraId="54EB58E3" w14:textId="0B3CDB22" w:rsidR="007436A6" w:rsidRDefault="007436A6" w:rsidP="007436A6">
      <w:pPr>
        <w:spacing w:line="480" w:lineRule="auto"/>
        <w:rPr>
          <w:rFonts w:ascii="Arial" w:hAnsi="Arial" w:cs="Arial"/>
          <w:color w:val="1A1A1A"/>
          <w:sz w:val="24"/>
          <w:szCs w:val="24"/>
          <w:shd w:val="clear" w:color="auto" w:fill="FFFFFF"/>
        </w:rPr>
      </w:pPr>
      <w:r>
        <w:rPr>
          <w:rFonts w:ascii="Arial" w:hAnsi="Arial" w:cs="Arial"/>
          <w:color w:val="1A1A1A"/>
          <w:sz w:val="24"/>
          <w:szCs w:val="24"/>
          <w:shd w:val="clear" w:color="auto" w:fill="FFFFFF"/>
        </w:rPr>
        <w:t xml:space="preserve">The interpenetrating nature of each aspect of durée, that offers countless unseen connections in time, does not seem to be creating a manageable sense of time in the modernist world, however. While in 1912 the </w:t>
      </w:r>
      <w:r>
        <w:rPr>
          <w:rFonts w:ascii="Arial" w:hAnsi="Arial" w:cs="Arial"/>
          <w:i/>
          <w:iCs/>
          <w:color w:val="1A1A1A"/>
          <w:sz w:val="24"/>
          <w:szCs w:val="24"/>
          <w:shd w:val="clear" w:color="auto" w:fill="FFFFFF"/>
        </w:rPr>
        <w:t>Nude</w:t>
      </w:r>
      <w:r>
        <w:rPr>
          <w:rFonts w:ascii="Arial" w:hAnsi="Arial" w:cs="Arial"/>
          <w:color w:val="1A1A1A"/>
          <w:sz w:val="24"/>
          <w:szCs w:val="24"/>
          <w:shd w:val="clear" w:color="auto" w:fill="FFFFFF"/>
        </w:rPr>
        <w:t xml:space="preserve"> leaves a sense of pattern formed by what passes through time, and the promise of pattern yet to come, ‘Prufrock’ is already articulating the inertia of the modern human unable to see, make sense of, or shape a pattern amongst the shards. Thus, the interconnected heterogeneity of durée, that offered the concept of time through movement, lies ‘etherized upon a table’.</w:t>
      </w:r>
      <w:r>
        <w:rPr>
          <w:rStyle w:val="FootnoteReference"/>
          <w:rFonts w:ascii="Arial" w:hAnsi="Arial" w:cs="Arial"/>
          <w:color w:val="1A1A1A"/>
          <w:sz w:val="24"/>
          <w:szCs w:val="24"/>
          <w:shd w:val="clear" w:color="auto" w:fill="FFFFFF"/>
        </w:rPr>
        <w:footnoteReference w:id="8"/>
      </w:r>
      <w:r>
        <w:rPr>
          <w:rFonts w:ascii="Arial" w:hAnsi="Arial" w:cs="Arial"/>
          <w:color w:val="1A1A1A"/>
          <w:sz w:val="24"/>
          <w:szCs w:val="24"/>
          <w:shd w:val="clear" w:color="auto" w:fill="FFFFFF"/>
        </w:rPr>
        <w:t xml:space="preserve"> Despite Eliot’s eventual rejection of Bergson’s work, this is more a dissatisfaction with modernity than durée.</w:t>
      </w:r>
      <w:r>
        <w:rPr>
          <w:rStyle w:val="FootnoteReference"/>
          <w:rFonts w:ascii="Arial" w:hAnsi="Arial" w:cs="Arial"/>
          <w:color w:val="1A1A1A"/>
          <w:sz w:val="24"/>
          <w:szCs w:val="24"/>
          <w:shd w:val="clear" w:color="auto" w:fill="FFFFFF"/>
        </w:rPr>
        <w:footnoteReference w:id="9"/>
      </w:r>
      <w:r>
        <w:rPr>
          <w:rFonts w:ascii="Arial" w:hAnsi="Arial" w:cs="Arial"/>
          <w:color w:val="1A1A1A"/>
          <w:sz w:val="24"/>
          <w:szCs w:val="24"/>
          <w:shd w:val="clear" w:color="auto" w:fill="FFFFFF"/>
        </w:rPr>
        <w:t xml:space="preserve"> Durée is being overwritten by clock time with its drive to compartmentalise, to focus on a present loosed from the past and its preference instead for endorsing the future. In ‘Prufrock’, the modern human is </w:t>
      </w:r>
      <w:r>
        <w:rPr>
          <w:rFonts w:ascii="Arial" w:hAnsi="Arial" w:cs="Arial"/>
          <w:color w:val="1A1A1A"/>
          <w:sz w:val="24"/>
          <w:szCs w:val="24"/>
          <w:shd w:val="clear" w:color="auto" w:fill="FFFFFF"/>
        </w:rPr>
        <w:lastRenderedPageBreak/>
        <w:t xml:space="preserve">already suffering disconnection from the voice of past greats, and </w:t>
      </w:r>
      <w:r w:rsidR="00936706">
        <w:rPr>
          <w:rFonts w:ascii="Arial" w:hAnsi="Arial" w:cs="Arial"/>
          <w:color w:val="1A1A1A"/>
          <w:sz w:val="24"/>
          <w:szCs w:val="24"/>
          <w:shd w:val="clear" w:color="auto" w:fill="FFFFFF"/>
        </w:rPr>
        <w:t xml:space="preserve">is </w:t>
      </w:r>
      <w:r>
        <w:rPr>
          <w:rFonts w:ascii="Arial" w:hAnsi="Arial" w:cs="Arial"/>
          <w:color w:val="1A1A1A"/>
          <w:sz w:val="24"/>
          <w:szCs w:val="24"/>
          <w:shd w:val="clear" w:color="auto" w:fill="FFFFFF"/>
        </w:rPr>
        <w:t xml:space="preserve">disconcerted by the knowledge that they are unequal to the task of making meaning. </w:t>
      </w:r>
      <w:r w:rsidR="00936706">
        <w:rPr>
          <w:rFonts w:ascii="Arial" w:hAnsi="Arial" w:cs="Arial"/>
          <w:color w:val="1A1A1A"/>
          <w:sz w:val="24"/>
          <w:szCs w:val="24"/>
          <w:shd w:val="clear" w:color="auto" w:fill="FFFFFF"/>
        </w:rPr>
        <w:t xml:space="preserve">In </w:t>
      </w:r>
      <w:r>
        <w:rPr>
          <w:rFonts w:ascii="Arial" w:hAnsi="Arial" w:cs="Arial"/>
          <w:i/>
          <w:iCs/>
          <w:color w:val="1A1A1A"/>
          <w:sz w:val="24"/>
          <w:szCs w:val="24"/>
          <w:shd w:val="clear" w:color="auto" w:fill="FFFFFF"/>
        </w:rPr>
        <w:t>The Waste Land</w:t>
      </w:r>
      <w:r w:rsidR="00936706">
        <w:rPr>
          <w:rFonts w:ascii="Arial" w:hAnsi="Arial" w:cs="Arial"/>
          <w:color w:val="1A1A1A"/>
          <w:sz w:val="24"/>
          <w:szCs w:val="24"/>
          <w:shd w:val="clear" w:color="auto" w:fill="FFFFFF"/>
        </w:rPr>
        <w:t>,</w:t>
      </w:r>
      <w:r>
        <w:rPr>
          <w:rFonts w:ascii="Arial" w:hAnsi="Arial" w:cs="Arial"/>
          <w:color w:val="1A1A1A"/>
          <w:sz w:val="24"/>
          <w:szCs w:val="24"/>
          <w:shd w:val="clear" w:color="auto" w:fill="FFFFFF"/>
        </w:rPr>
        <w:t xml:space="preserve"> these voices are entirely splintered. The knowledge they offer is there but becoming meaningless soundbites cluttering the atmosphere, in a world that seeks to clear them into that ‘phrase of censure’</w:t>
      </w:r>
      <w:r w:rsidR="0094066E">
        <w:rPr>
          <w:rFonts w:ascii="Arial" w:hAnsi="Arial" w:cs="Arial"/>
          <w:color w:val="1A1A1A"/>
          <w:sz w:val="24"/>
          <w:szCs w:val="24"/>
          <w:shd w:val="clear" w:color="auto" w:fill="FFFFFF"/>
        </w:rPr>
        <w:t>,</w:t>
      </w:r>
      <w:r>
        <w:rPr>
          <w:rFonts w:ascii="Arial" w:hAnsi="Arial" w:cs="Arial"/>
          <w:color w:val="1A1A1A"/>
          <w:sz w:val="24"/>
          <w:szCs w:val="24"/>
          <w:shd w:val="clear" w:color="auto" w:fill="FFFFFF"/>
        </w:rPr>
        <w:t xml:space="preserve"> the ‘“too traditional”’.</w:t>
      </w:r>
      <w:r>
        <w:rPr>
          <w:rStyle w:val="FootnoteReference"/>
          <w:rFonts w:ascii="Arial" w:hAnsi="Arial" w:cs="Arial"/>
          <w:color w:val="1A1A1A"/>
          <w:sz w:val="24"/>
          <w:szCs w:val="24"/>
          <w:shd w:val="clear" w:color="auto" w:fill="FFFFFF"/>
        </w:rPr>
        <w:footnoteReference w:id="10"/>
      </w:r>
    </w:p>
    <w:p w14:paraId="63BDE0CB" w14:textId="77777777" w:rsidR="007436A6" w:rsidRDefault="007436A6" w:rsidP="007436A6">
      <w:pPr>
        <w:spacing w:line="480" w:lineRule="auto"/>
        <w:rPr>
          <w:rFonts w:ascii="Arial" w:hAnsi="Arial" w:cs="Arial"/>
          <w:color w:val="1A1A1A"/>
          <w:sz w:val="24"/>
          <w:szCs w:val="24"/>
          <w:shd w:val="clear" w:color="auto" w:fill="FFFFFF"/>
        </w:rPr>
      </w:pPr>
      <w:r>
        <w:rPr>
          <w:rFonts w:ascii="Arial" w:hAnsi="Arial" w:cs="Arial"/>
          <w:color w:val="1A1A1A"/>
          <w:sz w:val="24"/>
          <w:szCs w:val="24"/>
          <w:shd w:val="clear" w:color="auto" w:fill="FFFFFF"/>
        </w:rPr>
        <w:t xml:space="preserve">In </w:t>
      </w:r>
      <w:r>
        <w:rPr>
          <w:rFonts w:ascii="Arial" w:hAnsi="Arial" w:cs="Arial"/>
          <w:i/>
          <w:iCs/>
          <w:color w:val="1A1A1A"/>
          <w:sz w:val="24"/>
          <w:szCs w:val="24"/>
          <w:shd w:val="clear" w:color="auto" w:fill="FFFFFF"/>
        </w:rPr>
        <w:t xml:space="preserve">The Waste Land, </w:t>
      </w:r>
      <w:r>
        <w:rPr>
          <w:rFonts w:ascii="Arial" w:hAnsi="Arial" w:cs="Arial"/>
          <w:color w:val="1A1A1A"/>
          <w:sz w:val="24"/>
          <w:szCs w:val="24"/>
          <w:shd w:val="clear" w:color="auto" w:fill="FFFFFF"/>
        </w:rPr>
        <w:t>the fragmentation of eternal time is presented in the manner that captures how it is felt (according to Eliot) in the modern world. It is a sound collage, replicating the sound collage of a modern life, snippets of words and phrases simultaneously pregnant with, and barren of, meaning. The work of the philosophers and writers stretching back through time, incomprehensible to many, jostle for space amongst a variety of voices from the present (or near present) of the early 20</w:t>
      </w:r>
      <w:r w:rsidRPr="005E5E98">
        <w:rPr>
          <w:rFonts w:ascii="Arial" w:hAnsi="Arial" w:cs="Arial"/>
          <w:color w:val="1A1A1A"/>
          <w:sz w:val="24"/>
          <w:szCs w:val="24"/>
          <w:shd w:val="clear" w:color="auto" w:fill="FFFFFF"/>
          <w:vertAlign w:val="superscript"/>
        </w:rPr>
        <w:t>th</w:t>
      </w:r>
      <w:r>
        <w:rPr>
          <w:rFonts w:ascii="Arial" w:hAnsi="Arial" w:cs="Arial"/>
          <w:color w:val="1A1A1A"/>
          <w:sz w:val="24"/>
          <w:szCs w:val="24"/>
          <w:shd w:val="clear" w:color="auto" w:fill="FFFFFF"/>
        </w:rPr>
        <w:t xml:space="preserve"> century. Thus, it is a sound picture pieced together not with knowledge but with feeling. The same sensation of confusion that paralyses modern life must, to some extent, be accepted as the first sensation that </w:t>
      </w:r>
      <w:r>
        <w:rPr>
          <w:rFonts w:ascii="Arial" w:hAnsi="Arial" w:cs="Arial"/>
          <w:i/>
          <w:iCs/>
          <w:color w:val="1A1A1A"/>
          <w:sz w:val="24"/>
          <w:szCs w:val="24"/>
          <w:shd w:val="clear" w:color="auto" w:fill="FFFFFF"/>
        </w:rPr>
        <w:t>The Waste Land</w:t>
      </w:r>
      <w:r>
        <w:rPr>
          <w:rFonts w:ascii="Arial" w:hAnsi="Arial" w:cs="Arial"/>
          <w:color w:val="1A1A1A"/>
          <w:sz w:val="24"/>
          <w:szCs w:val="24"/>
          <w:shd w:val="clear" w:color="auto" w:fill="FFFFFF"/>
        </w:rPr>
        <w:t xml:space="preserve">, and indeed ‘Prufrock’ wish to elicit. You must surrender to the poems, ‘like a patient etherized upon a table’ (l. 3), accept not knowing with what is familiar and listen to the ‘song’ below it. </w:t>
      </w:r>
    </w:p>
    <w:p w14:paraId="0665ADE8" w14:textId="225C0F51" w:rsidR="007436A6" w:rsidRDefault="007436A6" w:rsidP="007436A6">
      <w:pPr>
        <w:spacing w:line="480" w:lineRule="auto"/>
        <w:rPr>
          <w:rFonts w:ascii="Arial" w:hAnsi="Arial" w:cs="Arial"/>
          <w:color w:val="1A1A1A"/>
          <w:sz w:val="24"/>
          <w:szCs w:val="24"/>
          <w:shd w:val="clear" w:color="auto" w:fill="FFFFFF"/>
        </w:rPr>
      </w:pPr>
      <w:r>
        <w:rPr>
          <w:rFonts w:ascii="Arial" w:hAnsi="Arial" w:cs="Arial"/>
          <w:color w:val="1A1A1A"/>
          <w:sz w:val="24"/>
          <w:szCs w:val="24"/>
          <w:shd w:val="clear" w:color="auto" w:fill="FFFFFF"/>
        </w:rPr>
        <w:t xml:space="preserve">Both poems offer the armistice of twilight. In ‘Prufrock’ it is the evening ‘spread out against the sky’ (l. 2) that offers an etherised state, some altered consciousness that might allow ‘travel’ between life and death. Whilst in </w:t>
      </w:r>
      <w:r>
        <w:rPr>
          <w:rFonts w:ascii="Arial" w:hAnsi="Arial" w:cs="Arial"/>
          <w:i/>
          <w:iCs/>
          <w:color w:val="1A1A1A"/>
          <w:sz w:val="24"/>
          <w:szCs w:val="24"/>
          <w:shd w:val="clear" w:color="auto" w:fill="FFFFFF"/>
        </w:rPr>
        <w:t>The Waste Land</w:t>
      </w:r>
      <w:r w:rsidR="00EA0D21">
        <w:rPr>
          <w:rFonts w:ascii="Arial" w:hAnsi="Arial" w:cs="Arial"/>
          <w:color w:val="1A1A1A"/>
          <w:sz w:val="24"/>
          <w:szCs w:val="24"/>
          <w:shd w:val="clear" w:color="auto" w:fill="FFFFFF"/>
        </w:rPr>
        <w:t>,</w:t>
      </w:r>
      <w:r>
        <w:rPr>
          <w:rFonts w:ascii="Arial" w:hAnsi="Arial" w:cs="Arial"/>
          <w:color w:val="1A1A1A"/>
          <w:sz w:val="24"/>
          <w:szCs w:val="24"/>
          <w:shd w:val="clear" w:color="auto" w:fill="FFFFFF"/>
        </w:rPr>
        <w:t xml:space="preserve"> it is the ‘violet hour’ (l.15) of evening when Tiresias ‘throbs between two lives’ (l.218) and ‘can see’, and the ‘violet air’ (l.372) and the ‘violet light’ (l. 379) when the presence of the </w:t>
      </w:r>
      <w:r>
        <w:rPr>
          <w:rFonts w:ascii="Arial" w:hAnsi="Arial" w:cs="Arial"/>
          <w:color w:val="1A1A1A"/>
          <w:sz w:val="24"/>
          <w:szCs w:val="24"/>
          <w:shd w:val="clear" w:color="auto" w:fill="FFFFFF"/>
        </w:rPr>
        <w:lastRenderedPageBreak/>
        <w:t>thunder, the voice that offers the clues to managing time, is heralded.</w:t>
      </w:r>
      <w:r>
        <w:rPr>
          <w:rStyle w:val="FootnoteReference"/>
          <w:rFonts w:ascii="Arial" w:hAnsi="Arial" w:cs="Arial"/>
          <w:color w:val="1A1A1A"/>
          <w:sz w:val="24"/>
          <w:szCs w:val="24"/>
          <w:shd w:val="clear" w:color="auto" w:fill="FFFFFF"/>
        </w:rPr>
        <w:footnoteReference w:id="11"/>
      </w:r>
      <w:r>
        <w:rPr>
          <w:rFonts w:ascii="Arial" w:hAnsi="Arial" w:cs="Arial"/>
          <w:color w:val="1A1A1A"/>
          <w:sz w:val="24"/>
          <w:szCs w:val="24"/>
          <w:shd w:val="clear" w:color="auto" w:fill="FFFFFF"/>
        </w:rPr>
        <w:t xml:space="preserve"> Evening is suffuse</w:t>
      </w:r>
      <w:r w:rsidR="00844C86">
        <w:rPr>
          <w:rFonts w:ascii="Arial" w:hAnsi="Arial" w:cs="Arial"/>
          <w:color w:val="1A1A1A"/>
          <w:sz w:val="24"/>
          <w:szCs w:val="24"/>
          <w:shd w:val="clear" w:color="auto" w:fill="FFFFFF"/>
        </w:rPr>
        <w:t>d</w:t>
      </w:r>
      <w:r>
        <w:rPr>
          <w:rFonts w:ascii="Arial" w:hAnsi="Arial" w:cs="Arial"/>
          <w:color w:val="1A1A1A"/>
          <w:sz w:val="24"/>
          <w:szCs w:val="24"/>
          <w:shd w:val="clear" w:color="auto" w:fill="FFFFFF"/>
        </w:rPr>
        <w:t xml:space="preserve"> with the purple glow of the Elysian fields, the area of the underworld where Aeneas finally finds and communes with his dead father.</w:t>
      </w:r>
      <w:r>
        <w:rPr>
          <w:rStyle w:val="FootnoteReference"/>
          <w:rFonts w:ascii="Arial" w:hAnsi="Arial" w:cs="Arial"/>
          <w:color w:val="1A1A1A"/>
          <w:sz w:val="24"/>
          <w:szCs w:val="24"/>
          <w:shd w:val="clear" w:color="auto" w:fill="FFFFFF"/>
        </w:rPr>
        <w:footnoteReference w:id="12"/>
      </w:r>
      <w:r>
        <w:rPr>
          <w:rFonts w:ascii="Arial" w:hAnsi="Arial" w:cs="Arial"/>
          <w:color w:val="1A1A1A"/>
          <w:sz w:val="24"/>
          <w:szCs w:val="24"/>
          <w:shd w:val="clear" w:color="auto" w:fill="FFFFFF"/>
        </w:rPr>
        <w:t xml:space="preserve"> The evening, then, is some daily gap in time, where one is nearest to discovering a truth, or determining a course of action, where there is a possibility of descending to the underworld to receive wisdom from the dead. This is</w:t>
      </w:r>
      <w:r w:rsidR="00AF3C62">
        <w:rPr>
          <w:rFonts w:ascii="Arial" w:hAnsi="Arial" w:cs="Arial"/>
          <w:color w:val="1A1A1A"/>
          <w:sz w:val="24"/>
          <w:szCs w:val="24"/>
          <w:shd w:val="clear" w:color="auto" w:fill="FFFFFF"/>
        </w:rPr>
        <w:t xml:space="preserve"> the</w:t>
      </w:r>
      <w:r>
        <w:rPr>
          <w:rFonts w:ascii="Arial" w:hAnsi="Arial" w:cs="Arial"/>
          <w:color w:val="1A1A1A"/>
          <w:sz w:val="24"/>
          <w:szCs w:val="24"/>
          <w:shd w:val="clear" w:color="auto" w:fill="FFFFFF"/>
        </w:rPr>
        <w:t xml:space="preserve"> poetic form of Eliot’s solution for a figure in fractured but eternal time</w:t>
      </w:r>
      <w:r w:rsidR="00686E36">
        <w:rPr>
          <w:rFonts w:ascii="Arial" w:hAnsi="Arial" w:cs="Arial"/>
          <w:color w:val="1A1A1A"/>
          <w:sz w:val="24"/>
          <w:szCs w:val="24"/>
          <w:shd w:val="clear" w:color="auto" w:fill="FFFFFF"/>
        </w:rPr>
        <w:t xml:space="preserve"> </w:t>
      </w:r>
      <w:r>
        <w:rPr>
          <w:rFonts w:ascii="Arial" w:hAnsi="Arial" w:cs="Arial"/>
          <w:color w:val="1A1A1A"/>
          <w:sz w:val="24"/>
          <w:szCs w:val="24"/>
          <w:shd w:val="clear" w:color="auto" w:fill="FFFFFF"/>
        </w:rPr>
        <w:t>that is called for in his essay ‘Tradition and the Individual Talent’</w:t>
      </w:r>
      <w:r w:rsidR="00686E36">
        <w:rPr>
          <w:rFonts w:ascii="Arial" w:hAnsi="Arial" w:cs="Arial"/>
          <w:color w:val="1A1A1A"/>
          <w:sz w:val="24"/>
          <w:szCs w:val="24"/>
          <w:shd w:val="clear" w:color="auto" w:fill="FFFFFF"/>
        </w:rPr>
        <w:t>. I</w:t>
      </w:r>
      <w:r>
        <w:rPr>
          <w:rFonts w:ascii="Arial" w:hAnsi="Arial" w:cs="Arial"/>
          <w:color w:val="1A1A1A"/>
          <w:sz w:val="24"/>
          <w:szCs w:val="24"/>
          <w:shd w:val="clear" w:color="auto" w:fill="FFFFFF"/>
        </w:rPr>
        <w:t>t is communication with the dead (with whom the artist is in ‘simultaneous existence’).</w:t>
      </w:r>
      <w:r>
        <w:rPr>
          <w:rStyle w:val="FootnoteReference"/>
          <w:rFonts w:ascii="Arial" w:hAnsi="Arial" w:cs="Arial"/>
          <w:color w:val="1A1A1A"/>
          <w:sz w:val="24"/>
          <w:szCs w:val="24"/>
          <w:shd w:val="clear" w:color="auto" w:fill="FFFFFF"/>
        </w:rPr>
        <w:footnoteReference w:id="13"/>
      </w:r>
    </w:p>
    <w:p w14:paraId="05CD4ED0" w14:textId="6CA20D41" w:rsidR="007436A6" w:rsidRDefault="007436A6" w:rsidP="007436A6">
      <w:pPr>
        <w:spacing w:line="480" w:lineRule="auto"/>
        <w:rPr>
          <w:rFonts w:ascii="Arial" w:hAnsi="Arial" w:cs="Arial"/>
          <w:color w:val="000020"/>
          <w:sz w:val="24"/>
          <w:szCs w:val="24"/>
          <w:shd w:val="clear" w:color="auto" w:fill="FFFFFF"/>
        </w:rPr>
      </w:pPr>
      <w:r>
        <w:rPr>
          <w:rFonts w:ascii="Arial" w:hAnsi="Arial" w:cs="Arial"/>
          <w:color w:val="1A1A1A"/>
          <w:sz w:val="24"/>
          <w:szCs w:val="24"/>
          <w:shd w:val="clear" w:color="auto" w:fill="FFFFFF"/>
        </w:rPr>
        <w:t>What Eliot was suggesting was claiming back tradition. It had become a term that had been relegated to the description of the unsophisticated and outmoded, and he wished to return it to a term that indicated the rich seam of past philosophical and artistic thought available to the modern poet.</w:t>
      </w:r>
      <w:r w:rsidRPr="00A30F8B">
        <w:rPr>
          <w:rFonts w:ascii="Arial" w:hAnsi="Arial" w:cs="Arial"/>
          <w:color w:val="000020"/>
          <w:sz w:val="24"/>
          <w:szCs w:val="24"/>
          <w:shd w:val="clear" w:color="auto" w:fill="FFFFFF"/>
        </w:rPr>
        <w:t xml:space="preserve"> </w:t>
      </w:r>
      <w:r>
        <w:rPr>
          <w:rFonts w:ascii="Arial" w:hAnsi="Arial" w:cs="Arial"/>
          <w:color w:val="000020"/>
          <w:sz w:val="24"/>
          <w:szCs w:val="24"/>
          <w:shd w:val="clear" w:color="auto" w:fill="FFFFFF"/>
        </w:rPr>
        <w:t>Eliot believed the poet to be both a catalyst and ‘a receptacle for seizing and storing up numberless feelings, phrases, images, which remain there until all the particles which can unite to form a new compound are present together.’</w:t>
      </w:r>
      <w:r>
        <w:rPr>
          <w:rStyle w:val="FootnoteReference"/>
          <w:rFonts w:ascii="Arial" w:hAnsi="Arial" w:cs="Arial"/>
          <w:color w:val="000020"/>
          <w:sz w:val="24"/>
          <w:szCs w:val="24"/>
          <w:shd w:val="clear" w:color="auto" w:fill="FFFFFF"/>
        </w:rPr>
        <w:footnoteReference w:id="14"/>
      </w:r>
      <w:r>
        <w:rPr>
          <w:rFonts w:ascii="Arial" w:hAnsi="Arial" w:cs="Arial"/>
          <w:color w:val="000020"/>
          <w:sz w:val="24"/>
          <w:szCs w:val="24"/>
          <w:shd w:val="clear" w:color="auto" w:fill="FFFFFF"/>
        </w:rPr>
        <w:t xml:space="preserve"> Those particles, ideas, and dead poets create part of the eternal time that surrounds the modernist poet, just as they surround and cut across the modern voices in </w:t>
      </w:r>
      <w:r>
        <w:rPr>
          <w:rFonts w:ascii="Arial" w:hAnsi="Arial" w:cs="Arial"/>
          <w:i/>
          <w:iCs/>
          <w:color w:val="000020"/>
          <w:sz w:val="24"/>
          <w:szCs w:val="24"/>
          <w:shd w:val="clear" w:color="auto" w:fill="FFFFFF"/>
        </w:rPr>
        <w:t>The Waste Land</w:t>
      </w:r>
      <w:r>
        <w:rPr>
          <w:rFonts w:ascii="Arial" w:hAnsi="Arial" w:cs="Arial"/>
          <w:color w:val="000020"/>
          <w:sz w:val="24"/>
          <w:szCs w:val="24"/>
          <w:shd w:val="clear" w:color="auto" w:fill="FFFFFF"/>
        </w:rPr>
        <w:t xml:space="preserve">, but more than a casual interaction needs to take place. Whilst ‘the best, […] [and] most individual parts of [a poet’s] work may be those in which the dead poets […] assert their immortality most vigorously’, if understanding is not ‘obtain[ed] [...] by a great labour’ no ‘new </w:t>
      </w:r>
      <w:r>
        <w:rPr>
          <w:rFonts w:ascii="Arial" w:hAnsi="Arial" w:cs="Arial"/>
          <w:color w:val="000020"/>
          <w:sz w:val="24"/>
          <w:szCs w:val="24"/>
          <w:shd w:val="clear" w:color="auto" w:fill="FFFFFF"/>
        </w:rPr>
        <w:lastRenderedPageBreak/>
        <w:t>compound’ of the alive, and startling and relevant will form.</w:t>
      </w:r>
      <w:r>
        <w:rPr>
          <w:rStyle w:val="FootnoteReference"/>
          <w:rFonts w:ascii="Arial" w:hAnsi="Arial" w:cs="Arial"/>
          <w:color w:val="000020"/>
          <w:sz w:val="24"/>
          <w:szCs w:val="24"/>
          <w:shd w:val="clear" w:color="auto" w:fill="FFFFFF"/>
        </w:rPr>
        <w:footnoteReference w:id="15"/>
      </w:r>
      <w:r>
        <w:rPr>
          <w:rFonts w:ascii="Arial" w:hAnsi="Arial" w:cs="Arial"/>
          <w:color w:val="000020"/>
          <w:sz w:val="24"/>
          <w:szCs w:val="24"/>
          <w:shd w:val="clear" w:color="auto" w:fill="FFFFFF"/>
        </w:rPr>
        <w:t xml:space="preserve"> Thus, for Eliot, the modernist poem is a memorialisation, the best hope for retaining some of what is retrieved by the poet from a communion with the dead. It can offer the modern human the sense of what it is to be part of eternal time, and give some cohesion back to time’s countless shards. </w:t>
      </w:r>
    </w:p>
    <w:p w14:paraId="30553783" w14:textId="77777777" w:rsidR="007436A6" w:rsidRDefault="007436A6" w:rsidP="007436A6">
      <w:pPr>
        <w:spacing w:line="480" w:lineRule="auto"/>
        <w:rPr>
          <w:rFonts w:ascii="Arial" w:hAnsi="Arial" w:cs="Arial"/>
          <w:color w:val="1A1A1A"/>
          <w:sz w:val="24"/>
          <w:szCs w:val="24"/>
          <w:shd w:val="clear" w:color="auto" w:fill="FFFFFF"/>
        </w:rPr>
      </w:pPr>
      <w:r>
        <w:rPr>
          <w:rFonts w:ascii="Arial" w:hAnsi="Arial" w:cs="Arial"/>
          <w:color w:val="1A1A1A"/>
          <w:sz w:val="24"/>
          <w:szCs w:val="24"/>
          <w:shd w:val="clear" w:color="auto" w:fill="FFFFFF"/>
        </w:rPr>
        <w:t xml:space="preserve">Yet Eliot complicates it. What is learned in the underworld conversing with the dead is never quite brought back to the top world meaningfully, at least for Prufrock, and with limited success in </w:t>
      </w:r>
      <w:r>
        <w:rPr>
          <w:rFonts w:ascii="Arial" w:hAnsi="Arial" w:cs="Arial"/>
          <w:i/>
          <w:iCs/>
          <w:color w:val="1A1A1A"/>
          <w:sz w:val="24"/>
          <w:szCs w:val="24"/>
          <w:shd w:val="clear" w:color="auto" w:fill="FFFFFF"/>
        </w:rPr>
        <w:t>The Waste Land</w:t>
      </w:r>
      <w:r>
        <w:rPr>
          <w:rFonts w:ascii="Arial" w:hAnsi="Arial" w:cs="Arial"/>
          <w:color w:val="1A1A1A"/>
          <w:sz w:val="24"/>
          <w:szCs w:val="24"/>
          <w:shd w:val="clear" w:color="auto" w:fill="FFFFFF"/>
        </w:rPr>
        <w:t xml:space="preserve">. For Prufrock the mini evening descent out of clock time and into the underworld has not either freed him from the mundanity of a life ‘measured out […] with coffee spoons’ (l.51) nor indeed the vastness of eternity. To have already known ‘evenings, mornings, afternoons’ (l.50), all the ‘eyes already’ (l.55), all ‘the arms already’ (l.62), and ‘the voices dying with a dying fall’ (l.52) is mundane in its own way, and terrifying. He has seen in all this ‘the lonely men in shirt-sleeves’ (l.72) and so must take action to secure companionship at least, to ‘drop a question on your plate’ (l.30) yet thought and action are etherised/paralysed, caught between the urgency of time measured and the inertia of time eternal. </w:t>
      </w:r>
    </w:p>
    <w:p w14:paraId="503F6E09" w14:textId="4DD66ACC" w:rsidR="007436A6" w:rsidRDefault="007436A6" w:rsidP="007436A6">
      <w:pPr>
        <w:spacing w:line="480" w:lineRule="auto"/>
        <w:rPr>
          <w:rFonts w:ascii="Arial" w:hAnsi="Arial" w:cs="Arial"/>
          <w:color w:val="1A1A1A"/>
          <w:sz w:val="24"/>
          <w:szCs w:val="24"/>
          <w:shd w:val="clear" w:color="auto" w:fill="FFFFFF"/>
        </w:rPr>
      </w:pPr>
      <w:r>
        <w:rPr>
          <w:rFonts w:ascii="Arial" w:hAnsi="Arial" w:cs="Arial"/>
          <w:color w:val="1A1A1A"/>
          <w:sz w:val="24"/>
          <w:szCs w:val="24"/>
          <w:shd w:val="clear" w:color="auto" w:fill="FFFFFF"/>
        </w:rPr>
        <w:t xml:space="preserve">Consulting the underworld for wisdom and translating it to the top side (the present) is beyond the ordinary man, beyond Prufrock. He is without even the power of the arch-procrastinator Hamlet who, although presented with knowledge of regicide by the ghost of his father, found action could not easily be taken on the earthly plane when there is no earthly proof to base that action on. The epigraph of ‘Prufrock’ begins the poem by telling us the truth of the dead is not meant to pass back up to </w:t>
      </w:r>
      <w:r>
        <w:rPr>
          <w:rFonts w:ascii="Arial" w:hAnsi="Arial" w:cs="Arial"/>
          <w:color w:val="1A1A1A"/>
          <w:sz w:val="24"/>
          <w:szCs w:val="24"/>
          <w:shd w:val="clear" w:color="auto" w:fill="FFFFFF"/>
        </w:rPr>
        <w:lastRenderedPageBreak/>
        <w:t xml:space="preserve">the living. Yet, as always in Eliot, an anomaly is included, since the comment in the epigraph is passed to Dante, one of the three figures alluded to over the two poems who actually do manage to return with knowledge from the underworld (Aeneas and Odysseus in </w:t>
      </w:r>
      <w:r>
        <w:rPr>
          <w:rFonts w:ascii="Arial" w:hAnsi="Arial" w:cs="Arial"/>
          <w:i/>
          <w:iCs/>
          <w:color w:val="1A1A1A"/>
          <w:sz w:val="24"/>
          <w:szCs w:val="24"/>
          <w:shd w:val="clear" w:color="auto" w:fill="FFFFFF"/>
        </w:rPr>
        <w:t>The Waste Land</w:t>
      </w:r>
      <w:r>
        <w:rPr>
          <w:rFonts w:ascii="Arial" w:hAnsi="Arial" w:cs="Arial"/>
          <w:color w:val="1A1A1A"/>
          <w:sz w:val="24"/>
          <w:szCs w:val="24"/>
          <w:shd w:val="clear" w:color="auto" w:fill="FFFFFF"/>
        </w:rPr>
        <w:t>). Prufrock is not one of these figures, nor is he a channel like Bran the Blessed</w:t>
      </w:r>
      <w:r w:rsidR="001A33D9">
        <w:rPr>
          <w:rFonts w:ascii="Arial" w:hAnsi="Arial" w:cs="Arial"/>
          <w:color w:val="1A1A1A"/>
          <w:sz w:val="24"/>
          <w:szCs w:val="24"/>
          <w:shd w:val="clear" w:color="auto" w:fill="FFFFFF"/>
        </w:rPr>
        <w:t>,</w:t>
      </w:r>
      <w:r>
        <w:rPr>
          <w:rFonts w:ascii="Arial" w:hAnsi="Arial" w:cs="Arial"/>
          <w:color w:val="1A1A1A"/>
          <w:sz w:val="24"/>
          <w:szCs w:val="24"/>
          <w:shd w:val="clear" w:color="auto" w:fill="FFFFFF"/>
        </w:rPr>
        <w:t xml:space="preserve"> a ‘head […] upon a platter’ (ll. 82-83) that continues to speak after death. These oracles are the unquiet dead</w:t>
      </w:r>
      <w:r w:rsidR="00E2631C">
        <w:rPr>
          <w:rFonts w:ascii="Arial" w:hAnsi="Arial" w:cs="Arial"/>
          <w:color w:val="1A1A1A"/>
          <w:sz w:val="24"/>
          <w:szCs w:val="24"/>
          <w:shd w:val="clear" w:color="auto" w:fill="FFFFFF"/>
        </w:rPr>
        <w:t>:</w:t>
      </w:r>
      <w:r>
        <w:rPr>
          <w:rFonts w:ascii="Arial" w:hAnsi="Arial" w:cs="Arial"/>
          <w:color w:val="1A1A1A"/>
          <w:sz w:val="24"/>
          <w:szCs w:val="24"/>
          <w:shd w:val="clear" w:color="auto" w:fill="FFFFFF"/>
        </w:rPr>
        <w:t xml:space="preserve"> unable to rest in death they have not escaped to eternity</w:t>
      </w:r>
      <w:r w:rsidR="00E2631C">
        <w:rPr>
          <w:rFonts w:ascii="Arial" w:hAnsi="Arial" w:cs="Arial"/>
          <w:color w:val="1A1A1A"/>
          <w:sz w:val="24"/>
          <w:szCs w:val="24"/>
          <w:shd w:val="clear" w:color="auto" w:fill="FFFFFF"/>
        </w:rPr>
        <w:t>. T</w:t>
      </w:r>
      <w:r>
        <w:rPr>
          <w:rFonts w:ascii="Arial" w:hAnsi="Arial" w:cs="Arial"/>
          <w:color w:val="1A1A1A"/>
          <w:sz w:val="24"/>
          <w:szCs w:val="24"/>
          <w:shd w:val="clear" w:color="auto" w:fill="FFFFFF"/>
        </w:rPr>
        <w:t xml:space="preserve">his is extended by the oracles in </w:t>
      </w:r>
      <w:r w:rsidRPr="00E07E68">
        <w:rPr>
          <w:rFonts w:ascii="Arial" w:hAnsi="Arial" w:cs="Arial"/>
          <w:i/>
          <w:iCs/>
          <w:color w:val="1A1A1A"/>
          <w:sz w:val="24"/>
          <w:szCs w:val="24"/>
          <w:shd w:val="clear" w:color="auto" w:fill="FFFFFF"/>
        </w:rPr>
        <w:t>The Waste Land</w:t>
      </w:r>
      <w:r>
        <w:rPr>
          <w:rFonts w:ascii="Arial" w:hAnsi="Arial" w:cs="Arial"/>
          <w:color w:val="1A1A1A"/>
          <w:sz w:val="24"/>
          <w:szCs w:val="24"/>
          <w:shd w:val="clear" w:color="auto" w:fill="FFFFFF"/>
        </w:rPr>
        <w:t xml:space="preserve"> (the Sybil and Tiresias) who come to stand for all the unquiet dead. </w:t>
      </w:r>
    </w:p>
    <w:p w14:paraId="2C6D3A1E" w14:textId="77777777" w:rsidR="007436A6" w:rsidRDefault="007436A6" w:rsidP="007436A6">
      <w:pPr>
        <w:spacing w:line="480" w:lineRule="auto"/>
        <w:rPr>
          <w:rFonts w:ascii="Arial" w:hAnsi="Arial" w:cs="Arial"/>
          <w:color w:val="1A1A1A"/>
          <w:sz w:val="24"/>
          <w:szCs w:val="24"/>
          <w:shd w:val="clear" w:color="auto" w:fill="FFFFFF"/>
        </w:rPr>
      </w:pPr>
      <w:r>
        <w:rPr>
          <w:rFonts w:ascii="Arial" w:hAnsi="Arial" w:cs="Arial"/>
          <w:color w:val="1A1A1A"/>
          <w:sz w:val="24"/>
          <w:szCs w:val="24"/>
          <w:shd w:val="clear" w:color="auto" w:fill="FFFFFF"/>
        </w:rPr>
        <w:t xml:space="preserve">Whilst ‘Prufrock’ was touched by WW1, it was actually begun in 1910 and so largely focused on the modernist dilemmas of navigating both clock time and durée. If ‘Prufrock’ adds the horror of war to what might fracture and freeze man in time, it still only lies at the edge of that horror and its consequences. </w:t>
      </w:r>
      <w:r w:rsidRPr="00663E6B">
        <w:rPr>
          <w:rFonts w:ascii="Arial" w:hAnsi="Arial" w:cs="Arial"/>
          <w:i/>
          <w:iCs/>
          <w:color w:val="1A1A1A"/>
          <w:sz w:val="24"/>
          <w:szCs w:val="24"/>
          <w:shd w:val="clear" w:color="auto" w:fill="FFFFFF"/>
        </w:rPr>
        <w:t>The Waste Land</w:t>
      </w:r>
      <w:r>
        <w:rPr>
          <w:rFonts w:ascii="Arial" w:hAnsi="Arial" w:cs="Arial"/>
          <w:color w:val="1A1A1A"/>
          <w:sz w:val="24"/>
          <w:szCs w:val="24"/>
          <w:shd w:val="clear" w:color="auto" w:fill="FFFFFF"/>
        </w:rPr>
        <w:t xml:space="preserve">, however, is firmly post both WW1 and Spanish Flu, so that the association of fractured time, eternal time and the dead is now in the context of a completely shattered world, one that is  ‘only a heap of broken images’ (l.22), and in the midst of a massive and incomprehensible loss of life. Although talking to the dead was probably now unavoidable, it surely brought no meaning or comfort. </w:t>
      </w:r>
    </w:p>
    <w:p w14:paraId="755B6B7C" w14:textId="007D73F0" w:rsidR="007436A6" w:rsidRDefault="007436A6" w:rsidP="007436A6">
      <w:pPr>
        <w:spacing w:line="480" w:lineRule="auto"/>
        <w:rPr>
          <w:rFonts w:ascii="Arial" w:hAnsi="Arial" w:cs="Arial"/>
          <w:sz w:val="24"/>
          <w:szCs w:val="24"/>
          <w:shd w:val="clear" w:color="auto" w:fill="FFFFFF"/>
        </w:rPr>
      </w:pPr>
      <w:r w:rsidRPr="005B75B8">
        <w:rPr>
          <w:rFonts w:ascii="Arial" w:hAnsi="Arial" w:cs="Arial"/>
          <w:i/>
          <w:iCs/>
          <w:sz w:val="24"/>
          <w:szCs w:val="24"/>
          <w:shd w:val="clear" w:color="auto" w:fill="FFFFFF"/>
        </w:rPr>
        <w:t>The Waste Land</w:t>
      </w:r>
      <w:r w:rsidRPr="005B75B8">
        <w:rPr>
          <w:rFonts w:ascii="Arial" w:hAnsi="Arial" w:cs="Arial"/>
          <w:sz w:val="24"/>
          <w:szCs w:val="24"/>
          <w:shd w:val="clear" w:color="auto" w:fill="FFFFFF"/>
        </w:rPr>
        <w:t xml:space="preserve"> captured the shock </w:t>
      </w:r>
      <w:r>
        <w:rPr>
          <w:rFonts w:ascii="Arial" w:hAnsi="Arial" w:cs="Arial"/>
          <w:sz w:val="24"/>
          <w:szCs w:val="24"/>
          <w:shd w:val="clear" w:color="auto" w:fill="FFFFFF"/>
        </w:rPr>
        <w:t xml:space="preserve">and the </w:t>
      </w:r>
      <w:r w:rsidRPr="005B75B8">
        <w:rPr>
          <w:rFonts w:ascii="Arial" w:hAnsi="Arial" w:cs="Arial"/>
          <w:sz w:val="24"/>
          <w:szCs w:val="24"/>
          <w:shd w:val="clear" w:color="auto" w:fill="FFFFFF"/>
        </w:rPr>
        <w:t>scale of the loss that</w:t>
      </w:r>
      <w:r>
        <w:rPr>
          <w:rFonts w:ascii="Arial" w:hAnsi="Arial" w:cs="Arial"/>
          <w:sz w:val="24"/>
          <w:szCs w:val="24"/>
          <w:shd w:val="clear" w:color="auto" w:fill="FFFFFF"/>
        </w:rPr>
        <w:t xml:space="preserve"> had</w:t>
      </w:r>
      <w:r w:rsidRPr="005B75B8">
        <w:rPr>
          <w:rFonts w:ascii="Arial" w:hAnsi="Arial" w:cs="Arial"/>
          <w:sz w:val="24"/>
          <w:szCs w:val="24"/>
          <w:shd w:val="clear" w:color="auto" w:fill="FFFFFF"/>
        </w:rPr>
        <w:t xml:space="preserve"> intensified the sense of fractured time and made durée unbearable. </w:t>
      </w:r>
      <w:r>
        <w:rPr>
          <w:rFonts w:ascii="Arial" w:hAnsi="Arial" w:cs="Arial"/>
          <w:sz w:val="24"/>
          <w:szCs w:val="24"/>
          <w:shd w:val="clear" w:color="auto" w:fill="FFFFFF"/>
        </w:rPr>
        <w:t xml:space="preserve">Considering the </w:t>
      </w:r>
      <w:r w:rsidRPr="005B75B8">
        <w:rPr>
          <w:rFonts w:ascii="Arial" w:hAnsi="Arial" w:cs="Arial"/>
          <w:sz w:val="24"/>
          <w:szCs w:val="24"/>
          <w:shd w:val="clear" w:color="auto" w:fill="FFFFFF"/>
        </w:rPr>
        <w:t xml:space="preserve">two </w:t>
      </w:r>
      <w:r>
        <w:rPr>
          <w:rFonts w:ascii="Arial" w:hAnsi="Arial" w:cs="Arial"/>
          <w:sz w:val="24"/>
          <w:szCs w:val="24"/>
          <w:shd w:val="clear" w:color="auto" w:fill="FFFFFF"/>
        </w:rPr>
        <w:t>poems together,</w:t>
      </w:r>
      <w:r w:rsidRPr="005B75B8">
        <w:rPr>
          <w:rFonts w:ascii="Arial" w:hAnsi="Arial" w:cs="Arial"/>
          <w:sz w:val="24"/>
          <w:szCs w:val="24"/>
          <w:shd w:val="clear" w:color="auto" w:fill="FFFFFF"/>
        </w:rPr>
        <w:t xml:space="preserve"> lines from Ophelia in</w:t>
      </w:r>
      <w:r>
        <w:rPr>
          <w:rFonts w:ascii="Arial" w:hAnsi="Arial" w:cs="Arial"/>
          <w:sz w:val="24"/>
          <w:szCs w:val="24"/>
          <w:shd w:val="clear" w:color="auto" w:fill="FFFFFF"/>
        </w:rPr>
        <w:t xml:space="preserve"> appearing in</w:t>
      </w:r>
      <w:r w:rsidRPr="005B75B8">
        <w:rPr>
          <w:rFonts w:ascii="Arial" w:hAnsi="Arial" w:cs="Arial"/>
          <w:sz w:val="24"/>
          <w:szCs w:val="24"/>
          <w:shd w:val="clear" w:color="auto" w:fill="FFFFFF"/>
        </w:rPr>
        <w:t xml:space="preserve"> </w:t>
      </w:r>
      <w:r w:rsidRPr="005B75B8">
        <w:rPr>
          <w:rFonts w:ascii="Arial" w:hAnsi="Arial" w:cs="Arial"/>
          <w:i/>
          <w:iCs/>
          <w:sz w:val="24"/>
          <w:szCs w:val="24"/>
          <w:shd w:val="clear" w:color="auto" w:fill="FFFFFF"/>
        </w:rPr>
        <w:t>The Waste Land</w:t>
      </w:r>
      <w:r w:rsidRPr="005B75B8">
        <w:rPr>
          <w:rFonts w:ascii="Arial" w:hAnsi="Arial" w:cs="Arial"/>
          <w:sz w:val="24"/>
          <w:szCs w:val="24"/>
          <w:shd w:val="clear" w:color="auto" w:fill="FFFFFF"/>
        </w:rPr>
        <w:t>: ‘good night sweet ladies, good night, good night’</w:t>
      </w:r>
      <w:r>
        <w:rPr>
          <w:rFonts w:ascii="Arial" w:hAnsi="Arial" w:cs="Arial"/>
          <w:sz w:val="24"/>
          <w:szCs w:val="24"/>
          <w:shd w:val="clear" w:color="auto" w:fill="FFFFFF"/>
        </w:rPr>
        <w:t xml:space="preserve"> (ll. 171-72)</w:t>
      </w:r>
      <w:r w:rsidRPr="005B75B8">
        <w:rPr>
          <w:rFonts w:ascii="Arial" w:hAnsi="Arial" w:cs="Arial"/>
          <w:sz w:val="24"/>
          <w:szCs w:val="24"/>
          <w:shd w:val="clear" w:color="auto" w:fill="FFFFFF"/>
        </w:rPr>
        <w:t xml:space="preserve">, and reference to Hamlet in </w:t>
      </w:r>
      <w:r>
        <w:rPr>
          <w:rFonts w:ascii="Arial" w:hAnsi="Arial" w:cs="Arial"/>
          <w:sz w:val="24"/>
          <w:szCs w:val="24"/>
          <w:shd w:val="clear" w:color="auto" w:fill="FFFFFF"/>
        </w:rPr>
        <w:t>‘</w:t>
      </w:r>
      <w:r w:rsidRPr="001B6356">
        <w:rPr>
          <w:rFonts w:ascii="Arial" w:hAnsi="Arial" w:cs="Arial"/>
          <w:sz w:val="24"/>
          <w:szCs w:val="24"/>
          <w:shd w:val="clear" w:color="auto" w:fill="FFFFFF"/>
        </w:rPr>
        <w:t>Prufrock</w:t>
      </w:r>
      <w:r>
        <w:rPr>
          <w:rFonts w:ascii="Arial" w:hAnsi="Arial" w:cs="Arial"/>
          <w:sz w:val="24"/>
          <w:szCs w:val="24"/>
          <w:shd w:val="clear" w:color="auto" w:fill="FFFFFF"/>
        </w:rPr>
        <w:t>’</w:t>
      </w:r>
      <w:r w:rsidRPr="005B75B8">
        <w:rPr>
          <w:rFonts w:ascii="Arial" w:hAnsi="Arial" w:cs="Arial"/>
          <w:sz w:val="24"/>
          <w:szCs w:val="24"/>
          <w:shd w:val="clear" w:color="auto" w:fill="FFFFFF"/>
        </w:rPr>
        <w:t>, cannot be ignored as link</w:t>
      </w:r>
      <w:r w:rsidR="00FC1895">
        <w:rPr>
          <w:rFonts w:ascii="Arial" w:hAnsi="Arial" w:cs="Arial"/>
          <w:sz w:val="24"/>
          <w:szCs w:val="24"/>
          <w:shd w:val="clear" w:color="auto" w:fill="FFFFFF"/>
        </w:rPr>
        <w:t>s</w:t>
      </w:r>
      <w:r w:rsidRPr="005B75B8">
        <w:rPr>
          <w:rFonts w:ascii="Arial" w:hAnsi="Arial" w:cs="Arial"/>
          <w:sz w:val="24"/>
          <w:szCs w:val="24"/>
          <w:shd w:val="clear" w:color="auto" w:fill="FFFFFF"/>
        </w:rPr>
        <w:t xml:space="preserve"> to those managing a world that has failed to adequately minister to its dead. </w:t>
      </w:r>
      <w:r>
        <w:rPr>
          <w:rFonts w:ascii="Arial" w:hAnsi="Arial" w:cs="Arial"/>
          <w:sz w:val="24"/>
          <w:szCs w:val="24"/>
          <w:shd w:val="clear" w:color="auto" w:fill="FFFFFF"/>
        </w:rPr>
        <w:t>Both</w:t>
      </w:r>
      <w:r w:rsidRPr="005B75B8">
        <w:rPr>
          <w:rFonts w:ascii="Arial" w:hAnsi="Arial" w:cs="Arial"/>
          <w:sz w:val="24"/>
          <w:szCs w:val="24"/>
          <w:shd w:val="clear" w:color="auto" w:fill="FFFFFF"/>
        </w:rPr>
        <w:t xml:space="preserve"> are characters tormented by the presence of dead </w:t>
      </w:r>
      <w:r>
        <w:rPr>
          <w:rFonts w:ascii="Arial" w:hAnsi="Arial" w:cs="Arial"/>
          <w:sz w:val="24"/>
          <w:szCs w:val="24"/>
          <w:shd w:val="clear" w:color="auto" w:fill="FFFFFF"/>
        </w:rPr>
        <w:t xml:space="preserve">fathers </w:t>
      </w:r>
      <w:r w:rsidRPr="005B75B8">
        <w:rPr>
          <w:rFonts w:ascii="Arial" w:hAnsi="Arial" w:cs="Arial"/>
          <w:sz w:val="24"/>
          <w:szCs w:val="24"/>
          <w:shd w:val="clear" w:color="auto" w:fill="FFFFFF"/>
        </w:rPr>
        <w:t xml:space="preserve">who have not </w:t>
      </w:r>
      <w:r w:rsidRPr="009F7121">
        <w:rPr>
          <w:rFonts w:ascii="Arial" w:hAnsi="Arial" w:cs="Arial"/>
          <w:sz w:val="24"/>
          <w:szCs w:val="24"/>
          <w:shd w:val="clear" w:color="auto" w:fill="FFFFFF"/>
        </w:rPr>
        <w:t xml:space="preserve">been afforded proper burial rites and rituals. Thus, </w:t>
      </w:r>
      <w:r>
        <w:rPr>
          <w:rFonts w:ascii="Arial" w:hAnsi="Arial" w:cs="Arial"/>
          <w:sz w:val="24"/>
          <w:szCs w:val="24"/>
          <w:shd w:val="clear" w:color="auto" w:fill="FFFFFF"/>
        </w:rPr>
        <w:t xml:space="preserve">in </w:t>
      </w:r>
      <w:r>
        <w:rPr>
          <w:rFonts w:ascii="Arial" w:hAnsi="Arial" w:cs="Arial"/>
          <w:i/>
          <w:iCs/>
          <w:sz w:val="24"/>
          <w:szCs w:val="24"/>
          <w:shd w:val="clear" w:color="auto" w:fill="FFFFFF"/>
        </w:rPr>
        <w:t>The Waste Land</w:t>
      </w:r>
      <w:r w:rsidRPr="009F7121">
        <w:rPr>
          <w:rFonts w:ascii="Arial" w:hAnsi="Arial" w:cs="Arial"/>
          <w:sz w:val="24"/>
          <w:szCs w:val="24"/>
          <w:shd w:val="clear" w:color="auto" w:fill="FFFFFF"/>
        </w:rPr>
        <w:t xml:space="preserve"> </w:t>
      </w:r>
      <w:r>
        <w:rPr>
          <w:rFonts w:ascii="Arial" w:hAnsi="Arial" w:cs="Arial"/>
          <w:sz w:val="24"/>
          <w:szCs w:val="24"/>
          <w:shd w:val="clear" w:color="auto" w:fill="FFFFFF"/>
        </w:rPr>
        <w:t xml:space="preserve">there is </w:t>
      </w:r>
      <w:r w:rsidRPr="009F7121">
        <w:rPr>
          <w:rFonts w:ascii="Arial" w:hAnsi="Arial" w:cs="Arial"/>
          <w:sz w:val="24"/>
          <w:szCs w:val="24"/>
          <w:shd w:val="clear" w:color="auto" w:fill="FFFFFF"/>
        </w:rPr>
        <w:t xml:space="preserve">a heightened sense </w:t>
      </w:r>
      <w:r>
        <w:rPr>
          <w:rFonts w:ascii="Arial" w:hAnsi="Arial" w:cs="Arial"/>
          <w:sz w:val="24"/>
          <w:szCs w:val="24"/>
          <w:shd w:val="clear" w:color="auto" w:fill="FFFFFF"/>
        </w:rPr>
        <w:t>of</w:t>
      </w:r>
      <w:r w:rsidRPr="009F7121">
        <w:rPr>
          <w:rFonts w:ascii="Arial" w:hAnsi="Arial" w:cs="Arial"/>
          <w:sz w:val="24"/>
          <w:szCs w:val="24"/>
          <w:shd w:val="clear" w:color="auto" w:fill="FFFFFF"/>
        </w:rPr>
        <w:t xml:space="preserve"> modern </w:t>
      </w:r>
      <w:r>
        <w:rPr>
          <w:rFonts w:ascii="Arial" w:hAnsi="Arial" w:cs="Arial"/>
          <w:sz w:val="24"/>
          <w:szCs w:val="24"/>
          <w:shd w:val="clear" w:color="auto" w:fill="FFFFFF"/>
        </w:rPr>
        <w:t>time</w:t>
      </w:r>
      <w:r w:rsidRPr="009F7121">
        <w:rPr>
          <w:rFonts w:ascii="Arial" w:hAnsi="Arial" w:cs="Arial"/>
          <w:sz w:val="24"/>
          <w:szCs w:val="24"/>
          <w:shd w:val="clear" w:color="auto" w:fill="FFFFFF"/>
        </w:rPr>
        <w:t xml:space="preserve"> </w:t>
      </w:r>
      <w:r>
        <w:rPr>
          <w:rFonts w:ascii="Arial" w:hAnsi="Arial" w:cs="Arial"/>
          <w:sz w:val="24"/>
          <w:szCs w:val="24"/>
          <w:shd w:val="clear" w:color="auto" w:fill="FFFFFF"/>
        </w:rPr>
        <w:t xml:space="preserve">as a </w:t>
      </w:r>
      <w:r w:rsidRPr="009F7121">
        <w:rPr>
          <w:rFonts w:ascii="Arial" w:hAnsi="Arial" w:cs="Arial"/>
          <w:sz w:val="24"/>
          <w:szCs w:val="24"/>
          <w:shd w:val="clear" w:color="auto" w:fill="FFFFFF"/>
        </w:rPr>
        <w:t xml:space="preserve">fractured space crowded with the </w:t>
      </w:r>
      <w:r>
        <w:rPr>
          <w:rFonts w:ascii="Arial" w:hAnsi="Arial" w:cs="Arial"/>
          <w:sz w:val="24"/>
          <w:szCs w:val="24"/>
          <w:shd w:val="clear" w:color="auto" w:fill="FFFFFF"/>
        </w:rPr>
        <w:lastRenderedPageBreak/>
        <w:t xml:space="preserve">recently </w:t>
      </w:r>
      <w:r w:rsidRPr="009F7121">
        <w:rPr>
          <w:rFonts w:ascii="Arial" w:hAnsi="Arial" w:cs="Arial"/>
          <w:sz w:val="24"/>
          <w:szCs w:val="24"/>
          <w:shd w:val="clear" w:color="auto" w:fill="FFFFFF"/>
        </w:rPr>
        <w:t xml:space="preserve">dead, </w:t>
      </w:r>
      <w:r w:rsidR="002A4E86">
        <w:rPr>
          <w:rFonts w:ascii="Arial" w:hAnsi="Arial" w:cs="Arial"/>
          <w:sz w:val="24"/>
          <w:szCs w:val="24"/>
          <w:shd w:val="clear" w:color="auto" w:fill="FFFFFF"/>
        </w:rPr>
        <w:t>who</w:t>
      </w:r>
      <w:r>
        <w:rPr>
          <w:rFonts w:ascii="Arial" w:hAnsi="Arial" w:cs="Arial"/>
          <w:sz w:val="24"/>
          <w:szCs w:val="24"/>
          <w:shd w:val="clear" w:color="auto" w:fill="FFFFFF"/>
        </w:rPr>
        <w:t xml:space="preserve"> share the space of the poem with multiple shards of literary allusion. Now though, the allusions are also to ancient</w:t>
      </w:r>
      <w:r w:rsidRPr="009F7121">
        <w:rPr>
          <w:rFonts w:ascii="Arial" w:hAnsi="Arial" w:cs="Arial"/>
          <w:sz w:val="24"/>
          <w:szCs w:val="24"/>
          <w:shd w:val="clear" w:color="auto" w:fill="FFFFFF"/>
        </w:rPr>
        <w:t xml:space="preserve"> share</w:t>
      </w:r>
      <w:r>
        <w:rPr>
          <w:rFonts w:ascii="Arial" w:hAnsi="Arial" w:cs="Arial"/>
          <w:sz w:val="24"/>
          <w:szCs w:val="24"/>
          <w:shd w:val="clear" w:color="auto" w:fill="FFFFFF"/>
        </w:rPr>
        <w:t>d</w:t>
      </w:r>
      <w:r w:rsidRPr="009F7121">
        <w:rPr>
          <w:rFonts w:ascii="Arial" w:hAnsi="Arial" w:cs="Arial"/>
          <w:sz w:val="24"/>
          <w:szCs w:val="24"/>
          <w:shd w:val="clear" w:color="auto" w:fill="FFFFFF"/>
        </w:rPr>
        <w:t xml:space="preserve"> wisdom</w:t>
      </w:r>
      <w:r>
        <w:rPr>
          <w:rFonts w:ascii="Arial" w:hAnsi="Arial" w:cs="Arial"/>
          <w:sz w:val="24"/>
          <w:szCs w:val="24"/>
          <w:shd w:val="clear" w:color="auto" w:fill="FFFFFF"/>
        </w:rPr>
        <w:t xml:space="preserve"> reinforcing</w:t>
      </w:r>
      <w:r w:rsidRPr="009F7121">
        <w:rPr>
          <w:rFonts w:ascii="Arial" w:hAnsi="Arial" w:cs="Arial"/>
          <w:sz w:val="24"/>
          <w:szCs w:val="24"/>
          <w:shd w:val="clear" w:color="auto" w:fill="FFFFFF"/>
        </w:rPr>
        <w:t xml:space="preserve"> the necessity of a proper</w:t>
      </w:r>
      <w:r>
        <w:rPr>
          <w:rFonts w:ascii="Arial" w:hAnsi="Arial" w:cs="Arial"/>
          <w:sz w:val="24"/>
          <w:szCs w:val="24"/>
          <w:shd w:val="clear" w:color="auto" w:fill="FFFFFF"/>
        </w:rPr>
        <w:t>, dignified</w:t>
      </w:r>
      <w:r w:rsidRPr="009F7121">
        <w:rPr>
          <w:rFonts w:ascii="Arial" w:hAnsi="Arial" w:cs="Arial"/>
          <w:sz w:val="24"/>
          <w:szCs w:val="24"/>
          <w:shd w:val="clear" w:color="auto" w:fill="FFFFFF"/>
        </w:rPr>
        <w:t xml:space="preserve"> completion for death</w:t>
      </w:r>
      <w:r>
        <w:rPr>
          <w:rFonts w:ascii="Arial" w:hAnsi="Arial" w:cs="Arial"/>
          <w:sz w:val="24"/>
          <w:szCs w:val="24"/>
          <w:shd w:val="clear" w:color="auto" w:fill="FFFFFF"/>
        </w:rPr>
        <w:t xml:space="preserve">. However, in the contemporary world this necessity </w:t>
      </w:r>
      <w:r w:rsidRPr="009F7121">
        <w:rPr>
          <w:rFonts w:ascii="Arial" w:hAnsi="Arial" w:cs="Arial"/>
          <w:sz w:val="24"/>
          <w:szCs w:val="24"/>
          <w:shd w:val="clear" w:color="auto" w:fill="FFFFFF"/>
        </w:rPr>
        <w:t>ha</w:t>
      </w:r>
      <w:r>
        <w:rPr>
          <w:rFonts w:ascii="Arial" w:hAnsi="Arial" w:cs="Arial"/>
          <w:sz w:val="24"/>
          <w:szCs w:val="24"/>
          <w:shd w:val="clear" w:color="auto" w:fill="FFFFFF"/>
        </w:rPr>
        <w:t>s</w:t>
      </w:r>
      <w:r w:rsidRPr="009F7121">
        <w:rPr>
          <w:rFonts w:ascii="Arial" w:hAnsi="Arial" w:cs="Arial"/>
          <w:sz w:val="24"/>
          <w:szCs w:val="24"/>
          <w:shd w:val="clear" w:color="auto" w:fill="FFFFFF"/>
        </w:rPr>
        <w:t xml:space="preserve"> been blown apart and left scattered on the battlefields and</w:t>
      </w:r>
      <w:r>
        <w:rPr>
          <w:rFonts w:ascii="Arial" w:hAnsi="Arial" w:cs="Arial"/>
          <w:sz w:val="24"/>
          <w:szCs w:val="24"/>
          <w:shd w:val="clear" w:color="auto" w:fill="FFFFFF"/>
        </w:rPr>
        <w:t xml:space="preserve"> </w:t>
      </w:r>
      <w:r w:rsidRPr="009F7121">
        <w:rPr>
          <w:rFonts w:ascii="Arial" w:hAnsi="Arial" w:cs="Arial"/>
          <w:sz w:val="24"/>
          <w:szCs w:val="24"/>
          <w:shd w:val="clear" w:color="auto" w:fill="FFFFFF"/>
        </w:rPr>
        <w:t xml:space="preserve">trenches of WW1. </w:t>
      </w:r>
      <w:r>
        <w:rPr>
          <w:rFonts w:ascii="Arial" w:hAnsi="Arial" w:cs="Arial"/>
          <w:sz w:val="24"/>
          <w:szCs w:val="24"/>
          <w:shd w:val="clear" w:color="auto" w:fill="FFFFFF"/>
        </w:rPr>
        <w:t xml:space="preserve">Therefore, ‘that corpse you planted last year […] oh keep the dog far hence, that’s friend to men,/ or with his nails he’ll dig it up again’ (ll. 71-75) are lines fearful of the tenuous hold the earth has on those dead not secured by ritual. As </w:t>
      </w:r>
      <w:r w:rsidRPr="00517A0F">
        <w:rPr>
          <w:rFonts w:ascii="Arial" w:hAnsi="Arial" w:cs="Arial"/>
          <w:sz w:val="24"/>
          <w:szCs w:val="24"/>
        </w:rPr>
        <w:t>Ma</w:t>
      </w:r>
      <w:r>
        <w:rPr>
          <w:rFonts w:ascii="Arial" w:hAnsi="Arial" w:cs="Arial"/>
          <w:sz w:val="24"/>
          <w:szCs w:val="24"/>
        </w:rPr>
        <w:t>t</w:t>
      </w:r>
      <w:r w:rsidRPr="00517A0F">
        <w:rPr>
          <w:rFonts w:ascii="Arial" w:hAnsi="Arial" w:cs="Arial"/>
          <w:sz w:val="24"/>
          <w:szCs w:val="24"/>
        </w:rPr>
        <w:t>thews</w:t>
      </w:r>
      <w:r>
        <w:rPr>
          <w:rFonts w:ascii="Arial" w:hAnsi="Arial" w:cs="Arial"/>
          <w:sz w:val="24"/>
          <w:szCs w:val="24"/>
          <w:shd w:val="clear" w:color="auto" w:fill="FFFFFF"/>
        </w:rPr>
        <w:t xml:space="preserve"> notes it is a domestication of ‘</w:t>
      </w:r>
      <w:r w:rsidRPr="00517A0F">
        <w:rPr>
          <w:rFonts w:ascii="Arial" w:eastAsia="Times New Roman" w:hAnsi="Arial" w:cs="Arial"/>
          <w:color w:val="000000"/>
          <w:sz w:val="24"/>
          <w:szCs w:val="24"/>
          <w:lang w:eastAsia="en-GB"/>
        </w:rPr>
        <w:t>the dirge uttered by Cornelia in</w:t>
      </w:r>
      <w:r>
        <w:rPr>
          <w:rFonts w:ascii="Arial" w:eastAsia="Times New Roman" w:hAnsi="Arial" w:cs="Arial"/>
          <w:color w:val="000000"/>
          <w:sz w:val="24"/>
          <w:szCs w:val="24"/>
          <w:lang w:eastAsia="en-GB"/>
        </w:rPr>
        <w:t xml:space="preserve"> [Webster’s]</w:t>
      </w:r>
      <w:r w:rsidRPr="00517A0F">
        <w:rPr>
          <w:rFonts w:ascii="Arial" w:eastAsia="Times New Roman" w:hAnsi="Arial" w:cs="Arial"/>
          <w:color w:val="000000"/>
          <w:sz w:val="24"/>
          <w:szCs w:val="24"/>
          <w:lang w:eastAsia="en-GB"/>
        </w:rPr>
        <w:t> </w:t>
      </w:r>
      <w:r w:rsidRPr="00517A0F">
        <w:rPr>
          <w:rFonts w:ascii="Arial" w:eastAsia="Times New Roman" w:hAnsi="Arial" w:cs="Arial"/>
          <w:i/>
          <w:iCs/>
          <w:color w:val="000000"/>
          <w:sz w:val="24"/>
          <w:szCs w:val="24"/>
          <w:lang w:eastAsia="en-GB"/>
        </w:rPr>
        <w:t>The White Devil</w:t>
      </w:r>
      <w:r>
        <w:rPr>
          <w:rFonts w:ascii="Arial" w:eastAsia="Times New Roman" w:hAnsi="Arial" w:cs="Arial"/>
          <w:color w:val="000000"/>
          <w:sz w:val="24"/>
          <w:szCs w:val="24"/>
          <w:lang w:eastAsia="en-GB"/>
        </w:rPr>
        <w:t>’: ‘“</w:t>
      </w:r>
      <w:r w:rsidRPr="00517A0F">
        <w:rPr>
          <w:rFonts w:ascii="Arial" w:eastAsia="Times New Roman" w:hAnsi="Arial" w:cs="Arial"/>
          <w:color w:val="000000"/>
          <w:sz w:val="24"/>
          <w:szCs w:val="24"/>
          <w:lang w:eastAsia="en-GB"/>
        </w:rPr>
        <w:t>But keep the wolf far thence, that's foe to men,/For with his nails he’ll dig him up again</w:t>
      </w:r>
      <w:r>
        <w:rPr>
          <w:rFonts w:ascii="Arial" w:eastAsia="Times New Roman" w:hAnsi="Arial" w:cs="Arial"/>
          <w:color w:val="000000"/>
          <w:sz w:val="24"/>
          <w:szCs w:val="24"/>
          <w:lang w:eastAsia="en-GB"/>
        </w:rPr>
        <w:t>”</w:t>
      </w:r>
      <w:r w:rsidRPr="00517A0F">
        <w:rPr>
          <w:rFonts w:ascii="Arial" w:eastAsia="Times New Roman" w:hAnsi="Arial" w:cs="Arial"/>
          <w:color w:val="000000"/>
          <w:sz w:val="24"/>
          <w:szCs w:val="24"/>
          <w:lang w:eastAsia="en-GB"/>
        </w:rPr>
        <w:t>’</w:t>
      </w:r>
      <w:r>
        <w:rPr>
          <w:rFonts w:ascii="Arial" w:eastAsia="Times New Roman" w:hAnsi="Arial" w:cs="Arial"/>
          <w:color w:val="000000"/>
          <w:sz w:val="24"/>
          <w:szCs w:val="24"/>
          <w:lang w:eastAsia="en-GB"/>
        </w:rPr>
        <w:t xml:space="preserve">, itself referring to a similar quote in Webster’s </w:t>
      </w:r>
      <w:r>
        <w:rPr>
          <w:rFonts w:ascii="Arial" w:eastAsia="Times New Roman" w:hAnsi="Arial" w:cs="Arial"/>
          <w:i/>
          <w:iCs/>
          <w:color w:val="000000"/>
          <w:sz w:val="24"/>
          <w:szCs w:val="24"/>
          <w:lang w:eastAsia="en-GB"/>
        </w:rPr>
        <w:t>The Duchess of Malfi</w:t>
      </w:r>
      <w:r>
        <w:rPr>
          <w:rFonts w:ascii="Arial" w:eastAsia="Times New Roman" w:hAnsi="Arial" w:cs="Arial"/>
          <w:color w:val="000000"/>
          <w:sz w:val="24"/>
          <w:szCs w:val="24"/>
          <w:lang w:eastAsia="en-GB"/>
        </w:rPr>
        <w:t xml:space="preserve"> where ‘the nightmare […] is that the dead are not left to rest’.</w:t>
      </w:r>
      <w:r>
        <w:rPr>
          <w:rStyle w:val="FootnoteReference"/>
          <w:rFonts w:ascii="Arial" w:eastAsia="Times New Roman" w:hAnsi="Arial" w:cs="Arial"/>
          <w:color w:val="000000"/>
          <w:sz w:val="24"/>
          <w:szCs w:val="24"/>
          <w:lang w:eastAsia="en-GB"/>
        </w:rPr>
        <w:footnoteReference w:id="16"/>
      </w:r>
      <w:r>
        <w:rPr>
          <w:rFonts w:ascii="Arial" w:hAnsi="Arial" w:cs="Arial"/>
          <w:sz w:val="24"/>
          <w:szCs w:val="24"/>
          <w:shd w:val="clear" w:color="auto" w:fill="FFFFFF"/>
        </w:rPr>
        <w:t xml:space="preserve"> </w:t>
      </w:r>
    </w:p>
    <w:p w14:paraId="4F37650A" w14:textId="3217FC2B" w:rsidR="007436A6" w:rsidRDefault="007436A6" w:rsidP="007436A6">
      <w:pPr>
        <w:spacing w:line="480" w:lineRule="auto"/>
        <w:rPr>
          <w:rFonts w:ascii="Arial" w:hAnsi="Arial" w:cs="Arial"/>
          <w:sz w:val="24"/>
          <w:szCs w:val="24"/>
          <w:shd w:val="clear" w:color="auto" w:fill="FFFFFF"/>
        </w:rPr>
      </w:pPr>
      <w:r>
        <w:rPr>
          <w:rFonts w:ascii="Arial" w:hAnsi="Arial" w:cs="Arial"/>
          <w:sz w:val="24"/>
          <w:szCs w:val="24"/>
          <w:shd w:val="clear" w:color="auto" w:fill="FFFFFF"/>
        </w:rPr>
        <w:t>There is a weary weight now in summoning up the dead for wisdom</w:t>
      </w:r>
      <w:r w:rsidR="00057887">
        <w:rPr>
          <w:rFonts w:ascii="Arial" w:hAnsi="Arial" w:cs="Arial"/>
          <w:sz w:val="24"/>
          <w:szCs w:val="24"/>
          <w:shd w:val="clear" w:color="auto" w:fill="FFFFFF"/>
        </w:rPr>
        <w:t>. I</w:t>
      </w:r>
      <w:r>
        <w:rPr>
          <w:rFonts w:ascii="Arial" w:hAnsi="Arial" w:cs="Arial"/>
          <w:sz w:val="24"/>
          <w:szCs w:val="24"/>
          <w:shd w:val="clear" w:color="auto" w:fill="FFFFFF"/>
        </w:rPr>
        <w:t xml:space="preserve">t is, in a sense, creating more disquiet at a time when so many unburied dead cannot move to the peace of eternity. Placing the Sibyl of Cumae in the epigraph to </w:t>
      </w:r>
      <w:r w:rsidRPr="00527C05">
        <w:rPr>
          <w:rFonts w:ascii="Arial" w:hAnsi="Arial" w:cs="Arial"/>
          <w:i/>
          <w:iCs/>
          <w:sz w:val="24"/>
          <w:szCs w:val="24"/>
          <w:shd w:val="clear" w:color="auto" w:fill="FFFFFF"/>
        </w:rPr>
        <w:t>T</w:t>
      </w:r>
      <w:r>
        <w:rPr>
          <w:rFonts w:ascii="Arial" w:hAnsi="Arial" w:cs="Arial"/>
          <w:i/>
          <w:iCs/>
          <w:sz w:val="24"/>
          <w:szCs w:val="24"/>
          <w:shd w:val="clear" w:color="auto" w:fill="FFFFFF"/>
        </w:rPr>
        <w:t xml:space="preserve">he </w:t>
      </w:r>
      <w:r w:rsidRPr="00527C05">
        <w:rPr>
          <w:rFonts w:ascii="Arial" w:hAnsi="Arial" w:cs="Arial"/>
          <w:i/>
          <w:iCs/>
          <w:sz w:val="24"/>
          <w:szCs w:val="24"/>
          <w:shd w:val="clear" w:color="auto" w:fill="FFFFFF"/>
        </w:rPr>
        <w:t>W</w:t>
      </w:r>
      <w:r>
        <w:rPr>
          <w:rFonts w:ascii="Arial" w:hAnsi="Arial" w:cs="Arial"/>
          <w:i/>
          <w:iCs/>
          <w:sz w:val="24"/>
          <w:szCs w:val="24"/>
          <w:shd w:val="clear" w:color="auto" w:fill="FFFFFF"/>
        </w:rPr>
        <w:t xml:space="preserve">aste </w:t>
      </w:r>
      <w:r w:rsidRPr="00527C05">
        <w:rPr>
          <w:rFonts w:ascii="Arial" w:hAnsi="Arial" w:cs="Arial"/>
          <w:i/>
          <w:iCs/>
          <w:sz w:val="24"/>
          <w:szCs w:val="24"/>
          <w:shd w:val="clear" w:color="auto" w:fill="FFFFFF"/>
        </w:rPr>
        <w:t>L</w:t>
      </w:r>
      <w:r>
        <w:rPr>
          <w:rFonts w:ascii="Arial" w:hAnsi="Arial" w:cs="Arial"/>
          <w:i/>
          <w:iCs/>
          <w:sz w:val="24"/>
          <w:szCs w:val="24"/>
          <w:shd w:val="clear" w:color="auto" w:fill="FFFFFF"/>
        </w:rPr>
        <w:t>and</w:t>
      </w:r>
      <w:r>
        <w:rPr>
          <w:rFonts w:ascii="Arial" w:hAnsi="Arial" w:cs="Arial"/>
          <w:sz w:val="24"/>
          <w:szCs w:val="24"/>
          <w:shd w:val="clear" w:color="auto" w:fill="FFFFFF"/>
        </w:rPr>
        <w:t xml:space="preserve"> reminds us these dead are stuck. They are like Aeneas’s dead pilot Palinurus, met by the Sibyl and Aeneas in the underworld</w:t>
      </w:r>
      <w:r w:rsidR="000015C9">
        <w:rPr>
          <w:rFonts w:ascii="Arial" w:hAnsi="Arial" w:cs="Arial"/>
          <w:sz w:val="24"/>
          <w:szCs w:val="24"/>
          <w:shd w:val="clear" w:color="auto" w:fill="FFFFFF"/>
        </w:rPr>
        <w:t>. Palinurus</w:t>
      </w:r>
      <w:r>
        <w:rPr>
          <w:rFonts w:ascii="Arial" w:hAnsi="Arial" w:cs="Arial"/>
          <w:sz w:val="24"/>
          <w:szCs w:val="24"/>
          <w:shd w:val="clear" w:color="auto" w:fill="FFFFFF"/>
        </w:rPr>
        <w:t xml:space="preserve"> is unable to cross the river Styx since Charon takes only ‘those who have received burial rites’, he must instead wander the shore for a thousand years unless this is rectified.</w:t>
      </w:r>
      <w:r>
        <w:rPr>
          <w:rStyle w:val="FootnoteReference"/>
          <w:rFonts w:ascii="Arial" w:hAnsi="Arial" w:cs="Arial"/>
          <w:sz w:val="24"/>
          <w:szCs w:val="24"/>
          <w:shd w:val="clear" w:color="auto" w:fill="FFFFFF"/>
        </w:rPr>
        <w:footnoteReference w:id="17"/>
      </w:r>
      <w:r>
        <w:rPr>
          <w:rFonts w:ascii="Arial" w:hAnsi="Arial" w:cs="Arial"/>
          <w:sz w:val="24"/>
          <w:szCs w:val="24"/>
          <w:shd w:val="clear" w:color="auto" w:fill="FFFFFF"/>
        </w:rPr>
        <w:t xml:space="preserve"> This is compounded further in </w:t>
      </w:r>
      <w:r w:rsidRPr="00527C05">
        <w:rPr>
          <w:rFonts w:ascii="Arial" w:hAnsi="Arial" w:cs="Arial"/>
          <w:i/>
          <w:iCs/>
          <w:sz w:val="24"/>
          <w:szCs w:val="24"/>
          <w:shd w:val="clear" w:color="auto" w:fill="FFFFFF"/>
        </w:rPr>
        <w:t>T</w:t>
      </w:r>
      <w:r>
        <w:rPr>
          <w:rFonts w:ascii="Arial" w:hAnsi="Arial" w:cs="Arial"/>
          <w:i/>
          <w:iCs/>
          <w:sz w:val="24"/>
          <w:szCs w:val="24"/>
          <w:shd w:val="clear" w:color="auto" w:fill="FFFFFF"/>
        </w:rPr>
        <w:t xml:space="preserve">he </w:t>
      </w:r>
      <w:r w:rsidRPr="00527C05">
        <w:rPr>
          <w:rFonts w:ascii="Arial" w:hAnsi="Arial" w:cs="Arial"/>
          <w:i/>
          <w:iCs/>
          <w:sz w:val="24"/>
          <w:szCs w:val="24"/>
          <w:shd w:val="clear" w:color="auto" w:fill="FFFFFF"/>
        </w:rPr>
        <w:t>W</w:t>
      </w:r>
      <w:r>
        <w:rPr>
          <w:rFonts w:ascii="Arial" w:hAnsi="Arial" w:cs="Arial"/>
          <w:i/>
          <w:iCs/>
          <w:sz w:val="24"/>
          <w:szCs w:val="24"/>
          <w:shd w:val="clear" w:color="auto" w:fill="FFFFFF"/>
        </w:rPr>
        <w:t xml:space="preserve">aste </w:t>
      </w:r>
      <w:r w:rsidRPr="00527C05">
        <w:rPr>
          <w:rFonts w:ascii="Arial" w:hAnsi="Arial" w:cs="Arial"/>
          <w:i/>
          <w:iCs/>
          <w:sz w:val="24"/>
          <w:szCs w:val="24"/>
          <w:shd w:val="clear" w:color="auto" w:fill="FFFFFF"/>
        </w:rPr>
        <w:t>L</w:t>
      </w:r>
      <w:r>
        <w:rPr>
          <w:rFonts w:ascii="Arial" w:hAnsi="Arial" w:cs="Arial"/>
          <w:i/>
          <w:iCs/>
          <w:sz w:val="24"/>
          <w:szCs w:val="24"/>
          <w:shd w:val="clear" w:color="auto" w:fill="FFFFFF"/>
        </w:rPr>
        <w:t>and’s</w:t>
      </w:r>
      <w:r>
        <w:rPr>
          <w:rFonts w:ascii="Arial" w:hAnsi="Arial" w:cs="Arial"/>
          <w:sz w:val="24"/>
          <w:szCs w:val="24"/>
          <w:shd w:val="clear" w:color="auto" w:fill="FFFFFF"/>
        </w:rPr>
        <w:t xml:space="preserve"> epigraph since when the Sibyl is asked ‘what do you want?’</w:t>
      </w:r>
      <w:r w:rsidR="004221F0">
        <w:rPr>
          <w:rFonts w:ascii="Arial" w:hAnsi="Arial" w:cs="Arial"/>
          <w:sz w:val="24"/>
          <w:szCs w:val="24"/>
          <w:shd w:val="clear" w:color="auto" w:fill="FFFFFF"/>
        </w:rPr>
        <w:t>,</w:t>
      </w:r>
      <w:r>
        <w:rPr>
          <w:rFonts w:ascii="Arial" w:hAnsi="Arial" w:cs="Arial"/>
          <w:sz w:val="24"/>
          <w:szCs w:val="24"/>
          <w:shd w:val="clear" w:color="auto" w:fill="FFFFFF"/>
        </w:rPr>
        <w:t xml:space="preserve"> she replies ‘I want to die’. This seems a pitiful image to be evoked by one who is otherwise concerned that we summon up the dead for our art: an exhausted </w:t>
      </w:r>
      <w:r>
        <w:rPr>
          <w:rFonts w:ascii="Arial" w:hAnsi="Arial" w:cs="Arial"/>
          <w:sz w:val="24"/>
          <w:szCs w:val="24"/>
          <w:shd w:val="clear" w:color="auto" w:fill="FFFFFF"/>
        </w:rPr>
        <w:lastRenderedPageBreak/>
        <w:t xml:space="preserve">Sibyl calling for the release of death. She is not seeking death into eternal time that merely stretches her sentence, but away from time altogether and into eternity. </w:t>
      </w:r>
    </w:p>
    <w:p w14:paraId="1B2C072D" w14:textId="5713C063" w:rsidR="007436A6" w:rsidRDefault="007436A6" w:rsidP="007436A6">
      <w:pPr>
        <w:spacing w:line="480" w:lineRule="auto"/>
        <w:rPr>
          <w:rFonts w:ascii="Arial" w:hAnsi="Arial" w:cs="Arial"/>
          <w:sz w:val="24"/>
          <w:szCs w:val="24"/>
          <w:shd w:val="clear" w:color="auto" w:fill="FFFFFF"/>
        </w:rPr>
      </w:pPr>
      <w:r>
        <w:rPr>
          <w:rFonts w:ascii="Arial" w:hAnsi="Arial" w:cs="Arial"/>
          <w:sz w:val="24"/>
          <w:szCs w:val="24"/>
          <w:shd w:val="clear" w:color="auto" w:fill="FFFFFF"/>
        </w:rPr>
        <w:t>Immediately following the Sibyl in the epigraph is the chapter ‘The Burial of the Dead’</w:t>
      </w:r>
      <w:r w:rsidR="00574D0B">
        <w:rPr>
          <w:rFonts w:ascii="Arial" w:hAnsi="Arial" w:cs="Arial"/>
          <w:sz w:val="24"/>
          <w:szCs w:val="24"/>
          <w:shd w:val="clear" w:color="auto" w:fill="FFFFFF"/>
        </w:rPr>
        <w:t>. T</w:t>
      </w:r>
      <w:r>
        <w:rPr>
          <w:rFonts w:ascii="Arial" w:hAnsi="Arial" w:cs="Arial"/>
          <w:sz w:val="24"/>
          <w:szCs w:val="24"/>
          <w:shd w:val="clear" w:color="auto" w:fill="FFFFFF"/>
        </w:rPr>
        <w:t xml:space="preserve">his offers hope that there may be an end to calling upon this desiccated Sibyl, some ceremony that gives her and so the war’s dead their death rites. Booth observes that the phrase ‘“The Burial of the Dead,” is taken from the section in the Church of England’s </w:t>
      </w:r>
      <w:r>
        <w:rPr>
          <w:rFonts w:ascii="Arial" w:hAnsi="Arial" w:cs="Arial"/>
          <w:i/>
          <w:iCs/>
          <w:sz w:val="24"/>
          <w:szCs w:val="24"/>
          <w:shd w:val="clear" w:color="auto" w:fill="FFFFFF"/>
        </w:rPr>
        <w:t>Book of Common Prayer</w:t>
      </w:r>
      <w:r>
        <w:rPr>
          <w:rFonts w:ascii="Arial" w:hAnsi="Arial" w:cs="Arial"/>
          <w:sz w:val="24"/>
          <w:szCs w:val="24"/>
          <w:shd w:val="clear" w:color="auto" w:fill="FFFFFF"/>
        </w:rPr>
        <w:t xml:space="preserve"> that supplies the liturgy for ushering a corpse from churchyard to graveyard’, thus finishing the ritual of death.</w:t>
      </w:r>
      <w:r>
        <w:rPr>
          <w:rStyle w:val="FootnoteReference"/>
          <w:rFonts w:ascii="Arial" w:hAnsi="Arial" w:cs="Arial"/>
          <w:sz w:val="24"/>
          <w:szCs w:val="24"/>
          <w:shd w:val="clear" w:color="auto" w:fill="FFFFFF"/>
        </w:rPr>
        <w:footnoteReference w:id="18"/>
      </w:r>
    </w:p>
    <w:p w14:paraId="031C1B53" w14:textId="37FD9F4D" w:rsidR="007436A6" w:rsidRDefault="007436A6" w:rsidP="007436A6">
      <w:pPr>
        <w:spacing w:line="480" w:lineRule="auto"/>
        <w:rPr>
          <w:rFonts w:ascii="Arial" w:hAnsi="Arial" w:cs="Arial"/>
          <w:sz w:val="24"/>
          <w:szCs w:val="24"/>
          <w:shd w:val="clear" w:color="auto" w:fill="FFFFFF"/>
        </w:rPr>
      </w:pPr>
      <w:r>
        <w:rPr>
          <w:rFonts w:ascii="Arial" w:hAnsi="Arial" w:cs="Arial"/>
          <w:sz w:val="24"/>
          <w:szCs w:val="24"/>
          <w:shd w:val="clear" w:color="auto" w:fill="FFFFFF"/>
        </w:rPr>
        <w:t>Yet the poem opens with ‘the cruellest month, breeding / Lilacs out of the dead land’ (ll.1-2), ‘stirring / Dull roots’ (ll. 3-4) and ‘feeding / […] dried tubers’ (ll. 6-7)</w:t>
      </w:r>
      <w:r w:rsidR="00891DF7">
        <w:rPr>
          <w:rFonts w:ascii="Arial" w:hAnsi="Arial" w:cs="Arial"/>
          <w:sz w:val="24"/>
          <w:szCs w:val="24"/>
          <w:shd w:val="clear" w:color="auto" w:fill="FFFFFF"/>
        </w:rPr>
        <w:t>.</w:t>
      </w:r>
      <w:r>
        <w:rPr>
          <w:rFonts w:ascii="Arial" w:hAnsi="Arial" w:cs="Arial"/>
          <w:sz w:val="24"/>
          <w:szCs w:val="24"/>
          <w:shd w:val="clear" w:color="auto" w:fill="FFFFFF"/>
        </w:rPr>
        <w:t xml:space="preserve"> </w:t>
      </w:r>
      <w:r w:rsidR="00891DF7">
        <w:rPr>
          <w:rFonts w:ascii="Arial" w:hAnsi="Arial" w:cs="Arial"/>
          <w:sz w:val="24"/>
          <w:szCs w:val="24"/>
          <w:shd w:val="clear" w:color="auto" w:fill="FFFFFF"/>
        </w:rPr>
        <w:t>T</w:t>
      </w:r>
      <w:r>
        <w:rPr>
          <w:rFonts w:ascii="Arial" w:hAnsi="Arial" w:cs="Arial"/>
          <w:sz w:val="24"/>
          <w:szCs w:val="24"/>
          <w:shd w:val="clear" w:color="auto" w:fill="FFFFFF"/>
        </w:rPr>
        <w:t>hese are images that offer little peace to the Sibyl</w:t>
      </w:r>
      <w:r w:rsidR="00891DF7">
        <w:rPr>
          <w:rFonts w:ascii="Arial" w:hAnsi="Arial" w:cs="Arial"/>
          <w:sz w:val="24"/>
          <w:szCs w:val="24"/>
          <w:shd w:val="clear" w:color="auto" w:fill="FFFFFF"/>
        </w:rPr>
        <w:t>:</w:t>
      </w:r>
      <w:r>
        <w:rPr>
          <w:rFonts w:ascii="Arial" w:hAnsi="Arial" w:cs="Arial"/>
          <w:sz w:val="24"/>
          <w:szCs w:val="24"/>
          <w:shd w:val="clear" w:color="auto" w:fill="FFFFFF"/>
        </w:rPr>
        <w:t xml:space="preserve"> like her they are held in a deadened</w:t>
      </w:r>
      <w:r w:rsidR="00891DF7">
        <w:rPr>
          <w:rFonts w:ascii="Arial" w:hAnsi="Arial" w:cs="Arial"/>
          <w:sz w:val="24"/>
          <w:szCs w:val="24"/>
          <w:shd w:val="clear" w:color="auto" w:fill="FFFFFF"/>
        </w:rPr>
        <w:t>,</w:t>
      </w:r>
      <w:r>
        <w:rPr>
          <w:rFonts w:ascii="Arial" w:hAnsi="Arial" w:cs="Arial"/>
          <w:sz w:val="24"/>
          <w:szCs w:val="24"/>
          <w:shd w:val="clear" w:color="auto" w:fill="FFFFFF"/>
        </w:rPr>
        <w:t xml:space="preserve"> dried form ‘forgetful in the snow’ until they are forced again to engage with life. So that though ‘I will show you fear in a handful of dust’ (l. 30) at first seems indic</w:t>
      </w:r>
      <w:r w:rsidR="00142331">
        <w:rPr>
          <w:rFonts w:ascii="Arial" w:hAnsi="Arial" w:cs="Arial"/>
          <w:sz w:val="24"/>
          <w:szCs w:val="24"/>
          <w:shd w:val="clear" w:color="auto" w:fill="FFFFFF"/>
        </w:rPr>
        <w:t>a</w:t>
      </w:r>
      <w:r>
        <w:rPr>
          <w:rFonts w:ascii="Arial" w:hAnsi="Arial" w:cs="Arial"/>
          <w:sz w:val="24"/>
          <w:szCs w:val="24"/>
          <w:shd w:val="clear" w:color="auto" w:fill="FFFFFF"/>
        </w:rPr>
        <w:t xml:space="preserve">tive of the fear of death and our ultimate bodily reduction, what the Sibyl might tell you is the true thing to fear is a handful of sand. Her request to Apollo for years of life equivalent to the </w:t>
      </w:r>
      <w:r w:rsidR="00142331">
        <w:rPr>
          <w:rFonts w:ascii="Arial" w:hAnsi="Arial" w:cs="Arial"/>
          <w:sz w:val="24"/>
          <w:szCs w:val="24"/>
          <w:shd w:val="clear" w:color="auto" w:fill="FFFFFF"/>
        </w:rPr>
        <w:t>thousand</w:t>
      </w:r>
      <w:r>
        <w:rPr>
          <w:rFonts w:ascii="Arial" w:hAnsi="Arial" w:cs="Arial"/>
          <w:sz w:val="24"/>
          <w:szCs w:val="24"/>
          <w:shd w:val="clear" w:color="auto" w:fill="FFFFFF"/>
        </w:rPr>
        <w:t xml:space="preserve"> grains of sand she held in her hand was granted, but without the corresponding youth. The Sibyl endured centuries suffering a body that shrivelled away, and was still called to </w:t>
      </w:r>
      <w:r w:rsidR="00E241AC">
        <w:rPr>
          <w:rFonts w:ascii="Arial" w:hAnsi="Arial" w:cs="Arial"/>
          <w:sz w:val="24"/>
          <w:szCs w:val="24"/>
          <w:shd w:val="clear" w:color="auto" w:fill="FFFFFF"/>
        </w:rPr>
        <w:t xml:space="preserve">make </w:t>
      </w:r>
      <w:r>
        <w:rPr>
          <w:rFonts w:ascii="Arial" w:hAnsi="Arial" w:cs="Arial"/>
          <w:sz w:val="24"/>
          <w:szCs w:val="24"/>
          <w:shd w:val="clear" w:color="auto" w:fill="FFFFFF"/>
        </w:rPr>
        <w:t>prophes</w:t>
      </w:r>
      <w:r w:rsidR="00E241AC">
        <w:rPr>
          <w:rFonts w:ascii="Arial" w:hAnsi="Arial" w:cs="Arial"/>
          <w:sz w:val="24"/>
          <w:szCs w:val="24"/>
          <w:shd w:val="clear" w:color="auto" w:fill="FFFFFF"/>
        </w:rPr>
        <w:t>ies</w:t>
      </w:r>
      <w:r>
        <w:rPr>
          <w:rFonts w:ascii="Arial" w:hAnsi="Arial" w:cs="Arial"/>
          <w:sz w:val="24"/>
          <w:szCs w:val="24"/>
          <w:shd w:val="clear" w:color="auto" w:fill="FFFFFF"/>
        </w:rPr>
        <w:t xml:space="preserve"> despite being so reduced. Tiresias suffer</w:t>
      </w:r>
      <w:r w:rsidR="00F46CE5">
        <w:rPr>
          <w:rFonts w:ascii="Arial" w:hAnsi="Arial" w:cs="Arial"/>
          <w:sz w:val="24"/>
          <w:szCs w:val="24"/>
          <w:shd w:val="clear" w:color="auto" w:fill="FFFFFF"/>
        </w:rPr>
        <w:t>ed</w:t>
      </w:r>
      <w:r>
        <w:rPr>
          <w:rFonts w:ascii="Arial" w:hAnsi="Arial" w:cs="Arial"/>
          <w:sz w:val="24"/>
          <w:szCs w:val="24"/>
          <w:shd w:val="clear" w:color="auto" w:fill="FFFFFF"/>
        </w:rPr>
        <w:t xml:space="preserve"> a similar fate. </w:t>
      </w:r>
    </w:p>
    <w:p w14:paraId="6850E7B0" w14:textId="0370510C" w:rsidR="007436A6" w:rsidRDefault="007436A6" w:rsidP="007436A6">
      <w:pPr>
        <w:spacing w:line="480" w:lineRule="auto"/>
        <w:rPr>
          <w:rFonts w:ascii="Arial" w:hAnsi="Arial" w:cs="Arial"/>
          <w:sz w:val="24"/>
          <w:szCs w:val="24"/>
          <w:shd w:val="clear" w:color="auto" w:fill="FFFFFF"/>
        </w:rPr>
      </w:pPr>
      <w:r>
        <w:rPr>
          <w:rFonts w:ascii="Arial" w:hAnsi="Arial" w:cs="Arial"/>
          <w:sz w:val="24"/>
          <w:szCs w:val="24"/>
          <w:shd w:val="clear" w:color="auto" w:fill="FFFFFF"/>
        </w:rPr>
        <w:t xml:space="preserve">Eliot himself, in his notes to </w:t>
      </w:r>
      <w:r>
        <w:rPr>
          <w:rFonts w:ascii="Arial" w:hAnsi="Arial" w:cs="Arial"/>
          <w:i/>
          <w:iCs/>
          <w:sz w:val="24"/>
          <w:szCs w:val="24"/>
          <w:shd w:val="clear" w:color="auto" w:fill="FFFFFF"/>
        </w:rPr>
        <w:t>The Waste Land</w:t>
      </w:r>
      <w:r>
        <w:rPr>
          <w:rFonts w:ascii="Arial" w:hAnsi="Arial" w:cs="Arial"/>
          <w:sz w:val="24"/>
          <w:szCs w:val="24"/>
          <w:shd w:val="clear" w:color="auto" w:fill="FFFFFF"/>
        </w:rPr>
        <w:t>, calls Tiresias ‘although a mere spectator and not […] a “character”, […] [the] most important personage in the poem’.</w:t>
      </w:r>
      <w:r>
        <w:rPr>
          <w:rStyle w:val="FootnoteReference"/>
          <w:rFonts w:ascii="Arial" w:hAnsi="Arial" w:cs="Arial"/>
          <w:sz w:val="24"/>
          <w:szCs w:val="24"/>
          <w:shd w:val="clear" w:color="auto" w:fill="FFFFFF"/>
        </w:rPr>
        <w:footnoteReference w:id="19"/>
      </w:r>
      <w:r>
        <w:rPr>
          <w:rFonts w:ascii="Arial" w:hAnsi="Arial" w:cs="Arial"/>
          <w:sz w:val="24"/>
          <w:szCs w:val="24"/>
          <w:shd w:val="clear" w:color="auto" w:fill="FFFFFF"/>
        </w:rPr>
        <w:t xml:space="preserve"> This concurs with the general recognition that the figure of Tiresias </w:t>
      </w:r>
      <w:r>
        <w:rPr>
          <w:rFonts w:ascii="Arial" w:hAnsi="Arial" w:cs="Arial"/>
          <w:sz w:val="24"/>
          <w:szCs w:val="24"/>
          <w:shd w:val="clear" w:color="auto" w:fill="FFFFFF"/>
        </w:rPr>
        <w:lastRenderedPageBreak/>
        <w:t>represents that of a poet. Like The Sibyl, Tiresias endures an extended life that spans seven lives, and his ability to prophe</w:t>
      </w:r>
      <w:r w:rsidR="001526A6">
        <w:rPr>
          <w:rFonts w:ascii="Arial" w:hAnsi="Arial" w:cs="Arial"/>
          <w:sz w:val="24"/>
          <w:szCs w:val="24"/>
          <w:shd w:val="clear" w:color="auto" w:fill="FFFFFF"/>
        </w:rPr>
        <w:t>sy</w:t>
      </w:r>
      <w:r>
        <w:rPr>
          <w:rFonts w:ascii="Arial" w:hAnsi="Arial" w:cs="Arial"/>
          <w:sz w:val="24"/>
          <w:szCs w:val="24"/>
          <w:shd w:val="clear" w:color="auto" w:fill="FFFFFF"/>
        </w:rPr>
        <w:t xml:space="preserve"> continues in the underworld</w:t>
      </w:r>
      <w:r w:rsidR="00C15A02">
        <w:rPr>
          <w:rFonts w:ascii="Arial" w:hAnsi="Arial" w:cs="Arial"/>
          <w:sz w:val="24"/>
          <w:szCs w:val="24"/>
          <w:shd w:val="clear" w:color="auto" w:fill="FFFFFF"/>
        </w:rPr>
        <w:t>:</w:t>
      </w:r>
      <w:r>
        <w:rPr>
          <w:rFonts w:ascii="Arial" w:hAnsi="Arial" w:cs="Arial"/>
          <w:sz w:val="24"/>
          <w:szCs w:val="24"/>
          <w:shd w:val="clear" w:color="auto" w:fill="FFFFFF"/>
        </w:rPr>
        <w:t xml:space="preserve"> thus he is also a figure concerned with time and communication between the dead and the living. Tiresias was called from the underworld by sacrificial blood to prophesise for Odysseus, so perhaps it is the copious blood shed during the first World War that summons him to the modern world. What reason could there</w:t>
      </w:r>
      <w:r w:rsidR="00081205">
        <w:rPr>
          <w:rFonts w:ascii="Arial" w:hAnsi="Arial" w:cs="Arial"/>
          <w:sz w:val="24"/>
          <w:szCs w:val="24"/>
          <w:shd w:val="clear" w:color="auto" w:fill="FFFFFF"/>
        </w:rPr>
        <w:t xml:space="preserve"> </w:t>
      </w:r>
      <w:r>
        <w:rPr>
          <w:rFonts w:ascii="Arial" w:hAnsi="Arial" w:cs="Arial"/>
          <w:sz w:val="24"/>
          <w:szCs w:val="24"/>
          <w:shd w:val="clear" w:color="auto" w:fill="FFFFFF"/>
        </w:rPr>
        <w:t xml:space="preserve">otherwise </w:t>
      </w:r>
      <w:r w:rsidR="00081205">
        <w:rPr>
          <w:rFonts w:ascii="Arial" w:hAnsi="Arial" w:cs="Arial"/>
          <w:sz w:val="24"/>
          <w:szCs w:val="24"/>
          <w:shd w:val="clear" w:color="auto" w:fill="FFFFFF"/>
        </w:rPr>
        <w:t xml:space="preserve">be </w:t>
      </w:r>
      <w:r>
        <w:rPr>
          <w:rFonts w:ascii="Arial" w:hAnsi="Arial" w:cs="Arial"/>
          <w:sz w:val="24"/>
          <w:szCs w:val="24"/>
          <w:shd w:val="clear" w:color="auto" w:fill="FFFFFF"/>
        </w:rPr>
        <w:t>to call him, only to witness the banalities of the modern world? It seems the worn and aging Tiresias, like Eliot, is a poet blessed and fettered by eternal time, doomed now to be called to a modern world with nothing to prophes</w:t>
      </w:r>
      <w:r w:rsidR="00CF20EA">
        <w:rPr>
          <w:rFonts w:ascii="Arial" w:hAnsi="Arial" w:cs="Arial"/>
          <w:sz w:val="24"/>
          <w:szCs w:val="24"/>
          <w:shd w:val="clear" w:color="auto" w:fill="FFFFFF"/>
        </w:rPr>
        <w:t>y</w:t>
      </w:r>
      <w:r>
        <w:rPr>
          <w:rFonts w:ascii="Arial" w:hAnsi="Arial" w:cs="Arial"/>
          <w:sz w:val="24"/>
          <w:szCs w:val="24"/>
          <w:shd w:val="clear" w:color="auto" w:fill="FFFFFF"/>
        </w:rPr>
        <w:t xml:space="preserve">, and no certain person to </w:t>
      </w:r>
      <w:r w:rsidR="00CF20EA">
        <w:rPr>
          <w:rFonts w:ascii="Arial" w:hAnsi="Arial" w:cs="Arial"/>
          <w:sz w:val="24"/>
          <w:szCs w:val="24"/>
          <w:shd w:val="clear" w:color="auto" w:fill="FFFFFF"/>
        </w:rPr>
        <w:t xml:space="preserve">give a </w:t>
      </w:r>
      <w:r>
        <w:rPr>
          <w:rFonts w:ascii="Arial" w:hAnsi="Arial" w:cs="Arial"/>
          <w:sz w:val="24"/>
          <w:szCs w:val="24"/>
          <w:shd w:val="clear" w:color="auto" w:fill="FFFFFF"/>
        </w:rPr>
        <w:t>prophes</w:t>
      </w:r>
      <w:r w:rsidR="00CF20EA">
        <w:rPr>
          <w:rFonts w:ascii="Arial" w:hAnsi="Arial" w:cs="Arial"/>
          <w:sz w:val="24"/>
          <w:szCs w:val="24"/>
          <w:shd w:val="clear" w:color="auto" w:fill="FFFFFF"/>
        </w:rPr>
        <w:t>y</w:t>
      </w:r>
      <w:r>
        <w:rPr>
          <w:rFonts w:ascii="Arial" w:hAnsi="Arial" w:cs="Arial"/>
          <w:sz w:val="24"/>
          <w:szCs w:val="24"/>
          <w:shd w:val="clear" w:color="auto" w:fill="FFFFFF"/>
        </w:rPr>
        <w:t xml:space="preserve"> to. </w:t>
      </w:r>
    </w:p>
    <w:p w14:paraId="02D52F0C" w14:textId="11D712E0" w:rsidR="007436A6" w:rsidRPr="0030651B" w:rsidRDefault="007436A6" w:rsidP="0030651B">
      <w:pPr>
        <w:pStyle w:val="CommentText"/>
        <w:spacing w:line="480" w:lineRule="auto"/>
        <w:rPr>
          <w:rFonts w:ascii="Arial" w:hAnsi="Arial" w:cs="Arial"/>
          <w:sz w:val="24"/>
          <w:szCs w:val="24"/>
        </w:rPr>
      </w:pPr>
      <w:r>
        <w:rPr>
          <w:rFonts w:ascii="Arial" w:hAnsi="Arial" w:cs="Arial"/>
          <w:sz w:val="24"/>
          <w:szCs w:val="24"/>
          <w:shd w:val="clear" w:color="auto" w:fill="FFFFFF"/>
        </w:rPr>
        <w:t xml:space="preserve">Despite this, the dimension offered by Bergson’s durée, peopled by the greats and their wisdom, still offered Eliot the possibility to re-introduce meaning to a modern world, whose banality seemed encouraged by its clock-bound present. </w:t>
      </w:r>
      <w:r>
        <w:rPr>
          <w:rFonts w:ascii="Arial" w:hAnsi="Arial" w:cs="Arial"/>
          <w:color w:val="000020"/>
          <w:sz w:val="24"/>
          <w:szCs w:val="24"/>
          <w:shd w:val="clear" w:color="auto" w:fill="FFFFFF"/>
        </w:rPr>
        <w:t xml:space="preserve">Whilst it seems counterintuitive for Eliot to use the Sibyl and Tiresias in </w:t>
      </w:r>
      <w:r>
        <w:rPr>
          <w:rFonts w:ascii="Arial" w:hAnsi="Arial" w:cs="Arial"/>
          <w:i/>
          <w:iCs/>
          <w:color w:val="000020"/>
          <w:sz w:val="24"/>
          <w:szCs w:val="24"/>
          <w:shd w:val="clear" w:color="auto" w:fill="FFFFFF"/>
        </w:rPr>
        <w:t>The Waste Land</w:t>
      </w:r>
      <w:r>
        <w:rPr>
          <w:rFonts w:ascii="Arial" w:hAnsi="Arial" w:cs="Arial"/>
          <w:color w:val="000020"/>
          <w:sz w:val="24"/>
          <w:szCs w:val="24"/>
          <w:shd w:val="clear" w:color="auto" w:fill="FFFFFF"/>
        </w:rPr>
        <w:t xml:space="preserve">, deliberately exacerbating the pain of spectral overcrowding following WW1, </w:t>
      </w:r>
      <w:r>
        <w:rPr>
          <w:rFonts w:ascii="Arial" w:hAnsi="Arial" w:cs="Arial"/>
          <w:sz w:val="24"/>
          <w:szCs w:val="24"/>
          <w:shd w:val="clear" w:color="auto" w:fill="FFFFFF"/>
        </w:rPr>
        <w:t xml:space="preserve">durée remained the time-scape of his poetry. </w:t>
      </w:r>
      <w:r w:rsidR="00F4762F">
        <w:rPr>
          <w:rFonts w:ascii="Arial" w:hAnsi="Arial" w:cs="Arial"/>
          <w:color w:val="000020"/>
          <w:sz w:val="24"/>
          <w:szCs w:val="24"/>
          <w:shd w:val="clear" w:color="auto" w:fill="FFFFFF"/>
        </w:rPr>
        <w:t>Durée</w:t>
      </w:r>
      <w:r>
        <w:rPr>
          <w:rFonts w:ascii="Arial" w:hAnsi="Arial" w:cs="Arial"/>
          <w:color w:val="000020"/>
          <w:sz w:val="24"/>
          <w:szCs w:val="24"/>
          <w:shd w:val="clear" w:color="auto" w:fill="FFFFFF"/>
        </w:rPr>
        <w:t xml:space="preserve"> still best allowed for his belief in tradition and in interacting with the wisdom of the greats, yet </w:t>
      </w:r>
      <w:r w:rsidR="0030651B" w:rsidRPr="0030651B">
        <w:rPr>
          <w:rFonts w:ascii="Arial" w:hAnsi="Arial" w:cs="Arial"/>
          <w:sz w:val="24"/>
          <w:szCs w:val="24"/>
        </w:rPr>
        <w:t>Eliot candidly explored the danger of this move backwards into eternal time merely becoming an extension of the ever-growing reach of clock time</w:t>
      </w:r>
      <w:r w:rsidR="0030651B">
        <w:rPr>
          <w:rFonts w:ascii="Arial" w:hAnsi="Arial" w:cs="Arial"/>
          <w:sz w:val="24"/>
          <w:szCs w:val="24"/>
        </w:rPr>
        <w:t>, and t</w:t>
      </w:r>
      <w:r w:rsidR="0030651B" w:rsidRPr="0030651B">
        <w:rPr>
          <w:rFonts w:ascii="Arial" w:hAnsi="Arial" w:cs="Arial"/>
          <w:sz w:val="24"/>
          <w:szCs w:val="24"/>
        </w:rPr>
        <w:t>he danger that summoning the ancients into conscious time</w:t>
      </w:r>
      <w:r w:rsidR="003D0524">
        <w:rPr>
          <w:rFonts w:ascii="Arial" w:hAnsi="Arial" w:cs="Arial"/>
          <w:sz w:val="24"/>
          <w:szCs w:val="24"/>
        </w:rPr>
        <w:t>,</w:t>
      </w:r>
      <w:r w:rsidR="0030651B" w:rsidRPr="0030651B">
        <w:rPr>
          <w:rFonts w:ascii="Arial" w:hAnsi="Arial" w:cs="Arial"/>
          <w:sz w:val="24"/>
          <w:szCs w:val="24"/>
        </w:rPr>
        <w:t xml:space="preserve"> in the end</w:t>
      </w:r>
      <w:r w:rsidR="003D0524">
        <w:rPr>
          <w:rFonts w:ascii="Arial" w:hAnsi="Arial" w:cs="Arial"/>
          <w:sz w:val="24"/>
          <w:szCs w:val="24"/>
        </w:rPr>
        <w:t>,</w:t>
      </w:r>
      <w:r w:rsidR="0030651B" w:rsidRPr="0030651B">
        <w:rPr>
          <w:rFonts w:ascii="Arial" w:hAnsi="Arial" w:cs="Arial"/>
          <w:sz w:val="24"/>
          <w:szCs w:val="24"/>
        </w:rPr>
        <w:t xml:space="preserve"> </w:t>
      </w:r>
      <w:r w:rsidR="0030651B">
        <w:rPr>
          <w:rFonts w:ascii="Arial" w:hAnsi="Arial" w:cs="Arial"/>
          <w:sz w:val="24"/>
          <w:szCs w:val="24"/>
        </w:rPr>
        <w:t xml:space="preserve">might </w:t>
      </w:r>
      <w:r w:rsidR="0030651B" w:rsidRPr="0030651B">
        <w:rPr>
          <w:rFonts w:ascii="Arial" w:hAnsi="Arial" w:cs="Arial"/>
          <w:sz w:val="24"/>
          <w:szCs w:val="24"/>
        </w:rPr>
        <w:t>deprive us all of our escape from time into eternity and oblivion</w:t>
      </w:r>
      <w:r>
        <w:rPr>
          <w:rFonts w:ascii="Arial" w:hAnsi="Arial" w:cs="Arial"/>
          <w:color w:val="000020"/>
          <w:sz w:val="24"/>
          <w:szCs w:val="24"/>
          <w:shd w:val="clear" w:color="auto" w:fill="FFFFFF"/>
        </w:rPr>
        <w:t>. Meanwhile, Eliot</w:t>
      </w:r>
      <w:r w:rsidR="00F153E2">
        <w:rPr>
          <w:rFonts w:ascii="Arial" w:hAnsi="Arial" w:cs="Arial"/>
          <w:color w:val="000020"/>
          <w:sz w:val="24"/>
          <w:szCs w:val="24"/>
          <w:shd w:val="clear" w:color="auto" w:fill="FFFFFF"/>
        </w:rPr>
        <w:t>,</w:t>
      </w:r>
      <w:r>
        <w:rPr>
          <w:rFonts w:ascii="Arial" w:hAnsi="Arial" w:cs="Arial"/>
          <w:color w:val="000020"/>
          <w:sz w:val="24"/>
          <w:szCs w:val="24"/>
          <w:shd w:val="clear" w:color="auto" w:fill="FFFFFF"/>
        </w:rPr>
        <w:t xml:space="preserve"> unable to totally discount durée</w:t>
      </w:r>
      <w:r w:rsidR="00F153E2">
        <w:rPr>
          <w:rFonts w:ascii="Arial" w:hAnsi="Arial" w:cs="Arial"/>
          <w:color w:val="000020"/>
          <w:sz w:val="24"/>
          <w:szCs w:val="24"/>
          <w:shd w:val="clear" w:color="auto" w:fill="FFFFFF"/>
        </w:rPr>
        <w:t>,</w:t>
      </w:r>
      <w:r>
        <w:rPr>
          <w:rFonts w:ascii="Arial" w:hAnsi="Arial" w:cs="Arial"/>
          <w:color w:val="000020"/>
          <w:sz w:val="24"/>
          <w:szCs w:val="24"/>
          <w:shd w:val="clear" w:color="auto" w:fill="FFFFFF"/>
        </w:rPr>
        <w:t xml:space="preserve"> must have eventually reconciled himself even to the tragic ghosts of WW1. In the end</w:t>
      </w:r>
      <w:r w:rsidR="00F66B91">
        <w:rPr>
          <w:rFonts w:ascii="Arial" w:hAnsi="Arial" w:cs="Arial"/>
          <w:color w:val="000020"/>
          <w:sz w:val="24"/>
          <w:szCs w:val="24"/>
          <w:shd w:val="clear" w:color="auto" w:fill="FFFFFF"/>
        </w:rPr>
        <w:t>,</w:t>
      </w:r>
      <w:r>
        <w:rPr>
          <w:rFonts w:ascii="Arial" w:hAnsi="Arial" w:cs="Arial"/>
          <w:color w:val="000020"/>
          <w:sz w:val="24"/>
          <w:szCs w:val="24"/>
          <w:shd w:val="clear" w:color="auto" w:fill="FFFFFF"/>
        </w:rPr>
        <w:t xml:space="preserve"> all ghosts are the unavoidable outcome human of consciousness and time, and we interact </w:t>
      </w:r>
      <w:r>
        <w:rPr>
          <w:rFonts w:ascii="Arial" w:hAnsi="Arial" w:cs="Arial"/>
          <w:color w:val="000020"/>
          <w:sz w:val="24"/>
          <w:szCs w:val="24"/>
          <w:shd w:val="clear" w:color="auto" w:fill="FFFFFF"/>
        </w:rPr>
        <w:lastRenderedPageBreak/>
        <w:t xml:space="preserve">with them rather than banishing them, since </w:t>
      </w:r>
      <w:r w:rsidR="00F66B91">
        <w:rPr>
          <w:rFonts w:ascii="Arial" w:hAnsi="Arial" w:cs="Arial"/>
          <w:color w:val="000020"/>
          <w:sz w:val="24"/>
          <w:szCs w:val="24"/>
          <w:shd w:val="clear" w:color="auto" w:fill="FFFFFF"/>
        </w:rPr>
        <w:t>to do so would be to</w:t>
      </w:r>
      <w:r>
        <w:rPr>
          <w:rFonts w:ascii="Arial" w:hAnsi="Arial" w:cs="Arial"/>
          <w:color w:val="000020"/>
          <w:sz w:val="24"/>
          <w:szCs w:val="24"/>
          <w:shd w:val="clear" w:color="auto" w:fill="FFFFFF"/>
        </w:rPr>
        <w:t xml:space="preserve"> banish memory and knowledge.</w:t>
      </w:r>
      <w:r w:rsidRPr="00386F35">
        <w:rPr>
          <w:rStyle w:val="FootnoteReference"/>
          <w:rFonts w:ascii="Arial" w:hAnsi="Arial" w:cs="Arial"/>
          <w:sz w:val="24"/>
          <w:szCs w:val="24"/>
        </w:rPr>
        <w:footnoteReference w:id="20"/>
      </w:r>
    </w:p>
    <w:p w14:paraId="4D1CAD12" w14:textId="60285DF5" w:rsidR="007436A6" w:rsidRDefault="007436A6">
      <w:pPr>
        <w:rPr>
          <w:rFonts w:ascii="Arial" w:hAnsi="Arial" w:cs="Arial"/>
          <w:color w:val="000020"/>
          <w:sz w:val="24"/>
          <w:szCs w:val="24"/>
          <w:shd w:val="clear" w:color="auto" w:fill="FFFFFF"/>
        </w:rPr>
      </w:pPr>
      <w:r>
        <w:rPr>
          <w:rFonts w:ascii="Arial" w:hAnsi="Arial" w:cs="Arial"/>
          <w:color w:val="000020"/>
          <w:sz w:val="24"/>
          <w:szCs w:val="24"/>
          <w:shd w:val="clear" w:color="auto" w:fill="FFFFFF"/>
        </w:rPr>
        <w:br w:type="page"/>
      </w:r>
    </w:p>
    <w:p w14:paraId="739A6216" w14:textId="77777777" w:rsidR="00E61671" w:rsidRPr="002C7D8D" w:rsidRDefault="00E61671" w:rsidP="00E61671">
      <w:pPr>
        <w:rPr>
          <w:rFonts w:ascii="Arial" w:hAnsi="Arial" w:cs="Arial"/>
          <w:b/>
          <w:bCs/>
          <w:sz w:val="24"/>
          <w:szCs w:val="24"/>
        </w:rPr>
      </w:pPr>
      <w:r w:rsidRPr="002C7D8D">
        <w:rPr>
          <w:rFonts w:ascii="Arial" w:hAnsi="Arial" w:cs="Arial"/>
          <w:b/>
          <w:bCs/>
          <w:sz w:val="24"/>
          <w:szCs w:val="24"/>
        </w:rPr>
        <w:lastRenderedPageBreak/>
        <w:t>Bibliography</w:t>
      </w:r>
    </w:p>
    <w:p w14:paraId="04B1CF59" w14:textId="77777777" w:rsidR="00E61671" w:rsidRDefault="00E61671" w:rsidP="00E61671">
      <w:pPr>
        <w:rPr>
          <w:rFonts w:ascii="Arial" w:hAnsi="Arial" w:cs="Arial"/>
          <w:b/>
          <w:bCs/>
          <w:sz w:val="24"/>
          <w:szCs w:val="24"/>
        </w:rPr>
      </w:pPr>
    </w:p>
    <w:p w14:paraId="346C3C5C" w14:textId="77777777" w:rsidR="00E61671" w:rsidRPr="000E2C7C" w:rsidRDefault="00E61671" w:rsidP="00E61671">
      <w:pPr>
        <w:rPr>
          <w:rFonts w:ascii="Arial" w:hAnsi="Arial" w:cs="Arial"/>
          <w:b/>
          <w:bCs/>
          <w:sz w:val="24"/>
          <w:szCs w:val="24"/>
        </w:rPr>
      </w:pPr>
      <w:r w:rsidRPr="000E2C7C">
        <w:rPr>
          <w:rFonts w:ascii="Arial" w:hAnsi="Arial" w:cs="Arial"/>
          <w:sz w:val="24"/>
          <w:szCs w:val="24"/>
        </w:rPr>
        <w:t>Booth,</w:t>
      </w:r>
      <w:r>
        <w:rPr>
          <w:rFonts w:ascii="Arial" w:hAnsi="Arial" w:cs="Arial"/>
          <w:sz w:val="24"/>
          <w:szCs w:val="24"/>
        </w:rPr>
        <w:t xml:space="preserve"> A.,</w:t>
      </w:r>
      <w:r w:rsidRPr="000E2C7C">
        <w:rPr>
          <w:rFonts w:ascii="Arial" w:hAnsi="Arial" w:cs="Arial"/>
          <w:sz w:val="24"/>
          <w:szCs w:val="24"/>
        </w:rPr>
        <w:t xml:space="preserve"> </w:t>
      </w:r>
      <w:r w:rsidRPr="000E2C7C">
        <w:rPr>
          <w:rFonts w:ascii="Arial" w:hAnsi="Arial" w:cs="Arial"/>
          <w:i/>
          <w:iCs/>
          <w:sz w:val="24"/>
          <w:szCs w:val="24"/>
        </w:rPr>
        <w:t>Reading “The Waste Land” From the Bottom Up</w:t>
      </w:r>
      <w:r w:rsidRPr="000E2C7C">
        <w:rPr>
          <w:rFonts w:ascii="Arial" w:hAnsi="Arial" w:cs="Arial"/>
          <w:sz w:val="24"/>
          <w:szCs w:val="24"/>
        </w:rPr>
        <w:t>, ‘”Shantih, shantih, shantih”: Upanishads’ (new York: Palgrave MacMillan, 2015) &lt;</w:t>
      </w:r>
      <w:hyperlink r:id="rId9" w:history="1">
        <w:r w:rsidRPr="000E2C7C">
          <w:rPr>
            <w:rStyle w:val="Hyperlink"/>
            <w:rFonts w:ascii="Arial" w:hAnsi="Arial" w:cs="Arial"/>
            <w:sz w:val="24"/>
            <w:szCs w:val="24"/>
          </w:rPr>
          <w:t>https://link.springer.com/chapter/10.1057/9781137482846_54</w:t>
        </w:r>
      </w:hyperlink>
      <w:r w:rsidRPr="000E2C7C">
        <w:rPr>
          <w:rFonts w:ascii="Arial" w:hAnsi="Arial" w:cs="Arial"/>
          <w:sz w:val="24"/>
          <w:szCs w:val="24"/>
        </w:rPr>
        <w:t>&gt; Accessed 8</w:t>
      </w:r>
      <w:r w:rsidRPr="000E2C7C">
        <w:rPr>
          <w:rFonts w:ascii="Arial" w:hAnsi="Arial" w:cs="Arial"/>
          <w:sz w:val="24"/>
          <w:szCs w:val="24"/>
          <w:vertAlign w:val="superscript"/>
        </w:rPr>
        <w:t>th</w:t>
      </w:r>
      <w:r w:rsidRPr="000E2C7C">
        <w:rPr>
          <w:rFonts w:ascii="Arial" w:hAnsi="Arial" w:cs="Arial"/>
          <w:sz w:val="24"/>
          <w:szCs w:val="24"/>
        </w:rPr>
        <w:t xml:space="preserve"> April 2020</w:t>
      </w:r>
    </w:p>
    <w:p w14:paraId="375463A6" w14:textId="77777777" w:rsidR="00E61671" w:rsidRDefault="00E61671" w:rsidP="00E61671">
      <w:pPr>
        <w:rPr>
          <w:rFonts w:ascii="Arial" w:hAnsi="Arial" w:cs="Arial"/>
          <w:sz w:val="24"/>
          <w:szCs w:val="24"/>
        </w:rPr>
      </w:pPr>
      <w:r w:rsidRPr="002C7D8D">
        <w:rPr>
          <w:rFonts w:ascii="Arial" w:hAnsi="Arial" w:cs="Arial"/>
          <w:sz w:val="24"/>
          <w:szCs w:val="24"/>
        </w:rPr>
        <w:t xml:space="preserve">Brooker, J. S., ‘Seduction and Disenchantment: Eliot in the Bergsonian World’, Chapter 2, Jayme Stayer ed., </w:t>
      </w:r>
      <w:r w:rsidRPr="002C7D8D">
        <w:rPr>
          <w:rFonts w:ascii="Arial" w:hAnsi="Arial" w:cs="Arial"/>
          <w:i/>
          <w:iCs/>
          <w:sz w:val="24"/>
          <w:szCs w:val="24"/>
        </w:rPr>
        <w:t>T.S. Eliot, France, and the Mind of Europe</w:t>
      </w:r>
      <w:r w:rsidRPr="002C7D8D">
        <w:rPr>
          <w:rFonts w:ascii="Arial" w:hAnsi="Arial" w:cs="Arial"/>
          <w:sz w:val="24"/>
          <w:szCs w:val="24"/>
        </w:rPr>
        <w:t xml:space="preserve"> (Cambridge: Cambridge Scholars Publishing, 2015)</w:t>
      </w:r>
    </w:p>
    <w:p w14:paraId="3B7FA30F" w14:textId="77777777" w:rsidR="00E61671" w:rsidRDefault="00E61671" w:rsidP="00E61671">
      <w:pPr>
        <w:rPr>
          <w:rFonts w:ascii="Arial" w:hAnsi="Arial" w:cs="Arial"/>
          <w:sz w:val="24"/>
          <w:szCs w:val="24"/>
        </w:rPr>
      </w:pPr>
      <w:r w:rsidRPr="009D61DA">
        <w:rPr>
          <w:rFonts w:ascii="Arial" w:hAnsi="Arial" w:cs="Arial"/>
          <w:sz w:val="24"/>
          <w:szCs w:val="24"/>
        </w:rPr>
        <w:t>Eliot, T. S.</w:t>
      </w:r>
      <w:r>
        <w:rPr>
          <w:rFonts w:ascii="Arial" w:hAnsi="Arial" w:cs="Arial"/>
          <w:sz w:val="24"/>
          <w:szCs w:val="24"/>
        </w:rPr>
        <w:t>,</w:t>
      </w:r>
      <w:r w:rsidRPr="009D61DA">
        <w:rPr>
          <w:rFonts w:ascii="Arial" w:hAnsi="Arial" w:cs="Arial"/>
          <w:sz w:val="24"/>
          <w:szCs w:val="24"/>
        </w:rPr>
        <w:t xml:space="preserve"> ‘The Love Song of J. Alfred Prufrock’, </w:t>
      </w:r>
      <w:r w:rsidRPr="009D61DA">
        <w:rPr>
          <w:rFonts w:ascii="Arial" w:hAnsi="Arial" w:cs="Arial"/>
          <w:i/>
          <w:iCs/>
          <w:sz w:val="24"/>
          <w:szCs w:val="24"/>
        </w:rPr>
        <w:t>The Waste Land and Other Poems</w:t>
      </w:r>
      <w:r w:rsidRPr="009D61DA">
        <w:rPr>
          <w:rFonts w:ascii="Arial" w:hAnsi="Arial" w:cs="Arial"/>
          <w:sz w:val="24"/>
          <w:szCs w:val="24"/>
        </w:rPr>
        <w:t xml:space="preserve"> (London: Faber and Faber, 1972; reset 1990 and 1999)</w:t>
      </w:r>
    </w:p>
    <w:p w14:paraId="2A9F426E" w14:textId="77777777" w:rsidR="00E61671" w:rsidRDefault="00E61671" w:rsidP="00E61671">
      <w:pPr>
        <w:rPr>
          <w:rFonts w:ascii="Arial" w:hAnsi="Arial" w:cs="Arial"/>
          <w:sz w:val="24"/>
          <w:szCs w:val="24"/>
        </w:rPr>
      </w:pPr>
      <w:r w:rsidRPr="001B610C">
        <w:rPr>
          <w:rFonts w:ascii="Arial" w:hAnsi="Arial" w:cs="Arial"/>
          <w:sz w:val="24"/>
          <w:szCs w:val="24"/>
        </w:rPr>
        <w:t>Eliot,</w:t>
      </w:r>
      <w:r>
        <w:rPr>
          <w:rFonts w:ascii="Arial" w:hAnsi="Arial" w:cs="Arial"/>
          <w:sz w:val="24"/>
          <w:szCs w:val="24"/>
        </w:rPr>
        <w:t xml:space="preserve"> </w:t>
      </w:r>
      <w:r w:rsidRPr="001B610C">
        <w:rPr>
          <w:rFonts w:ascii="Arial" w:hAnsi="Arial" w:cs="Arial"/>
          <w:sz w:val="24"/>
          <w:szCs w:val="24"/>
        </w:rPr>
        <w:t>T. S.</w:t>
      </w:r>
      <w:r>
        <w:rPr>
          <w:rFonts w:ascii="Arial" w:hAnsi="Arial" w:cs="Arial"/>
          <w:sz w:val="24"/>
          <w:szCs w:val="24"/>
        </w:rPr>
        <w:t>,</w:t>
      </w:r>
      <w:r w:rsidRPr="001B610C">
        <w:rPr>
          <w:rFonts w:ascii="Arial" w:hAnsi="Arial" w:cs="Arial"/>
          <w:sz w:val="24"/>
          <w:szCs w:val="24"/>
        </w:rPr>
        <w:t xml:space="preserve"> ‘Tradition and the Individual Talent’, </w:t>
      </w:r>
      <w:r w:rsidRPr="001B610C">
        <w:rPr>
          <w:rFonts w:ascii="Arial" w:hAnsi="Arial" w:cs="Arial"/>
          <w:i/>
          <w:iCs/>
          <w:sz w:val="24"/>
          <w:szCs w:val="24"/>
        </w:rPr>
        <w:t>Sacred Wood</w:t>
      </w:r>
      <w:r w:rsidRPr="001B610C">
        <w:rPr>
          <w:rFonts w:ascii="Arial" w:hAnsi="Arial" w:cs="Arial"/>
          <w:sz w:val="24"/>
          <w:szCs w:val="24"/>
        </w:rPr>
        <w:t xml:space="preserve"> (1921), on Bartleby.com &lt;</w:t>
      </w:r>
      <w:hyperlink r:id="rId10" w:history="1">
        <w:r w:rsidRPr="001B610C">
          <w:rPr>
            <w:rStyle w:val="Hyperlink"/>
            <w:rFonts w:ascii="Arial" w:hAnsi="Arial" w:cs="Arial"/>
            <w:sz w:val="24"/>
            <w:szCs w:val="24"/>
          </w:rPr>
          <w:t>https://www.bartleby.com/200/sw4.html</w:t>
        </w:r>
      </w:hyperlink>
      <w:r w:rsidRPr="001B610C">
        <w:rPr>
          <w:rFonts w:ascii="Arial" w:hAnsi="Arial" w:cs="Arial"/>
          <w:sz w:val="24"/>
          <w:szCs w:val="24"/>
        </w:rPr>
        <w:t>&gt; Accessed 26</w:t>
      </w:r>
      <w:r w:rsidRPr="001B610C">
        <w:rPr>
          <w:rFonts w:ascii="Arial" w:hAnsi="Arial" w:cs="Arial"/>
          <w:sz w:val="24"/>
          <w:szCs w:val="24"/>
          <w:vertAlign w:val="superscript"/>
        </w:rPr>
        <w:t>th</w:t>
      </w:r>
      <w:r w:rsidRPr="001B610C">
        <w:rPr>
          <w:rFonts w:ascii="Arial" w:hAnsi="Arial" w:cs="Arial"/>
          <w:sz w:val="24"/>
          <w:szCs w:val="24"/>
        </w:rPr>
        <w:t xml:space="preserve"> March 2020</w:t>
      </w:r>
    </w:p>
    <w:p w14:paraId="3AC4307B" w14:textId="77777777" w:rsidR="00E61671" w:rsidRDefault="00E61671" w:rsidP="00E61671">
      <w:pPr>
        <w:rPr>
          <w:rFonts w:ascii="Arial" w:hAnsi="Arial" w:cs="Arial"/>
          <w:sz w:val="24"/>
          <w:szCs w:val="24"/>
        </w:rPr>
      </w:pPr>
      <w:r w:rsidRPr="009D61DA">
        <w:rPr>
          <w:rFonts w:ascii="Arial" w:hAnsi="Arial" w:cs="Arial"/>
          <w:sz w:val="24"/>
          <w:szCs w:val="24"/>
        </w:rPr>
        <w:t>Eliot, T. S.</w:t>
      </w:r>
      <w:r>
        <w:rPr>
          <w:rFonts w:ascii="Arial" w:hAnsi="Arial" w:cs="Arial"/>
          <w:sz w:val="24"/>
          <w:szCs w:val="24"/>
        </w:rPr>
        <w:t>,</w:t>
      </w:r>
      <w:r w:rsidRPr="009D61DA">
        <w:rPr>
          <w:rFonts w:ascii="Arial" w:hAnsi="Arial" w:cs="Arial"/>
          <w:sz w:val="24"/>
          <w:szCs w:val="24"/>
        </w:rPr>
        <w:t xml:space="preserve"> ‘</w:t>
      </w:r>
      <w:r>
        <w:rPr>
          <w:rFonts w:ascii="Arial" w:hAnsi="Arial" w:cs="Arial"/>
          <w:sz w:val="24"/>
          <w:szCs w:val="24"/>
        </w:rPr>
        <w:t>The Waste Land</w:t>
      </w:r>
      <w:r w:rsidRPr="009D61DA">
        <w:rPr>
          <w:rFonts w:ascii="Arial" w:hAnsi="Arial" w:cs="Arial"/>
          <w:sz w:val="24"/>
          <w:szCs w:val="24"/>
        </w:rPr>
        <w:t xml:space="preserve">’, </w:t>
      </w:r>
      <w:r w:rsidRPr="009D61DA">
        <w:rPr>
          <w:rFonts w:ascii="Arial" w:hAnsi="Arial" w:cs="Arial"/>
          <w:i/>
          <w:iCs/>
          <w:sz w:val="24"/>
          <w:szCs w:val="24"/>
        </w:rPr>
        <w:t>The Waste Land and Other Poems</w:t>
      </w:r>
      <w:r w:rsidRPr="009D61DA">
        <w:rPr>
          <w:rFonts w:ascii="Arial" w:hAnsi="Arial" w:cs="Arial"/>
          <w:sz w:val="24"/>
          <w:szCs w:val="24"/>
        </w:rPr>
        <w:t xml:space="preserve"> (London: Faber and Faber, 1972; reset 1990 and 1999)</w:t>
      </w:r>
    </w:p>
    <w:p w14:paraId="1384B335" w14:textId="77777777" w:rsidR="00E61671" w:rsidRPr="00094BC4" w:rsidRDefault="00E61671" w:rsidP="00E61671">
      <w:pPr>
        <w:rPr>
          <w:rFonts w:ascii="Arial" w:hAnsi="Arial" w:cs="Arial"/>
          <w:sz w:val="24"/>
          <w:szCs w:val="24"/>
        </w:rPr>
      </w:pPr>
      <w:r w:rsidRPr="00094BC4">
        <w:rPr>
          <w:rFonts w:ascii="Arial" w:eastAsia="Times New Roman" w:hAnsi="Arial" w:cs="Arial"/>
          <w:color w:val="000000"/>
          <w:kern w:val="36"/>
          <w:sz w:val="24"/>
          <w:szCs w:val="24"/>
          <w:lang w:eastAsia="en-GB"/>
        </w:rPr>
        <w:t xml:space="preserve">Lawlor, </w:t>
      </w:r>
      <w:r>
        <w:rPr>
          <w:rFonts w:ascii="Arial" w:eastAsia="Times New Roman" w:hAnsi="Arial" w:cs="Arial"/>
          <w:color w:val="000000"/>
          <w:kern w:val="36"/>
          <w:sz w:val="24"/>
          <w:szCs w:val="24"/>
          <w:lang w:eastAsia="en-GB"/>
        </w:rPr>
        <w:t xml:space="preserve">L., and </w:t>
      </w:r>
      <w:r w:rsidRPr="00094BC4">
        <w:rPr>
          <w:rFonts w:ascii="Arial" w:eastAsia="Times New Roman" w:hAnsi="Arial" w:cs="Arial"/>
          <w:color w:val="000000"/>
          <w:kern w:val="36"/>
          <w:sz w:val="24"/>
          <w:szCs w:val="24"/>
          <w:lang w:eastAsia="en-GB"/>
        </w:rPr>
        <w:t xml:space="preserve">Valentine Moulard-Leonard, ‘Henri Bergson’, </w:t>
      </w:r>
      <w:r w:rsidRPr="00094BC4">
        <w:rPr>
          <w:rFonts w:ascii="Arial" w:eastAsia="Times New Roman" w:hAnsi="Arial" w:cs="Arial"/>
          <w:i/>
          <w:iCs/>
          <w:color w:val="000000"/>
          <w:kern w:val="36"/>
          <w:sz w:val="24"/>
          <w:szCs w:val="24"/>
          <w:lang w:eastAsia="en-GB"/>
        </w:rPr>
        <w:t>Stanford Encyclopedia of Philosophy</w:t>
      </w:r>
      <w:r w:rsidRPr="00094BC4">
        <w:rPr>
          <w:rFonts w:ascii="Arial" w:eastAsia="Times New Roman" w:hAnsi="Arial" w:cs="Arial"/>
          <w:color w:val="000000"/>
          <w:kern w:val="36"/>
          <w:sz w:val="24"/>
          <w:szCs w:val="24"/>
          <w:lang w:eastAsia="en-GB"/>
        </w:rPr>
        <w:t xml:space="preserve"> (2004, revised 2016) &lt;</w:t>
      </w:r>
      <w:hyperlink r:id="rId11" w:anchor="2" w:history="1">
        <w:r w:rsidRPr="00094BC4">
          <w:rPr>
            <w:rStyle w:val="Hyperlink"/>
            <w:rFonts w:ascii="Arial" w:hAnsi="Arial" w:cs="Arial"/>
            <w:sz w:val="24"/>
            <w:szCs w:val="24"/>
          </w:rPr>
          <w:t>https://plato.stanford.edu/entries/bergson/#2</w:t>
        </w:r>
      </w:hyperlink>
      <w:r w:rsidRPr="00094BC4">
        <w:rPr>
          <w:rFonts w:ascii="Arial" w:hAnsi="Arial" w:cs="Arial"/>
          <w:sz w:val="24"/>
          <w:szCs w:val="24"/>
        </w:rPr>
        <w:t>&gt; Accessed 11</w:t>
      </w:r>
      <w:r w:rsidRPr="00094BC4">
        <w:rPr>
          <w:rFonts w:ascii="Arial" w:hAnsi="Arial" w:cs="Arial"/>
          <w:sz w:val="24"/>
          <w:szCs w:val="24"/>
          <w:vertAlign w:val="superscript"/>
        </w:rPr>
        <w:t>th</w:t>
      </w:r>
      <w:r w:rsidRPr="00094BC4">
        <w:rPr>
          <w:rFonts w:ascii="Arial" w:hAnsi="Arial" w:cs="Arial"/>
          <w:sz w:val="24"/>
          <w:szCs w:val="24"/>
        </w:rPr>
        <w:t xml:space="preserve"> April 2020</w:t>
      </w:r>
      <w:r w:rsidRPr="00094BC4">
        <w:rPr>
          <w:rFonts w:ascii="Arial" w:eastAsia="Times New Roman" w:hAnsi="Arial" w:cs="Arial"/>
          <w:color w:val="000000"/>
          <w:kern w:val="36"/>
          <w:sz w:val="24"/>
          <w:szCs w:val="24"/>
          <w:lang w:eastAsia="en-GB"/>
        </w:rPr>
        <w:t xml:space="preserve">  </w:t>
      </w:r>
    </w:p>
    <w:p w14:paraId="64DBA788" w14:textId="77777777" w:rsidR="00E61671" w:rsidRDefault="00E61671" w:rsidP="00E61671">
      <w:pPr>
        <w:rPr>
          <w:rFonts w:ascii="Arial" w:hAnsi="Arial" w:cs="Arial"/>
          <w:sz w:val="24"/>
          <w:szCs w:val="24"/>
        </w:rPr>
      </w:pPr>
      <w:r w:rsidRPr="00F51630">
        <w:rPr>
          <w:rFonts w:ascii="Arial" w:hAnsi="Arial" w:cs="Arial"/>
          <w:sz w:val="24"/>
          <w:szCs w:val="24"/>
        </w:rPr>
        <w:t xml:space="preserve">Maguire, </w:t>
      </w:r>
      <w:r>
        <w:rPr>
          <w:rFonts w:ascii="Arial" w:hAnsi="Arial" w:cs="Arial"/>
          <w:sz w:val="24"/>
          <w:szCs w:val="24"/>
        </w:rPr>
        <w:t xml:space="preserve">M. H., </w:t>
      </w:r>
      <w:r w:rsidRPr="00F51630">
        <w:rPr>
          <w:rFonts w:ascii="Arial" w:hAnsi="Arial" w:cs="Arial"/>
          <w:i/>
          <w:iCs/>
          <w:sz w:val="24"/>
          <w:szCs w:val="24"/>
        </w:rPr>
        <w:t>Gyres and Waves: Bergsonian Movement and Multiplicity in the Works of W.B. Yeats and Virginia Woolf</w:t>
      </w:r>
      <w:r w:rsidRPr="00F51630">
        <w:rPr>
          <w:rFonts w:ascii="Arial" w:hAnsi="Arial" w:cs="Arial"/>
          <w:sz w:val="24"/>
          <w:szCs w:val="24"/>
        </w:rPr>
        <w:t>, The University at Greensboro, ProQuest Dissertations Publishing, 2017 p.2 &lt;</w:t>
      </w:r>
      <w:hyperlink r:id="rId12" w:history="1">
        <w:r w:rsidRPr="00F51630">
          <w:rPr>
            <w:rStyle w:val="Hyperlink"/>
            <w:rFonts w:ascii="Arial" w:hAnsi="Arial" w:cs="Arial"/>
            <w:sz w:val="24"/>
            <w:szCs w:val="24"/>
          </w:rPr>
          <w:t>https://search.proquest.com/openview/b672bfd09c3d22e50f22e9c28ca38bfa/1?pq-origsite=gscholar&amp;cbl=18750&amp;diss=y</w:t>
        </w:r>
      </w:hyperlink>
      <w:r w:rsidRPr="00F51630">
        <w:rPr>
          <w:rFonts w:ascii="Arial" w:hAnsi="Arial" w:cs="Arial"/>
          <w:sz w:val="24"/>
          <w:szCs w:val="24"/>
        </w:rPr>
        <w:t>&gt; Accessed 11</w:t>
      </w:r>
      <w:r w:rsidRPr="00F51630">
        <w:rPr>
          <w:rFonts w:ascii="Arial" w:hAnsi="Arial" w:cs="Arial"/>
          <w:sz w:val="24"/>
          <w:szCs w:val="24"/>
          <w:vertAlign w:val="superscript"/>
        </w:rPr>
        <w:t>th</w:t>
      </w:r>
      <w:r w:rsidRPr="00F51630">
        <w:rPr>
          <w:rFonts w:ascii="Arial" w:hAnsi="Arial" w:cs="Arial"/>
          <w:sz w:val="24"/>
          <w:szCs w:val="24"/>
        </w:rPr>
        <w:t xml:space="preserve"> April 2020</w:t>
      </w:r>
    </w:p>
    <w:p w14:paraId="59B6FDD9" w14:textId="77777777" w:rsidR="00E61671" w:rsidRPr="00EB365C" w:rsidRDefault="00E61671" w:rsidP="00E61671">
      <w:pPr>
        <w:rPr>
          <w:rFonts w:ascii="Arial" w:hAnsi="Arial" w:cs="Arial"/>
          <w:sz w:val="24"/>
          <w:szCs w:val="24"/>
        </w:rPr>
      </w:pPr>
      <w:r w:rsidRPr="00EB365C">
        <w:rPr>
          <w:rFonts w:ascii="Arial" w:hAnsi="Arial" w:cs="Arial"/>
          <w:sz w:val="24"/>
          <w:szCs w:val="24"/>
        </w:rPr>
        <w:t xml:space="preserve">No Author, ‘The Infernal Regions – The Sibyl, Chapter XXXII, </w:t>
      </w:r>
      <w:r w:rsidRPr="00EB365C">
        <w:rPr>
          <w:rFonts w:ascii="Arial" w:hAnsi="Arial" w:cs="Arial"/>
          <w:i/>
          <w:iCs/>
          <w:sz w:val="24"/>
          <w:szCs w:val="24"/>
        </w:rPr>
        <w:t>Sacred Texts</w:t>
      </w:r>
      <w:r w:rsidRPr="00EB365C">
        <w:rPr>
          <w:rFonts w:ascii="Arial" w:hAnsi="Arial" w:cs="Arial"/>
          <w:sz w:val="24"/>
          <w:szCs w:val="24"/>
        </w:rPr>
        <w:t xml:space="preserve"> &lt;</w:t>
      </w:r>
      <w:hyperlink r:id="rId13" w:history="1">
        <w:r w:rsidRPr="00EB365C">
          <w:rPr>
            <w:rStyle w:val="Hyperlink"/>
            <w:rFonts w:ascii="Arial" w:hAnsi="Arial" w:cs="Arial"/>
            <w:sz w:val="24"/>
            <w:szCs w:val="24"/>
          </w:rPr>
          <w:t>https://www.sacred-texts.com/cla/bulf/bulf31.htm</w:t>
        </w:r>
      </w:hyperlink>
      <w:r w:rsidRPr="00EB365C">
        <w:rPr>
          <w:rFonts w:ascii="Arial" w:hAnsi="Arial" w:cs="Arial"/>
          <w:sz w:val="24"/>
          <w:szCs w:val="24"/>
        </w:rPr>
        <w:t>&gt; Accessed 10</w:t>
      </w:r>
      <w:r w:rsidRPr="00EB365C">
        <w:rPr>
          <w:rFonts w:ascii="Arial" w:hAnsi="Arial" w:cs="Arial"/>
          <w:sz w:val="24"/>
          <w:szCs w:val="24"/>
          <w:vertAlign w:val="superscript"/>
        </w:rPr>
        <w:t>th</w:t>
      </w:r>
      <w:r w:rsidRPr="00EB365C">
        <w:rPr>
          <w:rFonts w:ascii="Arial" w:hAnsi="Arial" w:cs="Arial"/>
          <w:sz w:val="24"/>
          <w:szCs w:val="24"/>
        </w:rPr>
        <w:t xml:space="preserve"> April 2020</w:t>
      </w:r>
    </w:p>
    <w:p w14:paraId="5C3547D2" w14:textId="77777777" w:rsidR="00E61671" w:rsidRPr="00C237F0" w:rsidRDefault="00E61671" w:rsidP="00E61671">
      <w:pPr>
        <w:rPr>
          <w:rFonts w:ascii="Arial" w:hAnsi="Arial" w:cs="Arial"/>
          <w:sz w:val="24"/>
          <w:szCs w:val="24"/>
        </w:rPr>
      </w:pPr>
      <w:r w:rsidRPr="00C237F0">
        <w:rPr>
          <w:rFonts w:ascii="Arial" w:hAnsi="Arial" w:cs="Arial"/>
          <w:sz w:val="24"/>
          <w:szCs w:val="24"/>
        </w:rPr>
        <w:t>Matthews,</w:t>
      </w:r>
      <w:r>
        <w:rPr>
          <w:rFonts w:ascii="Arial" w:hAnsi="Arial" w:cs="Arial"/>
          <w:sz w:val="24"/>
          <w:szCs w:val="24"/>
        </w:rPr>
        <w:t xml:space="preserve"> S., </w:t>
      </w:r>
      <w:r w:rsidRPr="00C237F0">
        <w:rPr>
          <w:rFonts w:ascii="Arial" w:hAnsi="Arial" w:cs="Arial"/>
          <w:sz w:val="24"/>
          <w:szCs w:val="24"/>
        </w:rPr>
        <w:t xml:space="preserve">‘Cryptograms’, </w:t>
      </w:r>
      <w:r w:rsidRPr="00C237F0">
        <w:rPr>
          <w:rFonts w:ascii="Arial" w:hAnsi="Arial" w:cs="Arial"/>
          <w:i/>
          <w:iCs/>
          <w:sz w:val="24"/>
          <w:szCs w:val="24"/>
        </w:rPr>
        <w:t>T S Eliot and Modern Literature</w:t>
      </w:r>
      <w:r w:rsidRPr="00C237F0">
        <w:rPr>
          <w:rFonts w:ascii="Arial" w:hAnsi="Arial" w:cs="Arial"/>
          <w:sz w:val="24"/>
          <w:szCs w:val="24"/>
        </w:rPr>
        <w:t xml:space="preserve"> (Oxford: Oxford University Press, 2013), accessed Oxford Scholarship online</w:t>
      </w:r>
    </w:p>
    <w:p w14:paraId="031122E7" w14:textId="77777777" w:rsidR="00E61671" w:rsidRDefault="00E61671" w:rsidP="00E61671">
      <w:pPr>
        <w:rPr>
          <w:rFonts w:ascii="Arial" w:hAnsi="Arial" w:cs="Arial"/>
          <w:sz w:val="24"/>
          <w:szCs w:val="24"/>
        </w:rPr>
      </w:pPr>
      <w:r w:rsidRPr="002C7D8D">
        <w:rPr>
          <w:rFonts w:ascii="Arial" w:hAnsi="Arial" w:cs="Arial"/>
          <w:sz w:val="24"/>
          <w:szCs w:val="24"/>
        </w:rPr>
        <w:t>Prodger,</w:t>
      </w:r>
      <w:r>
        <w:rPr>
          <w:rFonts w:ascii="Arial" w:hAnsi="Arial" w:cs="Arial"/>
          <w:sz w:val="24"/>
          <w:szCs w:val="24"/>
        </w:rPr>
        <w:t xml:space="preserve"> P., </w:t>
      </w:r>
      <w:r w:rsidRPr="002C7D8D">
        <w:rPr>
          <w:rFonts w:ascii="Arial" w:hAnsi="Arial" w:cs="Arial"/>
          <w:sz w:val="24"/>
          <w:szCs w:val="24"/>
        </w:rPr>
        <w:t xml:space="preserve">‘Photography and Cinema: A Tale of Two Closer-Than-You-Think-Siblings’, </w:t>
      </w:r>
      <w:r w:rsidRPr="002C7D8D">
        <w:rPr>
          <w:rFonts w:ascii="Arial" w:hAnsi="Arial" w:cs="Arial"/>
          <w:i/>
          <w:iCs/>
          <w:sz w:val="24"/>
          <w:szCs w:val="24"/>
        </w:rPr>
        <w:t>The Mirror</w:t>
      </w:r>
      <w:r w:rsidRPr="002C7D8D">
        <w:rPr>
          <w:rFonts w:ascii="Arial" w:hAnsi="Arial" w:cs="Arial"/>
          <w:sz w:val="24"/>
          <w:szCs w:val="24"/>
        </w:rPr>
        <w:t xml:space="preserve"> (2015) printed online in </w:t>
      </w:r>
      <w:r w:rsidRPr="002C7D8D">
        <w:rPr>
          <w:rFonts w:ascii="Arial" w:hAnsi="Arial" w:cs="Arial"/>
          <w:i/>
          <w:iCs/>
          <w:sz w:val="24"/>
          <w:szCs w:val="24"/>
        </w:rPr>
        <w:t>Time USA</w:t>
      </w:r>
      <w:r w:rsidRPr="002C7D8D">
        <w:rPr>
          <w:rFonts w:ascii="Arial" w:hAnsi="Arial" w:cs="Arial"/>
          <w:sz w:val="24"/>
          <w:szCs w:val="24"/>
        </w:rPr>
        <w:t xml:space="preserve"> (2020) &lt;</w:t>
      </w:r>
      <w:hyperlink r:id="rId14" w:history="1">
        <w:r w:rsidRPr="002C7D8D">
          <w:rPr>
            <w:rStyle w:val="Hyperlink"/>
            <w:rFonts w:ascii="Arial" w:hAnsi="Arial" w:cs="Arial"/>
            <w:sz w:val="24"/>
            <w:szCs w:val="24"/>
          </w:rPr>
          <w:t>https://time.com/3818034/photography-and-cinema/</w:t>
        </w:r>
      </w:hyperlink>
      <w:r w:rsidRPr="002C7D8D">
        <w:rPr>
          <w:rFonts w:ascii="Arial" w:hAnsi="Arial" w:cs="Arial"/>
          <w:sz w:val="24"/>
          <w:szCs w:val="24"/>
        </w:rPr>
        <w:t>&gt; Accessed 10</w:t>
      </w:r>
      <w:r w:rsidRPr="002C7D8D">
        <w:rPr>
          <w:rFonts w:ascii="Arial" w:hAnsi="Arial" w:cs="Arial"/>
          <w:sz w:val="24"/>
          <w:szCs w:val="24"/>
          <w:vertAlign w:val="superscript"/>
        </w:rPr>
        <w:t>th</w:t>
      </w:r>
      <w:r w:rsidRPr="002C7D8D">
        <w:rPr>
          <w:rFonts w:ascii="Arial" w:hAnsi="Arial" w:cs="Arial"/>
          <w:sz w:val="24"/>
          <w:szCs w:val="24"/>
        </w:rPr>
        <w:t xml:space="preserve"> April 2020</w:t>
      </w:r>
    </w:p>
    <w:p w14:paraId="4374A2B4" w14:textId="77777777" w:rsidR="00E61671" w:rsidRPr="00740D02" w:rsidRDefault="00E61671" w:rsidP="00E61671">
      <w:pPr>
        <w:rPr>
          <w:rFonts w:ascii="Arial" w:hAnsi="Arial" w:cs="Arial"/>
          <w:b/>
          <w:bCs/>
          <w:sz w:val="24"/>
          <w:szCs w:val="24"/>
        </w:rPr>
      </w:pPr>
      <w:r w:rsidRPr="00740D02">
        <w:rPr>
          <w:rFonts w:ascii="Arial" w:hAnsi="Arial" w:cs="Arial"/>
          <w:color w:val="1A1A1A"/>
          <w:sz w:val="24"/>
          <w:szCs w:val="24"/>
          <w:shd w:val="clear" w:color="auto" w:fill="FFFFFF"/>
        </w:rPr>
        <w:t xml:space="preserve">Stayer, </w:t>
      </w:r>
      <w:r>
        <w:rPr>
          <w:rFonts w:ascii="Arial" w:hAnsi="Arial" w:cs="Arial"/>
          <w:color w:val="1A1A1A"/>
          <w:sz w:val="24"/>
          <w:szCs w:val="24"/>
          <w:shd w:val="clear" w:color="auto" w:fill="FFFFFF"/>
        </w:rPr>
        <w:t xml:space="preserve">J., </w:t>
      </w:r>
      <w:r w:rsidRPr="00740D02">
        <w:rPr>
          <w:rFonts w:ascii="Arial" w:hAnsi="Arial" w:cs="Arial"/>
          <w:i/>
          <w:iCs/>
          <w:color w:val="1A1A1A"/>
          <w:sz w:val="24"/>
          <w:szCs w:val="24"/>
          <w:shd w:val="clear" w:color="auto" w:fill="FFFFFF"/>
        </w:rPr>
        <w:t>T. S.. Eliot, France, and the Mind of Europe</w:t>
      </w:r>
      <w:r w:rsidRPr="00740D02">
        <w:rPr>
          <w:rFonts w:ascii="Arial" w:hAnsi="Arial" w:cs="Arial"/>
          <w:color w:val="1A1A1A"/>
          <w:sz w:val="24"/>
          <w:szCs w:val="24"/>
          <w:shd w:val="clear" w:color="auto" w:fill="FFFFFF"/>
        </w:rPr>
        <w:t xml:space="preserve"> (Cambridge: Cambridge Scholars Publishing, 2015)</w:t>
      </w:r>
    </w:p>
    <w:p w14:paraId="07A978B8" w14:textId="77777777" w:rsidR="007436A6" w:rsidRDefault="007436A6" w:rsidP="007436A6">
      <w:pPr>
        <w:spacing w:line="480" w:lineRule="auto"/>
        <w:rPr>
          <w:rFonts w:ascii="Arial" w:hAnsi="Arial" w:cs="Arial"/>
          <w:color w:val="000020"/>
          <w:sz w:val="24"/>
          <w:szCs w:val="24"/>
          <w:shd w:val="clear" w:color="auto" w:fill="FFFFFF"/>
        </w:rPr>
      </w:pPr>
    </w:p>
    <w:p w14:paraId="477A9D40" w14:textId="77777777" w:rsidR="007436A6" w:rsidRDefault="007436A6" w:rsidP="007436A6">
      <w:pPr>
        <w:spacing w:line="480" w:lineRule="auto"/>
        <w:rPr>
          <w:rFonts w:ascii="Arial" w:hAnsi="Arial" w:cs="Arial"/>
          <w:color w:val="FF0000"/>
          <w:sz w:val="24"/>
          <w:szCs w:val="24"/>
          <w:shd w:val="clear" w:color="auto" w:fill="FFFFFF"/>
        </w:rPr>
      </w:pPr>
    </w:p>
    <w:p w14:paraId="45EF7B71" w14:textId="77777777" w:rsidR="007436A6" w:rsidRDefault="007436A6" w:rsidP="007436A6">
      <w:pPr>
        <w:spacing w:line="480" w:lineRule="auto"/>
        <w:rPr>
          <w:rFonts w:ascii="Arial" w:hAnsi="Arial" w:cs="Arial"/>
          <w:color w:val="FF0000"/>
          <w:sz w:val="24"/>
          <w:szCs w:val="24"/>
          <w:shd w:val="clear" w:color="auto" w:fill="FFFFFF"/>
        </w:rPr>
      </w:pPr>
    </w:p>
    <w:p w14:paraId="0F5F6AB5" w14:textId="77777777" w:rsidR="007436A6" w:rsidRPr="002B20B8" w:rsidRDefault="007436A6" w:rsidP="007436A6">
      <w:pPr>
        <w:spacing w:line="480" w:lineRule="auto"/>
        <w:rPr>
          <w:rFonts w:ascii="Arial" w:hAnsi="Arial" w:cs="Arial"/>
          <w:sz w:val="24"/>
          <w:szCs w:val="24"/>
          <w:shd w:val="clear" w:color="auto" w:fill="FFFFFF"/>
        </w:rPr>
      </w:pPr>
    </w:p>
    <w:p w14:paraId="5A8D4E43" w14:textId="77777777" w:rsidR="007436A6" w:rsidRPr="00A3504A" w:rsidRDefault="007436A6" w:rsidP="007436A6">
      <w:pPr>
        <w:spacing w:line="480" w:lineRule="auto"/>
        <w:ind w:left="360"/>
        <w:rPr>
          <w:rFonts w:ascii="Arial" w:hAnsi="Arial" w:cs="Arial"/>
          <w:color w:val="404040"/>
          <w:sz w:val="24"/>
          <w:szCs w:val="24"/>
          <w:shd w:val="clear" w:color="auto" w:fill="FFFFFF"/>
        </w:rPr>
      </w:pPr>
    </w:p>
    <w:p w14:paraId="7A003621" w14:textId="77777777" w:rsidR="007436A6" w:rsidRDefault="007436A6" w:rsidP="007436A6">
      <w:pPr>
        <w:spacing w:line="480" w:lineRule="auto"/>
        <w:rPr>
          <w:rFonts w:ascii="Arial" w:hAnsi="Arial" w:cs="Arial"/>
          <w:color w:val="404040"/>
          <w:sz w:val="24"/>
          <w:szCs w:val="24"/>
          <w:shd w:val="clear" w:color="auto" w:fill="FFFFFF"/>
        </w:rPr>
      </w:pPr>
    </w:p>
    <w:p w14:paraId="75298F5D" w14:textId="77777777" w:rsidR="007436A6" w:rsidRPr="00257C3A" w:rsidRDefault="007436A6" w:rsidP="007436A6">
      <w:pPr>
        <w:spacing w:line="480" w:lineRule="auto"/>
        <w:rPr>
          <w:rFonts w:ascii="Arial" w:hAnsi="Arial" w:cs="Arial"/>
          <w:sz w:val="24"/>
          <w:szCs w:val="24"/>
        </w:rPr>
      </w:pPr>
    </w:p>
    <w:p w14:paraId="566DDAE5" w14:textId="77777777" w:rsidR="007436A6" w:rsidRDefault="007436A6" w:rsidP="007436A6"/>
    <w:p w14:paraId="13B606F5" w14:textId="3EF9E36A" w:rsidR="00257C3A" w:rsidRPr="007436A6" w:rsidRDefault="00257C3A" w:rsidP="007436A6"/>
    <w:sectPr w:rsidR="00257C3A" w:rsidRPr="007436A6">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905BBA" w14:textId="77777777" w:rsidR="001C0A70" w:rsidRDefault="001C0A70" w:rsidP="00FC1C71">
      <w:pPr>
        <w:spacing w:after="0" w:line="240" w:lineRule="auto"/>
      </w:pPr>
      <w:r>
        <w:separator/>
      </w:r>
    </w:p>
  </w:endnote>
  <w:endnote w:type="continuationSeparator" w:id="0">
    <w:p w14:paraId="736E5B1E" w14:textId="77777777" w:rsidR="001C0A70" w:rsidRDefault="001C0A70" w:rsidP="00FC1C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24255467"/>
      <w:docPartObj>
        <w:docPartGallery w:val="Page Numbers (Bottom of Page)"/>
        <w:docPartUnique/>
      </w:docPartObj>
    </w:sdtPr>
    <w:sdtEndPr>
      <w:rPr>
        <w:noProof/>
      </w:rPr>
    </w:sdtEndPr>
    <w:sdtContent>
      <w:p w14:paraId="2FCFD708" w14:textId="77777777" w:rsidR="009E444B" w:rsidRDefault="001C0A7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379207A" w14:textId="77777777" w:rsidR="009E444B" w:rsidRDefault="001C0A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FBA42D" w14:textId="77777777" w:rsidR="001C0A70" w:rsidRDefault="001C0A70" w:rsidP="00FC1C71">
      <w:pPr>
        <w:spacing w:after="0" w:line="240" w:lineRule="auto"/>
      </w:pPr>
      <w:r>
        <w:separator/>
      </w:r>
    </w:p>
  </w:footnote>
  <w:footnote w:type="continuationSeparator" w:id="0">
    <w:p w14:paraId="4FEEBBB1" w14:textId="77777777" w:rsidR="001C0A70" w:rsidRDefault="001C0A70" w:rsidP="00FC1C71">
      <w:pPr>
        <w:spacing w:after="0" w:line="240" w:lineRule="auto"/>
      </w:pPr>
      <w:r>
        <w:continuationSeparator/>
      </w:r>
    </w:p>
  </w:footnote>
  <w:footnote w:id="1">
    <w:p w14:paraId="5C43E688" w14:textId="77777777" w:rsidR="007436A6" w:rsidRDefault="007436A6" w:rsidP="007436A6">
      <w:pPr>
        <w:pStyle w:val="FootnoteText"/>
      </w:pPr>
      <w:r>
        <w:rPr>
          <w:rStyle w:val="FootnoteReference"/>
        </w:rPr>
        <w:footnoteRef/>
      </w:r>
      <w:r>
        <w:t xml:space="preserve"> T. S. Eliot, ‘The Love Song of J. Alfred Prufrock’, </w:t>
      </w:r>
      <w:r>
        <w:rPr>
          <w:i/>
          <w:iCs/>
        </w:rPr>
        <w:t>The Waste Land and Other Poems</w:t>
      </w:r>
      <w:r>
        <w:t xml:space="preserve"> (London: Faber and Faber, 1972; reset 1990 and 1999) p.3</w:t>
      </w:r>
    </w:p>
  </w:footnote>
  <w:footnote w:id="2">
    <w:p w14:paraId="33EFDE9A" w14:textId="77777777" w:rsidR="007436A6" w:rsidRPr="002F2633" w:rsidRDefault="007436A6" w:rsidP="007436A6">
      <w:pPr>
        <w:rPr>
          <w:sz w:val="20"/>
          <w:szCs w:val="20"/>
        </w:rPr>
      </w:pPr>
      <w:r>
        <w:rPr>
          <w:rStyle w:val="FootnoteReference"/>
        </w:rPr>
        <w:footnoteRef/>
      </w:r>
      <w:r>
        <w:t xml:space="preserve"> </w:t>
      </w:r>
      <w:r w:rsidRPr="002F2633">
        <w:rPr>
          <w:sz w:val="20"/>
          <w:szCs w:val="20"/>
        </w:rPr>
        <w:t xml:space="preserve">Philip Prodger, ‘Photography and Cinema: A Tale of Two Closer-Than-You-Think-Siblings’, </w:t>
      </w:r>
      <w:r w:rsidRPr="002F2633">
        <w:rPr>
          <w:i/>
          <w:iCs/>
          <w:sz w:val="20"/>
          <w:szCs w:val="20"/>
        </w:rPr>
        <w:t>The Mirror</w:t>
      </w:r>
      <w:r w:rsidRPr="002F2633">
        <w:rPr>
          <w:sz w:val="20"/>
          <w:szCs w:val="20"/>
        </w:rPr>
        <w:t xml:space="preserve"> (2015) printed online in </w:t>
      </w:r>
      <w:r w:rsidRPr="002F2633">
        <w:rPr>
          <w:i/>
          <w:iCs/>
          <w:sz w:val="20"/>
          <w:szCs w:val="20"/>
        </w:rPr>
        <w:t>Time USA</w:t>
      </w:r>
      <w:r w:rsidRPr="002F2633">
        <w:rPr>
          <w:sz w:val="20"/>
          <w:szCs w:val="20"/>
        </w:rPr>
        <w:t xml:space="preserve"> (2020) &lt;</w:t>
      </w:r>
      <w:hyperlink r:id="rId1" w:history="1">
        <w:r w:rsidRPr="002F2633">
          <w:rPr>
            <w:rStyle w:val="Hyperlink"/>
            <w:sz w:val="20"/>
            <w:szCs w:val="20"/>
          </w:rPr>
          <w:t>https://time.com/3818034/photography-and-cinema/</w:t>
        </w:r>
      </w:hyperlink>
      <w:r w:rsidRPr="002F2633">
        <w:rPr>
          <w:sz w:val="20"/>
          <w:szCs w:val="20"/>
        </w:rPr>
        <w:t>&gt; Accessed 10</w:t>
      </w:r>
      <w:r w:rsidRPr="002F2633">
        <w:rPr>
          <w:sz w:val="20"/>
          <w:szCs w:val="20"/>
          <w:vertAlign w:val="superscript"/>
        </w:rPr>
        <w:t>th</w:t>
      </w:r>
      <w:r w:rsidRPr="002F2633">
        <w:rPr>
          <w:sz w:val="20"/>
          <w:szCs w:val="20"/>
        </w:rPr>
        <w:t xml:space="preserve"> April 2020</w:t>
      </w:r>
      <w:r>
        <w:rPr>
          <w:sz w:val="20"/>
          <w:szCs w:val="20"/>
        </w:rPr>
        <w:t xml:space="preserve">. Although, as Prodger notes, </w:t>
      </w:r>
      <w:r>
        <w:rPr>
          <w:rFonts w:eastAsia="Times New Roman" w:cstheme="minorHAnsi"/>
          <w:sz w:val="20"/>
          <w:szCs w:val="20"/>
          <w:lang w:eastAsia="en-GB"/>
        </w:rPr>
        <w:t>‘a</w:t>
      </w:r>
      <w:r w:rsidRPr="00256DB3">
        <w:rPr>
          <w:rFonts w:eastAsia="Times New Roman" w:cstheme="minorHAnsi"/>
          <w:sz w:val="20"/>
          <w:szCs w:val="20"/>
          <w:lang w:eastAsia="en-GB"/>
        </w:rPr>
        <w:t>t its core, cinema is basically an animated form of still photography</w:t>
      </w:r>
      <w:r>
        <w:rPr>
          <w:rFonts w:eastAsia="Times New Roman" w:cstheme="minorHAnsi"/>
          <w:sz w:val="20"/>
          <w:szCs w:val="20"/>
          <w:lang w:eastAsia="en-GB"/>
        </w:rPr>
        <w:t>’,</w:t>
      </w:r>
      <w:r w:rsidRPr="00491C7C">
        <w:rPr>
          <w:sz w:val="20"/>
          <w:szCs w:val="20"/>
        </w:rPr>
        <w:t xml:space="preserve"> </w:t>
      </w:r>
      <w:r>
        <w:rPr>
          <w:sz w:val="20"/>
          <w:szCs w:val="20"/>
        </w:rPr>
        <w:t xml:space="preserve">Duchamp was technically responding to the intermediary between still photography and cinema, that which would later be called stop-motion photography. These were series of photographs of a movement (such as walking) that broke the movement down to its constituent parts. It did also apply some basic re-animation, in various ways, by running the images together. This was not quite Prodger’s description of the ‘Dr Frankenstein of Arts’ of cinema, that restored the ‘slices […] into something resembling reality’, the difference being that in this resemblance to reality you just see walking again, not the revelation of movement and time. </w:t>
      </w:r>
    </w:p>
    <w:p w14:paraId="143B82B4" w14:textId="77777777" w:rsidR="007436A6" w:rsidRPr="0038121F" w:rsidRDefault="007436A6" w:rsidP="007436A6">
      <w:pPr>
        <w:pStyle w:val="FootnoteText"/>
      </w:pPr>
      <w:r>
        <w:t xml:space="preserve"> </w:t>
      </w:r>
    </w:p>
  </w:footnote>
  <w:footnote w:id="3">
    <w:p w14:paraId="4A11F52D" w14:textId="77777777" w:rsidR="007436A6" w:rsidRDefault="007436A6" w:rsidP="007436A6">
      <w:pPr>
        <w:pStyle w:val="FootnoteText"/>
      </w:pPr>
      <w:r>
        <w:rPr>
          <w:rStyle w:val="FootnoteReference"/>
        </w:rPr>
        <w:footnoteRef/>
      </w:r>
      <w:r>
        <w:t xml:space="preserve"> Jewel Spears Brooker, ‘Seduction and Disenchantment: Eliot in the Bergsonian World’, Chapter 2, Jayme Stayer ed., </w:t>
      </w:r>
      <w:r>
        <w:rPr>
          <w:i/>
          <w:iCs/>
        </w:rPr>
        <w:t>T.S. Eliot, France, and the Mind of Europe</w:t>
      </w:r>
      <w:r>
        <w:t xml:space="preserve"> (Cambridge: Cambridge Scholars Publishing, 2015) p.24</w:t>
      </w:r>
    </w:p>
  </w:footnote>
  <w:footnote w:id="4">
    <w:p w14:paraId="2DF7AB9F" w14:textId="696DD844" w:rsidR="007436A6" w:rsidRDefault="007436A6" w:rsidP="007436A6">
      <w:pPr>
        <w:pStyle w:val="FootnoteText"/>
      </w:pPr>
      <w:r>
        <w:rPr>
          <w:rStyle w:val="FootnoteReference"/>
        </w:rPr>
        <w:footnoteRef/>
      </w:r>
      <w:r>
        <w:t xml:space="preserve"> </w:t>
      </w:r>
      <w:r>
        <w:t xml:space="preserve">Ibid., </w:t>
      </w:r>
      <w:r>
        <w:t xml:space="preserve">p.37 </w:t>
      </w:r>
    </w:p>
  </w:footnote>
  <w:footnote w:id="5">
    <w:p w14:paraId="117FB84C" w14:textId="77777777" w:rsidR="007436A6" w:rsidRPr="00E87683" w:rsidRDefault="007436A6" w:rsidP="007436A6">
      <w:pPr>
        <w:spacing w:line="240" w:lineRule="auto"/>
        <w:rPr>
          <w:sz w:val="20"/>
          <w:szCs w:val="20"/>
        </w:rPr>
      </w:pPr>
      <w:r>
        <w:rPr>
          <w:rStyle w:val="FootnoteReference"/>
        </w:rPr>
        <w:footnoteRef/>
      </w:r>
      <w:r>
        <w:t xml:space="preserve"> </w:t>
      </w:r>
      <w:bookmarkStart w:id="4" w:name="_Hlk37771430"/>
      <w:r w:rsidRPr="00724E79">
        <w:rPr>
          <w:sz w:val="20"/>
          <w:szCs w:val="20"/>
        </w:rPr>
        <w:t xml:space="preserve">Megan H. Maguire, </w:t>
      </w:r>
      <w:r w:rsidRPr="00724E79">
        <w:rPr>
          <w:i/>
          <w:iCs/>
          <w:sz w:val="20"/>
          <w:szCs w:val="20"/>
        </w:rPr>
        <w:t>Gyres and Waves: Bergsonian Movement and Multiplicity in the Works of W.B. Yeats and Virginia Woolf</w:t>
      </w:r>
      <w:r w:rsidRPr="00724E79">
        <w:rPr>
          <w:sz w:val="20"/>
          <w:szCs w:val="20"/>
        </w:rPr>
        <w:t>, The University at Greensboro, ProQuest Dissertations Publishing, 2017 p.2</w:t>
      </w:r>
      <w:r>
        <w:rPr>
          <w:sz w:val="20"/>
          <w:szCs w:val="20"/>
        </w:rPr>
        <w:t xml:space="preserve"> </w:t>
      </w:r>
      <w:r w:rsidRPr="00724E79">
        <w:rPr>
          <w:sz w:val="20"/>
          <w:szCs w:val="20"/>
        </w:rPr>
        <w:t>&lt;</w:t>
      </w:r>
      <w:hyperlink r:id="rId2" w:history="1">
        <w:r w:rsidRPr="00724E79">
          <w:rPr>
            <w:rStyle w:val="Hyperlink"/>
            <w:sz w:val="20"/>
            <w:szCs w:val="20"/>
          </w:rPr>
          <w:t>https://search.proquest.com/openview/b672bfd09c3d22e50f22e9c28ca38bfa/1?pq-origsite=gscholar&amp;cbl=18750&amp;diss=y</w:t>
        </w:r>
      </w:hyperlink>
      <w:r w:rsidRPr="00724E79">
        <w:rPr>
          <w:sz w:val="20"/>
          <w:szCs w:val="20"/>
        </w:rPr>
        <w:t>&gt; Accessed 11</w:t>
      </w:r>
      <w:r w:rsidRPr="00724E79">
        <w:rPr>
          <w:sz w:val="20"/>
          <w:szCs w:val="20"/>
          <w:vertAlign w:val="superscript"/>
        </w:rPr>
        <w:t>th</w:t>
      </w:r>
      <w:r w:rsidRPr="00724E79">
        <w:rPr>
          <w:sz w:val="20"/>
          <w:szCs w:val="20"/>
        </w:rPr>
        <w:t xml:space="preserve"> April 2020</w:t>
      </w:r>
      <w:bookmarkEnd w:id="4"/>
    </w:p>
  </w:footnote>
  <w:footnote w:id="6">
    <w:p w14:paraId="6BCE04AA" w14:textId="77777777" w:rsidR="007436A6" w:rsidRDefault="007436A6" w:rsidP="007436A6">
      <w:pPr>
        <w:pStyle w:val="FootnoteText"/>
      </w:pPr>
      <w:r>
        <w:rPr>
          <w:rStyle w:val="FootnoteReference"/>
        </w:rPr>
        <w:footnoteRef/>
      </w:r>
      <w:r>
        <w:t xml:space="preserve"> </w:t>
      </w:r>
      <w:r>
        <w:rPr>
          <w:rFonts w:cstheme="minorHAnsi"/>
        </w:rPr>
        <w:t>For example, i</w:t>
      </w:r>
      <w:r w:rsidRPr="007B7573">
        <w:rPr>
          <w:rFonts w:cstheme="minorHAnsi"/>
        </w:rPr>
        <w:t>n 1847 in England and similarly in 1883 in the United States</w:t>
      </w:r>
      <w:r>
        <w:rPr>
          <w:rFonts w:cstheme="minorHAnsi"/>
        </w:rPr>
        <w:t>, &lt;</w:t>
      </w:r>
      <w:r w:rsidRPr="005F3B3E">
        <w:t xml:space="preserve"> </w:t>
      </w:r>
      <w:hyperlink r:id="rId3" w:history="1">
        <w:r>
          <w:rPr>
            <w:rStyle w:val="Hyperlink"/>
          </w:rPr>
          <w:t>https://en.wikipedia.org/wiki/Greenwich_Mean_Time</w:t>
        </w:r>
      </w:hyperlink>
      <w:r>
        <w:t>&gt; Accessed 13</w:t>
      </w:r>
      <w:r w:rsidRPr="005F3B3E">
        <w:rPr>
          <w:vertAlign w:val="superscript"/>
        </w:rPr>
        <w:t>th</w:t>
      </w:r>
      <w:r>
        <w:t xml:space="preserve"> April 2020, and &lt;</w:t>
      </w:r>
      <w:hyperlink r:id="rId4" w:history="1">
        <w:r w:rsidRPr="00A33E8F">
          <w:rPr>
            <w:rStyle w:val="Hyperlink"/>
          </w:rPr>
          <w:t>https://en.wikipedia.org/wiki/Standard_time</w:t>
        </w:r>
      </w:hyperlink>
      <w:r>
        <w:t>&gt; Accessed13th April 2020</w:t>
      </w:r>
    </w:p>
  </w:footnote>
  <w:footnote w:id="7">
    <w:p w14:paraId="5995CB6B" w14:textId="77777777" w:rsidR="007436A6" w:rsidRPr="00D84B15" w:rsidRDefault="007436A6" w:rsidP="007436A6">
      <w:pPr>
        <w:spacing w:line="240" w:lineRule="auto"/>
        <w:rPr>
          <w:rFonts w:eastAsia="Times New Roman" w:cstheme="minorHAnsi"/>
          <w:color w:val="000000"/>
          <w:kern w:val="36"/>
          <w:sz w:val="20"/>
          <w:szCs w:val="20"/>
          <w:lang w:eastAsia="en-GB"/>
        </w:rPr>
      </w:pPr>
      <w:r>
        <w:rPr>
          <w:rStyle w:val="FootnoteReference"/>
        </w:rPr>
        <w:footnoteRef/>
      </w:r>
      <w:r>
        <w:t xml:space="preserve"> </w:t>
      </w:r>
      <w:bookmarkStart w:id="5" w:name="_Hlk37771515"/>
      <w:r w:rsidRPr="00C241B5">
        <w:rPr>
          <w:rFonts w:eastAsia="Times New Roman" w:cstheme="minorHAnsi"/>
          <w:color w:val="000000"/>
          <w:kern w:val="36"/>
          <w:sz w:val="20"/>
          <w:szCs w:val="20"/>
          <w:lang w:eastAsia="en-GB"/>
        </w:rPr>
        <w:t xml:space="preserve">Leonard Lawlor, </w:t>
      </w:r>
      <w:r>
        <w:rPr>
          <w:rFonts w:eastAsia="Times New Roman" w:cstheme="minorHAnsi"/>
          <w:color w:val="000000"/>
          <w:kern w:val="36"/>
          <w:sz w:val="20"/>
          <w:szCs w:val="20"/>
          <w:lang w:eastAsia="en-GB"/>
        </w:rPr>
        <w:t xml:space="preserve">and </w:t>
      </w:r>
      <w:r w:rsidRPr="00C241B5">
        <w:rPr>
          <w:rFonts w:eastAsia="Times New Roman" w:cstheme="minorHAnsi"/>
          <w:color w:val="000000"/>
          <w:kern w:val="36"/>
          <w:sz w:val="20"/>
          <w:szCs w:val="20"/>
          <w:lang w:eastAsia="en-GB"/>
        </w:rPr>
        <w:t>Valentine Moulard-Leonard, ‘</w:t>
      </w:r>
      <w:r w:rsidRPr="00490CE9">
        <w:rPr>
          <w:rFonts w:eastAsia="Times New Roman" w:cstheme="minorHAnsi"/>
          <w:color w:val="000000"/>
          <w:kern w:val="36"/>
          <w:sz w:val="20"/>
          <w:szCs w:val="20"/>
          <w:lang w:eastAsia="en-GB"/>
        </w:rPr>
        <w:t>Henri Bergson</w:t>
      </w:r>
      <w:r w:rsidRPr="00C241B5">
        <w:rPr>
          <w:rFonts w:eastAsia="Times New Roman" w:cstheme="minorHAnsi"/>
          <w:color w:val="000000"/>
          <w:kern w:val="36"/>
          <w:sz w:val="20"/>
          <w:szCs w:val="20"/>
          <w:lang w:eastAsia="en-GB"/>
        </w:rPr>
        <w:t xml:space="preserve">’, </w:t>
      </w:r>
      <w:r w:rsidRPr="00C241B5">
        <w:rPr>
          <w:rFonts w:eastAsia="Times New Roman" w:cstheme="minorHAnsi"/>
          <w:i/>
          <w:iCs/>
          <w:color w:val="000000"/>
          <w:kern w:val="36"/>
          <w:sz w:val="20"/>
          <w:szCs w:val="20"/>
          <w:lang w:eastAsia="en-GB"/>
        </w:rPr>
        <w:t>Stanford Encyclopedia of Philosophy</w:t>
      </w:r>
      <w:r w:rsidRPr="00C241B5">
        <w:rPr>
          <w:rFonts w:eastAsia="Times New Roman" w:cstheme="minorHAnsi"/>
          <w:color w:val="000000"/>
          <w:kern w:val="36"/>
          <w:sz w:val="20"/>
          <w:szCs w:val="20"/>
          <w:lang w:eastAsia="en-GB"/>
        </w:rPr>
        <w:t xml:space="preserve"> (2004, revised 2016) &lt;</w:t>
      </w:r>
      <w:hyperlink r:id="rId5" w:anchor="2" w:history="1">
        <w:r w:rsidRPr="00C241B5">
          <w:rPr>
            <w:rStyle w:val="Hyperlink"/>
            <w:rFonts w:cstheme="minorHAnsi"/>
            <w:sz w:val="20"/>
            <w:szCs w:val="20"/>
          </w:rPr>
          <w:t>https://plato.stanford.edu/entries/bergson/#2</w:t>
        </w:r>
      </w:hyperlink>
      <w:r w:rsidRPr="00C241B5">
        <w:rPr>
          <w:rFonts w:cstheme="minorHAnsi"/>
          <w:sz w:val="20"/>
          <w:szCs w:val="20"/>
        </w:rPr>
        <w:t>&gt; Accessed 11</w:t>
      </w:r>
      <w:r w:rsidRPr="00C241B5">
        <w:rPr>
          <w:rFonts w:cstheme="minorHAnsi"/>
          <w:sz w:val="20"/>
          <w:szCs w:val="20"/>
          <w:vertAlign w:val="superscript"/>
        </w:rPr>
        <w:t>th</w:t>
      </w:r>
      <w:r w:rsidRPr="00C241B5">
        <w:rPr>
          <w:rFonts w:cstheme="minorHAnsi"/>
          <w:sz w:val="20"/>
          <w:szCs w:val="20"/>
        </w:rPr>
        <w:t xml:space="preserve"> April 2020</w:t>
      </w:r>
      <w:r w:rsidRPr="00C241B5">
        <w:rPr>
          <w:rFonts w:eastAsia="Times New Roman" w:cstheme="minorHAnsi"/>
          <w:color w:val="000000"/>
          <w:kern w:val="36"/>
          <w:sz w:val="20"/>
          <w:szCs w:val="20"/>
          <w:lang w:eastAsia="en-GB"/>
        </w:rPr>
        <w:t xml:space="preserve">  </w:t>
      </w:r>
      <w:bookmarkEnd w:id="5"/>
    </w:p>
  </w:footnote>
  <w:footnote w:id="8">
    <w:p w14:paraId="62A9A3CE" w14:textId="77777777" w:rsidR="007436A6" w:rsidRPr="00D84B15" w:rsidRDefault="007436A6" w:rsidP="007436A6">
      <w:pPr>
        <w:pStyle w:val="FootnoteText"/>
      </w:pPr>
      <w:r>
        <w:rPr>
          <w:rStyle w:val="FootnoteReference"/>
        </w:rPr>
        <w:footnoteRef/>
      </w:r>
      <w:r>
        <w:t xml:space="preserve"> </w:t>
      </w:r>
      <w:bookmarkStart w:id="6" w:name="_Hlk37771576"/>
      <w:r>
        <w:t xml:space="preserve">Eliot, ‘Prufrock’, </w:t>
      </w:r>
      <w:bookmarkEnd w:id="6"/>
      <w:r>
        <w:t>p.3</w:t>
      </w:r>
    </w:p>
  </w:footnote>
  <w:footnote w:id="9">
    <w:p w14:paraId="20FE112C" w14:textId="77777777" w:rsidR="007436A6" w:rsidRPr="003B6784" w:rsidRDefault="007436A6" w:rsidP="007436A6">
      <w:pPr>
        <w:pStyle w:val="FootnoteText"/>
      </w:pPr>
      <w:r>
        <w:rPr>
          <w:rStyle w:val="FootnoteReference"/>
        </w:rPr>
        <w:footnoteRef/>
      </w:r>
      <w:r>
        <w:t xml:space="preserve"> That </w:t>
      </w:r>
      <w:r w:rsidRPr="003B6784">
        <w:rPr>
          <w:rFonts w:cstheme="minorHAnsi"/>
          <w:color w:val="1A1A1A"/>
          <w:shd w:val="clear" w:color="auto" w:fill="FFFFFF"/>
        </w:rPr>
        <w:t>Bergson</w:t>
      </w:r>
      <w:r>
        <w:rPr>
          <w:rFonts w:cstheme="minorHAnsi"/>
          <w:color w:val="1A1A1A"/>
          <w:shd w:val="clear" w:color="auto" w:fill="FFFFFF"/>
        </w:rPr>
        <w:t xml:space="preserve"> is happy to stop </w:t>
      </w:r>
      <w:r w:rsidRPr="003B6784">
        <w:rPr>
          <w:rFonts w:cstheme="minorHAnsi"/>
          <w:color w:val="1A1A1A"/>
          <w:shd w:val="clear" w:color="auto" w:fill="FFFFFF"/>
        </w:rPr>
        <w:t xml:space="preserve">at ‘“durée reelle [pure durée] […] [when] it is simply not final”’; that for Bergson time is based only in consciousness and relegates reality/the material to an ‘“aggregate of images”’ (which seems a strangely appropriate sentiment for a modernist to </w:t>
      </w:r>
      <w:r>
        <w:rPr>
          <w:rFonts w:cstheme="minorHAnsi"/>
          <w:color w:val="1A1A1A"/>
          <w:shd w:val="clear" w:color="auto" w:fill="FFFFFF"/>
        </w:rPr>
        <w:t xml:space="preserve">then </w:t>
      </w:r>
      <w:r w:rsidRPr="003B6784">
        <w:rPr>
          <w:rFonts w:cstheme="minorHAnsi"/>
          <w:color w:val="1A1A1A"/>
          <w:shd w:val="clear" w:color="auto" w:fill="FFFFFF"/>
        </w:rPr>
        <w:t>reject); that this ‘“aggregate of images”’ was a proposed middle ground between materialism and idealism that Eliot considered merely a ‘less convincing and less honest’ ‘watered down idealism’</w:t>
      </w:r>
      <w:r>
        <w:rPr>
          <w:rFonts w:cstheme="minorHAnsi"/>
          <w:color w:val="1A1A1A"/>
          <w:shd w:val="clear" w:color="auto" w:fill="FFFFFF"/>
        </w:rPr>
        <w:t xml:space="preserve">. Quotes from Jayme Stayer, </w:t>
      </w:r>
      <w:r>
        <w:rPr>
          <w:rFonts w:cstheme="minorHAnsi"/>
          <w:i/>
          <w:iCs/>
          <w:color w:val="1A1A1A"/>
          <w:shd w:val="clear" w:color="auto" w:fill="FFFFFF"/>
        </w:rPr>
        <w:t>T. S.. Eliot, France, and the Mind of Europe</w:t>
      </w:r>
      <w:r>
        <w:rPr>
          <w:rFonts w:cstheme="minorHAnsi"/>
          <w:color w:val="1A1A1A"/>
          <w:shd w:val="clear" w:color="auto" w:fill="FFFFFF"/>
        </w:rPr>
        <w:t xml:space="preserve"> (Cambridge: Cambridge Scholars Publishing, 2015) p.36</w:t>
      </w:r>
    </w:p>
  </w:footnote>
  <w:footnote w:id="10">
    <w:p w14:paraId="4DE577B6" w14:textId="77777777" w:rsidR="007436A6" w:rsidRPr="00C3650F" w:rsidRDefault="007436A6" w:rsidP="007436A6">
      <w:pPr>
        <w:pStyle w:val="FootnoteText"/>
      </w:pPr>
      <w:r>
        <w:rPr>
          <w:rStyle w:val="FootnoteReference"/>
        </w:rPr>
        <w:footnoteRef/>
      </w:r>
      <w:r>
        <w:t xml:space="preserve"> T. S. Eliot, ‘Tradition and the Individual Talent’, </w:t>
      </w:r>
      <w:r>
        <w:rPr>
          <w:i/>
          <w:iCs/>
        </w:rPr>
        <w:t>Sacred Wood</w:t>
      </w:r>
      <w:r>
        <w:t xml:space="preserve"> (1921), on Bartleby.com &lt;</w:t>
      </w:r>
      <w:hyperlink r:id="rId6" w:history="1">
        <w:r>
          <w:rPr>
            <w:rStyle w:val="Hyperlink"/>
          </w:rPr>
          <w:t>https://www.bartleby.com/200/sw4.html</w:t>
        </w:r>
      </w:hyperlink>
      <w:r>
        <w:t>&gt; Accessed 26</w:t>
      </w:r>
      <w:r w:rsidRPr="00C3650F">
        <w:rPr>
          <w:vertAlign w:val="superscript"/>
        </w:rPr>
        <w:t>th</w:t>
      </w:r>
      <w:r>
        <w:t xml:space="preserve"> March 2020</w:t>
      </w:r>
    </w:p>
  </w:footnote>
  <w:footnote w:id="11">
    <w:p w14:paraId="772E59D4" w14:textId="77777777" w:rsidR="007436A6" w:rsidRDefault="007436A6" w:rsidP="007436A6">
      <w:pPr>
        <w:pStyle w:val="FootnoteText"/>
      </w:pPr>
      <w:r>
        <w:rPr>
          <w:rStyle w:val="FootnoteReference"/>
        </w:rPr>
        <w:footnoteRef/>
      </w:r>
      <w:r>
        <w:t xml:space="preserve"> T. S. Eliot, ‘The Waste Land’, </w:t>
      </w:r>
      <w:r>
        <w:rPr>
          <w:i/>
          <w:iCs/>
        </w:rPr>
        <w:t>The Waste Land and Other Poems</w:t>
      </w:r>
      <w:r>
        <w:t xml:space="preserve"> (London: Faber and Faber, 1972; reset 1990 and 1999) pp.31 and 37</w:t>
      </w:r>
    </w:p>
  </w:footnote>
  <w:footnote w:id="12">
    <w:p w14:paraId="48391C9E" w14:textId="77777777" w:rsidR="007436A6" w:rsidRPr="001B6356" w:rsidRDefault="007436A6" w:rsidP="007436A6">
      <w:pPr>
        <w:pStyle w:val="FootnoteText"/>
      </w:pPr>
      <w:r>
        <w:rPr>
          <w:rStyle w:val="FootnoteReference"/>
        </w:rPr>
        <w:footnoteRef/>
      </w:r>
      <w:r>
        <w:t xml:space="preserve"> ‘The Infernal Regions – The Sibyl, Chapter XXXII, </w:t>
      </w:r>
      <w:r w:rsidRPr="005F4F04">
        <w:rPr>
          <w:i/>
          <w:iCs/>
        </w:rPr>
        <w:t>Sacred Texts</w:t>
      </w:r>
      <w:r>
        <w:t xml:space="preserve"> &lt;</w:t>
      </w:r>
      <w:hyperlink r:id="rId7" w:history="1">
        <w:r>
          <w:rPr>
            <w:rStyle w:val="Hyperlink"/>
          </w:rPr>
          <w:t>https://www.sacred-texts.com/cla/bulf/bulf31.htm</w:t>
        </w:r>
      </w:hyperlink>
      <w:r>
        <w:t>&gt; Accessed 10</w:t>
      </w:r>
      <w:r w:rsidRPr="001B6356">
        <w:rPr>
          <w:vertAlign w:val="superscript"/>
        </w:rPr>
        <w:t>th</w:t>
      </w:r>
      <w:r>
        <w:t xml:space="preserve"> April 2020</w:t>
      </w:r>
    </w:p>
  </w:footnote>
  <w:footnote w:id="13">
    <w:p w14:paraId="520BA3F4" w14:textId="77777777" w:rsidR="007436A6" w:rsidRPr="00712E46" w:rsidRDefault="007436A6" w:rsidP="007436A6">
      <w:pPr>
        <w:pStyle w:val="FootnoteText"/>
        <w:rPr>
          <w:i/>
          <w:iCs/>
        </w:rPr>
      </w:pPr>
      <w:r>
        <w:rPr>
          <w:rStyle w:val="FootnoteReference"/>
        </w:rPr>
        <w:footnoteRef/>
      </w:r>
      <w:r>
        <w:t xml:space="preserve"> Eliot, </w:t>
      </w:r>
      <w:r>
        <w:rPr>
          <w:i/>
          <w:iCs/>
        </w:rPr>
        <w:t>Tradition</w:t>
      </w:r>
    </w:p>
  </w:footnote>
  <w:footnote w:id="14">
    <w:p w14:paraId="239D9737" w14:textId="77777777" w:rsidR="007436A6" w:rsidRDefault="007436A6" w:rsidP="007436A6">
      <w:pPr>
        <w:pStyle w:val="FootnoteText"/>
      </w:pPr>
      <w:r>
        <w:rPr>
          <w:rStyle w:val="FootnoteReference"/>
        </w:rPr>
        <w:footnoteRef/>
      </w:r>
      <w:r>
        <w:t xml:space="preserve"> Ibid.</w:t>
      </w:r>
    </w:p>
  </w:footnote>
  <w:footnote w:id="15">
    <w:p w14:paraId="6FBEEF12" w14:textId="77777777" w:rsidR="007436A6" w:rsidRDefault="007436A6" w:rsidP="007436A6">
      <w:pPr>
        <w:pStyle w:val="FootnoteText"/>
      </w:pPr>
      <w:r>
        <w:rPr>
          <w:rStyle w:val="FootnoteReference"/>
        </w:rPr>
        <w:footnoteRef/>
      </w:r>
      <w:r>
        <w:t xml:space="preserve"> Ibid.</w:t>
      </w:r>
    </w:p>
  </w:footnote>
  <w:footnote w:id="16">
    <w:p w14:paraId="0AE67A6E" w14:textId="77777777" w:rsidR="007436A6" w:rsidRDefault="007436A6" w:rsidP="007436A6">
      <w:pPr>
        <w:pStyle w:val="FootnoteText"/>
      </w:pPr>
      <w:r>
        <w:rPr>
          <w:rStyle w:val="FootnoteReference"/>
        </w:rPr>
        <w:footnoteRef/>
      </w:r>
      <w:r>
        <w:t xml:space="preserve"> </w:t>
      </w:r>
      <w:r w:rsidRPr="00B93F48">
        <w:rPr>
          <w:rFonts w:cstheme="minorHAnsi"/>
        </w:rPr>
        <w:t xml:space="preserve">Stephen </w:t>
      </w:r>
      <w:bookmarkStart w:id="7" w:name="_Hlk37855724"/>
      <w:r w:rsidRPr="00B93F48">
        <w:rPr>
          <w:rFonts w:cstheme="minorHAnsi"/>
        </w:rPr>
        <w:t>Matthews</w:t>
      </w:r>
      <w:bookmarkEnd w:id="7"/>
      <w:r>
        <w:rPr>
          <w:rFonts w:cstheme="minorHAnsi"/>
        </w:rPr>
        <w:t>,</w:t>
      </w:r>
      <w:r>
        <w:t xml:space="preserve"> </w:t>
      </w:r>
      <w:r w:rsidRPr="00B93F48">
        <w:rPr>
          <w:rFonts w:cstheme="minorHAnsi"/>
        </w:rPr>
        <w:t>‘Cryptograms’</w:t>
      </w:r>
      <w:r>
        <w:rPr>
          <w:rFonts w:cstheme="minorHAnsi"/>
        </w:rPr>
        <w:t>,</w:t>
      </w:r>
      <w:r w:rsidRPr="00B93F48">
        <w:rPr>
          <w:rFonts w:cstheme="minorHAnsi"/>
        </w:rPr>
        <w:t xml:space="preserve"> </w:t>
      </w:r>
      <w:r w:rsidRPr="00B93F48">
        <w:rPr>
          <w:rFonts w:cstheme="minorHAnsi"/>
          <w:i/>
          <w:iCs/>
        </w:rPr>
        <w:t>T S Eliot and Modern Literature</w:t>
      </w:r>
      <w:r>
        <w:rPr>
          <w:rFonts w:cstheme="minorHAnsi"/>
        </w:rPr>
        <w:t xml:space="preserve"> (Oxford: Oxford University Press, </w:t>
      </w:r>
      <w:r w:rsidRPr="00B93F48">
        <w:rPr>
          <w:rFonts w:cstheme="minorHAnsi"/>
        </w:rPr>
        <w:t>2013</w:t>
      </w:r>
      <w:r>
        <w:rPr>
          <w:rFonts w:cstheme="minorHAnsi"/>
        </w:rPr>
        <w:t xml:space="preserve">), accessed </w:t>
      </w:r>
      <w:r w:rsidRPr="00B93F48">
        <w:rPr>
          <w:rFonts w:cstheme="minorHAnsi"/>
        </w:rPr>
        <w:t>Oxford Scholarship online</w:t>
      </w:r>
      <w:r>
        <w:rPr>
          <w:rFonts w:cstheme="minorHAnsi"/>
        </w:rPr>
        <w:t>, pp. 107-08</w:t>
      </w:r>
    </w:p>
  </w:footnote>
  <w:footnote w:id="17">
    <w:p w14:paraId="46F38F39" w14:textId="77777777" w:rsidR="007436A6" w:rsidRDefault="007436A6" w:rsidP="007436A6">
      <w:pPr>
        <w:pStyle w:val="FootnoteText"/>
      </w:pPr>
      <w:r>
        <w:rPr>
          <w:rStyle w:val="FootnoteReference"/>
        </w:rPr>
        <w:footnoteRef/>
      </w:r>
      <w:r>
        <w:t xml:space="preserve"> </w:t>
      </w:r>
      <w:r w:rsidRPr="005F4F04">
        <w:rPr>
          <w:i/>
          <w:iCs/>
        </w:rPr>
        <w:t>Sacred Texts</w:t>
      </w:r>
    </w:p>
  </w:footnote>
  <w:footnote w:id="18">
    <w:p w14:paraId="08CA5F91" w14:textId="77777777" w:rsidR="007436A6" w:rsidRDefault="007436A6" w:rsidP="007436A6">
      <w:pPr>
        <w:pStyle w:val="FootnoteText"/>
      </w:pPr>
      <w:r>
        <w:rPr>
          <w:rStyle w:val="FootnoteReference"/>
        </w:rPr>
        <w:footnoteRef/>
      </w:r>
      <w:r>
        <w:t xml:space="preserve"> Allyson Booth, </w:t>
      </w:r>
      <w:r>
        <w:rPr>
          <w:i/>
          <w:iCs/>
        </w:rPr>
        <w:t>Reading “The Waste Land” From the Bottom Up</w:t>
      </w:r>
      <w:r>
        <w:t>, ‘”Shantih, shantih, shantih”: Upanishads’ (new York: Palgrave MacMillan, 2015) &lt;</w:t>
      </w:r>
      <w:hyperlink r:id="rId8" w:history="1">
        <w:r w:rsidRPr="00CF4107">
          <w:rPr>
            <w:rStyle w:val="Hyperlink"/>
          </w:rPr>
          <w:t>https://link.springer.com/chapter/10.1057/9781137482846_54</w:t>
        </w:r>
      </w:hyperlink>
      <w:r>
        <w:t>&gt; Accessed 8</w:t>
      </w:r>
      <w:r w:rsidRPr="00FC1C71">
        <w:rPr>
          <w:vertAlign w:val="superscript"/>
        </w:rPr>
        <w:t>th</w:t>
      </w:r>
      <w:r>
        <w:t xml:space="preserve"> April 2020</w:t>
      </w:r>
    </w:p>
  </w:footnote>
  <w:footnote w:id="19">
    <w:p w14:paraId="56C0F9B1" w14:textId="77777777" w:rsidR="007436A6" w:rsidRPr="009A0AE5" w:rsidRDefault="007436A6" w:rsidP="007436A6">
      <w:pPr>
        <w:pStyle w:val="FootnoteText"/>
      </w:pPr>
      <w:r>
        <w:rPr>
          <w:rStyle w:val="FootnoteReference"/>
        </w:rPr>
        <w:footnoteRef/>
      </w:r>
      <w:r>
        <w:t xml:space="preserve"> Eliot, </w:t>
      </w:r>
      <w:r>
        <w:rPr>
          <w:i/>
          <w:iCs/>
        </w:rPr>
        <w:t>Wasteland</w:t>
      </w:r>
      <w:r>
        <w:t>, p.42</w:t>
      </w:r>
    </w:p>
  </w:footnote>
  <w:footnote w:id="20">
    <w:p w14:paraId="4437E819" w14:textId="7E97C84A" w:rsidR="007436A6" w:rsidRDefault="007436A6" w:rsidP="007436A6">
      <w:pPr>
        <w:pStyle w:val="FootnoteText"/>
      </w:pPr>
      <w:r>
        <w:rPr>
          <w:rStyle w:val="FootnoteReference"/>
        </w:rPr>
        <w:footnoteRef/>
      </w:r>
      <w:r>
        <w:t xml:space="preserve"> For my father Charles May, because I can now understand why the most literary man I knew could no longer, after surviving WW2, read his beloved Dickens, why he loved Hardy only for his poetry and why he loved Eliot. It was not that he had read everything and now only read and reread poetry, it was because he could no longer lose himself in fiction, and the poets spoke so much better to a re-stitched soul fractured by horror.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F5146"/>
    <w:multiLevelType w:val="hybridMultilevel"/>
    <w:tmpl w:val="9D401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AztTAxN7awNDO3NDRW0lEKTi0uzszPAykwrgUAoHwm2SwAAAA="/>
  </w:docVars>
  <w:rsids>
    <w:rsidRoot w:val="00257C3A"/>
    <w:rsid w:val="00000EF0"/>
    <w:rsid w:val="000015C9"/>
    <w:rsid w:val="00004E96"/>
    <w:rsid w:val="00007018"/>
    <w:rsid w:val="00015146"/>
    <w:rsid w:val="00015829"/>
    <w:rsid w:val="00036B6D"/>
    <w:rsid w:val="000469E7"/>
    <w:rsid w:val="00057887"/>
    <w:rsid w:val="000640B5"/>
    <w:rsid w:val="00067D6A"/>
    <w:rsid w:val="00072A89"/>
    <w:rsid w:val="000758D5"/>
    <w:rsid w:val="00081205"/>
    <w:rsid w:val="00082999"/>
    <w:rsid w:val="00096BF7"/>
    <w:rsid w:val="000D2327"/>
    <w:rsid w:val="000D4C1B"/>
    <w:rsid w:val="000D5B41"/>
    <w:rsid w:val="000E4DC3"/>
    <w:rsid w:val="000E50C0"/>
    <w:rsid w:val="000F0524"/>
    <w:rsid w:val="001074B2"/>
    <w:rsid w:val="001165BF"/>
    <w:rsid w:val="00117705"/>
    <w:rsid w:val="0012051A"/>
    <w:rsid w:val="001325A1"/>
    <w:rsid w:val="00142331"/>
    <w:rsid w:val="00142FD0"/>
    <w:rsid w:val="00146C07"/>
    <w:rsid w:val="00150C08"/>
    <w:rsid w:val="0015180F"/>
    <w:rsid w:val="001526A6"/>
    <w:rsid w:val="00153CBB"/>
    <w:rsid w:val="00154E34"/>
    <w:rsid w:val="001640D3"/>
    <w:rsid w:val="0018114C"/>
    <w:rsid w:val="00182E2E"/>
    <w:rsid w:val="0019669A"/>
    <w:rsid w:val="001A33D9"/>
    <w:rsid w:val="001B0CD7"/>
    <w:rsid w:val="001B6356"/>
    <w:rsid w:val="001C0A70"/>
    <w:rsid w:val="001E04B1"/>
    <w:rsid w:val="001E3EB7"/>
    <w:rsid w:val="001F0FAA"/>
    <w:rsid w:val="002175E2"/>
    <w:rsid w:val="002302F8"/>
    <w:rsid w:val="0023171A"/>
    <w:rsid w:val="0024660A"/>
    <w:rsid w:val="00252C34"/>
    <w:rsid w:val="00257C3A"/>
    <w:rsid w:val="00260024"/>
    <w:rsid w:val="00264372"/>
    <w:rsid w:val="00266215"/>
    <w:rsid w:val="002813E5"/>
    <w:rsid w:val="002814D7"/>
    <w:rsid w:val="0029046C"/>
    <w:rsid w:val="0029276C"/>
    <w:rsid w:val="002A4E86"/>
    <w:rsid w:val="002B20B8"/>
    <w:rsid w:val="002B45D4"/>
    <w:rsid w:val="002B7780"/>
    <w:rsid w:val="002B7B26"/>
    <w:rsid w:val="002C0874"/>
    <w:rsid w:val="002C442B"/>
    <w:rsid w:val="002D28A0"/>
    <w:rsid w:val="002E36CD"/>
    <w:rsid w:val="002E6468"/>
    <w:rsid w:val="002E69FA"/>
    <w:rsid w:val="002F0173"/>
    <w:rsid w:val="002F1B3A"/>
    <w:rsid w:val="002F21D9"/>
    <w:rsid w:val="002F2414"/>
    <w:rsid w:val="002F2633"/>
    <w:rsid w:val="002F6755"/>
    <w:rsid w:val="0030651B"/>
    <w:rsid w:val="00317E69"/>
    <w:rsid w:val="00341C3D"/>
    <w:rsid w:val="00356E31"/>
    <w:rsid w:val="00360E24"/>
    <w:rsid w:val="00376BD8"/>
    <w:rsid w:val="0038121F"/>
    <w:rsid w:val="00386F35"/>
    <w:rsid w:val="003955EA"/>
    <w:rsid w:val="003A31B0"/>
    <w:rsid w:val="003A588D"/>
    <w:rsid w:val="003A691D"/>
    <w:rsid w:val="003B2D06"/>
    <w:rsid w:val="003B6784"/>
    <w:rsid w:val="003C0468"/>
    <w:rsid w:val="003C0B30"/>
    <w:rsid w:val="003C5827"/>
    <w:rsid w:val="003D0524"/>
    <w:rsid w:val="003D1D8E"/>
    <w:rsid w:val="003D4817"/>
    <w:rsid w:val="003D6034"/>
    <w:rsid w:val="003F08C9"/>
    <w:rsid w:val="00403783"/>
    <w:rsid w:val="0041162C"/>
    <w:rsid w:val="004131CA"/>
    <w:rsid w:val="00421F19"/>
    <w:rsid w:val="004221F0"/>
    <w:rsid w:val="0043579C"/>
    <w:rsid w:val="0043639F"/>
    <w:rsid w:val="00441938"/>
    <w:rsid w:val="00453071"/>
    <w:rsid w:val="0046357C"/>
    <w:rsid w:val="00465C49"/>
    <w:rsid w:val="00470288"/>
    <w:rsid w:val="004704FC"/>
    <w:rsid w:val="00470CD3"/>
    <w:rsid w:val="00476405"/>
    <w:rsid w:val="004823C6"/>
    <w:rsid w:val="00490CE9"/>
    <w:rsid w:val="00491C7C"/>
    <w:rsid w:val="00497CB5"/>
    <w:rsid w:val="004B1A21"/>
    <w:rsid w:val="004B606F"/>
    <w:rsid w:val="004B6916"/>
    <w:rsid w:val="004C665A"/>
    <w:rsid w:val="004E3800"/>
    <w:rsid w:val="00500219"/>
    <w:rsid w:val="00500A4F"/>
    <w:rsid w:val="00504F35"/>
    <w:rsid w:val="00514D7A"/>
    <w:rsid w:val="00521822"/>
    <w:rsid w:val="0052349C"/>
    <w:rsid w:val="00527C05"/>
    <w:rsid w:val="0054055C"/>
    <w:rsid w:val="00541E5B"/>
    <w:rsid w:val="00544E73"/>
    <w:rsid w:val="00551717"/>
    <w:rsid w:val="00556C29"/>
    <w:rsid w:val="00562270"/>
    <w:rsid w:val="005728B1"/>
    <w:rsid w:val="00574D0B"/>
    <w:rsid w:val="00577B58"/>
    <w:rsid w:val="00585650"/>
    <w:rsid w:val="00592414"/>
    <w:rsid w:val="005958AD"/>
    <w:rsid w:val="005A282B"/>
    <w:rsid w:val="005A4245"/>
    <w:rsid w:val="005A44D9"/>
    <w:rsid w:val="005B75B8"/>
    <w:rsid w:val="005C6CD3"/>
    <w:rsid w:val="005D1998"/>
    <w:rsid w:val="005D1CAC"/>
    <w:rsid w:val="005D4201"/>
    <w:rsid w:val="005D4BBD"/>
    <w:rsid w:val="005D74ED"/>
    <w:rsid w:val="005E527D"/>
    <w:rsid w:val="005E5E98"/>
    <w:rsid w:val="005E7AAB"/>
    <w:rsid w:val="005E7D14"/>
    <w:rsid w:val="005F3B3E"/>
    <w:rsid w:val="005F4F04"/>
    <w:rsid w:val="00600B7B"/>
    <w:rsid w:val="00603A00"/>
    <w:rsid w:val="00605787"/>
    <w:rsid w:val="00605C53"/>
    <w:rsid w:val="006104C8"/>
    <w:rsid w:val="00626A28"/>
    <w:rsid w:val="0063349C"/>
    <w:rsid w:val="0063583D"/>
    <w:rsid w:val="006366F6"/>
    <w:rsid w:val="006449F3"/>
    <w:rsid w:val="00644B58"/>
    <w:rsid w:val="00654916"/>
    <w:rsid w:val="00663326"/>
    <w:rsid w:val="00663E6B"/>
    <w:rsid w:val="00686E36"/>
    <w:rsid w:val="00694FE6"/>
    <w:rsid w:val="00697B72"/>
    <w:rsid w:val="006B2FBF"/>
    <w:rsid w:val="006B44CF"/>
    <w:rsid w:val="006B5517"/>
    <w:rsid w:val="006C476E"/>
    <w:rsid w:val="006E1CC9"/>
    <w:rsid w:val="006F3D05"/>
    <w:rsid w:val="007035E9"/>
    <w:rsid w:val="00703BF8"/>
    <w:rsid w:val="007079E9"/>
    <w:rsid w:val="00712E46"/>
    <w:rsid w:val="00727894"/>
    <w:rsid w:val="007347AC"/>
    <w:rsid w:val="00737BC2"/>
    <w:rsid w:val="00742A0B"/>
    <w:rsid w:val="007436A6"/>
    <w:rsid w:val="00747BD1"/>
    <w:rsid w:val="00747EBF"/>
    <w:rsid w:val="00751ADD"/>
    <w:rsid w:val="0075328B"/>
    <w:rsid w:val="0078107C"/>
    <w:rsid w:val="00782A8F"/>
    <w:rsid w:val="007904AC"/>
    <w:rsid w:val="00790639"/>
    <w:rsid w:val="00797545"/>
    <w:rsid w:val="007A1BC1"/>
    <w:rsid w:val="007B1892"/>
    <w:rsid w:val="007B2CE4"/>
    <w:rsid w:val="007B7573"/>
    <w:rsid w:val="007C529A"/>
    <w:rsid w:val="007C77B8"/>
    <w:rsid w:val="007D1E93"/>
    <w:rsid w:val="007D2CD5"/>
    <w:rsid w:val="007D307A"/>
    <w:rsid w:val="007D58D3"/>
    <w:rsid w:val="007E1FE1"/>
    <w:rsid w:val="007F43BC"/>
    <w:rsid w:val="008015F3"/>
    <w:rsid w:val="00802015"/>
    <w:rsid w:val="00803641"/>
    <w:rsid w:val="00807BDC"/>
    <w:rsid w:val="00811072"/>
    <w:rsid w:val="00813937"/>
    <w:rsid w:val="00814790"/>
    <w:rsid w:val="00817BEC"/>
    <w:rsid w:val="008334D6"/>
    <w:rsid w:val="00833F11"/>
    <w:rsid w:val="0083500B"/>
    <w:rsid w:val="00837E27"/>
    <w:rsid w:val="00840B46"/>
    <w:rsid w:val="00844C86"/>
    <w:rsid w:val="0084733C"/>
    <w:rsid w:val="00871FD4"/>
    <w:rsid w:val="00873730"/>
    <w:rsid w:val="00874182"/>
    <w:rsid w:val="00876B49"/>
    <w:rsid w:val="008862C0"/>
    <w:rsid w:val="00886F2F"/>
    <w:rsid w:val="00891DF7"/>
    <w:rsid w:val="00892057"/>
    <w:rsid w:val="008B45BE"/>
    <w:rsid w:val="008B6E65"/>
    <w:rsid w:val="008C040A"/>
    <w:rsid w:val="008C3856"/>
    <w:rsid w:val="008D6ACF"/>
    <w:rsid w:val="008D78AC"/>
    <w:rsid w:val="008E31B0"/>
    <w:rsid w:val="008F094C"/>
    <w:rsid w:val="008F0AA7"/>
    <w:rsid w:val="008F19C2"/>
    <w:rsid w:val="009061E4"/>
    <w:rsid w:val="0092508A"/>
    <w:rsid w:val="00936706"/>
    <w:rsid w:val="0094066E"/>
    <w:rsid w:val="009418DA"/>
    <w:rsid w:val="00945CAC"/>
    <w:rsid w:val="009505D0"/>
    <w:rsid w:val="00950BD6"/>
    <w:rsid w:val="00953199"/>
    <w:rsid w:val="00954B4C"/>
    <w:rsid w:val="00957B70"/>
    <w:rsid w:val="009907F1"/>
    <w:rsid w:val="00990BD8"/>
    <w:rsid w:val="00992C8A"/>
    <w:rsid w:val="009A0AE5"/>
    <w:rsid w:val="009A1553"/>
    <w:rsid w:val="009A683E"/>
    <w:rsid w:val="009B474A"/>
    <w:rsid w:val="009C00FC"/>
    <w:rsid w:val="009C15A4"/>
    <w:rsid w:val="009D46ED"/>
    <w:rsid w:val="009E293D"/>
    <w:rsid w:val="009F3FBA"/>
    <w:rsid w:val="009F6671"/>
    <w:rsid w:val="009F7121"/>
    <w:rsid w:val="00A26272"/>
    <w:rsid w:val="00A271EE"/>
    <w:rsid w:val="00A30F8B"/>
    <w:rsid w:val="00A3504A"/>
    <w:rsid w:val="00A43900"/>
    <w:rsid w:val="00A54CD2"/>
    <w:rsid w:val="00A609AA"/>
    <w:rsid w:val="00A706EF"/>
    <w:rsid w:val="00A70A99"/>
    <w:rsid w:val="00A721B4"/>
    <w:rsid w:val="00A84EE1"/>
    <w:rsid w:val="00A85EB5"/>
    <w:rsid w:val="00AA0894"/>
    <w:rsid w:val="00AA1DBE"/>
    <w:rsid w:val="00AA4647"/>
    <w:rsid w:val="00AA7AC2"/>
    <w:rsid w:val="00AB3048"/>
    <w:rsid w:val="00AB4BCC"/>
    <w:rsid w:val="00AC0194"/>
    <w:rsid w:val="00AD76FD"/>
    <w:rsid w:val="00AE2B77"/>
    <w:rsid w:val="00AF3C62"/>
    <w:rsid w:val="00AF6942"/>
    <w:rsid w:val="00B04ED7"/>
    <w:rsid w:val="00B101B7"/>
    <w:rsid w:val="00B10597"/>
    <w:rsid w:val="00B13F5D"/>
    <w:rsid w:val="00B13FCA"/>
    <w:rsid w:val="00B2265D"/>
    <w:rsid w:val="00B23D8B"/>
    <w:rsid w:val="00B2405E"/>
    <w:rsid w:val="00B25821"/>
    <w:rsid w:val="00B40188"/>
    <w:rsid w:val="00B50C88"/>
    <w:rsid w:val="00B51736"/>
    <w:rsid w:val="00B64CBC"/>
    <w:rsid w:val="00B80435"/>
    <w:rsid w:val="00B86E9B"/>
    <w:rsid w:val="00B93F48"/>
    <w:rsid w:val="00BB2437"/>
    <w:rsid w:val="00BB32EE"/>
    <w:rsid w:val="00BB4857"/>
    <w:rsid w:val="00BB4B76"/>
    <w:rsid w:val="00BB586E"/>
    <w:rsid w:val="00BB5BB5"/>
    <w:rsid w:val="00BE3A71"/>
    <w:rsid w:val="00C15A02"/>
    <w:rsid w:val="00C22D2C"/>
    <w:rsid w:val="00C241B5"/>
    <w:rsid w:val="00C24B30"/>
    <w:rsid w:val="00C3650F"/>
    <w:rsid w:val="00C3675A"/>
    <w:rsid w:val="00C50E0C"/>
    <w:rsid w:val="00C602DF"/>
    <w:rsid w:val="00C64ECF"/>
    <w:rsid w:val="00C66215"/>
    <w:rsid w:val="00C66AE2"/>
    <w:rsid w:val="00C705DB"/>
    <w:rsid w:val="00C70BB7"/>
    <w:rsid w:val="00C75B42"/>
    <w:rsid w:val="00C92749"/>
    <w:rsid w:val="00CA0A54"/>
    <w:rsid w:val="00CA6B01"/>
    <w:rsid w:val="00CB121B"/>
    <w:rsid w:val="00CB2902"/>
    <w:rsid w:val="00CB742D"/>
    <w:rsid w:val="00CD45F0"/>
    <w:rsid w:val="00CE274D"/>
    <w:rsid w:val="00CE2B26"/>
    <w:rsid w:val="00CE43B6"/>
    <w:rsid w:val="00CE7BCF"/>
    <w:rsid w:val="00CF20EA"/>
    <w:rsid w:val="00CF7A87"/>
    <w:rsid w:val="00D11BC0"/>
    <w:rsid w:val="00D51CEE"/>
    <w:rsid w:val="00D550F2"/>
    <w:rsid w:val="00D61B02"/>
    <w:rsid w:val="00D765AE"/>
    <w:rsid w:val="00D84B15"/>
    <w:rsid w:val="00DA54BE"/>
    <w:rsid w:val="00DA5BCD"/>
    <w:rsid w:val="00DA5ED0"/>
    <w:rsid w:val="00DB0FC1"/>
    <w:rsid w:val="00DB6FE6"/>
    <w:rsid w:val="00DC0098"/>
    <w:rsid w:val="00DC2863"/>
    <w:rsid w:val="00DD3F10"/>
    <w:rsid w:val="00DD46FF"/>
    <w:rsid w:val="00DD5403"/>
    <w:rsid w:val="00DD7A67"/>
    <w:rsid w:val="00DE18F4"/>
    <w:rsid w:val="00DE4936"/>
    <w:rsid w:val="00DF1844"/>
    <w:rsid w:val="00E07E68"/>
    <w:rsid w:val="00E10DD7"/>
    <w:rsid w:val="00E201D7"/>
    <w:rsid w:val="00E21B12"/>
    <w:rsid w:val="00E241AC"/>
    <w:rsid w:val="00E2631C"/>
    <w:rsid w:val="00E303A7"/>
    <w:rsid w:val="00E33198"/>
    <w:rsid w:val="00E34CE7"/>
    <w:rsid w:val="00E35958"/>
    <w:rsid w:val="00E42BCB"/>
    <w:rsid w:val="00E44095"/>
    <w:rsid w:val="00E4444F"/>
    <w:rsid w:val="00E53E46"/>
    <w:rsid w:val="00E61671"/>
    <w:rsid w:val="00E62B0A"/>
    <w:rsid w:val="00E670AE"/>
    <w:rsid w:val="00E73A7F"/>
    <w:rsid w:val="00E74679"/>
    <w:rsid w:val="00E755BE"/>
    <w:rsid w:val="00E87683"/>
    <w:rsid w:val="00E96F1B"/>
    <w:rsid w:val="00EA0D21"/>
    <w:rsid w:val="00EA7093"/>
    <w:rsid w:val="00EA79A4"/>
    <w:rsid w:val="00EB2BCE"/>
    <w:rsid w:val="00EB3D16"/>
    <w:rsid w:val="00EC6B51"/>
    <w:rsid w:val="00ED1E79"/>
    <w:rsid w:val="00ED2B2D"/>
    <w:rsid w:val="00EF0482"/>
    <w:rsid w:val="00F06C51"/>
    <w:rsid w:val="00F11AAB"/>
    <w:rsid w:val="00F153E2"/>
    <w:rsid w:val="00F1581E"/>
    <w:rsid w:val="00F25399"/>
    <w:rsid w:val="00F3618A"/>
    <w:rsid w:val="00F41205"/>
    <w:rsid w:val="00F46CE5"/>
    <w:rsid w:val="00F4762F"/>
    <w:rsid w:val="00F47735"/>
    <w:rsid w:val="00F66B91"/>
    <w:rsid w:val="00F66E90"/>
    <w:rsid w:val="00F751A8"/>
    <w:rsid w:val="00F761CD"/>
    <w:rsid w:val="00F76849"/>
    <w:rsid w:val="00F9013F"/>
    <w:rsid w:val="00F90DE5"/>
    <w:rsid w:val="00F9216E"/>
    <w:rsid w:val="00F93597"/>
    <w:rsid w:val="00F97AE3"/>
    <w:rsid w:val="00FA3B9E"/>
    <w:rsid w:val="00FB4322"/>
    <w:rsid w:val="00FC1895"/>
    <w:rsid w:val="00FC1C71"/>
    <w:rsid w:val="00FD49B2"/>
    <w:rsid w:val="00FE04EF"/>
    <w:rsid w:val="00FE10B8"/>
    <w:rsid w:val="00FE161D"/>
    <w:rsid w:val="00FE21F3"/>
    <w:rsid w:val="00FE4DAE"/>
    <w:rsid w:val="00FE5CC9"/>
    <w:rsid w:val="00FE7EA0"/>
    <w:rsid w:val="00FF5850"/>
    <w:rsid w:val="00FF74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88C7EF"/>
  <w15:chartTrackingRefBased/>
  <w15:docId w15:val="{CFD83B5D-4BC9-4E08-94ED-7F45E2CC74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36A6"/>
  </w:style>
  <w:style w:type="paragraph" w:styleId="Heading1">
    <w:name w:val="heading 1"/>
    <w:basedOn w:val="Normal"/>
    <w:link w:val="Heading1Char"/>
    <w:uiPriority w:val="9"/>
    <w:qFormat/>
    <w:rsid w:val="00490CE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4DC3"/>
    <w:pPr>
      <w:ind w:left="720"/>
      <w:contextualSpacing/>
    </w:pPr>
  </w:style>
  <w:style w:type="character" w:styleId="Emphasis">
    <w:name w:val="Emphasis"/>
    <w:basedOn w:val="DefaultParagraphFont"/>
    <w:uiPriority w:val="20"/>
    <w:qFormat/>
    <w:rsid w:val="00CE2B26"/>
    <w:rPr>
      <w:i/>
      <w:iCs/>
    </w:rPr>
  </w:style>
  <w:style w:type="paragraph" w:styleId="FootnoteText">
    <w:name w:val="footnote text"/>
    <w:basedOn w:val="Normal"/>
    <w:link w:val="FootnoteTextChar"/>
    <w:uiPriority w:val="99"/>
    <w:semiHidden/>
    <w:unhideWhenUsed/>
    <w:rsid w:val="00FC1C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C1C71"/>
    <w:rPr>
      <w:sz w:val="20"/>
      <w:szCs w:val="20"/>
    </w:rPr>
  </w:style>
  <w:style w:type="character" w:styleId="FootnoteReference">
    <w:name w:val="footnote reference"/>
    <w:basedOn w:val="DefaultParagraphFont"/>
    <w:uiPriority w:val="99"/>
    <w:semiHidden/>
    <w:unhideWhenUsed/>
    <w:rsid w:val="00FC1C71"/>
    <w:rPr>
      <w:vertAlign w:val="superscript"/>
    </w:rPr>
  </w:style>
  <w:style w:type="character" w:styleId="Hyperlink">
    <w:name w:val="Hyperlink"/>
    <w:basedOn w:val="DefaultParagraphFont"/>
    <w:uiPriority w:val="99"/>
    <w:unhideWhenUsed/>
    <w:rsid w:val="00FC1C71"/>
    <w:rPr>
      <w:color w:val="0000FF"/>
      <w:u w:val="single"/>
    </w:rPr>
  </w:style>
  <w:style w:type="character" w:styleId="UnresolvedMention">
    <w:name w:val="Unresolved Mention"/>
    <w:basedOn w:val="DefaultParagraphFont"/>
    <w:uiPriority w:val="99"/>
    <w:semiHidden/>
    <w:unhideWhenUsed/>
    <w:rsid w:val="00FC1C71"/>
    <w:rPr>
      <w:color w:val="605E5C"/>
      <w:shd w:val="clear" w:color="auto" w:fill="E1DFDD"/>
    </w:rPr>
  </w:style>
  <w:style w:type="character" w:customStyle="1" w:styleId="Heading1Char">
    <w:name w:val="Heading 1 Char"/>
    <w:basedOn w:val="DefaultParagraphFont"/>
    <w:link w:val="Heading1"/>
    <w:uiPriority w:val="9"/>
    <w:rsid w:val="00490CE9"/>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FE161D"/>
    <w:rPr>
      <w:color w:val="954F72" w:themeColor="followedHyperlink"/>
      <w:u w:val="single"/>
    </w:rPr>
  </w:style>
  <w:style w:type="character" w:styleId="CommentReference">
    <w:name w:val="annotation reference"/>
    <w:basedOn w:val="DefaultParagraphFont"/>
    <w:uiPriority w:val="99"/>
    <w:semiHidden/>
    <w:unhideWhenUsed/>
    <w:rsid w:val="00FE4DAE"/>
    <w:rPr>
      <w:sz w:val="16"/>
      <w:szCs w:val="16"/>
    </w:rPr>
  </w:style>
  <w:style w:type="paragraph" w:styleId="CommentText">
    <w:name w:val="annotation text"/>
    <w:basedOn w:val="Normal"/>
    <w:link w:val="CommentTextChar"/>
    <w:uiPriority w:val="99"/>
    <w:unhideWhenUsed/>
    <w:rsid w:val="00FE4DAE"/>
    <w:pPr>
      <w:spacing w:line="240" w:lineRule="auto"/>
    </w:pPr>
    <w:rPr>
      <w:sz w:val="20"/>
      <w:szCs w:val="20"/>
    </w:rPr>
  </w:style>
  <w:style w:type="character" w:customStyle="1" w:styleId="CommentTextChar">
    <w:name w:val="Comment Text Char"/>
    <w:basedOn w:val="DefaultParagraphFont"/>
    <w:link w:val="CommentText"/>
    <w:uiPriority w:val="99"/>
    <w:rsid w:val="00FE4DAE"/>
    <w:rPr>
      <w:sz w:val="20"/>
      <w:szCs w:val="20"/>
    </w:rPr>
  </w:style>
  <w:style w:type="paragraph" w:styleId="CommentSubject">
    <w:name w:val="annotation subject"/>
    <w:basedOn w:val="CommentText"/>
    <w:next w:val="CommentText"/>
    <w:link w:val="CommentSubjectChar"/>
    <w:uiPriority w:val="99"/>
    <w:semiHidden/>
    <w:unhideWhenUsed/>
    <w:rsid w:val="00FE4DAE"/>
    <w:rPr>
      <w:b/>
      <w:bCs/>
    </w:rPr>
  </w:style>
  <w:style w:type="character" w:customStyle="1" w:styleId="CommentSubjectChar">
    <w:name w:val="Comment Subject Char"/>
    <w:basedOn w:val="CommentTextChar"/>
    <w:link w:val="CommentSubject"/>
    <w:uiPriority w:val="99"/>
    <w:semiHidden/>
    <w:rsid w:val="00FE4DAE"/>
    <w:rPr>
      <w:b/>
      <w:bCs/>
      <w:sz w:val="20"/>
      <w:szCs w:val="20"/>
    </w:rPr>
  </w:style>
  <w:style w:type="paragraph" w:styleId="BalloonText">
    <w:name w:val="Balloon Text"/>
    <w:basedOn w:val="Normal"/>
    <w:link w:val="BalloonTextChar"/>
    <w:uiPriority w:val="99"/>
    <w:semiHidden/>
    <w:unhideWhenUsed/>
    <w:rsid w:val="00FE4DA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4DAE"/>
    <w:rPr>
      <w:rFonts w:ascii="Segoe UI" w:hAnsi="Segoe UI" w:cs="Segoe UI"/>
      <w:sz w:val="18"/>
      <w:szCs w:val="18"/>
    </w:rPr>
  </w:style>
  <w:style w:type="paragraph" w:styleId="NormalWeb">
    <w:name w:val="Normal (Web)"/>
    <w:basedOn w:val="Normal"/>
    <w:uiPriority w:val="99"/>
    <w:unhideWhenUsed/>
    <w:rsid w:val="00AE2B7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7436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36A6"/>
  </w:style>
  <w:style w:type="paragraph" w:styleId="Footer">
    <w:name w:val="footer"/>
    <w:basedOn w:val="Normal"/>
    <w:link w:val="FooterChar"/>
    <w:uiPriority w:val="99"/>
    <w:unhideWhenUsed/>
    <w:rsid w:val="007436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36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42222">
      <w:bodyDiv w:val="1"/>
      <w:marLeft w:val="0"/>
      <w:marRight w:val="0"/>
      <w:marTop w:val="0"/>
      <w:marBottom w:val="0"/>
      <w:divBdr>
        <w:top w:val="none" w:sz="0" w:space="0" w:color="auto"/>
        <w:left w:val="none" w:sz="0" w:space="0" w:color="auto"/>
        <w:bottom w:val="none" w:sz="0" w:space="0" w:color="auto"/>
        <w:right w:val="none" w:sz="0" w:space="0" w:color="auto"/>
      </w:divBdr>
    </w:div>
    <w:div w:id="1778019780">
      <w:bodyDiv w:val="1"/>
      <w:marLeft w:val="0"/>
      <w:marRight w:val="0"/>
      <w:marTop w:val="0"/>
      <w:marBottom w:val="0"/>
      <w:divBdr>
        <w:top w:val="none" w:sz="0" w:space="0" w:color="auto"/>
        <w:left w:val="none" w:sz="0" w:space="0" w:color="auto"/>
        <w:bottom w:val="none" w:sz="0" w:space="0" w:color="auto"/>
        <w:right w:val="none" w:sz="0" w:space="0" w:color="auto"/>
      </w:divBdr>
    </w:div>
    <w:div w:id="1997486948">
      <w:bodyDiv w:val="1"/>
      <w:marLeft w:val="0"/>
      <w:marRight w:val="0"/>
      <w:marTop w:val="0"/>
      <w:marBottom w:val="0"/>
      <w:divBdr>
        <w:top w:val="none" w:sz="0" w:space="0" w:color="auto"/>
        <w:left w:val="none" w:sz="0" w:space="0" w:color="auto"/>
        <w:bottom w:val="none" w:sz="0" w:space="0" w:color="auto"/>
        <w:right w:val="none" w:sz="0" w:space="0" w:color="auto"/>
      </w:divBdr>
      <w:divsChild>
        <w:div w:id="1911647810">
          <w:marLeft w:val="0"/>
          <w:marRight w:val="0"/>
          <w:marTop w:val="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acred-texts.com/cla/bulf/bulf31.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earch.proquest.com/openview/b672bfd09c3d22e50f22e9c28ca38bfa/1?pq-origsite=gscholar&amp;cbl=18750&amp;diss=y"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lato.stanford.edu/entries/bergson/"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bartleby.com/200/sw4.html" TargetMode="External"/><Relationship Id="rId4" Type="http://schemas.openxmlformats.org/officeDocument/2006/relationships/settings" Target="settings.xml"/><Relationship Id="rId9" Type="http://schemas.openxmlformats.org/officeDocument/2006/relationships/hyperlink" Target="https://link.springer.com/chapter/10.1057/9781137482846_54" TargetMode="External"/><Relationship Id="rId14" Type="http://schemas.openxmlformats.org/officeDocument/2006/relationships/hyperlink" Target="https://time.com/3818034/photography-and-cinema/"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link.springer.com/chapter/10.1057/9781137482846_54" TargetMode="External"/><Relationship Id="rId3" Type="http://schemas.openxmlformats.org/officeDocument/2006/relationships/hyperlink" Target="https://en.wikipedia.org/wiki/Greenwich_Mean_Time" TargetMode="External"/><Relationship Id="rId7" Type="http://schemas.openxmlformats.org/officeDocument/2006/relationships/hyperlink" Target="https://www.sacred-texts.com/cla/bulf/bulf31.htm" TargetMode="External"/><Relationship Id="rId2" Type="http://schemas.openxmlformats.org/officeDocument/2006/relationships/hyperlink" Target="https://search.proquest.com/openview/b672bfd09c3d22e50f22e9c28ca38bfa/1?pq-origsite=gscholar&amp;cbl=18750&amp;diss=y" TargetMode="External"/><Relationship Id="rId1" Type="http://schemas.openxmlformats.org/officeDocument/2006/relationships/hyperlink" Target="https://time.com/3818034/photography-and-cinema/" TargetMode="External"/><Relationship Id="rId6" Type="http://schemas.openxmlformats.org/officeDocument/2006/relationships/hyperlink" Target="https://www.bartleby.com/200/sw4.html" TargetMode="External"/><Relationship Id="rId5" Type="http://schemas.openxmlformats.org/officeDocument/2006/relationships/hyperlink" Target="https://plato.stanford.edu/entries/bergson/" TargetMode="External"/><Relationship Id="rId4" Type="http://schemas.openxmlformats.org/officeDocument/2006/relationships/hyperlink" Target="https://en.wikipedia.org/wiki/Standard_ti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41F6607A-162D-471B-83C2-06E10579F1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15</Pages>
  <Words>3206</Words>
  <Characters>18278</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Annie Thomas (2301021)</dc:creator>
  <cp:keywords/>
  <dc:description/>
  <cp:lastModifiedBy>Annie Thomas (2301021)</cp:lastModifiedBy>
  <cp:revision>46</cp:revision>
  <dcterms:created xsi:type="dcterms:W3CDTF">2020-04-15T21:00:00Z</dcterms:created>
  <dcterms:modified xsi:type="dcterms:W3CDTF">2020-04-15T22:40:00Z</dcterms:modified>
</cp:coreProperties>
</file>