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9A296" w14:textId="3B6F2160" w:rsidR="00624145" w:rsidRPr="00E93419" w:rsidRDefault="00E93419" w:rsidP="00E93419">
      <w:pPr>
        <w:spacing w:line="360" w:lineRule="auto"/>
        <w:jc w:val="center"/>
        <w:rPr>
          <w:rFonts w:ascii="Arial" w:hAnsi="Arial" w:cs="Arial"/>
          <w:b/>
          <w:bCs/>
          <w:sz w:val="22"/>
          <w:szCs w:val="22"/>
        </w:rPr>
      </w:pPr>
      <w:r w:rsidRPr="00E93419">
        <w:rPr>
          <w:rFonts w:ascii="Arial" w:hAnsi="Arial" w:cs="Arial"/>
          <w:b/>
          <w:bCs/>
          <w:noProof/>
          <w:sz w:val="22"/>
          <w:szCs w:val="22"/>
        </w:rPr>
        <w:drawing>
          <wp:inline distT="0" distB="0" distL="0" distR="0" wp14:anchorId="2C5D9311" wp14:editId="017A704D">
            <wp:extent cx="4752975" cy="18954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pic:spPr>
                </pic:pic>
              </a:graphicData>
            </a:graphic>
          </wp:inline>
        </w:drawing>
      </w:r>
    </w:p>
    <w:p w14:paraId="760F3359"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Master of Business Administration</w:t>
      </w:r>
    </w:p>
    <w:p w14:paraId="4031DBE3"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i/>
          <w:iCs/>
          <w:sz w:val="22"/>
          <w:szCs w:val="22"/>
        </w:rPr>
        <w:t>LCMB7034 — International Business Concepts</w:t>
      </w:r>
    </w:p>
    <w:p w14:paraId="53CD655C"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noProof/>
          <w:sz w:val="22"/>
          <w:szCs w:val="22"/>
        </w:rPr>
        <w:drawing>
          <wp:inline distT="0" distB="0" distL="0" distR="0" wp14:anchorId="72C98968" wp14:editId="38A946D4">
            <wp:extent cx="22860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286000" cy="1143000"/>
                    </a:xfrm>
                    <a:prstGeom prst="rect">
                      <a:avLst/>
                    </a:prstGeom>
                  </pic:spPr>
                </pic:pic>
              </a:graphicData>
            </a:graphic>
          </wp:inline>
        </w:drawing>
      </w:r>
    </w:p>
    <w:p w14:paraId="09B668B8"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b/>
          <w:bCs/>
          <w:sz w:val="22"/>
          <w:szCs w:val="22"/>
        </w:rPr>
        <w:t>International Business Report</w:t>
      </w:r>
    </w:p>
    <w:p w14:paraId="35DC1CB5"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i/>
          <w:iCs/>
          <w:sz w:val="22"/>
          <w:szCs w:val="22"/>
        </w:rPr>
        <w:t>The Pharmaceutical Industry in India and Pfizer Inc.'s Operations</w:t>
      </w:r>
    </w:p>
    <w:p w14:paraId="584618A1"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Submitted by: </w:t>
      </w:r>
      <w:proofErr w:type="spellStart"/>
      <w:r w:rsidRPr="00E93419">
        <w:rPr>
          <w:rFonts w:ascii="Arial" w:hAnsi="Arial" w:cs="Arial"/>
          <w:sz w:val="22"/>
          <w:szCs w:val="22"/>
        </w:rPr>
        <w:t>Rezaul</w:t>
      </w:r>
      <w:proofErr w:type="spellEnd"/>
      <w:r w:rsidRPr="00E93419">
        <w:rPr>
          <w:rFonts w:ascii="Arial" w:hAnsi="Arial" w:cs="Arial"/>
          <w:sz w:val="22"/>
          <w:szCs w:val="22"/>
        </w:rPr>
        <w:t xml:space="preserve"> Karim</w:t>
      </w:r>
    </w:p>
    <w:p w14:paraId="142BC044" w14:textId="7AEEA524"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Student ID: </w:t>
      </w:r>
      <w:r w:rsidR="00E93419" w:rsidRPr="00E93419">
        <w:rPr>
          <w:rFonts w:ascii="Arial" w:hAnsi="Arial" w:cs="Arial"/>
          <w:sz w:val="22"/>
          <w:szCs w:val="22"/>
        </w:rPr>
        <w:t>2436008</w:t>
      </w:r>
    </w:p>
    <w:p w14:paraId="6D7BBA21" w14:textId="018D21D8"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Lecturer: </w:t>
      </w:r>
      <w:proofErr w:type="spellStart"/>
      <w:r w:rsidR="00E93419" w:rsidRPr="00E93419">
        <w:rPr>
          <w:rFonts w:ascii="Arial" w:hAnsi="Arial" w:cs="Arial"/>
          <w:sz w:val="22"/>
          <w:szCs w:val="22"/>
        </w:rPr>
        <w:t>Dr.</w:t>
      </w:r>
      <w:proofErr w:type="spellEnd"/>
      <w:r w:rsidR="00E93419" w:rsidRPr="00E93419">
        <w:rPr>
          <w:rFonts w:ascii="Arial" w:hAnsi="Arial" w:cs="Arial"/>
          <w:sz w:val="22"/>
          <w:szCs w:val="22"/>
        </w:rPr>
        <w:t xml:space="preserve"> Jean Wang</w:t>
      </w:r>
    </w:p>
    <w:p w14:paraId="3EA0847E"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Submission Date: 27th April 2026</w:t>
      </w:r>
    </w:p>
    <w:p w14:paraId="2F079D08" w14:textId="5A8A942A"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Word Count: </w:t>
      </w:r>
      <w:r w:rsidR="00E93419" w:rsidRPr="00E93419">
        <w:rPr>
          <w:rFonts w:ascii="Arial" w:hAnsi="Arial" w:cs="Arial"/>
          <w:sz w:val="22"/>
          <w:szCs w:val="22"/>
        </w:rPr>
        <w:t xml:space="preserve">4571 </w:t>
      </w:r>
    </w:p>
    <w:p w14:paraId="52200BC7"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br w:type="page"/>
      </w:r>
    </w:p>
    <w:sdt>
      <w:sdtPr>
        <w:rPr>
          <w:rFonts w:ascii="Arial" w:eastAsia="Times New Roman" w:hAnsi="Arial" w:cs="Arial"/>
          <w:color w:val="auto"/>
          <w:sz w:val="22"/>
          <w:szCs w:val="22"/>
          <w:lang w:val="en-GB" w:eastAsia="en-GB"/>
        </w:rPr>
        <w:id w:val="1805660264"/>
        <w:docPartObj>
          <w:docPartGallery w:val="Table of Contents"/>
          <w:docPartUnique/>
        </w:docPartObj>
      </w:sdtPr>
      <w:sdtEndPr>
        <w:rPr>
          <w:b/>
          <w:bCs/>
          <w:noProof/>
        </w:rPr>
      </w:sdtEndPr>
      <w:sdtContent>
        <w:p w14:paraId="4119B11E" w14:textId="60A5057D" w:rsidR="00E93419" w:rsidRPr="00E93419" w:rsidRDefault="00E93419" w:rsidP="00E93419">
          <w:pPr>
            <w:pStyle w:val="TOCHeading"/>
            <w:spacing w:before="0" w:line="360" w:lineRule="auto"/>
            <w:rPr>
              <w:rFonts w:ascii="Arial" w:hAnsi="Arial" w:cs="Arial"/>
              <w:color w:val="auto"/>
              <w:sz w:val="22"/>
              <w:szCs w:val="22"/>
            </w:rPr>
          </w:pPr>
          <w:r w:rsidRPr="00E93419">
            <w:rPr>
              <w:rFonts w:ascii="Arial" w:hAnsi="Arial" w:cs="Arial"/>
              <w:color w:val="auto"/>
              <w:sz w:val="22"/>
              <w:szCs w:val="22"/>
            </w:rPr>
            <w:t>Table of Contents</w:t>
          </w:r>
        </w:p>
        <w:p w14:paraId="37149FDA" w14:textId="6F44DF47" w:rsidR="00210596" w:rsidRDefault="00E93419">
          <w:pPr>
            <w:pStyle w:val="TOC1"/>
            <w:tabs>
              <w:tab w:val="right" w:leader="dot" w:pos="9016"/>
            </w:tabs>
            <w:rPr>
              <w:rFonts w:asciiTheme="minorHAnsi" w:eastAsiaTheme="minorEastAsia" w:hAnsiTheme="minorHAnsi" w:cstheme="minorBidi"/>
              <w:noProof/>
              <w:sz w:val="22"/>
              <w:szCs w:val="22"/>
            </w:rPr>
          </w:pPr>
          <w:r w:rsidRPr="00E93419">
            <w:rPr>
              <w:rFonts w:ascii="Arial" w:hAnsi="Arial" w:cs="Arial"/>
              <w:sz w:val="22"/>
              <w:szCs w:val="22"/>
            </w:rPr>
            <w:fldChar w:fldCharType="begin"/>
          </w:r>
          <w:r w:rsidRPr="00E93419">
            <w:rPr>
              <w:rFonts w:ascii="Arial" w:hAnsi="Arial" w:cs="Arial"/>
              <w:sz w:val="22"/>
              <w:szCs w:val="22"/>
            </w:rPr>
            <w:instrText xml:space="preserve"> TOC \o "1-3" \h \z \u </w:instrText>
          </w:r>
          <w:r w:rsidRPr="00E93419">
            <w:rPr>
              <w:rFonts w:ascii="Arial" w:hAnsi="Arial" w:cs="Arial"/>
              <w:sz w:val="22"/>
              <w:szCs w:val="22"/>
            </w:rPr>
            <w:fldChar w:fldCharType="separate"/>
          </w:r>
          <w:hyperlink w:anchor="_Toc228168163" w:history="1">
            <w:r w:rsidR="00210596" w:rsidRPr="00250E4D">
              <w:rPr>
                <w:rStyle w:val="Hyperlink"/>
                <w:rFonts w:ascii="Arial" w:hAnsi="Arial" w:cs="Arial"/>
                <w:noProof/>
              </w:rPr>
              <w:t>1. Introduction</w:t>
            </w:r>
            <w:r w:rsidR="00210596">
              <w:rPr>
                <w:noProof/>
                <w:webHidden/>
              </w:rPr>
              <w:tab/>
            </w:r>
            <w:r w:rsidR="00210596">
              <w:rPr>
                <w:noProof/>
                <w:webHidden/>
              </w:rPr>
              <w:fldChar w:fldCharType="begin"/>
            </w:r>
            <w:r w:rsidR="00210596">
              <w:rPr>
                <w:noProof/>
                <w:webHidden/>
              </w:rPr>
              <w:instrText xml:space="preserve"> PAGEREF _Toc228168163 \h </w:instrText>
            </w:r>
            <w:r w:rsidR="00210596">
              <w:rPr>
                <w:noProof/>
                <w:webHidden/>
              </w:rPr>
            </w:r>
            <w:r w:rsidR="00210596">
              <w:rPr>
                <w:noProof/>
                <w:webHidden/>
              </w:rPr>
              <w:fldChar w:fldCharType="separate"/>
            </w:r>
            <w:r w:rsidR="00210596">
              <w:rPr>
                <w:noProof/>
                <w:webHidden/>
              </w:rPr>
              <w:t>3</w:t>
            </w:r>
            <w:r w:rsidR="00210596">
              <w:rPr>
                <w:noProof/>
                <w:webHidden/>
              </w:rPr>
              <w:fldChar w:fldCharType="end"/>
            </w:r>
          </w:hyperlink>
        </w:p>
        <w:p w14:paraId="2D453022" w14:textId="1974D226" w:rsidR="00210596" w:rsidRDefault="00210596">
          <w:pPr>
            <w:pStyle w:val="TOC1"/>
            <w:tabs>
              <w:tab w:val="right" w:leader="dot" w:pos="9016"/>
            </w:tabs>
            <w:rPr>
              <w:rFonts w:asciiTheme="minorHAnsi" w:eastAsiaTheme="minorEastAsia" w:hAnsiTheme="minorHAnsi" w:cstheme="minorBidi"/>
              <w:noProof/>
              <w:sz w:val="22"/>
              <w:szCs w:val="22"/>
            </w:rPr>
          </w:pPr>
          <w:hyperlink w:anchor="_Toc228168164" w:history="1">
            <w:r w:rsidRPr="00250E4D">
              <w:rPr>
                <w:rStyle w:val="Hyperlink"/>
                <w:rFonts w:ascii="Arial" w:hAnsi="Arial" w:cs="Arial"/>
                <w:noProof/>
              </w:rPr>
              <w:t>2. Industry and Country Overview</w:t>
            </w:r>
            <w:r>
              <w:rPr>
                <w:noProof/>
                <w:webHidden/>
              </w:rPr>
              <w:tab/>
            </w:r>
            <w:r>
              <w:rPr>
                <w:noProof/>
                <w:webHidden/>
              </w:rPr>
              <w:fldChar w:fldCharType="begin"/>
            </w:r>
            <w:r>
              <w:rPr>
                <w:noProof/>
                <w:webHidden/>
              </w:rPr>
              <w:instrText xml:space="preserve"> PAGEREF _Toc228168164 \h </w:instrText>
            </w:r>
            <w:r>
              <w:rPr>
                <w:noProof/>
                <w:webHidden/>
              </w:rPr>
            </w:r>
            <w:r>
              <w:rPr>
                <w:noProof/>
                <w:webHidden/>
              </w:rPr>
              <w:fldChar w:fldCharType="separate"/>
            </w:r>
            <w:r>
              <w:rPr>
                <w:noProof/>
                <w:webHidden/>
              </w:rPr>
              <w:t>3</w:t>
            </w:r>
            <w:r>
              <w:rPr>
                <w:noProof/>
                <w:webHidden/>
              </w:rPr>
              <w:fldChar w:fldCharType="end"/>
            </w:r>
          </w:hyperlink>
        </w:p>
        <w:p w14:paraId="52545C32" w14:textId="5C4B8161"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65" w:history="1">
            <w:r w:rsidRPr="00250E4D">
              <w:rPr>
                <w:rStyle w:val="Hyperlink"/>
                <w:rFonts w:ascii="Arial" w:hAnsi="Arial" w:cs="Arial"/>
                <w:noProof/>
              </w:rPr>
              <w:t>2.1 India and the Pharmaceutical Industry in Context</w:t>
            </w:r>
            <w:r>
              <w:rPr>
                <w:noProof/>
                <w:webHidden/>
              </w:rPr>
              <w:tab/>
            </w:r>
            <w:r>
              <w:rPr>
                <w:noProof/>
                <w:webHidden/>
              </w:rPr>
              <w:fldChar w:fldCharType="begin"/>
            </w:r>
            <w:r>
              <w:rPr>
                <w:noProof/>
                <w:webHidden/>
              </w:rPr>
              <w:instrText xml:space="preserve"> PAGEREF _Toc228168165 \h </w:instrText>
            </w:r>
            <w:r>
              <w:rPr>
                <w:noProof/>
                <w:webHidden/>
              </w:rPr>
            </w:r>
            <w:r>
              <w:rPr>
                <w:noProof/>
                <w:webHidden/>
              </w:rPr>
              <w:fldChar w:fldCharType="separate"/>
            </w:r>
            <w:r>
              <w:rPr>
                <w:noProof/>
                <w:webHidden/>
              </w:rPr>
              <w:t>3</w:t>
            </w:r>
            <w:r>
              <w:rPr>
                <w:noProof/>
                <w:webHidden/>
              </w:rPr>
              <w:fldChar w:fldCharType="end"/>
            </w:r>
          </w:hyperlink>
        </w:p>
        <w:p w14:paraId="0961CDD3" w14:textId="30708A60"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66" w:history="1">
            <w:r w:rsidRPr="00250E4D">
              <w:rPr>
                <w:rStyle w:val="Hyperlink"/>
                <w:rFonts w:ascii="Arial" w:hAnsi="Arial" w:cs="Arial"/>
                <w:noProof/>
              </w:rPr>
              <w:t>2.2 Size, Scope and Economic Importance</w:t>
            </w:r>
            <w:r>
              <w:rPr>
                <w:noProof/>
                <w:webHidden/>
              </w:rPr>
              <w:tab/>
            </w:r>
            <w:r>
              <w:rPr>
                <w:noProof/>
                <w:webHidden/>
              </w:rPr>
              <w:fldChar w:fldCharType="begin"/>
            </w:r>
            <w:r>
              <w:rPr>
                <w:noProof/>
                <w:webHidden/>
              </w:rPr>
              <w:instrText xml:space="preserve"> PAGEREF _Toc228168166 \h </w:instrText>
            </w:r>
            <w:r>
              <w:rPr>
                <w:noProof/>
                <w:webHidden/>
              </w:rPr>
            </w:r>
            <w:r>
              <w:rPr>
                <w:noProof/>
                <w:webHidden/>
              </w:rPr>
              <w:fldChar w:fldCharType="separate"/>
            </w:r>
            <w:r>
              <w:rPr>
                <w:noProof/>
                <w:webHidden/>
              </w:rPr>
              <w:t>4</w:t>
            </w:r>
            <w:r>
              <w:rPr>
                <w:noProof/>
                <w:webHidden/>
              </w:rPr>
              <w:fldChar w:fldCharType="end"/>
            </w:r>
          </w:hyperlink>
        </w:p>
        <w:p w14:paraId="0821BB19" w14:textId="21D3F0DA"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67" w:history="1">
            <w:r w:rsidRPr="00250E4D">
              <w:rPr>
                <w:rStyle w:val="Hyperlink"/>
                <w:rFonts w:ascii="Arial" w:hAnsi="Arial" w:cs="Arial"/>
                <w:noProof/>
              </w:rPr>
              <w:t>2.3 Major Domestic and Multinational Firms</w:t>
            </w:r>
            <w:r>
              <w:rPr>
                <w:noProof/>
                <w:webHidden/>
              </w:rPr>
              <w:tab/>
            </w:r>
            <w:r>
              <w:rPr>
                <w:noProof/>
                <w:webHidden/>
              </w:rPr>
              <w:fldChar w:fldCharType="begin"/>
            </w:r>
            <w:r>
              <w:rPr>
                <w:noProof/>
                <w:webHidden/>
              </w:rPr>
              <w:instrText xml:space="preserve"> PAGEREF _Toc228168167 \h </w:instrText>
            </w:r>
            <w:r>
              <w:rPr>
                <w:noProof/>
                <w:webHidden/>
              </w:rPr>
            </w:r>
            <w:r>
              <w:rPr>
                <w:noProof/>
                <w:webHidden/>
              </w:rPr>
              <w:fldChar w:fldCharType="separate"/>
            </w:r>
            <w:r>
              <w:rPr>
                <w:noProof/>
                <w:webHidden/>
              </w:rPr>
              <w:t>4</w:t>
            </w:r>
            <w:r>
              <w:rPr>
                <w:noProof/>
                <w:webHidden/>
              </w:rPr>
              <w:fldChar w:fldCharType="end"/>
            </w:r>
          </w:hyperlink>
        </w:p>
        <w:p w14:paraId="11135E57" w14:textId="17158D2E" w:rsidR="00210596" w:rsidRDefault="00210596">
          <w:pPr>
            <w:pStyle w:val="TOC1"/>
            <w:tabs>
              <w:tab w:val="right" w:leader="dot" w:pos="9016"/>
            </w:tabs>
            <w:rPr>
              <w:rFonts w:asciiTheme="minorHAnsi" w:eastAsiaTheme="minorEastAsia" w:hAnsiTheme="minorHAnsi" w:cstheme="minorBidi"/>
              <w:noProof/>
              <w:sz w:val="22"/>
              <w:szCs w:val="22"/>
            </w:rPr>
          </w:pPr>
          <w:hyperlink w:anchor="_Toc228168168" w:history="1">
            <w:r w:rsidRPr="00250E4D">
              <w:rPr>
                <w:rStyle w:val="Hyperlink"/>
                <w:rFonts w:ascii="Arial" w:hAnsi="Arial" w:cs="Arial"/>
                <w:noProof/>
              </w:rPr>
              <w:t>3. Porter's Diamond Model — Global Competitiveness of the Indian Pharmaceutical Industry</w:t>
            </w:r>
            <w:r>
              <w:rPr>
                <w:noProof/>
                <w:webHidden/>
              </w:rPr>
              <w:tab/>
            </w:r>
            <w:r>
              <w:rPr>
                <w:noProof/>
                <w:webHidden/>
              </w:rPr>
              <w:fldChar w:fldCharType="begin"/>
            </w:r>
            <w:r>
              <w:rPr>
                <w:noProof/>
                <w:webHidden/>
              </w:rPr>
              <w:instrText xml:space="preserve"> PAGEREF _Toc228168168 \h </w:instrText>
            </w:r>
            <w:r>
              <w:rPr>
                <w:noProof/>
                <w:webHidden/>
              </w:rPr>
            </w:r>
            <w:r>
              <w:rPr>
                <w:noProof/>
                <w:webHidden/>
              </w:rPr>
              <w:fldChar w:fldCharType="separate"/>
            </w:r>
            <w:r>
              <w:rPr>
                <w:noProof/>
                <w:webHidden/>
              </w:rPr>
              <w:t>6</w:t>
            </w:r>
            <w:r>
              <w:rPr>
                <w:noProof/>
                <w:webHidden/>
              </w:rPr>
              <w:fldChar w:fldCharType="end"/>
            </w:r>
          </w:hyperlink>
        </w:p>
        <w:p w14:paraId="2F16E22F" w14:textId="004AB9A2"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69" w:history="1">
            <w:r w:rsidRPr="00250E4D">
              <w:rPr>
                <w:rStyle w:val="Hyperlink"/>
                <w:rFonts w:ascii="Arial" w:hAnsi="Arial" w:cs="Arial"/>
                <w:noProof/>
              </w:rPr>
              <w:t>3.1 Factor Conditions</w:t>
            </w:r>
            <w:r>
              <w:rPr>
                <w:noProof/>
                <w:webHidden/>
              </w:rPr>
              <w:tab/>
            </w:r>
            <w:r>
              <w:rPr>
                <w:noProof/>
                <w:webHidden/>
              </w:rPr>
              <w:fldChar w:fldCharType="begin"/>
            </w:r>
            <w:r>
              <w:rPr>
                <w:noProof/>
                <w:webHidden/>
              </w:rPr>
              <w:instrText xml:space="preserve"> PAGEREF _Toc228168169 \h </w:instrText>
            </w:r>
            <w:r>
              <w:rPr>
                <w:noProof/>
                <w:webHidden/>
              </w:rPr>
            </w:r>
            <w:r>
              <w:rPr>
                <w:noProof/>
                <w:webHidden/>
              </w:rPr>
              <w:fldChar w:fldCharType="separate"/>
            </w:r>
            <w:r>
              <w:rPr>
                <w:noProof/>
                <w:webHidden/>
              </w:rPr>
              <w:t>6</w:t>
            </w:r>
            <w:r>
              <w:rPr>
                <w:noProof/>
                <w:webHidden/>
              </w:rPr>
              <w:fldChar w:fldCharType="end"/>
            </w:r>
          </w:hyperlink>
        </w:p>
        <w:p w14:paraId="1BEFEFDB" w14:textId="6B6DB6DF"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0" w:history="1">
            <w:r w:rsidRPr="00250E4D">
              <w:rPr>
                <w:rStyle w:val="Hyperlink"/>
                <w:rFonts w:ascii="Arial" w:hAnsi="Arial" w:cs="Arial"/>
                <w:noProof/>
              </w:rPr>
              <w:t>3.2 Demand Conditions</w:t>
            </w:r>
            <w:r>
              <w:rPr>
                <w:noProof/>
                <w:webHidden/>
              </w:rPr>
              <w:tab/>
            </w:r>
            <w:r>
              <w:rPr>
                <w:noProof/>
                <w:webHidden/>
              </w:rPr>
              <w:fldChar w:fldCharType="begin"/>
            </w:r>
            <w:r>
              <w:rPr>
                <w:noProof/>
                <w:webHidden/>
              </w:rPr>
              <w:instrText xml:space="preserve"> PAGEREF _Toc228168170 \h </w:instrText>
            </w:r>
            <w:r>
              <w:rPr>
                <w:noProof/>
                <w:webHidden/>
              </w:rPr>
            </w:r>
            <w:r>
              <w:rPr>
                <w:noProof/>
                <w:webHidden/>
              </w:rPr>
              <w:fldChar w:fldCharType="separate"/>
            </w:r>
            <w:r>
              <w:rPr>
                <w:noProof/>
                <w:webHidden/>
              </w:rPr>
              <w:t>7</w:t>
            </w:r>
            <w:r>
              <w:rPr>
                <w:noProof/>
                <w:webHidden/>
              </w:rPr>
              <w:fldChar w:fldCharType="end"/>
            </w:r>
          </w:hyperlink>
        </w:p>
        <w:p w14:paraId="5ED162AC" w14:textId="2CC42EF2"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1" w:history="1">
            <w:r w:rsidRPr="00250E4D">
              <w:rPr>
                <w:rStyle w:val="Hyperlink"/>
                <w:rFonts w:ascii="Arial" w:hAnsi="Arial" w:cs="Arial"/>
                <w:noProof/>
              </w:rPr>
              <w:t>3.3 Related and Supporting Industries</w:t>
            </w:r>
            <w:r>
              <w:rPr>
                <w:noProof/>
                <w:webHidden/>
              </w:rPr>
              <w:tab/>
            </w:r>
            <w:r>
              <w:rPr>
                <w:noProof/>
                <w:webHidden/>
              </w:rPr>
              <w:fldChar w:fldCharType="begin"/>
            </w:r>
            <w:r>
              <w:rPr>
                <w:noProof/>
                <w:webHidden/>
              </w:rPr>
              <w:instrText xml:space="preserve"> PAGEREF _Toc228168171 \h </w:instrText>
            </w:r>
            <w:r>
              <w:rPr>
                <w:noProof/>
                <w:webHidden/>
              </w:rPr>
            </w:r>
            <w:r>
              <w:rPr>
                <w:noProof/>
                <w:webHidden/>
              </w:rPr>
              <w:fldChar w:fldCharType="separate"/>
            </w:r>
            <w:r>
              <w:rPr>
                <w:noProof/>
                <w:webHidden/>
              </w:rPr>
              <w:t>7</w:t>
            </w:r>
            <w:r>
              <w:rPr>
                <w:noProof/>
                <w:webHidden/>
              </w:rPr>
              <w:fldChar w:fldCharType="end"/>
            </w:r>
          </w:hyperlink>
        </w:p>
        <w:p w14:paraId="21C35094" w14:textId="38C094DE"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2" w:history="1">
            <w:r w:rsidRPr="00250E4D">
              <w:rPr>
                <w:rStyle w:val="Hyperlink"/>
                <w:rFonts w:ascii="Arial" w:hAnsi="Arial" w:cs="Arial"/>
                <w:noProof/>
              </w:rPr>
              <w:t>3.4 Firm Strategy, Structure and Rivalry</w:t>
            </w:r>
            <w:r>
              <w:rPr>
                <w:noProof/>
                <w:webHidden/>
              </w:rPr>
              <w:tab/>
            </w:r>
            <w:r>
              <w:rPr>
                <w:noProof/>
                <w:webHidden/>
              </w:rPr>
              <w:fldChar w:fldCharType="begin"/>
            </w:r>
            <w:r>
              <w:rPr>
                <w:noProof/>
                <w:webHidden/>
              </w:rPr>
              <w:instrText xml:space="preserve"> PAGEREF _Toc228168172 \h </w:instrText>
            </w:r>
            <w:r>
              <w:rPr>
                <w:noProof/>
                <w:webHidden/>
              </w:rPr>
            </w:r>
            <w:r>
              <w:rPr>
                <w:noProof/>
                <w:webHidden/>
              </w:rPr>
              <w:fldChar w:fldCharType="separate"/>
            </w:r>
            <w:r>
              <w:rPr>
                <w:noProof/>
                <w:webHidden/>
              </w:rPr>
              <w:t>7</w:t>
            </w:r>
            <w:r>
              <w:rPr>
                <w:noProof/>
                <w:webHidden/>
              </w:rPr>
              <w:fldChar w:fldCharType="end"/>
            </w:r>
          </w:hyperlink>
        </w:p>
        <w:p w14:paraId="5CF70D6A" w14:textId="5931B2E9"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3" w:history="1">
            <w:r w:rsidRPr="00250E4D">
              <w:rPr>
                <w:rStyle w:val="Hyperlink"/>
                <w:rFonts w:ascii="Arial" w:hAnsi="Arial" w:cs="Arial"/>
                <w:noProof/>
              </w:rPr>
              <w:t>3.5 The Auxiliary Variables — Government and Chance</w:t>
            </w:r>
            <w:r>
              <w:rPr>
                <w:noProof/>
                <w:webHidden/>
              </w:rPr>
              <w:tab/>
            </w:r>
            <w:r>
              <w:rPr>
                <w:noProof/>
                <w:webHidden/>
              </w:rPr>
              <w:fldChar w:fldCharType="begin"/>
            </w:r>
            <w:r>
              <w:rPr>
                <w:noProof/>
                <w:webHidden/>
              </w:rPr>
              <w:instrText xml:space="preserve"> PAGEREF _Toc228168173 \h </w:instrText>
            </w:r>
            <w:r>
              <w:rPr>
                <w:noProof/>
                <w:webHidden/>
              </w:rPr>
            </w:r>
            <w:r>
              <w:rPr>
                <w:noProof/>
                <w:webHidden/>
              </w:rPr>
              <w:fldChar w:fldCharType="separate"/>
            </w:r>
            <w:r>
              <w:rPr>
                <w:noProof/>
                <w:webHidden/>
              </w:rPr>
              <w:t>8</w:t>
            </w:r>
            <w:r>
              <w:rPr>
                <w:noProof/>
                <w:webHidden/>
              </w:rPr>
              <w:fldChar w:fldCharType="end"/>
            </w:r>
          </w:hyperlink>
        </w:p>
        <w:p w14:paraId="0CCA7892" w14:textId="025CF4C3" w:rsidR="00210596" w:rsidRDefault="00210596">
          <w:pPr>
            <w:pStyle w:val="TOC1"/>
            <w:tabs>
              <w:tab w:val="right" w:leader="dot" w:pos="9016"/>
            </w:tabs>
            <w:rPr>
              <w:rFonts w:asciiTheme="minorHAnsi" w:eastAsiaTheme="minorEastAsia" w:hAnsiTheme="minorHAnsi" w:cstheme="minorBidi"/>
              <w:noProof/>
              <w:sz w:val="22"/>
              <w:szCs w:val="22"/>
            </w:rPr>
          </w:pPr>
          <w:hyperlink w:anchor="_Toc228168174" w:history="1">
            <w:r w:rsidRPr="00250E4D">
              <w:rPr>
                <w:rStyle w:val="Hyperlink"/>
                <w:rFonts w:ascii="Arial" w:hAnsi="Arial" w:cs="Arial"/>
                <w:noProof/>
              </w:rPr>
              <w:t>4. Pfizer Inc. in India — Market Attractiveness and Success Factors</w:t>
            </w:r>
            <w:r>
              <w:rPr>
                <w:noProof/>
                <w:webHidden/>
              </w:rPr>
              <w:tab/>
            </w:r>
            <w:r>
              <w:rPr>
                <w:noProof/>
                <w:webHidden/>
              </w:rPr>
              <w:fldChar w:fldCharType="begin"/>
            </w:r>
            <w:r>
              <w:rPr>
                <w:noProof/>
                <w:webHidden/>
              </w:rPr>
              <w:instrText xml:space="preserve"> PAGEREF _Toc228168174 \h </w:instrText>
            </w:r>
            <w:r>
              <w:rPr>
                <w:noProof/>
                <w:webHidden/>
              </w:rPr>
            </w:r>
            <w:r>
              <w:rPr>
                <w:noProof/>
                <w:webHidden/>
              </w:rPr>
              <w:fldChar w:fldCharType="separate"/>
            </w:r>
            <w:r>
              <w:rPr>
                <w:noProof/>
                <w:webHidden/>
              </w:rPr>
              <w:t>8</w:t>
            </w:r>
            <w:r>
              <w:rPr>
                <w:noProof/>
                <w:webHidden/>
              </w:rPr>
              <w:fldChar w:fldCharType="end"/>
            </w:r>
          </w:hyperlink>
        </w:p>
        <w:p w14:paraId="4E804371" w14:textId="0411BC3E"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5" w:history="1">
            <w:r w:rsidRPr="00250E4D">
              <w:rPr>
                <w:rStyle w:val="Hyperlink"/>
                <w:rFonts w:ascii="Arial" w:hAnsi="Arial" w:cs="Arial"/>
                <w:noProof/>
              </w:rPr>
              <w:t>4.1 Company Background</w:t>
            </w:r>
            <w:r>
              <w:rPr>
                <w:noProof/>
                <w:webHidden/>
              </w:rPr>
              <w:tab/>
            </w:r>
            <w:r>
              <w:rPr>
                <w:noProof/>
                <w:webHidden/>
              </w:rPr>
              <w:fldChar w:fldCharType="begin"/>
            </w:r>
            <w:r>
              <w:rPr>
                <w:noProof/>
                <w:webHidden/>
              </w:rPr>
              <w:instrText xml:space="preserve"> PAGEREF _Toc228168175 \h </w:instrText>
            </w:r>
            <w:r>
              <w:rPr>
                <w:noProof/>
                <w:webHidden/>
              </w:rPr>
            </w:r>
            <w:r>
              <w:rPr>
                <w:noProof/>
                <w:webHidden/>
              </w:rPr>
              <w:fldChar w:fldCharType="separate"/>
            </w:r>
            <w:r>
              <w:rPr>
                <w:noProof/>
                <w:webHidden/>
              </w:rPr>
              <w:t>8</w:t>
            </w:r>
            <w:r>
              <w:rPr>
                <w:noProof/>
                <w:webHidden/>
              </w:rPr>
              <w:fldChar w:fldCharType="end"/>
            </w:r>
          </w:hyperlink>
        </w:p>
        <w:p w14:paraId="29A82E0E" w14:textId="0809E98F"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6" w:history="1">
            <w:r w:rsidRPr="00250E4D">
              <w:rPr>
                <w:rStyle w:val="Hyperlink"/>
                <w:rFonts w:ascii="Arial" w:hAnsi="Arial" w:cs="Arial"/>
                <w:noProof/>
              </w:rPr>
              <w:t>4.2 Market Attractiveness — PESTEL Analysis</w:t>
            </w:r>
            <w:r>
              <w:rPr>
                <w:noProof/>
                <w:webHidden/>
              </w:rPr>
              <w:tab/>
            </w:r>
            <w:r>
              <w:rPr>
                <w:noProof/>
                <w:webHidden/>
              </w:rPr>
              <w:fldChar w:fldCharType="begin"/>
            </w:r>
            <w:r>
              <w:rPr>
                <w:noProof/>
                <w:webHidden/>
              </w:rPr>
              <w:instrText xml:space="preserve"> PAGEREF _Toc228168176 \h </w:instrText>
            </w:r>
            <w:r>
              <w:rPr>
                <w:noProof/>
                <w:webHidden/>
              </w:rPr>
            </w:r>
            <w:r>
              <w:rPr>
                <w:noProof/>
                <w:webHidden/>
              </w:rPr>
              <w:fldChar w:fldCharType="separate"/>
            </w:r>
            <w:r>
              <w:rPr>
                <w:noProof/>
                <w:webHidden/>
              </w:rPr>
              <w:t>9</w:t>
            </w:r>
            <w:r>
              <w:rPr>
                <w:noProof/>
                <w:webHidden/>
              </w:rPr>
              <w:fldChar w:fldCharType="end"/>
            </w:r>
          </w:hyperlink>
        </w:p>
        <w:p w14:paraId="33FB870F" w14:textId="4C49EBD9"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7" w:history="1">
            <w:r w:rsidRPr="00250E4D">
              <w:rPr>
                <w:rStyle w:val="Hyperlink"/>
                <w:rFonts w:ascii="Arial" w:hAnsi="Arial" w:cs="Arial"/>
                <w:noProof/>
              </w:rPr>
              <w:t>4.3 Cultural and Managerial Factors — Hofstede's Lens</w:t>
            </w:r>
            <w:r>
              <w:rPr>
                <w:noProof/>
                <w:webHidden/>
              </w:rPr>
              <w:tab/>
            </w:r>
            <w:r>
              <w:rPr>
                <w:noProof/>
                <w:webHidden/>
              </w:rPr>
              <w:fldChar w:fldCharType="begin"/>
            </w:r>
            <w:r>
              <w:rPr>
                <w:noProof/>
                <w:webHidden/>
              </w:rPr>
              <w:instrText xml:space="preserve"> PAGEREF _Toc228168177 \h </w:instrText>
            </w:r>
            <w:r>
              <w:rPr>
                <w:noProof/>
                <w:webHidden/>
              </w:rPr>
            </w:r>
            <w:r>
              <w:rPr>
                <w:noProof/>
                <w:webHidden/>
              </w:rPr>
              <w:fldChar w:fldCharType="separate"/>
            </w:r>
            <w:r>
              <w:rPr>
                <w:noProof/>
                <w:webHidden/>
              </w:rPr>
              <w:t>11</w:t>
            </w:r>
            <w:r>
              <w:rPr>
                <w:noProof/>
                <w:webHidden/>
              </w:rPr>
              <w:fldChar w:fldCharType="end"/>
            </w:r>
          </w:hyperlink>
        </w:p>
        <w:p w14:paraId="53791839" w14:textId="38AE6AA7"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8" w:history="1">
            <w:r w:rsidRPr="00250E4D">
              <w:rPr>
                <w:rStyle w:val="Hyperlink"/>
                <w:rFonts w:ascii="Arial" w:hAnsi="Arial" w:cs="Arial"/>
                <w:noProof/>
              </w:rPr>
              <w:t>4.4 Market Entry and Operational Model</w:t>
            </w:r>
            <w:r>
              <w:rPr>
                <w:noProof/>
                <w:webHidden/>
              </w:rPr>
              <w:tab/>
            </w:r>
            <w:r>
              <w:rPr>
                <w:noProof/>
                <w:webHidden/>
              </w:rPr>
              <w:fldChar w:fldCharType="begin"/>
            </w:r>
            <w:r>
              <w:rPr>
                <w:noProof/>
                <w:webHidden/>
              </w:rPr>
              <w:instrText xml:space="preserve"> PAGEREF _Toc228168178 \h </w:instrText>
            </w:r>
            <w:r>
              <w:rPr>
                <w:noProof/>
                <w:webHidden/>
              </w:rPr>
            </w:r>
            <w:r>
              <w:rPr>
                <w:noProof/>
                <w:webHidden/>
              </w:rPr>
              <w:fldChar w:fldCharType="separate"/>
            </w:r>
            <w:r>
              <w:rPr>
                <w:noProof/>
                <w:webHidden/>
              </w:rPr>
              <w:t>11</w:t>
            </w:r>
            <w:r>
              <w:rPr>
                <w:noProof/>
                <w:webHidden/>
              </w:rPr>
              <w:fldChar w:fldCharType="end"/>
            </w:r>
          </w:hyperlink>
        </w:p>
        <w:p w14:paraId="67A33160" w14:textId="3D58E3F9"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79" w:history="1">
            <w:r w:rsidRPr="00250E4D">
              <w:rPr>
                <w:rStyle w:val="Hyperlink"/>
                <w:rFonts w:ascii="Arial" w:hAnsi="Arial" w:cs="Arial"/>
                <w:noProof/>
              </w:rPr>
              <w:t>4.5 Critical Success Factors</w:t>
            </w:r>
            <w:r>
              <w:rPr>
                <w:noProof/>
                <w:webHidden/>
              </w:rPr>
              <w:tab/>
            </w:r>
            <w:r>
              <w:rPr>
                <w:noProof/>
                <w:webHidden/>
              </w:rPr>
              <w:fldChar w:fldCharType="begin"/>
            </w:r>
            <w:r>
              <w:rPr>
                <w:noProof/>
                <w:webHidden/>
              </w:rPr>
              <w:instrText xml:space="preserve"> PAGEREF _Toc228168179 \h </w:instrText>
            </w:r>
            <w:r>
              <w:rPr>
                <w:noProof/>
                <w:webHidden/>
              </w:rPr>
            </w:r>
            <w:r>
              <w:rPr>
                <w:noProof/>
                <w:webHidden/>
              </w:rPr>
              <w:fldChar w:fldCharType="separate"/>
            </w:r>
            <w:r>
              <w:rPr>
                <w:noProof/>
                <w:webHidden/>
              </w:rPr>
              <w:t>11</w:t>
            </w:r>
            <w:r>
              <w:rPr>
                <w:noProof/>
                <w:webHidden/>
              </w:rPr>
              <w:fldChar w:fldCharType="end"/>
            </w:r>
          </w:hyperlink>
        </w:p>
        <w:p w14:paraId="7AAA1493" w14:textId="4F46957D" w:rsidR="00210596" w:rsidRDefault="00210596">
          <w:pPr>
            <w:pStyle w:val="TOC2"/>
            <w:tabs>
              <w:tab w:val="right" w:leader="dot" w:pos="9016"/>
            </w:tabs>
            <w:rPr>
              <w:rFonts w:asciiTheme="minorHAnsi" w:eastAsiaTheme="minorEastAsia" w:hAnsiTheme="minorHAnsi" w:cstheme="minorBidi"/>
              <w:noProof/>
              <w:sz w:val="22"/>
              <w:szCs w:val="22"/>
            </w:rPr>
          </w:pPr>
          <w:hyperlink w:anchor="_Toc228168180" w:history="1">
            <w:r w:rsidRPr="00250E4D">
              <w:rPr>
                <w:rStyle w:val="Hyperlink"/>
                <w:rFonts w:ascii="Arial" w:hAnsi="Arial" w:cs="Arial"/>
                <w:noProof/>
              </w:rPr>
              <w:t>4.6 Challenges and Risks</w:t>
            </w:r>
            <w:r>
              <w:rPr>
                <w:noProof/>
                <w:webHidden/>
              </w:rPr>
              <w:tab/>
            </w:r>
            <w:r>
              <w:rPr>
                <w:noProof/>
                <w:webHidden/>
              </w:rPr>
              <w:fldChar w:fldCharType="begin"/>
            </w:r>
            <w:r>
              <w:rPr>
                <w:noProof/>
                <w:webHidden/>
              </w:rPr>
              <w:instrText xml:space="preserve"> PAGEREF _Toc228168180 \h </w:instrText>
            </w:r>
            <w:r>
              <w:rPr>
                <w:noProof/>
                <w:webHidden/>
              </w:rPr>
            </w:r>
            <w:r>
              <w:rPr>
                <w:noProof/>
                <w:webHidden/>
              </w:rPr>
              <w:fldChar w:fldCharType="separate"/>
            </w:r>
            <w:r>
              <w:rPr>
                <w:noProof/>
                <w:webHidden/>
              </w:rPr>
              <w:t>12</w:t>
            </w:r>
            <w:r>
              <w:rPr>
                <w:noProof/>
                <w:webHidden/>
              </w:rPr>
              <w:fldChar w:fldCharType="end"/>
            </w:r>
          </w:hyperlink>
        </w:p>
        <w:p w14:paraId="69E45066" w14:textId="0984B7CE" w:rsidR="00210596" w:rsidRDefault="00210596">
          <w:pPr>
            <w:pStyle w:val="TOC1"/>
            <w:tabs>
              <w:tab w:val="right" w:leader="dot" w:pos="9016"/>
            </w:tabs>
            <w:rPr>
              <w:rFonts w:asciiTheme="minorHAnsi" w:eastAsiaTheme="minorEastAsia" w:hAnsiTheme="minorHAnsi" w:cstheme="minorBidi"/>
              <w:noProof/>
              <w:sz w:val="22"/>
              <w:szCs w:val="22"/>
            </w:rPr>
          </w:pPr>
          <w:hyperlink w:anchor="_Toc228168181" w:history="1">
            <w:r w:rsidRPr="00250E4D">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_Toc228168181 \h </w:instrText>
            </w:r>
            <w:r>
              <w:rPr>
                <w:noProof/>
                <w:webHidden/>
              </w:rPr>
            </w:r>
            <w:r>
              <w:rPr>
                <w:noProof/>
                <w:webHidden/>
              </w:rPr>
              <w:fldChar w:fldCharType="separate"/>
            </w:r>
            <w:r>
              <w:rPr>
                <w:noProof/>
                <w:webHidden/>
              </w:rPr>
              <w:t>13</w:t>
            </w:r>
            <w:r>
              <w:rPr>
                <w:noProof/>
                <w:webHidden/>
              </w:rPr>
              <w:fldChar w:fldCharType="end"/>
            </w:r>
          </w:hyperlink>
        </w:p>
        <w:p w14:paraId="76ED42C7" w14:textId="6D5A004D" w:rsidR="00210596" w:rsidRDefault="00210596">
          <w:pPr>
            <w:pStyle w:val="TOC1"/>
            <w:tabs>
              <w:tab w:val="right" w:leader="dot" w:pos="9016"/>
            </w:tabs>
            <w:rPr>
              <w:rFonts w:asciiTheme="minorHAnsi" w:eastAsiaTheme="minorEastAsia" w:hAnsiTheme="minorHAnsi" w:cstheme="minorBidi"/>
              <w:noProof/>
              <w:sz w:val="22"/>
              <w:szCs w:val="22"/>
            </w:rPr>
          </w:pPr>
          <w:hyperlink w:anchor="_Toc228168182" w:history="1">
            <w:r w:rsidRPr="00250E4D">
              <w:rPr>
                <w:rStyle w:val="Hyperlink"/>
                <w:rFonts w:ascii="Arial" w:hAnsi="Arial" w:cs="Arial"/>
                <w:noProof/>
              </w:rPr>
              <w:t>Section 2: Reflective Account — Gibbs' Reflective Cycle</w:t>
            </w:r>
            <w:r>
              <w:rPr>
                <w:noProof/>
                <w:webHidden/>
              </w:rPr>
              <w:tab/>
            </w:r>
            <w:r>
              <w:rPr>
                <w:noProof/>
                <w:webHidden/>
              </w:rPr>
              <w:fldChar w:fldCharType="begin"/>
            </w:r>
            <w:r>
              <w:rPr>
                <w:noProof/>
                <w:webHidden/>
              </w:rPr>
              <w:instrText xml:space="preserve"> PAGEREF _Toc228168182 \h </w:instrText>
            </w:r>
            <w:r>
              <w:rPr>
                <w:noProof/>
                <w:webHidden/>
              </w:rPr>
            </w:r>
            <w:r>
              <w:rPr>
                <w:noProof/>
                <w:webHidden/>
              </w:rPr>
              <w:fldChar w:fldCharType="separate"/>
            </w:r>
            <w:r>
              <w:rPr>
                <w:noProof/>
                <w:webHidden/>
              </w:rPr>
              <w:t>14</w:t>
            </w:r>
            <w:r>
              <w:rPr>
                <w:noProof/>
                <w:webHidden/>
              </w:rPr>
              <w:fldChar w:fldCharType="end"/>
            </w:r>
          </w:hyperlink>
        </w:p>
        <w:p w14:paraId="0727B173" w14:textId="20A612BD" w:rsidR="00210596" w:rsidRDefault="00210596">
          <w:pPr>
            <w:pStyle w:val="TOC3"/>
            <w:tabs>
              <w:tab w:val="right" w:leader="dot" w:pos="9016"/>
            </w:tabs>
            <w:rPr>
              <w:rFonts w:asciiTheme="minorHAnsi" w:eastAsiaTheme="minorEastAsia" w:hAnsiTheme="minorHAnsi" w:cstheme="minorBidi"/>
              <w:noProof/>
              <w:sz w:val="22"/>
              <w:szCs w:val="22"/>
            </w:rPr>
          </w:pPr>
          <w:hyperlink w:anchor="_Toc228168183" w:history="1">
            <w:r w:rsidRPr="00250E4D">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_Toc228168183 \h </w:instrText>
            </w:r>
            <w:r>
              <w:rPr>
                <w:noProof/>
                <w:webHidden/>
              </w:rPr>
            </w:r>
            <w:r>
              <w:rPr>
                <w:noProof/>
                <w:webHidden/>
              </w:rPr>
              <w:fldChar w:fldCharType="separate"/>
            </w:r>
            <w:r>
              <w:rPr>
                <w:noProof/>
                <w:webHidden/>
              </w:rPr>
              <w:t>14</w:t>
            </w:r>
            <w:r>
              <w:rPr>
                <w:noProof/>
                <w:webHidden/>
              </w:rPr>
              <w:fldChar w:fldCharType="end"/>
            </w:r>
          </w:hyperlink>
        </w:p>
        <w:p w14:paraId="18CF44A6" w14:textId="345DA2D7" w:rsidR="00210596" w:rsidRDefault="00210596">
          <w:pPr>
            <w:pStyle w:val="TOC3"/>
            <w:tabs>
              <w:tab w:val="right" w:leader="dot" w:pos="9016"/>
            </w:tabs>
            <w:rPr>
              <w:rFonts w:asciiTheme="minorHAnsi" w:eastAsiaTheme="minorEastAsia" w:hAnsiTheme="minorHAnsi" w:cstheme="minorBidi"/>
              <w:noProof/>
              <w:sz w:val="22"/>
              <w:szCs w:val="22"/>
            </w:rPr>
          </w:pPr>
          <w:hyperlink w:anchor="_Toc228168184" w:history="1">
            <w:r w:rsidRPr="00250E4D">
              <w:rPr>
                <w:rStyle w:val="Hyperlink"/>
                <w:rFonts w:ascii="Arial" w:hAnsi="Arial" w:cs="Arial"/>
                <w:noProof/>
              </w:rPr>
              <w:t>Feelings</w:t>
            </w:r>
            <w:r>
              <w:rPr>
                <w:noProof/>
                <w:webHidden/>
              </w:rPr>
              <w:tab/>
            </w:r>
            <w:r>
              <w:rPr>
                <w:noProof/>
                <w:webHidden/>
              </w:rPr>
              <w:fldChar w:fldCharType="begin"/>
            </w:r>
            <w:r>
              <w:rPr>
                <w:noProof/>
                <w:webHidden/>
              </w:rPr>
              <w:instrText xml:space="preserve"> PAGEREF _Toc228168184 \h </w:instrText>
            </w:r>
            <w:r>
              <w:rPr>
                <w:noProof/>
                <w:webHidden/>
              </w:rPr>
            </w:r>
            <w:r>
              <w:rPr>
                <w:noProof/>
                <w:webHidden/>
              </w:rPr>
              <w:fldChar w:fldCharType="separate"/>
            </w:r>
            <w:r>
              <w:rPr>
                <w:noProof/>
                <w:webHidden/>
              </w:rPr>
              <w:t>14</w:t>
            </w:r>
            <w:r>
              <w:rPr>
                <w:noProof/>
                <w:webHidden/>
              </w:rPr>
              <w:fldChar w:fldCharType="end"/>
            </w:r>
          </w:hyperlink>
        </w:p>
        <w:p w14:paraId="62894CCD" w14:textId="42910012" w:rsidR="00210596" w:rsidRDefault="00210596">
          <w:pPr>
            <w:pStyle w:val="TOC3"/>
            <w:tabs>
              <w:tab w:val="right" w:leader="dot" w:pos="9016"/>
            </w:tabs>
            <w:rPr>
              <w:rFonts w:asciiTheme="minorHAnsi" w:eastAsiaTheme="minorEastAsia" w:hAnsiTheme="minorHAnsi" w:cstheme="minorBidi"/>
              <w:noProof/>
              <w:sz w:val="22"/>
              <w:szCs w:val="22"/>
            </w:rPr>
          </w:pPr>
          <w:hyperlink w:anchor="_Toc228168185" w:history="1">
            <w:r w:rsidRPr="00250E4D">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_Toc228168185 \h </w:instrText>
            </w:r>
            <w:r>
              <w:rPr>
                <w:noProof/>
                <w:webHidden/>
              </w:rPr>
            </w:r>
            <w:r>
              <w:rPr>
                <w:noProof/>
                <w:webHidden/>
              </w:rPr>
              <w:fldChar w:fldCharType="separate"/>
            </w:r>
            <w:r>
              <w:rPr>
                <w:noProof/>
                <w:webHidden/>
              </w:rPr>
              <w:t>14</w:t>
            </w:r>
            <w:r>
              <w:rPr>
                <w:noProof/>
                <w:webHidden/>
              </w:rPr>
              <w:fldChar w:fldCharType="end"/>
            </w:r>
          </w:hyperlink>
        </w:p>
        <w:p w14:paraId="48542CAA" w14:textId="44A8E8AA" w:rsidR="00210596" w:rsidRDefault="00210596">
          <w:pPr>
            <w:pStyle w:val="TOC3"/>
            <w:tabs>
              <w:tab w:val="right" w:leader="dot" w:pos="9016"/>
            </w:tabs>
            <w:rPr>
              <w:rFonts w:asciiTheme="minorHAnsi" w:eastAsiaTheme="minorEastAsia" w:hAnsiTheme="minorHAnsi" w:cstheme="minorBidi"/>
              <w:noProof/>
              <w:sz w:val="22"/>
              <w:szCs w:val="22"/>
            </w:rPr>
          </w:pPr>
          <w:hyperlink w:anchor="_Toc228168186" w:history="1">
            <w:r w:rsidRPr="00250E4D">
              <w:rPr>
                <w:rStyle w:val="Hyperlink"/>
                <w:rFonts w:ascii="Arial" w:hAnsi="Arial" w:cs="Arial"/>
                <w:noProof/>
              </w:rPr>
              <w:t>Analysis</w:t>
            </w:r>
            <w:r>
              <w:rPr>
                <w:noProof/>
                <w:webHidden/>
              </w:rPr>
              <w:tab/>
            </w:r>
            <w:r>
              <w:rPr>
                <w:noProof/>
                <w:webHidden/>
              </w:rPr>
              <w:fldChar w:fldCharType="begin"/>
            </w:r>
            <w:r>
              <w:rPr>
                <w:noProof/>
                <w:webHidden/>
              </w:rPr>
              <w:instrText xml:space="preserve"> PAGEREF _Toc228168186 \h </w:instrText>
            </w:r>
            <w:r>
              <w:rPr>
                <w:noProof/>
                <w:webHidden/>
              </w:rPr>
            </w:r>
            <w:r>
              <w:rPr>
                <w:noProof/>
                <w:webHidden/>
              </w:rPr>
              <w:fldChar w:fldCharType="separate"/>
            </w:r>
            <w:r>
              <w:rPr>
                <w:noProof/>
                <w:webHidden/>
              </w:rPr>
              <w:t>15</w:t>
            </w:r>
            <w:r>
              <w:rPr>
                <w:noProof/>
                <w:webHidden/>
              </w:rPr>
              <w:fldChar w:fldCharType="end"/>
            </w:r>
          </w:hyperlink>
        </w:p>
        <w:p w14:paraId="60424794" w14:textId="3513CB66" w:rsidR="00210596" w:rsidRDefault="00210596">
          <w:pPr>
            <w:pStyle w:val="TOC3"/>
            <w:tabs>
              <w:tab w:val="right" w:leader="dot" w:pos="9016"/>
            </w:tabs>
            <w:rPr>
              <w:rFonts w:asciiTheme="minorHAnsi" w:eastAsiaTheme="minorEastAsia" w:hAnsiTheme="minorHAnsi" w:cstheme="minorBidi"/>
              <w:noProof/>
              <w:sz w:val="22"/>
              <w:szCs w:val="22"/>
            </w:rPr>
          </w:pPr>
          <w:hyperlink w:anchor="_Toc228168187" w:history="1">
            <w:r w:rsidRPr="00250E4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_Toc228168187 \h </w:instrText>
            </w:r>
            <w:r>
              <w:rPr>
                <w:noProof/>
                <w:webHidden/>
              </w:rPr>
            </w:r>
            <w:r>
              <w:rPr>
                <w:noProof/>
                <w:webHidden/>
              </w:rPr>
              <w:fldChar w:fldCharType="separate"/>
            </w:r>
            <w:r>
              <w:rPr>
                <w:noProof/>
                <w:webHidden/>
              </w:rPr>
              <w:t>15</w:t>
            </w:r>
            <w:r>
              <w:rPr>
                <w:noProof/>
                <w:webHidden/>
              </w:rPr>
              <w:fldChar w:fldCharType="end"/>
            </w:r>
          </w:hyperlink>
        </w:p>
        <w:p w14:paraId="69C0E017" w14:textId="59F4DC6C" w:rsidR="00210596" w:rsidRDefault="00210596">
          <w:pPr>
            <w:pStyle w:val="TOC3"/>
            <w:tabs>
              <w:tab w:val="right" w:leader="dot" w:pos="9016"/>
            </w:tabs>
            <w:rPr>
              <w:rFonts w:asciiTheme="minorHAnsi" w:eastAsiaTheme="minorEastAsia" w:hAnsiTheme="minorHAnsi" w:cstheme="minorBidi"/>
              <w:noProof/>
              <w:sz w:val="22"/>
              <w:szCs w:val="22"/>
            </w:rPr>
          </w:pPr>
          <w:hyperlink w:anchor="_Toc228168188" w:history="1">
            <w:r w:rsidRPr="00250E4D">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_Toc228168188 \h </w:instrText>
            </w:r>
            <w:r>
              <w:rPr>
                <w:noProof/>
                <w:webHidden/>
              </w:rPr>
            </w:r>
            <w:r>
              <w:rPr>
                <w:noProof/>
                <w:webHidden/>
              </w:rPr>
              <w:fldChar w:fldCharType="separate"/>
            </w:r>
            <w:r>
              <w:rPr>
                <w:noProof/>
                <w:webHidden/>
              </w:rPr>
              <w:t>16</w:t>
            </w:r>
            <w:r>
              <w:rPr>
                <w:noProof/>
                <w:webHidden/>
              </w:rPr>
              <w:fldChar w:fldCharType="end"/>
            </w:r>
          </w:hyperlink>
        </w:p>
        <w:p w14:paraId="2761BEB4" w14:textId="3F84FFBD" w:rsidR="00210596" w:rsidRDefault="00210596">
          <w:pPr>
            <w:pStyle w:val="TOC1"/>
            <w:tabs>
              <w:tab w:val="right" w:leader="dot" w:pos="9016"/>
            </w:tabs>
            <w:rPr>
              <w:rFonts w:asciiTheme="minorHAnsi" w:eastAsiaTheme="minorEastAsia" w:hAnsiTheme="minorHAnsi" w:cstheme="minorBidi"/>
              <w:noProof/>
              <w:sz w:val="22"/>
              <w:szCs w:val="22"/>
            </w:rPr>
          </w:pPr>
          <w:hyperlink w:anchor="_Toc228168189" w:history="1">
            <w:r w:rsidRPr="00250E4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_Toc228168189 \h </w:instrText>
            </w:r>
            <w:r>
              <w:rPr>
                <w:noProof/>
                <w:webHidden/>
              </w:rPr>
            </w:r>
            <w:r>
              <w:rPr>
                <w:noProof/>
                <w:webHidden/>
              </w:rPr>
              <w:fldChar w:fldCharType="separate"/>
            </w:r>
            <w:r>
              <w:rPr>
                <w:noProof/>
                <w:webHidden/>
              </w:rPr>
              <w:t>17</w:t>
            </w:r>
            <w:r>
              <w:rPr>
                <w:noProof/>
                <w:webHidden/>
              </w:rPr>
              <w:fldChar w:fldCharType="end"/>
            </w:r>
          </w:hyperlink>
        </w:p>
        <w:p w14:paraId="11ACAC1C" w14:textId="6BDDCBE4" w:rsidR="00E93419" w:rsidRPr="00E93419" w:rsidRDefault="00E93419" w:rsidP="00E93419">
          <w:pPr>
            <w:spacing w:line="360" w:lineRule="auto"/>
            <w:rPr>
              <w:rFonts w:ascii="Arial" w:hAnsi="Arial" w:cs="Arial"/>
              <w:sz w:val="22"/>
              <w:szCs w:val="22"/>
            </w:rPr>
          </w:pPr>
          <w:r w:rsidRPr="00E93419">
            <w:rPr>
              <w:rFonts w:ascii="Arial" w:hAnsi="Arial" w:cs="Arial"/>
              <w:b/>
              <w:bCs/>
              <w:noProof/>
              <w:sz w:val="22"/>
              <w:szCs w:val="22"/>
            </w:rPr>
            <w:fldChar w:fldCharType="end"/>
          </w:r>
        </w:p>
      </w:sdtContent>
    </w:sdt>
    <w:p w14:paraId="1531051B"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br w:type="page"/>
      </w:r>
    </w:p>
    <w:p w14:paraId="149D89B2" w14:textId="28C6D2C5" w:rsidR="00624145" w:rsidRPr="00E93419" w:rsidRDefault="00C0433A" w:rsidP="00E93419">
      <w:pPr>
        <w:pStyle w:val="Heading1"/>
        <w:spacing w:before="0" w:after="0" w:line="360" w:lineRule="auto"/>
        <w:rPr>
          <w:rFonts w:ascii="Arial" w:hAnsi="Arial" w:cs="Arial"/>
          <w:color w:val="auto"/>
          <w:sz w:val="22"/>
          <w:szCs w:val="22"/>
        </w:rPr>
      </w:pPr>
      <w:bookmarkStart w:id="0" w:name="_Toc228168163"/>
      <w:r w:rsidRPr="00E93419">
        <w:rPr>
          <w:rFonts w:ascii="Arial" w:hAnsi="Arial" w:cs="Arial"/>
          <w:color w:val="auto"/>
          <w:sz w:val="22"/>
          <w:szCs w:val="22"/>
        </w:rPr>
        <w:lastRenderedPageBreak/>
        <w:t>1. Introduction</w:t>
      </w:r>
      <w:bookmarkEnd w:id="0"/>
      <w:r w:rsidRPr="00E93419">
        <w:rPr>
          <w:rFonts w:ascii="Arial" w:hAnsi="Arial" w:cs="Arial"/>
          <w:color w:val="auto"/>
          <w:sz w:val="22"/>
          <w:szCs w:val="22"/>
        </w:rPr>
        <w:t xml:space="preserve"> </w:t>
      </w:r>
    </w:p>
    <w:p w14:paraId="7AB81D9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This report examines the competitiveness of the pharmaceutical industry in India and critically evaluates the operations of Pfizer Inc. — an American multinational corporation — within that country-industry pair. India has emerged as the "pharmacy of the world", producing approximately 20% of global generic medicine supply, supplying 55–60% of UNICEF's vaccines, and meeting 99% of the World Health Organization's demand for DPT vaccines (Indian Brand Equity Foundation [IBEF], 2025; Press Information Bureau [PIB], 2026). The Indian Pharmaceutical Market was valued at US$55 billion in 2025 and is projected to reach US$120–130 billion by 2030 (Bain and Co. cited in IBEF, 2025).</w:t>
      </w:r>
    </w:p>
    <w:p w14:paraId="045354D1" w14:textId="4582D22A"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Pfizer Inc., the US-headquartered biopharmaceutical giant, has operated in India since 1950 and is today the third-largest multinational pharmaceutical company by market share (Screener, 2026). The report applies Porter's Diamond Model of National Advantage, PESTEL, and Hofstede's cultural dimensions to analyse the industry's global competitiveness and Pfizer's strategic position, closing with recommendations and a reflective account using Gibbs' (1988) cycle.</w:t>
      </w:r>
    </w:p>
    <w:p w14:paraId="46C57D7C" w14:textId="77777777" w:rsidR="00F401BC" w:rsidRPr="00E93419" w:rsidRDefault="00F401BC" w:rsidP="00E93419">
      <w:pPr>
        <w:spacing w:line="360" w:lineRule="auto"/>
        <w:jc w:val="both"/>
        <w:rPr>
          <w:rFonts w:ascii="Arial" w:hAnsi="Arial" w:cs="Arial"/>
          <w:sz w:val="22"/>
          <w:szCs w:val="22"/>
        </w:rPr>
      </w:pPr>
    </w:p>
    <w:p w14:paraId="0BE98343" w14:textId="6E90A1C3" w:rsidR="00624145" w:rsidRPr="00E93419" w:rsidRDefault="00C0433A" w:rsidP="00E93419">
      <w:pPr>
        <w:pStyle w:val="Heading1"/>
        <w:spacing w:before="0" w:after="0" w:line="360" w:lineRule="auto"/>
        <w:rPr>
          <w:rFonts w:ascii="Arial" w:hAnsi="Arial" w:cs="Arial"/>
          <w:color w:val="auto"/>
          <w:sz w:val="22"/>
          <w:szCs w:val="22"/>
        </w:rPr>
      </w:pPr>
      <w:bookmarkStart w:id="1" w:name="_Toc228168164"/>
      <w:r w:rsidRPr="00E93419">
        <w:rPr>
          <w:rFonts w:ascii="Arial" w:hAnsi="Arial" w:cs="Arial"/>
          <w:color w:val="auto"/>
          <w:sz w:val="22"/>
          <w:szCs w:val="22"/>
        </w:rPr>
        <w:t>2. Industry and Country Overview</w:t>
      </w:r>
      <w:bookmarkEnd w:id="1"/>
      <w:r w:rsidRPr="00E93419">
        <w:rPr>
          <w:rFonts w:ascii="Arial" w:hAnsi="Arial" w:cs="Arial"/>
          <w:color w:val="auto"/>
          <w:sz w:val="22"/>
          <w:szCs w:val="22"/>
        </w:rPr>
        <w:t xml:space="preserve"> </w:t>
      </w:r>
    </w:p>
    <w:p w14:paraId="185D50B3" w14:textId="77777777" w:rsidR="00624145" w:rsidRPr="00E93419" w:rsidRDefault="00C0433A" w:rsidP="00E93419">
      <w:pPr>
        <w:pStyle w:val="Heading2"/>
        <w:spacing w:before="0" w:after="0" w:line="360" w:lineRule="auto"/>
        <w:rPr>
          <w:rFonts w:ascii="Arial" w:hAnsi="Arial" w:cs="Arial"/>
          <w:color w:val="auto"/>
          <w:sz w:val="22"/>
          <w:szCs w:val="22"/>
        </w:rPr>
      </w:pPr>
      <w:bookmarkStart w:id="2" w:name="_Toc228168165"/>
      <w:r w:rsidRPr="00E93419">
        <w:rPr>
          <w:rFonts w:ascii="Arial" w:hAnsi="Arial" w:cs="Arial"/>
          <w:color w:val="auto"/>
          <w:sz w:val="22"/>
          <w:szCs w:val="22"/>
        </w:rPr>
        <w:t>2.1 India and the Pharmaceutical Industry in Context</w:t>
      </w:r>
      <w:bookmarkEnd w:id="2"/>
    </w:p>
    <w:p w14:paraId="4EED8EB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 is the world's fifth-largest economy by nominal GDP, with a population exceeding 1.43 billion, and has been among the fastest-growing large economies over the past decade. Its demographic dividend — approximately 65% of the population is under 35 — combined with rising per-capita incomes, accelerating urbanisation, and expanding health insurance coverage, has created one of the most dynamic pharmaceutical consumer markets in the world. The Economic Survey 2025–26 reports that the sector's annual turnover reached ₹4.72 lakh crore (US$55 billion) in FY25, with exports of US$30.5 billion — a nearly sixteen-fold increase since 2000–01 (PIB, 2026).</w:t>
      </w:r>
    </w:p>
    <w:p w14:paraId="0A88B1FD" w14:textId="2DAB1605"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The pharmaceutical industry occupies a uniquely important position in the Indian economy. It is the fifth-largest contributor to manufacturing Gross Value Added (GVA), accounts for approximately 4% of India's Foreign Direct Investment inflows, generates a trade surplus of about US$19 billion, and supports around 2.7 million direct and indirect livelihoods (IBEF, 2025). Its geopolitical importance was dramatically demonstrated during the COVID-19 pandemic, when Indian manufacturers supplied generic antiretrovirals, anti-</w:t>
      </w:r>
      <w:proofErr w:type="spellStart"/>
      <w:r w:rsidRPr="00E93419">
        <w:rPr>
          <w:rFonts w:ascii="Arial" w:hAnsi="Arial" w:cs="Arial"/>
          <w:sz w:val="22"/>
          <w:szCs w:val="22"/>
        </w:rPr>
        <w:t>malarials</w:t>
      </w:r>
      <w:proofErr w:type="spellEnd"/>
      <w:r w:rsidRPr="00E93419">
        <w:rPr>
          <w:rFonts w:ascii="Arial" w:hAnsi="Arial" w:cs="Arial"/>
          <w:sz w:val="22"/>
          <w:szCs w:val="22"/>
        </w:rPr>
        <w:t xml:space="preserve">, paracetamol, and large volumes of the Oxford-AstraZeneca and </w:t>
      </w:r>
      <w:proofErr w:type="spellStart"/>
      <w:r w:rsidRPr="00E93419">
        <w:rPr>
          <w:rFonts w:ascii="Arial" w:hAnsi="Arial" w:cs="Arial"/>
          <w:sz w:val="22"/>
          <w:szCs w:val="22"/>
        </w:rPr>
        <w:t>Covaxin</w:t>
      </w:r>
      <w:proofErr w:type="spellEnd"/>
      <w:r w:rsidRPr="00E93419">
        <w:rPr>
          <w:rFonts w:ascii="Arial" w:hAnsi="Arial" w:cs="Arial"/>
          <w:sz w:val="22"/>
          <w:szCs w:val="22"/>
        </w:rPr>
        <w:t xml:space="preserve"> vaccines to over 100 countries, reinforcing India's "vaccine </w:t>
      </w:r>
      <w:proofErr w:type="spellStart"/>
      <w:r w:rsidRPr="00E93419">
        <w:rPr>
          <w:rFonts w:ascii="Arial" w:hAnsi="Arial" w:cs="Arial"/>
          <w:sz w:val="22"/>
          <w:szCs w:val="22"/>
        </w:rPr>
        <w:t>maitri</w:t>
      </w:r>
      <w:proofErr w:type="spellEnd"/>
      <w:r w:rsidRPr="00E93419">
        <w:rPr>
          <w:rFonts w:ascii="Arial" w:hAnsi="Arial" w:cs="Arial"/>
          <w:sz w:val="22"/>
          <w:szCs w:val="22"/>
        </w:rPr>
        <w:t>" diplomacy.</w:t>
      </w:r>
    </w:p>
    <w:p w14:paraId="177897F5" w14:textId="6EACB2B1" w:rsidR="00F401BC" w:rsidRDefault="00F401BC" w:rsidP="00E93419">
      <w:pPr>
        <w:spacing w:line="360" w:lineRule="auto"/>
        <w:jc w:val="both"/>
        <w:rPr>
          <w:rFonts w:ascii="Arial" w:hAnsi="Arial" w:cs="Arial"/>
          <w:sz w:val="22"/>
          <w:szCs w:val="22"/>
        </w:rPr>
      </w:pPr>
    </w:p>
    <w:p w14:paraId="72501454" w14:textId="542973A4" w:rsidR="00F401BC" w:rsidRDefault="00F401BC" w:rsidP="00E93419">
      <w:pPr>
        <w:spacing w:line="360" w:lineRule="auto"/>
        <w:jc w:val="both"/>
        <w:rPr>
          <w:rFonts w:ascii="Arial" w:hAnsi="Arial" w:cs="Arial"/>
          <w:sz w:val="22"/>
          <w:szCs w:val="22"/>
        </w:rPr>
      </w:pPr>
    </w:p>
    <w:p w14:paraId="5546365D" w14:textId="77777777" w:rsidR="00F401BC" w:rsidRPr="00E93419" w:rsidRDefault="00F401BC" w:rsidP="00E93419">
      <w:pPr>
        <w:spacing w:line="360" w:lineRule="auto"/>
        <w:jc w:val="both"/>
        <w:rPr>
          <w:rFonts w:ascii="Arial" w:hAnsi="Arial" w:cs="Arial"/>
          <w:sz w:val="22"/>
          <w:szCs w:val="22"/>
        </w:rPr>
      </w:pPr>
    </w:p>
    <w:p w14:paraId="3920F088" w14:textId="77777777" w:rsidR="00624145" w:rsidRPr="00E93419" w:rsidRDefault="00C0433A" w:rsidP="00E93419">
      <w:pPr>
        <w:pStyle w:val="Heading2"/>
        <w:spacing w:before="0" w:after="0" w:line="360" w:lineRule="auto"/>
        <w:rPr>
          <w:rFonts w:ascii="Arial" w:hAnsi="Arial" w:cs="Arial"/>
          <w:color w:val="auto"/>
          <w:sz w:val="22"/>
          <w:szCs w:val="22"/>
        </w:rPr>
      </w:pPr>
      <w:bookmarkStart w:id="3" w:name="_Toc228168166"/>
      <w:r w:rsidRPr="00E93419">
        <w:rPr>
          <w:rFonts w:ascii="Arial" w:hAnsi="Arial" w:cs="Arial"/>
          <w:color w:val="auto"/>
          <w:sz w:val="22"/>
          <w:szCs w:val="22"/>
        </w:rPr>
        <w:lastRenderedPageBreak/>
        <w:t>2.2 Size, Scope and Economic Importance</w:t>
      </w:r>
      <w:bookmarkEnd w:id="3"/>
    </w:p>
    <w:p w14:paraId="3FB85F08"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Indian Pharmaceutical Market (IPM) is the third-largest in the world by volume and ranks approximately eleventh by value (PIB, 2026). According to Mordor Intelligence (2026), the domestic market is projected to grow from US$57.6 billion in 2025 to US$79.7 billion by 2031 at a compound annual growth rate (CAGR) of approximately 5.74%. Fortune Business Insights (2025) offers a higher estimate — US$72.2 billion in 2025 to US$145 billion by 2032 — reflecting the segment definition used. Most analysts agree the 2030 target of US$130 billion is plausible.</w:t>
      </w:r>
    </w:p>
    <w:p w14:paraId="1F2296A4"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sector is structurally dominated by generics, which account for roughly 97% of domestic sales by value; innovator or patented drugs represent only around 3% (The Grey Swan, 2025). Within generics, branded generics dominate at approximately 87%, followed by trade generics at about 10%. This structure is a consequence of both the Indian Patents Act 1970 — which permitted process-patents but not product-patents on pharmaceuticals until India's accession to the WTO's TRIPS Agreement in 2005 — and the strong price-sensitivity of Indian consumers. India supplies approximately 60,000 generic brands across 60 therapeutic categories (PIB, 2026).</w:t>
      </w:r>
    </w:p>
    <w:p w14:paraId="0CF9D82A" w14:textId="6770FEF6"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Therapeutically, anti-infectives led with 34.1% of IPM share in 2025, but oncology is the fastest-growing category at a forecast CAGR of 8.22% through 2031 as biosimilars expand access (Mordor Intelligence, 2026). Chronic therapies grew at 11% year-on-year in March 2025, outpacing acute therapies at 8% (The Grey Swan, 2025), reflecting India's epidemiological transition to non-communicable diseases — diabetes, cardiovascular disease, and cancer — associated with urbanisation and longer life expectancy. North India holds the largest regional market share at around 30%, while South India is expected to grow fastest over 2026–2031 (IMARC, 2025).</w:t>
      </w:r>
    </w:p>
    <w:p w14:paraId="74F21224" w14:textId="77777777" w:rsidR="00F401BC" w:rsidRPr="00E93419" w:rsidRDefault="00F401BC" w:rsidP="00E93419">
      <w:pPr>
        <w:spacing w:line="360" w:lineRule="auto"/>
        <w:jc w:val="both"/>
        <w:rPr>
          <w:rFonts w:ascii="Arial" w:hAnsi="Arial" w:cs="Arial"/>
          <w:sz w:val="22"/>
          <w:szCs w:val="22"/>
        </w:rPr>
      </w:pPr>
    </w:p>
    <w:p w14:paraId="67E67AC7" w14:textId="77777777" w:rsidR="00624145" w:rsidRPr="00E93419" w:rsidRDefault="00C0433A" w:rsidP="00E93419">
      <w:pPr>
        <w:pStyle w:val="Heading2"/>
        <w:spacing w:before="0" w:after="0" w:line="360" w:lineRule="auto"/>
        <w:rPr>
          <w:rFonts w:ascii="Arial" w:hAnsi="Arial" w:cs="Arial"/>
          <w:color w:val="auto"/>
          <w:sz w:val="22"/>
          <w:szCs w:val="22"/>
        </w:rPr>
      </w:pPr>
      <w:bookmarkStart w:id="4" w:name="_Toc228168167"/>
      <w:r w:rsidRPr="00E93419">
        <w:rPr>
          <w:rFonts w:ascii="Arial" w:hAnsi="Arial" w:cs="Arial"/>
          <w:color w:val="auto"/>
          <w:sz w:val="22"/>
          <w:szCs w:val="22"/>
        </w:rPr>
        <w:t>2.3 Major Domestic and Multinational Firms</w:t>
      </w:r>
      <w:bookmarkEnd w:id="4"/>
    </w:p>
    <w:p w14:paraId="100114F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The Indian pharmaceutical landscape is highly competitive and fragmented. As of Moving Annual Total (MAT) March 2025, Sun Pharmaceutical Industries held the top IPM position with 7.9% market share, followed by Abbott (6.2%), Cipla, Mankind, and </w:t>
      </w:r>
      <w:proofErr w:type="spellStart"/>
      <w:r w:rsidRPr="00E93419">
        <w:rPr>
          <w:rFonts w:ascii="Arial" w:hAnsi="Arial" w:cs="Arial"/>
          <w:sz w:val="22"/>
          <w:szCs w:val="22"/>
        </w:rPr>
        <w:t>Alkem</w:t>
      </w:r>
      <w:proofErr w:type="spellEnd"/>
      <w:r w:rsidRPr="00E93419">
        <w:rPr>
          <w:rFonts w:ascii="Arial" w:hAnsi="Arial" w:cs="Arial"/>
          <w:sz w:val="22"/>
          <w:szCs w:val="22"/>
        </w:rPr>
        <w:t xml:space="preserve"> (The Grey Swan, 2025). The top five companies together account for just over 28% of the IPM — low concentration relative to most emerging-market pharmaceutical industries. This fragmentation sustains vigorous price competition and innovation pressure.</w:t>
      </w:r>
    </w:p>
    <w:p w14:paraId="148EE895" w14:textId="6F802220"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Table 1 summarises the key competitive positioning of leading domestic and multinational pharmaceutical companies operating in India.</w:t>
      </w:r>
    </w:p>
    <w:p w14:paraId="21AA1CFD" w14:textId="72E30AB4" w:rsidR="00F401BC" w:rsidRDefault="00F401BC" w:rsidP="00E93419">
      <w:pPr>
        <w:spacing w:line="360" w:lineRule="auto"/>
        <w:jc w:val="both"/>
        <w:rPr>
          <w:rFonts w:ascii="Arial" w:hAnsi="Arial" w:cs="Arial"/>
          <w:sz w:val="22"/>
          <w:szCs w:val="22"/>
        </w:rPr>
      </w:pPr>
    </w:p>
    <w:p w14:paraId="0B1E8784" w14:textId="2D418AA0" w:rsidR="00F401BC" w:rsidRDefault="00F401BC" w:rsidP="00E93419">
      <w:pPr>
        <w:spacing w:line="360" w:lineRule="auto"/>
        <w:jc w:val="both"/>
        <w:rPr>
          <w:rFonts w:ascii="Arial" w:hAnsi="Arial" w:cs="Arial"/>
          <w:sz w:val="22"/>
          <w:szCs w:val="22"/>
        </w:rPr>
      </w:pPr>
    </w:p>
    <w:p w14:paraId="466FF464" w14:textId="77777777" w:rsidR="00F401BC" w:rsidRPr="00E93419" w:rsidRDefault="00F401BC" w:rsidP="00E93419">
      <w:pPr>
        <w:spacing w:line="360" w:lineRule="auto"/>
        <w:jc w:val="both"/>
        <w:rPr>
          <w:rFonts w:ascii="Arial" w:hAnsi="Arial" w:cs="Arial"/>
          <w:sz w:val="22"/>
          <w:szCs w:val="22"/>
        </w:rPr>
      </w:pPr>
    </w:p>
    <w:p w14:paraId="497D5839"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b/>
          <w:bCs/>
          <w:sz w:val="22"/>
          <w:szCs w:val="22"/>
        </w:rPr>
        <w:lastRenderedPageBreak/>
        <w:t>Table 1: Competitive Positioning — Leading Pharma Companies in India (MAT Mar 2025)</w:t>
      </w:r>
    </w:p>
    <w:tbl>
      <w:tblPr>
        <w:tblStyle w:val="TableGrid"/>
        <w:tblW w:w="9360" w:type="dxa"/>
        <w:tblLook w:val="0000" w:firstRow="0" w:lastRow="0" w:firstColumn="0" w:lastColumn="0" w:noHBand="0" w:noVBand="0"/>
      </w:tblPr>
      <w:tblGrid>
        <w:gridCol w:w="1965"/>
        <w:gridCol w:w="1178"/>
        <w:gridCol w:w="2129"/>
        <w:gridCol w:w="4088"/>
      </w:tblGrid>
      <w:tr w:rsidR="00E93419" w:rsidRPr="00E93419" w14:paraId="691EA0BC" w14:textId="77777777" w:rsidTr="00E93419">
        <w:tc>
          <w:tcPr>
            <w:tcW w:w="1800" w:type="dxa"/>
          </w:tcPr>
          <w:p w14:paraId="68AE501B"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Company</w:t>
            </w:r>
          </w:p>
        </w:tc>
        <w:tc>
          <w:tcPr>
            <w:tcW w:w="1200" w:type="dxa"/>
          </w:tcPr>
          <w:p w14:paraId="02440E01"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IPM Share</w:t>
            </w:r>
          </w:p>
        </w:tc>
        <w:tc>
          <w:tcPr>
            <w:tcW w:w="2160" w:type="dxa"/>
          </w:tcPr>
          <w:p w14:paraId="07D9E8F3"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Origin &amp; Key Segments</w:t>
            </w:r>
          </w:p>
        </w:tc>
        <w:tc>
          <w:tcPr>
            <w:tcW w:w="4200" w:type="dxa"/>
          </w:tcPr>
          <w:p w14:paraId="4DCA68AD"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Strategic Positioning</w:t>
            </w:r>
          </w:p>
        </w:tc>
      </w:tr>
      <w:tr w:rsidR="00E93419" w:rsidRPr="00E93419" w14:paraId="27CB3145" w14:textId="77777777" w:rsidTr="00E93419">
        <w:tc>
          <w:tcPr>
            <w:tcW w:w="1800" w:type="dxa"/>
          </w:tcPr>
          <w:p w14:paraId="57092C6E"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Sun Pharma</w:t>
            </w:r>
          </w:p>
        </w:tc>
        <w:tc>
          <w:tcPr>
            <w:tcW w:w="1200" w:type="dxa"/>
          </w:tcPr>
          <w:p w14:paraId="15FA5387"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7.9%</w:t>
            </w:r>
          </w:p>
        </w:tc>
        <w:tc>
          <w:tcPr>
            <w:tcW w:w="2160" w:type="dxa"/>
          </w:tcPr>
          <w:p w14:paraId="3F63142C"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dermatology, neurology, oncology, ophthalmology</w:t>
            </w:r>
          </w:p>
        </w:tc>
        <w:tc>
          <w:tcPr>
            <w:tcW w:w="4200" w:type="dxa"/>
          </w:tcPr>
          <w:p w14:paraId="5709A351"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Innovation-driven generics leader; R&amp;D 6.2% of revenue; highest patent-filing index in Indian pharma; 40+ manufacturing sites globally (</w:t>
            </w:r>
            <w:proofErr w:type="spellStart"/>
            <w:r w:rsidRPr="00E93419">
              <w:rPr>
                <w:rFonts w:ascii="Arial" w:hAnsi="Arial" w:cs="Arial"/>
                <w:sz w:val="22"/>
                <w:szCs w:val="22"/>
              </w:rPr>
              <w:t>ClinilaunchResearch</w:t>
            </w:r>
            <w:proofErr w:type="spellEnd"/>
            <w:r w:rsidRPr="00E93419">
              <w:rPr>
                <w:rFonts w:ascii="Arial" w:hAnsi="Arial" w:cs="Arial"/>
                <w:sz w:val="22"/>
                <w:szCs w:val="22"/>
              </w:rPr>
              <w:t>, 2025).</w:t>
            </w:r>
          </w:p>
        </w:tc>
      </w:tr>
      <w:tr w:rsidR="00E93419" w:rsidRPr="00E93419" w14:paraId="691AD3B3" w14:textId="77777777" w:rsidTr="00E93419">
        <w:tc>
          <w:tcPr>
            <w:tcW w:w="1800" w:type="dxa"/>
          </w:tcPr>
          <w:p w14:paraId="392DEB8C"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Abbott India</w:t>
            </w:r>
          </w:p>
        </w:tc>
        <w:tc>
          <w:tcPr>
            <w:tcW w:w="1200" w:type="dxa"/>
          </w:tcPr>
          <w:p w14:paraId="31B23EA4"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6.2%</w:t>
            </w:r>
          </w:p>
        </w:tc>
        <w:tc>
          <w:tcPr>
            <w:tcW w:w="2160" w:type="dxa"/>
          </w:tcPr>
          <w:p w14:paraId="1E19D8D2"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US MNC; women's health, cardio-metabolic, primary care</w:t>
            </w:r>
          </w:p>
        </w:tc>
        <w:tc>
          <w:tcPr>
            <w:tcW w:w="4200" w:type="dxa"/>
          </w:tcPr>
          <w:p w14:paraId="609FAF74"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Localisation-led MNC strategy; 400+ brands; 14,000+ staff; strong semi-urban/rural presence.</w:t>
            </w:r>
          </w:p>
        </w:tc>
      </w:tr>
      <w:tr w:rsidR="00E93419" w:rsidRPr="00E93419" w14:paraId="15F25E7D" w14:textId="77777777" w:rsidTr="00E93419">
        <w:tc>
          <w:tcPr>
            <w:tcW w:w="1800" w:type="dxa"/>
          </w:tcPr>
          <w:p w14:paraId="45385CB5"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Cipla</w:t>
            </w:r>
          </w:p>
        </w:tc>
        <w:tc>
          <w:tcPr>
            <w:tcW w:w="1200" w:type="dxa"/>
          </w:tcPr>
          <w:p w14:paraId="1E496E10"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5.5%</w:t>
            </w:r>
          </w:p>
        </w:tc>
        <w:tc>
          <w:tcPr>
            <w:tcW w:w="2160" w:type="dxa"/>
          </w:tcPr>
          <w:p w14:paraId="02101B48"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respiratory, anti-infectives, oncology</w:t>
            </w:r>
          </w:p>
        </w:tc>
        <w:tc>
          <w:tcPr>
            <w:tcW w:w="4200" w:type="dxa"/>
          </w:tcPr>
          <w:p w14:paraId="3EF346DD"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Global respiratory leader; deep chronic-care franchise; growing 19% in chronic segment 2025.</w:t>
            </w:r>
          </w:p>
        </w:tc>
      </w:tr>
      <w:tr w:rsidR="00E93419" w:rsidRPr="00E93419" w14:paraId="55AA7E53" w14:textId="77777777" w:rsidTr="00E93419">
        <w:tc>
          <w:tcPr>
            <w:tcW w:w="1800" w:type="dxa"/>
          </w:tcPr>
          <w:p w14:paraId="0E1F8F7F"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Mankind Pharma</w:t>
            </w:r>
          </w:p>
        </w:tc>
        <w:tc>
          <w:tcPr>
            <w:tcW w:w="1200" w:type="dxa"/>
          </w:tcPr>
          <w:p w14:paraId="6BD0A372"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5.1%</w:t>
            </w:r>
          </w:p>
        </w:tc>
        <w:tc>
          <w:tcPr>
            <w:tcW w:w="2160" w:type="dxa"/>
          </w:tcPr>
          <w:p w14:paraId="3E1B41FA"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mass-market primary care</w:t>
            </w:r>
          </w:p>
        </w:tc>
        <w:tc>
          <w:tcPr>
            <w:tcW w:w="4200" w:type="dxa"/>
          </w:tcPr>
          <w:p w14:paraId="36BEED83"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 xml:space="preserve">Disruptive low-price leader; strong rural penetration; acquired Panacea </w:t>
            </w:r>
            <w:proofErr w:type="spellStart"/>
            <w:r w:rsidRPr="00E93419">
              <w:rPr>
                <w:rFonts w:ascii="Arial" w:hAnsi="Arial" w:cs="Arial"/>
                <w:sz w:val="22"/>
                <w:szCs w:val="22"/>
              </w:rPr>
              <w:t>Biotec's</w:t>
            </w:r>
            <w:proofErr w:type="spellEnd"/>
            <w:r w:rsidRPr="00E93419">
              <w:rPr>
                <w:rFonts w:ascii="Arial" w:hAnsi="Arial" w:cs="Arial"/>
                <w:sz w:val="22"/>
                <w:szCs w:val="22"/>
              </w:rPr>
              <w:t xml:space="preserve"> India business 2024.</w:t>
            </w:r>
          </w:p>
        </w:tc>
      </w:tr>
      <w:tr w:rsidR="00E93419" w:rsidRPr="00E93419" w14:paraId="54350D71" w14:textId="77777777" w:rsidTr="00E93419">
        <w:tc>
          <w:tcPr>
            <w:tcW w:w="1800" w:type="dxa"/>
          </w:tcPr>
          <w:p w14:paraId="08BD17CA" w14:textId="77777777" w:rsidR="00624145" w:rsidRPr="00E93419" w:rsidRDefault="00C0433A" w:rsidP="00E93419">
            <w:pPr>
              <w:spacing w:line="360" w:lineRule="auto"/>
              <w:rPr>
                <w:rFonts w:ascii="Arial" w:hAnsi="Arial" w:cs="Arial"/>
                <w:sz w:val="22"/>
                <w:szCs w:val="22"/>
              </w:rPr>
            </w:pPr>
            <w:proofErr w:type="spellStart"/>
            <w:r w:rsidRPr="00E93419">
              <w:rPr>
                <w:rFonts w:ascii="Arial" w:hAnsi="Arial" w:cs="Arial"/>
                <w:b/>
                <w:bCs/>
                <w:sz w:val="22"/>
                <w:szCs w:val="22"/>
              </w:rPr>
              <w:t>Alkem</w:t>
            </w:r>
            <w:proofErr w:type="spellEnd"/>
          </w:p>
        </w:tc>
        <w:tc>
          <w:tcPr>
            <w:tcW w:w="1200" w:type="dxa"/>
          </w:tcPr>
          <w:p w14:paraId="5946477F"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4.0%</w:t>
            </w:r>
          </w:p>
        </w:tc>
        <w:tc>
          <w:tcPr>
            <w:tcW w:w="2160" w:type="dxa"/>
          </w:tcPr>
          <w:p w14:paraId="7831A5EE"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anti-infectives, gastro</w:t>
            </w:r>
          </w:p>
        </w:tc>
        <w:tc>
          <w:tcPr>
            <w:tcW w:w="4200" w:type="dxa"/>
          </w:tcPr>
          <w:p w14:paraId="23B790A7"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Steady mid-tier player; 12,000+ employees; strong export revenue (75%).</w:t>
            </w:r>
          </w:p>
        </w:tc>
      </w:tr>
      <w:tr w:rsidR="00E93419" w:rsidRPr="00E93419" w14:paraId="01A30525" w14:textId="77777777" w:rsidTr="00E93419">
        <w:tc>
          <w:tcPr>
            <w:tcW w:w="1800" w:type="dxa"/>
          </w:tcPr>
          <w:p w14:paraId="1251796D" w14:textId="77777777" w:rsidR="00624145" w:rsidRPr="00E93419" w:rsidRDefault="00C0433A" w:rsidP="00E93419">
            <w:pPr>
              <w:spacing w:line="360" w:lineRule="auto"/>
              <w:rPr>
                <w:rFonts w:ascii="Arial" w:hAnsi="Arial" w:cs="Arial"/>
                <w:sz w:val="22"/>
                <w:szCs w:val="22"/>
              </w:rPr>
            </w:pPr>
            <w:proofErr w:type="spellStart"/>
            <w:r w:rsidRPr="00E93419">
              <w:rPr>
                <w:rFonts w:ascii="Arial" w:hAnsi="Arial" w:cs="Arial"/>
                <w:b/>
                <w:bCs/>
                <w:sz w:val="22"/>
                <w:szCs w:val="22"/>
              </w:rPr>
              <w:t>Dr.</w:t>
            </w:r>
            <w:proofErr w:type="spellEnd"/>
            <w:r w:rsidRPr="00E93419">
              <w:rPr>
                <w:rFonts w:ascii="Arial" w:hAnsi="Arial" w:cs="Arial"/>
                <w:b/>
                <w:bCs/>
                <w:sz w:val="22"/>
                <w:szCs w:val="22"/>
              </w:rPr>
              <w:t xml:space="preserve"> Reddy's</w:t>
            </w:r>
          </w:p>
        </w:tc>
        <w:tc>
          <w:tcPr>
            <w:tcW w:w="1200" w:type="dxa"/>
          </w:tcPr>
          <w:p w14:paraId="5AAC081D"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3.3%</w:t>
            </w:r>
          </w:p>
        </w:tc>
        <w:tc>
          <w:tcPr>
            <w:tcW w:w="2160" w:type="dxa"/>
          </w:tcPr>
          <w:p w14:paraId="14C01F3F"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generics and biosimilars</w:t>
            </w:r>
          </w:p>
        </w:tc>
        <w:tc>
          <w:tcPr>
            <w:tcW w:w="4200" w:type="dxa"/>
          </w:tcPr>
          <w:p w14:paraId="297B7E24"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Export-focused (US and Europe); 12 First-To-File ANDAs for 2026 expiries.</w:t>
            </w:r>
          </w:p>
        </w:tc>
      </w:tr>
      <w:tr w:rsidR="00E93419" w:rsidRPr="00E93419" w14:paraId="5CE6288D" w14:textId="77777777" w:rsidTr="00E93419">
        <w:tc>
          <w:tcPr>
            <w:tcW w:w="1800" w:type="dxa"/>
          </w:tcPr>
          <w:p w14:paraId="66091CA7"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Pfizer Limited</w:t>
            </w:r>
          </w:p>
        </w:tc>
        <w:tc>
          <w:tcPr>
            <w:tcW w:w="1200" w:type="dxa"/>
          </w:tcPr>
          <w:p w14:paraId="069D2610"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~3.0%</w:t>
            </w:r>
          </w:p>
        </w:tc>
        <w:tc>
          <w:tcPr>
            <w:tcW w:w="2160" w:type="dxa"/>
          </w:tcPr>
          <w:p w14:paraId="55C9E843"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US MNC; vaccines, CNS, oncology, inflammation</w:t>
            </w:r>
          </w:p>
        </w:tc>
        <w:tc>
          <w:tcPr>
            <w:tcW w:w="4200" w:type="dxa"/>
          </w:tcPr>
          <w:p w14:paraId="3DE031E0"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 xml:space="preserve">3rd-largest MNC in India; brands Prevenar 13, </w:t>
            </w:r>
            <w:proofErr w:type="spellStart"/>
            <w:r w:rsidRPr="00E93419">
              <w:rPr>
                <w:rFonts w:ascii="Arial" w:hAnsi="Arial" w:cs="Arial"/>
                <w:sz w:val="22"/>
                <w:szCs w:val="22"/>
              </w:rPr>
              <w:t>Corex</w:t>
            </w:r>
            <w:proofErr w:type="spellEnd"/>
            <w:r w:rsidRPr="00E93419">
              <w:rPr>
                <w:rFonts w:ascii="Arial" w:hAnsi="Arial" w:cs="Arial"/>
                <w:sz w:val="22"/>
                <w:szCs w:val="22"/>
              </w:rPr>
              <w:t xml:space="preserve">-DX, </w:t>
            </w:r>
            <w:proofErr w:type="spellStart"/>
            <w:r w:rsidRPr="00E93419">
              <w:rPr>
                <w:rFonts w:ascii="Arial" w:hAnsi="Arial" w:cs="Arial"/>
                <w:sz w:val="22"/>
                <w:szCs w:val="22"/>
              </w:rPr>
              <w:t>Becosules</w:t>
            </w:r>
            <w:proofErr w:type="spellEnd"/>
            <w:r w:rsidRPr="00E93419">
              <w:rPr>
                <w:rFonts w:ascii="Arial" w:hAnsi="Arial" w:cs="Arial"/>
                <w:sz w:val="22"/>
                <w:szCs w:val="22"/>
              </w:rPr>
              <w:t>, Enbrel; Goa manufacturing site; revenue ~₹2,000 crore (Screener, 2026).</w:t>
            </w:r>
          </w:p>
        </w:tc>
      </w:tr>
      <w:tr w:rsidR="00E93419" w:rsidRPr="00E93419" w14:paraId="00ABC47B" w14:textId="77777777" w:rsidTr="00E93419">
        <w:tc>
          <w:tcPr>
            <w:tcW w:w="1800" w:type="dxa"/>
          </w:tcPr>
          <w:p w14:paraId="04AEA2AF"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GSK Pharmaceuticals</w:t>
            </w:r>
          </w:p>
        </w:tc>
        <w:tc>
          <w:tcPr>
            <w:tcW w:w="1200" w:type="dxa"/>
          </w:tcPr>
          <w:p w14:paraId="3AA3D7E9"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~2.8%</w:t>
            </w:r>
          </w:p>
        </w:tc>
        <w:tc>
          <w:tcPr>
            <w:tcW w:w="2160" w:type="dxa"/>
          </w:tcPr>
          <w:p w14:paraId="3A9ED24C"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UK MNC; vaccines, respiratory, HIV</w:t>
            </w:r>
          </w:p>
        </w:tc>
        <w:tc>
          <w:tcPr>
            <w:tcW w:w="4200" w:type="dxa"/>
          </w:tcPr>
          <w:p w14:paraId="79F6807A"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Strong in vaccines; manufacturing presence; partnership with Indian firms for distribution.</w:t>
            </w:r>
          </w:p>
        </w:tc>
      </w:tr>
      <w:tr w:rsidR="00E93419" w:rsidRPr="00E93419" w14:paraId="1DDF04C1" w14:textId="77777777" w:rsidTr="00E93419">
        <w:tc>
          <w:tcPr>
            <w:tcW w:w="1800" w:type="dxa"/>
          </w:tcPr>
          <w:p w14:paraId="589D5569"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Sanofi India</w:t>
            </w:r>
          </w:p>
        </w:tc>
        <w:tc>
          <w:tcPr>
            <w:tcW w:w="1200" w:type="dxa"/>
          </w:tcPr>
          <w:p w14:paraId="26E275DD"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~2.5%</w:t>
            </w:r>
          </w:p>
        </w:tc>
        <w:tc>
          <w:tcPr>
            <w:tcW w:w="2160" w:type="dxa"/>
          </w:tcPr>
          <w:p w14:paraId="58D0609F"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French MNC; diabetes, cardiovascular</w:t>
            </w:r>
          </w:p>
        </w:tc>
        <w:tc>
          <w:tcPr>
            <w:tcW w:w="4200" w:type="dxa"/>
          </w:tcPr>
          <w:p w14:paraId="4D179C96"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Diabetes-therapy leader; Hyderabad global capability centre expansion (US$435m, 2025).</w:t>
            </w:r>
          </w:p>
        </w:tc>
      </w:tr>
    </w:tbl>
    <w:p w14:paraId="0FC626EC" w14:textId="77777777" w:rsidR="00624145" w:rsidRPr="00E93419" w:rsidRDefault="00624145" w:rsidP="00E93419">
      <w:pPr>
        <w:spacing w:line="360" w:lineRule="auto"/>
        <w:jc w:val="both"/>
        <w:rPr>
          <w:rFonts w:ascii="Arial" w:hAnsi="Arial" w:cs="Arial"/>
          <w:sz w:val="22"/>
          <w:szCs w:val="22"/>
        </w:rPr>
      </w:pPr>
    </w:p>
    <w:p w14:paraId="3FCFF829" w14:textId="4FFF791E" w:rsidR="00624145" w:rsidRDefault="00C0433A" w:rsidP="00E93419">
      <w:pPr>
        <w:spacing w:line="360" w:lineRule="auto"/>
        <w:jc w:val="both"/>
        <w:rPr>
          <w:rFonts w:ascii="Arial" w:hAnsi="Arial" w:cs="Arial"/>
          <w:sz w:val="22"/>
          <w:szCs w:val="22"/>
        </w:rPr>
      </w:pPr>
      <w:r w:rsidRPr="00E93419">
        <w:rPr>
          <w:rFonts w:ascii="Arial" w:hAnsi="Arial" w:cs="Arial"/>
          <w:sz w:val="22"/>
          <w:szCs w:val="22"/>
        </w:rPr>
        <w:lastRenderedPageBreak/>
        <w:t xml:space="preserve">Sun Pharma exemplifies the Indian innovation-led model: deep domestic roots, international ambition, and sustained R&amp;D intensity. Mankind Pharma exemplifies the opposite — a mass-market, low-price, rural-focused disruptor. Among foreign MNCs, Abbott is the scale leader thanks to its 2010 acquisition of Piramal Healthcare's domestic formulations business. Pfizer occupies a distinctive premium-innovation position with iconic brands such as Prevenar 13, Lyrica, Enbrel, and </w:t>
      </w:r>
      <w:proofErr w:type="spellStart"/>
      <w:r w:rsidRPr="00E93419">
        <w:rPr>
          <w:rFonts w:ascii="Arial" w:hAnsi="Arial" w:cs="Arial"/>
          <w:sz w:val="22"/>
          <w:szCs w:val="22"/>
        </w:rPr>
        <w:t>Becosules</w:t>
      </w:r>
      <w:proofErr w:type="spellEnd"/>
      <w:r w:rsidRPr="00E93419">
        <w:rPr>
          <w:rFonts w:ascii="Arial" w:hAnsi="Arial" w:cs="Arial"/>
          <w:sz w:val="22"/>
          <w:szCs w:val="22"/>
        </w:rPr>
        <w:t>, but its IPM share has eroded slightly over the past five years as Indian generic producers have intensified competition (Screener, 2026).</w:t>
      </w:r>
    </w:p>
    <w:p w14:paraId="16D6571B" w14:textId="77777777" w:rsidR="00F401BC" w:rsidRPr="00E93419" w:rsidRDefault="00F401BC" w:rsidP="00E93419">
      <w:pPr>
        <w:spacing w:line="360" w:lineRule="auto"/>
        <w:jc w:val="both"/>
        <w:rPr>
          <w:rFonts w:ascii="Arial" w:hAnsi="Arial" w:cs="Arial"/>
          <w:sz w:val="22"/>
          <w:szCs w:val="22"/>
        </w:rPr>
      </w:pPr>
    </w:p>
    <w:p w14:paraId="2870213A" w14:textId="578B9512" w:rsidR="00624145" w:rsidRPr="00E93419" w:rsidRDefault="00C0433A" w:rsidP="00E93419">
      <w:pPr>
        <w:pStyle w:val="Heading1"/>
        <w:spacing w:before="0" w:after="0" w:line="360" w:lineRule="auto"/>
        <w:rPr>
          <w:rFonts w:ascii="Arial" w:hAnsi="Arial" w:cs="Arial"/>
          <w:color w:val="auto"/>
          <w:sz w:val="22"/>
          <w:szCs w:val="22"/>
        </w:rPr>
      </w:pPr>
      <w:bookmarkStart w:id="5" w:name="_Toc228168168"/>
      <w:r w:rsidRPr="00E93419">
        <w:rPr>
          <w:rFonts w:ascii="Arial" w:hAnsi="Arial" w:cs="Arial"/>
          <w:color w:val="auto"/>
          <w:sz w:val="22"/>
          <w:szCs w:val="22"/>
        </w:rPr>
        <w:t>3. Porter's Diamond Model — Global Competitiveness of the Indian Pharmaceutical Industry</w:t>
      </w:r>
      <w:bookmarkEnd w:id="5"/>
      <w:r w:rsidRPr="00E93419">
        <w:rPr>
          <w:rFonts w:ascii="Arial" w:hAnsi="Arial" w:cs="Arial"/>
          <w:color w:val="auto"/>
          <w:sz w:val="22"/>
          <w:szCs w:val="22"/>
        </w:rPr>
        <w:t xml:space="preserve"> </w:t>
      </w:r>
    </w:p>
    <w:p w14:paraId="70B769DC" w14:textId="37D86D2B"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Porter's (1990) Diamond Model of National Advantage provides the most widely accepted lens for analysing why certain industries achieve sustained international competitiveness in particular countries. It identifies four interrelated determinants — factor conditions, demand conditions, related and supporting industries, and firm strategy, structure and rivalry — together with two auxiliary variables: government and chance (Johnson, Whittington and Scholes, 2020). Applied to India's pharmaceutical industry, the model illuminates why the country has become the world's largest volume supplier of generic medicines and the third-largest pharmaceutical producer overall.</w:t>
      </w:r>
    </w:p>
    <w:p w14:paraId="04E0D39B" w14:textId="77777777" w:rsidR="00F401BC" w:rsidRPr="00E93419" w:rsidRDefault="00F401BC" w:rsidP="00E93419">
      <w:pPr>
        <w:spacing w:line="360" w:lineRule="auto"/>
        <w:jc w:val="both"/>
        <w:rPr>
          <w:rFonts w:ascii="Arial" w:hAnsi="Arial" w:cs="Arial"/>
          <w:sz w:val="22"/>
          <w:szCs w:val="22"/>
        </w:rPr>
      </w:pPr>
    </w:p>
    <w:p w14:paraId="47651B2D" w14:textId="77777777" w:rsidR="00624145" w:rsidRPr="00E93419" w:rsidRDefault="00C0433A" w:rsidP="00E93419">
      <w:pPr>
        <w:pStyle w:val="Heading2"/>
        <w:spacing w:before="0" w:after="0" w:line="360" w:lineRule="auto"/>
        <w:rPr>
          <w:rFonts w:ascii="Arial" w:hAnsi="Arial" w:cs="Arial"/>
          <w:color w:val="auto"/>
          <w:sz w:val="22"/>
          <w:szCs w:val="22"/>
        </w:rPr>
      </w:pPr>
      <w:bookmarkStart w:id="6" w:name="_Toc228168169"/>
      <w:r w:rsidRPr="00E93419">
        <w:rPr>
          <w:rFonts w:ascii="Arial" w:hAnsi="Arial" w:cs="Arial"/>
          <w:color w:val="auto"/>
          <w:sz w:val="22"/>
          <w:szCs w:val="22"/>
        </w:rPr>
        <w:t>3.1 Factor Conditions</w:t>
      </w:r>
      <w:bookmarkEnd w:id="6"/>
    </w:p>
    <w:p w14:paraId="0CD069B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India's factor endowment in pharmaceuticals is a textbook example of what Porter calls "advanced, created factors" rather than natural ones. Human capital is central: India produces over 1.5 million science, technology, engineering and mathematics (STEM) graduates annually, including tens of thousands of pharmacists and chemical engineers, and English-language proficiency enables seamless integration with the regulated markets of the United States, the United Kingdom and the European Union. The Indian Institutes of Technology, National Institutes of Pharmaceutical Education and Research (NIPER), and numerous state universities provide a sustained pipeline of technical talent. Advanced factors are continuously upgraded through Production-Linked Incentive (PLI) schemes — the Government of India disbursed ₹6,800 crore (US$817 million) in April 2024 to underwrite 53 greenfield fermentation and chemical manufacturing units (Mordor Intelligence, 2026).</w:t>
      </w:r>
    </w:p>
    <w:p w14:paraId="327529B7" w14:textId="103D6449"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Physical infrastructure has also developed rapidly. India hosts more United States Food and Drug Administration (US FDA)-compliant manufacturing facilities than any country outside the United States — approximately 741 as of 2022 — and roughly 10,500 manufacturing units in total (Market Research Future, 2025). The country has also developed over 500 active pharmaceutical ingredient (API) producers, supplying roughly 8% of global API demand (IBEF, </w:t>
      </w:r>
      <w:r w:rsidRPr="00E93419">
        <w:rPr>
          <w:rFonts w:ascii="Arial" w:hAnsi="Arial" w:cs="Arial"/>
          <w:sz w:val="22"/>
          <w:szCs w:val="22"/>
        </w:rPr>
        <w:lastRenderedPageBreak/>
        <w:t>2025). Labour cost differentials further amplify the advantage: Indian pharmaceutical R&amp;D costs are estimated at 30–40% lower than comparable US or European operations.</w:t>
      </w:r>
    </w:p>
    <w:p w14:paraId="1E3D0303" w14:textId="77777777" w:rsidR="00F401BC" w:rsidRPr="00E93419" w:rsidRDefault="00F401BC" w:rsidP="00E93419">
      <w:pPr>
        <w:spacing w:line="360" w:lineRule="auto"/>
        <w:jc w:val="both"/>
        <w:rPr>
          <w:rFonts w:ascii="Arial" w:hAnsi="Arial" w:cs="Arial"/>
          <w:sz w:val="22"/>
          <w:szCs w:val="22"/>
        </w:rPr>
      </w:pPr>
    </w:p>
    <w:p w14:paraId="53CE11D8" w14:textId="77777777" w:rsidR="00624145" w:rsidRPr="00E93419" w:rsidRDefault="00C0433A" w:rsidP="00E93419">
      <w:pPr>
        <w:pStyle w:val="Heading2"/>
        <w:spacing w:before="0" w:after="0" w:line="360" w:lineRule="auto"/>
        <w:rPr>
          <w:rFonts w:ascii="Arial" w:hAnsi="Arial" w:cs="Arial"/>
          <w:color w:val="auto"/>
          <w:sz w:val="22"/>
          <w:szCs w:val="22"/>
        </w:rPr>
      </w:pPr>
      <w:bookmarkStart w:id="7" w:name="_Toc228168170"/>
      <w:r w:rsidRPr="00E93419">
        <w:rPr>
          <w:rFonts w:ascii="Arial" w:hAnsi="Arial" w:cs="Arial"/>
          <w:color w:val="auto"/>
          <w:sz w:val="22"/>
          <w:szCs w:val="22"/>
        </w:rPr>
        <w:t>3.2 Demand Conditions</w:t>
      </w:r>
      <w:bookmarkEnd w:id="7"/>
    </w:p>
    <w:p w14:paraId="238F666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India's domestic demand conditions are both large in scale and demanding in nature, satisfying Porter's two key criteria. The population of 1.43 billion creates enormous volume; rising chronic-disease burden (over 100 million diabetics as of 2024, plus growing cardiovascular and oncology case-loads) shifts demand toward sophisticated therapies; and India's diaspora of some 32 million, spread across the US, UK, Canada and the Middle East, provides a critical secondary market. Consumers are intensely price-sensitive — a condition that forces producers to achieve world-class cost-efficiency, which in turn makes them formidable exporters.</w:t>
      </w:r>
    </w:p>
    <w:p w14:paraId="4F59776E" w14:textId="4F1C5963"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The Indian government itself is a demanding institutional buyer. Through state procurement for programmes such as Ayushman Bharat (the world's largest public-health-insurance scheme), the Pradhan Mantri Bhartiya </w:t>
      </w:r>
      <w:proofErr w:type="spellStart"/>
      <w:r w:rsidRPr="00E93419">
        <w:rPr>
          <w:rFonts w:ascii="Arial" w:hAnsi="Arial" w:cs="Arial"/>
          <w:sz w:val="22"/>
          <w:szCs w:val="22"/>
        </w:rPr>
        <w:t>Janaushadhi</w:t>
      </w:r>
      <w:proofErr w:type="spellEnd"/>
      <w:r w:rsidRPr="00E93419">
        <w:rPr>
          <w:rFonts w:ascii="Arial" w:hAnsi="Arial" w:cs="Arial"/>
          <w:sz w:val="22"/>
          <w:szCs w:val="22"/>
        </w:rPr>
        <w:t xml:space="preserve"> </w:t>
      </w:r>
      <w:proofErr w:type="spellStart"/>
      <w:r w:rsidRPr="00E93419">
        <w:rPr>
          <w:rFonts w:ascii="Arial" w:hAnsi="Arial" w:cs="Arial"/>
          <w:sz w:val="22"/>
          <w:szCs w:val="22"/>
        </w:rPr>
        <w:t>Pariyojana</w:t>
      </w:r>
      <w:proofErr w:type="spellEnd"/>
      <w:r w:rsidRPr="00E93419">
        <w:rPr>
          <w:rFonts w:ascii="Arial" w:hAnsi="Arial" w:cs="Arial"/>
          <w:sz w:val="22"/>
          <w:szCs w:val="22"/>
        </w:rPr>
        <w:t xml:space="preserve"> (PMBJP) which operates over 16,900 generic-medicine outlets, and public vaccination drives, the public sector creates predictable high-volume demand that rewards scale producers (PIB, 2026; IBEF, 2025).</w:t>
      </w:r>
    </w:p>
    <w:p w14:paraId="0D9E0A34" w14:textId="77777777" w:rsidR="00F401BC" w:rsidRPr="00E93419" w:rsidRDefault="00F401BC" w:rsidP="00E93419">
      <w:pPr>
        <w:spacing w:line="360" w:lineRule="auto"/>
        <w:jc w:val="both"/>
        <w:rPr>
          <w:rFonts w:ascii="Arial" w:hAnsi="Arial" w:cs="Arial"/>
          <w:sz w:val="22"/>
          <w:szCs w:val="22"/>
        </w:rPr>
      </w:pPr>
    </w:p>
    <w:p w14:paraId="36479F43" w14:textId="77777777" w:rsidR="00624145" w:rsidRPr="00E93419" w:rsidRDefault="00C0433A" w:rsidP="00E93419">
      <w:pPr>
        <w:pStyle w:val="Heading2"/>
        <w:spacing w:before="0" w:after="0" w:line="360" w:lineRule="auto"/>
        <w:rPr>
          <w:rFonts w:ascii="Arial" w:hAnsi="Arial" w:cs="Arial"/>
          <w:color w:val="auto"/>
          <w:sz w:val="22"/>
          <w:szCs w:val="22"/>
        </w:rPr>
      </w:pPr>
      <w:bookmarkStart w:id="8" w:name="_Toc228168171"/>
      <w:r w:rsidRPr="00E93419">
        <w:rPr>
          <w:rFonts w:ascii="Arial" w:hAnsi="Arial" w:cs="Arial"/>
          <w:color w:val="auto"/>
          <w:sz w:val="22"/>
          <w:szCs w:val="22"/>
        </w:rPr>
        <w:t>3.3 Related and Supporting Industries</w:t>
      </w:r>
      <w:bookmarkEnd w:id="8"/>
    </w:p>
    <w:p w14:paraId="74B5A12F" w14:textId="1944D23A"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Indian pharmaceuticals benefit from a dense cluster of related and supporting industries. Chemical and fine-chemical suppliers, bulk-drug (API) producers, pharmaceutical packaging specialists, cold-chain logistics providers, contract research organisations (CROs) and contract development and manufacturing organisations (CDMOs) have all co-evolved. India's CRDMO industry alone is projected to double to US$14 billion by 2028 (IBEF, 2025). Clinical-trial expertise is world-class and inexpensive; Parexel announced in February 2025 plans to add more than 2,000 employees in India over five years (IBEF, 2025). India's information-technology sector — Infosys, TCS, Wipro and over 1,500 captive global-capability centres — provides advanced digital and data-analytics support to pharmaceutical firms. This cluster effect, which Porter calls the "system" quality of competitive advantage, is what makes the Indian diamond self-reinforcing.</w:t>
      </w:r>
    </w:p>
    <w:p w14:paraId="0041C674" w14:textId="77777777" w:rsidR="00F401BC" w:rsidRPr="00E93419" w:rsidRDefault="00F401BC" w:rsidP="00E93419">
      <w:pPr>
        <w:spacing w:line="360" w:lineRule="auto"/>
        <w:jc w:val="both"/>
        <w:rPr>
          <w:rFonts w:ascii="Arial" w:hAnsi="Arial" w:cs="Arial"/>
          <w:sz w:val="22"/>
          <w:szCs w:val="22"/>
        </w:rPr>
      </w:pPr>
    </w:p>
    <w:p w14:paraId="76F56BBA" w14:textId="77777777" w:rsidR="00624145" w:rsidRPr="00E93419" w:rsidRDefault="00C0433A" w:rsidP="00E93419">
      <w:pPr>
        <w:pStyle w:val="Heading2"/>
        <w:spacing w:before="0" w:after="0" w:line="360" w:lineRule="auto"/>
        <w:rPr>
          <w:rFonts w:ascii="Arial" w:hAnsi="Arial" w:cs="Arial"/>
          <w:color w:val="auto"/>
          <w:sz w:val="22"/>
          <w:szCs w:val="22"/>
        </w:rPr>
      </w:pPr>
      <w:bookmarkStart w:id="9" w:name="_Toc228168172"/>
      <w:r w:rsidRPr="00E93419">
        <w:rPr>
          <w:rFonts w:ascii="Arial" w:hAnsi="Arial" w:cs="Arial"/>
          <w:color w:val="auto"/>
          <w:sz w:val="22"/>
          <w:szCs w:val="22"/>
        </w:rPr>
        <w:t>3.4 Firm Strategy, Structure and Rivalry</w:t>
      </w:r>
      <w:bookmarkEnd w:id="9"/>
    </w:p>
    <w:p w14:paraId="4032AEE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Intense domestic rivalry is perhaps the most powerful force in the Indian pharmaceutical diamond. With over 3,000 pharmaceutical companies competing across 60 therapeutic categories, no single firm holds a dominant share. The top five players together account for just over 28% of the IPM. This fragmentation forces continuous innovation in formulation, cost-engineering, marketing (particularly medical-representative coverage of doctors), and go-to-</w:t>
      </w:r>
      <w:r w:rsidRPr="00E93419">
        <w:rPr>
          <w:rFonts w:ascii="Arial" w:hAnsi="Arial" w:cs="Arial"/>
          <w:sz w:val="22"/>
          <w:szCs w:val="22"/>
        </w:rPr>
        <w:lastRenderedPageBreak/>
        <w:t>market channel design. Sun Pharma's 6.2% R&amp;D intensity, Dr Reddy's aggressive ANDA (Abbreviated New Drug Application) filing programme, and Biocon's 22% capture of domestic trastuzumab prescriptions (Mordor Intelligence, 2026) are evidence of how rivalry translates into international competitiveness.</w:t>
      </w:r>
    </w:p>
    <w:p w14:paraId="736C1F17" w14:textId="314F0368"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Structurally, most Indian pharmaceutical firms are family-founded but professionally managed, publicly listed on the BSE/NSE, and increasingly globally oriented. This hybrid ownership model has proved resilient across regulatory cycles.</w:t>
      </w:r>
    </w:p>
    <w:p w14:paraId="3F4268E0" w14:textId="77777777" w:rsidR="00F401BC" w:rsidRPr="00E93419" w:rsidRDefault="00F401BC" w:rsidP="00E93419">
      <w:pPr>
        <w:spacing w:line="360" w:lineRule="auto"/>
        <w:jc w:val="both"/>
        <w:rPr>
          <w:rFonts w:ascii="Arial" w:hAnsi="Arial" w:cs="Arial"/>
          <w:sz w:val="22"/>
          <w:szCs w:val="22"/>
        </w:rPr>
      </w:pPr>
    </w:p>
    <w:p w14:paraId="15F1B363" w14:textId="77777777" w:rsidR="00624145" w:rsidRPr="00E93419" w:rsidRDefault="00C0433A" w:rsidP="00E93419">
      <w:pPr>
        <w:pStyle w:val="Heading2"/>
        <w:spacing w:before="0" w:after="0" w:line="360" w:lineRule="auto"/>
        <w:rPr>
          <w:rFonts w:ascii="Arial" w:hAnsi="Arial" w:cs="Arial"/>
          <w:color w:val="auto"/>
          <w:sz w:val="22"/>
          <w:szCs w:val="22"/>
        </w:rPr>
      </w:pPr>
      <w:bookmarkStart w:id="10" w:name="_Toc228168173"/>
      <w:r w:rsidRPr="00E93419">
        <w:rPr>
          <w:rFonts w:ascii="Arial" w:hAnsi="Arial" w:cs="Arial"/>
          <w:color w:val="auto"/>
          <w:sz w:val="22"/>
          <w:szCs w:val="22"/>
        </w:rPr>
        <w:t>3.5 The Auxiliary Variables — Government and Chance</w:t>
      </w:r>
      <w:bookmarkEnd w:id="10"/>
    </w:p>
    <w:p w14:paraId="747BA48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Government has been pivotal throughout. The Patents Act 1970 permitted only process patents on pharmaceuticals, allowing Indian firms to legally reverse-engineer Western molecules; this catalysed the generics industry. India's 2005 TRIPS-compliant patent reforms forced Indian firms to up-skill into patented-drug filings and biosimilars. More recently, the PLI scheme, the Promotion of Bulk Drug Parks initiative, the US$250 million National Biopharma Mission and the 2025 India-UK Comprehensive Economic and Trade Agreement (CETA) — which grants zero-duty market access for 56 pharmaceutical tariff lines — have all sharpened competitiveness (PIB, 2026).</w:t>
      </w:r>
    </w:p>
    <w:p w14:paraId="46636E1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Chance has also played a role. The COVID-19 pandemic tested the industry's capacity and validated its global role; the development of COVAXIN by Bharat Biotech in collaboration with ICMR-NIV was a landmark demonstration of indigenous capability (RSIS International, 2025). Conversely, Trump-era "reciprocal" tariffs in April 2025 (initially 37%, later reduced) created disruption, particularly for the garments sector but also affecting pharma export economics (Wikipedia, 2026).</w:t>
      </w:r>
    </w:p>
    <w:p w14:paraId="6F823D71" w14:textId="575AB435"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Overall, the Diamond Model reveals that India's pharmaceutical competitiveness is grounded in a mutually reinforcing system — skilled human capital, disciplined demand, dense supporting-industry clusters, and fierce domestic rivalry — supported by far-sighted government policy. This system is not easily replicated and is expected to sustain India's "pharmacy of the world" position well into the 2030s.</w:t>
      </w:r>
    </w:p>
    <w:p w14:paraId="4DC03204" w14:textId="77777777" w:rsidR="00F401BC" w:rsidRPr="00E93419" w:rsidRDefault="00F401BC" w:rsidP="00E93419">
      <w:pPr>
        <w:spacing w:line="360" w:lineRule="auto"/>
        <w:jc w:val="both"/>
        <w:rPr>
          <w:rFonts w:ascii="Arial" w:hAnsi="Arial" w:cs="Arial"/>
          <w:sz w:val="22"/>
          <w:szCs w:val="22"/>
        </w:rPr>
      </w:pPr>
    </w:p>
    <w:p w14:paraId="727C0BE3" w14:textId="02921503" w:rsidR="00624145" w:rsidRPr="00E93419" w:rsidRDefault="00C0433A" w:rsidP="00E93419">
      <w:pPr>
        <w:pStyle w:val="Heading1"/>
        <w:spacing w:before="0" w:after="0" w:line="360" w:lineRule="auto"/>
        <w:rPr>
          <w:rFonts w:ascii="Arial" w:hAnsi="Arial" w:cs="Arial"/>
          <w:color w:val="auto"/>
          <w:sz w:val="22"/>
          <w:szCs w:val="22"/>
        </w:rPr>
      </w:pPr>
      <w:bookmarkStart w:id="11" w:name="_Toc228168174"/>
      <w:r w:rsidRPr="00E93419">
        <w:rPr>
          <w:rFonts w:ascii="Arial" w:hAnsi="Arial" w:cs="Arial"/>
          <w:color w:val="auto"/>
          <w:sz w:val="22"/>
          <w:szCs w:val="22"/>
        </w:rPr>
        <w:t>4. Pfizer Inc. in India — Market Attractiveness and Success Factors</w:t>
      </w:r>
      <w:bookmarkEnd w:id="11"/>
      <w:r w:rsidRPr="00E93419">
        <w:rPr>
          <w:rFonts w:ascii="Arial" w:hAnsi="Arial" w:cs="Arial"/>
          <w:color w:val="auto"/>
          <w:sz w:val="22"/>
          <w:szCs w:val="22"/>
        </w:rPr>
        <w:t xml:space="preserve"> </w:t>
      </w:r>
    </w:p>
    <w:p w14:paraId="1BE0FCC7" w14:textId="77777777" w:rsidR="00624145" w:rsidRPr="00E93419" w:rsidRDefault="00C0433A" w:rsidP="00E93419">
      <w:pPr>
        <w:pStyle w:val="Heading2"/>
        <w:spacing w:before="0" w:after="0" w:line="360" w:lineRule="auto"/>
        <w:rPr>
          <w:rFonts w:ascii="Arial" w:hAnsi="Arial" w:cs="Arial"/>
          <w:color w:val="auto"/>
          <w:sz w:val="22"/>
          <w:szCs w:val="22"/>
        </w:rPr>
      </w:pPr>
      <w:bookmarkStart w:id="12" w:name="_Toc228168175"/>
      <w:r w:rsidRPr="00E93419">
        <w:rPr>
          <w:rFonts w:ascii="Arial" w:hAnsi="Arial" w:cs="Arial"/>
          <w:color w:val="auto"/>
          <w:sz w:val="22"/>
          <w:szCs w:val="22"/>
        </w:rPr>
        <w:t>4.1 Company Background</w:t>
      </w:r>
      <w:bookmarkEnd w:id="12"/>
    </w:p>
    <w:p w14:paraId="214E14C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Inc. was founded in Brooklyn, New York in 1849 by German-American cousins Charles Pfizer and Charles Erhart. Today it is one of the world's largest research-based biopharmaceutical companies, with a global presence in over 125 countries, 2024 global revenues of approximately US$63.6 billion and a deep therapeutic footprint spanning vaccines, oncology, immunology, cardiology, endocrinology and neurology (Pfizer India, 2025). The company's mission is "breakthroughs that change patients' lives".</w:t>
      </w:r>
    </w:p>
    <w:p w14:paraId="4B7F7F1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lastRenderedPageBreak/>
        <w:t>Pfizer's Indian history is long and layered. It began operations in India in 1950 — the same year the Republic was constituted — and Pfizer Limited was listed on the Bombay Stock Exchange in 1966. The 2014 merger with Wyeth Limited placed Pfizer Limited among the top 10 pharmaceutical companies in India by market share. Today Pfizer operates through three legal entities: Pfizer Limited (BSE-listed); Pfizer Products India Private Ltd (100%-owned by Pfizer Inc. and focused on imports, marketing and distribution); and Pfizer Healthcare India Pvt Ltd (100% indirectly owned, focused on manufacturing and research). Together these entities employ over 5,500 staff in India (Pfizer India, 2025).</w:t>
      </w:r>
    </w:p>
    <w:p w14:paraId="753A7D2C" w14:textId="71211EF9"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Pfizer Limited commands annual sales of approximately ₹2,000 crore and ranks as the third-largest multinational pharmaceutical company by IPM share, with its marquee brands Prevenar 13 (pneumococcal vaccine), Lyrica (pain), Enbrel (immunology), </w:t>
      </w:r>
      <w:proofErr w:type="spellStart"/>
      <w:r w:rsidRPr="00E93419">
        <w:rPr>
          <w:rFonts w:ascii="Arial" w:hAnsi="Arial" w:cs="Arial"/>
          <w:sz w:val="22"/>
          <w:szCs w:val="22"/>
        </w:rPr>
        <w:t>Becosules</w:t>
      </w:r>
      <w:proofErr w:type="spellEnd"/>
      <w:r w:rsidRPr="00E93419">
        <w:rPr>
          <w:rFonts w:ascii="Arial" w:hAnsi="Arial" w:cs="Arial"/>
          <w:sz w:val="22"/>
          <w:szCs w:val="22"/>
        </w:rPr>
        <w:t xml:space="preserve"> (vitamins), </w:t>
      </w:r>
      <w:proofErr w:type="spellStart"/>
      <w:r w:rsidRPr="00E93419">
        <w:rPr>
          <w:rFonts w:ascii="Arial" w:hAnsi="Arial" w:cs="Arial"/>
          <w:sz w:val="22"/>
          <w:szCs w:val="22"/>
        </w:rPr>
        <w:t>Corex</w:t>
      </w:r>
      <w:proofErr w:type="spellEnd"/>
      <w:r w:rsidRPr="00E93419">
        <w:rPr>
          <w:rFonts w:ascii="Arial" w:hAnsi="Arial" w:cs="Arial"/>
          <w:sz w:val="22"/>
          <w:szCs w:val="22"/>
        </w:rPr>
        <w:t xml:space="preserve">-DX (cough), </w:t>
      </w:r>
      <w:proofErr w:type="spellStart"/>
      <w:r w:rsidRPr="00E93419">
        <w:rPr>
          <w:rFonts w:ascii="Arial" w:hAnsi="Arial" w:cs="Arial"/>
          <w:sz w:val="22"/>
          <w:szCs w:val="22"/>
        </w:rPr>
        <w:t>Dolonex</w:t>
      </w:r>
      <w:proofErr w:type="spellEnd"/>
      <w:r w:rsidRPr="00E93419">
        <w:rPr>
          <w:rFonts w:ascii="Arial" w:hAnsi="Arial" w:cs="Arial"/>
          <w:sz w:val="22"/>
          <w:szCs w:val="22"/>
        </w:rPr>
        <w:t xml:space="preserve"> (pain), and </w:t>
      </w:r>
      <w:proofErr w:type="spellStart"/>
      <w:r w:rsidRPr="00E93419">
        <w:rPr>
          <w:rFonts w:ascii="Arial" w:hAnsi="Arial" w:cs="Arial"/>
          <w:sz w:val="22"/>
          <w:szCs w:val="22"/>
        </w:rPr>
        <w:t>Gelusil</w:t>
      </w:r>
      <w:proofErr w:type="spellEnd"/>
      <w:r w:rsidRPr="00E93419">
        <w:rPr>
          <w:rFonts w:ascii="Arial" w:hAnsi="Arial" w:cs="Arial"/>
          <w:sz w:val="22"/>
          <w:szCs w:val="22"/>
        </w:rPr>
        <w:t xml:space="preserve"> (antacid) (Screener, 2026). A state-of-the-art award-winning manufacturing facility in Goa produces over a billion tablets annually, and the Chennai R&amp;D centre focuses on </w:t>
      </w:r>
      <w:proofErr w:type="spellStart"/>
      <w:r w:rsidRPr="00E93419">
        <w:rPr>
          <w:rFonts w:ascii="Arial" w:hAnsi="Arial" w:cs="Arial"/>
          <w:sz w:val="22"/>
          <w:szCs w:val="22"/>
        </w:rPr>
        <w:t>parenterals</w:t>
      </w:r>
      <w:proofErr w:type="spellEnd"/>
      <w:r w:rsidRPr="00E93419">
        <w:rPr>
          <w:rFonts w:ascii="Arial" w:hAnsi="Arial" w:cs="Arial"/>
          <w:sz w:val="22"/>
          <w:szCs w:val="22"/>
        </w:rPr>
        <w:t xml:space="preserve"> and small-molecule manufacturing (Pfizer India, 2025).</w:t>
      </w:r>
    </w:p>
    <w:p w14:paraId="1EAE38AF" w14:textId="77777777" w:rsidR="00F401BC" w:rsidRPr="00E93419" w:rsidRDefault="00F401BC" w:rsidP="00E93419">
      <w:pPr>
        <w:spacing w:line="360" w:lineRule="auto"/>
        <w:jc w:val="both"/>
        <w:rPr>
          <w:rFonts w:ascii="Arial" w:hAnsi="Arial" w:cs="Arial"/>
          <w:sz w:val="22"/>
          <w:szCs w:val="22"/>
        </w:rPr>
      </w:pPr>
    </w:p>
    <w:p w14:paraId="5FE1048F" w14:textId="77777777" w:rsidR="00624145" w:rsidRPr="00E93419" w:rsidRDefault="00C0433A" w:rsidP="00E93419">
      <w:pPr>
        <w:pStyle w:val="Heading2"/>
        <w:spacing w:before="0" w:after="0" w:line="360" w:lineRule="auto"/>
        <w:rPr>
          <w:rFonts w:ascii="Arial" w:hAnsi="Arial" w:cs="Arial"/>
          <w:color w:val="auto"/>
          <w:sz w:val="22"/>
          <w:szCs w:val="22"/>
        </w:rPr>
      </w:pPr>
      <w:bookmarkStart w:id="13" w:name="_Toc228168176"/>
      <w:r w:rsidRPr="00E93419">
        <w:rPr>
          <w:rFonts w:ascii="Arial" w:hAnsi="Arial" w:cs="Arial"/>
          <w:color w:val="auto"/>
          <w:sz w:val="22"/>
          <w:szCs w:val="22"/>
        </w:rPr>
        <w:t>4.2 Market Attractiveness — PESTEL Analysis</w:t>
      </w:r>
      <w:bookmarkEnd w:id="13"/>
    </w:p>
    <w:p w14:paraId="5678BA4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attractiveness of India for Pfizer — and indeed for any foreign pharmaceutical MNC — is best assessed through a systematic PESTEL scan.</w:t>
      </w:r>
    </w:p>
    <w:p w14:paraId="708F88A3"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b/>
          <w:bCs/>
          <w:sz w:val="22"/>
          <w:szCs w:val="22"/>
        </w:rPr>
        <w:t>Table 2: PESTEL Analysis for Pfizer in India</w:t>
      </w:r>
    </w:p>
    <w:tbl>
      <w:tblPr>
        <w:tblStyle w:val="TableGrid"/>
        <w:tblW w:w="9360" w:type="dxa"/>
        <w:tblLook w:val="0000" w:firstRow="0" w:lastRow="0" w:firstColumn="0" w:lastColumn="0" w:noHBand="0" w:noVBand="0"/>
      </w:tblPr>
      <w:tblGrid>
        <w:gridCol w:w="1800"/>
        <w:gridCol w:w="7560"/>
      </w:tblGrid>
      <w:tr w:rsidR="00E93419" w:rsidRPr="00E93419" w14:paraId="1625F11B" w14:textId="77777777" w:rsidTr="00E93419">
        <w:tc>
          <w:tcPr>
            <w:tcW w:w="1800" w:type="dxa"/>
          </w:tcPr>
          <w:p w14:paraId="4D79DAA9"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Factor</w:t>
            </w:r>
          </w:p>
        </w:tc>
        <w:tc>
          <w:tcPr>
            <w:tcW w:w="7560" w:type="dxa"/>
          </w:tcPr>
          <w:p w14:paraId="56C67290"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Analysis</w:t>
            </w:r>
          </w:p>
        </w:tc>
      </w:tr>
      <w:tr w:rsidR="00E93419" w:rsidRPr="00E93419" w14:paraId="1C323FE3" w14:textId="77777777" w:rsidTr="00E93419">
        <w:tc>
          <w:tcPr>
            <w:tcW w:w="1800" w:type="dxa"/>
          </w:tcPr>
          <w:p w14:paraId="489F56C6"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Political</w:t>
            </w:r>
          </w:p>
        </w:tc>
        <w:tc>
          <w:tcPr>
            <w:tcW w:w="7560" w:type="dxa"/>
          </w:tcPr>
          <w:p w14:paraId="23D0CC16"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India's pharmaceutical policy environment is broadly supportive of foreign investment (100% FDI allowed under the automatic route for greenfield; 74% automatic and above that requires approval for brownfield). FDI inflows into drugs and pharmaceuticals reached US$24.6 billion between April 2000 and June 2025 (IBEF, 2025). However, political pressure on drug prices is persistent — the National Pharmaceutical Pricing Authority (NPPA) regularly caps prices on essential medicines listed in the National List of Essential Medicines (NLEM), which directly affects Pfizer's commercial flexibility. The July 2025 US review of pharmaceutical intellectual property practices in India also introduced some short-term uncertainty (Fortune Business Insights, 2025).</w:t>
            </w:r>
          </w:p>
        </w:tc>
      </w:tr>
      <w:tr w:rsidR="00E93419" w:rsidRPr="00E93419" w14:paraId="0F65C77E" w14:textId="77777777" w:rsidTr="00E93419">
        <w:tc>
          <w:tcPr>
            <w:tcW w:w="1800" w:type="dxa"/>
          </w:tcPr>
          <w:p w14:paraId="4EC99D6A"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Economic</w:t>
            </w:r>
          </w:p>
        </w:tc>
        <w:tc>
          <w:tcPr>
            <w:tcW w:w="7560" w:type="dxa"/>
          </w:tcPr>
          <w:p w14:paraId="27A8BCF5"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 xml:space="preserve">India is the world's fastest-growing large economy, with GDP growth averaging over 6% over the past decade. Rising middle-class incomes lift willingness-to-pay for branded medicines. However, average per-capita pharmaceutical spend is still low (~US$25 per annum compared to over </w:t>
            </w:r>
            <w:r w:rsidRPr="00E93419">
              <w:rPr>
                <w:rFonts w:ascii="Arial" w:hAnsi="Arial" w:cs="Arial"/>
                <w:sz w:val="22"/>
                <w:szCs w:val="22"/>
              </w:rPr>
              <w:lastRenderedPageBreak/>
              <w:t>US$1,000 in the US), limiting price-premium headroom. The Indian rupee has depreciated against the US dollar by roughly 35% over the past decade, creating FX risk for Pfizer's USD-denominated intercompany transactions.</w:t>
            </w:r>
          </w:p>
        </w:tc>
      </w:tr>
      <w:tr w:rsidR="00E93419" w:rsidRPr="00E93419" w14:paraId="31C60208" w14:textId="77777777" w:rsidTr="00E93419">
        <w:tc>
          <w:tcPr>
            <w:tcW w:w="1800" w:type="dxa"/>
          </w:tcPr>
          <w:p w14:paraId="4EA2E0FF"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lastRenderedPageBreak/>
              <w:t>Social</w:t>
            </w:r>
          </w:p>
        </w:tc>
        <w:tc>
          <w:tcPr>
            <w:tcW w:w="7560" w:type="dxa"/>
          </w:tcPr>
          <w:p w14:paraId="599E87A1"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 is undergoing an epidemiological transition. Over 100 million diabetics, rising cardiovascular and cancer incidence, and ageing of the population will drive demand for Pfizer's chronic-therapy portfolio (cardiology, oncology, neurology). Health-insurance penetration remains under 40%, meaning most pharmaceutical spending is out-of-pocket — a driver of price sensitivity. Urban-rural divides in health literacy also create segmented demand patterns.</w:t>
            </w:r>
          </w:p>
        </w:tc>
      </w:tr>
      <w:tr w:rsidR="00E93419" w:rsidRPr="00E93419" w14:paraId="46532D52" w14:textId="77777777" w:rsidTr="00E93419">
        <w:tc>
          <w:tcPr>
            <w:tcW w:w="1800" w:type="dxa"/>
          </w:tcPr>
          <w:p w14:paraId="1448BEE1"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Technological</w:t>
            </w:r>
          </w:p>
        </w:tc>
        <w:tc>
          <w:tcPr>
            <w:tcW w:w="7560" w:type="dxa"/>
          </w:tcPr>
          <w:p w14:paraId="45CF8CA3"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India's digital health infrastructure — the Ayushman Bharat Digital Mission, widespread use of UPI for payments, and rapid e-pharmacy growth (</w:t>
            </w:r>
            <w:proofErr w:type="spellStart"/>
            <w:r w:rsidRPr="00E93419">
              <w:rPr>
                <w:rFonts w:ascii="Arial" w:hAnsi="Arial" w:cs="Arial"/>
                <w:sz w:val="22"/>
                <w:szCs w:val="22"/>
              </w:rPr>
              <w:t>Truemeds</w:t>
            </w:r>
            <w:proofErr w:type="spellEnd"/>
            <w:r w:rsidRPr="00E93419">
              <w:rPr>
                <w:rFonts w:ascii="Arial" w:hAnsi="Arial" w:cs="Arial"/>
                <w:sz w:val="22"/>
                <w:szCs w:val="22"/>
              </w:rPr>
              <w:t xml:space="preserve"> raised US$85m Series C in 2025) — creates opportunities for Pfizer's Go-To-Market digital-transformation strategy and its Pfizer Pro HCP portal (Pfizer India, 2025). AI-driven drug discovery and clinical trials are expanding.</w:t>
            </w:r>
          </w:p>
        </w:tc>
      </w:tr>
      <w:tr w:rsidR="00E93419" w:rsidRPr="00E93419" w14:paraId="7990C6CD" w14:textId="77777777" w:rsidTr="00E93419">
        <w:tc>
          <w:tcPr>
            <w:tcW w:w="1800" w:type="dxa"/>
          </w:tcPr>
          <w:p w14:paraId="7FFE7009"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Environmental</w:t>
            </w:r>
          </w:p>
        </w:tc>
        <w:tc>
          <w:tcPr>
            <w:tcW w:w="7560" w:type="dxa"/>
          </w:tcPr>
          <w:p w14:paraId="5F1D13E3"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Environmental regulation of pharmaceutical manufacturing is tightening, particularly around API effluent in cluster zones such as Hyderabad and Visakhapatnam. Pfizer's Goa plant has invested in green-chemistry upgrades and water-recycling, aligning with both regulatory and ESG-investor expectations.</w:t>
            </w:r>
          </w:p>
        </w:tc>
      </w:tr>
      <w:tr w:rsidR="00E93419" w:rsidRPr="00E93419" w14:paraId="596C09EB" w14:textId="77777777" w:rsidTr="00E93419">
        <w:tc>
          <w:tcPr>
            <w:tcW w:w="1800" w:type="dxa"/>
          </w:tcPr>
          <w:p w14:paraId="4227906C"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Legal</w:t>
            </w:r>
          </w:p>
        </w:tc>
        <w:tc>
          <w:tcPr>
            <w:tcW w:w="7560" w:type="dxa"/>
          </w:tcPr>
          <w:p w14:paraId="02DC5315"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India's patent regime (TRIPS-compliant since 2005) provides product patent protection for 20 years. However, Section 3(d) of the Patents Act prevents "evergreening" — the denial of Pfizer's attempt to patent an improved form of Lyrica was an early test of this provision. Compulsory-licensing provisions under Section 84 also exist, though rarely invoked. Price-control is enforced by the NPPA. The 2025 India-UK CETA has opened new duty-free access to the UK market for 56 pharmaceutical tariff lines (PIB, 2026).</w:t>
            </w:r>
          </w:p>
        </w:tc>
      </w:tr>
    </w:tbl>
    <w:p w14:paraId="20C56C8B" w14:textId="77777777" w:rsidR="00624145" w:rsidRPr="00E93419" w:rsidRDefault="00624145" w:rsidP="00E93419">
      <w:pPr>
        <w:spacing w:line="360" w:lineRule="auto"/>
        <w:jc w:val="both"/>
        <w:rPr>
          <w:rFonts w:ascii="Arial" w:hAnsi="Arial" w:cs="Arial"/>
          <w:sz w:val="22"/>
          <w:szCs w:val="22"/>
        </w:rPr>
      </w:pPr>
    </w:p>
    <w:p w14:paraId="50E1D7C1" w14:textId="392C9E28"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The overall PESTEL profile indicates that India is an attractive market for Pfizer but one that requires continuous adaptation. The combination of demographic-driven demand, favourable technology infrastructure and supportive FDI policy is balanced against persistent price-control risk, intellectual-property challenges, and currency exposure.</w:t>
      </w:r>
    </w:p>
    <w:p w14:paraId="7FBC4509" w14:textId="676C6D72" w:rsidR="00F401BC" w:rsidRDefault="00F401BC" w:rsidP="00E93419">
      <w:pPr>
        <w:spacing w:line="360" w:lineRule="auto"/>
        <w:jc w:val="both"/>
        <w:rPr>
          <w:rFonts w:ascii="Arial" w:hAnsi="Arial" w:cs="Arial"/>
          <w:sz w:val="22"/>
          <w:szCs w:val="22"/>
        </w:rPr>
      </w:pPr>
    </w:p>
    <w:p w14:paraId="45AF9CDC" w14:textId="399AD4A2" w:rsidR="00F401BC" w:rsidRDefault="00F401BC" w:rsidP="00E93419">
      <w:pPr>
        <w:spacing w:line="360" w:lineRule="auto"/>
        <w:jc w:val="both"/>
        <w:rPr>
          <w:rFonts w:ascii="Arial" w:hAnsi="Arial" w:cs="Arial"/>
          <w:sz w:val="22"/>
          <w:szCs w:val="22"/>
        </w:rPr>
      </w:pPr>
    </w:p>
    <w:p w14:paraId="03DC0D3E" w14:textId="77777777" w:rsidR="00F401BC" w:rsidRPr="00E93419" w:rsidRDefault="00F401BC" w:rsidP="00E93419">
      <w:pPr>
        <w:spacing w:line="360" w:lineRule="auto"/>
        <w:jc w:val="both"/>
        <w:rPr>
          <w:rFonts w:ascii="Arial" w:hAnsi="Arial" w:cs="Arial"/>
          <w:sz w:val="22"/>
          <w:szCs w:val="22"/>
        </w:rPr>
      </w:pPr>
    </w:p>
    <w:p w14:paraId="031ED6FE" w14:textId="77777777" w:rsidR="00624145" w:rsidRPr="00E93419" w:rsidRDefault="00C0433A" w:rsidP="00E93419">
      <w:pPr>
        <w:pStyle w:val="Heading2"/>
        <w:spacing w:before="0" w:after="0" w:line="360" w:lineRule="auto"/>
        <w:rPr>
          <w:rFonts w:ascii="Arial" w:hAnsi="Arial" w:cs="Arial"/>
          <w:color w:val="auto"/>
          <w:sz w:val="22"/>
          <w:szCs w:val="22"/>
        </w:rPr>
      </w:pPr>
      <w:bookmarkStart w:id="14" w:name="_Toc228168177"/>
      <w:r w:rsidRPr="00E93419">
        <w:rPr>
          <w:rFonts w:ascii="Arial" w:hAnsi="Arial" w:cs="Arial"/>
          <w:color w:val="auto"/>
          <w:sz w:val="22"/>
          <w:szCs w:val="22"/>
        </w:rPr>
        <w:lastRenderedPageBreak/>
        <w:t>4.3 Cultural and Managerial Factors — Hofstede's Lens</w:t>
      </w:r>
      <w:bookmarkEnd w:id="14"/>
    </w:p>
    <w:p w14:paraId="512A7383" w14:textId="67B92B97"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Hofstede's (1980, 2011) cultural dimensions highlight important behavioural differences between Pfizer's US headquarters and its Indian operations. India scores high on Power Distance (77) versus the US (40), suggesting a more hierarchical management culture. India is moderately collectivist (Individualism 48) against the US's high individualism (91). On uncertainty avoidance India is low (40) versus a moderate US score (46), and on long-term orientation India is high (51). For Pfizer these differences translate into specific management adaptations — more hierarchical approval processes, relationship-based rather than contract-based dealings with Indian distributors, and a longer-time-horizon view of government relations. Trompenaars and Hampden-Turner's (1997) model reinforces these insights, particularly around particularism versus universalism in ethical decisions.</w:t>
      </w:r>
    </w:p>
    <w:p w14:paraId="45CA27B5" w14:textId="77777777" w:rsidR="00F401BC" w:rsidRPr="00E93419" w:rsidRDefault="00F401BC" w:rsidP="00E93419">
      <w:pPr>
        <w:spacing w:line="360" w:lineRule="auto"/>
        <w:jc w:val="both"/>
        <w:rPr>
          <w:rFonts w:ascii="Arial" w:hAnsi="Arial" w:cs="Arial"/>
          <w:sz w:val="22"/>
          <w:szCs w:val="22"/>
        </w:rPr>
      </w:pPr>
    </w:p>
    <w:p w14:paraId="649E4CFF" w14:textId="77777777" w:rsidR="00624145" w:rsidRPr="00E93419" w:rsidRDefault="00C0433A" w:rsidP="00E93419">
      <w:pPr>
        <w:pStyle w:val="Heading2"/>
        <w:spacing w:before="0" w:after="0" w:line="360" w:lineRule="auto"/>
        <w:rPr>
          <w:rFonts w:ascii="Arial" w:hAnsi="Arial" w:cs="Arial"/>
          <w:color w:val="auto"/>
          <w:sz w:val="22"/>
          <w:szCs w:val="22"/>
        </w:rPr>
      </w:pPr>
      <w:bookmarkStart w:id="15" w:name="_Toc228168178"/>
      <w:r w:rsidRPr="00E93419">
        <w:rPr>
          <w:rFonts w:ascii="Arial" w:hAnsi="Arial" w:cs="Arial"/>
          <w:color w:val="auto"/>
          <w:sz w:val="22"/>
          <w:szCs w:val="22"/>
        </w:rPr>
        <w:t>4.4 Market Entry and Operational Model</w:t>
      </w:r>
      <w:bookmarkEnd w:id="15"/>
    </w:p>
    <w:p w14:paraId="27FCAC6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Pfizer's mode of engagement in India is a wholly-owned-subsidiary (WOS) model, complemented by contract-manufacturing and distribution partnerships. This is consistent with the Uppsala internationalisation framework (Johanson and Vahlne, 1977), in which multinational firms progress from arm's-length exports to wholly-owned foreign subsidiaries as their market knowledge deepens. Pfizer entered India in 1950 through direct presence rather than through joint venture, and has maintained this ownership model through multiple subsequent expansions — acquiring Wyeth's India business in 2014 and establishing separate legal entities to optimise commercial, R&amp;D, and manufacturing activities (Pfizer India, 2025).</w:t>
      </w:r>
    </w:p>
    <w:p w14:paraId="236EB620" w14:textId="05A761FF"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Pfizer's distribution network in India comprises 19 Carrying and Forwarding Agents (CFAs) and 1 central hub, which together supply approximately 7,500 stockists and 2,100 institutions (Pfizer India, 2025). This scale is non-trivial but is eclipsed by Sun Pharma and Abbott, which each deal with over 20,000 stockists. Pfizer's Go-To-Market (GTM) transformation — rolling out the Pfizer Pro digital portal for Healthcare Professionals, expanding Healthcare Executive (HCE) roles, and deploying subject-matter experts across Digital, Medical, Healthcare Access and Strategic Accounts teams — is an explicit attempt to leverage India's digital infrastructure and close the distribution gap with domestic leaders.</w:t>
      </w:r>
    </w:p>
    <w:p w14:paraId="01673906" w14:textId="77777777" w:rsidR="00F401BC" w:rsidRPr="00E93419" w:rsidRDefault="00F401BC" w:rsidP="00E93419">
      <w:pPr>
        <w:spacing w:line="360" w:lineRule="auto"/>
        <w:jc w:val="both"/>
        <w:rPr>
          <w:rFonts w:ascii="Arial" w:hAnsi="Arial" w:cs="Arial"/>
          <w:sz w:val="22"/>
          <w:szCs w:val="22"/>
        </w:rPr>
      </w:pPr>
    </w:p>
    <w:p w14:paraId="694DA0C5" w14:textId="77777777" w:rsidR="00624145" w:rsidRPr="00E93419" w:rsidRDefault="00C0433A" w:rsidP="00E93419">
      <w:pPr>
        <w:pStyle w:val="Heading2"/>
        <w:spacing w:before="0" w:after="0" w:line="360" w:lineRule="auto"/>
        <w:rPr>
          <w:rFonts w:ascii="Arial" w:hAnsi="Arial" w:cs="Arial"/>
          <w:color w:val="auto"/>
          <w:sz w:val="22"/>
          <w:szCs w:val="22"/>
        </w:rPr>
      </w:pPr>
      <w:bookmarkStart w:id="16" w:name="_Toc228168179"/>
      <w:r w:rsidRPr="00E93419">
        <w:rPr>
          <w:rFonts w:ascii="Arial" w:hAnsi="Arial" w:cs="Arial"/>
          <w:color w:val="auto"/>
          <w:sz w:val="22"/>
          <w:szCs w:val="22"/>
        </w:rPr>
        <w:t>4.5 Critical Success Factors</w:t>
      </w:r>
      <w:bookmarkEnd w:id="16"/>
    </w:p>
    <w:p w14:paraId="621D99C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Based on the preceding analysis, five critical success factors determine Pfizer's performance in India:</w:t>
      </w:r>
    </w:p>
    <w:p w14:paraId="24A15CE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First, portfolio tailoring. Pfizer cannot win in India by simply selling patented Western blockbusters at Western prices. Its success depends on a blended portfolio covering patented innovations (</w:t>
      </w:r>
      <w:proofErr w:type="gramStart"/>
      <w:r w:rsidRPr="00E93419">
        <w:rPr>
          <w:rFonts w:ascii="Arial" w:hAnsi="Arial" w:cs="Arial"/>
          <w:sz w:val="22"/>
          <w:szCs w:val="22"/>
        </w:rPr>
        <w:t>e.g.</w:t>
      </w:r>
      <w:proofErr w:type="gramEnd"/>
      <w:r w:rsidRPr="00E93419">
        <w:rPr>
          <w:rFonts w:ascii="Arial" w:hAnsi="Arial" w:cs="Arial"/>
          <w:sz w:val="22"/>
          <w:szCs w:val="22"/>
        </w:rPr>
        <w:t xml:space="preserve"> Prevenar 13), off-patent established brands (e.g. </w:t>
      </w:r>
      <w:proofErr w:type="spellStart"/>
      <w:r w:rsidRPr="00E93419">
        <w:rPr>
          <w:rFonts w:ascii="Arial" w:hAnsi="Arial" w:cs="Arial"/>
          <w:sz w:val="22"/>
          <w:szCs w:val="22"/>
        </w:rPr>
        <w:t>Becosules</w:t>
      </w:r>
      <w:proofErr w:type="spellEnd"/>
      <w:r w:rsidRPr="00E93419">
        <w:rPr>
          <w:rFonts w:ascii="Arial" w:hAnsi="Arial" w:cs="Arial"/>
          <w:sz w:val="22"/>
          <w:szCs w:val="22"/>
        </w:rPr>
        <w:t xml:space="preserve">, </w:t>
      </w:r>
      <w:proofErr w:type="spellStart"/>
      <w:r w:rsidRPr="00E93419">
        <w:rPr>
          <w:rFonts w:ascii="Arial" w:hAnsi="Arial" w:cs="Arial"/>
          <w:sz w:val="22"/>
          <w:szCs w:val="22"/>
        </w:rPr>
        <w:t>Gelusil</w:t>
      </w:r>
      <w:proofErr w:type="spellEnd"/>
      <w:r w:rsidRPr="00E93419">
        <w:rPr>
          <w:rFonts w:ascii="Arial" w:hAnsi="Arial" w:cs="Arial"/>
          <w:sz w:val="22"/>
          <w:szCs w:val="22"/>
        </w:rPr>
        <w:t xml:space="preserve">, </w:t>
      </w:r>
      <w:proofErr w:type="spellStart"/>
      <w:r w:rsidRPr="00E93419">
        <w:rPr>
          <w:rFonts w:ascii="Arial" w:hAnsi="Arial" w:cs="Arial"/>
          <w:sz w:val="22"/>
          <w:szCs w:val="22"/>
        </w:rPr>
        <w:t>Corex</w:t>
      </w:r>
      <w:proofErr w:type="spellEnd"/>
      <w:r w:rsidRPr="00E93419">
        <w:rPr>
          <w:rFonts w:ascii="Arial" w:hAnsi="Arial" w:cs="Arial"/>
          <w:sz w:val="22"/>
          <w:szCs w:val="22"/>
        </w:rPr>
        <w:t xml:space="preserve">), </w:t>
      </w:r>
      <w:r w:rsidRPr="00E93419">
        <w:rPr>
          <w:rFonts w:ascii="Arial" w:hAnsi="Arial" w:cs="Arial"/>
          <w:sz w:val="22"/>
          <w:szCs w:val="22"/>
        </w:rPr>
        <w:lastRenderedPageBreak/>
        <w:t>and appropriately-priced formulations for the Indian income distribution. Since 2014 Pfizer globally has maintained an Established Products Business Unit specifically for emerging markets (Pfizer, 2015).</w:t>
      </w:r>
    </w:p>
    <w:p w14:paraId="5D76F70B"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Second, government and regulatory relationships. Constructive engagement with the Central Drugs Standard Control Organisation (CDSCO), the NPPA, the Department of Pharmaceuticals and state governments is essential to navigate price controls, import licensing, and quality compliance. Pfizer's public affairs teams have invested in such relationships for decades.</w:t>
      </w:r>
    </w:p>
    <w:p w14:paraId="37F0400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Third, local manufacturing. Pfizer's Goa tablet plant and the Chennai R&amp;D/parenteral manufacturing facility give it cost, quality and speed-to-market advantages, and they insulate revenue from import-tariff risk. The 2024–2025 US tariff uncertainty underscored the value of local production.</w:t>
      </w:r>
    </w:p>
    <w:p w14:paraId="16D44C7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Fourth, talent. Pfizer's 5,500-person India workforce is not only low-cost relative to the US/Europe but also highly skilled. Pfizer's India Global Capability Centre supports worldwide research, regulatory, IT, finance and medical operations — turning India from a "local market" into a strategic global hub. This mirrors the approach adopted by Sanofi (US$435m Hyderabad GCC expansion in 2025) and other peers (IBEF, 2025).</w:t>
      </w:r>
    </w:p>
    <w:p w14:paraId="6987475A" w14:textId="0378564F"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Fifth, partnerships and in-licensing. In February 2026 Pfizer Limited announced an exclusive marketing deal with Cipla for a portfolio of products (India Infoline, 2026), continuing its strategy of partnering with local leaders to expand reach. Such partnerships — alongside its 2022 Accelerator investment in Ramja </w:t>
      </w:r>
      <w:proofErr w:type="spellStart"/>
      <w:r w:rsidRPr="00E93419">
        <w:rPr>
          <w:rFonts w:ascii="Arial" w:hAnsi="Arial" w:cs="Arial"/>
          <w:sz w:val="22"/>
          <w:szCs w:val="22"/>
        </w:rPr>
        <w:t>Genosensor</w:t>
      </w:r>
      <w:proofErr w:type="spellEnd"/>
      <w:r w:rsidRPr="00E93419">
        <w:rPr>
          <w:rFonts w:ascii="Arial" w:hAnsi="Arial" w:cs="Arial"/>
          <w:sz w:val="22"/>
          <w:szCs w:val="22"/>
        </w:rPr>
        <w:t xml:space="preserve"> — leverage the related-and-supporting-industries strength of the Indian diamond.</w:t>
      </w:r>
    </w:p>
    <w:p w14:paraId="3A93C51B" w14:textId="77777777" w:rsidR="00B3773C" w:rsidRPr="00E93419" w:rsidRDefault="00B3773C" w:rsidP="00E93419">
      <w:pPr>
        <w:spacing w:line="360" w:lineRule="auto"/>
        <w:jc w:val="both"/>
        <w:rPr>
          <w:rFonts w:ascii="Arial" w:hAnsi="Arial" w:cs="Arial"/>
          <w:sz w:val="22"/>
          <w:szCs w:val="22"/>
        </w:rPr>
      </w:pPr>
    </w:p>
    <w:p w14:paraId="05C92FC6" w14:textId="77777777" w:rsidR="00624145" w:rsidRPr="00E93419" w:rsidRDefault="00C0433A" w:rsidP="00E93419">
      <w:pPr>
        <w:pStyle w:val="Heading2"/>
        <w:spacing w:before="0" w:after="0" w:line="360" w:lineRule="auto"/>
        <w:rPr>
          <w:rFonts w:ascii="Arial" w:hAnsi="Arial" w:cs="Arial"/>
          <w:color w:val="auto"/>
          <w:sz w:val="22"/>
          <w:szCs w:val="22"/>
        </w:rPr>
      </w:pPr>
      <w:bookmarkStart w:id="17" w:name="_Toc228168180"/>
      <w:r w:rsidRPr="00E93419">
        <w:rPr>
          <w:rFonts w:ascii="Arial" w:hAnsi="Arial" w:cs="Arial"/>
          <w:color w:val="auto"/>
          <w:sz w:val="22"/>
          <w:szCs w:val="22"/>
        </w:rPr>
        <w:t>4.6 Challenges and Risks</w:t>
      </w:r>
      <w:bookmarkEnd w:id="17"/>
    </w:p>
    <w:p w14:paraId="123A7DDF" w14:textId="20E5932B"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Pfizer faces material challenges in India. First, pricing pressure — the NPPA capped Prevenar 13 and several of Pfizer's branded generics in 2022–2024, directly eroding margins. Second, generic competition — as patents expire, Pfizer's brands face fierce competition from Sun, Cipla, Dr Reddy's and others selling equivalent formulations at 30–70% lower prices. Third, intellectual-property friction — the denial of several Pfizer patent applications under Section 3(d) and the active public-interest litigation environment limit product lifecycle extensions. Fourth, currency and geopolitical risk — INR depreciation and US-India trade tensions create volatility. Finally, talent retention — India's hot market for pharmaceutical professionals has pushed up wages and attrition.</w:t>
      </w:r>
    </w:p>
    <w:p w14:paraId="224BA5A6" w14:textId="105C553C" w:rsidR="00F401BC" w:rsidRDefault="00F401BC" w:rsidP="00E93419">
      <w:pPr>
        <w:spacing w:line="360" w:lineRule="auto"/>
        <w:jc w:val="both"/>
        <w:rPr>
          <w:rFonts w:ascii="Arial" w:hAnsi="Arial" w:cs="Arial"/>
          <w:sz w:val="22"/>
          <w:szCs w:val="22"/>
        </w:rPr>
      </w:pPr>
    </w:p>
    <w:p w14:paraId="413E9F03" w14:textId="1A67031E" w:rsidR="00F401BC" w:rsidRDefault="00F401BC" w:rsidP="00E93419">
      <w:pPr>
        <w:spacing w:line="360" w:lineRule="auto"/>
        <w:jc w:val="both"/>
        <w:rPr>
          <w:rFonts w:ascii="Arial" w:hAnsi="Arial" w:cs="Arial"/>
          <w:sz w:val="22"/>
          <w:szCs w:val="22"/>
        </w:rPr>
      </w:pPr>
    </w:p>
    <w:p w14:paraId="7CEF653E" w14:textId="77777777" w:rsidR="00F401BC" w:rsidRDefault="00F401BC" w:rsidP="00E93419">
      <w:pPr>
        <w:spacing w:line="360" w:lineRule="auto"/>
        <w:jc w:val="both"/>
        <w:rPr>
          <w:rFonts w:ascii="Arial" w:hAnsi="Arial" w:cs="Arial"/>
          <w:sz w:val="22"/>
          <w:szCs w:val="22"/>
        </w:rPr>
      </w:pPr>
    </w:p>
    <w:p w14:paraId="2CE25862" w14:textId="77777777" w:rsidR="00B3773C" w:rsidRPr="00E93419" w:rsidRDefault="00B3773C" w:rsidP="00E93419">
      <w:pPr>
        <w:spacing w:line="360" w:lineRule="auto"/>
        <w:jc w:val="both"/>
        <w:rPr>
          <w:rFonts w:ascii="Arial" w:hAnsi="Arial" w:cs="Arial"/>
          <w:sz w:val="22"/>
          <w:szCs w:val="22"/>
        </w:rPr>
      </w:pPr>
    </w:p>
    <w:p w14:paraId="68FB9DAA" w14:textId="0A0BD85E" w:rsidR="00624145" w:rsidRPr="00E93419" w:rsidRDefault="00C0433A" w:rsidP="00E93419">
      <w:pPr>
        <w:pStyle w:val="Heading1"/>
        <w:spacing w:before="0" w:after="0" w:line="360" w:lineRule="auto"/>
        <w:rPr>
          <w:rFonts w:ascii="Arial" w:hAnsi="Arial" w:cs="Arial"/>
          <w:color w:val="auto"/>
          <w:sz w:val="22"/>
          <w:szCs w:val="22"/>
        </w:rPr>
      </w:pPr>
      <w:bookmarkStart w:id="18" w:name="_Toc228168181"/>
      <w:r w:rsidRPr="00E93419">
        <w:rPr>
          <w:rFonts w:ascii="Arial" w:hAnsi="Arial" w:cs="Arial"/>
          <w:color w:val="auto"/>
          <w:sz w:val="22"/>
          <w:szCs w:val="22"/>
        </w:rPr>
        <w:lastRenderedPageBreak/>
        <w:t>5. Conclusion</w:t>
      </w:r>
      <w:bookmarkEnd w:id="18"/>
      <w:r w:rsidRPr="00E93419">
        <w:rPr>
          <w:rFonts w:ascii="Arial" w:hAnsi="Arial" w:cs="Arial"/>
          <w:color w:val="auto"/>
          <w:sz w:val="22"/>
          <w:szCs w:val="22"/>
        </w:rPr>
        <w:t xml:space="preserve"> </w:t>
      </w:r>
    </w:p>
    <w:p w14:paraId="194A3BF9" w14:textId="0B169D9A" w:rsidR="00624145" w:rsidRPr="00E93419" w:rsidRDefault="00C0433A" w:rsidP="005F001A">
      <w:pPr>
        <w:spacing w:line="360" w:lineRule="auto"/>
        <w:jc w:val="both"/>
        <w:rPr>
          <w:rFonts w:ascii="Arial" w:hAnsi="Arial" w:cs="Arial"/>
          <w:sz w:val="22"/>
          <w:szCs w:val="22"/>
        </w:rPr>
      </w:pPr>
      <w:r w:rsidRPr="00E93419">
        <w:rPr>
          <w:rFonts w:ascii="Arial" w:hAnsi="Arial" w:cs="Arial"/>
          <w:sz w:val="22"/>
          <w:szCs w:val="22"/>
        </w:rPr>
        <w:t>This report has demonstrated that the Indian pharmaceutical industry is one of the most competitive and strategically important in the global economy. Porter's Diamond Model reveals a mutually reinforcing system of advanced human-capital, demanding domestic customers, dense supporting-industry clusters, fierce domestic rivalry, and supportive government policy. The combined market size of US$55 billion in 2025 with projected growth to US$120-130 billion by 2030, the global supply role as "pharmacy of the world", and the India-UK CETA of July 2025 all point to durable and widening attractiveness.</w:t>
      </w:r>
      <w:r w:rsidR="000C6CC5">
        <w:rPr>
          <w:rFonts w:ascii="Arial" w:hAnsi="Arial" w:cs="Arial"/>
          <w:sz w:val="22"/>
          <w:szCs w:val="22"/>
        </w:rPr>
        <w:t xml:space="preserve"> </w:t>
      </w:r>
      <w:r w:rsidRPr="00E93419">
        <w:rPr>
          <w:rFonts w:ascii="Arial" w:hAnsi="Arial" w:cs="Arial"/>
          <w:sz w:val="22"/>
          <w:szCs w:val="22"/>
        </w:rPr>
        <w:t xml:space="preserve">For Pfizer Inc. — operating in India continuously since 1950 through three legal entities, 5,500+ employees, a Goa manufacturing plant and a Chennai R&amp;D centre — India is simultaneously a growth market, a global manufacturing hub, and a strategic sourcing base for capabilities, clinical trials and digital services. The critical success factors identified are portfolio tailoring, regulatory-relationship management, local manufacturing, high-quality talent, and strategic partnerships such as the 2026 Cipla marketing deal. The main risks remain NPPA price control, generic substitution, patent-law friction under Section 3(d), currency volatility, and talent </w:t>
      </w:r>
      <w:proofErr w:type="spellStart"/>
      <w:proofErr w:type="gramStart"/>
      <w:r w:rsidRPr="00E93419">
        <w:rPr>
          <w:rFonts w:ascii="Arial" w:hAnsi="Arial" w:cs="Arial"/>
          <w:sz w:val="22"/>
          <w:szCs w:val="22"/>
        </w:rPr>
        <w:t>competition.The</w:t>
      </w:r>
      <w:proofErr w:type="spellEnd"/>
      <w:proofErr w:type="gramEnd"/>
      <w:r w:rsidRPr="00E93419">
        <w:rPr>
          <w:rFonts w:ascii="Arial" w:hAnsi="Arial" w:cs="Arial"/>
          <w:sz w:val="22"/>
          <w:szCs w:val="22"/>
        </w:rPr>
        <w:t xml:space="preserve"> wider theoretical contribution of this analysis is that the Indian pharmaceutical case strongly supports Porter's original (1990) insistence that national competitive advantage is created, not inherited. India's rise from a tiny industry in 1950 to the world's third-largest producer by volume in 2026 has been the product of deliberate government policy, sustained investment in created factor conditions, demanding customers, and cluster-enabled innovation. For foreign MNCs like Pfizer, winning in India requires matching that systemic sophistication with carefully adapted strategy.</w:t>
      </w:r>
      <w:r w:rsidRPr="00E93419">
        <w:rPr>
          <w:rFonts w:ascii="Arial" w:hAnsi="Arial" w:cs="Arial"/>
          <w:sz w:val="22"/>
          <w:szCs w:val="22"/>
        </w:rPr>
        <w:br w:type="page"/>
      </w:r>
    </w:p>
    <w:p w14:paraId="4FEB8C08" w14:textId="0DD8569B" w:rsidR="00624145" w:rsidRPr="00E93419" w:rsidRDefault="00C0433A" w:rsidP="00E93419">
      <w:pPr>
        <w:pStyle w:val="Heading1"/>
        <w:spacing w:before="0" w:after="0" w:line="360" w:lineRule="auto"/>
        <w:rPr>
          <w:rFonts w:ascii="Arial" w:hAnsi="Arial" w:cs="Arial"/>
          <w:color w:val="auto"/>
          <w:sz w:val="22"/>
          <w:szCs w:val="22"/>
        </w:rPr>
      </w:pPr>
      <w:bookmarkStart w:id="19" w:name="_Toc228168182"/>
      <w:r w:rsidRPr="00E93419">
        <w:rPr>
          <w:rFonts w:ascii="Arial" w:hAnsi="Arial" w:cs="Arial"/>
          <w:color w:val="auto"/>
          <w:sz w:val="22"/>
          <w:szCs w:val="22"/>
        </w:rPr>
        <w:lastRenderedPageBreak/>
        <w:t>Section 2: Reflective Account — Gibbs' Reflective Cycle</w:t>
      </w:r>
      <w:bookmarkEnd w:id="19"/>
      <w:r w:rsidRPr="00E93419">
        <w:rPr>
          <w:rFonts w:ascii="Arial" w:hAnsi="Arial" w:cs="Arial"/>
          <w:color w:val="auto"/>
          <w:sz w:val="22"/>
          <w:szCs w:val="22"/>
        </w:rPr>
        <w:t xml:space="preserve"> </w:t>
      </w:r>
    </w:p>
    <w:p w14:paraId="1A68012D" w14:textId="13BAD686"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Gibbs' (1988) six-stage reflective cycle — Description, Feelings, Evaluation, Analysis, Conclusion and Action Plan — was used to reflect on the experience of researching, analysing and writing this international business report. Gibbs was chosen over Kolb's experiential-learning cycle (Kolb, 1984) because of Gibbs' explicit emphasis on feelings, which Jasper (2013) argues is particularly valuable for postgraduate learners working on topics that connect to personal identity — in my case, researching an industry that touches family and community members in India and Bangladesh.</w:t>
      </w:r>
    </w:p>
    <w:p w14:paraId="01C49332" w14:textId="77777777" w:rsidR="000C6CC5" w:rsidRPr="00E93419" w:rsidRDefault="000C6CC5" w:rsidP="00E93419">
      <w:pPr>
        <w:spacing w:line="360" w:lineRule="auto"/>
        <w:jc w:val="both"/>
        <w:rPr>
          <w:rFonts w:ascii="Arial" w:hAnsi="Arial" w:cs="Arial"/>
          <w:sz w:val="22"/>
          <w:szCs w:val="22"/>
        </w:rPr>
      </w:pPr>
    </w:p>
    <w:p w14:paraId="2301CEE7" w14:textId="77777777" w:rsidR="00624145" w:rsidRPr="00E93419" w:rsidRDefault="00C0433A" w:rsidP="00E93419">
      <w:pPr>
        <w:pStyle w:val="Heading3"/>
        <w:spacing w:before="0" w:after="0" w:line="360" w:lineRule="auto"/>
        <w:rPr>
          <w:rFonts w:ascii="Arial" w:hAnsi="Arial" w:cs="Arial"/>
          <w:color w:val="auto"/>
          <w:sz w:val="22"/>
          <w:szCs w:val="22"/>
        </w:rPr>
      </w:pPr>
      <w:bookmarkStart w:id="20" w:name="_Toc228168183"/>
      <w:r w:rsidRPr="00E93419">
        <w:rPr>
          <w:rFonts w:ascii="Arial" w:hAnsi="Arial" w:cs="Arial"/>
          <w:color w:val="auto"/>
          <w:sz w:val="22"/>
          <w:szCs w:val="22"/>
        </w:rPr>
        <w:t>Description</w:t>
      </w:r>
      <w:bookmarkEnd w:id="20"/>
    </w:p>
    <w:p w14:paraId="176B2633" w14:textId="6D4FA7B3"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The task required an international industry and business report focused on a chosen country-industry pair, with the application of Porter's Diamond Model, PESTEL and suitable analytical frameworks, followed by a 1,000-word reflective account. I was assigned the pharmaceutical industry in India and Pfizer Inc. as the foreign MNC. Over approximately five weeks I read industry reports (Mordor Intelligence, IBEF, IMARC, Fortune Business Insights), official government publications (the Press Information Bureau, Economic Survey 2025-26), Pfizer's own disclosures, and academic sources on international business theory. I then built the analysis section-by-section, iterating each section before moving on.</w:t>
      </w:r>
    </w:p>
    <w:p w14:paraId="23E16343" w14:textId="77777777" w:rsidR="000C6CC5" w:rsidRPr="00E93419" w:rsidRDefault="000C6CC5" w:rsidP="00E93419">
      <w:pPr>
        <w:spacing w:line="360" w:lineRule="auto"/>
        <w:jc w:val="both"/>
        <w:rPr>
          <w:rFonts w:ascii="Arial" w:hAnsi="Arial" w:cs="Arial"/>
          <w:sz w:val="22"/>
          <w:szCs w:val="22"/>
        </w:rPr>
      </w:pPr>
    </w:p>
    <w:p w14:paraId="04A52170" w14:textId="77777777" w:rsidR="00624145" w:rsidRPr="00E93419" w:rsidRDefault="00C0433A" w:rsidP="00E93419">
      <w:pPr>
        <w:pStyle w:val="Heading3"/>
        <w:spacing w:before="0" w:after="0" w:line="360" w:lineRule="auto"/>
        <w:rPr>
          <w:rFonts w:ascii="Arial" w:hAnsi="Arial" w:cs="Arial"/>
          <w:color w:val="auto"/>
          <w:sz w:val="22"/>
          <w:szCs w:val="22"/>
        </w:rPr>
      </w:pPr>
      <w:bookmarkStart w:id="21" w:name="_Toc228168184"/>
      <w:r w:rsidRPr="00E93419">
        <w:rPr>
          <w:rFonts w:ascii="Arial" w:hAnsi="Arial" w:cs="Arial"/>
          <w:color w:val="auto"/>
          <w:sz w:val="22"/>
          <w:szCs w:val="22"/>
        </w:rPr>
        <w:t>Feelings</w:t>
      </w:r>
      <w:bookmarkEnd w:id="21"/>
    </w:p>
    <w:p w14:paraId="4E006DEC" w14:textId="1DF3FE31"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My initial feeling was relief — pharmaceuticals is an industry I have close exposure to through extended family in the sector, and Pfizer is globally recognisable. I felt confident about the topic. By the middle of the </w:t>
      </w:r>
      <w:proofErr w:type="gramStart"/>
      <w:r w:rsidRPr="00E93419">
        <w:rPr>
          <w:rFonts w:ascii="Arial" w:hAnsi="Arial" w:cs="Arial"/>
          <w:sz w:val="22"/>
          <w:szCs w:val="22"/>
        </w:rPr>
        <w:t>assignment</w:t>
      </w:r>
      <w:proofErr w:type="gramEnd"/>
      <w:r w:rsidRPr="00E93419">
        <w:rPr>
          <w:rFonts w:ascii="Arial" w:hAnsi="Arial" w:cs="Arial"/>
          <w:sz w:val="22"/>
          <w:szCs w:val="22"/>
        </w:rPr>
        <w:t xml:space="preserve"> I had shifted to a feeling of intellectual excitement: applying Porter's Diamond to India revealed a far richer story than I had expected. In the final week, however, I felt anxiety about whether my analysis would be sufficiently critical at the Level 7 standard. I worried that I was describing more than I was evaluating. I addressed this by reworking several paragraphs, introducing explicit framework-based critiques and contrasting Pfizer with peer MNCs like Abbott, GSK, and Sanofi.</w:t>
      </w:r>
    </w:p>
    <w:p w14:paraId="346B6B47" w14:textId="77777777" w:rsidR="000C6CC5" w:rsidRPr="00E93419" w:rsidRDefault="000C6CC5" w:rsidP="00E93419">
      <w:pPr>
        <w:spacing w:line="360" w:lineRule="auto"/>
        <w:jc w:val="both"/>
        <w:rPr>
          <w:rFonts w:ascii="Arial" w:hAnsi="Arial" w:cs="Arial"/>
          <w:sz w:val="22"/>
          <w:szCs w:val="22"/>
        </w:rPr>
      </w:pPr>
    </w:p>
    <w:p w14:paraId="0185E555" w14:textId="77777777" w:rsidR="00624145" w:rsidRPr="00E93419" w:rsidRDefault="00C0433A" w:rsidP="00E93419">
      <w:pPr>
        <w:pStyle w:val="Heading3"/>
        <w:spacing w:before="0" w:after="0" w:line="360" w:lineRule="auto"/>
        <w:rPr>
          <w:rFonts w:ascii="Arial" w:hAnsi="Arial" w:cs="Arial"/>
          <w:color w:val="auto"/>
          <w:sz w:val="22"/>
          <w:szCs w:val="22"/>
        </w:rPr>
      </w:pPr>
      <w:bookmarkStart w:id="22" w:name="_Toc228168185"/>
      <w:r w:rsidRPr="00E93419">
        <w:rPr>
          <w:rFonts w:ascii="Arial" w:hAnsi="Arial" w:cs="Arial"/>
          <w:color w:val="auto"/>
          <w:sz w:val="22"/>
          <w:szCs w:val="22"/>
        </w:rPr>
        <w:t>Evaluation</w:t>
      </w:r>
      <w:bookmarkEnd w:id="22"/>
    </w:p>
    <w:p w14:paraId="08BBA54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Reflecting on what went well and less well, three points stand out. First, I used a diverse range of sources and dated them carefully to 2025–2026 — a priority at Level 7 where recency and credibility are valued. The Economic Survey 2025-26, PIB, IBEF and company disclosures gave the report a credible factual foundation. Second, I integrated frameworks rather than simply applying them serially — PESTEL fed the Diamond's government and chance variables; Hofstede linked to Pfizer's operational model. Third, the table-based presentation of PESTEL, competitive positioning and other analyses improved clarity.</w:t>
      </w:r>
    </w:p>
    <w:p w14:paraId="21BF6B02" w14:textId="7DBB0058" w:rsidR="00624145" w:rsidRDefault="00C0433A" w:rsidP="00E93419">
      <w:pPr>
        <w:spacing w:line="360" w:lineRule="auto"/>
        <w:jc w:val="both"/>
        <w:rPr>
          <w:rFonts w:ascii="Arial" w:hAnsi="Arial" w:cs="Arial"/>
          <w:sz w:val="22"/>
          <w:szCs w:val="22"/>
        </w:rPr>
      </w:pPr>
      <w:r w:rsidRPr="00E93419">
        <w:rPr>
          <w:rFonts w:ascii="Arial" w:hAnsi="Arial" w:cs="Arial"/>
          <w:sz w:val="22"/>
          <w:szCs w:val="22"/>
        </w:rPr>
        <w:lastRenderedPageBreak/>
        <w:t>What went less well was balance of scope versus depth. The 4,000-word limit pushed me to cover a very broad topic area (an entire industry plus a multinational's strategy) quickly, and I feel the Porter's Diamond section could have gone deeper into the "chance" variable and the role of the 1970 Indian Patents Act, which is really the foundational "chance" event for the entire industry. I also found the interaction between Indian IP law (Section 3(d)) and Pfizer's global strategy fascinating but could only give it a paragraph.</w:t>
      </w:r>
    </w:p>
    <w:p w14:paraId="0A0927B5" w14:textId="77777777" w:rsidR="000C6CC5" w:rsidRPr="00E93419" w:rsidRDefault="000C6CC5" w:rsidP="00E93419">
      <w:pPr>
        <w:spacing w:line="360" w:lineRule="auto"/>
        <w:jc w:val="both"/>
        <w:rPr>
          <w:rFonts w:ascii="Arial" w:hAnsi="Arial" w:cs="Arial"/>
          <w:sz w:val="22"/>
          <w:szCs w:val="22"/>
        </w:rPr>
      </w:pPr>
    </w:p>
    <w:p w14:paraId="4778FA24" w14:textId="77777777" w:rsidR="00624145" w:rsidRPr="00E93419" w:rsidRDefault="00C0433A" w:rsidP="00E93419">
      <w:pPr>
        <w:pStyle w:val="Heading3"/>
        <w:spacing w:before="0" w:after="0" w:line="360" w:lineRule="auto"/>
        <w:rPr>
          <w:rFonts w:ascii="Arial" w:hAnsi="Arial" w:cs="Arial"/>
          <w:color w:val="auto"/>
          <w:sz w:val="22"/>
          <w:szCs w:val="22"/>
        </w:rPr>
      </w:pPr>
      <w:bookmarkStart w:id="23" w:name="_Toc228168186"/>
      <w:r w:rsidRPr="00E93419">
        <w:rPr>
          <w:rFonts w:ascii="Arial" w:hAnsi="Arial" w:cs="Arial"/>
          <w:color w:val="auto"/>
          <w:sz w:val="22"/>
          <w:szCs w:val="22"/>
        </w:rPr>
        <w:t>Analysis</w:t>
      </w:r>
      <w:bookmarkEnd w:id="23"/>
    </w:p>
    <w:p w14:paraId="0721011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Three deeper analytical lessons emerged. First, I learned that Porter's Diamond is strongest when used not as a checklist but as a systemic model. The four determinants are mutually reinforcing, and the quality of India's pharmaceutical industry cannot be explained by any single factor; it is the cluster effect that matters. Rugman and D'Cruz's (1993) "double diamond" extension — which considers home-country and host-country diamonds jointly for small open economies — would have added further insight if the page budget had allowed.</w:t>
      </w:r>
    </w:p>
    <w:p w14:paraId="1832E45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Second, I came to understand that national competitive advantage is path-dependent. The Indian pharmaceutical industry exists in its current form because of specific decisions made in 1970 (process-patents only), 2005 (TRIPS compliance), and 2020–2024 (PLI scheme). Had any of these been different, the industry would look radically different today. This aligns with North's (1990) institutional economics and with the more recent work of Acemoglu and Robinson (2012) on "inclusive institutions".</w:t>
      </w:r>
    </w:p>
    <w:p w14:paraId="736F689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Third, I gained new appreciation for how MNCs like Pfizer must be simultaneously global and deeply local. Pfizer's three-entity structure in India, its 5,500 local employees, its Goa plant and Chennai R&amp;D centre, and its partnerships with Indian companies (Cipla, Ramja </w:t>
      </w:r>
      <w:proofErr w:type="spellStart"/>
      <w:r w:rsidRPr="00E93419">
        <w:rPr>
          <w:rFonts w:ascii="Arial" w:hAnsi="Arial" w:cs="Arial"/>
          <w:sz w:val="22"/>
          <w:szCs w:val="22"/>
        </w:rPr>
        <w:t>Genosensor</w:t>
      </w:r>
      <w:proofErr w:type="spellEnd"/>
      <w:r w:rsidRPr="00E93419">
        <w:rPr>
          <w:rFonts w:ascii="Arial" w:hAnsi="Arial" w:cs="Arial"/>
          <w:sz w:val="22"/>
          <w:szCs w:val="22"/>
        </w:rPr>
        <w:t>) collectively demonstrate what Bartlett and Ghoshal (1989) termed the "transnational solution" — global efficiency combined with local responsiveness and worldwide learning.</w:t>
      </w:r>
    </w:p>
    <w:p w14:paraId="140BB05D" w14:textId="621EF954"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A specific challenge was cultural analysis. Hofstede's dimensions are now over 40 years old and have been criticised for essentialism (McSweeney, 2002). I addressed this by treating Hofstede as a starting hypothesis rather than a conclusion, and by triangulating against Trompenaars and Hampden-Turner (1997) and against primary observation from Pfizer's own disclosures about organisational culture.</w:t>
      </w:r>
    </w:p>
    <w:p w14:paraId="594FE654" w14:textId="77777777" w:rsidR="000C6CC5" w:rsidRPr="00E93419" w:rsidRDefault="000C6CC5" w:rsidP="00E93419">
      <w:pPr>
        <w:spacing w:line="360" w:lineRule="auto"/>
        <w:jc w:val="both"/>
        <w:rPr>
          <w:rFonts w:ascii="Arial" w:hAnsi="Arial" w:cs="Arial"/>
          <w:sz w:val="22"/>
          <w:szCs w:val="22"/>
        </w:rPr>
      </w:pPr>
    </w:p>
    <w:p w14:paraId="1F799510" w14:textId="77777777" w:rsidR="00624145" w:rsidRPr="00E93419" w:rsidRDefault="00C0433A" w:rsidP="00E93419">
      <w:pPr>
        <w:pStyle w:val="Heading3"/>
        <w:spacing w:before="0" w:after="0" w:line="360" w:lineRule="auto"/>
        <w:rPr>
          <w:rFonts w:ascii="Arial" w:hAnsi="Arial" w:cs="Arial"/>
          <w:color w:val="auto"/>
          <w:sz w:val="22"/>
          <w:szCs w:val="22"/>
        </w:rPr>
      </w:pPr>
      <w:bookmarkStart w:id="24" w:name="_Toc228168187"/>
      <w:r w:rsidRPr="00E93419">
        <w:rPr>
          <w:rFonts w:ascii="Arial" w:hAnsi="Arial" w:cs="Arial"/>
          <w:color w:val="auto"/>
          <w:sz w:val="22"/>
          <w:szCs w:val="22"/>
        </w:rPr>
        <w:t>Conclusion</w:t>
      </w:r>
      <w:bookmarkEnd w:id="24"/>
    </w:p>
    <w:p w14:paraId="16583FE9" w14:textId="78CCE103"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My overall conclusion is that I now have a more confident and nuanced understanding of international business analysis than I did at the start of this module. The Diamond Model, PESTEL, Hofstede, and the Uppsala internationalisation model are not isolated tools but complementary lenses — each reveals part of the picture. I also concluded that credibility in </w:t>
      </w:r>
      <w:r w:rsidRPr="00E93419">
        <w:rPr>
          <w:rFonts w:ascii="Arial" w:hAnsi="Arial" w:cs="Arial"/>
          <w:sz w:val="22"/>
          <w:szCs w:val="22"/>
        </w:rPr>
        <w:lastRenderedPageBreak/>
        <w:t>international business analysis comes from three sources: current data, primary sources (including company disclosures and government publications), and explicit application of theoretical frameworks. Shortcuts via secondary aggregator sites lowered the quality of my earliest drafts and I now understand why my tutors have emphasised primary-source discipline.</w:t>
      </w:r>
    </w:p>
    <w:p w14:paraId="66E11ADC" w14:textId="77777777" w:rsidR="000C6CC5" w:rsidRPr="00E93419" w:rsidRDefault="000C6CC5" w:rsidP="00E93419">
      <w:pPr>
        <w:spacing w:line="360" w:lineRule="auto"/>
        <w:jc w:val="both"/>
        <w:rPr>
          <w:rFonts w:ascii="Arial" w:hAnsi="Arial" w:cs="Arial"/>
          <w:sz w:val="22"/>
          <w:szCs w:val="22"/>
        </w:rPr>
      </w:pPr>
    </w:p>
    <w:p w14:paraId="529890DB" w14:textId="77777777" w:rsidR="00624145" w:rsidRPr="00E93419" w:rsidRDefault="00C0433A" w:rsidP="00E93419">
      <w:pPr>
        <w:pStyle w:val="Heading3"/>
        <w:spacing w:before="0" w:after="0" w:line="360" w:lineRule="auto"/>
        <w:rPr>
          <w:rFonts w:ascii="Arial" w:hAnsi="Arial" w:cs="Arial"/>
          <w:color w:val="auto"/>
          <w:sz w:val="22"/>
          <w:szCs w:val="22"/>
        </w:rPr>
      </w:pPr>
      <w:bookmarkStart w:id="25" w:name="_Toc228168188"/>
      <w:r w:rsidRPr="00E93419">
        <w:rPr>
          <w:rFonts w:ascii="Arial" w:hAnsi="Arial" w:cs="Arial"/>
          <w:color w:val="auto"/>
          <w:sz w:val="22"/>
          <w:szCs w:val="22"/>
        </w:rPr>
        <w:t>Action Plan</w:t>
      </w:r>
      <w:bookmarkEnd w:id="25"/>
    </w:p>
    <w:p w14:paraId="41F9F8C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For future international-business writing I will: (a) build a source-tiering spreadsheet at the planning stage, weighting primary sources highest; (b) allocate section-level word budgets before writing to prevent front-loading; (c) integrate Rugman's double-diamond and Dunning's Eclectic Paradigm (Dunning, 1977) into my standard analytical toolkit so that my next assignment is richer theoretically; (d) schedule a structured peer review at the 60%-draft stage, not the 95%-draft stage; and (e) maintain a reflective log throughout the next assignment so that reflection is not a retrospective reconstruction but a continuous companion to the work.</w:t>
      </w:r>
    </w:p>
    <w:p w14:paraId="2DC9AE41"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br w:type="page"/>
      </w:r>
    </w:p>
    <w:p w14:paraId="2D2EC3CA" w14:textId="77777777" w:rsidR="00624145" w:rsidRPr="00E93419" w:rsidRDefault="00C0433A" w:rsidP="00E93419">
      <w:pPr>
        <w:pStyle w:val="Heading1"/>
        <w:spacing w:before="0" w:after="0" w:line="360" w:lineRule="auto"/>
        <w:rPr>
          <w:rFonts w:ascii="Arial" w:hAnsi="Arial" w:cs="Arial"/>
          <w:color w:val="auto"/>
          <w:sz w:val="22"/>
          <w:szCs w:val="22"/>
        </w:rPr>
      </w:pPr>
      <w:bookmarkStart w:id="26" w:name="_Toc228168189"/>
      <w:r w:rsidRPr="00E93419">
        <w:rPr>
          <w:rFonts w:ascii="Arial" w:hAnsi="Arial" w:cs="Arial"/>
          <w:color w:val="auto"/>
          <w:sz w:val="22"/>
          <w:szCs w:val="22"/>
        </w:rPr>
        <w:lastRenderedPageBreak/>
        <w:t>References</w:t>
      </w:r>
      <w:bookmarkEnd w:id="26"/>
    </w:p>
    <w:p w14:paraId="7619DD7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Acemoglu, D. and Robinson, J.A. (2012) Why Nations Fail: The Origins of Power, Prosperity and Poverty. New York: Crown Publishers.</w:t>
      </w:r>
    </w:p>
    <w:p w14:paraId="5953250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Bartlett, C.A. and Ghoshal, S. (1989) Managing Across Borders: The Transnational Solution. Boston, MA: Harvard Business School Press.</w:t>
      </w:r>
    </w:p>
    <w:p w14:paraId="65C174B5" w14:textId="77777777" w:rsidR="00624145" w:rsidRPr="00E93419" w:rsidRDefault="00C0433A" w:rsidP="00E93419">
      <w:pPr>
        <w:spacing w:line="360" w:lineRule="auto"/>
        <w:jc w:val="both"/>
        <w:rPr>
          <w:rFonts w:ascii="Arial" w:hAnsi="Arial" w:cs="Arial"/>
          <w:sz w:val="22"/>
          <w:szCs w:val="22"/>
        </w:rPr>
      </w:pPr>
      <w:proofErr w:type="spellStart"/>
      <w:r w:rsidRPr="00E93419">
        <w:rPr>
          <w:rFonts w:ascii="Arial" w:hAnsi="Arial" w:cs="Arial"/>
          <w:sz w:val="22"/>
          <w:szCs w:val="22"/>
        </w:rPr>
        <w:t>ClinilaunchResearch</w:t>
      </w:r>
      <w:proofErr w:type="spellEnd"/>
      <w:r w:rsidRPr="00E93419">
        <w:rPr>
          <w:rFonts w:ascii="Arial" w:hAnsi="Arial" w:cs="Arial"/>
          <w:sz w:val="22"/>
          <w:szCs w:val="22"/>
        </w:rPr>
        <w:t xml:space="preserve"> (2025) Top 10 Pharmaceutical Companies in India for Pharma Careers and Research. Available at: https://clinilaunchresearch.in/blog/top-pharmaceutical-companies (Accessed: 13 April 2026).</w:t>
      </w:r>
    </w:p>
    <w:p w14:paraId="49A72FC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Dunning, J.H. (1977) 'Trade, Location of Economic Activity and the MNE: A Search for an Eclectic Approach', in Ohlin, B., </w:t>
      </w:r>
      <w:proofErr w:type="spellStart"/>
      <w:r w:rsidRPr="00E93419">
        <w:rPr>
          <w:rFonts w:ascii="Arial" w:hAnsi="Arial" w:cs="Arial"/>
          <w:sz w:val="22"/>
          <w:szCs w:val="22"/>
        </w:rPr>
        <w:t>Hesselborn</w:t>
      </w:r>
      <w:proofErr w:type="spellEnd"/>
      <w:r w:rsidRPr="00E93419">
        <w:rPr>
          <w:rFonts w:ascii="Arial" w:hAnsi="Arial" w:cs="Arial"/>
          <w:sz w:val="22"/>
          <w:szCs w:val="22"/>
        </w:rPr>
        <w:t xml:space="preserve">, P.O. and </w:t>
      </w:r>
      <w:proofErr w:type="spellStart"/>
      <w:r w:rsidRPr="00E93419">
        <w:rPr>
          <w:rFonts w:ascii="Arial" w:hAnsi="Arial" w:cs="Arial"/>
          <w:sz w:val="22"/>
          <w:szCs w:val="22"/>
        </w:rPr>
        <w:t>Wijkman</w:t>
      </w:r>
      <w:proofErr w:type="spellEnd"/>
      <w:r w:rsidRPr="00E93419">
        <w:rPr>
          <w:rFonts w:ascii="Arial" w:hAnsi="Arial" w:cs="Arial"/>
          <w:sz w:val="22"/>
          <w:szCs w:val="22"/>
        </w:rPr>
        <w:t>, P.M. (eds.) The International Allocation of Economic Activity. London: Macmillan, pp. 395–418.</w:t>
      </w:r>
    </w:p>
    <w:p w14:paraId="2DE1A27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Fortune Business Insights (2025) India Pharmaceuticals Market Size, Share and Growth Report. Available at: https://www.fortunebusinessinsights.com/india-pharmaceuticals-market-113982 (Accessed: 12 April 2026).</w:t>
      </w:r>
    </w:p>
    <w:p w14:paraId="442284A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Gibbs, G. (1988) Learning by Doing: A Guide to Teaching and Learning Methods. Oxford: Further Education Unit, Oxford Polytechnic.</w:t>
      </w:r>
    </w:p>
    <w:p w14:paraId="7B47B0D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Hofstede, G. (1980) Culture's Consequences: International Differences in Work-Related Values. Beverly Hills, CA: Sage.</w:t>
      </w:r>
    </w:p>
    <w:p w14:paraId="08580E7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Hofstede, G. (2011) '</w:t>
      </w:r>
      <w:proofErr w:type="spellStart"/>
      <w:r w:rsidRPr="00E93419">
        <w:rPr>
          <w:rFonts w:ascii="Arial" w:hAnsi="Arial" w:cs="Arial"/>
          <w:sz w:val="22"/>
          <w:szCs w:val="22"/>
        </w:rPr>
        <w:t>Dimensionalizing</w:t>
      </w:r>
      <w:proofErr w:type="spellEnd"/>
      <w:r w:rsidRPr="00E93419">
        <w:rPr>
          <w:rFonts w:ascii="Arial" w:hAnsi="Arial" w:cs="Arial"/>
          <w:sz w:val="22"/>
          <w:szCs w:val="22"/>
        </w:rPr>
        <w:t xml:space="preserve"> Cultures: The Hofstede Model in Context', Online Readings in Psychology and Culture, 2(1), pp. 1–26.</w:t>
      </w:r>
    </w:p>
    <w:p w14:paraId="352F7D24"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IMARC Group (2025) India Pharmaceutical Market Size, Share and Growth by 2034. Available at: https://www.imarcgroup.com/india-pharmaceutical-market (Accessed: 13 April 2026).</w:t>
      </w:r>
    </w:p>
    <w:p w14:paraId="79E0915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 Brand Equity Foundation [IBEF] (2025) Indian Pharmaceutical Industry Overview and Analysis. Available at: https://www.ibef.org/industry/pharmaceutical-india (Accessed: 12 April 2026).</w:t>
      </w:r>
    </w:p>
    <w:p w14:paraId="37357AF9"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 Infoline (2026) Pfizer Summary: Latest Updates and Details. Available at: https://www.indiainfoline.com/company/pfizer-ltd/summary (Accessed: 13 April 2026).</w:t>
      </w:r>
    </w:p>
    <w:p w14:paraId="19BB626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Jasper, M. (2013) Beginning Reflective Practice. 2nd </w:t>
      </w:r>
      <w:proofErr w:type="spellStart"/>
      <w:r w:rsidRPr="00E93419">
        <w:rPr>
          <w:rFonts w:ascii="Arial" w:hAnsi="Arial" w:cs="Arial"/>
          <w:sz w:val="22"/>
          <w:szCs w:val="22"/>
        </w:rPr>
        <w:t>edn</w:t>
      </w:r>
      <w:proofErr w:type="spellEnd"/>
      <w:r w:rsidRPr="00E93419">
        <w:rPr>
          <w:rFonts w:ascii="Arial" w:hAnsi="Arial" w:cs="Arial"/>
          <w:sz w:val="22"/>
          <w:szCs w:val="22"/>
        </w:rPr>
        <w:t>. Andover: Cengage Learning.</w:t>
      </w:r>
    </w:p>
    <w:p w14:paraId="44B9AE0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Johanson, J. and Vahlne, J.-E. (1977) 'The Internationalization Process of the Firm — A Model of Knowledge Development and Increasing Foreign Market Commitments', Journal of International Business Studies, 8(1), pp. 23–32.</w:t>
      </w:r>
    </w:p>
    <w:p w14:paraId="2256226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Johnson, G., Whittington, R. and Scholes, K. (2020) Exploring Strategy: Text and Cases. 12th </w:t>
      </w:r>
      <w:proofErr w:type="spellStart"/>
      <w:r w:rsidRPr="00E93419">
        <w:rPr>
          <w:rFonts w:ascii="Arial" w:hAnsi="Arial" w:cs="Arial"/>
          <w:sz w:val="22"/>
          <w:szCs w:val="22"/>
        </w:rPr>
        <w:t>edn</w:t>
      </w:r>
      <w:proofErr w:type="spellEnd"/>
      <w:r w:rsidRPr="00E93419">
        <w:rPr>
          <w:rFonts w:ascii="Arial" w:hAnsi="Arial" w:cs="Arial"/>
          <w:sz w:val="22"/>
          <w:szCs w:val="22"/>
        </w:rPr>
        <w:t>. Harlow: Pearson.</w:t>
      </w:r>
    </w:p>
    <w:p w14:paraId="5D71A2E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Kolb, D.A. (1984) Experiential Learning: Experience as the Source of Learning and Development. Englewood Cliffs, NJ: Prentice-Hall.</w:t>
      </w:r>
    </w:p>
    <w:p w14:paraId="6B84471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lastRenderedPageBreak/>
        <w:t>Market Research Future (2025) India Pharmaceuticals Industry Market Size and Share Report 2035. Available at: https://www.marketresearchfuture.com/reports/india-pharmaceuticals-industry-21803 (Accessed: 13 April 2026).</w:t>
      </w:r>
    </w:p>
    <w:p w14:paraId="4CA769B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McSweeney, B. (2002) 'Hofstede's Model of National Cultural Differences and their Consequences: A Triumph of Faith — A Failure of Analysis', Human Relations, 55(1), pp. 89–118.</w:t>
      </w:r>
    </w:p>
    <w:p w14:paraId="4D90363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Mordor Intelligence (2026) Indian Pharmaceutical Industry — Overview and Growth 2031. Available at: https://www.mordorintelligence.com/industry-reports/pharmaceuticals-industry-in-india (Accessed: 13 April 2026).</w:t>
      </w:r>
    </w:p>
    <w:p w14:paraId="307D1C3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North, D.C. (1990) Institutions, Institutional Change and Economic Performance. Cambridge: Cambridge University Press.</w:t>
      </w:r>
    </w:p>
    <w:p w14:paraId="4AB17A2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Inc. (2015) Pfizer Presents New Opportunities for Global Growth. Available at: https://www.pfizer.com/news/press-release (Accessed: 13 April 2026).</w:t>
      </w:r>
    </w:p>
    <w:p w14:paraId="15A8C94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India (2025) Pfizer in India — Corporate Overview. Available at: https://www.pfizer.co.in/about-us/pfizer-in-india (Accessed: 13 April 2026).</w:t>
      </w:r>
    </w:p>
    <w:p w14:paraId="073F1DE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Porter, M.E. (1990) The Competitive Advantage of Nations. New York: Free Press.</w:t>
      </w:r>
    </w:p>
    <w:p w14:paraId="1B6A469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Press Information Bureau [PIB] (2026) India's Pharmaceuticals in Global Healthcare. Available at: https://www.pib.gov.in/PressReleasePage.aspx?PRID=2243248 (Accessed: 12 April 2026).</w:t>
      </w:r>
    </w:p>
    <w:p w14:paraId="5721C58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RSIS International (2025) 'Porter's Diamond Model', International Journal of Research and Innovation in Applied Science, 10(6), pp. 690–693.</w:t>
      </w:r>
    </w:p>
    <w:p w14:paraId="45A37CE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Rugman, A.M. and D'Cruz, J.R. (1993) 'The Double Diamond Model of International Competitiveness: The Canadian Experience', Management International Review, 33, pp. 17–39.</w:t>
      </w:r>
    </w:p>
    <w:p w14:paraId="2BFB4784"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Screener (2026) Pfizer Ltd Share Price and Key Insights. Available at: https://www.screener.in/company/PFIZER (Accessed: 13 April 2026).</w:t>
      </w:r>
    </w:p>
    <w:p w14:paraId="61F3632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Grey Swan (2025) India Branded Pharma: Sales, Share and Therapy Trends. Available at: https://thegreyswan.substack.com/p/india-branded-pharma-sales-share (Accessed: 13 April 2026).</w:t>
      </w:r>
    </w:p>
    <w:p w14:paraId="512EAA1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Trompenaars, F. and Hampden-Turner, C. (1997) Riding the Waves of Culture: Understanding Cultural Diversity in Business. 2nd </w:t>
      </w:r>
      <w:proofErr w:type="spellStart"/>
      <w:r w:rsidRPr="00E93419">
        <w:rPr>
          <w:rFonts w:ascii="Arial" w:hAnsi="Arial" w:cs="Arial"/>
          <w:sz w:val="22"/>
          <w:szCs w:val="22"/>
        </w:rPr>
        <w:t>edn</w:t>
      </w:r>
      <w:proofErr w:type="spellEnd"/>
      <w:r w:rsidRPr="00E93419">
        <w:rPr>
          <w:rFonts w:ascii="Arial" w:hAnsi="Arial" w:cs="Arial"/>
          <w:sz w:val="22"/>
          <w:szCs w:val="22"/>
        </w:rPr>
        <w:t>. London: Nicholas Brealey.</w:t>
      </w:r>
    </w:p>
    <w:p w14:paraId="06407B5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Wikipedia (2026) Economy of Bangladesh. Available at: https://en.wikipedia.org/wiki/Economy_of_Bangladesh (Accessed: 13 April 2026).</w:t>
      </w:r>
    </w:p>
    <w:sectPr w:rsidR="00624145" w:rsidRPr="00E93419">
      <w:headerReference w:type="default" r:id="rId10"/>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D8D9" w14:textId="77777777" w:rsidR="000B3578" w:rsidRDefault="000B3578">
      <w:r>
        <w:separator/>
      </w:r>
    </w:p>
  </w:endnote>
  <w:endnote w:type="continuationSeparator" w:id="0">
    <w:p w14:paraId="3A980B9C" w14:textId="77777777" w:rsidR="000B3578" w:rsidRDefault="000B3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49C2E" w14:textId="77777777" w:rsidR="00624145" w:rsidRDefault="00C0433A">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E93419">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E93419">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5E9E9" w14:textId="77777777" w:rsidR="000B3578" w:rsidRDefault="000B3578">
      <w:r>
        <w:separator/>
      </w:r>
    </w:p>
  </w:footnote>
  <w:footnote w:type="continuationSeparator" w:id="0">
    <w:p w14:paraId="4779E83B" w14:textId="77777777" w:rsidR="000B3578" w:rsidRDefault="000B3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2538" w14:textId="77777777" w:rsidR="00624145" w:rsidRDefault="00C0433A">
    <w:pPr>
      <w:jc w:val="right"/>
    </w:pPr>
    <w:r>
      <w:rPr>
        <w:i/>
        <w:iCs/>
        <w:color w:val="808080"/>
        <w:sz w:val="20"/>
        <w:szCs w:val="20"/>
      </w:rPr>
      <w:t>Pharmaceutical Industry in India &amp; Pfizer Inc.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37FC"/>
    <w:multiLevelType w:val="hybridMultilevel"/>
    <w:tmpl w:val="20943340"/>
    <w:lvl w:ilvl="0" w:tplc="FFFFFFFF">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F22559B"/>
    <w:multiLevelType w:val="hybridMultilevel"/>
    <w:tmpl w:val="B70006E0"/>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145"/>
    <w:rsid w:val="000B3578"/>
    <w:rsid w:val="000C6CC5"/>
    <w:rsid w:val="00210596"/>
    <w:rsid w:val="005F001A"/>
    <w:rsid w:val="00624145"/>
    <w:rsid w:val="00801167"/>
    <w:rsid w:val="00B3773C"/>
    <w:rsid w:val="00C0433A"/>
    <w:rsid w:val="00E93419"/>
    <w:rsid w:val="00F40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31CF"/>
  <w15:docId w15:val="{2166AB69-646D-4C13-973D-D69CE7E5A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2"/>
      <w:szCs w:val="32"/>
    </w:rPr>
  </w:style>
  <w:style w:type="paragraph" w:styleId="Heading2">
    <w:name w:val="heading 2"/>
    <w:uiPriority w:val="9"/>
    <w:unhideWhenUsed/>
    <w:qFormat/>
    <w:pPr>
      <w:spacing w:before="300" w:after="160"/>
      <w:outlineLvl w:val="1"/>
    </w:pPr>
    <w:rPr>
      <w:b/>
      <w:bCs/>
      <w:color w:val="2E5090"/>
      <w:sz w:val="28"/>
      <w:szCs w:val="28"/>
    </w:rPr>
  </w:style>
  <w:style w:type="paragraph" w:styleId="Heading3">
    <w:name w:val="heading 3"/>
    <w:uiPriority w:val="9"/>
    <w:unhideWhenUsed/>
    <w:qFormat/>
    <w:pPr>
      <w:spacing w:before="240" w:after="140"/>
      <w:outlineLvl w:val="2"/>
    </w:pPr>
    <w:rPr>
      <w:b/>
      <w:bCs/>
      <w:i/>
      <w:iCs/>
      <w:color w:val="2E5090"/>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93419"/>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E93419"/>
    <w:pPr>
      <w:spacing w:after="100"/>
    </w:pPr>
  </w:style>
  <w:style w:type="paragraph" w:styleId="TOC2">
    <w:name w:val="toc 2"/>
    <w:basedOn w:val="Normal"/>
    <w:next w:val="Normal"/>
    <w:autoRedefine/>
    <w:uiPriority w:val="39"/>
    <w:unhideWhenUsed/>
    <w:rsid w:val="00E93419"/>
    <w:pPr>
      <w:spacing w:after="100"/>
      <w:ind w:left="240"/>
    </w:pPr>
  </w:style>
  <w:style w:type="paragraph" w:styleId="TOC3">
    <w:name w:val="toc 3"/>
    <w:basedOn w:val="Normal"/>
    <w:next w:val="Normal"/>
    <w:autoRedefine/>
    <w:uiPriority w:val="39"/>
    <w:unhideWhenUsed/>
    <w:rsid w:val="00E93419"/>
    <w:pPr>
      <w:spacing w:after="100"/>
      <w:ind w:left="480"/>
    </w:pPr>
  </w:style>
  <w:style w:type="table" w:styleId="TableGrid">
    <w:name w:val="Table Grid"/>
    <w:basedOn w:val="TableNormal"/>
    <w:uiPriority w:val="39"/>
    <w:rsid w:val="00E93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F81E2-739C-4CF1-88AA-2720475F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6163</Words>
  <Characters>35131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Assignment 3 - India Pharma and Pfizer International Business Report</vt:lpstr>
    </vt:vector>
  </TitlesOfParts>
  <Company/>
  <LinksUpToDate>false</LinksUpToDate>
  <CharactersWithSpaces>41212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3 - India Pharma and Pfizer International Business Report</dc:title>
  <dc:creator>Rezaul Karim</dc:creator>
  <cp:lastModifiedBy>Abu Zafar Md Imran [Student-PECS]</cp:lastModifiedBy>
  <cp:revision>5</cp:revision>
  <dcterms:created xsi:type="dcterms:W3CDTF">2026-04-27T06:22:00Z</dcterms:created>
  <dcterms:modified xsi:type="dcterms:W3CDTF">2026-04-27T06:42:00Z</dcterms:modified>
</cp:coreProperties>
</file>