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46B9" w:rsidRDefault="00F025AA" w:rsidP="00DA7494">
      <w:pPr>
        <w:spacing w:after="0" w:line="360" w:lineRule="auto"/>
        <w:rPr>
          <w:b/>
          <w:sz w:val="24"/>
        </w:rPr>
      </w:pPr>
      <w:r>
        <w:rPr>
          <w:b/>
          <w:sz w:val="24"/>
        </w:rPr>
        <w:t>Magic and Witchcraft: An Anthropological Overview</w:t>
      </w:r>
    </w:p>
    <w:p w:rsidR="00DA7494" w:rsidRDefault="00DA7494" w:rsidP="00DA7494">
      <w:pPr>
        <w:spacing w:after="0" w:line="360" w:lineRule="auto"/>
        <w:rPr>
          <w:b/>
          <w:sz w:val="24"/>
        </w:rPr>
      </w:pPr>
    </w:p>
    <w:p w:rsidR="00DA7494" w:rsidRDefault="00DA7494" w:rsidP="00DA7494">
      <w:pPr>
        <w:spacing w:after="0" w:line="360" w:lineRule="auto"/>
        <w:rPr>
          <w:sz w:val="24"/>
        </w:rPr>
      </w:pPr>
      <w:r>
        <w:rPr>
          <w:sz w:val="24"/>
        </w:rPr>
        <w:t xml:space="preserve">The term ‘witchcraft’ has an array of different connotations, often dependent on one’s cultural experience; </w:t>
      </w:r>
      <w:r w:rsidR="005E3BAC">
        <w:rPr>
          <w:sz w:val="24"/>
        </w:rPr>
        <w:t xml:space="preserve">while a belief in witchcraft is a common phenomenon which appears in various societies around the world, </w:t>
      </w:r>
      <w:r>
        <w:rPr>
          <w:sz w:val="24"/>
        </w:rPr>
        <w:t xml:space="preserve">as an inhabitant of the Global North my own cultural conceptions of witches and witchcraft are likely very different to those of an individual living in Central Africa. </w:t>
      </w:r>
      <w:r w:rsidR="00F025AA">
        <w:rPr>
          <w:sz w:val="24"/>
        </w:rPr>
        <w:t xml:space="preserve">Witchcraft may also be defined to some as essentially one and the same with magic or sorcery, but in anthropology this is not the case, as will be explained later in this paper. </w:t>
      </w:r>
      <w:r>
        <w:rPr>
          <w:sz w:val="24"/>
        </w:rPr>
        <w:t>Nevertheless, the subject</w:t>
      </w:r>
      <w:r w:rsidR="00F025AA">
        <w:rPr>
          <w:sz w:val="24"/>
        </w:rPr>
        <w:t>s</w:t>
      </w:r>
      <w:r>
        <w:rPr>
          <w:sz w:val="24"/>
        </w:rPr>
        <w:t xml:space="preserve"> ha</w:t>
      </w:r>
      <w:r w:rsidR="00F025AA">
        <w:rPr>
          <w:sz w:val="24"/>
        </w:rPr>
        <w:t>ve</w:t>
      </w:r>
      <w:r>
        <w:rPr>
          <w:sz w:val="24"/>
        </w:rPr>
        <w:t xml:space="preserve"> been broached by numerous a</w:t>
      </w:r>
      <w:r w:rsidR="00F9008E">
        <w:rPr>
          <w:sz w:val="24"/>
        </w:rPr>
        <w:t>nthropologists over the decades and continue to be</w:t>
      </w:r>
      <w:r w:rsidR="00F025AA">
        <w:rPr>
          <w:sz w:val="24"/>
        </w:rPr>
        <w:t xml:space="preserve"> </w:t>
      </w:r>
      <w:r w:rsidR="00F9008E">
        <w:rPr>
          <w:sz w:val="24"/>
        </w:rPr>
        <w:t xml:space="preserve">of interest in contemporary religious anthropology. </w:t>
      </w:r>
      <w:r>
        <w:rPr>
          <w:sz w:val="24"/>
        </w:rPr>
        <w:t>During this essay I aim to give a brief overview of how the subject</w:t>
      </w:r>
      <w:r w:rsidR="00F025AA">
        <w:rPr>
          <w:sz w:val="24"/>
        </w:rPr>
        <w:t>s</w:t>
      </w:r>
      <w:r>
        <w:rPr>
          <w:sz w:val="24"/>
        </w:rPr>
        <w:t xml:space="preserve"> of </w:t>
      </w:r>
      <w:r w:rsidR="00F025AA">
        <w:rPr>
          <w:sz w:val="24"/>
        </w:rPr>
        <w:t xml:space="preserve">magic and </w:t>
      </w:r>
      <w:r>
        <w:rPr>
          <w:sz w:val="24"/>
        </w:rPr>
        <w:t xml:space="preserve">witchcraft </w:t>
      </w:r>
      <w:r w:rsidR="00F025AA">
        <w:rPr>
          <w:sz w:val="24"/>
        </w:rPr>
        <w:t>are defined and have</w:t>
      </w:r>
      <w:r>
        <w:rPr>
          <w:sz w:val="24"/>
        </w:rPr>
        <w:t xml:space="preserve"> been approached in an anthropological setting since the birth of the field</w:t>
      </w:r>
      <w:r w:rsidR="00F025AA">
        <w:rPr>
          <w:sz w:val="24"/>
        </w:rPr>
        <w:t>. I intend to p</w:t>
      </w:r>
      <w:r w:rsidR="00F9008E">
        <w:rPr>
          <w:sz w:val="24"/>
        </w:rPr>
        <w:t xml:space="preserve">articularly look at E. E. Evans-Pritchard, a scholar that changed the way the industrialised world understood indigenous cultures through his writing on Azande witchcraft. I also aim to discuss </w:t>
      </w:r>
      <w:r w:rsidR="00903734">
        <w:rPr>
          <w:sz w:val="24"/>
        </w:rPr>
        <w:t xml:space="preserve">some more </w:t>
      </w:r>
      <w:r w:rsidR="00F9008E">
        <w:rPr>
          <w:sz w:val="24"/>
        </w:rPr>
        <w:t xml:space="preserve">contemporary views of </w:t>
      </w:r>
      <w:r w:rsidR="00F025AA">
        <w:rPr>
          <w:sz w:val="24"/>
        </w:rPr>
        <w:t xml:space="preserve">magic and </w:t>
      </w:r>
      <w:r w:rsidR="00F9008E">
        <w:rPr>
          <w:sz w:val="24"/>
        </w:rPr>
        <w:t>witchcraft within the field</w:t>
      </w:r>
      <w:r w:rsidR="005E3BAC">
        <w:rPr>
          <w:sz w:val="24"/>
        </w:rPr>
        <w:t xml:space="preserve"> and outline the ongoing anthropological debate concerning rationality, of which belief systems that include witchcraft, magic and the supernatural are at the heart. </w:t>
      </w:r>
    </w:p>
    <w:p w:rsidR="005E3BAC" w:rsidRDefault="005E3BAC" w:rsidP="00DA7494">
      <w:pPr>
        <w:spacing w:after="0" w:line="360" w:lineRule="auto"/>
        <w:rPr>
          <w:sz w:val="24"/>
        </w:rPr>
      </w:pPr>
      <w:r>
        <w:rPr>
          <w:sz w:val="24"/>
        </w:rPr>
        <w:tab/>
      </w:r>
    </w:p>
    <w:p w:rsidR="00580980" w:rsidRPr="00B42E8D" w:rsidRDefault="005E3BAC" w:rsidP="001E5B69">
      <w:pPr>
        <w:spacing w:after="0" w:line="360" w:lineRule="auto"/>
        <w:rPr>
          <w:color w:val="FF0000"/>
          <w:sz w:val="24"/>
        </w:rPr>
      </w:pPr>
      <w:r>
        <w:rPr>
          <w:sz w:val="24"/>
        </w:rPr>
        <w:t>In the mid</w:t>
      </w:r>
      <w:r w:rsidR="00F462D7">
        <w:rPr>
          <w:sz w:val="24"/>
        </w:rPr>
        <w:t xml:space="preserve"> to late</w:t>
      </w:r>
      <w:r>
        <w:rPr>
          <w:sz w:val="24"/>
        </w:rPr>
        <w:t xml:space="preserve"> nineteenth century, when anthropology was just starting to lay down its</w:t>
      </w:r>
      <w:r w:rsidR="001E5B69">
        <w:rPr>
          <w:sz w:val="24"/>
        </w:rPr>
        <w:t xml:space="preserve"> </w:t>
      </w:r>
      <w:r>
        <w:rPr>
          <w:sz w:val="24"/>
        </w:rPr>
        <w:t xml:space="preserve">roots as a stand-alone entity rather than a sub-field, popular belief was that a hierarchy of culture existed; </w:t>
      </w:r>
      <w:r w:rsidR="00F462D7">
        <w:rPr>
          <w:sz w:val="24"/>
        </w:rPr>
        <w:t xml:space="preserve">while the Theory of Degeneration was commonly believed at the time </w:t>
      </w:r>
      <w:r w:rsidR="008E04CA">
        <w:rPr>
          <w:sz w:val="24"/>
        </w:rPr>
        <w:t>(</w:t>
      </w:r>
      <w:proofErr w:type="spellStart"/>
      <w:r w:rsidR="008E04CA">
        <w:rPr>
          <w:sz w:val="24"/>
        </w:rPr>
        <w:t>Jalava</w:t>
      </w:r>
      <w:proofErr w:type="spellEnd"/>
      <w:r w:rsidR="008E04CA">
        <w:rPr>
          <w:sz w:val="24"/>
        </w:rPr>
        <w:t xml:space="preserve"> 2006),</w:t>
      </w:r>
      <w:r w:rsidR="00F462D7" w:rsidRPr="009351EB">
        <w:rPr>
          <w:color w:val="FF0000"/>
          <w:sz w:val="24"/>
        </w:rPr>
        <w:t xml:space="preserve"> </w:t>
      </w:r>
      <w:r>
        <w:rPr>
          <w:sz w:val="24"/>
        </w:rPr>
        <w:t xml:space="preserve">Darwinism was a </w:t>
      </w:r>
      <w:r w:rsidR="00F462D7">
        <w:rPr>
          <w:sz w:val="24"/>
        </w:rPr>
        <w:t xml:space="preserve">thought process which was gaining popularity, and one </w:t>
      </w:r>
      <w:r>
        <w:rPr>
          <w:sz w:val="24"/>
        </w:rPr>
        <w:t xml:space="preserve">which early anthropologists such as Tylor and Frazer </w:t>
      </w:r>
      <w:r w:rsidR="00F462D7">
        <w:rPr>
          <w:sz w:val="24"/>
        </w:rPr>
        <w:t>were keen to apply to</w:t>
      </w:r>
      <w:r w:rsidR="00AD2AA6">
        <w:rPr>
          <w:sz w:val="24"/>
        </w:rPr>
        <w:t xml:space="preserve"> the</w:t>
      </w:r>
      <w:r w:rsidR="00F462D7">
        <w:rPr>
          <w:sz w:val="24"/>
        </w:rPr>
        <w:t xml:space="preserve"> social aspects of human existence, as well as the biological. </w:t>
      </w:r>
      <w:r w:rsidR="009351EB">
        <w:rPr>
          <w:sz w:val="24"/>
        </w:rPr>
        <w:t xml:space="preserve">Both </w:t>
      </w:r>
      <w:r w:rsidR="00F462D7">
        <w:rPr>
          <w:sz w:val="24"/>
        </w:rPr>
        <w:t>Tylor</w:t>
      </w:r>
      <w:r w:rsidR="00C92361">
        <w:rPr>
          <w:sz w:val="24"/>
        </w:rPr>
        <w:t xml:space="preserve"> (2016)</w:t>
      </w:r>
      <w:r w:rsidR="00F462D7">
        <w:rPr>
          <w:sz w:val="24"/>
        </w:rPr>
        <w:t xml:space="preserve"> </w:t>
      </w:r>
      <w:r w:rsidR="009351EB">
        <w:rPr>
          <w:sz w:val="24"/>
        </w:rPr>
        <w:t>and Frazer</w:t>
      </w:r>
      <w:r w:rsidR="00C92361">
        <w:rPr>
          <w:sz w:val="24"/>
        </w:rPr>
        <w:t xml:space="preserve"> </w:t>
      </w:r>
      <w:r w:rsidR="00854BF7">
        <w:rPr>
          <w:sz w:val="24"/>
        </w:rPr>
        <w:t>(19</w:t>
      </w:r>
      <w:r w:rsidR="007C7F3E">
        <w:rPr>
          <w:sz w:val="24"/>
        </w:rPr>
        <w:t>76</w:t>
      </w:r>
      <w:r w:rsidR="00854BF7">
        <w:rPr>
          <w:sz w:val="24"/>
        </w:rPr>
        <w:t>)</w:t>
      </w:r>
      <w:r w:rsidR="009351EB">
        <w:rPr>
          <w:sz w:val="24"/>
        </w:rPr>
        <w:t xml:space="preserve"> </w:t>
      </w:r>
      <w:r w:rsidR="00D64AF9">
        <w:rPr>
          <w:sz w:val="24"/>
        </w:rPr>
        <w:t>expressed an ‘evolutionary’ system of religion, in which Animistic beliefs and those relating to the supernatural were the earliest stage of, or most ‘primitive’ version of, religion</w:t>
      </w:r>
      <w:r w:rsidR="009D1A45">
        <w:rPr>
          <w:sz w:val="24"/>
        </w:rPr>
        <w:t xml:space="preserve"> and therefore did not even constitute inclusion within the definition of religion</w:t>
      </w:r>
      <w:r w:rsidR="00D64AF9">
        <w:rPr>
          <w:sz w:val="24"/>
        </w:rPr>
        <w:t xml:space="preserve">; this was followed by Polytheism, then Monotheism. </w:t>
      </w:r>
      <w:r w:rsidR="009351EB">
        <w:rPr>
          <w:sz w:val="24"/>
        </w:rPr>
        <w:t>They</w:t>
      </w:r>
      <w:r w:rsidR="00D64AF9">
        <w:rPr>
          <w:sz w:val="24"/>
        </w:rPr>
        <w:t xml:space="preserve"> viewed the hierarchy of belief as being topped by Science, i.e. finding no need for religion in favour of ‘rational’ and scientifically proven explanations for the workings of the world</w:t>
      </w:r>
      <w:r w:rsidR="009351EB">
        <w:rPr>
          <w:sz w:val="24"/>
        </w:rPr>
        <w:t xml:space="preserve">; it was </w:t>
      </w:r>
      <w:r w:rsidR="00AD2AA6">
        <w:rPr>
          <w:sz w:val="24"/>
        </w:rPr>
        <w:t>thought</w:t>
      </w:r>
      <w:r w:rsidR="009D1A45">
        <w:rPr>
          <w:sz w:val="24"/>
        </w:rPr>
        <w:t xml:space="preserve"> that </w:t>
      </w:r>
      <w:r w:rsidR="009351EB">
        <w:rPr>
          <w:sz w:val="24"/>
        </w:rPr>
        <w:t xml:space="preserve">eventually the belief systems viewed as primitive would evolve and </w:t>
      </w:r>
      <w:r w:rsidR="009D1A45">
        <w:rPr>
          <w:sz w:val="24"/>
        </w:rPr>
        <w:t xml:space="preserve">then </w:t>
      </w:r>
      <w:r w:rsidR="009351EB">
        <w:rPr>
          <w:sz w:val="24"/>
        </w:rPr>
        <w:t>cease to exist (Stein and Stein 2017:146)</w:t>
      </w:r>
      <w:r w:rsidR="00AD2AA6">
        <w:rPr>
          <w:sz w:val="24"/>
        </w:rPr>
        <w:t>, although this of course has not been the case</w:t>
      </w:r>
      <w:r w:rsidR="00D64AF9">
        <w:rPr>
          <w:sz w:val="24"/>
        </w:rPr>
        <w:t xml:space="preserve">. In Frazer’s classic work </w:t>
      </w:r>
      <w:r w:rsidR="009351EB">
        <w:rPr>
          <w:i/>
          <w:sz w:val="24"/>
        </w:rPr>
        <w:t xml:space="preserve">The Golden </w:t>
      </w:r>
      <w:r w:rsidR="009351EB">
        <w:rPr>
          <w:i/>
          <w:sz w:val="24"/>
        </w:rPr>
        <w:lastRenderedPageBreak/>
        <w:t xml:space="preserve">Bough, </w:t>
      </w:r>
      <w:r w:rsidR="009351EB">
        <w:rPr>
          <w:sz w:val="24"/>
        </w:rPr>
        <w:t xml:space="preserve">he </w:t>
      </w:r>
      <w:r w:rsidR="00D64AF9">
        <w:rPr>
          <w:sz w:val="24"/>
        </w:rPr>
        <w:t>separated witchcraft and magic from the practices of religion</w:t>
      </w:r>
      <w:r w:rsidR="009351EB">
        <w:rPr>
          <w:sz w:val="24"/>
        </w:rPr>
        <w:t xml:space="preserve"> with the assertion that </w:t>
      </w:r>
      <w:r w:rsidR="00AD2AA6">
        <w:rPr>
          <w:sz w:val="24"/>
        </w:rPr>
        <w:t>religion was concerned with supernatural beings in the form of spirits and deities, whereas magic and witchcraft, in contrast, were primarily concerned with supernatural forces</w:t>
      </w:r>
      <w:r w:rsidR="00ED1EEE">
        <w:rPr>
          <w:sz w:val="24"/>
        </w:rPr>
        <w:t xml:space="preserve"> (1993)</w:t>
      </w:r>
      <w:r w:rsidR="00AD2AA6">
        <w:rPr>
          <w:sz w:val="24"/>
        </w:rPr>
        <w:t xml:space="preserve">. </w:t>
      </w:r>
    </w:p>
    <w:p w:rsidR="00580980" w:rsidRDefault="00580980" w:rsidP="00DA7494">
      <w:pPr>
        <w:spacing w:after="0" w:line="360" w:lineRule="auto"/>
        <w:rPr>
          <w:sz w:val="24"/>
        </w:rPr>
      </w:pPr>
    </w:p>
    <w:p w:rsidR="005E3BAC" w:rsidRDefault="00580980" w:rsidP="00DA7494">
      <w:pPr>
        <w:spacing w:after="0" w:line="360" w:lineRule="auto"/>
        <w:rPr>
          <w:sz w:val="24"/>
        </w:rPr>
      </w:pPr>
      <w:r>
        <w:rPr>
          <w:sz w:val="24"/>
        </w:rPr>
        <w:t xml:space="preserve">Although the early anthropological discourse on magic and witchcraft can now be critiqued, and indeed </w:t>
      </w:r>
      <w:r w:rsidR="00E07637">
        <w:rPr>
          <w:sz w:val="24"/>
        </w:rPr>
        <w:t xml:space="preserve">largely </w:t>
      </w:r>
      <w:r>
        <w:rPr>
          <w:sz w:val="24"/>
        </w:rPr>
        <w:t>discredited, it provides an interesting insight into the shifting of perceptions over time. One of the scholars largely credited with a major shift in attitude towards supernatural belief systems is Sir Edward Evans-Pritchard, whose work with the Azande and the Nuer in the early 20</w:t>
      </w:r>
      <w:r w:rsidRPr="00580980">
        <w:rPr>
          <w:sz w:val="24"/>
          <w:vertAlign w:val="superscript"/>
        </w:rPr>
        <w:t>th</w:t>
      </w:r>
      <w:r>
        <w:rPr>
          <w:sz w:val="24"/>
        </w:rPr>
        <w:t xml:space="preserve"> century became a cornerstone on which the modern anthropological approach to studying religion in other cultures was built. </w:t>
      </w:r>
      <w:r w:rsidR="00AD2AA6">
        <w:rPr>
          <w:sz w:val="24"/>
        </w:rPr>
        <w:t xml:space="preserve"> </w:t>
      </w:r>
    </w:p>
    <w:p w:rsidR="003D4AB7" w:rsidRDefault="003D4AB7" w:rsidP="00DA7494">
      <w:pPr>
        <w:spacing w:after="0" w:line="360" w:lineRule="auto"/>
        <w:rPr>
          <w:sz w:val="24"/>
        </w:rPr>
      </w:pPr>
    </w:p>
    <w:p w:rsidR="003D4AB7" w:rsidRDefault="003D4AB7" w:rsidP="00DA7494">
      <w:pPr>
        <w:spacing w:after="0" w:line="360" w:lineRule="auto"/>
        <w:rPr>
          <w:sz w:val="24"/>
        </w:rPr>
      </w:pPr>
      <w:r>
        <w:rPr>
          <w:sz w:val="24"/>
        </w:rPr>
        <w:t xml:space="preserve">Evans-Pritchard’s book </w:t>
      </w:r>
      <w:r>
        <w:rPr>
          <w:i/>
          <w:sz w:val="24"/>
        </w:rPr>
        <w:t xml:space="preserve">Witchcraft, Oracles and Magic Among the Azande, </w:t>
      </w:r>
      <w:r>
        <w:rPr>
          <w:sz w:val="24"/>
        </w:rPr>
        <w:t xml:space="preserve">published in 1937, painted Zande belief in the supernatural as a wholly rational and valid system of thought within the context of their own culture, a viewpoint which had not been previously presented in relation to indigenous </w:t>
      </w:r>
      <w:r w:rsidR="00AF5312">
        <w:rPr>
          <w:sz w:val="24"/>
        </w:rPr>
        <w:t>societies</w:t>
      </w:r>
      <w:r>
        <w:rPr>
          <w:sz w:val="24"/>
        </w:rPr>
        <w:t xml:space="preserve">. Witchcraft is seen by the Azande </w:t>
      </w:r>
      <w:r w:rsidR="00AF5312">
        <w:rPr>
          <w:sz w:val="24"/>
        </w:rPr>
        <w:t xml:space="preserve">to be </w:t>
      </w:r>
      <w:r>
        <w:rPr>
          <w:sz w:val="24"/>
        </w:rPr>
        <w:t xml:space="preserve">the cause of </w:t>
      </w:r>
      <w:r w:rsidR="00B42E8D">
        <w:rPr>
          <w:sz w:val="24"/>
        </w:rPr>
        <w:t xml:space="preserve">virtually </w:t>
      </w:r>
      <w:r>
        <w:rPr>
          <w:sz w:val="24"/>
        </w:rPr>
        <w:t>any incidental misfortune, and therefore as an intrinsic part of everyday life; it provides an explanation</w:t>
      </w:r>
      <w:r w:rsidR="00AF5312">
        <w:rPr>
          <w:sz w:val="24"/>
        </w:rPr>
        <w:t xml:space="preserve"> not necessarily</w:t>
      </w:r>
      <w:r>
        <w:rPr>
          <w:sz w:val="24"/>
        </w:rPr>
        <w:t xml:space="preserve"> for the misfortune itself, but rather the amalgamation of person, </w:t>
      </w:r>
      <w:r w:rsidR="001E7D9F">
        <w:rPr>
          <w:sz w:val="24"/>
        </w:rPr>
        <w:t xml:space="preserve">potential </w:t>
      </w:r>
      <w:r>
        <w:rPr>
          <w:sz w:val="24"/>
        </w:rPr>
        <w:t>misfortune and timing</w:t>
      </w:r>
      <w:r w:rsidR="001E7D9F">
        <w:rPr>
          <w:sz w:val="24"/>
        </w:rPr>
        <w:t xml:space="preserve"> required in order for an accident to occur. </w:t>
      </w:r>
      <w:r w:rsidR="00AF5312">
        <w:rPr>
          <w:sz w:val="24"/>
        </w:rPr>
        <w:t xml:space="preserve">Evans-Pritchard recounts a </w:t>
      </w:r>
      <w:r w:rsidR="002E63F4">
        <w:rPr>
          <w:sz w:val="24"/>
        </w:rPr>
        <w:t>conversation with a Zande boy in which the boy declared he had been bewitched; he had fallen over a tree stump, resulting in a wound on his toe which ha</w:t>
      </w:r>
      <w:r w:rsidR="00BF1A30">
        <w:rPr>
          <w:sz w:val="24"/>
        </w:rPr>
        <w:t>d</w:t>
      </w:r>
      <w:r w:rsidR="002E63F4">
        <w:rPr>
          <w:sz w:val="24"/>
        </w:rPr>
        <w:t xml:space="preserve"> subsequently become infected. The boy agreed that witchcraft had not put the stump in his path</w:t>
      </w:r>
      <w:r w:rsidR="00BA1EAA">
        <w:rPr>
          <w:sz w:val="24"/>
        </w:rPr>
        <w:t xml:space="preserve"> or caused the wound</w:t>
      </w:r>
      <w:r w:rsidR="002E63F4">
        <w:rPr>
          <w:sz w:val="24"/>
        </w:rPr>
        <w:t>, but rather asserted that the combination of not having seen the stump despite looking out for them in his path, and the wound becoming infected where usually they would heal quickly, suggested witchcraft was to blame (Evans-Pritchard 1976:20; see also Bowie 2000:206). Evans-Pritchard describes witchcraft as an explanation for “particular conditions in a chain of causation</w:t>
      </w:r>
      <w:r w:rsidR="00650C6D">
        <w:rPr>
          <w:sz w:val="24"/>
        </w:rPr>
        <w:t xml:space="preserve"> which related an individual to natural happenings in such a way that he sustained injury” (1976:21).</w:t>
      </w:r>
    </w:p>
    <w:p w:rsidR="00645439" w:rsidRDefault="00523B82" w:rsidP="00DA7494">
      <w:pPr>
        <w:spacing w:after="0" w:line="360" w:lineRule="auto"/>
        <w:rPr>
          <w:sz w:val="24"/>
        </w:rPr>
      </w:pPr>
      <w:r>
        <w:rPr>
          <w:sz w:val="24"/>
        </w:rPr>
        <w:t>In this case the boy who was injured saw the combination of the injury and its lack of healing as that step beyond the naturally acceptable that then required another explanation to be applied.</w:t>
      </w:r>
    </w:p>
    <w:p w:rsidR="007979CC" w:rsidRDefault="007979CC" w:rsidP="00DA7494">
      <w:pPr>
        <w:spacing w:after="0" w:line="360" w:lineRule="auto"/>
        <w:rPr>
          <w:sz w:val="24"/>
        </w:rPr>
      </w:pPr>
    </w:p>
    <w:p w:rsidR="00BF601E" w:rsidRDefault="00650C6D" w:rsidP="00DA7494">
      <w:pPr>
        <w:spacing w:after="0" w:line="360" w:lineRule="auto"/>
        <w:rPr>
          <w:sz w:val="24"/>
        </w:rPr>
      </w:pPr>
      <w:r>
        <w:rPr>
          <w:sz w:val="24"/>
        </w:rPr>
        <w:lastRenderedPageBreak/>
        <w:t xml:space="preserve">Magic, then, is seen to be a tool for combating witchcraft. Evans-Pritchard defines </w:t>
      </w:r>
      <w:r w:rsidR="00BA1EAA">
        <w:rPr>
          <w:sz w:val="24"/>
        </w:rPr>
        <w:t>the difference between magic and witchcraft by the necessary inclusion of medicines and rituals in practicing magic, as opposed to witchcraft, which is a hereditary power wielded through thought alone; sorcery is defined as magic which is used to negative effect (1976:176).</w:t>
      </w:r>
      <w:r w:rsidR="00BF601E">
        <w:rPr>
          <w:sz w:val="24"/>
        </w:rPr>
        <w:t xml:space="preserve"> </w:t>
      </w:r>
      <w:r w:rsidR="00DA6034">
        <w:rPr>
          <w:sz w:val="24"/>
        </w:rPr>
        <w:t>In the event of a death and a</w:t>
      </w:r>
      <w:r w:rsidR="00BF601E">
        <w:rPr>
          <w:sz w:val="24"/>
        </w:rPr>
        <w:t xml:space="preserve">fter using oracles to confirm a witch’s identity, magic is implemented to </w:t>
      </w:r>
      <w:r w:rsidR="00DA6034">
        <w:rPr>
          <w:sz w:val="24"/>
        </w:rPr>
        <w:t>avenge the bewitchment, causing ill health or misfortune as punishment for the death; Evans-Pritchard makes the assertion however that “only when death is the misfortune</w:t>
      </w:r>
      <w:r w:rsidR="002559F2">
        <w:rPr>
          <w:sz w:val="24"/>
        </w:rPr>
        <w:t xml:space="preserve"> can vengeance or compensation be exacted for injury from witchcraft” (1976:33).</w:t>
      </w:r>
    </w:p>
    <w:p w:rsidR="00BF601E" w:rsidRDefault="00BF601E" w:rsidP="00DA7494">
      <w:pPr>
        <w:spacing w:after="0" w:line="360" w:lineRule="auto"/>
        <w:rPr>
          <w:sz w:val="24"/>
        </w:rPr>
      </w:pPr>
    </w:p>
    <w:p w:rsidR="00C21F9E" w:rsidRDefault="00DB58BB" w:rsidP="00DA7494">
      <w:pPr>
        <w:spacing w:after="0" w:line="360" w:lineRule="auto"/>
        <w:rPr>
          <w:sz w:val="24"/>
        </w:rPr>
      </w:pPr>
      <w:r>
        <w:rPr>
          <w:sz w:val="24"/>
        </w:rPr>
        <w:t xml:space="preserve">Where supernatural beliefs were previously seen as primitive and simplistic, Evans-Pritchard’s work with the Azande demonstrated the complex underlying social processes that the belief in witchcraft enabled. </w:t>
      </w:r>
      <w:r w:rsidR="007327EC">
        <w:rPr>
          <w:sz w:val="24"/>
        </w:rPr>
        <w:t>It is</w:t>
      </w:r>
      <w:r w:rsidR="00F31D74">
        <w:rPr>
          <w:sz w:val="24"/>
        </w:rPr>
        <w:t xml:space="preserve">, as Stein and Stein put it, “a mechanism for dealing with social tension” (2017:233); numerous scholars have described how accusations of witchcraft generally occur between people who already have an element of animosity in their relationship, whether this be due to family, social or financial tension (Evans-Pritchard 1976; </w:t>
      </w:r>
      <w:proofErr w:type="spellStart"/>
      <w:r w:rsidR="00F31D74">
        <w:rPr>
          <w:sz w:val="24"/>
        </w:rPr>
        <w:t>Favret-Saada</w:t>
      </w:r>
      <w:proofErr w:type="spellEnd"/>
      <w:r w:rsidR="00F31D74">
        <w:rPr>
          <w:sz w:val="24"/>
        </w:rPr>
        <w:t xml:space="preserve"> 198</w:t>
      </w:r>
      <w:r w:rsidR="00BE5C10">
        <w:rPr>
          <w:sz w:val="24"/>
        </w:rPr>
        <w:t>0, 1989</w:t>
      </w:r>
      <w:r w:rsidR="00F31D74">
        <w:rPr>
          <w:sz w:val="24"/>
        </w:rPr>
        <w:t>; Bowie 2000; Stein and Stein 2017). Witchcraft and magic offer a method of</w:t>
      </w:r>
      <w:r w:rsidR="00BB5F91">
        <w:rPr>
          <w:sz w:val="24"/>
        </w:rPr>
        <w:t xml:space="preserve"> both</w:t>
      </w:r>
      <w:r w:rsidR="00F31D74">
        <w:rPr>
          <w:sz w:val="24"/>
        </w:rPr>
        <w:t xml:space="preserve"> bringing tension to light and resolving it in a manner that all parties involved</w:t>
      </w:r>
      <w:r w:rsidR="000E0A53">
        <w:rPr>
          <w:sz w:val="24"/>
        </w:rPr>
        <w:t xml:space="preserve"> generally</w:t>
      </w:r>
      <w:r w:rsidR="00F31D74">
        <w:rPr>
          <w:sz w:val="24"/>
        </w:rPr>
        <w:t xml:space="preserve"> consider just. </w:t>
      </w:r>
    </w:p>
    <w:p w:rsidR="00C21F9E" w:rsidRDefault="00C21F9E" w:rsidP="00C21F9E">
      <w:pPr>
        <w:spacing w:after="0" w:line="360" w:lineRule="auto"/>
        <w:rPr>
          <w:sz w:val="24"/>
        </w:rPr>
      </w:pPr>
    </w:p>
    <w:p w:rsidR="00650C6D" w:rsidRDefault="007C0AB4" w:rsidP="00C21F9E">
      <w:pPr>
        <w:spacing w:after="0" w:line="360" w:lineRule="auto"/>
        <w:rPr>
          <w:sz w:val="24"/>
        </w:rPr>
      </w:pPr>
      <w:r>
        <w:rPr>
          <w:sz w:val="24"/>
        </w:rPr>
        <w:t>In Azande culture, as with many others, accusations of witchcraft reflect the social hierarchy</w:t>
      </w:r>
      <w:r w:rsidR="00E07637">
        <w:rPr>
          <w:sz w:val="24"/>
        </w:rPr>
        <w:t>; the highest regarded members of society are accused of being a witch far less often than lower members, and the princely class is never accused (Evans-Pritchard 1976:9)</w:t>
      </w:r>
      <w:r w:rsidR="00C325DA">
        <w:rPr>
          <w:sz w:val="24"/>
        </w:rPr>
        <w:t>.</w:t>
      </w:r>
      <w:r w:rsidR="00BB5F91">
        <w:rPr>
          <w:sz w:val="24"/>
        </w:rPr>
        <w:t xml:space="preserve"> </w:t>
      </w:r>
      <w:r w:rsidR="00C21F9E">
        <w:rPr>
          <w:sz w:val="24"/>
        </w:rPr>
        <w:t>This reflection of hierarchy can also be seen within nuclear Zande families. The Azande live in a patriarchal social system and women are not allowed to consult oracles in order to determine the identity of a witch, instead relying on their husband or a male family member; Evans-Pritchard recorded that he had “never heard of cases in which a man has been accused of bewitching his wife”</w:t>
      </w:r>
      <w:r w:rsidR="00BB5F91">
        <w:rPr>
          <w:sz w:val="24"/>
        </w:rPr>
        <w:t>, but women are frequently accused by their husbands of being witches</w:t>
      </w:r>
      <w:r w:rsidR="00C21F9E">
        <w:rPr>
          <w:sz w:val="24"/>
        </w:rPr>
        <w:t xml:space="preserve"> (1976:</w:t>
      </w:r>
      <w:r w:rsidR="00BB5F91">
        <w:rPr>
          <w:sz w:val="24"/>
        </w:rPr>
        <w:t>9)</w:t>
      </w:r>
      <w:r w:rsidR="00C21F9E">
        <w:rPr>
          <w:sz w:val="24"/>
        </w:rPr>
        <w:t>.</w:t>
      </w:r>
      <w:r w:rsidR="00BB5F91">
        <w:rPr>
          <w:sz w:val="24"/>
        </w:rPr>
        <w:t xml:space="preserve"> </w:t>
      </w:r>
      <w:r w:rsidR="00BB5F91">
        <w:rPr>
          <w:sz w:val="24"/>
        </w:rPr>
        <w:t>This relationship between social class and accusation has also been revealed in studies of the European Witch Trials, where the vast majority of the accused were elderly, poor, and often widowed, women (Horsley 1979).</w:t>
      </w:r>
      <w:r w:rsidR="00C21F9E">
        <w:rPr>
          <w:sz w:val="24"/>
        </w:rPr>
        <w:t xml:space="preserve"> </w:t>
      </w:r>
      <w:r w:rsidR="004171E4">
        <w:rPr>
          <w:sz w:val="24"/>
        </w:rPr>
        <w:t xml:space="preserve">In this manner, witchcraft </w:t>
      </w:r>
      <w:r w:rsidR="00BB5F91">
        <w:rPr>
          <w:sz w:val="24"/>
        </w:rPr>
        <w:t>both</w:t>
      </w:r>
      <w:r w:rsidR="004171E4">
        <w:rPr>
          <w:sz w:val="24"/>
        </w:rPr>
        <w:t xml:space="preserve"> reflects the social hierarchy</w:t>
      </w:r>
      <w:r w:rsidR="00BB5F91">
        <w:rPr>
          <w:sz w:val="24"/>
        </w:rPr>
        <w:t xml:space="preserve"> and </w:t>
      </w:r>
      <w:r w:rsidR="004171E4">
        <w:rPr>
          <w:sz w:val="24"/>
        </w:rPr>
        <w:t>a</w:t>
      </w:r>
      <w:r w:rsidR="00523B82">
        <w:rPr>
          <w:sz w:val="24"/>
        </w:rPr>
        <w:t xml:space="preserve">cts to </w:t>
      </w:r>
      <w:r w:rsidR="004171E4">
        <w:rPr>
          <w:sz w:val="24"/>
        </w:rPr>
        <w:t>maintain it</w:t>
      </w:r>
      <w:r w:rsidR="00C21F9E">
        <w:rPr>
          <w:sz w:val="24"/>
        </w:rPr>
        <w:t xml:space="preserve">, by putting those with a </w:t>
      </w:r>
      <w:r w:rsidR="00C21F9E">
        <w:rPr>
          <w:sz w:val="24"/>
        </w:rPr>
        <w:lastRenderedPageBreak/>
        <w:t xml:space="preserve">higher social standing in a position where not only are they better equipped to deflect accusations of wrongdoing, but less likely to be accused of wrongdoing in the first place. </w:t>
      </w:r>
    </w:p>
    <w:p w:rsidR="00D40FB9" w:rsidRDefault="00D40FB9" w:rsidP="00DA7494">
      <w:pPr>
        <w:spacing w:after="0" w:line="360" w:lineRule="auto"/>
        <w:rPr>
          <w:sz w:val="24"/>
        </w:rPr>
      </w:pPr>
    </w:p>
    <w:p w:rsidR="00DB58BB" w:rsidRPr="000D2325" w:rsidRDefault="00DB58BB" w:rsidP="00DA7494">
      <w:pPr>
        <w:spacing w:after="0" w:line="360" w:lineRule="auto"/>
        <w:rPr>
          <w:sz w:val="24"/>
        </w:rPr>
      </w:pPr>
      <w:r>
        <w:rPr>
          <w:sz w:val="24"/>
        </w:rPr>
        <w:t>By revealing the social intricacies and processes underlying Azande witchcraft, Evans-Pritchard demonstrated that a belief system previously thought of by the Western world as ‘primitive’ or unevolved, was indeed as logical and rational a system within its own context as Christianity in Western Europe.</w:t>
      </w:r>
      <w:r>
        <w:rPr>
          <w:sz w:val="24"/>
        </w:rPr>
        <w:t xml:space="preserve"> </w:t>
      </w:r>
      <w:bookmarkStart w:id="0" w:name="_GoBack"/>
      <w:bookmarkEnd w:id="0"/>
      <w:r w:rsidR="007979CC">
        <w:rPr>
          <w:sz w:val="24"/>
        </w:rPr>
        <w:t>This has both placed magic and witchcraft within the realms of religio</w:t>
      </w:r>
      <w:r w:rsidR="008E04CA">
        <w:rPr>
          <w:sz w:val="24"/>
        </w:rPr>
        <w:t xml:space="preserve">n </w:t>
      </w:r>
      <w:r w:rsidR="007979CC">
        <w:rPr>
          <w:sz w:val="24"/>
        </w:rPr>
        <w:t>where previously thought of as a stand-alone entit</w:t>
      </w:r>
      <w:r w:rsidR="008E04CA">
        <w:rPr>
          <w:sz w:val="24"/>
        </w:rPr>
        <w:t>ies</w:t>
      </w:r>
      <w:r w:rsidR="007979CC">
        <w:rPr>
          <w:sz w:val="24"/>
        </w:rPr>
        <w:t>, and placed them at the forefront of the ongoing anthropological debate on rationality</w:t>
      </w:r>
      <w:r w:rsidR="00F062ED">
        <w:rPr>
          <w:sz w:val="24"/>
        </w:rPr>
        <w:t>, which continues to be a main theme in the field. Witchcraft and magic are common subjects for</w:t>
      </w:r>
      <w:r w:rsidR="00366464">
        <w:rPr>
          <w:sz w:val="24"/>
        </w:rPr>
        <w:t xml:space="preserve"> chapters in</w:t>
      </w:r>
      <w:r w:rsidR="00F062ED">
        <w:rPr>
          <w:sz w:val="24"/>
        </w:rPr>
        <w:t xml:space="preserve"> contemporary textbooks on Religious Anthropology, and many of these chapters contain a discourse on the rationality debate</w:t>
      </w:r>
      <w:r w:rsidR="00366464">
        <w:rPr>
          <w:sz w:val="24"/>
        </w:rPr>
        <w:t xml:space="preserve"> (Bowie 2000, Stein and Stein 2017)</w:t>
      </w:r>
      <w:r w:rsidR="00F062ED">
        <w:rPr>
          <w:sz w:val="24"/>
        </w:rPr>
        <w:t xml:space="preserve">. </w:t>
      </w:r>
    </w:p>
    <w:p w:rsidR="000E0A53" w:rsidRDefault="000E0A53" w:rsidP="00DA7494">
      <w:pPr>
        <w:spacing w:after="0" w:line="360" w:lineRule="auto"/>
        <w:rPr>
          <w:color w:val="FF0000"/>
          <w:sz w:val="24"/>
        </w:rPr>
      </w:pPr>
    </w:p>
    <w:p w:rsidR="00A56A8F" w:rsidRDefault="00A56A8F" w:rsidP="00A56A8F">
      <w:pPr>
        <w:spacing w:after="0" w:line="360" w:lineRule="auto"/>
        <w:rPr>
          <w:b/>
          <w:i/>
          <w:sz w:val="24"/>
        </w:rPr>
      </w:pPr>
      <w:r>
        <w:rPr>
          <w:b/>
          <w:i/>
          <w:sz w:val="24"/>
        </w:rPr>
        <w:t>References</w:t>
      </w:r>
    </w:p>
    <w:p w:rsidR="00A56A8F" w:rsidRDefault="00A56A8F" w:rsidP="00A56A8F">
      <w:pPr>
        <w:spacing w:after="0" w:line="360" w:lineRule="auto"/>
        <w:rPr>
          <w:b/>
          <w:i/>
          <w:sz w:val="24"/>
        </w:rPr>
      </w:pPr>
    </w:p>
    <w:p w:rsidR="00A56A8F" w:rsidRDefault="00A56A8F" w:rsidP="00A56A8F">
      <w:pPr>
        <w:spacing w:after="0" w:line="360" w:lineRule="auto"/>
        <w:rPr>
          <w:sz w:val="24"/>
        </w:rPr>
      </w:pPr>
      <w:r>
        <w:rPr>
          <w:sz w:val="24"/>
        </w:rPr>
        <w:t xml:space="preserve">Bowie, F. (2006) </w:t>
      </w:r>
      <w:r>
        <w:rPr>
          <w:i/>
          <w:sz w:val="24"/>
        </w:rPr>
        <w:t xml:space="preserve">The Anthropology of Religion: An Introduction. </w:t>
      </w:r>
      <w:r>
        <w:rPr>
          <w:sz w:val="24"/>
        </w:rPr>
        <w:t xml:space="preserve">Second edn. London: Blackwell. </w:t>
      </w:r>
    </w:p>
    <w:p w:rsidR="00A56A8F" w:rsidRDefault="00A56A8F" w:rsidP="00A56A8F">
      <w:pPr>
        <w:spacing w:after="0" w:line="360" w:lineRule="auto"/>
        <w:rPr>
          <w:sz w:val="24"/>
        </w:rPr>
      </w:pPr>
    </w:p>
    <w:p w:rsidR="00A56A8F" w:rsidRDefault="00A56A8F" w:rsidP="00A56A8F">
      <w:pPr>
        <w:spacing w:after="0" w:line="360" w:lineRule="auto"/>
        <w:rPr>
          <w:sz w:val="24"/>
        </w:rPr>
      </w:pPr>
      <w:r>
        <w:rPr>
          <w:sz w:val="24"/>
        </w:rPr>
        <w:t xml:space="preserve">Evans-Pritchard, Sir E. E. (1976) </w:t>
      </w:r>
      <w:r>
        <w:rPr>
          <w:i/>
          <w:sz w:val="24"/>
        </w:rPr>
        <w:t>Witchcraft, Or</w:t>
      </w:r>
      <w:r>
        <w:rPr>
          <w:i/>
          <w:sz w:val="24"/>
        </w:rPr>
        <w:t>a</w:t>
      </w:r>
      <w:r>
        <w:rPr>
          <w:i/>
          <w:sz w:val="24"/>
        </w:rPr>
        <w:t xml:space="preserve">cles and Magic Among the Azande. </w:t>
      </w:r>
      <w:r>
        <w:rPr>
          <w:sz w:val="24"/>
        </w:rPr>
        <w:t>Oxford: Clarendon Press.</w:t>
      </w:r>
    </w:p>
    <w:p w:rsidR="00A56A8F" w:rsidRDefault="00A56A8F" w:rsidP="00A56A8F">
      <w:pPr>
        <w:spacing w:after="0" w:line="360" w:lineRule="auto"/>
        <w:rPr>
          <w:sz w:val="24"/>
        </w:rPr>
      </w:pPr>
    </w:p>
    <w:p w:rsidR="00A56A8F" w:rsidRDefault="00A56A8F" w:rsidP="00A56A8F">
      <w:pPr>
        <w:spacing w:after="0" w:line="360" w:lineRule="auto"/>
        <w:rPr>
          <w:sz w:val="24"/>
        </w:rPr>
      </w:pPr>
      <w:r>
        <w:rPr>
          <w:sz w:val="24"/>
        </w:rPr>
        <w:t xml:space="preserve">Evans-Pritchard, Sir E. E. (1965) </w:t>
      </w:r>
      <w:r>
        <w:rPr>
          <w:i/>
          <w:sz w:val="24"/>
        </w:rPr>
        <w:t xml:space="preserve">Theories of Primitive Religion. </w:t>
      </w:r>
      <w:r>
        <w:rPr>
          <w:sz w:val="24"/>
        </w:rPr>
        <w:t xml:space="preserve">Oxford: Oxford University Press. </w:t>
      </w:r>
    </w:p>
    <w:p w:rsidR="00A56A8F" w:rsidRDefault="00A56A8F" w:rsidP="00A56A8F">
      <w:pPr>
        <w:spacing w:after="0" w:line="360" w:lineRule="auto"/>
        <w:rPr>
          <w:sz w:val="24"/>
        </w:rPr>
      </w:pPr>
    </w:p>
    <w:p w:rsidR="00A56A8F" w:rsidRDefault="00A56A8F" w:rsidP="00A56A8F">
      <w:pPr>
        <w:spacing w:after="0" w:line="360" w:lineRule="auto"/>
        <w:rPr>
          <w:sz w:val="24"/>
        </w:rPr>
      </w:pPr>
      <w:proofErr w:type="spellStart"/>
      <w:r>
        <w:rPr>
          <w:sz w:val="24"/>
        </w:rPr>
        <w:t>Favret-Saada</w:t>
      </w:r>
      <w:proofErr w:type="spellEnd"/>
      <w:r>
        <w:rPr>
          <w:sz w:val="24"/>
        </w:rPr>
        <w:t xml:space="preserve">, J. (1980) </w:t>
      </w:r>
      <w:r>
        <w:rPr>
          <w:i/>
          <w:sz w:val="24"/>
        </w:rPr>
        <w:t xml:space="preserve">Deadly Words: Witchcraft in the Bocage. </w:t>
      </w:r>
      <w:r>
        <w:rPr>
          <w:sz w:val="24"/>
        </w:rPr>
        <w:t xml:space="preserve">Cambridge: Cambridge University Press. </w:t>
      </w:r>
    </w:p>
    <w:p w:rsidR="00A56A8F" w:rsidRDefault="00A56A8F" w:rsidP="00A56A8F">
      <w:pPr>
        <w:spacing w:after="0" w:line="360" w:lineRule="auto"/>
        <w:rPr>
          <w:sz w:val="24"/>
        </w:rPr>
      </w:pPr>
    </w:p>
    <w:p w:rsidR="00A56A8F" w:rsidRPr="00D00F79" w:rsidRDefault="00A56A8F" w:rsidP="00A56A8F">
      <w:pPr>
        <w:spacing w:after="0" w:line="360" w:lineRule="auto"/>
        <w:rPr>
          <w:sz w:val="24"/>
        </w:rPr>
      </w:pPr>
      <w:proofErr w:type="spellStart"/>
      <w:r>
        <w:rPr>
          <w:sz w:val="24"/>
        </w:rPr>
        <w:t>Favret-Saada</w:t>
      </w:r>
      <w:proofErr w:type="spellEnd"/>
      <w:r>
        <w:rPr>
          <w:sz w:val="24"/>
        </w:rPr>
        <w:t>, J. (1989) ‘</w:t>
      </w:r>
      <w:proofErr w:type="spellStart"/>
      <w:r>
        <w:rPr>
          <w:sz w:val="24"/>
        </w:rPr>
        <w:t>Unwitching</w:t>
      </w:r>
      <w:proofErr w:type="spellEnd"/>
      <w:r>
        <w:rPr>
          <w:sz w:val="24"/>
        </w:rPr>
        <w:t xml:space="preserve"> as Therapy’ </w:t>
      </w:r>
      <w:r>
        <w:rPr>
          <w:i/>
          <w:sz w:val="24"/>
        </w:rPr>
        <w:t xml:space="preserve">American Ethnologist. </w:t>
      </w:r>
      <w:r>
        <w:rPr>
          <w:sz w:val="24"/>
        </w:rPr>
        <w:t xml:space="preserve">Vol. 16, No. 1, pp. 40-56. Hoboken: Wiley. </w:t>
      </w:r>
    </w:p>
    <w:p w:rsidR="00A56A8F" w:rsidRDefault="00A56A8F" w:rsidP="00A56A8F">
      <w:pPr>
        <w:spacing w:after="0" w:line="360" w:lineRule="auto"/>
        <w:rPr>
          <w:sz w:val="24"/>
        </w:rPr>
      </w:pPr>
    </w:p>
    <w:p w:rsidR="00A56A8F" w:rsidRPr="0091784F" w:rsidRDefault="00A56A8F" w:rsidP="00A56A8F">
      <w:pPr>
        <w:spacing w:after="0" w:line="360" w:lineRule="auto"/>
        <w:rPr>
          <w:sz w:val="24"/>
        </w:rPr>
      </w:pPr>
      <w:r>
        <w:rPr>
          <w:sz w:val="24"/>
        </w:rPr>
        <w:t xml:space="preserve">Frazer, Sir J. G. (2002) </w:t>
      </w:r>
      <w:r>
        <w:rPr>
          <w:i/>
          <w:sz w:val="24"/>
        </w:rPr>
        <w:t xml:space="preserve">The Golden Bough. </w:t>
      </w:r>
      <w:r>
        <w:rPr>
          <w:sz w:val="24"/>
        </w:rPr>
        <w:t>Third edn. New York: Dover Publications.</w:t>
      </w:r>
    </w:p>
    <w:p w:rsidR="00A56A8F" w:rsidRDefault="00A56A8F" w:rsidP="00A56A8F">
      <w:pPr>
        <w:spacing w:after="0" w:line="360" w:lineRule="auto"/>
        <w:rPr>
          <w:sz w:val="24"/>
        </w:rPr>
      </w:pPr>
    </w:p>
    <w:p w:rsidR="00A56A8F" w:rsidRDefault="00A56A8F" w:rsidP="00A56A8F">
      <w:pPr>
        <w:spacing w:after="0" w:line="360" w:lineRule="auto"/>
        <w:rPr>
          <w:sz w:val="24"/>
        </w:rPr>
      </w:pPr>
      <w:r>
        <w:rPr>
          <w:sz w:val="24"/>
        </w:rPr>
        <w:lastRenderedPageBreak/>
        <w:t xml:space="preserve">Horsley, R. A. (1979) ‘Who Were Witches? The Social Roles of the Accused in the European Witch Trials’ </w:t>
      </w:r>
      <w:r>
        <w:rPr>
          <w:i/>
          <w:sz w:val="24"/>
        </w:rPr>
        <w:t xml:space="preserve">Journal of Interdisciplinary History. </w:t>
      </w:r>
      <w:r>
        <w:rPr>
          <w:sz w:val="24"/>
        </w:rPr>
        <w:t>Vol. 9, No. 4, pp. 689-715. Cambridge: MIT Press.</w:t>
      </w:r>
    </w:p>
    <w:p w:rsidR="00A56A8F" w:rsidRDefault="00A56A8F" w:rsidP="00A56A8F">
      <w:pPr>
        <w:spacing w:after="0" w:line="360" w:lineRule="auto"/>
        <w:rPr>
          <w:sz w:val="24"/>
        </w:rPr>
      </w:pPr>
    </w:p>
    <w:p w:rsidR="00A56A8F" w:rsidRDefault="00A56A8F" w:rsidP="00A56A8F">
      <w:pPr>
        <w:spacing w:after="0" w:line="360" w:lineRule="auto"/>
        <w:rPr>
          <w:sz w:val="24"/>
        </w:rPr>
      </w:pPr>
      <w:proofErr w:type="spellStart"/>
      <w:r>
        <w:rPr>
          <w:sz w:val="24"/>
        </w:rPr>
        <w:t>Jalava</w:t>
      </w:r>
      <w:proofErr w:type="spellEnd"/>
      <w:r>
        <w:rPr>
          <w:sz w:val="24"/>
        </w:rPr>
        <w:t xml:space="preserve">, J. (2006) ‘The Modern Degenerate: Nineteenth-century Degeneration Theory and Modern Psychopathy Research’ </w:t>
      </w:r>
      <w:r>
        <w:rPr>
          <w:i/>
          <w:sz w:val="24"/>
        </w:rPr>
        <w:t xml:space="preserve">Theory &amp; Psychology. </w:t>
      </w:r>
      <w:r>
        <w:rPr>
          <w:sz w:val="24"/>
        </w:rPr>
        <w:t>Vol. 16, No. 3, pp. 416-432. Newbury Park: SAGE Publishing.</w:t>
      </w:r>
    </w:p>
    <w:p w:rsidR="00A56A8F" w:rsidRDefault="00A56A8F" w:rsidP="00A56A8F">
      <w:pPr>
        <w:spacing w:after="0" w:line="360" w:lineRule="auto"/>
        <w:rPr>
          <w:sz w:val="24"/>
        </w:rPr>
      </w:pPr>
    </w:p>
    <w:p w:rsidR="00A56A8F" w:rsidRPr="0091784F" w:rsidRDefault="00A56A8F" w:rsidP="00A56A8F">
      <w:pPr>
        <w:spacing w:after="0" w:line="360" w:lineRule="auto"/>
        <w:rPr>
          <w:sz w:val="24"/>
          <w:szCs w:val="24"/>
        </w:rPr>
      </w:pPr>
      <w:r>
        <w:rPr>
          <w:sz w:val="24"/>
          <w:szCs w:val="24"/>
        </w:rPr>
        <w:t xml:space="preserve">Stein, R. L. and Stein, P. L. (2017) </w:t>
      </w:r>
      <w:r>
        <w:rPr>
          <w:i/>
          <w:sz w:val="24"/>
          <w:szCs w:val="24"/>
        </w:rPr>
        <w:t xml:space="preserve">An Anthropology of Religion, Magic and Witchcraft. </w:t>
      </w:r>
      <w:r>
        <w:rPr>
          <w:sz w:val="24"/>
          <w:szCs w:val="24"/>
        </w:rPr>
        <w:t>4</w:t>
      </w:r>
      <w:r w:rsidRPr="00C843E0">
        <w:rPr>
          <w:sz w:val="24"/>
          <w:szCs w:val="24"/>
          <w:vertAlign w:val="superscript"/>
        </w:rPr>
        <w:t>th</w:t>
      </w:r>
      <w:r>
        <w:rPr>
          <w:sz w:val="24"/>
          <w:szCs w:val="24"/>
        </w:rPr>
        <w:t xml:space="preserve"> edn. London: Routledge. </w:t>
      </w:r>
    </w:p>
    <w:p w:rsidR="00A56A8F" w:rsidRDefault="00A56A8F" w:rsidP="00A56A8F">
      <w:pPr>
        <w:spacing w:after="0" w:line="360" w:lineRule="auto"/>
        <w:rPr>
          <w:sz w:val="24"/>
        </w:rPr>
      </w:pPr>
    </w:p>
    <w:p w:rsidR="00A56A8F" w:rsidRPr="00AB42FD" w:rsidRDefault="00A56A8F" w:rsidP="00A56A8F">
      <w:pPr>
        <w:spacing w:after="0" w:line="360" w:lineRule="auto"/>
        <w:rPr>
          <w:sz w:val="24"/>
        </w:rPr>
      </w:pPr>
      <w:r>
        <w:rPr>
          <w:sz w:val="24"/>
        </w:rPr>
        <w:t xml:space="preserve">Tylor, Sir E. B. (2016) </w:t>
      </w:r>
      <w:r>
        <w:rPr>
          <w:i/>
          <w:sz w:val="24"/>
        </w:rPr>
        <w:t xml:space="preserve">Primitive Culture Volume 2. </w:t>
      </w:r>
      <w:r>
        <w:rPr>
          <w:sz w:val="24"/>
        </w:rPr>
        <w:t>Dover Thrift Edition. New York: Dover Publications.</w:t>
      </w:r>
    </w:p>
    <w:p w:rsidR="00F23697" w:rsidRPr="001E5B69" w:rsidRDefault="00F23697" w:rsidP="00DA7494">
      <w:pPr>
        <w:spacing w:after="0" w:line="360" w:lineRule="auto"/>
        <w:rPr>
          <w:color w:val="FF0000"/>
          <w:sz w:val="24"/>
        </w:rPr>
      </w:pPr>
    </w:p>
    <w:sectPr w:rsidR="00F23697" w:rsidRPr="001E5B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A7494"/>
    <w:rsid w:val="00003F35"/>
    <w:rsid w:val="000846B9"/>
    <w:rsid w:val="000D2325"/>
    <w:rsid w:val="000E0A53"/>
    <w:rsid w:val="001E5B69"/>
    <w:rsid w:val="001E7D9F"/>
    <w:rsid w:val="002559F2"/>
    <w:rsid w:val="002E63F4"/>
    <w:rsid w:val="00366464"/>
    <w:rsid w:val="003D4AB7"/>
    <w:rsid w:val="004171E4"/>
    <w:rsid w:val="00471DFA"/>
    <w:rsid w:val="0051562F"/>
    <w:rsid w:val="00523B82"/>
    <w:rsid w:val="00580980"/>
    <w:rsid w:val="005E3BAC"/>
    <w:rsid w:val="00607A3A"/>
    <w:rsid w:val="00645439"/>
    <w:rsid w:val="00650C6D"/>
    <w:rsid w:val="00665A3D"/>
    <w:rsid w:val="007327EC"/>
    <w:rsid w:val="00751A00"/>
    <w:rsid w:val="007979CC"/>
    <w:rsid w:val="007C0AB4"/>
    <w:rsid w:val="007C7F3E"/>
    <w:rsid w:val="00823EAD"/>
    <w:rsid w:val="00854BF7"/>
    <w:rsid w:val="008E04CA"/>
    <w:rsid w:val="00903734"/>
    <w:rsid w:val="009351EB"/>
    <w:rsid w:val="009D1A45"/>
    <w:rsid w:val="00A56A8F"/>
    <w:rsid w:val="00AA60EA"/>
    <w:rsid w:val="00AD2AA6"/>
    <w:rsid w:val="00AF5312"/>
    <w:rsid w:val="00B42E8D"/>
    <w:rsid w:val="00BA1EAA"/>
    <w:rsid w:val="00BB5F91"/>
    <w:rsid w:val="00BE5C10"/>
    <w:rsid w:val="00BF1A30"/>
    <w:rsid w:val="00BF601E"/>
    <w:rsid w:val="00C21F9E"/>
    <w:rsid w:val="00C325DA"/>
    <w:rsid w:val="00C92361"/>
    <w:rsid w:val="00D2790D"/>
    <w:rsid w:val="00D40FB9"/>
    <w:rsid w:val="00D64AF9"/>
    <w:rsid w:val="00DA6034"/>
    <w:rsid w:val="00DA7494"/>
    <w:rsid w:val="00DB58BB"/>
    <w:rsid w:val="00E07637"/>
    <w:rsid w:val="00ED1EEE"/>
    <w:rsid w:val="00F025AA"/>
    <w:rsid w:val="00F062ED"/>
    <w:rsid w:val="00F23697"/>
    <w:rsid w:val="00F31D74"/>
    <w:rsid w:val="00F462D7"/>
    <w:rsid w:val="00F9008E"/>
    <w:rsid w:val="00F91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DFCC2"/>
  <w15:chartTrackingRefBased/>
  <w15:docId w15:val="{52E77274-FC7A-4FC6-9AF5-69AB0779D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3051</TotalTime>
  <Pages>5</Pages>
  <Words>1463</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4</cp:revision>
  <dcterms:created xsi:type="dcterms:W3CDTF">2019-03-04T16:10:00Z</dcterms:created>
  <dcterms:modified xsi:type="dcterms:W3CDTF">2019-03-08T14:23:00Z</dcterms:modified>
</cp:coreProperties>
</file>