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6BBD3B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E78ED">
              <w:rPr>
                <w:rFonts w:ascii="Times New Roman" w:hAnsi="Times New Roman" w:cs="Times New Roman"/>
                <w:b/>
                <w:color w:val="auto"/>
                <w:sz w:val="48"/>
              </w:rPr>
              <w:t>Michelle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E38809" w14:textId="2537604E" w:rsidR="00986B43"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713B4">
              <w:rPr>
                <w:rFonts w:ascii="Times New Roman" w:hAnsi="Times New Roman" w:cs="Times New Roman"/>
                <w:b/>
                <w:color w:val="auto"/>
                <w:sz w:val="48"/>
              </w:rPr>
              <w:t xml:space="preserve"> </w:t>
            </w:r>
            <w:r w:rsidR="006713B4">
              <w:rPr>
                <w:rFonts w:ascii="Times New Roman" w:hAnsi="Times New Roman" w:cs="Times New Roman"/>
                <w:b/>
                <w:sz w:val="48"/>
              </w:rPr>
              <w:t>eleywilliams@hotmail.com</w:t>
            </w:r>
          </w:p>
          <w:p w14:paraId="6420F9E1" w14:textId="77777777" w:rsidR="006713B4" w:rsidRDefault="006713B4"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9F53DC6" w:rsidR="0085230E" w:rsidRDefault="005E78E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2516783</w:t>
            </w:r>
          </w:p>
          <w:p w14:paraId="365ECD63" w14:textId="77777777" w:rsidR="005E78ED" w:rsidRPr="005D3F07" w:rsidRDefault="005E78ED"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0797153" w14:textId="6ADC2BEF" w:rsidR="007F312E" w:rsidRPr="005E78ED" w:rsidRDefault="007F312E" w:rsidP="005E78ED">
      <w:pPr>
        <w:rPr>
          <w:b/>
          <w:sz w:val="24"/>
          <w:szCs w:val="24"/>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3E6CDB75" w14:textId="4A4A6C48" w:rsidR="00660BB3" w:rsidRPr="00CC0E7F" w:rsidRDefault="00660BB3" w:rsidP="00660BB3">
            <w:pPr>
              <w:jc w:val="both"/>
              <w:rPr>
                <w:sz w:val="24"/>
                <w:szCs w:val="24"/>
              </w:rPr>
            </w:pPr>
            <w:r w:rsidRPr="00CC0E7F">
              <w:rPr>
                <w:sz w:val="24"/>
                <w:szCs w:val="24"/>
              </w:rPr>
              <w:t xml:space="preserve">In this essay, I will focus on safeguarding within adult social care, an area outside my </w:t>
            </w:r>
            <w:proofErr w:type="gramStart"/>
            <w:r w:rsidRPr="00CC0E7F">
              <w:rPr>
                <w:sz w:val="24"/>
                <w:szCs w:val="24"/>
              </w:rPr>
              <w:t>main focus</w:t>
            </w:r>
            <w:proofErr w:type="gramEnd"/>
            <w:r w:rsidRPr="00CC0E7F">
              <w:rPr>
                <w:sz w:val="24"/>
                <w:szCs w:val="24"/>
              </w:rPr>
              <w:t xml:space="preserve"> of work. In Wales, safeguarding adults is primarily governed by the Social Services and Well-being (Wales) Act 2014 (SSWWA, 2014), particularly Part 7, which addresses adults at risk. The legislation was introduced to reform and simplify social care law and strengthen safeguarding practice, building on the Welsh Government’s Sustainable Social Services for Wales: A Framework for Action</w:t>
            </w:r>
            <w:r w:rsidR="0011754D" w:rsidRPr="00CC0E7F">
              <w:rPr>
                <w:sz w:val="24"/>
                <w:szCs w:val="24"/>
              </w:rPr>
              <w:t xml:space="preserve"> (2011)</w:t>
            </w:r>
            <w:r w:rsidRPr="00CC0E7F">
              <w:rPr>
                <w:sz w:val="24"/>
                <w:szCs w:val="24"/>
              </w:rPr>
              <w:t>. The Human Rights Act (1998) is also central to safeguarding practice, supporting an anti-oppressive approach and ensuring that adults’ rights and dignity are respected. The Equality and Human Rights Commission (2025) emphasises that human rights in social care promote dignity, independence and meaningful relationships, enabling people, regardless of age or need, to have choice and control over their lives (Williams, C. 2011). Parts 3 and 4 of the SSWWA (2014) are also relevant, as they address assessment and eligibility for care and support. Section 134 establishes safeguarding boards and provides for a National Independent Safeguarding Board, supporting a coordinated approach to protecting adults at risk.</w:t>
            </w:r>
          </w:p>
          <w:p w14:paraId="73432584" w14:textId="77777777" w:rsidR="00660BB3" w:rsidRPr="00CC0E7F" w:rsidRDefault="00660BB3" w:rsidP="00660BB3">
            <w:pPr>
              <w:jc w:val="both"/>
              <w:rPr>
                <w:sz w:val="24"/>
                <w:szCs w:val="24"/>
              </w:rPr>
            </w:pPr>
          </w:p>
          <w:p w14:paraId="712BEA39" w14:textId="77777777" w:rsidR="00660BB3" w:rsidRPr="00CC0E7F" w:rsidRDefault="00660BB3" w:rsidP="00660BB3">
            <w:pPr>
              <w:jc w:val="both"/>
              <w:rPr>
                <w:sz w:val="24"/>
                <w:szCs w:val="24"/>
              </w:rPr>
            </w:pPr>
            <w:r w:rsidRPr="00CC0E7F">
              <w:rPr>
                <w:sz w:val="24"/>
                <w:szCs w:val="24"/>
              </w:rPr>
              <w:t>National safeguarding policy and procedures also provide guidance for professionals working across statutory and other services to identify, respond to and prevent abuse. The Wales Safeguarding Procedures: Adult at Risk (2026) provide a framework for professionals working together to safeguard adults from abuse and neglect. The active offer is another important aspect of Welsh social care practice, ensuring that individuals are given the opportunity to communicate in Welsh rather than having to request Welsh-language services themselves (More Than Just Words, Welsh Government, 2012). This is supported by the Welsh Language (Wales) Measure 2011.</w:t>
            </w:r>
          </w:p>
          <w:p w14:paraId="6D5BCC0E" w14:textId="77777777" w:rsidR="00350848" w:rsidRPr="00CC0E7F" w:rsidRDefault="00350848" w:rsidP="00660BB3">
            <w:pPr>
              <w:jc w:val="both"/>
              <w:rPr>
                <w:sz w:val="24"/>
                <w:szCs w:val="24"/>
              </w:rPr>
            </w:pPr>
          </w:p>
          <w:p w14:paraId="3CC57AED" w14:textId="77777777" w:rsidR="00660BB3" w:rsidRPr="00CC0E7F" w:rsidRDefault="00660BB3" w:rsidP="00660BB3">
            <w:pPr>
              <w:jc w:val="both"/>
              <w:rPr>
                <w:sz w:val="24"/>
                <w:szCs w:val="24"/>
              </w:rPr>
            </w:pPr>
            <w:r w:rsidRPr="00CC0E7F">
              <w:rPr>
                <w:sz w:val="24"/>
                <w:szCs w:val="24"/>
              </w:rPr>
              <w:t xml:space="preserve">Consent and capacity are particularly important considerations when safeguarding adults. The Mental Capacity Act (2005) provides a legal framework for supporting individuals to make their own decisions while protecting those who may lack capacity. Capacity is assessed in relation to a specific decision and involves establishing whether the individual has an impairment of the mind or brain and whether this affects their ability to make that </w:t>
            </w:r>
            <w:proofErr w:type="gramStart"/>
            <w:r w:rsidRPr="00CC0E7F">
              <w:rPr>
                <w:sz w:val="24"/>
                <w:szCs w:val="24"/>
              </w:rPr>
              <w:t>particular decision</w:t>
            </w:r>
            <w:proofErr w:type="gramEnd"/>
            <w:r w:rsidRPr="00CC0E7F">
              <w:rPr>
                <w:sz w:val="24"/>
                <w:szCs w:val="24"/>
              </w:rPr>
              <w:t xml:space="preserve">. The Act is underpinned by five principles: presuming capacity, recognising the right to make unwise decisions, supporting individuals to make their own decisions, using the least restrictive option, and acting in a person’s best interests where they lack capacity. Where restrictions are </w:t>
            </w:r>
            <w:r w:rsidRPr="00CC0E7F">
              <w:rPr>
                <w:sz w:val="24"/>
                <w:szCs w:val="24"/>
              </w:rPr>
              <w:lastRenderedPageBreak/>
              <w:t>necessary to protect an individual who lacks capacity, Deprivation of Liberty Safeguards (</w:t>
            </w:r>
            <w:proofErr w:type="spellStart"/>
            <w:r w:rsidRPr="00CC0E7F">
              <w:rPr>
                <w:sz w:val="24"/>
                <w:szCs w:val="24"/>
              </w:rPr>
              <w:t>DoLS</w:t>
            </w:r>
            <w:proofErr w:type="spellEnd"/>
            <w:r w:rsidRPr="00CC0E7F">
              <w:rPr>
                <w:sz w:val="24"/>
                <w:szCs w:val="24"/>
              </w:rPr>
              <w:t>) may apply.</w:t>
            </w:r>
          </w:p>
          <w:p w14:paraId="7FAC3B15" w14:textId="77777777" w:rsidR="00350848" w:rsidRPr="00CC0E7F" w:rsidRDefault="00350848" w:rsidP="00660BB3">
            <w:pPr>
              <w:jc w:val="both"/>
              <w:rPr>
                <w:sz w:val="24"/>
                <w:szCs w:val="24"/>
              </w:rPr>
            </w:pPr>
          </w:p>
          <w:p w14:paraId="7F09B76D" w14:textId="77777777" w:rsidR="00660BB3" w:rsidRPr="00CC0E7F" w:rsidRDefault="00660BB3" w:rsidP="00660BB3">
            <w:pPr>
              <w:jc w:val="both"/>
              <w:rPr>
                <w:sz w:val="24"/>
                <w:szCs w:val="24"/>
              </w:rPr>
            </w:pPr>
            <w:r w:rsidRPr="00CC0E7F">
              <w:rPr>
                <w:sz w:val="24"/>
                <w:szCs w:val="24"/>
              </w:rPr>
              <w:t>Safeguarding practice must also balance protection with an individual’s right to privacy and control over their personal information. The Data Protection Act (2018) provides a legal framework for how personal information is collected, stored and shared, replacing the Data Protection Act (1998). As social workers, it is therefore important to balance safeguarding responsibilities with respect for autonomy, privacy and human rights. This is consistent with the Code of Professional Practice for Social Care Workers (Social Care Wales, 2026), (which has replaced the COPP 2017) emphasises respecting individuals’ rights, choices and control over their lives. As Beesley, Watts and Harrison (2018) highlight, social work practice should remain attentive to issues of power and oppression. This demonstrates the importance of applying safeguarding legislation and policy proportionately, ensuring that protection from harm is balanced with adults’ rights, autonomy and participation in decisions about their lives.</w:t>
            </w:r>
          </w:p>
          <w:p w14:paraId="0318E819" w14:textId="77777777" w:rsidR="00FC0334" w:rsidRPr="00CC0E7F" w:rsidRDefault="00FC0334" w:rsidP="00FF7EBB">
            <w:pPr>
              <w:jc w:val="both"/>
              <w:rPr>
                <w:sz w:val="24"/>
                <w:szCs w:val="24"/>
              </w:rPr>
            </w:pPr>
          </w:p>
          <w:p w14:paraId="5DF07431" w14:textId="3E2F1B4F" w:rsidR="00660BB3" w:rsidRPr="00CC0E7F" w:rsidRDefault="00660BB3" w:rsidP="00FF7EBB">
            <w:pPr>
              <w:jc w:val="both"/>
              <w:rPr>
                <w:sz w:val="24"/>
                <w:szCs w:val="24"/>
              </w:rPr>
            </w:pPr>
            <w:r w:rsidRPr="00CC0E7F">
              <w:rPr>
                <w:sz w:val="24"/>
                <w:szCs w:val="24"/>
              </w:rPr>
              <w:t>Word Count - 540</w:t>
            </w:r>
          </w:p>
          <w:p w14:paraId="6D8CB8AF"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1642BBBE" w14:textId="77777777" w:rsidR="00A9759D" w:rsidRPr="00CC0E7F" w:rsidRDefault="00A9759D" w:rsidP="00A9759D">
            <w:pPr>
              <w:jc w:val="both"/>
              <w:rPr>
                <w:sz w:val="24"/>
                <w:szCs w:val="24"/>
              </w:rPr>
            </w:pPr>
            <w:r w:rsidRPr="00CC0E7F">
              <w:rPr>
                <w:sz w:val="24"/>
                <w:szCs w:val="24"/>
              </w:rPr>
              <w:t>I have had the opportunity to work in both Adult and Children’s Services and to experience the safeguarding procedures within each. Reflecting on these experiences has highlighted important differences in how safeguarding is approached, particularly in relation to autonomy, consent, capacity and the level of intervention required. The SSWWA (2014) has strengthened safeguarding arrangements in Wales, providing greater powers to protect individuals from abuse and neglect.</w:t>
            </w:r>
          </w:p>
          <w:p w14:paraId="4347C925" w14:textId="77777777" w:rsidR="00A9759D" w:rsidRPr="00CC0E7F" w:rsidRDefault="00A9759D" w:rsidP="00A9759D">
            <w:pPr>
              <w:jc w:val="both"/>
              <w:rPr>
                <w:sz w:val="24"/>
                <w:szCs w:val="24"/>
              </w:rPr>
            </w:pPr>
          </w:p>
          <w:p w14:paraId="19293115" w14:textId="77777777" w:rsidR="00A9759D" w:rsidRPr="00CC0E7F" w:rsidRDefault="00A9759D" w:rsidP="00A9759D">
            <w:pPr>
              <w:jc w:val="both"/>
              <w:rPr>
                <w:sz w:val="24"/>
                <w:szCs w:val="24"/>
              </w:rPr>
            </w:pPr>
            <w:r w:rsidRPr="00CC0E7F">
              <w:rPr>
                <w:sz w:val="24"/>
                <w:szCs w:val="24"/>
              </w:rPr>
              <w:t xml:space="preserve">In adult services, Part 7 of the SSWWA (2014) places a duty on local authorities to make enquiries where there is reasonable cause to suspect that an adult is at risk of abuse or neglect. It also places duties on relevant partners to report concerns, supporting earlier intervention and preventative safeguarding (Williams, 2017). However, adult safeguarding places significant emphasis on choice, consent and self-determination. Where an adult has capacity and is experiencing abuse or harm but does not wish to engage with services, their decision should generally be respected, including their rights to privacy and family life under the Human Rights Act (1998). The Mental Capacity Act (2005) also requires practitioners to presume capacity and recognise that individuals have the right to make decisions others may consider unwise. Where an individual lacks capacity and is unable to protect themselves from </w:t>
            </w:r>
            <w:r w:rsidRPr="00CC0E7F">
              <w:rPr>
                <w:sz w:val="24"/>
                <w:szCs w:val="24"/>
              </w:rPr>
              <w:lastRenderedPageBreak/>
              <w:t>harm, decisions may need to be made in their best interests, while ensuring that the least restrictive option is considered.</w:t>
            </w:r>
          </w:p>
          <w:p w14:paraId="76D94E91" w14:textId="77777777" w:rsidR="00A9759D" w:rsidRPr="00CC0E7F" w:rsidRDefault="00A9759D" w:rsidP="00A9759D">
            <w:pPr>
              <w:jc w:val="both"/>
              <w:rPr>
                <w:sz w:val="24"/>
                <w:szCs w:val="24"/>
              </w:rPr>
            </w:pPr>
          </w:p>
          <w:p w14:paraId="5C4CA9ED" w14:textId="4FECE4A7" w:rsidR="00A9759D" w:rsidRPr="00CC0E7F" w:rsidRDefault="00A9759D" w:rsidP="00A9759D">
            <w:pPr>
              <w:jc w:val="both"/>
              <w:rPr>
                <w:sz w:val="24"/>
                <w:szCs w:val="24"/>
              </w:rPr>
            </w:pPr>
            <w:r w:rsidRPr="00CC0E7F">
              <w:rPr>
                <w:sz w:val="24"/>
                <w:szCs w:val="24"/>
              </w:rPr>
              <w:t>In contrast, my experience of Children’s Services has demonstrated that safeguarding places a greater emphasis on protection and the welfare of the child. The Children Act (1989) establishes duties to safeguard children, with Section 47 requiring enquiries where there is reasonable cause to suspect that a child is suffering, or is likely to suffer, significant harm. Unlike adult safeguarding, concerns about significant harm can override parental consent, reflecting the principle that the child’s welfare is paramount. This can create tensions with the Human Rights Act (1998), particularly regarding the family’s right to privacy and family life. Section 47 enquiries must also be completed within defined timescales, demonstrating a more structured and time-sensitive approach to safeguarding (</w:t>
            </w:r>
            <w:proofErr w:type="spellStart"/>
            <w:r w:rsidRPr="00CC0E7F">
              <w:rPr>
                <w:sz w:val="24"/>
                <w:szCs w:val="24"/>
              </w:rPr>
              <w:t>Cysur</w:t>
            </w:r>
            <w:proofErr w:type="spellEnd"/>
            <w:r w:rsidR="009D0CE7" w:rsidRPr="00CC0E7F">
              <w:rPr>
                <w:sz w:val="24"/>
                <w:szCs w:val="24"/>
              </w:rPr>
              <w:t>, 2023</w:t>
            </w:r>
            <w:r w:rsidRPr="00CC0E7F">
              <w:rPr>
                <w:sz w:val="24"/>
                <w:szCs w:val="24"/>
              </w:rPr>
              <w:t>).</w:t>
            </w:r>
          </w:p>
          <w:p w14:paraId="0BA88703" w14:textId="77777777" w:rsidR="00A9759D" w:rsidRPr="00CC0E7F" w:rsidRDefault="00A9759D" w:rsidP="00A9759D">
            <w:pPr>
              <w:jc w:val="both"/>
              <w:rPr>
                <w:sz w:val="24"/>
                <w:szCs w:val="24"/>
              </w:rPr>
            </w:pPr>
          </w:p>
          <w:p w14:paraId="041FC4E4" w14:textId="77777777" w:rsidR="00A9759D" w:rsidRPr="00CC0E7F" w:rsidRDefault="00A9759D" w:rsidP="00A9759D">
            <w:pPr>
              <w:jc w:val="both"/>
              <w:rPr>
                <w:sz w:val="24"/>
                <w:szCs w:val="24"/>
              </w:rPr>
            </w:pPr>
            <w:r w:rsidRPr="00CC0E7F">
              <w:rPr>
                <w:sz w:val="24"/>
                <w:szCs w:val="24"/>
              </w:rPr>
              <w:t>Reflecting on my experience, I have recognised that adult safeguarding requires practitioners to balance protection from harm with autonomy and the individual’s right to make their own decisions, whereas children’s safeguarding places greater emphasis on protection from significant harm, even where this may require intervention against parental wishes. This difference has reinforced the importance of considering capacity, consent, rights and vulnerability when determining the most proportionate safeguarding response.</w:t>
            </w:r>
          </w:p>
          <w:p w14:paraId="795C6051" w14:textId="77777777" w:rsidR="00FC0334" w:rsidRPr="00CC0E7F" w:rsidRDefault="00FC0334" w:rsidP="00FC0334">
            <w:pPr>
              <w:jc w:val="both"/>
              <w:rPr>
                <w:sz w:val="24"/>
                <w:szCs w:val="24"/>
              </w:rPr>
            </w:pPr>
          </w:p>
          <w:p w14:paraId="2E707A83" w14:textId="4B2C1776" w:rsidR="00A9759D" w:rsidRPr="00CC0E7F" w:rsidRDefault="00A9759D" w:rsidP="00FC0334">
            <w:pPr>
              <w:jc w:val="both"/>
              <w:rPr>
                <w:sz w:val="24"/>
                <w:szCs w:val="24"/>
              </w:rPr>
            </w:pPr>
            <w:r w:rsidRPr="00CC0E7F">
              <w:rPr>
                <w:sz w:val="24"/>
                <w:szCs w:val="24"/>
              </w:rPr>
              <w:t>Word Count - 410</w:t>
            </w: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24DDD" w14:textId="77777777" w:rsidR="00BB7435" w:rsidRDefault="00BB7435">
      <w:r>
        <w:separator/>
      </w:r>
    </w:p>
  </w:endnote>
  <w:endnote w:type="continuationSeparator" w:id="0">
    <w:p w14:paraId="1F30ED08" w14:textId="77777777" w:rsidR="00BB7435" w:rsidRDefault="00BB7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07C0C" w14:textId="77777777" w:rsidR="00BB7435" w:rsidRDefault="00BB7435">
      <w:r>
        <w:separator/>
      </w:r>
    </w:p>
  </w:footnote>
  <w:footnote w:type="continuationSeparator" w:id="0">
    <w:p w14:paraId="6198F7D9" w14:textId="77777777" w:rsidR="00BB7435" w:rsidRDefault="00BB7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54D"/>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567"/>
    <w:rsid w:val="00316815"/>
    <w:rsid w:val="003168CA"/>
    <w:rsid w:val="00321255"/>
    <w:rsid w:val="0032230D"/>
    <w:rsid w:val="00322A0B"/>
    <w:rsid w:val="00330881"/>
    <w:rsid w:val="00331CD2"/>
    <w:rsid w:val="00332426"/>
    <w:rsid w:val="00335C41"/>
    <w:rsid w:val="00335FC5"/>
    <w:rsid w:val="0033771E"/>
    <w:rsid w:val="00337FEF"/>
    <w:rsid w:val="00350848"/>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253F"/>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385E"/>
    <w:rsid w:val="005A545C"/>
    <w:rsid w:val="005B271A"/>
    <w:rsid w:val="005B3A2D"/>
    <w:rsid w:val="005C1567"/>
    <w:rsid w:val="005C28D3"/>
    <w:rsid w:val="005C6CE5"/>
    <w:rsid w:val="005D3C10"/>
    <w:rsid w:val="005D3F07"/>
    <w:rsid w:val="005D4A1E"/>
    <w:rsid w:val="005D4F72"/>
    <w:rsid w:val="005E13EA"/>
    <w:rsid w:val="005E17F1"/>
    <w:rsid w:val="005E78ED"/>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0BB3"/>
    <w:rsid w:val="006635E3"/>
    <w:rsid w:val="006669F3"/>
    <w:rsid w:val="006712A7"/>
    <w:rsid w:val="006713B4"/>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7849"/>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17BD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0CE7"/>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3CBC"/>
    <w:rsid w:val="00A94C5E"/>
    <w:rsid w:val="00A9759D"/>
    <w:rsid w:val="00AA252C"/>
    <w:rsid w:val="00AA666E"/>
    <w:rsid w:val="00AA7960"/>
    <w:rsid w:val="00AB5518"/>
    <w:rsid w:val="00AC3A0E"/>
    <w:rsid w:val="00AC4A04"/>
    <w:rsid w:val="00AC5679"/>
    <w:rsid w:val="00AD336F"/>
    <w:rsid w:val="00AE134C"/>
    <w:rsid w:val="00AE168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435"/>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0E7F"/>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1A3A"/>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1160</Words>
  <Characters>6752</Characters>
  <Application>Microsoft Office Word</Application>
  <DocSecurity>0</DocSecurity>
  <Lines>145</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Eley Williams</cp:lastModifiedBy>
  <cp:revision>12</cp:revision>
  <cp:lastPrinted>2020-02-11T19:20:00Z</cp:lastPrinted>
  <dcterms:created xsi:type="dcterms:W3CDTF">2026-09-16T14:11:00Z</dcterms:created>
  <dcterms:modified xsi:type="dcterms:W3CDTF">2026-10-06T18:58:00Z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