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F9BD9" w14:textId="113DA603" w:rsidR="00F875A2" w:rsidRDefault="00F875A2" w:rsidP="00F875A2">
      <w:pPr>
        <w:spacing w:line="256" w:lineRule="auto"/>
        <w:jc w:val="center"/>
        <w:rPr>
          <w:rFonts w:ascii="Times New Roman" w:eastAsia="Calibri" w:hAnsi="Times New Roman" w:cs="Times New Roman"/>
          <w:b/>
          <w:bCs/>
          <w:sz w:val="32"/>
          <w:szCs w:val="32"/>
          <w:lang w:val="en-IN"/>
        </w:rPr>
      </w:pPr>
      <w:r>
        <w:rPr>
          <w:rFonts w:ascii="Times New Roman" w:eastAsia="Calibri" w:hAnsi="Times New Roman" w:cs="Times New Roman"/>
          <w:b/>
          <w:bCs/>
          <w:sz w:val="32"/>
          <w:szCs w:val="32"/>
          <w:lang w:val="en-IN"/>
        </w:rPr>
        <w:t>Student Name: Md Ahsan Alahi Rafi</w:t>
      </w:r>
    </w:p>
    <w:p w14:paraId="4A90FB32" w14:textId="1C49F0A8" w:rsidR="00F875A2" w:rsidRDefault="00F875A2" w:rsidP="00F875A2">
      <w:pPr>
        <w:spacing w:line="256" w:lineRule="auto"/>
        <w:jc w:val="center"/>
        <w:rPr>
          <w:rFonts w:ascii="Times New Roman" w:eastAsia="Calibri" w:hAnsi="Times New Roman" w:cs="Times New Roman"/>
          <w:b/>
          <w:bCs/>
          <w:sz w:val="32"/>
          <w:szCs w:val="32"/>
          <w:lang w:val="en-IN"/>
        </w:rPr>
      </w:pPr>
      <w:r>
        <w:rPr>
          <w:rFonts w:ascii="Times New Roman" w:eastAsia="Calibri" w:hAnsi="Times New Roman" w:cs="Times New Roman"/>
          <w:b/>
          <w:bCs/>
          <w:sz w:val="32"/>
          <w:szCs w:val="32"/>
          <w:lang w:val="en-IN"/>
        </w:rPr>
        <w:t>Student ID:2511326</w:t>
      </w:r>
    </w:p>
    <w:p w14:paraId="793925BC" w14:textId="519F2CA7" w:rsidR="00F875A2" w:rsidRDefault="00F875A2" w:rsidP="00F875A2">
      <w:pPr>
        <w:spacing w:line="256" w:lineRule="auto"/>
        <w:jc w:val="center"/>
        <w:rPr>
          <w:rFonts w:ascii="Times New Roman" w:eastAsia="Calibri" w:hAnsi="Times New Roman" w:cs="Times New Roman"/>
          <w:b/>
          <w:bCs/>
          <w:sz w:val="32"/>
          <w:szCs w:val="32"/>
          <w:lang w:val="en-IN"/>
        </w:rPr>
      </w:pPr>
      <w:r>
        <w:rPr>
          <w:rFonts w:ascii="Times New Roman" w:eastAsia="Calibri" w:hAnsi="Times New Roman" w:cs="Times New Roman"/>
          <w:b/>
          <w:bCs/>
          <w:sz w:val="32"/>
          <w:szCs w:val="32"/>
          <w:lang w:val="en-IN"/>
        </w:rPr>
        <w:t>Supervisor Name:</w:t>
      </w:r>
      <w:r w:rsidR="00F80C63" w:rsidRPr="00F80C63">
        <w:rPr>
          <w:rFonts w:ascii="Segoe UI" w:hAnsi="Segoe UI" w:cs="Segoe UI"/>
          <w:color w:val="1D2125"/>
          <w:sz w:val="36"/>
          <w:szCs w:val="36"/>
          <w:shd w:val="clear" w:color="auto" w:fill="FFFFFF"/>
        </w:rPr>
        <w:t xml:space="preserve"> </w:t>
      </w:r>
      <w:r w:rsidR="00F80C63" w:rsidRPr="00F80C63">
        <w:rPr>
          <w:rFonts w:ascii="Times New Roman" w:eastAsia="Calibri" w:hAnsi="Times New Roman" w:cs="Times New Roman"/>
          <w:b/>
          <w:bCs/>
          <w:sz w:val="32"/>
          <w:szCs w:val="32"/>
        </w:rPr>
        <w:t>Dr. Alisdair Cunningham</w:t>
      </w:r>
    </w:p>
    <w:p w14:paraId="3E571D26" w14:textId="0CFC6B3D" w:rsidR="00F875A2" w:rsidRDefault="00F875A2" w:rsidP="00F875A2">
      <w:pPr>
        <w:spacing w:line="256" w:lineRule="auto"/>
        <w:jc w:val="center"/>
        <w:rPr>
          <w:rFonts w:ascii="Times New Roman" w:eastAsia="Calibri" w:hAnsi="Times New Roman" w:cs="Times New Roman"/>
          <w:b/>
          <w:bCs/>
          <w:sz w:val="32"/>
          <w:szCs w:val="32"/>
          <w:lang w:val="en-IN"/>
        </w:rPr>
      </w:pPr>
      <w:r>
        <w:rPr>
          <w:rFonts w:ascii="Times New Roman" w:eastAsia="Calibri" w:hAnsi="Times New Roman" w:cs="Times New Roman"/>
          <w:b/>
          <w:bCs/>
          <w:sz w:val="32"/>
          <w:szCs w:val="32"/>
          <w:lang w:val="en-IN"/>
        </w:rPr>
        <w:t>Date of Submission:</w:t>
      </w:r>
      <w:r w:rsidR="00F80C63">
        <w:rPr>
          <w:rFonts w:ascii="Times New Roman" w:eastAsia="Calibri" w:hAnsi="Times New Roman" w:cs="Times New Roman"/>
          <w:b/>
          <w:bCs/>
          <w:sz w:val="32"/>
          <w:szCs w:val="32"/>
          <w:lang w:val="en-IN"/>
        </w:rPr>
        <w:t>03/01/2026</w:t>
      </w:r>
    </w:p>
    <w:p w14:paraId="46316DE9" w14:textId="6EECCB00" w:rsidR="00F875A2" w:rsidRPr="00F875A2" w:rsidRDefault="00F875A2" w:rsidP="00F875A2">
      <w:pPr>
        <w:spacing w:line="256" w:lineRule="auto"/>
        <w:jc w:val="center"/>
        <w:rPr>
          <w:rFonts w:ascii="Times New Roman" w:eastAsia="Calibri" w:hAnsi="Times New Roman" w:cs="Times New Roman"/>
          <w:b/>
          <w:bCs/>
          <w:sz w:val="32"/>
          <w:szCs w:val="32"/>
          <w:lang w:val="en-IN"/>
        </w:rPr>
      </w:pPr>
      <w:r>
        <w:rPr>
          <w:rFonts w:ascii="Times New Roman" w:eastAsia="Calibri" w:hAnsi="Times New Roman" w:cs="Times New Roman"/>
          <w:b/>
          <w:bCs/>
          <w:sz w:val="32"/>
          <w:szCs w:val="32"/>
          <w:lang w:val="en-IN"/>
        </w:rPr>
        <w:t>Word Count:4385</w:t>
      </w:r>
    </w:p>
    <w:p w14:paraId="63DA8E46" w14:textId="77777777" w:rsidR="00F875A2" w:rsidRPr="00F875A2" w:rsidRDefault="00F875A2" w:rsidP="00F875A2">
      <w:pPr>
        <w:spacing w:line="256" w:lineRule="auto"/>
        <w:jc w:val="center"/>
        <w:rPr>
          <w:rFonts w:ascii="Times New Roman" w:eastAsia="Calibri" w:hAnsi="Times New Roman" w:cs="Times New Roman"/>
          <w:b/>
          <w:bCs/>
          <w:sz w:val="32"/>
          <w:szCs w:val="32"/>
          <w:lang w:val="en-IN"/>
        </w:rPr>
      </w:pPr>
    </w:p>
    <w:p w14:paraId="52910758" w14:textId="77777777" w:rsidR="00F875A2" w:rsidRPr="00F875A2" w:rsidRDefault="00F875A2" w:rsidP="00F875A2">
      <w:pPr>
        <w:spacing w:line="256" w:lineRule="auto"/>
        <w:jc w:val="center"/>
        <w:rPr>
          <w:rFonts w:ascii="Times New Roman" w:eastAsia="Calibri" w:hAnsi="Times New Roman" w:cs="Times New Roman"/>
          <w:b/>
          <w:bCs/>
          <w:sz w:val="32"/>
          <w:szCs w:val="32"/>
          <w:lang w:val="en-IN"/>
        </w:rPr>
      </w:pPr>
    </w:p>
    <w:p w14:paraId="20D394BC" w14:textId="77777777" w:rsidR="00F875A2" w:rsidRPr="00F875A2" w:rsidRDefault="00F875A2" w:rsidP="00F875A2">
      <w:pPr>
        <w:spacing w:line="256" w:lineRule="auto"/>
        <w:jc w:val="center"/>
        <w:rPr>
          <w:rFonts w:ascii="Times New Roman" w:eastAsia="Calibri" w:hAnsi="Times New Roman" w:cs="Times New Roman"/>
          <w:b/>
          <w:bCs/>
          <w:sz w:val="32"/>
          <w:szCs w:val="32"/>
          <w:lang w:val="en-IN"/>
        </w:rPr>
      </w:pPr>
    </w:p>
    <w:p w14:paraId="6FFDBAFF" w14:textId="77777777" w:rsidR="00F875A2" w:rsidRPr="00F875A2" w:rsidRDefault="00F875A2" w:rsidP="00F875A2">
      <w:pPr>
        <w:spacing w:line="256" w:lineRule="auto"/>
        <w:jc w:val="center"/>
        <w:rPr>
          <w:rFonts w:ascii="Times New Roman" w:eastAsia="Calibri" w:hAnsi="Times New Roman" w:cs="Times New Roman"/>
          <w:b/>
          <w:bCs/>
          <w:sz w:val="32"/>
          <w:szCs w:val="32"/>
          <w:lang w:val="en-IN"/>
        </w:rPr>
      </w:pPr>
    </w:p>
    <w:p w14:paraId="73FBCC82" w14:textId="77777777" w:rsidR="00F875A2" w:rsidRPr="00F875A2" w:rsidRDefault="00F875A2" w:rsidP="00F875A2">
      <w:pPr>
        <w:spacing w:line="256" w:lineRule="auto"/>
        <w:jc w:val="center"/>
        <w:rPr>
          <w:rFonts w:ascii="Times New Roman" w:eastAsia="Calibri" w:hAnsi="Times New Roman" w:cs="Times New Roman"/>
          <w:b/>
          <w:bCs/>
          <w:sz w:val="32"/>
          <w:szCs w:val="32"/>
          <w:lang w:val="en-IN"/>
        </w:rPr>
      </w:pPr>
      <w:r w:rsidRPr="00F875A2">
        <w:rPr>
          <w:rFonts w:ascii="Times New Roman" w:eastAsia="Calibri" w:hAnsi="Times New Roman" w:cs="Times New Roman"/>
          <w:b/>
          <w:bCs/>
          <w:sz w:val="32"/>
          <w:szCs w:val="32"/>
          <w:lang w:val="en-IN"/>
        </w:rPr>
        <w:t>A CRITICAL EVALUATION OF THE ENVIRONMENTAL IMPACT ASSESSMENT FOR THE A487 NEW DYFI BRIDGE: A LEE &amp; COLLEY REVIEW APPROACH</w:t>
      </w:r>
    </w:p>
    <w:p w14:paraId="1DE18B71" w14:textId="77777777" w:rsidR="00F875A2" w:rsidRPr="00F875A2" w:rsidRDefault="00F875A2" w:rsidP="00F875A2">
      <w:pPr>
        <w:spacing w:line="256" w:lineRule="auto"/>
        <w:rPr>
          <w:rFonts w:ascii="Times New Roman" w:eastAsia="Calibri" w:hAnsi="Times New Roman" w:cs="Times New Roman"/>
          <w:b/>
          <w:bCs/>
          <w:sz w:val="32"/>
          <w:szCs w:val="32"/>
          <w:lang w:val="en-IN"/>
        </w:rPr>
      </w:pPr>
      <w:r w:rsidRPr="00F875A2">
        <w:rPr>
          <w:rFonts w:ascii="Times New Roman" w:eastAsia="Calibri" w:hAnsi="Times New Roman" w:cs="Times New Roman"/>
          <w:b/>
          <w:bCs/>
          <w:kern w:val="0"/>
          <w:sz w:val="32"/>
          <w:szCs w:val="32"/>
          <w:lang w:val="en-IN"/>
          <w14:ligatures w14:val="none"/>
        </w:rPr>
        <w:br w:type="page"/>
      </w:r>
    </w:p>
    <w:sdt>
      <w:sdtPr>
        <w:rPr>
          <w:rFonts w:ascii="Times New Roman" w:eastAsia="Calibri" w:hAnsi="Times New Roman" w:cs="Times New Roman"/>
          <w:kern w:val="0"/>
          <w:lang w:val="en-IN"/>
          <w14:ligatures w14:val="none"/>
        </w:rPr>
        <w:id w:val="1690643422"/>
        <w:docPartObj>
          <w:docPartGallery w:val="Table of Contents"/>
          <w:docPartUnique/>
        </w:docPartObj>
      </w:sdtPr>
      <w:sdtContent>
        <w:p w14:paraId="70AF3D66" w14:textId="77777777" w:rsidR="00F875A2" w:rsidRPr="00F875A2" w:rsidRDefault="00F875A2" w:rsidP="00F875A2">
          <w:pPr>
            <w:keepNext/>
            <w:keepLines/>
            <w:spacing w:before="240" w:after="0" w:line="256" w:lineRule="auto"/>
            <w:jc w:val="center"/>
            <w:rPr>
              <w:rFonts w:ascii="Times New Roman" w:eastAsia="Times New Roman" w:hAnsi="Times New Roman" w:cs="Times New Roman"/>
              <w:b/>
              <w:bCs/>
              <w:kern w:val="0"/>
              <w:sz w:val="28"/>
              <w:szCs w:val="28"/>
              <w14:ligatures w14:val="none"/>
            </w:rPr>
          </w:pPr>
          <w:r w:rsidRPr="00F875A2">
            <w:rPr>
              <w:rFonts w:ascii="Times New Roman" w:eastAsia="Times New Roman" w:hAnsi="Times New Roman" w:cs="Times New Roman"/>
              <w:b/>
              <w:bCs/>
              <w:kern w:val="0"/>
              <w:sz w:val="28"/>
              <w:szCs w:val="28"/>
              <w14:ligatures w14:val="none"/>
            </w:rPr>
            <w:t>Table of Contents</w:t>
          </w:r>
        </w:p>
        <w:p w14:paraId="0DD3599C" w14:textId="77777777" w:rsidR="00F875A2" w:rsidRPr="00F875A2" w:rsidRDefault="00F875A2" w:rsidP="00F875A2">
          <w:pPr>
            <w:tabs>
              <w:tab w:val="right" w:leader="dot" w:pos="9016"/>
            </w:tabs>
            <w:spacing w:after="100" w:line="256" w:lineRule="auto"/>
            <w:jc w:val="center"/>
            <w:rPr>
              <w:rFonts w:ascii="Times New Roman" w:eastAsia="Calibri" w:hAnsi="Times New Roman" w:cs="Times New Roman"/>
              <w:noProof/>
              <w:lang w:val="en-IN"/>
            </w:rPr>
          </w:pPr>
          <w:r w:rsidRPr="00F875A2">
            <w:rPr>
              <w:rFonts w:ascii="Times New Roman" w:eastAsia="Calibri" w:hAnsi="Times New Roman" w:cs="Times New Roman"/>
              <w:lang w:val="en-IN"/>
            </w:rPr>
            <w:fldChar w:fldCharType="begin"/>
          </w:r>
          <w:r w:rsidRPr="00F875A2">
            <w:rPr>
              <w:rFonts w:ascii="Times New Roman" w:eastAsia="Calibri" w:hAnsi="Times New Roman" w:cs="Times New Roman"/>
              <w:lang w:val="en-IN"/>
            </w:rPr>
            <w:instrText xml:space="preserve"> TOC \o "1-3" \h \z \u </w:instrText>
          </w:r>
          <w:r w:rsidRPr="00F875A2">
            <w:rPr>
              <w:rFonts w:ascii="Times New Roman" w:eastAsia="Calibri" w:hAnsi="Times New Roman" w:cs="Times New Roman"/>
              <w:lang w:val="en-IN"/>
            </w:rPr>
            <w:fldChar w:fldCharType="separate"/>
          </w:r>
          <w:hyperlink r:id="rId5" w:anchor="_Toc218117676" w:history="1">
            <w:r w:rsidRPr="00F875A2">
              <w:rPr>
                <w:rFonts w:ascii="Calibri" w:eastAsia="Calibri" w:hAnsi="Calibri" w:cs="Times New Roman"/>
                <w:noProof/>
                <w:u w:val="single"/>
                <w:lang w:val="en-IN"/>
              </w:rPr>
              <w:t>1. Introduction</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_Toc218117676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3</w:t>
            </w:r>
            <w:r w:rsidRPr="00F875A2">
              <w:rPr>
                <w:rFonts w:ascii="Calibri" w:eastAsia="Calibri" w:hAnsi="Calibri" w:cs="Times New Roman"/>
                <w:noProof/>
                <w:webHidden/>
                <w:u w:val="single"/>
                <w:lang w:val="en-IN"/>
              </w:rPr>
              <w:fldChar w:fldCharType="end"/>
            </w:r>
          </w:hyperlink>
        </w:p>
        <w:p w14:paraId="00216A5A"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6" w:anchor="_Toc218117677" w:history="1">
            <w:r w:rsidRPr="00F875A2">
              <w:rPr>
                <w:rFonts w:ascii="Calibri" w:eastAsia="Calibri" w:hAnsi="Calibri" w:cs="Times New Roman"/>
                <w:noProof/>
                <w:u w:val="single"/>
                <w:lang w:val="en-IN"/>
              </w:rPr>
              <w:t>1.1 Background to Environmental Impact Assessment</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_Toc218117677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3</w:t>
            </w:r>
            <w:r w:rsidRPr="00F875A2">
              <w:rPr>
                <w:rFonts w:ascii="Calibri" w:eastAsia="Calibri" w:hAnsi="Calibri" w:cs="Times New Roman"/>
                <w:noProof/>
                <w:webHidden/>
                <w:u w:val="single"/>
                <w:lang w:val="en-IN"/>
              </w:rPr>
              <w:fldChar w:fldCharType="end"/>
            </w:r>
          </w:hyperlink>
        </w:p>
        <w:p w14:paraId="1CF9A669"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7" w:anchor="_Toc218117678" w:history="1">
            <w:r w:rsidRPr="00F875A2">
              <w:rPr>
                <w:rFonts w:ascii="Calibri" w:eastAsia="Calibri" w:hAnsi="Calibri" w:cs="Times New Roman"/>
                <w:noProof/>
                <w:u w:val="single"/>
                <w:lang w:val="en-IN"/>
              </w:rPr>
              <w:t>1.2 Purpose and Scope of the Assignment</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_Toc218117678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3</w:t>
            </w:r>
            <w:r w:rsidRPr="00F875A2">
              <w:rPr>
                <w:rFonts w:ascii="Calibri" w:eastAsia="Calibri" w:hAnsi="Calibri" w:cs="Times New Roman"/>
                <w:noProof/>
                <w:webHidden/>
                <w:u w:val="single"/>
                <w:lang w:val="en-IN"/>
              </w:rPr>
              <w:fldChar w:fldCharType="end"/>
            </w:r>
          </w:hyperlink>
        </w:p>
        <w:p w14:paraId="3071C7F7"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8" w:anchor="_Toc218117679" w:history="1">
            <w:r w:rsidRPr="00F875A2">
              <w:rPr>
                <w:rFonts w:ascii="Calibri" w:eastAsia="Calibri" w:hAnsi="Calibri" w:cs="Times New Roman"/>
                <w:noProof/>
                <w:u w:val="single"/>
                <w:lang w:val="en-IN"/>
              </w:rPr>
              <w:t>1.3 Overview of the Project</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_Toc218117679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3</w:t>
            </w:r>
            <w:r w:rsidRPr="00F875A2">
              <w:rPr>
                <w:rFonts w:ascii="Calibri" w:eastAsia="Calibri" w:hAnsi="Calibri" w:cs="Times New Roman"/>
                <w:noProof/>
                <w:webHidden/>
                <w:u w:val="single"/>
                <w:lang w:val="en-IN"/>
              </w:rPr>
              <w:fldChar w:fldCharType="end"/>
            </w:r>
          </w:hyperlink>
        </w:p>
        <w:p w14:paraId="18110AFA" w14:textId="77777777" w:rsidR="00F875A2" w:rsidRPr="00F875A2" w:rsidRDefault="00F875A2" w:rsidP="00F875A2">
          <w:pPr>
            <w:tabs>
              <w:tab w:val="right" w:leader="dot" w:pos="9016"/>
            </w:tabs>
            <w:spacing w:after="100" w:line="256" w:lineRule="auto"/>
            <w:jc w:val="center"/>
            <w:rPr>
              <w:rFonts w:ascii="Times New Roman" w:eastAsia="Calibri" w:hAnsi="Times New Roman" w:cs="Times New Roman"/>
              <w:noProof/>
              <w:lang w:val="en-IN"/>
            </w:rPr>
          </w:pPr>
          <w:hyperlink r:id="rId9" w:anchor="_Toc218117680" w:history="1">
            <w:r w:rsidRPr="00F875A2">
              <w:rPr>
                <w:rFonts w:ascii="Calibri" w:eastAsia="Calibri" w:hAnsi="Calibri" w:cs="Times New Roman"/>
                <w:noProof/>
                <w:u w:val="single"/>
                <w:lang w:val="en-IN"/>
              </w:rPr>
              <w:t>2. Legislative, Policy and Best Practice Context</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_Toc218117680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4</w:t>
            </w:r>
            <w:r w:rsidRPr="00F875A2">
              <w:rPr>
                <w:rFonts w:ascii="Calibri" w:eastAsia="Calibri" w:hAnsi="Calibri" w:cs="Times New Roman"/>
                <w:noProof/>
                <w:webHidden/>
                <w:u w:val="single"/>
                <w:lang w:val="en-IN"/>
              </w:rPr>
              <w:fldChar w:fldCharType="end"/>
            </w:r>
          </w:hyperlink>
        </w:p>
        <w:p w14:paraId="60DECDCB"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10" w:anchor="_Toc218117681" w:history="1">
            <w:r w:rsidRPr="00F875A2">
              <w:rPr>
                <w:rFonts w:ascii="Calibri" w:eastAsia="Calibri" w:hAnsi="Calibri" w:cs="Times New Roman"/>
                <w:noProof/>
                <w:u w:val="single"/>
                <w:lang w:val="en-IN"/>
              </w:rPr>
              <w:t>2.1 EIA Legislation in the UK and Wales</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_Toc218117681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4</w:t>
            </w:r>
            <w:r w:rsidRPr="00F875A2">
              <w:rPr>
                <w:rFonts w:ascii="Calibri" w:eastAsia="Calibri" w:hAnsi="Calibri" w:cs="Times New Roman"/>
                <w:noProof/>
                <w:webHidden/>
                <w:u w:val="single"/>
                <w:lang w:val="en-IN"/>
              </w:rPr>
              <w:fldChar w:fldCharType="end"/>
            </w:r>
          </w:hyperlink>
        </w:p>
        <w:p w14:paraId="5E89CEB1"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11" w:anchor="_Toc218117682" w:history="1">
            <w:r w:rsidRPr="00F875A2">
              <w:rPr>
                <w:rFonts w:ascii="Calibri" w:eastAsia="Calibri" w:hAnsi="Calibri" w:cs="Times New Roman"/>
                <w:noProof/>
                <w:u w:val="single"/>
                <w:lang w:val="en-IN"/>
              </w:rPr>
              <w:t>2.2 Best Practice Guidance</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_Toc218117682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5</w:t>
            </w:r>
            <w:r w:rsidRPr="00F875A2">
              <w:rPr>
                <w:rFonts w:ascii="Calibri" w:eastAsia="Calibri" w:hAnsi="Calibri" w:cs="Times New Roman"/>
                <w:noProof/>
                <w:webHidden/>
                <w:u w:val="single"/>
                <w:lang w:val="en-IN"/>
              </w:rPr>
              <w:fldChar w:fldCharType="end"/>
            </w:r>
          </w:hyperlink>
        </w:p>
        <w:p w14:paraId="67CB565B"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12" w:anchor="_Toc218117683" w:history="1">
            <w:r w:rsidRPr="00F875A2">
              <w:rPr>
                <w:rFonts w:ascii="Calibri" w:eastAsia="Calibri" w:hAnsi="Calibri" w:cs="Times New Roman"/>
                <w:noProof/>
                <w:u w:val="single"/>
                <w:lang w:val="en-IN"/>
              </w:rPr>
              <w:t>2.3 Academic Literature on EIA Effectiveness</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_Toc218117683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6</w:t>
            </w:r>
            <w:r w:rsidRPr="00F875A2">
              <w:rPr>
                <w:rFonts w:ascii="Calibri" w:eastAsia="Calibri" w:hAnsi="Calibri" w:cs="Times New Roman"/>
                <w:noProof/>
                <w:webHidden/>
                <w:u w:val="single"/>
                <w:lang w:val="en-IN"/>
              </w:rPr>
              <w:fldChar w:fldCharType="end"/>
            </w:r>
          </w:hyperlink>
        </w:p>
        <w:p w14:paraId="7EBCDD23" w14:textId="77777777" w:rsidR="00F875A2" w:rsidRPr="00F875A2" w:rsidRDefault="00F875A2" w:rsidP="00F875A2">
          <w:pPr>
            <w:tabs>
              <w:tab w:val="right" w:leader="dot" w:pos="9016"/>
            </w:tabs>
            <w:spacing w:after="100" w:line="256" w:lineRule="auto"/>
            <w:jc w:val="center"/>
            <w:rPr>
              <w:rFonts w:ascii="Times New Roman" w:eastAsia="Calibri" w:hAnsi="Times New Roman" w:cs="Times New Roman"/>
              <w:noProof/>
              <w:lang w:val="en-IN"/>
            </w:rPr>
          </w:pPr>
          <w:hyperlink r:id="rId13" w:anchor="_Toc218117684" w:history="1">
            <w:r w:rsidRPr="00F875A2">
              <w:rPr>
                <w:rFonts w:ascii="Calibri" w:eastAsia="Calibri" w:hAnsi="Calibri" w:cs="Times New Roman"/>
                <w:noProof/>
                <w:u w:val="single"/>
                <w:lang w:val="en-IN"/>
              </w:rPr>
              <w:t>3. Methodology for the EIA Review</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_Toc218117684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6</w:t>
            </w:r>
            <w:r w:rsidRPr="00F875A2">
              <w:rPr>
                <w:rFonts w:ascii="Calibri" w:eastAsia="Calibri" w:hAnsi="Calibri" w:cs="Times New Roman"/>
                <w:noProof/>
                <w:webHidden/>
                <w:u w:val="single"/>
                <w:lang w:val="en-IN"/>
              </w:rPr>
              <w:fldChar w:fldCharType="end"/>
            </w:r>
          </w:hyperlink>
        </w:p>
        <w:p w14:paraId="2E7C8020"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14" w:anchor="_Toc218117685" w:history="1">
            <w:r w:rsidRPr="00F875A2">
              <w:rPr>
                <w:rFonts w:ascii="Calibri" w:eastAsia="Calibri" w:hAnsi="Calibri" w:cs="Times New Roman"/>
                <w:noProof/>
                <w:u w:val="single"/>
                <w:lang w:val="en-IN"/>
              </w:rPr>
              <w:t>3.1 Rationale for Using the Lee &amp; Colley Review Package</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_Toc218117685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7</w:t>
            </w:r>
            <w:r w:rsidRPr="00F875A2">
              <w:rPr>
                <w:rFonts w:ascii="Calibri" w:eastAsia="Calibri" w:hAnsi="Calibri" w:cs="Times New Roman"/>
                <w:noProof/>
                <w:webHidden/>
                <w:u w:val="single"/>
                <w:lang w:val="en-IN"/>
              </w:rPr>
              <w:fldChar w:fldCharType="end"/>
            </w:r>
          </w:hyperlink>
        </w:p>
        <w:p w14:paraId="794C2191"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15" w:anchor="_Toc218117686" w:history="1">
            <w:r w:rsidRPr="00F875A2">
              <w:rPr>
                <w:rFonts w:ascii="Calibri" w:eastAsia="Calibri" w:hAnsi="Calibri" w:cs="Times New Roman"/>
                <w:noProof/>
                <w:u w:val="single"/>
                <w:lang w:val="en-IN"/>
              </w:rPr>
              <w:t>3.2 Adaptation for This Study</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_Toc218117686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7</w:t>
            </w:r>
            <w:r w:rsidRPr="00F875A2">
              <w:rPr>
                <w:rFonts w:ascii="Calibri" w:eastAsia="Calibri" w:hAnsi="Calibri" w:cs="Times New Roman"/>
                <w:noProof/>
                <w:webHidden/>
                <w:u w:val="single"/>
                <w:lang w:val="en-IN"/>
              </w:rPr>
              <w:fldChar w:fldCharType="end"/>
            </w:r>
          </w:hyperlink>
        </w:p>
        <w:p w14:paraId="78B09EA0"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16" w:anchor="_Toc218117687" w:history="1">
            <w:r w:rsidRPr="00F875A2">
              <w:rPr>
                <w:rFonts w:ascii="Calibri" w:eastAsia="Calibri" w:hAnsi="Calibri" w:cs="Times New Roman"/>
                <w:noProof/>
                <w:u w:val="single"/>
                <w:lang w:val="en-IN"/>
              </w:rPr>
              <w:t>3.3 Data Sources and Analytical Approach</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_Toc218117687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8</w:t>
            </w:r>
            <w:r w:rsidRPr="00F875A2">
              <w:rPr>
                <w:rFonts w:ascii="Calibri" w:eastAsia="Calibri" w:hAnsi="Calibri" w:cs="Times New Roman"/>
                <w:noProof/>
                <w:webHidden/>
                <w:u w:val="single"/>
                <w:lang w:val="en-IN"/>
              </w:rPr>
              <w:fldChar w:fldCharType="end"/>
            </w:r>
          </w:hyperlink>
        </w:p>
        <w:p w14:paraId="2AC25025" w14:textId="77777777" w:rsidR="00F875A2" w:rsidRPr="00F875A2" w:rsidRDefault="00F875A2" w:rsidP="00F875A2">
          <w:pPr>
            <w:tabs>
              <w:tab w:val="right" w:leader="dot" w:pos="9016"/>
            </w:tabs>
            <w:spacing w:after="100" w:line="256" w:lineRule="auto"/>
            <w:jc w:val="center"/>
            <w:rPr>
              <w:rFonts w:ascii="Times New Roman" w:eastAsia="Calibri" w:hAnsi="Times New Roman" w:cs="Times New Roman"/>
              <w:noProof/>
              <w:lang w:val="en-IN"/>
            </w:rPr>
          </w:pPr>
          <w:hyperlink r:id="rId17" w:anchor="_Toc218117688" w:history="1">
            <w:r w:rsidRPr="00F875A2">
              <w:rPr>
                <w:rFonts w:ascii="Calibri" w:eastAsia="Calibri" w:hAnsi="Calibri" w:cs="Times New Roman"/>
                <w:noProof/>
                <w:u w:val="single"/>
                <w:lang w:val="en-IN"/>
              </w:rPr>
              <w:t>4. Project Description &amp; Context Review</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_Toc218117688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8</w:t>
            </w:r>
            <w:r w:rsidRPr="00F875A2">
              <w:rPr>
                <w:rFonts w:ascii="Calibri" w:eastAsia="Calibri" w:hAnsi="Calibri" w:cs="Times New Roman"/>
                <w:noProof/>
                <w:webHidden/>
                <w:u w:val="single"/>
                <w:lang w:val="en-IN"/>
              </w:rPr>
              <w:fldChar w:fldCharType="end"/>
            </w:r>
          </w:hyperlink>
        </w:p>
        <w:p w14:paraId="7B896432" w14:textId="77777777" w:rsidR="00F875A2" w:rsidRPr="00F875A2" w:rsidRDefault="00F875A2" w:rsidP="00F875A2">
          <w:pPr>
            <w:tabs>
              <w:tab w:val="right" w:leader="dot" w:pos="9016"/>
            </w:tabs>
            <w:spacing w:after="100" w:line="256" w:lineRule="auto"/>
            <w:jc w:val="center"/>
            <w:rPr>
              <w:rFonts w:ascii="Times New Roman" w:eastAsia="Calibri" w:hAnsi="Times New Roman" w:cs="Times New Roman"/>
              <w:noProof/>
              <w:lang w:val="en-IN"/>
            </w:rPr>
          </w:pPr>
          <w:hyperlink r:id="rId18" w:anchor="_Toc218117689" w:history="1">
            <w:r w:rsidRPr="00F875A2">
              <w:rPr>
                <w:rFonts w:ascii="Calibri" w:eastAsia="Calibri" w:hAnsi="Calibri" w:cs="Times New Roman"/>
                <w:noProof/>
                <w:u w:val="single"/>
                <w:lang w:val="en-IN"/>
              </w:rPr>
              <w:t>5. Critical Evaluation Using the Lee &amp; Colley Framework</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_Toc218117689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9</w:t>
            </w:r>
            <w:r w:rsidRPr="00F875A2">
              <w:rPr>
                <w:rFonts w:ascii="Calibri" w:eastAsia="Calibri" w:hAnsi="Calibri" w:cs="Times New Roman"/>
                <w:noProof/>
                <w:webHidden/>
                <w:u w:val="single"/>
                <w:lang w:val="en-IN"/>
              </w:rPr>
              <w:fldChar w:fldCharType="end"/>
            </w:r>
          </w:hyperlink>
        </w:p>
        <w:p w14:paraId="60D5BA50"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19" w:anchor="_Toc218117690" w:history="1">
            <w:r w:rsidRPr="00F875A2">
              <w:rPr>
                <w:rFonts w:ascii="Calibri" w:eastAsia="Calibri" w:hAnsi="Calibri" w:cs="Times New Roman"/>
                <w:noProof/>
                <w:u w:val="single"/>
                <w:lang w:val="en-IN"/>
              </w:rPr>
              <w:t>5.1 Review Area 1: Description of the Project and Alternatives</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_Toc218117690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9</w:t>
            </w:r>
            <w:r w:rsidRPr="00F875A2">
              <w:rPr>
                <w:rFonts w:ascii="Calibri" w:eastAsia="Calibri" w:hAnsi="Calibri" w:cs="Times New Roman"/>
                <w:noProof/>
                <w:webHidden/>
                <w:u w:val="single"/>
                <w:lang w:val="en-IN"/>
              </w:rPr>
              <w:fldChar w:fldCharType="end"/>
            </w:r>
          </w:hyperlink>
        </w:p>
        <w:p w14:paraId="02597B7D"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20" w:anchor="_Toc218117691" w:history="1">
            <w:r w:rsidRPr="00F875A2">
              <w:rPr>
                <w:rFonts w:ascii="Calibri" w:eastAsia="Calibri" w:hAnsi="Calibri" w:cs="Times New Roman"/>
                <w:noProof/>
                <w:u w:val="single"/>
                <w:lang w:val="en-IN"/>
              </w:rPr>
              <w:t>5.2 Review Area 2: Environmental Baseline, Scoping and Prediction Methods</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_Toc218117691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10</w:t>
            </w:r>
            <w:r w:rsidRPr="00F875A2">
              <w:rPr>
                <w:rFonts w:ascii="Calibri" w:eastAsia="Calibri" w:hAnsi="Calibri" w:cs="Times New Roman"/>
                <w:noProof/>
                <w:webHidden/>
                <w:u w:val="single"/>
                <w:lang w:val="en-IN"/>
              </w:rPr>
              <w:fldChar w:fldCharType="end"/>
            </w:r>
          </w:hyperlink>
        </w:p>
        <w:p w14:paraId="3DE31784"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21" w:anchor="_Toc218117692" w:history="1">
            <w:r w:rsidRPr="00F875A2">
              <w:rPr>
                <w:rFonts w:ascii="Calibri" w:eastAsia="Calibri" w:hAnsi="Calibri" w:cs="Times New Roman"/>
                <w:noProof/>
                <w:u w:val="single"/>
                <w:lang w:val="en-IN"/>
              </w:rPr>
              <w:t>5.3 Review Area 3: Identification and Evaluation of Impacts</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_Toc218117692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11</w:t>
            </w:r>
            <w:r w:rsidRPr="00F875A2">
              <w:rPr>
                <w:rFonts w:ascii="Calibri" w:eastAsia="Calibri" w:hAnsi="Calibri" w:cs="Times New Roman"/>
                <w:noProof/>
                <w:webHidden/>
                <w:u w:val="single"/>
                <w:lang w:val="en-IN"/>
              </w:rPr>
              <w:fldChar w:fldCharType="end"/>
            </w:r>
          </w:hyperlink>
        </w:p>
        <w:p w14:paraId="4C0A0A22" w14:textId="77777777" w:rsidR="00F875A2" w:rsidRPr="00F875A2" w:rsidRDefault="00F875A2" w:rsidP="00F875A2">
          <w:pPr>
            <w:tabs>
              <w:tab w:val="right" w:leader="dot" w:pos="9016"/>
            </w:tabs>
            <w:spacing w:after="100" w:line="256" w:lineRule="auto"/>
            <w:ind w:left="220"/>
            <w:jc w:val="center"/>
            <w:rPr>
              <w:rFonts w:ascii="Times New Roman" w:eastAsia="Calibri" w:hAnsi="Times New Roman" w:cs="Times New Roman"/>
              <w:noProof/>
              <w:lang w:val="en-IN"/>
            </w:rPr>
          </w:pPr>
          <w:hyperlink r:id="rId22" w:anchor="_Toc218117693" w:history="1">
            <w:r w:rsidRPr="00F875A2">
              <w:rPr>
                <w:rFonts w:ascii="Calibri" w:eastAsia="Calibri" w:hAnsi="Calibri" w:cs="Times New Roman"/>
                <w:noProof/>
                <w:u w:val="single"/>
                <w:lang w:val="en-IN"/>
              </w:rPr>
              <w:t>5.4 Review Area 4: Presentation, Communication and Monitoring</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_Toc218117693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13</w:t>
            </w:r>
            <w:r w:rsidRPr="00F875A2">
              <w:rPr>
                <w:rFonts w:ascii="Calibri" w:eastAsia="Calibri" w:hAnsi="Calibri" w:cs="Times New Roman"/>
                <w:noProof/>
                <w:webHidden/>
                <w:u w:val="single"/>
                <w:lang w:val="en-IN"/>
              </w:rPr>
              <w:fldChar w:fldCharType="end"/>
            </w:r>
          </w:hyperlink>
        </w:p>
        <w:p w14:paraId="38338967" w14:textId="77777777" w:rsidR="00F875A2" w:rsidRPr="00F875A2" w:rsidRDefault="00F875A2" w:rsidP="00F875A2">
          <w:pPr>
            <w:tabs>
              <w:tab w:val="right" w:leader="dot" w:pos="9016"/>
            </w:tabs>
            <w:spacing w:after="100" w:line="256" w:lineRule="auto"/>
            <w:jc w:val="center"/>
            <w:rPr>
              <w:rFonts w:ascii="Times New Roman" w:eastAsia="Calibri" w:hAnsi="Times New Roman" w:cs="Times New Roman"/>
              <w:noProof/>
              <w:lang w:val="en-IN"/>
            </w:rPr>
          </w:pPr>
          <w:hyperlink r:id="rId23" w:anchor="_Toc218117694" w:history="1">
            <w:r w:rsidRPr="00F875A2">
              <w:rPr>
                <w:rFonts w:ascii="Calibri" w:eastAsia="Calibri" w:hAnsi="Calibri" w:cs="Times New Roman"/>
                <w:noProof/>
                <w:u w:val="single"/>
                <w:lang w:val="en-IN"/>
              </w:rPr>
              <w:t>6. Discussion: Gaps Between Theory, Law and Practice</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_Toc218117694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13</w:t>
            </w:r>
            <w:r w:rsidRPr="00F875A2">
              <w:rPr>
                <w:rFonts w:ascii="Calibri" w:eastAsia="Calibri" w:hAnsi="Calibri" w:cs="Times New Roman"/>
                <w:noProof/>
                <w:webHidden/>
                <w:u w:val="single"/>
                <w:lang w:val="en-IN"/>
              </w:rPr>
              <w:fldChar w:fldCharType="end"/>
            </w:r>
          </w:hyperlink>
        </w:p>
        <w:p w14:paraId="2C2B0019" w14:textId="77777777" w:rsidR="00F875A2" w:rsidRPr="00F875A2" w:rsidRDefault="00F875A2" w:rsidP="00F875A2">
          <w:pPr>
            <w:tabs>
              <w:tab w:val="right" w:leader="dot" w:pos="9016"/>
            </w:tabs>
            <w:spacing w:after="100" w:line="256" w:lineRule="auto"/>
            <w:jc w:val="center"/>
            <w:rPr>
              <w:rFonts w:ascii="Times New Roman" w:eastAsia="Calibri" w:hAnsi="Times New Roman" w:cs="Times New Roman"/>
              <w:noProof/>
              <w:lang w:val="en-IN"/>
            </w:rPr>
          </w:pPr>
          <w:hyperlink r:id="rId24" w:anchor="_Toc218117695" w:history="1">
            <w:r w:rsidRPr="00F875A2">
              <w:rPr>
                <w:rFonts w:ascii="Calibri" w:eastAsia="Calibri" w:hAnsi="Calibri" w:cs="Times New Roman"/>
                <w:noProof/>
                <w:u w:val="single"/>
                <w:lang w:val="en-IN"/>
              </w:rPr>
              <w:t>7. Recommendations for Improving EIA Practice</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_Toc218117695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15</w:t>
            </w:r>
            <w:r w:rsidRPr="00F875A2">
              <w:rPr>
                <w:rFonts w:ascii="Calibri" w:eastAsia="Calibri" w:hAnsi="Calibri" w:cs="Times New Roman"/>
                <w:noProof/>
                <w:webHidden/>
                <w:u w:val="single"/>
                <w:lang w:val="en-IN"/>
              </w:rPr>
              <w:fldChar w:fldCharType="end"/>
            </w:r>
          </w:hyperlink>
        </w:p>
        <w:p w14:paraId="08AF8418" w14:textId="77777777" w:rsidR="00F875A2" w:rsidRPr="00F875A2" w:rsidRDefault="00F875A2" w:rsidP="00F875A2">
          <w:pPr>
            <w:tabs>
              <w:tab w:val="right" w:leader="dot" w:pos="9016"/>
            </w:tabs>
            <w:spacing w:after="100" w:line="256" w:lineRule="auto"/>
            <w:jc w:val="center"/>
            <w:rPr>
              <w:rFonts w:ascii="Times New Roman" w:eastAsia="Calibri" w:hAnsi="Times New Roman" w:cs="Times New Roman"/>
              <w:noProof/>
              <w:lang w:val="en-IN"/>
            </w:rPr>
          </w:pPr>
          <w:hyperlink r:id="rId25" w:anchor="_Toc218117696" w:history="1">
            <w:r w:rsidRPr="00F875A2">
              <w:rPr>
                <w:rFonts w:ascii="Calibri" w:eastAsia="Calibri" w:hAnsi="Calibri" w:cs="Times New Roman"/>
                <w:noProof/>
                <w:u w:val="single"/>
                <w:lang w:val="en-IN"/>
              </w:rPr>
              <w:t>8. Conclusion</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_Toc218117696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16</w:t>
            </w:r>
            <w:r w:rsidRPr="00F875A2">
              <w:rPr>
                <w:rFonts w:ascii="Calibri" w:eastAsia="Calibri" w:hAnsi="Calibri" w:cs="Times New Roman"/>
                <w:noProof/>
                <w:webHidden/>
                <w:u w:val="single"/>
                <w:lang w:val="en-IN"/>
              </w:rPr>
              <w:fldChar w:fldCharType="end"/>
            </w:r>
          </w:hyperlink>
        </w:p>
        <w:p w14:paraId="506B4B5C" w14:textId="77777777" w:rsidR="00F875A2" w:rsidRPr="00F875A2" w:rsidRDefault="00F875A2" w:rsidP="00F875A2">
          <w:pPr>
            <w:tabs>
              <w:tab w:val="right" w:leader="dot" w:pos="9016"/>
            </w:tabs>
            <w:spacing w:after="100" w:line="256" w:lineRule="auto"/>
            <w:jc w:val="center"/>
            <w:rPr>
              <w:rFonts w:ascii="Times New Roman" w:eastAsia="Calibri" w:hAnsi="Times New Roman" w:cs="Times New Roman"/>
              <w:noProof/>
              <w:lang w:val="en-IN"/>
            </w:rPr>
          </w:pPr>
          <w:hyperlink r:id="rId26" w:anchor="_Toc218117697" w:history="1">
            <w:r w:rsidRPr="00F875A2">
              <w:rPr>
                <w:rFonts w:ascii="Calibri" w:eastAsia="Calibri" w:hAnsi="Calibri" w:cs="Times New Roman"/>
                <w:noProof/>
                <w:u w:val="single"/>
                <w:lang w:val="en-IN"/>
              </w:rPr>
              <w:t>Reference List</w:t>
            </w:r>
            <w:r w:rsidRPr="00F875A2">
              <w:rPr>
                <w:rFonts w:ascii="Calibri" w:eastAsia="Calibri" w:hAnsi="Calibri" w:cs="Times New Roman"/>
                <w:noProof/>
                <w:webHidden/>
                <w:u w:val="single"/>
                <w:lang w:val="en-IN"/>
              </w:rPr>
              <w:tab/>
            </w:r>
            <w:r w:rsidRPr="00F875A2">
              <w:rPr>
                <w:rFonts w:ascii="Calibri" w:eastAsia="Calibri" w:hAnsi="Calibri" w:cs="Times New Roman"/>
                <w:noProof/>
                <w:webHidden/>
                <w:u w:val="single"/>
                <w:lang w:val="en-IN"/>
              </w:rPr>
              <w:fldChar w:fldCharType="begin"/>
            </w:r>
            <w:r w:rsidRPr="00F875A2">
              <w:rPr>
                <w:rFonts w:ascii="Calibri" w:eastAsia="Calibri" w:hAnsi="Calibri" w:cs="Times New Roman"/>
                <w:noProof/>
                <w:webHidden/>
                <w:u w:val="single"/>
                <w:lang w:val="en-IN"/>
              </w:rPr>
              <w:instrText xml:space="preserve"> PAGEREF _Toc218117697 \h </w:instrText>
            </w:r>
            <w:r w:rsidRPr="00F875A2">
              <w:rPr>
                <w:rFonts w:ascii="Calibri" w:eastAsia="Calibri" w:hAnsi="Calibri" w:cs="Times New Roman"/>
                <w:noProof/>
                <w:webHidden/>
                <w:u w:val="single"/>
                <w:lang w:val="en-IN"/>
              </w:rPr>
            </w:r>
            <w:r w:rsidRPr="00F875A2">
              <w:rPr>
                <w:rFonts w:ascii="Calibri" w:eastAsia="Calibri" w:hAnsi="Calibri" w:cs="Times New Roman"/>
                <w:noProof/>
                <w:webHidden/>
                <w:u w:val="single"/>
                <w:lang w:val="en-IN"/>
              </w:rPr>
              <w:fldChar w:fldCharType="separate"/>
            </w:r>
            <w:r w:rsidRPr="00F875A2">
              <w:rPr>
                <w:rFonts w:ascii="Calibri" w:eastAsia="Calibri" w:hAnsi="Calibri" w:cs="Times New Roman"/>
                <w:noProof/>
                <w:webHidden/>
                <w:u w:val="single"/>
                <w:lang w:val="en-IN"/>
              </w:rPr>
              <w:t>17</w:t>
            </w:r>
            <w:r w:rsidRPr="00F875A2">
              <w:rPr>
                <w:rFonts w:ascii="Calibri" w:eastAsia="Calibri" w:hAnsi="Calibri" w:cs="Times New Roman"/>
                <w:noProof/>
                <w:webHidden/>
                <w:u w:val="single"/>
                <w:lang w:val="en-IN"/>
              </w:rPr>
              <w:fldChar w:fldCharType="end"/>
            </w:r>
          </w:hyperlink>
        </w:p>
        <w:p w14:paraId="3F36DC91" w14:textId="77777777" w:rsidR="00F875A2" w:rsidRPr="00F875A2" w:rsidRDefault="00F875A2" w:rsidP="00F875A2">
          <w:pPr>
            <w:spacing w:line="256" w:lineRule="auto"/>
            <w:jc w:val="center"/>
            <w:rPr>
              <w:rFonts w:ascii="Calibri" w:eastAsia="Calibri" w:hAnsi="Calibri" w:cs="Times New Roman"/>
              <w:sz w:val="22"/>
              <w:szCs w:val="22"/>
              <w:lang w:val="en-IN"/>
            </w:rPr>
          </w:pPr>
          <w:r w:rsidRPr="00F875A2">
            <w:rPr>
              <w:rFonts w:ascii="Times New Roman" w:eastAsia="Calibri" w:hAnsi="Times New Roman" w:cs="Times New Roman"/>
              <w:b/>
              <w:bCs/>
              <w:noProof/>
              <w:lang w:val="en-IN"/>
            </w:rPr>
            <w:fldChar w:fldCharType="end"/>
          </w:r>
        </w:p>
      </w:sdtContent>
    </w:sdt>
    <w:p w14:paraId="36B87FD7" w14:textId="77777777" w:rsidR="00F875A2" w:rsidRPr="00F875A2" w:rsidRDefault="00F875A2" w:rsidP="00F875A2">
      <w:pPr>
        <w:spacing w:line="256" w:lineRule="auto"/>
        <w:jc w:val="center"/>
        <w:rPr>
          <w:rFonts w:ascii="Times New Roman" w:eastAsia="Calibri" w:hAnsi="Times New Roman" w:cs="Times New Roman"/>
          <w:b/>
          <w:bCs/>
          <w:sz w:val="32"/>
          <w:szCs w:val="32"/>
          <w:lang w:val="en-IN"/>
        </w:rPr>
      </w:pPr>
      <w:r w:rsidRPr="00F875A2">
        <w:rPr>
          <w:rFonts w:ascii="Times New Roman" w:eastAsia="Calibri" w:hAnsi="Times New Roman" w:cs="Times New Roman"/>
          <w:b/>
          <w:bCs/>
          <w:kern w:val="0"/>
          <w:sz w:val="32"/>
          <w:szCs w:val="32"/>
          <w:lang w:val="en-IN"/>
          <w14:ligatures w14:val="none"/>
        </w:rPr>
        <w:br w:type="page"/>
      </w:r>
    </w:p>
    <w:p w14:paraId="5F0D3ACA" w14:textId="77777777" w:rsidR="00F875A2" w:rsidRPr="00F875A2" w:rsidRDefault="00F875A2" w:rsidP="00F875A2">
      <w:pPr>
        <w:keepNext/>
        <w:keepLines/>
        <w:spacing w:before="480" w:after="200" w:line="480" w:lineRule="auto"/>
        <w:jc w:val="both"/>
        <w:outlineLvl w:val="0"/>
        <w:rPr>
          <w:rFonts w:ascii="Times New Roman" w:eastAsia="Times New Roman" w:hAnsi="Times New Roman" w:cs="Times New Roman"/>
          <w:b/>
          <w:color w:val="000000"/>
          <w:sz w:val="28"/>
          <w:szCs w:val="40"/>
          <w:lang w:val="en-IN"/>
        </w:rPr>
      </w:pPr>
      <w:bookmarkStart w:id="0" w:name="_Toc218117676"/>
      <w:r w:rsidRPr="00F875A2">
        <w:rPr>
          <w:rFonts w:ascii="Times New Roman" w:eastAsia="Times New Roman" w:hAnsi="Times New Roman" w:cs="Times New Roman"/>
          <w:b/>
          <w:color w:val="000000"/>
          <w:sz w:val="28"/>
          <w:szCs w:val="40"/>
          <w:lang w:val="en-IN"/>
        </w:rPr>
        <w:lastRenderedPageBreak/>
        <w:t>1. Introduction</w:t>
      </w:r>
      <w:bookmarkEnd w:id="0"/>
    </w:p>
    <w:p w14:paraId="19952F80"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1" w:name="_Toc218117677"/>
      <w:r w:rsidRPr="00F875A2">
        <w:rPr>
          <w:rFonts w:ascii="Times New Roman" w:eastAsia="Times New Roman" w:hAnsi="Times New Roman" w:cs="Times New Roman"/>
          <w:b/>
          <w:kern w:val="0"/>
          <w:sz w:val="26"/>
          <w:szCs w:val="26"/>
          <w:lang w:val="en-GB"/>
          <w14:ligatures w14:val="none"/>
        </w:rPr>
        <w:t>1.1 Background to Environmental Impact Assessment</w:t>
      </w:r>
      <w:bookmarkEnd w:id="1"/>
    </w:p>
    <w:p w14:paraId="0B4C0C5B"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Environmental Impact Assessment (EIA) is a structured decision support tool that aims at identifying, predicting and evaluating the probable environmental impacts of development activities proposed prior to making decisions and commitments (MacKinnon et al., 2018). The process of EIA in the UK and the devolved countries including Wales mediate between the development pressures and the sustainability objectives of the statutory frameworks, where the implementation of the EU EIA Directive (as amended) is made through the national regulations (Town and Country Planning (EIA) Regulations 2017).</w:t>
      </w:r>
    </w:p>
    <w:p w14:paraId="7F82C424"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In spite of its widespread use, EIA has caused a prolonged scholarly controversy on its relative effectiveness as an instrument in defining environmental performance and guiding decisions (Onyango &amp; Gazzola, 2024). Opponents contend that in the traditional paradigm, where regulation compliance and report generation is given limited attention, is insufficient to provide meaningful environmental protection or active transformation in the planning practice (Bond, 2024). </w:t>
      </w:r>
    </w:p>
    <w:p w14:paraId="56AB850C"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2" w:name="_Toc218117678"/>
      <w:r w:rsidRPr="00F875A2">
        <w:rPr>
          <w:rFonts w:ascii="Times New Roman" w:eastAsia="Times New Roman" w:hAnsi="Times New Roman" w:cs="Times New Roman"/>
          <w:b/>
          <w:kern w:val="0"/>
          <w:sz w:val="26"/>
          <w:szCs w:val="26"/>
          <w:lang w:val="en-GB"/>
          <w14:ligatures w14:val="none"/>
        </w:rPr>
        <w:t>1.2 Purpose and Scope of the Assignment</w:t>
      </w:r>
      <w:bookmarkEnd w:id="2"/>
    </w:p>
    <w:p w14:paraId="0D1C13D3"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This report aims at critically appraising an Environmental Impact Assessment of the A487 New Dyfi Bridge project (Wales). Instead of summary of environmental impacts, the objective is to evaluate the quality and strength of the EIA process, compare and contrast it to the industry standards of the EIA practice and academic frameworks. It involves analyzing the transparency of the ES, the completeness of the same and whether the methodology of the ES is sound along with its compliance with the legislative requirements and whether it can be relied upon in making informed decisions.</w:t>
      </w:r>
    </w:p>
    <w:p w14:paraId="09313FCD"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3" w:name="_Toc218117679"/>
      <w:r w:rsidRPr="00F875A2">
        <w:rPr>
          <w:rFonts w:ascii="Times New Roman" w:eastAsia="Times New Roman" w:hAnsi="Times New Roman" w:cs="Times New Roman"/>
          <w:b/>
          <w:kern w:val="0"/>
          <w:sz w:val="26"/>
          <w:szCs w:val="26"/>
          <w:lang w:val="en-GB"/>
          <w14:ligatures w14:val="none"/>
        </w:rPr>
        <w:lastRenderedPageBreak/>
        <w:t>1.3 Overview of the Project</w:t>
      </w:r>
      <w:bookmarkEnd w:id="3"/>
    </w:p>
    <w:p w14:paraId="41694D26"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A487 New Dyfi Bridge scheme is a trunk road improvement that was carried out in Wales, which involved the installation of a new bridge on the River Dyfi to increase the safety and resilience of the transport network. Its Environmental Statement gives it a foundation on statutory evaluation of environmental impact and mitigation. Since transport infrastructure development projects are complex, and they may have major environmental impacts, the case is a relevant location to consider how successful the EIA practice can be in supporting sustainable decision-making.</w:t>
      </w:r>
    </w:p>
    <w:p w14:paraId="7FC1950D" w14:textId="77777777" w:rsidR="00F875A2" w:rsidRPr="00F875A2" w:rsidRDefault="00F875A2" w:rsidP="00F875A2">
      <w:pPr>
        <w:keepNext/>
        <w:keepLines/>
        <w:spacing w:before="480" w:after="200" w:line="480" w:lineRule="auto"/>
        <w:jc w:val="both"/>
        <w:outlineLvl w:val="0"/>
        <w:rPr>
          <w:rFonts w:ascii="Times New Roman" w:eastAsia="Times New Roman" w:hAnsi="Times New Roman" w:cs="Times New Roman"/>
          <w:b/>
          <w:color w:val="000000"/>
          <w:sz w:val="28"/>
          <w:szCs w:val="40"/>
          <w:lang w:val="en-IN"/>
        </w:rPr>
      </w:pPr>
      <w:bookmarkStart w:id="4" w:name="_Toc218117680"/>
      <w:r w:rsidRPr="00F875A2">
        <w:rPr>
          <w:rFonts w:ascii="Times New Roman" w:eastAsia="Times New Roman" w:hAnsi="Times New Roman" w:cs="Times New Roman"/>
          <w:b/>
          <w:color w:val="000000"/>
          <w:sz w:val="28"/>
          <w:szCs w:val="40"/>
          <w:lang w:val="en-IN"/>
        </w:rPr>
        <w:t>2. Legislative, Policy and Best Practice Context</w:t>
      </w:r>
      <w:bookmarkEnd w:id="4"/>
    </w:p>
    <w:p w14:paraId="4080034B"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work of the Environmental Impact Assessment in Wales is based on the multi-layered system of regulatory and policy frameworks and is understood through the UK legislation, the devolved Welsh planning policy, and international practice-based best standards. This framework would be fundamental in assessing the quality and sufficiency of the A487 New Dyfi Bridge Environmental Statement (ES) because the quality of EIA has a very strong relationship with the lucidity, rigour and demands established by regulatory frameworks (Jay et al., 2020).</w:t>
      </w:r>
    </w:p>
    <w:p w14:paraId="0A0B198F"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5" w:name="_Toc218117681"/>
      <w:r w:rsidRPr="00F875A2">
        <w:rPr>
          <w:rFonts w:ascii="Times New Roman" w:eastAsia="Times New Roman" w:hAnsi="Times New Roman" w:cs="Times New Roman"/>
          <w:b/>
          <w:kern w:val="0"/>
          <w:sz w:val="26"/>
          <w:szCs w:val="26"/>
          <w:lang w:val="en-GB"/>
          <w14:ligatures w14:val="none"/>
        </w:rPr>
        <w:t>2.1 EIA Legislation in the UK and Wales</w:t>
      </w:r>
      <w:bookmarkEnd w:id="5"/>
    </w:p>
    <w:p w14:paraId="66E03719"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legal framework of EIA in Wales is mainly stipulated with the Town and Country Planning (Environmental Impact Assessment) Regulations 2017 which incorporates the requirements of the Directive 2014/52/EU into the national legislation. The UK no longer is a part of the EU, but the procedural requirements of the Directive are still incorporated into the law of the UK and their application is still reflected in Welsh practice (Weston and Jackson, 2021). The Regulations have detailed mandatory elements of an ES which include: a precise project outline; plausible options; probable substantial impacts; mitigation; observations; and a Non-Technical Summary.</w:t>
      </w:r>
    </w:p>
    <w:p w14:paraId="42AEA41B"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Another additional emphasis on sustainability as per the Welsh planning context is outlined through the following frameworks:</w:t>
      </w:r>
    </w:p>
    <w:p w14:paraId="40DA7A79" w14:textId="77777777" w:rsidR="00F875A2" w:rsidRPr="00F875A2" w:rsidRDefault="00F875A2" w:rsidP="00F875A2">
      <w:pPr>
        <w:numPr>
          <w:ilvl w:val="0"/>
          <w:numId w:val="1"/>
        </w:num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b/>
          <w:bCs/>
          <w:lang w:val="en-IN"/>
        </w:rPr>
        <w:lastRenderedPageBreak/>
        <w:t>The Well-being of Future Generations (Wales) Act 2015</w:t>
      </w:r>
      <w:r w:rsidRPr="00F875A2">
        <w:rPr>
          <w:rFonts w:ascii="Times New Roman" w:eastAsia="Calibri" w:hAnsi="Times New Roman" w:cs="Times New Roman"/>
          <w:lang w:val="en-IN"/>
        </w:rPr>
        <w:t>, that incorporates the principles of sustainable development on a long-term basis.</w:t>
      </w:r>
    </w:p>
    <w:p w14:paraId="1899458F" w14:textId="77777777" w:rsidR="00F875A2" w:rsidRPr="00F875A2" w:rsidRDefault="00F875A2" w:rsidP="00F875A2">
      <w:pPr>
        <w:numPr>
          <w:ilvl w:val="0"/>
          <w:numId w:val="1"/>
        </w:num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b/>
          <w:bCs/>
          <w:lang w:val="en-IN"/>
        </w:rPr>
        <w:t>Planning Policy Wales (PPW) – Edition 11 (2021)</w:t>
      </w:r>
      <w:r w:rsidRPr="00F875A2">
        <w:rPr>
          <w:rFonts w:ascii="Times New Roman" w:eastAsia="Calibri" w:hAnsi="Times New Roman" w:cs="Times New Roman"/>
          <w:lang w:val="en-IN"/>
        </w:rPr>
        <w:t>, in which decision-makers are expected to make sure that the developments they make promote the positive contribution to the well-being goals by the means of effective environmental assessment.</w:t>
      </w:r>
    </w:p>
    <w:p w14:paraId="4B0E2B02" w14:textId="77777777" w:rsidR="00F875A2" w:rsidRPr="00F875A2" w:rsidRDefault="00F875A2" w:rsidP="00F875A2">
      <w:pPr>
        <w:numPr>
          <w:ilvl w:val="0"/>
          <w:numId w:val="1"/>
        </w:num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b/>
          <w:bCs/>
          <w:lang w:val="en-IN"/>
        </w:rPr>
        <w:t>Welsh Transport Appraisal Guidance (WelTAG 2022)</w:t>
      </w:r>
      <w:r w:rsidRPr="00F875A2">
        <w:rPr>
          <w:rFonts w:ascii="Times New Roman" w:eastAsia="Calibri" w:hAnsi="Times New Roman" w:cs="Times New Roman"/>
          <w:lang w:val="en-IN"/>
        </w:rPr>
        <w:t>, This will involve early-stage environmental and social impact appraisal on major transport projects (Harris &amp; Owen, 2023).</w:t>
      </w:r>
    </w:p>
    <w:p w14:paraId="7994BE12"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6" w:name="_Toc218117682"/>
      <w:r w:rsidRPr="00F875A2">
        <w:rPr>
          <w:rFonts w:ascii="Times New Roman" w:eastAsia="Times New Roman" w:hAnsi="Times New Roman" w:cs="Times New Roman"/>
          <w:b/>
          <w:kern w:val="0"/>
          <w:sz w:val="26"/>
          <w:szCs w:val="26"/>
          <w:lang w:val="en-GB"/>
          <w14:ligatures w14:val="none"/>
        </w:rPr>
        <w:t>2.2 Best Practice Guidance</w:t>
      </w:r>
      <w:bookmarkEnd w:id="6"/>
    </w:p>
    <w:p w14:paraId="5A4CAA47"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IEMA has published a suite of best-practice documents in the last five years advocating:</w:t>
      </w:r>
    </w:p>
    <w:p w14:paraId="4A2D5BCE" w14:textId="77777777" w:rsidR="00F875A2" w:rsidRPr="00F875A2" w:rsidRDefault="00F875A2" w:rsidP="00F875A2">
      <w:pPr>
        <w:numPr>
          <w:ilvl w:val="0"/>
          <w:numId w:val="2"/>
        </w:num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b/>
          <w:bCs/>
          <w:lang w:val="en-IN"/>
        </w:rPr>
        <w:t>Proportionate EIA</w:t>
      </w:r>
      <w:r w:rsidRPr="00F875A2">
        <w:rPr>
          <w:rFonts w:ascii="Times New Roman" w:eastAsia="Calibri" w:hAnsi="Times New Roman" w:cs="Times New Roman"/>
          <w:lang w:val="en-IN"/>
        </w:rPr>
        <w:t xml:space="preserve"> (IEMA, 2020)</w:t>
      </w:r>
    </w:p>
    <w:p w14:paraId="4927CAE6" w14:textId="77777777" w:rsidR="00F875A2" w:rsidRPr="00F875A2" w:rsidRDefault="00F875A2" w:rsidP="00F875A2">
      <w:pPr>
        <w:numPr>
          <w:ilvl w:val="0"/>
          <w:numId w:val="2"/>
        </w:num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b/>
          <w:bCs/>
          <w:lang w:val="en-IN"/>
        </w:rPr>
        <w:t>Better significance evaluation frameworks</w:t>
      </w:r>
    </w:p>
    <w:p w14:paraId="169FA3F6" w14:textId="77777777" w:rsidR="00F875A2" w:rsidRPr="00F875A2" w:rsidRDefault="00F875A2" w:rsidP="00F875A2">
      <w:pPr>
        <w:numPr>
          <w:ilvl w:val="0"/>
          <w:numId w:val="2"/>
        </w:num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b/>
          <w:bCs/>
          <w:lang w:val="en-IN"/>
        </w:rPr>
        <w:t>Improved cumulative effects assessment</w:t>
      </w:r>
    </w:p>
    <w:p w14:paraId="0561D602" w14:textId="77777777" w:rsidR="00F875A2" w:rsidRPr="00F875A2" w:rsidRDefault="00F875A2" w:rsidP="00F875A2">
      <w:pPr>
        <w:numPr>
          <w:ilvl w:val="0"/>
          <w:numId w:val="2"/>
        </w:num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b/>
          <w:bCs/>
          <w:lang w:val="en-IN"/>
        </w:rPr>
        <w:t>Clearer communication and digital ES approaches</w:t>
      </w:r>
    </w:p>
    <w:p w14:paraId="155BC2B3"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Recent academic evaluations highlight IEMA’s role in driving more outcome-focused and decision-relevant assessments (Phylip-Jones &amp; Fischer, 2023).</w:t>
      </w:r>
    </w:p>
    <w:p w14:paraId="7C491ACD"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IAIA (International Association for Impact Assessment)</w:t>
      </w:r>
    </w:p>
    <w:p w14:paraId="1B961925"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principles of IAIA put more focus on transparency, public involvement, adaptive management, and considering sustainability goals. Recent studies indicate that the compliance with the IAIA guidelines is highly correlated with the increased EIA effectiveness, especially in the infrastructure projects (Morgan, 2020).</w:t>
      </w:r>
    </w:p>
    <w:p w14:paraId="684F5EDB"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DMRB (Design Manual for Roads and Bridges)</w:t>
      </w:r>
    </w:p>
    <w:p w14:paraId="47F6DD29"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In road and bridge projects, including the A487 Dyfi Bridge, the UK DMRB (LA 104 -Environmental Assessment and Monitoring) gives certain requirements on:</w:t>
      </w:r>
    </w:p>
    <w:p w14:paraId="648F536C" w14:textId="77777777" w:rsidR="00F875A2" w:rsidRPr="00F875A2" w:rsidRDefault="00F875A2" w:rsidP="00F875A2">
      <w:pPr>
        <w:numPr>
          <w:ilvl w:val="0"/>
          <w:numId w:val="3"/>
        </w:num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lastRenderedPageBreak/>
        <w:t>Scoping and identifying significance.</w:t>
      </w:r>
    </w:p>
    <w:p w14:paraId="698034CB" w14:textId="77777777" w:rsidR="00F875A2" w:rsidRPr="00F875A2" w:rsidRDefault="00F875A2" w:rsidP="00F875A2">
      <w:pPr>
        <w:numPr>
          <w:ilvl w:val="0"/>
          <w:numId w:val="3"/>
        </w:num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Complicated evaluation procedure</w:t>
      </w:r>
    </w:p>
    <w:p w14:paraId="7676326C" w14:textId="77777777" w:rsidR="00F875A2" w:rsidRPr="00F875A2" w:rsidRDefault="00F875A2" w:rsidP="00F875A2">
      <w:pPr>
        <w:numPr>
          <w:ilvl w:val="0"/>
          <w:numId w:val="3"/>
        </w:num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Monitoring and post-consent follow-up</w:t>
      </w:r>
    </w:p>
    <w:p w14:paraId="2F7961E8"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recent revision of the DMRB suite (since 2020) emphasizes more on consistency and evidence-based assessment and clearly reporting. It has been established that DMRB has elevated the methodological standards of road EIAs in the UK considerably (Fischer et al., 2022).</w:t>
      </w:r>
    </w:p>
    <w:p w14:paraId="5EADC0BE"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All of these standards help create a standard on which the Dyfi Bridge ES can be critically assessed.</w:t>
      </w:r>
    </w:p>
    <w:p w14:paraId="4AC83375"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7" w:name="_Toc218117683"/>
      <w:r w:rsidRPr="00F875A2">
        <w:rPr>
          <w:rFonts w:ascii="Times New Roman" w:eastAsia="Times New Roman" w:hAnsi="Times New Roman" w:cs="Times New Roman"/>
          <w:b/>
          <w:kern w:val="0"/>
          <w:sz w:val="26"/>
          <w:szCs w:val="26"/>
          <w:lang w:val="en-GB"/>
          <w14:ligatures w14:val="none"/>
        </w:rPr>
        <w:t>2.3 Academic Literature on EIA Effectiveness</w:t>
      </w:r>
      <w:bookmarkEnd w:id="7"/>
    </w:p>
    <w:p w14:paraId="7D6AE1B2"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current studies still remain on whether the EIA processes in UK and other countries of the world can always provide high quality of decision relevant environment information. The major critics of the past five years point to the deficiencies in:</w:t>
      </w:r>
    </w:p>
    <w:p w14:paraId="086173D6"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Alternatives Assessment</w:t>
      </w:r>
    </w:p>
    <w:p w14:paraId="1DA58A1F"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One of the most common weaknesses of EIAs in many countries of the world is the superficial or unreasonable consideration of alternatives (Cashmore and Axelsson, 2022). Research indicates that alternatives tend to be provided to meet the procedural demands, but not actually influence the decision making (Pope et al., 2021).</w:t>
      </w:r>
    </w:p>
    <w:p w14:paraId="72B095A2"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Cumulative Effects</w:t>
      </w:r>
    </w:p>
    <w:p w14:paraId="7B6967E7"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Cumulative impacts have been among the most poorly realized issues in the EIA practice even with its core to sustainability (Gunn &amp; Noble, 2021).</w:t>
      </w:r>
    </w:p>
    <w:p w14:paraId="15C3F318"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Significance Evaluation</w:t>
      </w:r>
    </w:p>
    <w:p w14:paraId="1951A208"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Researchers find that there is inconsistency and lack of visibility in defining significance, which is often connected with professional judgement and not with transparent standards  (Morrison-Saunders &amp; Retief, 2020).</w:t>
      </w:r>
    </w:p>
    <w:p w14:paraId="6BC1DD3A" w14:textId="77777777" w:rsidR="00F875A2" w:rsidRPr="00F875A2" w:rsidRDefault="00F875A2" w:rsidP="00F875A2">
      <w:pPr>
        <w:keepNext/>
        <w:keepLines/>
        <w:spacing w:before="480" w:after="200" w:line="480" w:lineRule="auto"/>
        <w:jc w:val="both"/>
        <w:outlineLvl w:val="0"/>
        <w:rPr>
          <w:rFonts w:ascii="Times New Roman" w:eastAsia="Times New Roman" w:hAnsi="Times New Roman" w:cs="Times New Roman"/>
          <w:b/>
          <w:color w:val="000000"/>
          <w:sz w:val="28"/>
          <w:szCs w:val="40"/>
          <w:lang w:val="en-IN"/>
        </w:rPr>
      </w:pPr>
      <w:bookmarkStart w:id="8" w:name="_Toc218117684"/>
      <w:r w:rsidRPr="00F875A2">
        <w:rPr>
          <w:rFonts w:ascii="Times New Roman" w:eastAsia="Times New Roman" w:hAnsi="Times New Roman" w:cs="Times New Roman"/>
          <w:b/>
          <w:color w:val="000000"/>
          <w:sz w:val="28"/>
          <w:szCs w:val="40"/>
          <w:lang w:val="en-IN"/>
        </w:rPr>
        <w:lastRenderedPageBreak/>
        <w:t>3. Methodology for the EIA Review</w:t>
      </w:r>
      <w:bookmarkEnd w:id="8"/>
    </w:p>
    <w:p w14:paraId="0750EF7D"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To adequately determine the quality of Environmental Impact Assessments, it is necessary to have a systematic and transparent methodology due to the variability of reporting standards of EIA and methodological uniformity reported (Fischer et al., 2022). This paper uses the Lee and Colley Review Package (1990) as the main analysis tool in evaluating the A487 New Dyfi Bridge Environmental Statement (ES). The review package is one of the most applied and empirically tested instruments of quality review of EIA, even though it was developed more than 30 years ago, as recent literature also supports the fact that it can still be applied to the evaluation of modern ES documents (McGrath &amp; Bond, 2021).</w:t>
      </w:r>
    </w:p>
    <w:p w14:paraId="470033CD"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9" w:name="_Toc218117685"/>
      <w:r w:rsidRPr="00F875A2">
        <w:rPr>
          <w:rFonts w:ascii="Times New Roman" w:eastAsia="Times New Roman" w:hAnsi="Times New Roman" w:cs="Times New Roman"/>
          <w:b/>
          <w:kern w:val="0"/>
          <w:sz w:val="26"/>
          <w:szCs w:val="26"/>
          <w:lang w:val="en-GB"/>
          <w14:ligatures w14:val="none"/>
        </w:rPr>
        <w:t>3.1 Rationale for Using the Lee &amp; Colley Review Package</w:t>
      </w:r>
      <w:bookmarkEnd w:id="9"/>
    </w:p>
    <w:p w14:paraId="6DD00B73"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Lee and Colley Review Package should be used because it is a reference source on the specific topic. Lee and Colley approach is a hierarchical and criteria-based system of ES quality assessment. It breaks down assessment into four Review Areas; (1) Description of the Project and Alternatives; (2) Impact Identification and Baseline Studies; (3) Impact Prediction, Evaluation and Mitigation; and (4) Communication of Results; each of which is further broken down into categories and sub-categories of review. This allows a method of granular systematic and replicable evaluation of procedural completeness and substantive adequacy (McGrath &amp; Bond, 2021).</w:t>
      </w:r>
    </w:p>
    <w:p w14:paraId="61541BA8"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Recent studies point to the fact that because of its clarity, flexibility, and capacity to make a distinction between descriptive adequacy and analytical strength, the framework remains relevant in the present day (Pinho et al., 2020). Lee and Colley offers the best organised and the most academically accepted way of providing objectivity and transparency in EIA critique, in comparison to more modern tools of review.</w:t>
      </w:r>
    </w:p>
    <w:p w14:paraId="72B5F6FC"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10" w:name="_Toc218117686"/>
      <w:r w:rsidRPr="00F875A2">
        <w:rPr>
          <w:rFonts w:ascii="Times New Roman" w:eastAsia="Times New Roman" w:hAnsi="Times New Roman" w:cs="Times New Roman"/>
          <w:b/>
          <w:kern w:val="0"/>
          <w:sz w:val="26"/>
          <w:szCs w:val="26"/>
          <w:lang w:val="en-GB"/>
          <w14:ligatures w14:val="none"/>
        </w:rPr>
        <w:lastRenderedPageBreak/>
        <w:t>3.2 Adaptation for This Study</w:t>
      </w:r>
      <w:bookmarkEnd w:id="10"/>
    </w:p>
    <w:p w14:paraId="49D12485"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It was done by mapping the content of the Dyfi Bridge ES (Volume 1, referred to by Volumes 23 where appropriate) into the Lee and Colley criteria. Cosmetic changes were introduced to represent the revised requirements in UK practice such as incorporation of DMRB LA 104 principles on environmental assessment of road schemes and standard IEMA best-practice advice on significance assessment and proportionality (IEMA, 2020). A qualitative grade (A -F) was given to each sub-category based on the adequacy and effectiveness of the ES to address the criterion.</w:t>
      </w:r>
    </w:p>
    <w:p w14:paraId="7772EFA2"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11" w:name="_Toc218117687"/>
      <w:r w:rsidRPr="00F875A2">
        <w:rPr>
          <w:rFonts w:ascii="Times New Roman" w:eastAsia="Times New Roman" w:hAnsi="Times New Roman" w:cs="Times New Roman"/>
          <w:b/>
          <w:kern w:val="0"/>
          <w:sz w:val="26"/>
          <w:szCs w:val="26"/>
          <w:lang w:val="en-GB"/>
          <w14:ligatures w14:val="none"/>
        </w:rPr>
        <w:t>3.3 Data Sources and Analytical Approach</w:t>
      </w:r>
      <w:bookmarkEnd w:id="11"/>
    </w:p>
    <w:p w14:paraId="0F601A95"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review relied on the ES itself and the UK and Welsh legislation, the best-practice guidance (IEMA; IAIA; DMRB), and the existing scholarly research. The presence of cross-references between several sources contributes to rigour and agrees with the demands of triangulation on the quality of EIA (Gazzola et al., 2019). The methodology thus guarantees a sound evidence-based critique that portrays the regulatory expectations as well as academic understanding.</w:t>
      </w:r>
    </w:p>
    <w:p w14:paraId="74E87C00" w14:textId="77777777" w:rsidR="00F875A2" w:rsidRPr="00F875A2" w:rsidRDefault="00F875A2" w:rsidP="00F875A2">
      <w:pPr>
        <w:keepNext/>
        <w:keepLines/>
        <w:spacing w:before="480" w:after="200" w:line="480" w:lineRule="auto"/>
        <w:jc w:val="both"/>
        <w:outlineLvl w:val="0"/>
        <w:rPr>
          <w:rFonts w:ascii="Times New Roman" w:eastAsia="Times New Roman" w:hAnsi="Times New Roman" w:cs="Times New Roman"/>
          <w:b/>
          <w:color w:val="000000"/>
          <w:sz w:val="28"/>
          <w:szCs w:val="40"/>
          <w:lang w:val="en-IN"/>
        </w:rPr>
      </w:pPr>
      <w:bookmarkStart w:id="12" w:name="_Toc218117688"/>
      <w:r w:rsidRPr="00F875A2">
        <w:rPr>
          <w:rFonts w:ascii="Times New Roman" w:eastAsia="Times New Roman" w:hAnsi="Times New Roman" w:cs="Times New Roman"/>
          <w:b/>
          <w:color w:val="000000"/>
          <w:sz w:val="28"/>
          <w:szCs w:val="40"/>
          <w:lang w:val="en-IN"/>
        </w:rPr>
        <w:t>4. Project Description &amp; Context Review</w:t>
      </w:r>
      <w:bookmarkEnd w:id="12"/>
    </w:p>
    <w:p w14:paraId="15E9FCD8"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An accurate and proportionate description of the project is an essential constituent of a high-quality EIA because it establishes the extent, selection of methodologies and interpretation of the effects of projects (Jay et al., 2020). The A487 New Dyfi Bridge Environmental Statement (ES) covers a brief history of the scheme, which will include the purpose of the scheme, i.e. to enhance resilience and safety of the network by creating a new crossing of the River Dyfi, and will include a description of key elements of this scheme, including bridge structure, approach roads, and construction methods. On a descriptive level, the ES satisfies the basic regulatory requirements; the latest best-practice advice is that project descriptions must be more than simple lists of components, and they need to express impact pathways, construction behaviours, and design justification (IEMA, 2020). These components are not even developed in the Dyfi Bridge ES.</w:t>
      </w:r>
    </w:p>
    <w:p w14:paraId="4C95B339"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lastRenderedPageBreak/>
        <w:t>The ES does offer geographical background and identifies the constraints in place, like flood risk and ecological sensitivities. However, from the perspective of academic studies it is emphasized that contextual analysis should be combined with clear explanation about why something is designed the way it is, especially when it is a critical infrastructure (Phylip-Jones and Fischer, 2023). Although the ES provides the necessity of the better reliability of the A487 route, the justification might have been reinforced with the definitions of the connection between the formulated problems, the created design solution, and the impact of the alternative forms on the environment.</w:t>
      </w:r>
    </w:p>
    <w:p w14:paraId="260979DC" w14:textId="77777777" w:rsidR="00F875A2" w:rsidRPr="00F875A2" w:rsidRDefault="00F875A2" w:rsidP="00F875A2">
      <w:pPr>
        <w:keepNext/>
        <w:keepLines/>
        <w:spacing w:before="480" w:after="200" w:line="480" w:lineRule="auto"/>
        <w:jc w:val="both"/>
        <w:outlineLvl w:val="0"/>
        <w:rPr>
          <w:rFonts w:ascii="Times New Roman" w:eastAsia="Times New Roman" w:hAnsi="Times New Roman" w:cs="Times New Roman"/>
          <w:b/>
          <w:color w:val="000000"/>
          <w:sz w:val="28"/>
          <w:szCs w:val="40"/>
          <w:lang w:val="en-IN"/>
        </w:rPr>
      </w:pPr>
      <w:bookmarkStart w:id="13" w:name="_Toc218117689"/>
      <w:r w:rsidRPr="00F875A2">
        <w:rPr>
          <w:rFonts w:ascii="Times New Roman" w:eastAsia="Times New Roman" w:hAnsi="Times New Roman" w:cs="Times New Roman"/>
          <w:b/>
          <w:color w:val="000000"/>
          <w:sz w:val="28"/>
          <w:szCs w:val="40"/>
          <w:lang w:val="en-IN"/>
        </w:rPr>
        <w:t>5. Critical Evaluation Using the Lee &amp; Colley Framework</w:t>
      </w:r>
      <w:bookmarkEnd w:id="13"/>
    </w:p>
    <w:p w14:paraId="5494B2D4"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Within the Lee and Colley Review Package, there are four Review Areas that have a hierarchical, systematic method of evaluating the quality of the Environmental Impact Statements. Its ongoing application in modern EIA quality measurement is justified by recent studies that indicate that its systematic framework enables an equal assessment of the completeness of processes and rigour of its substance (McGrath and Bond, 2021). When applied to the A487 New Dyfi Bridge Environmental Statement (ES), the framework allows a criticism of the sufficiency, transparency and methodological strength of the assessment in detail.</w:t>
      </w:r>
    </w:p>
    <w:p w14:paraId="679D5AE9"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14" w:name="_Toc218117690"/>
      <w:r w:rsidRPr="00F875A2">
        <w:rPr>
          <w:rFonts w:ascii="Times New Roman" w:eastAsia="Times New Roman" w:hAnsi="Times New Roman" w:cs="Times New Roman"/>
          <w:b/>
          <w:kern w:val="0"/>
          <w:sz w:val="26"/>
          <w:szCs w:val="26"/>
          <w:lang w:val="en-GB"/>
          <w14:ligatures w14:val="none"/>
        </w:rPr>
        <w:t>5.1 Review Area 1: Description of the Project and Alternatives</w:t>
      </w:r>
      <w:bookmarkEnd w:id="14"/>
    </w:p>
    <w:p w14:paraId="1AB58C11"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5.1.1 Quality of the Project Description</w:t>
      </w:r>
    </w:p>
    <w:p w14:paraId="41CB1F79"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basis of a good EIA is a detailed and full project description because it determines the scope of scoping, baseline surveys, and forecasting of impacts (Jay et al., 2020). The Dyfi Bridge ES gives a fairly comprehensive description of the engineering elements of the scheme, such as the new viaduct scheme, the approach roads, drainage systems and construction methodologies. It also describes the problems that are present in the existing A487 route such as flood related problems and safety issues.</w:t>
      </w:r>
    </w:p>
    <w:p w14:paraId="288340BF"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Nevertheless, the descriptive material satisfies the minimum standards of the EIA Regulations, but in a number of aspects, it is not up to the standards of best practice in modern times. Recent advice </w:t>
      </w:r>
      <w:r w:rsidRPr="00F875A2">
        <w:rPr>
          <w:rFonts w:ascii="Times New Roman" w:eastAsia="Calibri" w:hAnsi="Times New Roman" w:cs="Times New Roman"/>
          <w:lang w:val="en-IN"/>
        </w:rPr>
        <w:lastRenderedPageBreak/>
        <w:t>emphasizes that the descriptions of the projects must explain what is going to be constructed but how particular design elements can be associated with probable impact pathways (IEMA, 2020). The ES identifies construction activities but genetically describes how the activities might produce a particular air, water, noise or ecological impact. More transparency would have been appreciated and helped in stronger latter evaluation processes.</w:t>
      </w:r>
    </w:p>
    <w:p w14:paraId="4E57A66B"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5.1.2 Consideration of Alternatives</w:t>
      </w:r>
    </w:p>
    <w:p w14:paraId="13983835"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One of the most widespread weaknesses in the EIA practice in the world is the section of alternatives (Cashmore and Axelsson 2022), and the Dyfi Bridge ES is generally no exception. Where ES recognizes the alternatives of the routes, and the presence of a do-nothing option, the analysis of the alternatives is relatively short, and does not provide a systematic comparison of the alternatives under environmental, social, and technical requirements.</w:t>
      </w:r>
    </w:p>
    <w:p w14:paraId="51B0FADB"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According to recent studies, the acceptable alternatives assessment must show the way the options were discovered, filtered, and evaluated against each other, with the clear consideration of environmental limitations, policy motives, and their preferences (Pope et al., 2021). In the Dyfi Bridge ES, the rationale behind the choice of the preferred alignment is mostly descriptive and comes up with conclusions without providing comparative evidence in detail. Weighting of various factors, such as the ecological impact, flood risk, engineering feasibility among others is not explicit thus diminishing transparency.</w:t>
      </w:r>
    </w:p>
    <w:p w14:paraId="0D9486D8"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In general, it can be seen that Review Area 1 demonstrates the partial adherence to the best practice: the ES offers sufficient descriptive information, but the evaluation of alternatives is not analytical enough and does not have a structured justification.</w:t>
      </w:r>
    </w:p>
    <w:p w14:paraId="1605B36F"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15" w:name="_Toc218117691"/>
      <w:r w:rsidRPr="00F875A2">
        <w:rPr>
          <w:rFonts w:ascii="Times New Roman" w:eastAsia="Times New Roman" w:hAnsi="Times New Roman" w:cs="Times New Roman"/>
          <w:b/>
          <w:kern w:val="0"/>
          <w:sz w:val="26"/>
          <w:szCs w:val="26"/>
          <w:lang w:val="en-GB"/>
          <w14:ligatures w14:val="none"/>
        </w:rPr>
        <w:t>5.2 Review Area 2: Environmental Baseline, Scoping and Prediction Methods</w:t>
      </w:r>
      <w:bookmarkEnd w:id="15"/>
    </w:p>
    <w:p w14:paraId="73C16E2E"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5.2.1 Adequacy of Baseline Data</w:t>
      </w:r>
    </w:p>
    <w:p w14:paraId="5EACD824"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The unstable aspects of baseline data give the empirical basis on the assessment of significance of impacts, but recent research indicates a great deal of variation in the quality of baselines across EIAs (Fischer et al., 2022). The Dyfi Bridge ES comprise of baseline information on ecological </w:t>
      </w:r>
      <w:r w:rsidRPr="00F875A2">
        <w:rPr>
          <w:rFonts w:ascii="Times New Roman" w:eastAsia="Calibri" w:hAnsi="Times New Roman" w:cs="Times New Roman"/>
          <w:lang w:val="en-IN"/>
        </w:rPr>
        <w:lastRenderedPageBreak/>
        <w:t>receptors, hydrology, landscape and cultural heritage. The methods and scope are usually typical of the UK practice.</w:t>
      </w:r>
    </w:p>
    <w:p w14:paraId="27ECB99E"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There are however a number of weaknesses that get benchmarked when compared to the modernity. First, although the ecological surveying seems to be rather strong, the ES offers little discourse on seasonal fluctuation and time lapses in data gathering, which recent scholarly sources note as the primary contributor of weak ecological impact forecasting (Gunn &amp; Noble, 2021). Second, the hydrological baseline explains the current state of floods but does not contextualise much on the climate change forecasts, although the policy mandates climate-resilient infrastructure.</w:t>
      </w:r>
    </w:p>
    <w:p w14:paraId="3F99A263"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5.2.2 Scoping Quality</w:t>
      </w:r>
    </w:p>
    <w:p w14:paraId="03F78E74"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Scoping process identifies the impacts to be evaluated and to what detail. The studies continuously recognize scoping as one of the pivotal factors of EIA performance (Morgan, 2020). The results of scoping in the Dyfi Bridge ES are summarised but lack clear details about the systematic consultation with the statutory consultees or stakeholders during the scope development. The ES could have been improved by more alignment of the stakeholder feedback, explanation of the scoping decisions, and understanding of the problems that the community raised (Harris &amp; Owen, 2023).</w:t>
      </w:r>
    </w:p>
    <w:p w14:paraId="4B20AD7D"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5.2.3 Assessment Methods</w:t>
      </w:r>
    </w:p>
    <w:p w14:paraId="3FAC7AD6"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The ES implements various established methodologies, such as DMRB-compliant techniques of noise, air quality, landscape and biodiversity. The methodological steps are usually outlined, but the level of description is not the same across chapters. </w:t>
      </w:r>
    </w:p>
    <w:p w14:paraId="56F14932"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Nevertheless, the recent researches emphasize the significance of methodological transparency and justification, especially in terms of the model selection, thresholds and evaluation criteria (Morrison-Saunders and Retief, 2020). Some of the critical assumptions of analysis are not explicitly explained in some of the chapters without a rationale and sensitivity analysis. </w:t>
      </w:r>
    </w:p>
    <w:p w14:paraId="0191DAC2"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To give a few examples, noise modelling parameters would be better justified and predictions of ecological impact would be discussed in relation to uncertainties. The fact that it does not include the uncertainty analysis is significant weakness: the modern literature on EIA points out that it is </w:t>
      </w:r>
      <w:r w:rsidRPr="00F875A2">
        <w:rPr>
          <w:rFonts w:ascii="Times New Roman" w:eastAsia="Calibri" w:hAnsi="Times New Roman" w:cs="Times New Roman"/>
          <w:lang w:val="en-IN"/>
        </w:rPr>
        <w:lastRenderedPageBreak/>
        <w:t>crucial to express the limitations and confidence levels to make informed decisions (Barker &amp; Jones, 2022).</w:t>
      </w:r>
    </w:p>
    <w:p w14:paraId="538204EA"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16" w:name="_Toc218117692"/>
      <w:r w:rsidRPr="00F875A2">
        <w:rPr>
          <w:rFonts w:ascii="Times New Roman" w:eastAsia="Times New Roman" w:hAnsi="Times New Roman" w:cs="Times New Roman"/>
          <w:b/>
          <w:kern w:val="0"/>
          <w:sz w:val="26"/>
          <w:szCs w:val="26"/>
          <w:lang w:val="en-GB"/>
          <w14:ligatures w14:val="none"/>
        </w:rPr>
        <w:t>5.3 Review Area 3: Identification and Evaluation of Impacts</w:t>
      </w:r>
      <w:bookmarkEnd w:id="16"/>
    </w:p>
    <w:p w14:paraId="3E0366F1"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5.3.1 Significance Criteria</w:t>
      </w:r>
    </w:p>
    <w:p w14:paraId="2390FA01"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An objective significance criterion is required to generate consistent impact assessment. The ES adopts DMRB LA 104 significance thresholds, which is also best practice in relation to road infrastructure. But meaningfulness is not necessarily well described in terms of receptor sensitivity, size of effect, duration of effect or reversibility. According to the latest advice, the use of predetermined categories without any narrative explanation can decrease transparency (IEMA, 2020). Moreover, certain chapters use inconsistency in significance criteria, which can be seen as a more widespread issue that Morrison-Saunders and Retief (2020) point out in inconsistency of the assessment of significance in EIA in the UK.</w:t>
      </w:r>
    </w:p>
    <w:p w14:paraId="0BD3B2A9"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5.3.2 Impact Identification</w:t>
      </w:r>
    </w:p>
    <w:p w14:paraId="5379BD02" w14:textId="72AA9A80"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Pathways of impacts are fairly well defined in both ecological and hydrological chapters but not well defined in air quality and noise sections. It has been found that the problem of weak impact pathway explanation is a long-standing problem in documentation of EIA (McGrath and Bond, 2021). The ES would tend to explain the effects as the effect of construction actions without defining the mechanisms - e.g. vibration through buildings, sediment movement or species perturbation patterns.</w:t>
      </w:r>
    </w:p>
    <w:p w14:paraId="0054D7BD"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5.3.3 Impact Evaluation (Selected Chapters)</w:t>
      </w:r>
    </w:p>
    <w:p w14:paraId="51E51140"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Ecology and Nature Conservation</w:t>
      </w:r>
    </w:p>
    <w:p w14:paraId="5BD3A8CE"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Nature and Conservation of the Environment. It is also one of the better chapters incorporating field data and common appraisal techniques. Nonetheless, ecological significance assessment does not explicitly examine the ecological resilience or cumulative stressors, which have a role in the current ecological IA (Gunn &amp; Noble, 2021). The ES fails to assess long-term ecological connectivity outside the immediate footprint, which would provide a chance to assess it more comprehensively.</w:t>
      </w:r>
    </w:p>
    <w:p w14:paraId="61FFC5EB"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lastRenderedPageBreak/>
        <w:t>Landscape and Visual Impacts</w:t>
      </w:r>
    </w:p>
    <w:p w14:paraId="2C58B578"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landscape chapter is assessed in the usual landscape character evaluation methods, but in visual assessment, a lot of predetermined viewpoints are taken, without explaining the reasons as to why a particular viewpoint was chosen (Phylip-Jones &amp; Fischer, 2023). Photomontages are employed but not discussed on limitations although there is guidance to clearly admit visualisation constraints.</w:t>
      </w:r>
    </w:p>
    <w:p w14:paraId="6236820D"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Water Environment</w:t>
      </w:r>
    </w:p>
    <w:p w14:paraId="6028152C"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hydrological effects are also well documented, and so is the risk of floods. But the evaluation does not exhaust the issue of climate change projections or future hydrological conditions. Such omission is a weakness of UK infrastructure EIAs that has been recently identified (Fischer et al., 2022).</w:t>
      </w:r>
    </w:p>
    <w:p w14:paraId="7CC11AC3"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5.3.4 Mitigation Measures</w:t>
      </w:r>
    </w:p>
    <w:p w14:paraId="172CAC9E"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ES determines the measures of mitigation in line with best practice- e.g. controlled working methods and pollution prevention measures, ecological timing restrictions. Nevertheless, mitigation is also more measure-centered than outcome-centered. The supposition of IEMA (2020) is that successful mitigation must detail quantifiable performance measures and correlate actions with forecasted impact severity. Here there is a limitation of such specificity. Besides, there are mitigation presents (primarily ecological) which seem generic (reflecting common templates) and not project-specific in their design, which lowers the level of confidence in their effectiveness.</w:t>
      </w:r>
    </w:p>
    <w:p w14:paraId="27E6F3F4" w14:textId="77777777" w:rsidR="00F875A2" w:rsidRPr="00F875A2" w:rsidRDefault="00F875A2" w:rsidP="00F875A2">
      <w:pPr>
        <w:keepNext/>
        <w:keepLines/>
        <w:spacing w:before="480" w:after="240" w:line="480" w:lineRule="auto"/>
        <w:jc w:val="both"/>
        <w:outlineLvl w:val="1"/>
        <w:rPr>
          <w:rFonts w:ascii="Times New Roman" w:eastAsia="Times New Roman" w:hAnsi="Times New Roman" w:cs="Times New Roman"/>
          <w:b/>
          <w:kern w:val="0"/>
          <w:sz w:val="26"/>
          <w:szCs w:val="26"/>
          <w:lang w:val="en-GB"/>
          <w14:ligatures w14:val="none"/>
        </w:rPr>
      </w:pPr>
      <w:bookmarkStart w:id="17" w:name="_Toc218117693"/>
      <w:r w:rsidRPr="00F875A2">
        <w:rPr>
          <w:rFonts w:ascii="Times New Roman" w:eastAsia="Times New Roman" w:hAnsi="Times New Roman" w:cs="Times New Roman"/>
          <w:b/>
          <w:kern w:val="0"/>
          <w:sz w:val="26"/>
          <w:szCs w:val="26"/>
          <w:lang w:val="en-GB"/>
          <w14:ligatures w14:val="none"/>
        </w:rPr>
        <w:t>5.4 Review Area 4: Presentation, Communication and Monitoring</w:t>
      </w:r>
      <w:bookmarkEnd w:id="17"/>
    </w:p>
    <w:p w14:paraId="6229A736"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5.4.1 Clarity and Accessibility of the ES</w:t>
      </w:r>
    </w:p>
    <w:p w14:paraId="7300BF12"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ES is mostly structured and different chapters are readable differently. Recent studies state the significance of generation of concise, accessible and navigable ES documents to enable quality communication of decisions (Bond, 2024). Some of the chapters are rather voluminous and not many diagrams or flowcharts are used to describe complicated methodological procedures. The Non-Technical Summary (NTS) is available and understandable, albeit it can be more explicit in </w:t>
      </w:r>
      <w:r w:rsidRPr="00F875A2">
        <w:rPr>
          <w:rFonts w:ascii="Times New Roman" w:eastAsia="Calibri" w:hAnsi="Times New Roman" w:cs="Times New Roman"/>
          <w:lang w:val="en-IN"/>
        </w:rPr>
        <w:lastRenderedPageBreak/>
        <w:t>summarising important uncertainties and constraints, which is an emerging requirement of a high-quality EIA (Morrison-Saunders et al., 2024).</w:t>
      </w:r>
    </w:p>
    <w:p w14:paraId="7EAF0A6C"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5.4.2 Monitoring and Follow-Up</w:t>
      </w:r>
    </w:p>
    <w:p w14:paraId="1C2FDF3A"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One of the weak areas is the monitoring section. It gives scanty information about post-consent follow-up, signals, accountability and resilience management. This weakness is in line with a larger body of evidence that monitoring tends to be poorly developed in UK EIAs (Barker and Jones, 2022). In the absence of clear monitoring plans, there can be uncertainty of whether the impacts predicted or mitigation measures will be actually confirmed.</w:t>
      </w:r>
    </w:p>
    <w:p w14:paraId="73936FA3" w14:textId="77777777" w:rsidR="00F875A2" w:rsidRPr="00F875A2" w:rsidRDefault="00F875A2" w:rsidP="00F875A2">
      <w:pPr>
        <w:spacing w:line="360" w:lineRule="auto"/>
        <w:jc w:val="both"/>
        <w:rPr>
          <w:rFonts w:ascii="Times New Roman" w:eastAsia="Calibri" w:hAnsi="Times New Roman" w:cs="Times New Roman"/>
          <w:b/>
          <w:bCs/>
          <w:lang w:val="en-IN"/>
        </w:rPr>
      </w:pPr>
      <w:r w:rsidRPr="00F875A2">
        <w:rPr>
          <w:rFonts w:ascii="Times New Roman" w:eastAsia="Calibri" w:hAnsi="Times New Roman" w:cs="Times New Roman"/>
          <w:b/>
          <w:bCs/>
          <w:lang w:val="en-IN"/>
        </w:rPr>
        <w:t>5.4.3 Consideration of Uncertainty</w:t>
      </w:r>
    </w:p>
    <w:p w14:paraId="7A2EA990"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ES does not have much explicit discussion of uncertainty. According to the latest literature, the uncertainty must be publicly admitted, examined, and solved to inform the decision-making process (Morrison-Saunders and Retief, 2020). Lack of it lowers the levels of transparency and can bring into question the strength of predictions.</w:t>
      </w:r>
    </w:p>
    <w:p w14:paraId="6B2BE223" w14:textId="77777777" w:rsidR="00F875A2" w:rsidRPr="00F875A2" w:rsidRDefault="00F875A2" w:rsidP="00F875A2">
      <w:pPr>
        <w:keepNext/>
        <w:keepLines/>
        <w:spacing w:before="480" w:after="200" w:line="480" w:lineRule="auto"/>
        <w:jc w:val="both"/>
        <w:outlineLvl w:val="0"/>
        <w:rPr>
          <w:rFonts w:ascii="Times New Roman" w:eastAsia="Times New Roman" w:hAnsi="Times New Roman" w:cs="Times New Roman"/>
          <w:b/>
          <w:color w:val="000000"/>
          <w:sz w:val="28"/>
          <w:szCs w:val="40"/>
          <w:lang w:val="en-IN"/>
        </w:rPr>
      </w:pPr>
      <w:bookmarkStart w:id="18" w:name="_Toc218117694"/>
      <w:r w:rsidRPr="00F875A2">
        <w:rPr>
          <w:rFonts w:ascii="Times New Roman" w:eastAsia="Times New Roman" w:hAnsi="Times New Roman" w:cs="Times New Roman"/>
          <w:b/>
          <w:color w:val="000000"/>
          <w:sz w:val="28"/>
          <w:szCs w:val="40"/>
          <w:lang w:val="en-IN"/>
        </w:rPr>
        <w:t>6. Discussion: Gaps Between Theory, Law and Practice</w:t>
      </w:r>
      <w:bookmarkEnd w:id="18"/>
    </w:p>
    <w:p w14:paraId="0D8F370E"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A487 New Dyfi Bridge Environmental Statement (ES) has been subjected to a critical assessment, which shows that in some cases EIA practice is not in line with the expectations of such a practice, both theoretically and legislatively and in accordance with good practice guidance. These lapses are consistent with trends in modern EIA literature and imply they are systematic and not project-specific aspects of UK and Welsh EIA practice.</w:t>
      </w:r>
    </w:p>
    <w:p w14:paraId="4A3FBB93"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An obvious loophole arises around alternatives assessment that is one of the least developed elements of the ES. Despite the fact that the EIA Regulations 2017 insist on the description of reasonable alternatives, the literature of recent years continuously demonstrate that alternatives are superficially covered in the UK practice (they are mostly a procedure rather than an information on which the decision is made) (Cashmore &amp; Axelsson, 2022). The Dyfi Bridge ES is not an exception: they are enumerated but not in comparison, and the reasons behind the choice of the option are not transparent. This negates the purpose of the Directive that alternatives assessment </w:t>
      </w:r>
      <w:r w:rsidRPr="00F875A2">
        <w:rPr>
          <w:rFonts w:ascii="Times New Roman" w:eastAsia="Calibri" w:hAnsi="Times New Roman" w:cs="Times New Roman"/>
          <w:lang w:val="en-IN"/>
        </w:rPr>
        <w:lastRenderedPageBreak/>
        <w:t>ought to inform the environmentally preferable decision outcomes, and it is a gap between the expectation of regulatory and the reality of how it is done (Pope et al., 2021).</w:t>
      </w:r>
    </w:p>
    <w:p w14:paraId="0A0BC5AE"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second gap is related to methodological transparency and completeness of the bases. The ES despite offering a lot of data has problems with seasonal ecological coverage, some ambiguity in its spatial boundaries and its ability to address the issue of climate-related hydrological change (Fischer et al., 2022). Furthermore, the fact that the assumptions, constraints and uncertainties are only vaguely articulated in the ES is in contrast to the best-practice principles that require clearly recognizing the uncertainty in order to make informed decisions (Morrison-Saunders and Retief, 2020). This disconnect signifies the gap between theory and practice in which the latter transparency is not developed in many situations.</w:t>
      </w:r>
    </w:p>
    <w:p w14:paraId="00AB5E6F"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third area of concern is associated with the evaluation of the significance and cumulative impacts, which are the core of the attainment of the substantive environmental protection. Even though the DMRB approaches are used, the conclusion on significance is not always clearly justified, and little attention is paid to the cumulative effects. Recent research highlights that assessment of cumulative effects (CEA) is still ineffective in most parts of the world and is hardly applied to the extent demanded by the rules or sustainability theory (Gunn and Noble, 2021).</w:t>
      </w:r>
    </w:p>
    <w:p w14:paraId="495280F8"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fact that there are no clear indicators, responsibilities and reporting frameworks is also indicative of an endemic implementation gap within UK EIAs where monitoring is frequently a de-prioritised aspect of pre-consent assessment (Barker and Jones, 2022). Without a solid follow up, the impacts predicted cannot be confirmed and the effectiveness of mitigation cannot be determined. These observations point to the necessity of more substantive, outcome-oriented practice of EIA that would bring regulatory compliance in line with the theoretical objectives of sustainability, transparency and informed decision-making.</w:t>
      </w:r>
    </w:p>
    <w:p w14:paraId="7D2A9038" w14:textId="77777777" w:rsidR="00F875A2" w:rsidRPr="00F875A2" w:rsidRDefault="00F875A2" w:rsidP="00F875A2">
      <w:pPr>
        <w:keepNext/>
        <w:keepLines/>
        <w:spacing w:before="480" w:after="200" w:line="480" w:lineRule="auto"/>
        <w:jc w:val="both"/>
        <w:outlineLvl w:val="0"/>
        <w:rPr>
          <w:rFonts w:ascii="Times New Roman" w:eastAsia="Times New Roman" w:hAnsi="Times New Roman" w:cs="Times New Roman"/>
          <w:b/>
          <w:color w:val="000000"/>
          <w:sz w:val="28"/>
          <w:szCs w:val="40"/>
          <w:lang w:val="en-IN"/>
        </w:rPr>
      </w:pPr>
      <w:bookmarkStart w:id="19" w:name="_Toc218117695"/>
      <w:r w:rsidRPr="00F875A2">
        <w:rPr>
          <w:rFonts w:ascii="Times New Roman" w:eastAsia="Times New Roman" w:hAnsi="Times New Roman" w:cs="Times New Roman"/>
          <w:b/>
          <w:color w:val="000000"/>
          <w:sz w:val="28"/>
          <w:szCs w:val="40"/>
          <w:lang w:val="en-IN"/>
        </w:rPr>
        <w:t>7. Recommendations for Improving EIA Practice</w:t>
      </w:r>
      <w:bookmarkEnd w:id="19"/>
    </w:p>
    <w:p w14:paraId="64EBAFC0"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A487 New Dyfi Bridge Environmental Statement (ES) has been evaluated, and it is observed that in several aspects, it can be improved to further both the quality of procedures and the real environmental effects. These are based on best practice in the recent past, current academic writings and developing policy expectations in Wales.</w:t>
      </w:r>
    </w:p>
    <w:p w14:paraId="40C238E2"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lastRenderedPageBreak/>
        <w:t>To begin with, the ES would also use a more stringent and transparent evaluation of alternatives. Recent literature stresses that the alternatives assessment must be well-designed, evidence-based, and connected to environmental goals instead of being viewed as a formal element of the procedure (Cashmore and Axelsson, 2022). To improve transparency, future EIAs should consider a multi-criteria framework, which would incorporate the impact of the environment, technical and socio-economic aspect. The stakeholder engagement during the evaluation of the alternatives at an early stage, as suggested by Pope et al. (2021), would also contribute to ensuring that the options would capture policy goals and consider the local interests.</w:t>
      </w:r>
    </w:p>
    <w:p w14:paraId="760D11A9"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Second, the ES needs to enhance its analysis of baseline data especially when it comes to time change and climate change. Integrating climate-adjusted hydrological modelling and multi-season ecological surveying would be in accordance with the recent requirements of climate-resilient infrastructure planning in Wales. This practice is becoming indispensable when it comes to a dynamic setting like river floodplains (Fischer et al., 2022).</w:t>
      </w:r>
    </w:p>
    <w:p w14:paraId="6E6B7F3F"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Third, the assessment procedure would be more transparent in terms of significance assessments, such as the definition of thresholds and clarification of the receptor sensitivity, as well as the uncertainty analysis would be introduced. New studies emphasize that the significance analysis is best conducted with clear criteria and a clear account of limitations (Morrison-Saunders and Retief, 2020). Sensitivity testing or scenario analysis should be included to make the methods more credible.</w:t>
      </w:r>
    </w:p>
    <w:p w14:paraId="2CFD81A8"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Fourth, the ES is expected to significantly advance its cumulative effects assessment (CEA). A systematic CEA framework, including regional development strategies, current pressures and future land-use possibilities would help to counter a long-standing failure in UK EIA practice (Gunn and Noble, 2021).</w:t>
      </w:r>
    </w:p>
    <w:p w14:paraId="1463E7EB"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Fifth, the ES should become more vigilant and adaptive. An effective post-consent monitoring strategy, with quantifiable measure indicators, responsibility allocation, and reporting schedule is also necessary to check the effectiveness of mitigation measures. This corresponds with the idea of long-term stewardship of the Well-being of Future Generations (Wales) Act (Harris &amp; Owen, 2023).</w:t>
      </w:r>
    </w:p>
    <w:p w14:paraId="57C4ECB3"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lastRenderedPageBreak/>
        <w:t>Lastly, communication and accessibility issues that need to be enhanced such as the use of graphics, clearer narrative, and standardized terminology would promote understanding. This fits the recent recommendations that have stressed the significance of the accessible ES presentation as a form of meaningful engagement (Bond, 2024).</w:t>
      </w:r>
    </w:p>
    <w:p w14:paraId="38B9700F"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Collectively, these recommendations aim to move EIA practice beyond compliance towards more transparent, evidence-based and sustainability-oriented assessment.</w:t>
      </w:r>
    </w:p>
    <w:p w14:paraId="3D0CD1E8" w14:textId="77777777" w:rsidR="00F875A2" w:rsidRPr="00F875A2" w:rsidRDefault="00F875A2" w:rsidP="00F875A2">
      <w:pPr>
        <w:keepNext/>
        <w:keepLines/>
        <w:spacing w:before="480" w:after="200" w:line="480" w:lineRule="auto"/>
        <w:jc w:val="both"/>
        <w:outlineLvl w:val="0"/>
        <w:rPr>
          <w:rFonts w:ascii="Times New Roman" w:eastAsia="Times New Roman" w:hAnsi="Times New Roman" w:cs="Times New Roman"/>
          <w:b/>
          <w:color w:val="000000"/>
          <w:sz w:val="28"/>
          <w:szCs w:val="40"/>
          <w:lang w:val="en-IN"/>
        </w:rPr>
      </w:pPr>
      <w:bookmarkStart w:id="20" w:name="_Toc218117696"/>
      <w:r w:rsidRPr="00F875A2">
        <w:rPr>
          <w:rFonts w:ascii="Times New Roman" w:eastAsia="Times New Roman" w:hAnsi="Times New Roman" w:cs="Times New Roman"/>
          <w:b/>
          <w:color w:val="000000"/>
          <w:sz w:val="28"/>
          <w:szCs w:val="40"/>
          <w:lang w:val="en-IN"/>
        </w:rPr>
        <w:t>8. Conclusion</w:t>
      </w:r>
      <w:bookmarkEnd w:id="20"/>
    </w:p>
    <w:p w14:paraId="2FDD7EAF"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This report critically evaluated the A487 New Dyfi Bridge Environmental Statement using the Lee and Colley Review Package, contemporary EIA literature, and relevant Welsh and UK legislative frameworks. The assessment demonstrates that while the ES meets many procedural requirements and applies several standard methodologies effectively, significant gaps remain between theoretical expectations, legislative intent and practical implementation.</w:t>
      </w:r>
    </w:p>
    <w:p w14:paraId="5F51CB66" w14:textId="5E45BBCA"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The strongest areas of the ES relate to its coverage of ecological and hydrological topics, reflecting the structured methodologies embedded in DMRB guidance. However, persistent weaknesses</w:t>
      </w:r>
      <w:r>
        <w:rPr>
          <w:rFonts w:ascii="Times New Roman" w:eastAsia="Calibri" w:hAnsi="Times New Roman" w:cs="Times New Roman"/>
          <w:lang w:val="en-IN"/>
        </w:rPr>
        <w:t xml:space="preserve"> </w:t>
      </w:r>
      <w:r w:rsidRPr="00F875A2">
        <w:rPr>
          <w:rFonts w:ascii="Times New Roman" w:eastAsia="Calibri" w:hAnsi="Times New Roman" w:cs="Times New Roman"/>
          <w:lang w:val="en-IN"/>
        </w:rPr>
        <w:t>particularly in alternatives assessment, uncertainty analysis, cumulative effects evaluation and monitoring</w:t>
      </w:r>
      <w:r>
        <w:rPr>
          <w:rFonts w:ascii="Times New Roman" w:eastAsia="Calibri" w:hAnsi="Times New Roman" w:cs="Times New Roman"/>
          <w:lang w:val="en-IN"/>
        </w:rPr>
        <w:t xml:space="preserve"> </w:t>
      </w:r>
      <w:r w:rsidRPr="00F875A2">
        <w:rPr>
          <w:rFonts w:ascii="Times New Roman" w:eastAsia="Calibri" w:hAnsi="Times New Roman" w:cs="Times New Roman"/>
          <w:lang w:val="en-IN"/>
        </w:rPr>
        <w:t>mirror systemic issues widely identified in recent academic studies (Fischer et al., 2022; Gunn &amp; Noble, 2021). These shortcomings constrain the ES’s ability to fully support informed, transparent, sustainability-oriented decision-making.</w:t>
      </w:r>
    </w:p>
    <w:p w14:paraId="5FF5015D" w14:textId="77777777" w:rsidR="00F875A2" w:rsidRPr="00F875A2" w:rsidRDefault="00F875A2" w:rsidP="00F875A2">
      <w:pPr>
        <w:spacing w:line="360" w:lineRule="auto"/>
        <w:jc w:val="both"/>
        <w:rPr>
          <w:rFonts w:ascii="Times New Roman" w:eastAsia="Calibri" w:hAnsi="Times New Roman" w:cs="Times New Roman"/>
          <w:lang w:val="en-IN"/>
        </w:rPr>
      </w:pPr>
    </w:p>
    <w:p w14:paraId="5542298C"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kern w:val="0"/>
          <w:lang w:val="en-IN"/>
          <w14:ligatures w14:val="none"/>
        </w:rPr>
        <w:br w:type="page"/>
      </w:r>
    </w:p>
    <w:p w14:paraId="6640B4C0" w14:textId="77777777" w:rsidR="00F875A2" w:rsidRPr="00F875A2" w:rsidRDefault="00F875A2" w:rsidP="00F875A2">
      <w:pPr>
        <w:keepNext/>
        <w:keepLines/>
        <w:spacing w:before="480" w:after="200" w:line="480" w:lineRule="auto"/>
        <w:jc w:val="both"/>
        <w:outlineLvl w:val="0"/>
        <w:rPr>
          <w:rFonts w:ascii="Times New Roman" w:eastAsia="Times New Roman" w:hAnsi="Times New Roman" w:cs="Times New Roman"/>
          <w:b/>
          <w:color w:val="000000"/>
          <w:sz w:val="28"/>
          <w:szCs w:val="40"/>
          <w:lang w:val="en-IN"/>
        </w:rPr>
      </w:pPr>
      <w:bookmarkStart w:id="21" w:name="_Toc218117697"/>
      <w:r w:rsidRPr="00F875A2">
        <w:rPr>
          <w:rFonts w:ascii="Times New Roman" w:eastAsia="Times New Roman" w:hAnsi="Times New Roman" w:cs="Times New Roman"/>
          <w:b/>
          <w:color w:val="000000"/>
          <w:sz w:val="28"/>
          <w:szCs w:val="40"/>
          <w:lang w:val="en-IN"/>
        </w:rPr>
        <w:lastRenderedPageBreak/>
        <w:t>Reference List</w:t>
      </w:r>
      <w:bookmarkEnd w:id="21"/>
    </w:p>
    <w:p w14:paraId="5B63223C"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Barker, A. and Jones, R. (2022) ‘Strengthening monitoring and follow-up in UK Environmental Impact Assessment’, </w:t>
      </w:r>
      <w:r w:rsidRPr="00F875A2">
        <w:rPr>
          <w:rFonts w:ascii="Times New Roman" w:eastAsia="Calibri" w:hAnsi="Times New Roman" w:cs="Times New Roman"/>
          <w:i/>
          <w:iCs/>
          <w:lang w:val="en-IN"/>
        </w:rPr>
        <w:t>Environmental Impact Assessment Review</w:t>
      </w:r>
      <w:r w:rsidRPr="00F875A2">
        <w:rPr>
          <w:rFonts w:ascii="Times New Roman" w:eastAsia="Calibri" w:hAnsi="Times New Roman" w:cs="Times New Roman"/>
          <w:lang w:val="en-IN"/>
        </w:rPr>
        <w:t>, 93, 106731.</w:t>
      </w:r>
      <w:r w:rsidRPr="00F875A2">
        <w:rPr>
          <w:rFonts w:ascii="Times New Roman" w:eastAsia="Calibri" w:hAnsi="Times New Roman" w:cs="Times New Roman"/>
          <w:lang w:val="en-IN"/>
        </w:rPr>
        <w:br/>
        <w:t xml:space="preserve">Bond, A. (2024) ‘Investigating communication of findings in Environmental Impact Assessment’, </w:t>
      </w:r>
      <w:r w:rsidRPr="00F875A2">
        <w:rPr>
          <w:rFonts w:ascii="Times New Roman" w:eastAsia="Calibri" w:hAnsi="Times New Roman" w:cs="Times New Roman"/>
          <w:i/>
          <w:iCs/>
          <w:lang w:val="en-IN"/>
        </w:rPr>
        <w:t>Environmental Impact Assessment Review</w:t>
      </w:r>
      <w:r w:rsidRPr="00F875A2">
        <w:rPr>
          <w:rFonts w:ascii="Times New Roman" w:eastAsia="Calibri" w:hAnsi="Times New Roman" w:cs="Times New Roman"/>
          <w:lang w:val="en-IN"/>
        </w:rPr>
        <w:t>, 95, 107–123.</w:t>
      </w:r>
      <w:r w:rsidRPr="00F875A2">
        <w:rPr>
          <w:rFonts w:ascii="Times New Roman" w:eastAsia="Calibri" w:hAnsi="Times New Roman" w:cs="Times New Roman"/>
          <w:lang w:val="en-IN"/>
        </w:rPr>
        <w:br/>
        <w:t xml:space="preserve">Boyd, D. and Hughes, S. (2022) ‘Devolved environmental governance and sustainable development’, </w:t>
      </w:r>
      <w:r w:rsidRPr="00F875A2">
        <w:rPr>
          <w:rFonts w:ascii="Times New Roman" w:eastAsia="Calibri" w:hAnsi="Times New Roman" w:cs="Times New Roman"/>
          <w:i/>
          <w:iCs/>
          <w:lang w:val="en-IN"/>
        </w:rPr>
        <w:t>Journal of Environmental Planning and Management</w:t>
      </w:r>
      <w:r w:rsidRPr="00F875A2">
        <w:rPr>
          <w:rFonts w:ascii="Times New Roman" w:eastAsia="Calibri" w:hAnsi="Times New Roman" w:cs="Times New Roman"/>
          <w:lang w:val="en-IN"/>
        </w:rPr>
        <w:t>, 65(9), pp. 1601–1620.</w:t>
      </w:r>
      <w:r w:rsidRPr="00F875A2">
        <w:rPr>
          <w:rFonts w:ascii="Times New Roman" w:eastAsia="Calibri" w:hAnsi="Times New Roman" w:cs="Times New Roman"/>
          <w:lang w:val="en-IN"/>
        </w:rPr>
        <w:br/>
        <w:t xml:space="preserve">Cashmore, M. and Axelsson, A. (2022) ‘Revisiting alternatives in impact assessment’, </w:t>
      </w:r>
      <w:r w:rsidRPr="00F875A2">
        <w:rPr>
          <w:rFonts w:ascii="Times New Roman" w:eastAsia="Calibri" w:hAnsi="Times New Roman" w:cs="Times New Roman"/>
          <w:i/>
          <w:iCs/>
          <w:lang w:val="en-IN"/>
        </w:rPr>
        <w:t>Impact Assessment and Project Appraisal</w:t>
      </w:r>
      <w:r w:rsidRPr="00F875A2">
        <w:rPr>
          <w:rFonts w:ascii="Times New Roman" w:eastAsia="Calibri" w:hAnsi="Times New Roman" w:cs="Times New Roman"/>
          <w:lang w:val="en-IN"/>
        </w:rPr>
        <w:t>, 40(5), pp. 395–408.</w:t>
      </w:r>
      <w:r w:rsidRPr="00F875A2">
        <w:rPr>
          <w:rFonts w:ascii="Times New Roman" w:eastAsia="Calibri" w:hAnsi="Times New Roman" w:cs="Times New Roman"/>
          <w:lang w:val="en-IN"/>
        </w:rPr>
        <w:br/>
        <w:t xml:space="preserve">Fischer, T.B., Phylip-Jones, J. and Ramadani, A. (2022) ‘Recent developments in transport appraisal’, </w:t>
      </w:r>
      <w:r w:rsidRPr="00F875A2">
        <w:rPr>
          <w:rFonts w:ascii="Times New Roman" w:eastAsia="Calibri" w:hAnsi="Times New Roman" w:cs="Times New Roman"/>
          <w:i/>
          <w:iCs/>
          <w:lang w:val="en-IN"/>
        </w:rPr>
        <w:t>Environmental Impact Assessment Review</w:t>
      </w:r>
      <w:r w:rsidRPr="00F875A2">
        <w:rPr>
          <w:rFonts w:ascii="Times New Roman" w:eastAsia="Calibri" w:hAnsi="Times New Roman" w:cs="Times New Roman"/>
          <w:lang w:val="en-IN"/>
        </w:rPr>
        <w:t>, 94, 106747.</w:t>
      </w:r>
    </w:p>
    <w:p w14:paraId="052534A3"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Gazzola, P., Onyango, V. and Sheate, W. (2019) ‘Enhancing quality and effectiveness of Environmental Impact Assessment through methodological pluralism’, </w:t>
      </w:r>
      <w:r w:rsidRPr="00F875A2">
        <w:rPr>
          <w:rFonts w:ascii="Times New Roman" w:eastAsia="Calibri" w:hAnsi="Times New Roman" w:cs="Times New Roman"/>
          <w:i/>
          <w:iCs/>
          <w:lang w:val="en-IN"/>
        </w:rPr>
        <w:t>Impact Assessment and Project Appraisal</w:t>
      </w:r>
      <w:r w:rsidRPr="00F875A2">
        <w:rPr>
          <w:rFonts w:ascii="Times New Roman" w:eastAsia="Calibri" w:hAnsi="Times New Roman" w:cs="Times New Roman"/>
          <w:lang w:val="en-IN"/>
        </w:rPr>
        <w:t>, 37(5), pp. 404–415.</w:t>
      </w:r>
    </w:p>
    <w:p w14:paraId="7F6106B6"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Gunn, J. and Noble, B. (2021) ‘Evaluating cumulative effects assessment practice’, </w:t>
      </w:r>
      <w:r w:rsidRPr="00F875A2">
        <w:rPr>
          <w:rFonts w:ascii="Times New Roman" w:eastAsia="Calibri" w:hAnsi="Times New Roman" w:cs="Times New Roman"/>
          <w:i/>
          <w:iCs/>
          <w:lang w:val="en-IN"/>
        </w:rPr>
        <w:t>Impact Assessment and Project Appraisal</w:t>
      </w:r>
      <w:r w:rsidRPr="00F875A2">
        <w:rPr>
          <w:rFonts w:ascii="Times New Roman" w:eastAsia="Calibri" w:hAnsi="Times New Roman" w:cs="Times New Roman"/>
          <w:lang w:val="en-IN"/>
        </w:rPr>
        <w:t>, 39(1), pp. 44–56.</w:t>
      </w:r>
    </w:p>
    <w:p w14:paraId="484B687B"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Harris, R. and Owen, N. (2023) ‘Implementing the Well-being of Future Generations Act in Wales’, </w:t>
      </w:r>
      <w:r w:rsidRPr="00F875A2">
        <w:rPr>
          <w:rFonts w:ascii="Times New Roman" w:eastAsia="Calibri" w:hAnsi="Times New Roman" w:cs="Times New Roman"/>
          <w:i/>
          <w:iCs/>
          <w:lang w:val="en-IN"/>
        </w:rPr>
        <w:t>Environment and Planning C</w:t>
      </w:r>
      <w:r w:rsidRPr="00F875A2">
        <w:rPr>
          <w:rFonts w:ascii="Times New Roman" w:eastAsia="Calibri" w:hAnsi="Times New Roman" w:cs="Times New Roman"/>
          <w:lang w:val="en-IN"/>
        </w:rPr>
        <w:t>, 41(3), pp. 567–584.</w:t>
      </w:r>
    </w:p>
    <w:p w14:paraId="0FF413F9"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IEMA (2020) </w:t>
      </w:r>
      <w:r w:rsidRPr="00F875A2">
        <w:rPr>
          <w:rFonts w:ascii="Times New Roman" w:eastAsia="Calibri" w:hAnsi="Times New Roman" w:cs="Times New Roman"/>
          <w:i/>
          <w:iCs/>
          <w:lang w:val="en-IN"/>
        </w:rPr>
        <w:t>Delivering Proportionate EIA</w:t>
      </w:r>
      <w:r w:rsidRPr="00F875A2">
        <w:rPr>
          <w:rFonts w:ascii="Times New Roman" w:eastAsia="Calibri" w:hAnsi="Times New Roman" w:cs="Times New Roman"/>
          <w:lang w:val="en-IN"/>
        </w:rPr>
        <w:t>. Lincoln: Institute of Environmental Management and Assessment.</w:t>
      </w:r>
    </w:p>
    <w:p w14:paraId="21AEF068"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Jay, S., Nykiel, A. and Morrison-Saunders, A. (2020) ‘Effectiveness of EIA: an updated review’, </w:t>
      </w:r>
      <w:r w:rsidRPr="00F875A2">
        <w:rPr>
          <w:rFonts w:ascii="Times New Roman" w:eastAsia="Calibri" w:hAnsi="Times New Roman" w:cs="Times New Roman"/>
          <w:i/>
          <w:iCs/>
          <w:lang w:val="en-IN"/>
        </w:rPr>
        <w:t>Environmental Impact Assessment Review</w:t>
      </w:r>
      <w:r w:rsidRPr="00F875A2">
        <w:rPr>
          <w:rFonts w:ascii="Times New Roman" w:eastAsia="Calibri" w:hAnsi="Times New Roman" w:cs="Times New Roman"/>
          <w:lang w:val="en-IN"/>
        </w:rPr>
        <w:t>, 85, 106444.</w:t>
      </w:r>
    </w:p>
    <w:p w14:paraId="4F497B0E"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MacKinnon, A.J., Duinker, P.N. and Walker, T.R. (2018) </w:t>
      </w:r>
      <w:r w:rsidRPr="00F875A2">
        <w:rPr>
          <w:rFonts w:ascii="Times New Roman" w:eastAsia="Calibri" w:hAnsi="Times New Roman" w:cs="Times New Roman"/>
          <w:i/>
          <w:iCs/>
          <w:lang w:val="en-IN"/>
        </w:rPr>
        <w:t>The Application of Science in Environmental Impact Assessment</w:t>
      </w:r>
      <w:r w:rsidRPr="00F875A2">
        <w:rPr>
          <w:rFonts w:ascii="Times New Roman" w:eastAsia="Calibri" w:hAnsi="Times New Roman" w:cs="Times New Roman"/>
          <w:lang w:val="en-IN"/>
        </w:rPr>
        <w:t xml:space="preserve">. Routledge. </w:t>
      </w:r>
    </w:p>
    <w:p w14:paraId="5102A78B"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McGrath, C. and Bond, A. (2021) ‘Relevance of the Lee–Colley review package today’, </w:t>
      </w:r>
      <w:r w:rsidRPr="00F875A2">
        <w:rPr>
          <w:rFonts w:ascii="Times New Roman" w:eastAsia="Calibri" w:hAnsi="Times New Roman" w:cs="Times New Roman"/>
          <w:i/>
          <w:iCs/>
          <w:lang w:val="en-IN"/>
        </w:rPr>
        <w:t>Impact Assessment and Project Appraisal</w:t>
      </w:r>
      <w:r w:rsidRPr="00F875A2">
        <w:rPr>
          <w:rFonts w:ascii="Times New Roman" w:eastAsia="Calibri" w:hAnsi="Times New Roman" w:cs="Times New Roman"/>
          <w:lang w:val="en-IN"/>
        </w:rPr>
        <w:t>, 39(6), pp. 480–492.</w:t>
      </w:r>
    </w:p>
    <w:p w14:paraId="6DE26911"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lastRenderedPageBreak/>
        <w:t xml:space="preserve">Morgan, R. (2020) ‘Impact Assessment and sustainability: reflections on progress and challenges’, </w:t>
      </w:r>
      <w:r w:rsidRPr="00F875A2">
        <w:rPr>
          <w:rFonts w:ascii="Times New Roman" w:eastAsia="Calibri" w:hAnsi="Times New Roman" w:cs="Times New Roman"/>
          <w:i/>
          <w:iCs/>
          <w:lang w:val="en-IN"/>
        </w:rPr>
        <w:t>Impact Assessment and Project Appraisal</w:t>
      </w:r>
      <w:r w:rsidRPr="00F875A2">
        <w:rPr>
          <w:rFonts w:ascii="Times New Roman" w:eastAsia="Calibri" w:hAnsi="Times New Roman" w:cs="Times New Roman"/>
          <w:lang w:val="en-IN"/>
        </w:rPr>
        <w:t>, 38(4), pp. 289–292.</w:t>
      </w:r>
      <w:r w:rsidRPr="00F875A2">
        <w:rPr>
          <w:rFonts w:ascii="Times New Roman" w:eastAsia="Calibri" w:hAnsi="Times New Roman" w:cs="Times New Roman"/>
          <w:lang w:val="en-IN"/>
        </w:rPr>
        <w:br/>
        <w:t xml:space="preserve">Morrison-Saunders, A. and Retief, F. (2020) ‘Significance thresholds in EIA’, </w:t>
      </w:r>
      <w:r w:rsidRPr="00F875A2">
        <w:rPr>
          <w:rFonts w:ascii="Times New Roman" w:eastAsia="Calibri" w:hAnsi="Times New Roman" w:cs="Times New Roman"/>
          <w:i/>
          <w:iCs/>
          <w:lang w:val="en-IN"/>
        </w:rPr>
        <w:t>Journal of Environmental Assessment Policy and Management</w:t>
      </w:r>
      <w:r w:rsidRPr="00F875A2">
        <w:rPr>
          <w:rFonts w:ascii="Times New Roman" w:eastAsia="Calibri" w:hAnsi="Times New Roman" w:cs="Times New Roman"/>
          <w:lang w:val="en-IN"/>
        </w:rPr>
        <w:t>, 22(3), 2050022.</w:t>
      </w:r>
    </w:p>
    <w:p w14:paraId="21E5AEC2"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Morrison-Saunders, A. and Retief, F. (2020) ‘Significance thresholds in EIAs: a conceptual review’, </w:t>
      </w:r>
      <w:r w:rsidRPr="00F875A2">
        <w:rPr>
          <w:rFonts w:ascii="Times New Roman" w:eastAsia="Calibri" w:hAnsi="Times New Roman" w:cs="Times New Roman"/>
          <w:i/>
          <w:iCs/>
          <w:lang w:val="en-IN"/>
        </w:rPr>
        <w:t>Journal of Environmental Assessment Policy and Management</w:t>
      </w:r>
      <w:r w:rsidRPr="00F875A2">
        <w:rPr>
          <w:rFonts w:ascii="Times New Roman" w:eastAsia="Calibri" w:hAnsi="Times New Roman" w:cs="Times New Roman"/>
          <w:lang w:val="en-IN"/>
        </w:rPr>
        <w:t>, 22(3), 2050022.</w:t>
      </w:r>
    </w:p>
    <w:p w14:paraId="036E0C71"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Onyango, V. and Gazzola, P. (2024) ‘Change-making in Environmental Impact Assessment (EIA): piloting changeology approach using England as a case study’, </w:t>
      </w:r>
      <w:r w:rsidRPr="00F875A2">
        <w:rPr>
          <w:rFonts w:ascii="Times New Roman" w:eastAsia="Calibri" w:hAnsi="Times New Roman" w:cs="Times New Roman"/>
          <w:i/>
          <w:iCs/>
          <w:lang w:val="en-IN"/>
        </w:rPr>
        <w:t>Impact Assessment and Project Appraisal</w:t>
      </w:r>
      <w:r w:rsidRPr="00F875A2">
        <w:rPr>
          <w:rFonts w:ascii="Times New Roman" w:eastAsia="Calibri" w:hAnsi="Times New Roman" w:cs="Times New Roman"/>
          <w:lang w:val="en-IN"/>
        </w:rPr>
        <w:t xml:space="preserve">, 42(3), pp. 251–266. </w:t>
      </w:r>
      <w:r w:rsidRPr="00F875A2">
        <w:rPr>
          <w:rFonts w:ascii="Times New Roman" w:eastAsia="Calibri" w:hAnsi="Times New Roman" w:cs="Times New Roman"/>
          <w:lang w:val="en-IN"/>
        </w:rPr>
        <w:br/>
        <w:t xml:space="preserve">Phylip-Jones, J. and Fischer, T.B. (2023) ‘Embedding proportionality in EIA’, </w:t>
      </w:r>
      <w:r w:rsidRPr="00F875A2">
        <w:rPr>
          <w:rFonts w:ascii="Times New Roman" w:eastAsia="Calibri" w:hAnsi="Times New Roman" w:cs="Times New Roman"/>
          <w:i/>
          <w:iCs/>
          <w:lang w:val="en-IN"/>
        </w:rPr>
        <w:t>Environmental Impact Assessment Review</w:t>
      </w:r>
      <w:r w:rsidRPr="00F875A2">
        <w:rPr>
          <w:rFonts w:ascii="Times New Roman" w:eastAsia="Calibri" w:hAnsi="Times New Roman" w:cs="Times New Roman"/>
          <w:lang w:val="en-IN"/>
        </w:rPr>
        <w:t>, 99, 107001.</w:t>
      </w:r>
      <w:r w:rsidRPr="00F875A2">
        <w:rPr>
          <w:rFonts w:ascii="Times New Roman" w:eastAsia="Calibri" w:hAnsi="Times New Roman" w:cs="Times New Roman"/>
          <w:lang w:val="en-IN"/>
        </w:rPr>
        <w:br/>
        <w:t xml:space="preserve">Pinho, P., Maia, R. and Monterroso, A. (2020) ‘Why does EIA quality remain variable?’, </w:t>
      </w:r>
      <w:r w:rsidRPr="00F875A2">
        <w:rPr>
          <w:rFonts w:ascii="Times New Roman" w:eastAsia="Calibri" w:hAnsi="Times New Roman" w:cs="Times New Roman"/>
          <w:i/>
          <w:iCs/>
          <w:lang w:val="en-IN"/>
        </w:rPr>
        <w:t>Environmental Impact Assessment Review</w:t>
      </w:r>
      <w:r w:rsidRPr="00F875A2">
        <w:rPr>
          <w:rFonts w:ascii="Times New Roman" w:eastAsia="Calibri" w:hAnsi="Times New Roman" w:cs="Times New Roman"/>
          <w:lang w:val="en-IN"/>
        </w:rPr>
        <w:t>, 83, 106406.</w:t>
      </w:r>
      <w:r w:rsidRPr="00F875A2">
        <w:rPr>
          <w:rFonts w:ascii="Times New Roman" w:eastAsia="Calibri" w:hAnsi="Times New Roman" w:cs="Times New Roman"/>
          <w:lang w:val="en-IN"/>
        </w:rPr>
        <w:br/>
        <w:t xml:space="preserve">Pope, J., Bond, A. and Morrison-Saunders, A. (2021) ‘Advancing alternatives assessment’, </w:t>
      </w:r>
      <w:r w:rsidRPr="00F875A2">
        <w:rPr>
          <w:rFonts w:ascii="Times New Roman" w:eastAsia="Calibri" w:hAnsi="Times New Roman" w:cs="Times New Roman"/>
          <w:i/>
          <w:iCs/>
          <w:lang w:val="en-IN"/>
        </w:rPr>
        <w:t>Impact Assessment and Project Appraisal</w:t>
      </w:r>
      <w:r w:rsidRPr="00F875A2">
        <w:rPr>
          <w:rFonts w:ascii="Times New Roman" w:eastAsia="Calibri" w:hAnsi="Times New Roman" w:cs="Times New Roman"/>
          <w:lang w:val="en-IN"/>
        </w:rPr>
        <w:t>, 39(4), pp. 308–321.</w:t>
      </w:r>
    </w:p>
    <w:p w14:paraId="2FDFF4DD"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UN Economic Commission for Europe (UNECE) (2019) </w:t>
      </w:r>
      <w:r w:rsidRPr="00F875A2">
        <w:rPr>
          <w:rFonts w:ascii="Times New Roman" w:eastAsia="Calibri" w:hAnsi="Times New Roman" w:cs="Times New Roman"/>
          <w:i/>
          <w:iCs/>
          <w:lang w:val="en-IN"/>
        </w:rPr>
        <w:t>International Study of the Effectiveness of Environmental Assessment</w:t>
      </w:r>
      <w:r w:rsidRPr="00F875A2">
        <w:rPr>
          <w:rFonts w:ascii="Times New Roman" w:eastAsia="Calibri" w:hAnsi="Times New Roman" w:cs="Times New Roman"/>
          <w:lang w:val="en-IN"/>
        </w:rPr>
        <w:t>. Geneva: UNECE.</w:t>
      </w:r>
    </w:p>
    <w:p w14:paraId="3DC18366" w14:textId="77777777" w:rsidR="00F875A2" w:rsidRPr="00F875A2" w:rsidRDefault="00F875A2" w:rsidP="00F875A2">
      <w:pPr>
        <w:spacing w:line="360" w:lineRule="auto"/>
        <w:jc w:val="both"/>
        <w:rPr>
          <w:rFonts w:ascii="Times New Roman" w:eastAsia="Calibri" w:hAnsi="Times New Roman" w:cs="Times New Roman"/>
          <w:lang w:val="en-IN"/>
        </w:rPr>
      </w:pPr>
      <w:r w:rsidRPr="00F875A2">
        <w:rPr>
          <w:rFonts w:ascii="Times New Roman" w:eastAsia="Calibri" w:hAnsi="Times New Roman" w:cs="Times New Roman"/>
          <w:lang w:val="en-IN"/>
        </w:rPr>
        <w:t xml:space="preserve">Weston, J. and Jackson, T. (2021) ‘UK environmental assessment post-Brexit: continuity or divergence?’, </w:t>
      </w:r>
      <w:r w:rsidRPr="00F875A2">
        <w:rPr>
          <w:rFonts w:ascii="Times New Roman" w:eastAsia="Calibri" w:hAnsi="Times New Roman" w:cs="Times New Roman"/>
          <w:i/>
          <w:iCs/>
          <w:lang w:val="en-IN"/>
        </w:rPr>
        <w:t>Environmental Law Review</w:t>
      </w:r>
      <w:r w:rsidRPr="00F875A2">
        <w:rPr>
          <w:rFonts w:ascii="Times New Roman" w:eastAsia="Calibri" w:hAnsi="Times New Roman" w:cs="Times New Roman"/>
          <w:lang w:val="en-IN"/>
        </w:rPr>
        <w:t>, 23(4), pp. 267–281.</w:t>
      </w:r>
    </w:p>
    <w:p w14:paraId="0E504023" w14:textId="77777777" w:rsidR="00F875A2" w:rsidRDefault="00F875A2"/>
    <w:sectPr w:rsidR="00F875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71130"/>
    <w:multiLevelType w:val="multilevel"/>
    <w:tmpl w:val="4802C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6C5B00"/>
    <w:multiLevelType w:val="multilevel"/>
    <w:tmpl w:val="B8ECE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6E2A28"/>
    <w:multiLevelType w:val="multilevel"/>
    <w:tmpl w:val="E7A8D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62470859">
    <w:abstractNumId w:val="2"/>
  </w:num>
  <w:num w:numId="2" w16cid:durableId="1162509540">
    <w:abstractNumId w:val="1"/>
  </w:num>
  <w:num w:numId="3" w16cid:durableId="116533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5A2"/>
    <w:rsid w:val="005B6831"/>
    <w:rsid w:val="00A77BD6"/>
    <w:rsid w:val="00F80C63"/>
    <w:rsid w:val="00F87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A616E"/>
  <w15:chartTrackingRefBased/>
  <w15:docId w15:val="{A5161500-852F-478C-BD9B-544082931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75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875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875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75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75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75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75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75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75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5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875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75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75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75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75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75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75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75A2"/>
    <w:rPr>
      <w:rFonts w:eastAsiaTheme="majorEastAsia" w:cstheme="majorBidi"/>
      <w:color w:val="272727" w:themeColor="text1" w:themeTint="D8"/>
    </w:rPr>
  </w:style>
  <w:style w:type="paragraph" w:styleId="Title">
    <w:name w:val="Title"/>
    <w:basedOn w:val="Normal"/>
    <w:next w:val="Normal"/>
    <w:link w:val="TitleChar"/>
    <w:uiPriority w:val="10"/>
    <w:qFormat/>
    <w:rsid w:val="00F875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5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75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75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75A2"/>
    <w:pPr>
      <w:spacing w:before="160"/>
      <w:jc w:val="center"/>
    </w:pPr>
    <w:rPr>
      <w:i/>
      <w:iCs/>
      <w:color w:val="404040" w:themeColor="text1" w:themeTint="BF"/>
    </w:rPr>
  </w:style>
  <w:style w:type="character" w:customStyle="1" w:styleId="QuoteChar">
    <w:name w:val="Quote Char"/>
    <w:basedOn w:val="DefaultParagraphFont"/>
    <w:link w:val="Quote"/>
    <w:uiPriority w:val="29"/>
    <w:rsid w:val="00F875A2"/>
    <w:rPr>
      <w:i/>
      <w:iCs/>
      <w:color w:val="404040" w:themeColor="text1" w:themeTint="BF"/>
    </w:rPr>
  </w:style>
  <w:style w:type="paragraph" w:styleId="ListParagraph">
    <w:name w:val="List Paragraph"/>
    <w:basedOn w:val="Normal"/>
    <w:uiPriority w:val="34"/>
    <w:qFormat/>
    <w:rsid w:val="00F875A2"/>
    <w:pPr>
      <w:ind w:left="720"/>
      <w:contextualSpacing/>
    </w:pPr>
  </w:style>
  <w:style w:type="character" w:styleId="IntenseEmphasis">
    <w:name w:val="Intense Emphasis"/>
    <w:basedOn w:val="DefaultParagraphFont"/>
    <w:uiPriority w:val="21"/>
    <w:qFormat/>
    <w:rsid w:val="00F875A2"/>
    <w:rPr>
      <w:i/>
      <w:iCs/>
      <w:color w:val="2F5496" w:themeColor="accent1" w:themeShade="BF"/>
    </w:rPr>
  </w:style>
  <w:style w:type="paragraph" w:styleId="IntenseQuote">
    <w:name w:val="Intense Quote"/>
    <w:basedOn w:val="Normal"/>
    <w:next w:val="Normal"/>
    <w:link w:val="IntenseQuoteChar"/>
    <w:uiPriority w:val="30"/>
    <w:qFormat/>
    <w:rsid w:val="00F875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75A2"/>
    <w:rPr>
      <w:i/>
      <w:iCs/>
      <w:color w:val="2F5496" w:themeColor="accent1" w:themeShade="BF"/>
    </w:rPr>
  </w:style>
  <w:style w:type="character" w:styleId="IntenseReference">
    <w:name w:val="Intense Reference"/>
    <w:basedOn w:val="DefaultParagraphFont"/>
    <w:uiPriority w:val="32"/>
    <w:qFormat/>
    <w:rsid w:val="00F875A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20P\AppData\Local\Microsoft\Windows\INetCache\IE\9JX6UQWW\115%5b1%5d.docx" TargetMode="External"/><Relationship Id="rId13" Type="http://schemas.openxmlformats.org/officeDocument/2006/relationships/hyperlink" Target="file:///C:\Users\H%20P\AppData\Local\Microsoft\Windows\INetCache\IE\9JX6UQWW\115%5b1%5d.docx" TargetMode="External"/><Relationship Id="rId18" Type="http://schemas.openxmlformats.org/officeDocument/2006/relationships/hyperlink" Target="file:///C:\Users\H%20P\AppData\Local\Microsoft\Windows\INetCache\IE\9JX6UQWW\115%5b1%5d.docx" TargetMode="External"/><Relationship Id="rId26" Type="http://schemas.openxmlformats.org/officeDocument/2006/relationships/hyperlink" Target="file:///C:\Users\H%20P\AppData\Local\Microsoft\Windows\INetCache\IE\9JX6UQWW\115%5b1%5d.docx" TargetMode="External"/><Relationship Id="rId3" Type="http://schemas.openxmlformats.org/officeDocument/2006/relationships/settings" Target="settings.xml"/><Relationship Id="rId21" Type="http://schemas.openxmlformats.org/officeDocument/2006/relationships/hyperlink" Target="file:///C:\Users\H%20P\AppData\Local\Microsoft\Windows\INetCache\IE\9JX6UQWW\115%5b1%5d.docx" TargetMode="External"/><Relationship Id="rId7" Type="http://schemas.openxmlformats.org/officeDocument/2006/relationships/hyperlink" Target="file:///C:\Users\H%20P\AppData\Local\Microsoft\Windows\INetCache\IE\9JX6UQWW\115%5b1%5d.docx" TargetMode="External"/><Relationship Id="rId12" Type="http://schemas.openxmlformats.org/officeDocument/2006/relationships/hyperlink" Target="file:///C:\Users\H%20P\AppData\Local\Microsoft\Windows\INetCache\IE\9JX6UQWW\115%5b1%5d.docx" TargetMode="External"/><Relationship Id="rId17" Type="http://schemas.openxmlformats.org/officeDocument/2006/relationships/hyperlink" Target="file:///C:\Users\H%20P\AppData\Local\Microsoft\Windows\INetCache\IE\9JX6UQWW\115%5b1%5d.docx" TargetMode="External"/><Relationship Id="rId25" Type="http://schemas.openxmlformats.org/officeDocument/2006/relationships/hyperlink" Target="file:///C:\Users\H%20P\AppData\Local\Microsoft\Windows\INetCache\IE\9JX6UQWW\115%5b1%5d.docx" TargetMode="External"/><Relationship Id="rId2" Type="http://schemas.openxmlformats.org/officeDocument/2006/relationships/styles" Target="styles.xml"/><Relationship Id="rId16" Type="http://schemas.openxmlformats.org/officeDocument/2006/relationships/hyperlink" Target="file:///C:\Users\H%20P\AppData\Local\Microsoft\Windows\INetCache\IE\9JX6UQWW\115%5b1%5d.docx" TargetMode="External"/><Relationship Id="rId20" Type="http://schemas.openxmlformats.org/officeDocument/2006/relationships/hyperlink" Target="file:///C:\Users\H%20P\AppData\Local\Microsoft\Windows\INetCache\IE\9JX6UQWW\115%5b1%5d.docx" TargetMode="External"/><Relationship Id="rId1" Type="http://schemas.openxmlformats.org/officeDocument/2006/relationships/numbering" Target="numbering.xml"/><Relationship Id="rId6" Type="http://schemas.openxmlformats.org/officeDocument/2006/relationships/hyperlink" Target="file:///C:\Users\H%20P\AppData\Local\Microsoft\Windows\INetCache\IE\9JX6UQWW\115%5b1%5d.docx" TargetMode="External"/><Relationship Id="rId11" Type="http://schemas.openxmlformats.org/officeDocument/2006/relationships/hyperlink" Target="file:///C:\Users\H%20P\AppData\Local\Microsoft\Windows\INetCache\IE\9JX6UQWW\115%5b1%5d.docx" TargetMode="External"/><Relationship Id="rId24" Type="http://schemas.openxmlformats.org/officeDocument/2006/relationships/hyperlink" Target="file:///C:\Users\H%20P\AppData\Local\Microsoft\Windows\INetCache\IE\9JX6UQWW\115%5b1%5d.docx" TargetMode="External"/><Relationship Id="rId5" Type="http://schemas.openxmlformats.org/officeDocument/2006/relationships/hyperlink" Target="file:///C:\Users\H%20P\AppData\Local\Microsoft\Windows\INetCache\IE\9JX6UQWW\115%5b1%5d.docx" TargetMode="External"/><Relationship Id="rId15" Type="http://schemas.openxmlformats.org/officeDocument/2006/relationships/hyperlink" Target="file:///C:\Users\H%20P\AppData\Local\Microsoft\Windows\INetCache\IE\9JX6UQWW\115%5b1%5d.docx" TargetMode="External"/><Relationship Id="rId23" Type="http://schemas.openxmlformats.org/officeDocument/2006/relationships/hyperlink" Target="file:///C:\Users\H%20P\AppData\Local\Microsoft\Windows\INetCache\IE\9JX6UQWW\115%5b1%5d.docx" TargetMode="External"/><Relationship Id="rId28" Type="http://schemas.openxmlformats.org/officeDocument/2006/relationships/theme" Target="theme/theme1.xml"/><Relationship Id="rId10" Type="http://schemas.openxmlformats.org/officeDocument/2006/relationships/hyperlink" Target="file:///C:\Users\H%20P\AppData\Local\Microsoft\Windows\INetCache\IE\9JX6UQWW\115%5b1%5d.docx" TargetMode="External"/><Relationship Id="rId19" Type="http://schemas.openxmlformats.org/officeDocument/2006/relationships/hyperlink" Target="file:///C:\Users\H%20P\AppData\Local\Microsoft\Windows\INetCache\IE\9JX6UQWW\115%5b1%5d.docx" TargetMode="External"/><Relationship Id="rId4" Type="http://schemas.openxmlformats.org/officeDocument/2006/relationships/webSettings" Target="webSettings.xml"/><Relationship Id="rId9" Type="http://schemas.openxmlformats.org/officeDocument/2006/relationships/hyperlink" Target="file:///C:\Users\H%20P\AppData\Local\Microsoft\Windows\INetCache\IE\9JX6UQWW\115%5b1%5d.docx" TargetMode="External"/><Relationship Id="rId14" Type="http://schemas.openxmlformats.org/officeDocument/2006/relationships/hyperlink" Target="file:///C:\Users\H%20P\AppData\Local\Microsoft\Windows\INetCache\IE\9JX6UQWW\115%5b1%5d.docx" TargetMode="External"/><Relationship Id="rId22" Type="http://schemas.openxmlformats.org/officeDocument/2006/relationships/hyperlink" Target="file:///C:\Users\H%20P\AppData\Local\Microsoft\Windows\INetCache\IE\9JX6UQWW\115%5b1%5d.doc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1526</TotalTime>
  <Pages>19</Pages>
  <Words>5702</Words>
  <Characters>32504</Characters>
  <Application>Microsoft Office Word</Application>
  <DocSecurity>0</DocSecurity>
  <Lines>270</Lines>
  <Paragraphs>76</Paragraphs>
  <ScaleCrop>false</ScaleCrop>
  <Company/>
  <LinksUpToDate>false</LinksUpToDate>
  <CharactersWithSpaces>38130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Ahsan Alahi Rafi</dc:creator>
  <cp:keywords/>
  <dc:description/>
  <cp:lastModifiedBy>Ahsan Alahi Rafi</cp:lastModifiedBy>
  <cp:revision>2</cp:revision>
  <dcterms:created xsi:type="dcterms:W3CDTF">2026-01-02T12:54:00Z</dcterms:created>
  <dcterms:modified xsi:type="dcterms:W3CDTF">2026-01-03T14:26:00Z</dcterms:modified>
</cp:coreProperties>
</file>