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227EAD1" w14:textId="130947A0" w:rsidR="00097E86" w:rsidRDefault="007D467E">
      <w:pPr>
        <w:ind w:firstLineChars="200" w:firstLine="482"/>
        <w:jc w:val="center"/>
        <w:rPr>
          <w:rFonts w:cs="Arial"/>
          <w:b/>
          <w:szCs w:val="24"/>
        </w:rPr>
      </w:pPr>
      <w:r>
        <w:rPr>
          <w:rFonts w:cs="Arial"/>
          <w:b/>
          <w:szCs w:val="24"/>
        </w:rPr>
        <w:t xml:space="preserve">Thomas Nica </w:t>
      </w:r>
    </w:p>
    <w:p w14:paraId="660D71EE" w14:textId="61A7B176" w:rsidR="007D467E" w:rsidRDefault="007D467E">
      <w:pPr>
        <w:ind w:firstLineChars="200" w:firstLine="482"/>
        <w:jc w:val="center"/>
        <w:rPr>
          <w:rFonts w:cs="Arial"/>
          <w:b/>
          <w:szCs w:val="24"/>
        </w:rPr>
      </w:pPr>
      <w:r>
        <w:rPr>
          <w:rFonts w:cs="Arial"/>
          <w:b/>
          <w:szCs w:val="24"/>
        </w:rPr>
        <w:t>2122261</w:t>
      </w:r>
    </w:p>
    <w:p w14:paraId="794FE98F" w14:textId="1C7DFEA6" w:rsidR="007D467E" w:rsidRDefault="007D467E">
      <w:pPr>
        <w:ind w:firstLineChars="200" w:firstLine="482"/>
        <w:jc w:val="center"/>
        <w:rPr>
          <w:rFonts w:cs="Arial"/>
          <w:b/>
          <w:szCs w:val="24"/>
        </w:rPr>
      </w:pPr>
      <w:r>
        <w:rPr>
          <w:rFonts w:cs="Arial"/>
          <w:b/>
          <w:szCs w:val="24"/>
        </w:rPr>
        <w:t>Kathryn Roberts</w:t>
      </w:r>
      <w:bookmarkStart w:id="0" w:name="_GoBack"/>
      <w:bookmarkEnd w:id="0"/>
    </w:p>
    <w:p w14:paraId="5067F69E" w14:textId="77777777" w:rsidR="00097E86" w:rsidRDefault="00097E86">
      <w:pPr>
        <w:ind w:firstLineChars="200" w:firstLine="482"/>
        <w:jc w:val="center"/>
        <w:rPr>
          <w:rFonts w:cs="Arial"/>
          <w:b/>
          <w:szCs w:val="24"/>
        </w:rPr>
      </w:pPr>
    </w:p>
    <w:p w14:paraId="3F6CE910" w14:textId="77777777" w:rsidR="00097E86" w:rsidRDefault="00097E86">
      <w:pPr>
        <w:ind w:firstLineChars="200" w:firstLine="482"/>
        <w:jc w:val="center"/>
        <w:rPr>
          <w:rFonts w:cs="Arial"/>
          <w:b/>
          <w:szCs w:val="24"/>
        </w:rPr>
      </w:pPr>
    </w:p>
    <w:p w14:paraId="5035D73D" w14:textId="77777777" w:rsidR="00097E86" w:rsidRDefault="00097E86">
      <w:pPr>
        <w:ind w:firstLine="0"/>
        <w:rPr>
          <w:rFonts w:cs="Arial"/>
          <w:b/>
          <w:szCs w:val="24"/>
        </w:rPr>
      </w:pPr>
    </w:p>
    <w:p w14:paraId="3C8F237D" w14:textId="77777777" w:rsidR="00097E86" w:rsidRDefault="00097E86">
      <w:pPr>
        <w:ind w:firstLineChars="200" w:firstLine="482"/>
        <w:jc w:val="center"/>
        <w:rPr>
          <w:rFonts w:cs="Arial"/>
          <w:b/>
          <w:szCs w:val="24"/>
        </w:rPr>
      </w:pPr>
    </w:p>
    <w:p w14:paraId="5A515491" w14:textId="77777777" w:rsidR="00097E86" w:rsidRDefault="00B56219">
      <w:pPr>
        <w:ind w:firstLineChars="200" w:firstLine="643"/>
        <w:jc w:val="center"/>
        <w:rPr>
          <w:rFonts w:cs="Arial"/>
          <w:b/>
          <w:sz w:val="32"/>
          <w:szCs w:val="32"/>
        </w:rPr>
      </w:pPr>
      <w:r>
        <w:rPr>
          <w:rFonts w:cs="Arial"/>
          <w:b/>
          <w:sz w:val="32"/>
          <w:szCs w:val="32"/>
        </w:rPr>
        <w:t xml:space="preserve">BMIH5006 </w:t>
      </w:r>
    </w:p>
    <w:p w14:paraId="7D261690" w14:textId="77777777" w:rsidR="00097E86" w:rsidRDefault="00097E86">
      <w:pPr>
        <w:ind w:firstLineChars="200" w:firstLine="643"/>
        <w:jc w:val="center"/>
        <w:rPr>
          <w:rFonts w:cs="Arial"/>
          <w:b/>
          <w:sz w:val="32"/>
          <w:szCs w:val="32"/>
        </w:rPr>
      </w:pPr>
    </w:p>
    <w:p w14:paraId="393C94FD" w14:textId="77777777" w:rsidR="00097E86" w:rsidRDefault="00B56219">
      <w:pPr>
        <w:ind w:firstLineChars="200" w:firstLine="643"/>
        <w:jc w:val="center"/>
        <w:rPr>
          <w:rFonts w:cs="Arial"/>
          <w:b/>
          <w:sz w:val="32"/>
          <w:szCs w:val="32"/>
        </w:rPr>
      </w:pPr>
      <w:r>
        <w:rPr>
          <w:rFonts w:cs="Arial"/>
          <w:b/>
          <w:sz w:val="32"/>
          <w:szCs w:val="32"/>
        </w:rPr>
        <w:t xml:space="preserve">Sustainable Hospitality </w:t>
      </w:r>
      <w:r>
        <w:rPr>
          <w:rFonts w:cs="Arial"/>
          <w:b/>
          <w:sz w:val="32"/>
          <w:szCs w:val="32"/>
          <w:lang w:val="en-US"/>
        </w:rPr>
        <w:t>and</w:t>
      </w:r>
      <w:r>
        <w:rPr>
          <w:rFonts w:cs="Arial"/>
          <w:b/>
          <w:sz w:val="32"/>
          <w:szCs w:val="32"/>
        </w:rPr>
        <w:t xml:space="preserve"> Tourism Management</w:t>
      </w:r>
    </w:p>
    <w:p w14:paraId="642C7F5B" w14:textId="77777777" w:rsidR="00097E86" w:rsidRDefault="00097E86">
      <w:pPr>
        <w:ind w:firstLineChars="200" w:firstLine="643"/>
        <w:jc w:val="center"/>
        <w:rPr>
          <w:rFonts w:cs="Arial"/>
          <w:b/>
          <w:sz w:val="32"/>
          <w:szCs w:val="32"/>
        </w:rPr>
      </w:pPr>
    </w:p>
    <w:p w14:paraId="1A1EB0E9" w14:textId="77777777" w:rsidR="00097E86" w:rsidRDefault="00B56219">
      <w:pPr>
        <w:ind w:firstLineChars="200" w:firstLine="643"/>
        <w:jc w:val="center"/>
        <w:rPr>
          <w:rFonts w:cs="Arial"/>
          <w:b/>
          <w:sz w:val="32"/>
          <w:szCs w:val="32"/>
          <w:lang w:val="en-US" w:eastAsia="en-GB"/>
        </w:rPr>
      </w:pPr>
      <w:r>
        <w:rPr>
          <w:rFonts w:cs="Arial"/>
          <w:b/>
          <w:sz w:val="32"/>
          <w:szCs w:val="32"/>
          <w:lang w:val="en-US" w:eastAsia="en-GB"/>
        </w:rPr>
        <w:t>Report: Destination Management: Destination of choice</w:t>
      </w:r>
    </w:p>
    <w:p w14:paraId="26758EDF" w14:textId="77777777" w:rsidR="00097E86" w:rsidRDefault="00097E86">
      <w:pPr>
        <w:ind w:firstLineChars="200" w:firstLine="643"/>
        <w:jc w:val="center"/>
        <w:rPr>
          <w:rFonts w:cs="Arial"/>
          <w:b/>
          <w:sz w:val="32"/>
          <w:szCs w:val="32"/>
          <w:lang w:val="en-US" w:eastAsia="en-GB"/>
        </w:rPr>
      </w:pPr>
    </w:p>
    <w:p w14:paraId="06F6CBA5" w14:textId="77777777" w:rsidR="00097E86" w:rsidRDefault="00B56219">
      <w:pPr>
        <w:ind w:firstLineChars="200" w:firstLine="643"/>
        <w:jc w:val="center"/>
        <w:rPr>
          <w:rFonts w:cs="Arial"/>
          <w:b/>
          <w:sz w:val="32"/>
          <w:szCs w:val="32"/>
          <w:lang w:val="en-US" w:eastAsia="en-GB"/>
        </w:rPr>
      </w:pPr>
      <w:r>
        <w:rPr>
          <w:rFonts w:cs="Arial"/>
          <w:b/>
          <w:sz w:val="32"/>
          <w:szCs w:val="32"/>
          <w:lang w:val="en-US" w:eastAsia="en-GB"/>
        </w:rPr>
        <w:t>Title: The future of hospitality and is it profitable to be green?</w:t>
      </w:r>
    </w:p>
    <w:p w14:paraId="189FE8C5" w14:textId="77777777" w:rsidR="00097E86" w:rsidRDefault="00B56219">
      <w:pPr>
        <w:ind w:firstLineChars="200" w:firstLine="480"/>
        <w:jc w:val="center"/>
        <w:rPr>
          <w:rFonts w:eastAsiaTheme="majorEastAsia" w:cs="Arial"/>
          <w:b/>
          <w:szCs w:val="24"/>
          <w:lang w:val="en-US" w:eastAsia="en-GB"/>
        </w:rPr>
      </w:pPr>
      <w:r>
        <w:rPr>
          <w:rFonts w:cs="Arial"/>
          <w:szCs w:val="24"/>
        </w:rPr>
        <w:br w:type="page"/>
      </w:r>
    </w:p>
    <w:sdt>
      <w:sdtPr>
        <w:rPr>
          <w:rFonts w:ascii="Arial" w:eastAsiaTheme="minorHAnsi" w:hAnsi="Arial" w:cs="Arial"/>
          <w:color w:val="000000" w:themeColor="text1"/>
          <w:sz w:val="24"/>
          <w:szCs w:val="24"/>
          <w:lang w:val="en-GB"/>
        </w:rPr>
        <w:id w:val="-1999491509"/>
        <w:docPartObj>
          <w:docPartGallery w:val="Table of Contents"/>
          <w:docPartUnique/>
        </w:docPartObj>
      </w:sdtPr>
      <w:sdtEndPr>
        <w:rPr>
          <w:b/>
          <w:bCs/>
        </w:rPr>
      </w:sdtEndPr>
      <w:sdtContent>
        <w:p w14:paraId="49B19AD1" w14:textId="77777777" w:rsidR="00097E86" w:rsidRDefault="00B56219">
          <w:pPr>
            <w:pStyle w:val="TOCHeading1"/>
            <w:spacing w:before="0" w:line="360" w:lineRule="auto"/>
            <w:contextualSpacing/>
            <w:jc w:val="center"/>
            <w:rPr>
              <w:rFonts w:ascii="Arial" w:hAnsi="Arial" w:cs="Arial"/>
              <w:b/>
              <w:color w:val="000000" w:themeColor="text1"/>
              <w:sz w:val="24"/>
              <w:szCs w:val="24"/>
            </w:rPr>
          </w:pPr>
          <w:r>
            <w:rPr>
              <w:rFonts w:ascii="Arial" w:hAnsi="Arial" w:cs="Arial"/>
              <w:b/>
              <w:color w:val="000000" w:themeColor="text1"/>
              <w:sz w:val="24"/>
              <w:szCs w:val="24"/>
            </w:rPr>
            <w:t>Table of Contents</w:t>
          </w:r>
        </w:p>
        <w:p w14:paraId="3D8D282E" w14:textId="77777777" w:rsidR="00097E86" w:rsidRDefault="00B56219">
          <w:pPr>
            <w:pStyle w:val="TOC1"/>
            <w:tabs>
              <w:tab w:val="right" w:leader="dot" w:pos="9360"/>
            </w:tabs>
            <w:ind w:firstLine="0"/>
          </w:pPr>
          <w:r>
            <w:rPr>
              <w:rFonts w:cs="Arial"/>
              <w:b/>
              <w:bCs/>
              <w:szCs w:val="24"/>
            </w:rPr>
            <w:fldChar w:fldCharType="begin"/>
          </w:r>
          <w:r>
            <w:rPr>
              <w:rFonts w:cs="Arial"/>
              <w:b/>
              <w:bCs/>
              <w:szCs w:val="24"/>
            </w:rPr>
            <w:instrText xml:space="preserve"> TOC \o "1-3" \h \z \u </w:instrText>
          </w:r>
          <w:r>
            <w:rPr>
              <w:rFonts w:cs="Arial"/>
              <w:b/>
              <w:bCs/>
              <w:szCs w:val="24"/>
            </w:rPr>
            <w:fldChar w:fldCharType="separate"/>
          </w:r>
          <w:hyperlink w:anchor="_Toc22469" w:history="1">
            <w:r>
              <w:rPr>
                <w:rFonts w:cs="Arial"/>
                <w:szCs w:val="24"/>
                <w:lang w:val="en-US"/>
              </w:rPr>
              <w:t>Introduction</w:t>
            </w:r>
            <w:r>
              <w:tab/>
            </w:r>
            <w:r>
              <w:fldChar w:fldCharType="begin"/>
            </w:r>
            <w:r>
              <w:instrText xml:space="preserve"> PAGEREF _Toc22469 \h </w:instrText>
            </w:r>
            <w:r>
              <w:fldChar w:fldCharType="separate"/>
            </w:r>
            <w:r>
              <w:t>3</w:t>
            </w:r>
            <w:r>
              <w:fldChar w:fldCharType="end"/>
            </w:r>
          </w:hyperlink>
        </w:p>
        <w:p w14:paraId="6B4B47E5" w14:textId="77777777" w:rsidR="00097E86" w:rsidRDefault="00976CB2">
          <w:pPr>
            <w:pStyle w:val="TOC1"/>
            <w:tabs>
              <w:tab w:val="right" w:leader="dot" w:pos="9360"/>
            </w:tabs>
            <w:ind w:firstLine="0"/>
          </w:pPr>
          <w:hyperlink w:anchor="_Toc6281" w:history="1">
            <w:r w:rsidR="00B56219">
              <w:rPr>
                <w:lang w:val="en-US"/>
              </w:rPr>
              <w:t>Historical Perspective</w:t>
            </w:r>
            <w:r w:rsidR="00B56219">
              <w:tab/>
            </w:r>
            <w:r w:rsidR="00B56219">
              <w:fldChar w:fldCharType="begin"/>
            </w:r>
            <w:r w:rsidR="00B56219">
              <w:instrText xml:space="preserve"> PAGEREF _Toc6281 \h </w:instrText>
            </w:r>
            <w:r w:rsidR="00B56219">
              <w:fldChar w:fldCharType="separate"/>
            </w:r>
            <w:r w:rsidR="00B56219">
              <w:t>3</w:t>
            </w:r>
            <w:r w:rsidR="00B56219">
              <w:fldChar w:fldCharType="end"/>
            </w:r>
          </w:hyperlink>
        </w:p>
        <w:p w14:paraId="42121E91" w14:textId="77777777" w:rsidR="00097E86" w:rsidRDefault="00976CB2">
          <w:pPr>
            <w:pStyle w:val="TOC1"/>
            <w:tabs>
              <w:tab w:val="right" w:leader="dot" w:pos="9360"/>
            </w:tabs>
            <w:ind w:firstLine="0"/>
          </w:pPr>
          <w:hyperlink w:anchor="_Toc5173" w:history="1">
            <w:r w:rsidR="00B56219">
              <w:rPr>
                <w:lang w:val="en-US"/>
              </w:rPr>
              <w:t>Finance vs. Sustainability</w:t>
            </w:r>
            <w:r w:rsidR="00B56219">
              <w:tab/>
            </w:r>
            <w:r w:rsidR="00B56219">
              <w:fldChar w:fldCharType="begin"/>
            </w:r>
            <w:r w:rsidR="00B56219">
              <w:instrText xml:space="preserve"> PAGEREF _Toc5173 \h </w:instrText>
            </w:r>
            <w:r w:rsidR="00B56219">
              <w:fldChar w:fldCharType="separate"/>
            </w:r>
            <w:r w:rsidR="00B56219">
              <w:t>4</w:t>
            </w:r>
            <w:r w:rsidR="00B56219">
              <w:fldChar w:fldCharType="end"/>
            </w:r>
          </w:hyperlink>
        </w:p>
        <w:p w14:paraId="4C2B7C9D" w14:textId="77777777" w:rsidR="00097E86" w:rsidRDefault="00976CB2">
          <w:pPr>
            <w:pStyle w:val="TOC1"/>
            <w:tabs>
              <w:tab w:val="right" w:leader="dot" w:pos="9360"/>
            </w:tabs>
            <w:ind w:firstLine="0"/>
          </w:pPr>
          <w:hyperlink w:anchor="_Toc6202" w:history="1">
            <w:r w:rsidR="00B56219">
              <w:rPr>
                <w:lang w:val="en-US"/>
              </w:rPr>
              <w:t>Consumer-Driven Sustainability</w:t>
            </w:r>
            <w:r w:rsidR="00B56219">
              <w:tab/>
            </w:r>
            <w:r w:rsidR="00B56219">
              <w:fldChar w:fldCharType="begin"/>
            </w:r>
            <w:r w:rsidR="00B56219">
              <w:instrText xml:space="preserve"> PAGEREF _Toc6202 \h </w:instrText>
            </w:r>
            <w:r w:rsidR="00B56219">
              <w:fldChar w:fldCharType="separate"/>
            </w:r>
            <w:r w:rsidR="00B56219">
              <w:t>5</w:t>
            </w:r>
            <w:r w:rsidR="00B56219">
              <w:fldChar w:fldCharType="end"/>
            </w:r>
          </w:hyperlink>
        </w:p>
        <w:p w14:paraId="3B586801" w14:textId="77777777" w:rsidR="00097E86" w:rsidRDefault="00976CB2">
          <w:pPr>
            <w:pStyle w:val="TOC1"/>
            <w:tabs>
              <w:tab w:val="right" w:leader="dot" w:pos="9360"/>
            </w:tabs>
            <w:ind w:firstLine="0"/>
          </w:pPr>
          <w:hyperlink w:anchor="_Toc21567" w:history="1">
            <w:r w:rsidR="00B56219">
              <w:rPr>
                <w:lang w:val="en-US"/>
              </w:rPr>
              <w:t>Elkington’s Triple Bottom Line</w:t>
            </w:r>
            <w:r w:rsidR="00B56219">
              <w:tab/>
            </w:r>
            <w:r w:rsidR="00B56219">
              <w:fldChar w:fldCharType="begin"/>
            </w:r>
            <w:r w:rsidR="00B56219">
              <w:instrText xml:space="preserve"> PAGEREF _Toc21567 \h </w:instrText>
            </w:r>
            <w:r w:rsidR="00B56219">
              <w:fldChar w:fldCharType="separate"/>
            </w:r>
            <w:r w:rsidR="00B56219">
              <w:t>5</w:t>
            </w:r>
            <w:r w:rsidR="00B56219">
              <w:fldChar w:fldCharType="end"/>
            </w:r>
          </w:hyperlink>
        </w:p>
        <w:p w14:paraId="499AC774" w14:textId="77777777" w:rsidR="00097E86" w:rsidRDefault="00976CB2">
          <w:pPr>
            <w:pStyle w:val="TOC1"/>
            <w:tabs>
              <w:tab w:val="right" w:leader="dot" w:pos="9360"/>
            </w:tabs>
            <w:ind w:firstLine="0"/>
          </w:pPr>
          <w:hyperlink w:anchor="_Toc102" w:history="1">
            <w:r w:rsidR="00B56219">
              <w:rPr>
                <w:lang w:val="en-US"/>
              </w:rPr>
              <w:t>Doxey’s Irridex Model and Environmental Sustainability</w:t>
            </w:r>
            <w:r w:rsidR="00B56219">
              <w:tab/>
            </w:r>
            <w:r w:rsidR="00B56219">
              <w:fldChar w:fldCharType="begin"/>
            </w:r>
            <w:r w:rsidR="00B56219">
              <w:instrText xml:space="preserve"> PAGEREF _Toc102 \h </w:instrText>
            </w:r>
            <w:r w:rsidR="00B56219">
              <w:fldChar w:fldCharType="separate"/>
            </w:r>
            <w:r w:rsidR="00B56219">
              <w:t>6</w:t>
            </w:r>
            <w:r w:rsidR="00B56219">
              <w:fldChar w:fldCharType="end"/>
            </w:r>
          </w:hyperlink>
        </w:p>
        <w:p w14:paraId="51E285DB" w14:textId="77777777" w:rsidR="00097E86" w:rsidRDefault="00976CB2">
          <w:pPr>
            <w:pStyle w:val="TOC1"/>
            <w:tabs>
              <w:tab w:val="right" w:leader="dot" w:pos="9360"/>
            </w:tabs>
            <w:ind w:firstLine="0"/>
          </w:pPr>
          <w:hyperlink w:anchor="_Toc29182" w:history="1">
            <w:r w:rsidR="00B56219">
              <w:rPr>
                <w:lang w:val="en-US"/>
              </w:rPr>
              <w:t>Butler’s Life Cycle Model</w:t>
            </w:r>
            <w:r w:rsidR="00B56219">
              <w:tab/>
            </w:r>
            <w:r w:rsidR="00B56219">
              <w:fldChar w:fldCharType="begin"/>
            </w:r>
            <w:r w:rsidR="00B56219">
              <w:instrText xml:space="preserve"> PAGEREF _Toc29182 \h </w:instrText>
            </w:r>
            <w:r w:rsidR="00B56219">
              <w:fldChar w:fldCharType="separate"/>
            </w:r>
            <w:r w:rsidR="00B56219">
              <w:t>7</w:t>
            </w:r>
            <w:r w:rsidR="00B56219">
              <w:fldChar w:fldCharType="end"/>
            </w:r>
          </w:hyperlink>
        </w:p>
        <w:p w14:paraId="7A35FECB" w14:textId="77777777" w:rsidR="00097E86" w:rsidRDefault="00976CB2">
          <w:pPr>
            <w:pStyle w:val="TOC1"/>
            <w:tabs>
              <w:tab w:val="right" w:leader="dot" w:pos="9360"/>
            </w:tabs>
            <w:ind w:firstLine="0"/>
          </w:pPr>
          <w:hyperlink w:anchor="_Toc14075" w:history="1">
            <w:r w:rsidR="00B56219">
              <w:rPr>
                <w:lang w:val="en-US"/>
              </w:rPr>
              <w:t>Can the Hospitality Industry be Truly Green?</w:t>
            </w:r>
            <w:r w:rsidR="00B56219">
              <w:tab/>
            </w:r>
            <w:r w:rsidR="00B56219">
              <w:fldChar w:fldCharType="begin"/>
            </w:r>
            <w:r w:rsidR="00B56219">
              <w:instrText xml:space="preserve"> PAGEREF _Toc14075 \h </w:instrText>
            </w:r>
            <w:r w:rsidR="00B56219">
              <w:fldChar w:fldCharType="separate"/>
            </w:r>
            <w:r w:rsidR="00B56219">
              <w:t>8</w:t>
            </w:r>
            <w:r w:rsidR="00B56219">
              <w:fldChar w:fldCharType="end"/>
            </w:r>
          </w:hyperlink>
        </w:p>
        <w:p w14:paraId="047CA298" w14:textId="77777777" w:rsidR="00097E86" w:rsidRDefault="00976CB2">
          <w:pPr>
            <w:pStyle w:val="TOC1"/>
            <w:tabs>
              <w:tab w:val="right" w:leader="dot" w:pos="9360"/>
            </w:tabs>
            <w:ind w:firstLine="0"/>
          </w:pPr>
          <w:hyperlink w:anchor="_Toc26341" w:history="1">
            <w:r w:rsidR="00B56219">
              <w:rPr>
                <w:lang w:val="en-US"/>
              </w:rPr>
              <w:t>Future Recommendations</w:t>
            </w:r>
            <w:r w:rsidR="00B56219">
              <w:tab/>
            </w:r>
            <w:r w:rsidR="00B56219">
              <w:fldChar w:fldCharType="begin"/>
            </w:r>
            <w:r w:rsidR="00B56219">
              <w:instrText xml:space="preserve"> PAGEREF _Toc26341 \h </w:instrText>
            </w:r>
            <w:r w:rsidR="00B56219">
              <w:fldChar w:fldCharType="separate"/>
            </w:r>
            <w:r w:rsidR="00B56219">
              <w:t>8</w:t>
            </w:r>
            <w:r w:rsidR="00B56219">
              <w:fldChar w:fldCharType="end"/>
            </w:r>
          </w:hyperlink>
        </w:p>
        <w:p w14:paraId="3C76439D" w14:textId="77777777" w:rsidR="00097E86" w:rsidRDefault="00976CB2">
          <w:pPr>
            <w:pStyle w:val="TOC2"/>
            <w:tabs>
              <w:tab w:val="right" w:leader="dot" w:pos="9360"/>
            </w:tabs>
            <w:ind w:firstLine="0"/>
          </w:pPr>
          <w:hyperlink w:anchor="_Toc13814" w:history="1">
            <w:r w:rsidR="00B56219">
              <w:rPr>
                <w:lang w:val="en-US"/>
              </w:rPr>
              <w:t>a. Proposing strategies and recommendations</w:t>
            </w:r>
            <w:r w:rsidR="00B56219">
              <w:tab/>
            </w:r>
            <w:r w:rsidR="00B56219">
              <w:fldChar w:fldCharType="begin"/>
            </w:r>
            <w:r w:rsidR="00B56219">
              <w:instrText xml:space="preserve"> PAGEREF _Toc13814 \h </w:instrText>
            </w:r>
            <w:r w:rsidR="00B56219">
              <w:fldChar w:fldCharType="separate"/>
            </w:r>
            <w:r w:rsidR="00B56219">
              <w:t>8</w:t>
            </w:r>
            <w:r w:rsidR="00B56219">
              <w:fldChar w:fldCharType="end"/>
            </w:r>
          </w:hyperlink>
        </w:p>
        <w:p w14:paraId="200C9FD3" w14:textId="77777777" w:rsidR="00097E86" w:rsidRDefault="00976CB2">
          <w:pPr>
            <w:pStyle w:val="TOC2"/>
            <w:tabs>
              <w:tab w:val="right" w:leader="dot" w:pos="9360"/>
            </w:tabs>
            <w:ind w:firstLine="0"/>
          </w:pPr>
          <w:hyperlink w:anchor="_Toc23044" w:history="1">
            <w:r w:rsidR="00B56219">
              <w:rPr>
                <w:lang w:val="en-US"/>
              </w:rPr>
              <w:t>b. Balancing profitability and sustainability for long-term success</w:t>
            </w:r>
            <w:r w:rsidR="00B56219">
              <w:tab/>
            </w:r>
            <w:r w:rsidR="00B56219">
              <w:fldChar w:fldCharType="begin"/>
            </w:r>
            <w:r w:rsidR="00B56219">
              <w:instrText xml:space="preserve"> PAGEREF _Toc23044 \h </w:instrText>
            </w:r>
            <w:r w:rsidR="00B56219">
              <w:fldChar w:fldCharType="separate"/>
            </w:r>
            <w:r w:rsidR="00B56219">
              <w:t>9</w:t>
            </w:r>
            <w:r w:rsidR="00B56219">
              <w:fldChar w:fldCharType="end"/>
            </w:r>
          </w:hyperlink>
        </w:p>
        <w:p w14:paraId="1F5C2790" w14:textId="77777777" w:rsidR="00097E86" w:rsidRDefault="00976CB2">
          <w:pPr>
            <w:pStyle w:val="TOC1"/>
            <w:tabs>
              <w:tab w:val="right" w:leader="dot" w:pos="9360"/>
            </w:tabs>
            <w:ind w:firstLine="0"/>
          </w:pPr>
          <w:hyperlink w:anchor="_Toc28935" w:history="1">
            <w:r w:rsidR="00B56219">
              <w:rPr>
                <w:rFonts w:cs="Arial"/>
                <w:szCs w:val="24"/>
                <w:lang w:val="en-US"/>
              </w:rPr>
              <w:t>Conclusion</w:t>
            </w:r>
            <w:r w:rsidR="00B56219">
              <w:tab/>
            </w:r>
            <w:r w:rsidR="00B56219">
              <w:fldChar w:fldCharType="begin"/>
            </w:r>
            <w:r w:rsidR="00B56219">
              <w:instrText xml:space="preserve"> PAGEREF _Toc28935 \h </w:instrText>
            </w:r>
            <w:r w:rsidR="00B56219">
              <w:fldChar w:fldCharType="separate"/>
            </w:r>
            <w:r w:rsidR="00B56219">
              <w:t>9</w:t>
            </w:r>
            <w:r w:rsidR="00B56219">
              <w:fldChar w:fldCharType="end"/>
            </w:r>
          </w:hyperlink>
        </w:p>
        <w:p w14:paraId="2D6684D9" w14:textId="77777777" w:rsidR="00097E86" w:rsidRDefault="00976CB2">
          <w:pPr>
            <w:pStyle w:val="TOC1"/>
            <w:tabs>
              <w:tab w:val="right" w:leader="dot" w:pos="9360"/>
            </w:tabs>
            <w:ind w:firstLine="0"/>
          </w:pPr>
          <w:hyperlink w:anchor="_Toc15782" w:history="1">
            <w:r w:rsidR="00B56219">
              <w:rPr>
                <w:rFonts w:cs="Arial"/>
                <w:szCs w:val="24"/>
              </w:rPr>
              <w:t>References</w:t>
            </w:r>
            <w:r w:rsidR="00B56219">
              <w:tab/>
            </w:r>
            <w:r w:rsidR="00B56219">
              <w:fldChar w:fldCharType="begin"/>
            </w:r>
            <w:r w:rsidR="00B56219">
              <w:instrText xml:space="preserve"> PAGEREF _Toc15782 \h </w:instrText>
            </w:r>
            <w:r w:rsidR="00B56219">
              <w:fldChar w:fldCharType="separate"/>
            </w:r>
            <w:r w:rsidR="00B56219">
              <w:t>11</w:t>
            </w:r>
            <w:r w:rsidR="00B56219">
              <w:fldChar w:fldCharType="end"/>
            </w:r>
          </w:hyperlink>
        </w:p>
        <w:p w14:paraId="510341E3" w14:textId="77777777" w:rsidR="00097E86" w:rsidRDefault="00B56219">
          <w:pPr>
            <w:ind w:firstLine="0"/>
            <w:contextualSpacing/>
            <w:rPr>
              <w:rFonts w:cs="Arial"/>
              <w:szCs w:val="24"/>
            </w:rPr>
          </w:pPr>
          <w:r>
            <w:rPr>
              <w:rFonts w:cs="Arial"/>
              <w:bCs/>
              <w:szCs w:val="24"/>
            </w:rPr>
            <w:fldChar w:fldCharType="end"/>
          </w:r>
        </w:p>
      </w:sdtContent>
    </w:sdt>
    <w:p w14:paraId="05037F21" w14:textId="77777777" w:rsidR="00097E86" w:rsidRDefault="00B56219">
      <w:pPr>
        <w:pStyle w:val="Heading1"/>
        <w:rPr>
          <w:rFonts w:cs="Arial"/>
          <w:color w:val="000000" w:themeColor="text1"/>
          <w:szCs w:val="24"/>
        </w:rPr>
      </w:pPr>
      <w:r>
        <w:rPr>
          <w:rFonts w:cs="Arial"/>
          <w:color w:val="000000" w:themeColor="text1"/>
          <w:szCs w:val="24"/>
        </w:rPr>
        <w:br w:type="page"/>
      </w:r>
    </w:p>
    <w:p w14:paraId="7230CA69" w14:textId="77777777" w:rsidR="00097E86" w:rsidRDefault="00B56219">
      <w:pPr>
        <w:pStyle w:val="Heading1"/>
        <w:rPr>
          <w:rFonts w:cs="Arial"/>
          <w:color w:val="000000" w:themeColor="text1"/>
          <w:szCs w:val="24"/>
        </w:rPr>
      </w:pPr>
      <w:bookmarkStart w:id="1" w:name="_Toc13512"/>
      <w:bookmarkStart w:id="2" w:name="_Toc22469"/>
      <w:r>
        <w:rPr>
          <w:rFonts w:cs="Arial"/>
          <w:color w:val="000000" w:themeColor="text1"/>
          <w:szCs w:val="24"/>
        </w:rPr>
        <w:lastRenderedPageBreak/>
        <w:t>Introduction</w:t>
      </w:r>
      <w:bookmarkEnd w:id="1"/>
      <w:bookmarkEnd w:id="2"/>
    </w:p>
    <w:p w14:paraId="54D20B8A" w14:textId="77777777" w:rsidR="00097E86" w:rsidRDefault="00B56219">
      <w:pPr>
        <w:ind w:firstLine="0"/>
        <w:rPr>
          <w:szCs w:val="24"/>
          <w:lang w:val="en-US"/>
        </w:rPr>
      </w:pPr>
      <w:r>
        <w:rPr>
          <w:szCs w:val="24"/>
          <w:lang w:val="en-US"/>
        </w:rPr>
        <w:t>The hospitality and tourism industry, a global economic powerhouse, includes accommodation, food and beverage, travel, and entertainment (Cooper, 2021). As communities become more mindful of environmental issues, sustainability and environmental responsibility have become increasingly crucial in this industry (Sloan et al., 2017). Sustainable practises in the hospitality and tourism industries meet current requirements without compromising future generations' ability to do so by taking into account economic, social, and environmental factors (Inkson and Minnaert, 2018). Sustainability and environmental responsibility can reduce the industry's negative consequences, increase businesses' competitiveness, and ensure their long-term survival (Font and Lynes, 2018).</w:t>
      </w:r>
    </w:p>
    <w:p w14:paraId="19118E78" w14:textId="77777777" w:rsidR="00097E86" w:rsidRDefault="00B56219">
      <w:pPr>
        <w:ind w:firstLine="0"/>
        <w:rPr>
          <w:szCs w:val="24"/>
          <w:lang w:val="en-US"/>
        </w:rPr>
      </w:pPr>
      <w:r>
        <w:rPr>
          <w:szCs w:val="24"/>
          <w:lang w:val="en-US"/>
        </w:rPr>
        <w:t xml:space="preserve">This report aims to evaluate the future of the hospitality industry, focusing on the financial benefits of sustainable and environmental practises. This report will also compare financial goals to sustainable practises to discover which is more important. Understanding whether organisations are driven by consumer demand for sustainability or by their natural responsibility for being environmentally sound is vital (Han, 2021). This report illuminate the industry's potential for true sustainability using models such as Doxey's Irridex and Butler's industry life cycle model. These models and Elkington's Triple Bottom Line will assess the industry's sustainability efforts and inform future recommendations (Wise, 2016). </w:t>
      </w:r>
    </w:p>
    <w:p w14:paraId="51934332" w14:textId="77777777" w:rsidR="00097E86" w:rsidRDefault="00097E86">
      <w:pPr>
        <w:ind w:firstLine="0"/>
        <w:rPr>
          <w:szCs w:val="24"/>
          <w:lang w:val="en-US"/>
        </w:rPr>
      </w:pPr>
    </w:p>
    <w:p w14:paraId="1985B872" w14:textId="77777777" w:rsidR="00097E86" w:rsidRDefault="00B56219">
      <w:pPr>
        <w:pStyle w:val="Heading1"/>
      </w:pPr>
      <w:bookmarkStart w:id="3" w:name="_Toc6281"/>
      <w:r>
        <w:t>Historical Perspective</w:t>
      </w:r>
      <w:bookmarkEnd w:id="3"/>
    </w:p>
    <w:p w14:paraId="3A01BABE" w14:textId="77777777" w:rsidR="00097E86" w:rsidRDefault="00B56219">
      <w:pPr>
        <w:ind w:firstLine="0"/>
        <w:rPr>
          <w:szCs w:val="24"/>
          <w:lang w:val="en-US"/>
        </w:rPr>
      </w:pPr>
      <w:r>
        <w:rPr>
          <w:szCs w:val="24"/>
          <w:lang w:val="en-US"/>
        </w:rPr>
        <w:t xml:space="preserve">Nobel Prize-winning economist Milton Friedman said in the 1950s that firms' obligation to society is to increase profits (Cooper, 2021). According to Friedman's perspective, corporations exist to produce money for their shareholders, so resource allocation to social or environmental causes should be consistent with this goal (Haski-Leventhal, 2018). Friedman favours a shareholder-centric approach to corporate responsibility, which prioritises profit maximisation. Today, Friedman's perspective is hotly debated. As society becomes more aware of environmental and social issues, expectations of corporations' involvement have changed (Font and Lynes, 2018). CSR and sustainable </w:t>
      </w:r>
      <w:r>
        <w:rPr>
          <w:szCs w:val="24"/>
          <w:lang w:val="en-US"/>
        </w:rPr>
        <w:lastRenderedPageBreak/>
        <w:t>business practises are increasingly valued by customers, investors, and governments (Rhou and Singal, 2020). This challenge the idea that firms should prioritise profit.</w:t>
      </w:r>
    </w:p>
    <w:p w14:paraId="6F65CFE1" w14:textId="77777777" w:rsidR="00097E86" w:rsidRDefault="00B56219">
      <w:pPr>
        <w:ind w:firstLine="0"/>
        <w:rPr>
          <w:szCs w:val="24"/>
          <w:lang w:val="en-US"/>
        </w:rPr>
      </w:pPr>
      <w:r>
        <w:rPr>
          <w:szCs w:val="24"/>
          <w:lang w:val="en-US"/>
        </w:rPr>
        <w:t>It has been claimed that Friedman's position is outdated and that firms should adopt a more comprehensive perspective on their role in society. The hospitality and tourism industry is under pressure to address environmental issues, eliminate negative impacts, and help local communities (Sloan et al., 2017). Companies in this industry are being asked to implement sustainable business practises more and more (Jauhari, 2021). Due to changing rules and customer preferences, organisations are under pressure to consider their social and environmental implications (Han, 2021). Sustainability is now seen as a key component of long-term business planning (Shang et al., 2023) rather than as an afterthought.</w:t>
      </w:r>
    </w:p>
    <w:p w14:paraId="2FE4E82B" w14:textId="77777777" w:rsidR="00097E86" w:rsidRDefault="00097E86">
      <w:pPr>
        <w:ind w:firstLine="0"/>
        <w:rPr>
          <w:szCs w:val="24"/>
          <w:lang w:val="en-US"/>
        </w:rPr>
      </w:pPr>
    </w:p>
    <w:p w14:paraId="7BAB9627" w14:textId="77777777" w:rsidR="00097E86" w:rsidRDefault="00B56219">
      <w:pPr>
        <w:pStyle w:val="Heading1"/>
      </w:pPr>
      <w:bookmarkStart w:id="4" w:name="_Toc5173"/>
      <w:r>
        <w:t>Finance vs. Sustainability</w:t>
      </w:r>
      <w:bookmarkEnd w:id="4"/>
    </w:p>
    <w:p w14:paraId="00AC62E3" w14:textId="77777777" w:rsidR="00097E86" w:rsidRDefault="00B56219">
      <w:pPr>
        <w:ind w:firstLine="0"/>
        <w:rPr>
          <w:szCs w:val="24"/>
          <w:lang w:val="en-US"/>
        </w:rPr>
      </w:pPr>
      <w:r>
        <w:rPr>
          <w:szCs w:val="24"/>
          <w:lang w:val="en-US"/>
        </w:rPr>
        <w:t>The hospitality and tourism industry have long struggled with a tension between sustainable practises and financial goals. Companies have historically prioritised financial advantages above environmental efforts due to the more immediate and tangible rewards associated with profit development (Cooper, 2021). In today's competitive business world, a company's capacity to make a profit is crucial. Sloan et al. (2017) observed that organisations under pressure to meet financial targets and produce shareholder value often disregarded sustainable practises. The customary approach of prioritising money over sustainability is, however, no longer sustainable in the long run due to growing environmental and social awareness (Font and Lynes, 2018).</w:t>
      </w:r>
    </w:p>
    <w:p w14:paraId="705A56BC" w14:textId="77777777" w:rsidR="00097E86" w:rsidRDefault="00B56219">
      <w:pPr>
        <w:ind w:firstLine="0"/>
        <w:rPr>
          <w:szCs w:val="24"/>
          <w:lang w:val="en-US"/>
        </w:rPr>
      </w:pPr>
      <w:r>
        <w:rPr>
          <w:szCs w:val="24"/>
          <w:lang w:val="en-US"/>
        </w:rPr>
        <w:t xml:space="preserve">In addition to being morally decent, businesses are learning that sustainable practises may be financially lucrative. Increasingly, customers, investors, and regulators favour sustainable and ethical businesses (Rhou and Singal, 2020). In this shifting context, financial goals and industry sustainability must be reevaluated. Today, the hospitality and financial industries must achieve sustainable performance while embracing sustainable practises (Jauhari, 2021). Sustainable practises like those above can result in financial savings, brand growth, and consumer loyalty (Haski-Leventhal, 2018). Such practises can boost financial resilience by lowering environmental and social risks. Sustainable </w:t>
      </w:r>
      <w:r>
        <w:rPr>
          <w:szCs w:val="24"/>
          <w:lang w:val="en-US"/>
        </w:rPr>
        <w:lastRenderedPageBreak/>
        <w:t>technology and practises can pay out in the long run, despite their initial cost (Shang et al., 2023).</w:t>
      </w:r>
    </w:p>
    <w:p w14:paraId="54BE53F2" w14:textId="77777777" w:rsidR="00097E86" w:rsidRDefault="00097E86">
      <w:pPr>
        <w:ind w:firstLine="0"/>
        <w:rPr>
          <w:szCs w:val="24"/>
          <w:lang w:val="en-US"/>
        </w:rPr>
      </w:pPr>
    </w:p>
    <w:p w14:paraId="24A754A4" w14:textId="77777777" w:rsidR="00097E86" w:rsidRDefault="00B56219">
      <w:pPr>
        <w:pStyle w:val="Heading1"/>
      </w:pPr>
      <w:bookmarkStart w:id="5" w:name="_Toc6202"/>
      <w:r>
        <w:t>Consumer-Driven Sustainability</w:t>
      </w:r>
      <w:bookmarkEnd w:id="5"/>
    </w:p>
    <w:p w14:paraId="4266D65E" w14:textId="77777777" w:rsidR="00097E86" w:rsidRDefault="00B56219">
      <w:pPr>
        <w:ind w:firstLine="0"/>
        <w:rPr>
          <w:szCs w:val="24"/>
          <w:lang w:val="en-US"/>
        </w:rPr>
      </w:pPr>
      <w:r>
        <w:rPr>
          <w:szCs w:val="24"/>
          <w:lang w:val="en-US"/>
        </w:rPr>
        <w:t xml:space="preserve">Consumer demands in the hospitality and tourism industries are increasingly driving sustainability efforts. As consumers have become more environmentally and socially conscious, the demand that businesses employ sustainable business practises has increased (Han, 2021). Businesses in the hospitality and tourism sectors must include sustainability into their operations to adapt to this change in consumer behaviour (Font and Lynes, 2018). Consumer desire for environmentally friendly and socially responsible products has encouraged businesses to adopt sustainable business practises to meet this need (Sloan et al., 2017). Thus, customer demand for eco-friendliness now shapes the industry's future. Consumer demand for sustainability affects hospitality and tourism enterprises' practises and strategy (Rhou and Singal, 2020). Businesses have been forced to adapt to the rising demand for ecologically friendly services, such as sustainable housing, eco-friendly transit, locally produced and organic food, and responsible tourism (Haski-Leventhal, 2018). Many customers are willing to pay more for environmentally friendly products and services, thus businesses should invest in sustainable practises (Costa and Costa, 2022). </w:t>
      </w:r>
    </w:p>
    <w:p w14:paraId="7E3AB63A" w14:textId="77777777" w:rsidR="00097E86" w:rsidRDefault="00097E86">
      <w:pPr>
        <w:ind w:firstLine="0"/>
        <w:rPr>
          <w:szCs w:val="24"/>
          <w:lang w:val="en-US"/>
        </w:rPr>
      </w:pPr>
    </w:p>
    <w:p w14:paraId="2D6DC65C" w14:textId="77777777" w:rsidR="00097E86" w:rsidRDefault="00B56219">
      <w:pPr>
        <w:pStyle w:val="Heading1"/>
      </w:pPr>
      <w:bookmarkStart w:id="6" w:name="_Toc21567"/>
      <w:r>
        <w:t>Elkington’s Triple Bottom Line</w:t>
      </w:r>
      <w:bookmarkEnd w:id="6"/>
    </w:p>
    <w:p w14:paraId="675F717D" w14:textId="77777777" w:rsidR="00097E86" w:rsidRDefault="00B56219">
      <w:pPr>
        <w:ind w:firstLine="0"/>
        <w:rPr>
          <w:szCs w:val="24"/>
          <w:lang w:val="en-US"/>
        </w:rPr>
      </w:pPr>
      <w:r>
        <w:rPr>
          <w:szCs w:val="24"/>
          <w:lang w:val="en-US"/>
        </w:rPr>
        <w:t>The Triple Bottom Line (TBL) framework by Elkington integrates economic, social, and environmental components to financial reports. The economic dimension is centred on profitability and financial performance. The social dimension—community involvement, employee well-being, and social equity—focuses on how the organisation affects people. Finally, the environmental component analyses the organisation's sustainability practises, such as reducing resource consumption, waste, and pollution (Wise, 2016). The TBL framework aims to promote a more holistic review of an organisation's performance by considering its impact on people, the environment, and the bottom line.</w:t>
      </w:r>
    </w:p>
    <w:p w14:paraId="5391BFD8" w14:textId="77777777" w:rsidR="00097E86" w:rsidRDefault="00B56219">
      <w:pPr>
        <w:ind w:firstLine="0"/>
        <w:rPr>
          <w:szCs w:val="24"/>
          <w:lang w:val="en-US"/>
        </w:rPr>
      </w:pPr>
      <w:r>
        <w:rPr>
          <w:szCs w:val="24"/>
          <w:lang w:val="en-US"/>
        </w:rPr>
        <w:t xml:space="preserve">To succeed in the hospitality industry, Elkington's Triple Bottom Line must be implemented (Sloan et al., 2017). Financially, it involves boosting sales, cutting costs, </w:t>
      </w:r>
      <w:r>
        <w:rPr>
          <w:szCs w:val="24"/>
          <w:lang w:val="en-US"/>
        </w:rPr>
        <w:lastRenderedPageBreak/>
        <w:t>and generating profits to sustain the business. Socially, the hospitality industry must include staff well-being, community involvement, and cultural awareness and inclusivity to improve guest experiences (Legrand et al., 2022). The industry must employ green practises, reduce its carbon footprint, preserve energy, and manage waste to protect the environment (Jauhari, 2021). The TBL framework considers financial performance, social ties, and environmental sustainability, allowing for a more balanced approach to decision-making.</w:t>
      </w:r>
    </w:p>
    <w:p w14:paraId="1979AFD7" w14:textId="77777777" w:rsidR="00097E86" w:rsidRDefault="00B56219">
      <w:pPr>
        <w:ind w:firstLine="0"/>
        <w:rPr>
          <w:szCs w:val="24"/>
          <w:lang w:val="en-US"/>
        </w:rPr>
      </w:pPr>
      <w:r>
        <w:rPr>
          <w:szCs w:val="24"/>
          <w:lang w:val="en-US"/>
        </w:rPr>
        <w:t>Numerous examples of Elkington's Triple Bottom Line can be found in the hospitality industry. Hotels and resorts use water conservation, trash reduction, and energy-efficient technology to reduce their environmental effect (Roblek et al., 2016). The worldwide hospitality company AccorHotels prioritises sustainable energy and water sources to minimise its environmental effect (Rhou and Singal, 2020). For social issues, community service and staff wellness programmes are being undertaken. Marriott International aims to help young people get jobs and improve in their professions (Font and Lynes, 2018). These projects demonstrate the industry's commitment to financial and social/environmental sustainability using Elkington's Triple Bottom Line framework.</w:t>
      </w:r>
    </w:p>
    <w:p w14:paraId="6C5B93EF" w14:textId="77777777" w:rsidR="00097E86" w:rsidRDefault="00097E86">
      <w:pPr>
        <w:ind w:firstLine="0"/>
        <w:rPr>
          <w:szCs w:val="24"/>
          <w:lang w:val="en-US"/>
        </w:rPr>
      </w:pPr>
    </w:p>
    <w:p w14:paraId="104726F2" w14:textId="77777777" w:rsidR="00097E86" w:rsidRDefault="00B56219">
      <w:pPr>
        <w:pStyle w:val="Heading1"/>
      </w:pPr>
      <w:bookmarkStart w:id="7" w:name="_Toc102"/>
      <w:r>
        <w:t>Doxey’s Irridex Model and Environmental Sustainability</w:t>
      </w:r>
      <w:bookmarkEnd w:id="7"/>
    </w:p>
    <w:p w14:paraId="14ADD3C7" w14:textId="77777777" w:rsidR="00097E86" w:rsidRDefault="00B56219">
      <w:pPr>
        <w:ind w:firstLine="0"/>
        <w:rPr>
          <w:szCs w:val="24"/>
          <w:lang w:val="en-US"/>
        </w:rPr>
      </w:pPr>
      <w:r>
        <w:rPr>
          <w:szCs w:val="24"/>
          <w:lang w:val="en-US"/>
        </w:rPr>
        <w:t>To understand how tourists react to tourism's effects on a destination, Doxey's Irridex Model (Inkson and Minnaert, 2018) provides a theoretical framework. The model claims that visitors' attitudes alter as they experience exhilaration, disinterest, annoyance, and hostility. This model can show how tourists go from early joy to potential animosity as they become more aware of tourism's environmental implications. The hospitality industry can utilise the Irridex Model to assess client satisfaction with a business' sustainability efforts (Haski-Leventhal, 2018). Visitors to a new place may first like the experience. If they perceive unsustainable practises harming the ecosystem, they may become irritated. Excessive waste or negligent resource use can impair visitors' trips.</w:t>
      </w:r>
    </w:p>
    <w:p w14:paraId="6BA2462B" w14:textId="77777777" w:rsidR="00097E86" w:rsidRDefault="00B56219">
      <w:pPr>
        <w:ind w:firstLine="0"/>
        <w:rPr>
          <w:szCs w:val="24"/>
          <w:lang w:val="en-US"/>
        </w:rPr>
      </w:pPr>
      <w:r>
        <w:rPr>
          <w:szCs w:val="24"/>
          <w:lang w:val="en-US"/>
        </w:rPr>
        <w:t xml:space="preserve">The Irridex Model can help the hospitality industry be more environmental. Tourist responses at different points in the journey can help businesses enhance sustainability. Businesses can advertise sustainable attractions and events during euphoria to maintain guests' pleasant impressions. To prevent visitors from going on to the annoyance stage, </w:t>
      </w:r>
      <w:r>
        <w:rPr>
          <w:szCs w:val="24"/>
          <w:lang w:val="en-US"/>
        </w:rPr>
        <w:lastRenderedPageBreak/>
        <w:t>education and engagement in sustainability projects may aim at tourists in the apathy stage. Addressing tourists' complaints and using sustainable practises during the annoyance stage can prevent antagonism and improve the place's image (Jauhari, 2021). Several industry examples are modelled using Doxey's Irridex. Tourism destinations are investing more in educating visitors about responsible practises and sustainable behaviour in an effort to prevent guests from becoming irritated or resentful (Roblek et al., 2016).</w:t>
      </w:r>
    </w:p>
    <w:p w14:paraId="4B6AC765" w14:textId="77777777" w:rsidR="00097E86" w:rsidRDefault="00097E86">
      <w:pPr>
        <w:ind w:firstLine="0"/>
        <w:rPr>
          <w:szCs w:val="24"/>
          <w:lang w:val="en-US"/>
        </w:rPr>
      </w:pPr>
    </w:p>
    <w:p w14:paraId="5A705D8F" w14:textId="77777777" w:rsidR="00097E86" w:rsidRDefault="00B56219">
      <w:pPr>
        <w:pStyle w:val="Heading1"/>
      </w:pPr>
      <w:bookmarkStart w:id="8" w:name="_Toc29182"/>
      <w:r>
        <w:t>Butler’s Life Cycle Model</w:t>
      </w:r>
      <w:bookmarkEnd w:id="8"/>
    </w:p>
    <w:p w14:paraId="23C2180F" w14:textId="77777777" w:rsidR="00097E86" w:rsidRDefault="00B56219">
      <w:pPr>
        <w:ind w:firstLine="0"/>
        <w:rPr>
          <w:szCs w:val="24"/>
          <w:lang w:val="en-US"/>
        </w:rPr>
      </w:pPr>
      <w:r>
        <w:rPr>
          <w:szCs w:val="24"/>
          <w:lang w:val="en-US"/>
        </w:rPr>
        <w:t>Butler's Tourism Area Life Cycle (TALC) model is a conceptual framework that describes the growth of tourist destinations through discovery, participation, expansion, maturity, and resurrection. Each step of tourism destinations' life cycles has challenges and rewards, according to the model. The TALC model has helped the tourism industry with strategic planning, investment decisions, and destination development dynamics.</w:t>
      </w:r>
    </w:p>
    <w:p w14:paraId="6821BA82" w14:textId="77777777" w:rsidR="00097E86" w:rsidRDefault="00B56219">
      <w:pPr>
        <w:ind w:firstLine="0"/>
        <w:rPr>
          <w:szCs w:val="24"/>
          <w:lang w:val="en-US"/>
        </w:rPr>
      </w:pPr>
      <w:r>
        <w:rPr>
          <w:szCs w:val="24"/>
          <w:lang w:val="en-US"/>
        </w:rPr>
        <w:t>Butler's TALC model, created for environmental sustainability (Sloan et al., 2017), provides a critical perspective on how destinations might integrate sustainability practises throughout their life cycle. Early exploration and involvement can emphasise conservation, responsible tourism, and community involvement using sustainable development methods (Legrand et al., 2022). This preemptive approach reduces the negative effects of tourism development by addressing environmental issues immediately. The TALC model emphasises environmental sustainability throughout a destination's life cycle. Sustainable infrastructure planning, waste management systems, and renewable energy projects can reduce projected negative environmental impacts (Roblek et al., 2016). To ensure long-term sustainability and avoid stagnation, eco-friendly practises and sustainable tourism certifications can be strengthened throughout consolidation.</w:t>
      </w:r>
    </w:p>
    <w:p w14:paraId="70FCFCDE" w14:textId="77777777" w:rsidR="00097E86" w:rsidRDefault="00B56219">
      <w:pPr>
        <w:ind w:firstLine="0"/>
        <w:rPr>
          <w:szCs w:val="24"/>
          <w:lang w:val="en-US"/>
        </w:rPr>
      </w:pPr>
      <w:r>
        <w:rPr>
          <w:szCs w:val="24"/>
          <w:lang w:val="en-US"/>
        </w:rPr>
        <w:t xml:space="preserve">Actual applications in many industries exemplify Butler's TALC model. A travel destination that has benefited from Butler's model is Bali, Indonesia. In the beginning, Bali attracted adventurous travellers. Tourism has grown as the area has progressed from "involvement" to "development". This growth caused environmental issues like incorrect rubbish disposal and water shortages. Bali is aggressively implementing sustainability </w:t>
      </w:r>
      <w:r>
        <w:rPr>
          <w:szCs w:val="24"/>
          <w:lang w:val="en-US"/>
        </w:rPr>
        <w:lastRenderedPageBreak/>
        <w:t>measures, such as beach cleanups, renewable energy adoption, and eco-tourism efforts, to reinvigorate the destination and sustainably manage its tourism expansion (Haski-Leventhal, 2018).</w:t>
      </w:r>
    </w:p>
    <w:p w14:paraId="347DC337" w14:textId="77777777" w:rsidR="00097E86" w:rsidRDefault="00097E86">
      <w:pPr>
        <w:ind w:firstLine="0"/>
        <w:rPr>
          <w:szCs w:val="24"/>
          <w:lang w:val="en-US"/>
        </w:rPr>
      </w:pPr>
    </w:p>
    <w:p w14:paraId="57B6E47A" w14:textId="77777777" w:rsidR="00097E86" w:rsidRDefault="00B56219">
      <w:pPr>
        <w:pStyle w:val="Heading1"/>
      </w:pPr>
      <w:bookmarkStart w:id="9" w:name="_Toc14075"/>
      <w:r>
        <w:t>Can the Hospitality Industry be Truly Green?</w:t>
      </w:r>
      <w:bookmarkEnd w:id="9"/>
    </w:p>
    <w:p w14:paraId="1E6811CF" w14:textId="77777777" w:rsidR="00097E86" w:rsidRDefault="00B56219">
      <w:pPr>
        <w:ind w:firstLine="0"/>
        <w:rPr>
          <w:szCs w:val="24"/>
          <w:lang w:val="en-US"/>
        </w:rPr>
      </w:pPr>
      <w:r>
        <w:rPr>
          <w:szCs w:val="24"/>
          <w:lang w:val="en-US"/>
        </w:rPr>
        <w:t>The hospitality industry faces many sustainability challenges. In addition to energy and water use, the industry produces waste and carbon emissions (Sloan et al., 2017). Hotels' environmental footprints are largely due to the energy consumed for cooking, cleaning, and lighting. Due to its high water demand, the industry strains local water supplies. Creative solutions are needed to mitigate these issues' environmental impacts. Despite these challenges, the hospitality industry may become more environmentally sustainable. The basic business model must incorporate sustainable practises to improve energy and water efficiency, waste minimisation, and ethical sourcing (Font and Lynes, 2018). Sustainable sourcing includes the use of local and organic produce, fair trade items, and less single-use plastics. LED lighting, renewable energy, and energy-efficient appliances can dramatically reduce industry energy consumption and greenhouse gas emissions (Jauhari, 2021).</w:t>
      </w:r>
    </w:p>
    <w:p w14:paraId="198004D9" w14:textId="77777777" w:rsidR="00097E86" w:rsidRDefault="00B56219">
      <w:pPr>
        <w:ind w:firstLine="0"/>
        <w:rPr>
          <w:szCs w:val="24"/>
          <w:lang w:val="en-US"/>
        </w:rPr>
      </w:pPr>
      <w:r>
        <w:rPr>
          <w:szCs w:val="24"/>
          <w:lang w:val="en-US"/>
        </w:rPr>
        <w:t>Due to client knowledge and demand, the industry is also adopting more sustainable practises. Businesses are being forced to embrace green strategies because to client demand for ecologically sensitive hotels and restaurants (Han, 2021). Businesses must successfully explain and promote their sustainability activities to environmentally conscious consumers in order to justify the investment in green practises (Rhou and Singal, 2020). Sustainability-focused hotels attract eco-conscious guests and save money on power and water.</w:t>
      </w:r>
    </w:p>
    <w:p w14:paraId="5F46B9B8" w14:textId="77777777" w:rsidR="00097E86" w:rsidRDefault="00097E86">
      <w:pPr>
        <w:ind w:firstLine="0"/>
        <w:rPr>
          <w:szCs w:val="24"/>
          <w:lang w:val="en-US"/>
        </w:rPr>
      </w:pPr>
    </w:p>
    <w:p w14:paraId="374FAD39" w14:textId="77777777" w:rsidR="00097E86" w:rsidRDefault="00B56219">
      <w:pPr>
        <w:pStyle w:val="Heading1"/>
      </w:pPr>
      <w:bookmarkStart w:id="10" w:name="_Toc26341"/>
      <w:r>
        <w:t>Future Recommendations</w:t>
      </w:r>
      <w:bookmarkEnd w:id="10"/>
    </w:p>
    <w:p w14:paraId="06B53455" w14:textId="77777777" w:rsidR="00097E86" w:rsidRDefault="00B56219">
      <w:pPr>
        <w:pStyle w:val="Heading2"/>
      </w:pPr>
      <w:bookmarkStart w:id="11" w:name="_Toc13814"/>
      <w:r>
        <w:t>a. Proposing strategies and recommendations</w:t>
      </w:r>
      <w:bookmarkEnd w:id="11"/>
    </w:p>
    <w:p w14:paraId="70A56570" w14:textId="77777777" w:rsidR="00097E86" w:rsidRDefault="00B56219">
      <w:pPr>
        <w:ind w:firstLine="0"/>
        <w:rPr>
          <w:szCs w:val="24"/>
          <w:lang w:val="en-US"/>
        </w:rPr>
      </w:pPr>
      <w:r>
        <w:rPr>
          <w:szCs w:val="24"/>
          <w:lang w:val="en-US"/>
        </w:rPr>
        <w:t xml:space="preserve">In order to assure a sustainable future for the hospitality industry, several critical strategies and recommendations must be implemented. First, hotels and resorts should emphasise energy efficiency and renewable energy to reduce their carbon footprint and operating costs (Sloan et al., 2017). LED lighting, HVAC systems with smart controls, and </w:t>
      </w:r>
      <w:r>
        <w:rPr>
          <w:szCs w:val="24"/>
          <w:lang w:val="en-US"/>
        </w:rPr>
        <w:lastRenderedPageBreak/>
        <w:t>on-site solar or wind energy production can cut energy consumption. Water-saving technology like low-flow plumbing and greywater systems should be funded to reduce the industry's impact on local water supplies (Han, 2021).</w:t>
      </w:r>
    </w:p>
    <w:p w14:paraId="14315B3F" w14:textId="77777777" w:rsidR="00097E86" w:rsidRDefault="00B56219">
      <w:pPr>
        <w:ind w:firstLine="0"/>
        <w:rPr>
          <w:szCs w:val="24"/>
          <w:lang w:val="en-US"/>
        </w:rPr>
      </w:pPr>
      <w:r>
        <w:rPr>
          <w:szCs w:val="24"/>
          <w:lang w:val="en-US"/>
        </w:rPr>
        <w:t>By using circular economy practises, hotels may reduce waste and promote resource conservation (Font and Lynes, 2018). To lessen their environmental impact, hotels can reuse and repurpose materials, upcycle furniture, and work with adjacent communities to enhance rubbish disposal (Legrand et al., 2022). The local economy and transportation carbon footprint can be improved by using sustainable local products (Cooper, 2021).</w:t>
      </w:r>
    </w:p>
    <w:p w14:paraId="4486468B" w14:textId="77777777" w:rsidR="00097E86" w:rsidRDefault="00097E86">
      <w:pPr>
        <w:ind w:firstLine="0"/>
        <w:rPr>
          <w:szCs w:val="24"/>
          <w:lang w:val="en-US"/>
        </w:rPr>
      </w:pPr>
    </w:p>
    <w:p w14:paraId="6E4D2759" w14:textId="77777777" w:rsidR="00097E86" w:rsidRDefault="00B56219">
      <w:pPr>
        <w:pStyle w:val="Heading2"/>
      </w:pPr>
      <w:bookmarkStart w:id="12" w:name="_Toc23044"/>
      <w:r>
        <w:t>b. Balancing profitability and sustainability for long-term success</w:t>
      </w:r>
      <w:bookmarkEnd w:id="12"/>
    </w:p>
    <w:p w14:paraId="20EB6DE8" w14:textId="77777777" w:rsidR="00097E86" w:rsidRDefault="00B56219">
      <w:pPr>
        <w:ind w:firstLine="0"/>
        <w:rPr>
          <w:szCs w:val="24"/>
          <w:lang w:val="en-US"/>
        </w:rPr>
      </w:pPr>
      <w:r>
        <w:rPr>
          <w:szCs w:val="24"/>
          <w:lang w:val="en-US"/>
        </w:rPr>
        <w:t>The hospitality industry must balance profitability and sustainability for long-term success. Sustainable practises may seem expensive, yet they save money over time (Sloan et al., 2017). Sustainability project financials require cost-benefit analysis (Haski-Leventhal, 2018). The economic benefits of sustainability efforts are highlighted in this study to facilitate decision-making. Adding sustainability to your business's strategy and branding will increase its reputation, attracting more environmentally conscious customers and more money (Rhou and Singal, 2020). A business can distinguish out in a crowded market by utilising innovative waste-reduction technologies or creating unique sustainable visitor experiences (Costa and Costa, 2022). This competitive edge has helped the industry's long-term performance and profitability. Finally, a strategic approach that links sustainability with financial goals benefits the environment and a hospitality business's profitability and longevity.</w:t>
      </w:r>
    </w:p>
    <w:p w14:paraId="02E41867" w14:textId="77777777" w:rsidR="00097E86" w:rsidRDefault="00097E86">
      <w:pPr>
        <w:ind w:firstLine="0"/>
        <w:rPr>
          <w:szCs w:val="24"/>
          <w:lang w:val="en-US"/>
        </w:rPr>
      </w:pPr>
    </w:p>
    <w:p w14:paraId="0388E6F6" w14:textId="77777777" w:rsidR="00097E86" w:rsidRDefault="00B56219">
      <w:pPr>
        <w:pStyle w:val="Heading1"/>
        <w:rPr>
          <w:rFonts w:cs="Arial"/>
          <w:color w:val="000000" w:themeColor="text1"/>
          <w:szCs w:val="24"/>
        </w:rPr>
      </w:pPr>
      <w:bookmarkStart w:id="13" w:name="_Toc28019"/>
      <w:bookmarkStart w:id="14" w:name="_Toc9135"/>
      <w:bookmarkStart w:id="15" w:name="_Toc12425"/>
      <w:bookmarkStart w:id="16" w:name="_Toc24156"/>
      <w:bookmarkStart w:id="17" w:name="_Toc28935"/>
      <w:r>
        <w:rPr>
          <w:rFonts w:cs="Arial"/>
          <w:color w:val="000000" w:themeColor="text1"/>
          <w:szCs w:val="24"/>
        </w:rPr>
        <w:t>Conclusion</w:t>
      </w:r>
      <w:bookmarkEnd w:id="13"/>
      <w:bookmarkEnd w:id="14"/>
      <w:bookmarkEnd w:id="15"/>
      <w:bookmarkEnd w:id="16"/>
      <w:bookmarkEnd w:id="17"/>
    </w:p>
    <w:p w14:paraId="3611200C" w14:textId="77777777" w:rsidR="00097E86" w:rsidRDefault="00B56219">
      <w:pPr>
        <w:ind w:firstLine="0"/>
        <w:rPr>
          <w:szCs w:val="24"/>
        </w:rPr>
      </w:pPr>
      <w:r>
        <w:rPr>
          <w:szCs w:val="24"/>
        </w:rPr>
        <w:t>The hospitality and tourism industry relies on environmentally friendly practises to thrive. Examining models, strategies, and industry practises shows the benefits of sustainable operations. Sustainability is now a strategic and moral imperative for this industry.</w:t>
      </w:r>
      <w:r>
        <w:rPr>
          <w:szCs w:val="24"/>
          <w:lang w:val="en-US"/>
        </w:rPr>
        <w:t xml:space="preserve"> </w:t>
      </w:r>
      <w:r>
        <w:rPr>
          <w:szCs w:val="24"/>
        </w:rPr>
        <w:t>Nature and traditional lifestyles are protected by the hospitality and tourism industry. It must safeguard the environment, service its customers, and minimise its carbon footprint. Sustainable practises can reduce climate change and boost productivity.</w:t>
      </w:r>
      <w:r>
        <w:rPr>
          <w:szCs w:val="24"/>
          <w:lang w:val="en-US"/>
        </w:rPr>
        <w:t xml:space="preserve"> </w:t>
      </w:r>
      <w:r>
        <w:rPr>
          <w:szCs w:val="24"/>
        </w:rPr>
        <w:t xml:space="preserve">Energy-efficient technologies, water conservation, trash management, and community cooperation are </w:t>
      </w:r>
      <w:r>
        <w:rPr>
          <w:szCs w:val="24"/>
        </w:rPr>
        <w:lastRenderedPageBreak/>
        <w:t>basic sustainability measure. The circular economy and ethical raw material sourcing are becoming more important to promote sustainability and reduce waste.</w:t>
      </w:r>
      <w:r>
        <w:rPr>
          <w:szCs w:val="24"/>
          <w:lang w:val="en-US"/>
        </w:rPr>
        <w:t xml:space="preserve"> </w:t>
      </w:r>
      <w:r>
        <w:rPr>
          <w:szCs w:val="24"/>
        </w:rPr>
        <w:t xml:space="preserve">Today's buyers like sustainable products because of their environmental and social benefits. This consumer behaviour change emphasises sustainability as a branding and marketing strategy. </w:t>
      </w:r>
    </w:p>
    <w:p w14:paraId="4A072B11" w14:textId="77777777" w:rsidR="00097E86" w:rsidRDefault="00097E86">
      <w:pPr>
        <w:ind w:firstLine="0"/>
        <w:rPr>
          <w:szCs w:val="24"/>
        </w:rPr>
      </w:pPr>
    </w:p>
    <w:p w14:paraId="100BF702" w14:textId="77777777" w:rsidR="00097E86" w:rsidRDefault="00B56219">
      <w:pPr>
        <w:ind w:firstLine="0"/>
        <w:rPr>
          <w:rFonts w:cs="Arial"/>
          <w:szCs w:val="24"/>
        </w:rPr>
      </w:pPr>
      <w:r>
        <w:rPr>
          <w:rFonts w:cs="Arial"/>
          <w:szCs w:val="24"/>
        </w:rPr>
        <w:br w:type="page"/>
      </w:r>
    </w:p>
    <w:p w14:paraId="360FB44F" w14:textId="77777777" w:rsidR="00097E86" w:rsidRDefault="00B56219">
      <w:pPr>
        <w:pStyle w:val="Heading1"/>
        <w:rPr>
          <w:rFonts w:cs="Arial"/>
          <w:color w:val="000000" w:themeColor="text1"/>
          <w:szCs w:val="24"/>
        </w:rPr>
      </w:pPr>
      <w:bookmarkStart w:id="18" w:name="_Toc127471479"/>
      <w:bookmarkStart w:id="19" w:name="_Toc15782"/>
      <w:r>
        <w:rPr>
          <w:rFonts w:cs="Arial"/>
          <w:color w:val="000000" w:themeColor="text1"/>
          <w:szCs w:val="24"/>
        </w:rPr>
        <w:lastRenderedPageBreak/>
        <w:t>References</w:t>
      </w:r>
      <w:bookmarkEnd w:id="18"/>
      <w:bookmarkEnd w:id="19"/>
    </w:p>
    <w:p w14:paraId="13851777" w14:textId="77777777" w:rsidR="00097E86" w:rsidRDefault="00B56219">
      <w:pPr>
        <w:ind w:left="480" w:hangingChars="200" w:hanging="480"/>
        <w:contextualSpacing/>
        <w:rPr>
          <w:rFonts w:cs="Arial"/>
          <w:szCs w:val="24"/>
          <w:shd w:val="clear" w:color="auto" w:fill="FFFFFF"/>
          <w:lang w:val="en-US"/>
        </w:rPr>
      </w:pPr>
      <w:r>
        <w:rPr>
          <w:rFonts w:cs="Arial"/>
          <w:szCs w:val="24"/>
          <w:shd w:val="clear" w:color="auto" w:fill="FFFFFF"/>
          <w:lang w:val="en-US"/>
        </w:rPr>
        <w:t>Cooper, C. (2021) Essentials of tourism. Third edition. London: SAGE.</w:t>
      </w:r>
    </w:p>
    <w:p w14:paraId="73E1DEC2" w14:textId="77777777" w:rsidR="00097E86" w:rsidRDefault="00B56219">
      <w:pPr>
        <w:ind w:left="480" w:hangingChars="200" w:hanging="480"/>
        <w:contextualSpacing/>
        <w:rPr>
          <w:rFonts w:cs="Arial"/>
          <w:szCs w:val="24"/>
          <w:shd w:val="clear" w:color="auto" w:fill="FFFFFF"/>
          <w:lang w:val="en-US"/>
        </w:rPr>
      </w:pPr>
      <w:r>
        <w:rPr>
          <w:rFonts w:cs="Arial"/>
          <w:szCs w:val="24"/>
          <w:shd w:val="clear" w:color="auto" w:fill="FFFFFF"/>
          <w:lang w:val="en-US"/>
        </w:rPr>
        <w:t>Costa, and Costa, C. (2022). Sustainability and competitiveness in the hospitality industry (Costa and C. Costa, Eds.). Business Science Reference</w:t>
      </w:r>
    </w:p>
    <w:p w14:paraId="3B2BB0F6" w14:textId="77777777" w:rsidR="00097E86" w:rsidRDefault="00B56219">
      <w:pPr>
        <w:ind w:left="480" w:hangingChars="200" w:hanging="480"/>
        <w:contextualSpacing/>
        <w:rPr>
          <w:rFonts w:cs="Arial"/>
          <w:szCs w:val="24"/>
          <w:shd w:val="clear" w:color="auto" w:fill="FFFFFF"/>
          <w:lang w:val="en-US"/>
        </w:rPr>
      </w:pPr>
      <w:r>
        <w:rPr>
          <w:rFonts w:cs="Arial"/>
          <w:szCs w:val="24"/>
          <w:shd w:val="clear" w:color="auto" w:fill="FFFFFF"/>
          <w:lang w:val="en-US"/>
        </w:rPr>
        <w:t>Font, X., and Lynes, J. (2018). Corporate social responsibility in tourism and hospitality. Journal of Sustainable Tourism, 26(7), 1027-1042.</w:t>
      </w:r>
    </w:p>
    <w:p w14:paraId="1630AA35" w14:textId="77777777" w:rsidR="00097E86" w:rsidRDefault="00B56219">
      <w:pPr>
        <w:ind w:left="480" w:hangingChars="200" w:hanging="480"/>
        <w:contextualSpacing/>
        <w:rPr>
          <w:rFonts w:cs="Arial"/>
          <w:szCs w:val="24"/>
          <w:shd w:val="clear" w:color="auto" w:fill="FFFFFF"/>
          <w:lang w:val="en-US"/>
        </w:rPr>
      </w:pPr>
      <w:r>
        <w:rPr>
          <w:rFonts w:cs="Arial"/>
          <w:szCs w:val="24"/>
          <w:shd w:val="clear" w:color="auto" w:fill="FFFFFF"/>
          <w:lang w:val="en-US"/>
        </w:rPr>
        <w:t>Han, H. (2021). Consumer behavior and environmental sustainability in tourism and hospitality: A review of theories, concepts, and latest research. Journal of Sustainable Tourism, 29(7), 1021-1042.</w:t>
      </w:r>
    </w:p>
    <w:p w14:paraId="63FE68C0" w14:textId="77777777" w:rsidR="00097E86" w:rsidRDefault="00B56219">
      <w:pPr>
        <w:ind w:left="480" w:hangingChars="200" w:hanging="480"/>
        <w:contextualSpacing/>
        <w:rPr>
          <w:rFonts w:cs="Arial"/>
          <w:szCs w:val="24"/>
          <w:shd w:val="clear" w:color="auto" w:fill="FFFFFF"/>
          <w:lang w:val="en-US"/>
        </w:rPr>
      </w:pPr>
      <w:r>
        <w:rPr>
          <w:rFonts w:cs="Arial"/>
          <w:szCs w:val="24"/>
          <w:shd w:val="clear" w:color="auto" w:fill="FFFFFF"/>
          <w:lang w:val="en-US"/>
        </w:rPr>
        <w:t>Haski-Leventhal, D. (2018) Strategic corporate social responsibility : tools and theories for responsible management. London: SAGE.</w:t>
      </w:r>
    </w:p>
    <w:p w14:paraId="3205821D" w14:textId="77777777" w:rsidR="00097E86" w:rsidRDefault="00B56219">
      <w:pPr>
        <w:ind w:left="480" w:hangingChars="200" w:hanging="480"/>
        <w:contextualSpacing/>
        <w:rPr>
          <w:rFonts w:cs="Arial"/>
          <w:szCs w:val="24"/>
          <w:shd w:val="clear" w:color="auto" w:fill="FFFFFF"/>
          <w:lang w:val="en-US"/>
        </w:rPr>
      </w:pPr>
      <w:r>
        <w:rPr>
          <w:rFonts w:cs="Arial"/>
          <w:szCs w:val="24"/>
          <w:shd w:val="clear" w:color="auto" w:fill="FFFFFF"/>
          <w:lang w:val="en-US"/>
        </w:rPr>
        <w:t>Inkson, C. and Minnaert, L. (2018) Tourism management : an introduction. 2nd ed. London: SAGE.</w:t>
      </w:r>
    </w:p>
    <w:p w14:paraId="185D6FC0" w14:textId="77777777" w:rsidR="00097E86" w:rsidRDefault="00B56219">
      <w:pPr>
        <w:ind w:left="480" w:hangingChars="200" w:hanging="480"/>
        <w:contextualSpacing/>
        <w:rPr>
          <w:rFonts w:cs="Arial"/>
          <w:szCs w:val="24"/>
          <w:shd w:val="clear" w:color="auto" w:fill="FFFFFF"/>
          <w:lang w:val="en-US"/>
        </w:rPr>
      </w:pPr>
      <w:r>
        <w:rPr>
          <w:rFonts w:cs="Arial"/>
          <w:szCs w:val="24"/>
          <w:shd w:val="clear" w:color="auto" w:fill="FFFFFF"/>
          <w:lang w:val="en-US"/>
        </w:rPr>
        <w:t>Jauhari, V (2021) ‘Managing Sustainability in the Hospitality and Tourism Industry: Paradigms and Directions for the Future’ 9 th edn.Oakville: Apple Academic Press. Inc</w:t>
      </w:r>
    </w:p>
    <w:p w14:paraId="5394CABA" w14:textId="77777777" w:rsidR="00097E86" w:rsidRDefault="00B56219">
      <w:pPr>
        <w:ind w:left="480" w:hangingChars="200" w:hanging="480"/>
        <w:contextualSpacing/>
        <w:rPr>
          <w:rFonts w:cs="Arial"/>
          <w:szCs w:val="24"/>
          <w:shd w:val="clear" w:color="auto" w:fill="FFFFFF"/>
          <w:lang w:val="en-US"/>
        </w:rPr>
      </w:pPr>
      <w:r>
        <w:rPr>
          <w:rFonts w:cs="Arial"/>
          <w:szCs w:val="24"/>
          <w:shd w:val="clear" w:color="auto" w:fill="FFFFFF"/>
          <w:lang w:val="en-US"/>
        </w:rPr>
        <w:t>Legrand, W., Chen, J. S., and Laeis, G. C. (2022). Sustainability in the hospitality industry: Principles of sustainable operations. Taylor and Francis.</w:t>
      </w:r>
    </w:p>
    <w:p w14:paraId="0E322155" w14:textId="77777777" w:rsidR="00097E86" w:rsidRDefault="00B56219">
      <w:pPr>
        <w:ind w:left="480" w:hangingChars="200" w:hanging="480"/>
        <w:contextualSpacing/>
        <w:rPr>
          <w:rFonts w:cs="Arial"/>
          <w:szCs w:val="24"/>
          <w:shd w:val="clear" w:color="auto" w:fill="FFFFFF"/>
          <w:lang w:val="en-US"/>
        </w:rPr>
      </w:pPr>
      <w:r>
        <w:rPr>
          <w:rFonts w:cs="Arial"/>
          <w:szCs w:val="24"/>
          <w:shd w:val="clear" w:color="auto" w:fill="FFFFFF"/>
          <w:lang w:val="en-US"/>
        </w:rPr>
        <w:t>Rhou, Y., and Singal, M. (2020). A review of the business case for CSR in the hospitality industry. International Journal of Hospitality Management, 84, 102330.</w:t>
      </w:r>
    </w:p>
    <w:p w14:paraId="3435729A" w14:textId="77777777" w:rsidR="00097E86" w:rsidRDefault="00B56219">
      <w:pPr>
        <w:ind w:left="480" w:hangingChars="200" w:hanging="480"/>
        <w:contextualSpacing/>
        <w:rPr>
          <w:rFonts w:cs="Arial"/>
          <w:szCs w:val="24"/>
          <w:shd w:val="clear" w:color="auto" w:fill="FFFFFF"/>
          <w:lang w:val="en-US"/>
        </w:rPr>
      </w:pPr>
      <w:r>
        <w:rPr>
          <w:rFonts w:cs="Arial"/>
          <w:szCs w:val="24"/>
          <w:shd w:val="clear" w:color="auto" w:fill="FFFFFF"/>
          <w:lang w:val="en-US"/>
        </w:rPr>
        <w:t>Shang, Y., Zhu, L., Qian, F., and Xie, Y. (2023). Role of green finance in renewable energy development in the tourism sector. Renewable Energy, 206, 890-896.</w:t>
      </w:r>
    </w:p>
    <w:p w14:paraId="017A44AF" w14:textId="77777777" w:rsidR="00097E86" w:rsidRDefault="00B56219">
      <w:pPr>
        <w:ind w:left="480" w:hangingChars="200" w:hanging="480"/>
        <w:contextualSpacing/>
        <w:rPr>
          <w:rFonts w:cs="Arial"/>
          <w:szCs w:val="24"/>
          <w:shd w:val="clear" w:color="auto" w:fill="FFFFFF"/>
          <w:lang w:val="en-US"/>
        </w:rPr>
      </w:pPr>
      <w:r>
        <w:rPr>
          <w:rFonts w:cs="Arial"/>
          <w:szCs w:val="24"/>
          <w:shd w:val="clear" w:color="auto" w:fill="FFFFFF"/>
          <w:lang w:val="en-US"/>
        </w:rPr>
        <w:t>Sloan, P., Legrand, W. and Chen, J.S. (2017) Sustainability in the hospitality industry : principles of sustainable operations. 3rd edn. London: Butterworth-Heinemann</w:t>
      </w:r>
    </w:p>
    <w:p w14:paraId="4AA98CAB" w14:textId="77777777" w:rsidR="00097E86" w:rsidRDefault="00B56219">
      <w:pPr>
        <w:ind w:left="480" w:hangingChars="200" w:hanging="480"/>
        <w:contextualSpacing/>
        <w:rPr>
          <w:rFonts w:cs="Arial"/>
          <w:szCs w:val="24"/>
          <w:shd w:val="clear" w:color="auto" w:fill="FFFFFF"/>
          <w:lang w:val="en-US"/>
        </w:rPr>
      </w:pPr>
      <w:r>
        <w:rPr>
          <w:rFonts w:cs="Arial"/>
          <w:szCs w:val="24"/>
          <w:shd w:val="clear" w:color="auto" w:fill="FFFFFF"/>
          <w:lang w:val="en-US"/>
        </w:rPr>
        <w:t>Strobl, A., and Kronenberg, C. (2016). Entrepreneurial networks across the business life cycle: the case of Alpine hospitality entrepreneurs. International Journal of Contemporary Hospitality Management, 28(6), 1177-1203.</w:t>
      </w:r>
    </w:p>
    <w:p w14:paraId="65866492" w14:textId="77777777" w:rsidR="00097E86" w:rsidRDefault="00B56219">
      <w:pPr>
        <w:ind w:left="480" w:hangingChars="200" w:hanging="480"/>
        <w:contextualSpacing/>
        <w:rPr>
          <w:rFonts w:cs="Arial"/>
          <w:szCs w:val="24"/>
          <w:shd w:val="clear" w:color="auto" w:fill="FFFFFF"/>
          <w:lang w:val="en-US"/>
        </w:rPr>
      </w:pPr>
      <w:r>
        <w:rPr>
          <w:rFonts w:cs="Arial"/>
          <w:szCs w:val="24"/>
          <w:shd w:val="clear" w:color="auto" w:fill="FFFFFF"/>
          <w:lang w:val="en-US"/>
        </w:rPr>
        <w:t>Wise, N. (2016). Outlining triple bottom line contexts in urban tourism regeneration. Cities, 53, 30-34.</w:t>
      </w:r>
    </w:p>
    <w:p w14:paraId="6FCD2248" w14:textId="77777777" w:rsidR="00097E86" w:rsidRDefault="00097E86">
      <w:pPr>
        <w:ind w:left="480" w:hangingChars="200" w:hanging="480"/>
        <w:contextualSpacing/>
        <w:rPr>
          <w:rFonts w:cs="Arial"/>
          <w:szCs w:val="24"/>
          <w:shd w:val="clear" w:color="auto" w:fill="FFFFFF"/>
          <w:lang w:val="en-US"/>
        </w:rPr>
      </w:pPr>
    </w:p>
    <w:p w14:paraId="2BA91DEB" w14:textId="77777777" w:rsidR="00097E86" w:rsidRDefault="00097E86">
      <w:pPr>
        <w:ind w:left="480" w:hangingChars="200" w:hanging="480"/>
        <w:contextualSpacing/>
        <w:rPr>
          <w:rFonts w:cs="Arial"/>
          <w:szCs w:val="24"/>
          <w:shd w:val="clear" w:color="auto" w:fill="FFFFFF"/>
          <w:lang w:val="en-US"/>
        </w:rPr>
      </w:pPr>
    </w:p>
    <w:sectPr w:rsidR="00097E86">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712780B" w14:textId="77777777" w:rsidR="00976CB2" w:rsidRDefault="00976CB2">
      <w:pPr>
        <w:spacing w:line="240" w:lineRule="auto"/>
      </w:pPr>
      <w:r>
        <w:separator/>
      </w:r>
    </w:p>
  </w:endnote>
  <w:endnote w:type="continuationSeparator" w:id="0">
    <w:p w14:paraId="7F493410" w14:textId="77777777" w:rsidR="00976CB2" w:rsidRDefault="00976CB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等线 Light">
    <w:altName w:val="ESRI AMFM Electric"/>
    <w:charset w:val="00"/>
    <w:family w:val="auto"/>
    <w:pitch w:val="default"/>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A88F95E" w14:textId="77777777" w:rsidR="00976CB2" w:rsidRDefault="00976CB2">
      <w:r>
        <w:separator/>
      </w:r>
    </w:p>
  </w:footnote>
  <w:footnote w:type="continuationSeparator" w:id="0">
    <w:p w14:paraId="3DD0A6DC" w14:textId="77777777" w:rsidR="00976CB2" w:rsidRDefault="00976CB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19109822"/>
    </w:sdtPr>
    <w:sdtEndPr/>
    <w:sdtContent>
      <w:p w14:paraId="5B53F7D6" w14:textId="2871EA17" w:rsidR="00097E86" w:rsidRDefault="00B56219">
        <w:pPr>
          <w:pStyle w:val="Header"/>
          <w:jc w:val="right"/>
        </w:pPr>
        <w:r>
          <w:fldChar w:fldCharType="begin"/>
        </w:r>
        <w:r>
          <w:instrText xml:space="preserve"> PAGE   \* MERGEFORMAT </w:instrText>
        </w:r>
        <w:r>
          <w:fldChar w:fldCharType="separate"/>
        </w:r>
        <w:r w:rsidR="007D467E">
          <w:rPr>
            <w:noProof/>
          </w:rPr>
          <w:t>11</w:t>
        </w:r>
        <w:r>
          <w:fldChar w:fldCharType="end"/>
        </w:r>
      </w:p>
    </w:sdtContent>
  </w:sdt>
  <w:p w14:paraId="3F57B2DF" w14:textId="77777777" w:rsidR="00097E86" w:rsidRDefault="00097E8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noPunctuationKerning/>
  <w:characterSpacingControl w:val="doNotCompress"/>
  <w:hdrShapeDefaults>
    <o:shapedefaults v:ext="edit" spidmax="2049"/>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QwMDQ1Nje3sDQ2MrZQ0lEKTi0uzszPAykwqQUAlr3oYywAAAA="/>
  </w:docVars>
  <w:rsids>
    <w:rsidRoot w:val="00C90AE2"/>
    <w:rsid w:val="000114BB"/>
    <w:rsid w:val="00024B37"/>
    <w:rsid w:val="00042FFA"/>
    <w:rsid w:val="00046C9B"/>
    <w:rsid w:val="0005503C"/>
    <w:rsid w:val="00097E86"/>
    <w:rsid w:val="000D2063"/>
    <w:rsid w:val="000E0DB1"/>
    <w:rsid w:val="001023E0"/>
    <w:rsid w:val="00106C63"/>
    <w:rsid w:val="00146D3E"/>
    <w:rsid w:val="001505E5"/>
    <w:rsid w:val="0016787B"/>
    <w:rsid w:val="00192AAE"/>
    <w:rsid w:val="00193C40"/>
    <w:rsid w:val="00197798"/>
    <w:rsid w:val="001A523E"/>
    <w:rsid w:val="001E61E7"/>
    <w:rsid w:val="002240F3"/>
    <w:rsid w:val="002440DB"/>
    <w:rsid w:val="002620AA"/>
    <w:rsid w:val="0027131F"/>
    <w:rsid w:val="002773FE"/>
    <w:rsid w:val="00294BB3"/>
    <w:rsid w:val="00297E22"/>
    <w:rsid w:val="002F124C"/>
    <w:rsid w:val="003123B5"/>
    <w:rsid w:val="00316AA6"/>
    <w:rsid w:val="00334C55"/>
    <w:rsid w:val="003739B4"/>
    <w:rsid w:val="00391E90"/>
    <w:rsid w:val="003B6D5B"/>
    <w:rsid w:val="003D1C82"/>
    <w:rsid w:val="003F4D27"/>
    <w:rsid w:val="0046535A"/>
    <w:rsid w:val="00477044"/>
    <w:rsid w:val="00496419"/>
    <w:rsid w:val="004C55E6"/>
    <w:rsid w:val="004E3382"/>
    <w:rsid w:val="004F70B6"/>
    <w:rsid w:val="00535A11"/>
    <w:rsid w:val="00537850"/>
    <w:rsid w:val="00546509"/>
    <w:rsid w:val="0055550A"/>
    <w:rsid w:val="00555C8C"/>
    <w:rsid w:val="00557FD5"/>
    <w:rsid w:val="0056322B"/>
    <w:rsid w:val="00574FB9"/>
    <w:rsid w:val="0057553D"/>
    <w:rsid w:val="00594537"/>
    <w:rsid w:val="005A6824"/>
    <w:rsid w:val="005F1943"/>
    <w:rsid w:val="00635F86"/>
    <w:rsid w:val="0065181D"/>
    <w:rsid w:val="00655F08"/>
    <w:rsid w:val="00660D13"/>
    <w:rsid w:val="00662601"/>
    <w:rsid w:val="0066264C"/>
    <w:rsid w:val="0066585C"/>
    <w:rsid w:val="00676A76"/>
    <w:rsid w:val="00682836"/>
    <w:rsid w:val="0068482A"/>
    <w:rsid w:val="00692B30"/>
    <w:rsid w:val="006A26FD"/>
    <w:rsid w:val="006A69CE"/>
    <w:rsid w:val="006C6863"/>
    <w:rsid w:val="006D5E16"/>
    <w:rsid w:val="006F331D"/>
    <w:rsid w:val="00711180"/>
    <w:rsid w:val="007410DB"/>
    <w:rsid w:val="00741B0A"/>
    <w:rsid w:val="00742BBA"/>
    <w:rsid w:val="00750806"/>
    <w:rsid w:val="007558F3"/>
    <w:rsid w:val="00765046"/>
    <w:rsid w:val="00782D9E"/>
    <w:rsid w:val="00793716"/>
    <w:rsid w:val="007A70FD"/>
    <w:rsid w:val="007D467E"/>
    <w:rsid w:val="007D773C"/>
    <w:rsid w:val="007F0759"/>
    <w:rsid w:val="0081724E"/>
    <w:rsid w:val="00823E64"/>
    <w:rsid w:val="00827369"/>
    <w:rsid w:val="008522BD"/>
    <w:rsid w:val="008523B0"/>
    <w:rsid w:val="00852E96"/>
    <w:rsid w:val="008A4046"/>
    <w:rsid w:val="008A6BD9"/>
    <w:rsid w:val="008A7586"/>
    <w:rsid w:val="00922C4B"/>
    <w:rsid w:val="00934EB0"/>
    <w:rsid w:val="00944D22"/>
    <w:rsid w:val="00946C7D"/>
    <w:rsid w:val="00967BF0"/>
    <w:rsid w:val="00976CB2"/>
    <w:rsid w:val="00982D16"/>
    <w:rsid w:val="009C2FE4"/>
    <w:rsid w:val="009F27BC"/>
    <w:rsid w:val="00A1753E"/>
    <w:rsid w:val="00A304A2"/>
    <w:rsid w:val="00A31271"/>
    <w:rsid w:val="00A81595"/>
    <w:rsid w:val="00A9023E"/>
    <w:rsid w:val="00AB287D"/>
    <w:rsid w:val="00AB377A"/>
    <w:rsid w:val="00AD67B1"/>
    <w:rsid w:val="00AF3F19"/>
    <w:rsid w:val="00B41CA0"/>
    <w:rsid w:val="00B44D48"/>
    <w:rsid w:val="00B50C02"/>
    <w:rsid w:val="00B56219"/>
    <w:rsid w:val="00B614A2"/>
    <w:rsid w:val="00B62FDF"/>
    <w:rsid w:val="00B640CE"/>
    <w:rsid w:val="00B71D2B"/>
    <w:rsid w:val="00B84690"/>
    <w:rsid w:val="00B97311"/>
    <w:rsid w:val="00BA30E8"/>
    <w:rsid w:val="00BA3754"/>
    <w:rsid w:val="00BB57C1"/>
    <w:rsid w:val="00C02CFC"/>
    <w:rsid w:val="00C24299"/>
    <w:rsid w:val="00C42089"/>
    <w:rsid w:val="00C46FE5"/>
    <w:rsid w:val="00C7417F"/>
    <w:rsid w:val="00C74E49"/>
    <w:rsid w:val="00C90AE2"/>
    <w:rsid w:val="00CE2A7E"/>
    <w:rsid w:val="00CE2F0E"/>
    <w:rsid w:val="00CE63C0"/>
    <w:rsid w:val="00CF036D"/>
    <w:rsid w:val="00D014C1"/>
    <w:rsid w:val="00D0543B"/>
    <w:rsid w:val="00D0713D"/>
    <w:rsid w:val="00D25630"/>
    <w:rsid w:val="00D97031"/>
    <w:rsid w:val="00DC61C2"/>
    <w:rsid w:val="00DC7916"/>
    <w:rsid w:val="00DE6E12"/>
    <w:rsid w:val="00DF4663"/>
    <w:rsid w:val="00DF74F0"/>
    <w:rsid w:val="00E0434D"/>
    <w:rsid w:val="00E0642C"/>
    <w:rsid w:val="00E06948"/>
    <w:rsid w:val="00E2289D"/>
    <w:rsid w:val="00E24589"/>
    <w:rsid w:val="00E4306A"/>
    <w:rsid w:val="00E43CBF"/>
    <w:rsid w:val="00E4534A"/>
    <w:rsid w:val="00E534D8"/>
    <w:rsid w:val="00E620C9"/>
    <w:rsid w:val="00EC0938"/>
    <w:rsid w:val="00EF1045"/>
    <w:rsid w:val="00F04CA2"/>
    <w:rsid w:val="00F12DD1"/>
    <w:rsid w:val="00F140D5"/>
    <w:rsid w:val="00F174AD"/>
    <w:rsid w:val="00F2376B"/>
    <w:rsid w:val="00F7344F"/>
    <w:rsid w:val="00F7766F"/>
    <w:rsid w:val="00FB1453"/>
    <w:rsid w:val="00FC1458"/>
    <w:rsid w:val="00FE4D91"/>
    <w:rsid w:val="01BE3BEC"/>
    <w:rsid w:val="02713ECF"/>
    <w:rsid w:val="029670B0"/>
    <w:rsid w:val="03457D43"/>
    <w:rsid w:val="03D432C5"/>
    <w:rsid w:val="03D67F82"/>
    <w:rsid w:val="04DB7EE8"/>
    <w:rsid w:val="04E77346"/>
    <w:rsid w:val="060A6EE3"/>
    <w:rsid w:val="067370A2"/>
    <w:rsid w:val="074912AC"/>
    <w:rsid w:val="07D13BE9"/>
    <w:rsid w:val="08DD077D"/>
    <w:rsid w:val="09005B9E"/>
    <w:rsid w:val="09903C9B"/>
    <w:rsid w:val="0B5155A0"/>
    <w:rsid w:val="0B83153D"/>
    <w:rsid w:val="0BDA5B72"/>
    <w:rsid w:val="0C7E676A"/>
    <w:rsid w:val="0DB4420C"/>
    <w:rsid w:val="0DC66338"/>
    <w:rsid w:val="0EDA076B"/>
    <w:rsid w:val="0F554F54"/>
    <w:rsid w:val="100A68DF"/>
    <w:rsid w:val="10B803CA"/>
    <w:rsid w:val="11223B28"/>
    <w:rsid w:val="11C33160"/>
    <w:rsid w:val="12F92BFB"/>
    <w:rsid w:val="14003E71"/>
    <w:rsid w:val="14A84978"/>
    <w:rsid w:val="1520484C"/>
    <w:rsid w:val="15671D54"/>
    <w:rsid w:val="16B02545"/>
    <w:rsid w:val="16D15681"/>
    <w:rsid w:val="17106DC9"/>
    <w:rsid w:val="18FD5F21"/>
    <w:rsid w:val="192656BE"/>
    <w:rsid w:val="1A4160EC"/>
    <w:rsid w:val="1AE90C7D"/>
    <w:rsid w:val="1BDF0051"/>
    <w:rsid w:val="1D2C738D"/>
    <w:rsid w:val="1D420479"/>
    <w:rsid w:val="1D567413"/>
    <w:rsid w:val="1F8B3EF6"/>
    <w:rsid w:val="202017B2"/>
    <w:rsid w:val="212E169D"/>
    <w:rsid w:val="21D21621"/>
    <w:rsid w:val="23040ECE"/>
    <w:rsid w:val="243E0148"/>
    <w:rsid w:val="243E2486"/>
    <w:rsid w:val="24D179A1"/>
    <w:rsid w:val="25815CE3"/>
    <w:rsid w:val="266F5191"/>
    <w:rsid w:val="276035B8"/>
    <w:rsid w:val="284F0A1F"/>
    <w:rsid w:val="28620C9E"/>
    <w:rsid w:val="2A564F1C"/>
    <w:rsid w:val="2AE0311F"/>
    <w:rsid w:val="2B5A68AC"/>
    <w:rsid w:val="2B6751A1"/>
    <w:rsid w:val="2BBE1E54"/>
    <w:rsid w:val="2BD34277"/>
    <w:rsid w:val="2BF04825"/>
    <w:rsid w:val="2C5B5B13"/>
    <w:rsid w:val="2C8B3B77"/>
    <w:rsid w:val="2C9C1FAD"/>
    <w:rsid w:val="2CB54318"/>
    <w:rsid w:val="2E144D73"/>
    <w:rsid w:val="2FF6325E"/>
    <w:rsid w:val="30273D1D"/>
    <w:rsid w:val="30DA263E"/>
    <w:rsid w:val="31045C48"/>
    <w:rsid w:val="310C5ADB"/>
    <w:rsid w:val="328D33FB"/>
    <w:rsid w:val="32CF5169"/>
    <w:rsid w:val="33321433"/>
    <w:rsid w:val="33507242"/>
    <w:rsid w:val="35B24179"/>
    <w:rsid w:val="36E71661"/>
    <w:rsid w:val="370928E9"/>
    <w:rsid w:val="37471E40"/>
    <w:rsid w:val="37A70E90"/>
    <w:rsid w:val="38FC5AA3"/>
    <w:rsid w:val="39D0007B"/>
    <w:rsid w:val="3A455684"/>
    <w:rsid w:val="3ACB4F85"/>
    <w:rsid w:val="3B8A3226"/>
    <w:rsid w:val="3B8A40BE"/>
    <w:rsid w:val="3CC2763E"/>
    <w:rsid w:val="3EC45B0A"/>
    <w:rsid w:val="3ED42FCB"/>
    <w:rsid w:val="3F034800"/>
    <w:rsid w:val="400D0385"/>
    <w:rsid w:val="40832B6C"/>
    <w:rsid w:val="40D66D9C"/>
    <w:rsid w:val="416D098E"/>
    <w:rsid w:val="420E64EB"/>
    <w:rsid w:val="42407FBF"/>
    <w:rsid w:val="42912758"/>
    <w:rsid w:val="431D412A"/>
    <w:rsid w:val="43C05E61"/>
    <w:rsid w:val="446012BE"/>
    <w:rsid w:val="44A142A6"/>
    <w:rsid w:val="45F95B5C"/>
    <w:rsid w:val="464F4CF3"/>
    <w:rsid w:val="46DD1A88"/>
    <w:rsid w:val="470A2EDA"/>
    <w:rsid w:val="47652830"/>
    <w:rsid w:val="47C170E4"/>
    <w:rsid w:val="49222F70"/>
    <w:rsid w:val="49E97FD0"/>
    <w:rsid w:val="49EB6D57"/>
    <w:rsid w:val="49EE6B1C"/>
    <w:rsid w:val="4B3C6A51"/>
    <w:rsid w:val="4C2F6420"/>
    <w:rsid w:val="4C6A76CD"/>
    <w:rsid w:val="4CCD7950"/>
    <w:rsid w:val="4D88254F"/>
    <w:rsid w:val="4E892B8E"/>
    <w:rsid w:val="4F1B24A1"/>
    <w:rsid w:val="4FB045C9"/>
    <w:rsid w:val="4FEC0106"/>
    <w:rsid w:val="509A4341"/>
    <w:rsid w:val="521046FE"/>
    <w:rsid w:val="525B32AE"/>
    <w:rsid w:val="53427D28"/>
    <w:rsid w:val="534976B3"/>
    <w:rsid w:val="54D7233D"/>
    <w:rsid w:val="54E502EA"/>
    <w:rsid w:val="55434BCF"/>
    <w:rsid w:val="556A7762"/>
    <w:rsid w:val="55F777AB"/>
    <w:rsid w:val="57A803AC"/>
    <w:rsid w:val="581E3286"/>
    <w:rsid w:val="58254EED"/>
    <w:rsid w:val="59E62395"/>
    <w:rsid w:val="59F273E9"/>
    <w:rsid w:val="5AA10BBF"/>
    <w:rsid w:val="5AC90A3C"/>
    <w:rsid w:val="5B276899"/>
    <w:rsid w:val="5D153F00"/>
    <w:rsid w:val="5EE70CA7"/>
    <w:rsid w:val="5F3D33F1"/>
    <w:rsid w:val="60DC26AF"/>
    <w:rsid w:val="61136531"/>
    <w:rsid w:val="61E3617D"/>
    <w:rsid w:val="6316159D"/>
    <w:rsid w:val="63AB746A"/>
    <w:rsid w:val="63B9462A"/>
    <w:rsid w:val="656161B7"/>
    <w:rsid w:val="663F60B3"/>
    <w:rsid w:val="68D779D0"/>
    <w:rsid w:val="6A300EBE"/>
    <w:rsid w:val="6B165840"/>
    <w:rsid w:val="6BBA6AA5"/>
    <w:rsid w:val="6BBA7E94"/>
    <w:rsid w:val="6C364E1E"/>
    <w:rsid w:val="6CDA5ADC"/>
    <w:rsid w:val="6CF2497E"/>
    <w:rsid w:val="6E306D57"/>
    <w:rsid w:val="6E857CCC"/>
    <w:rsid w:val="70230F84"/>
    <w:rsid w:val="702E2F9A"/>
    <w:rsid w:val="705D2CAC"/>
    <w:rsid w:val="70A3137D"/>
    <w:rsid w:val="70AD2C07"/>
    <w:rsid w:val="70D6093D"/>
    <w:rsid w:val="70FE1184"/>
    <w:rsid w:val="70FF2250"/>
    <w:rsid w:val="725715D2"/>
    <w:rsid w:val="7390108F"/>
    <w:rsid w:val="743059D3"/>
    <w:rsid w:val="744011C6"/>
    <w:rsid w:val="74F67B59"/>
    <w:rsid w:val="75B634FA"/>
    <w:rsid w:val="7791059C"/>
    <w:rsid w:val="78544F19"/>
    <w:rsid w:val="790B6327"/>
    <w:rsid w:val="79CC6D57"/>
    <w:rsid w:val="7A622655"/>
    <w:rsid w:val="7B462A30"/>
    <w:rsid w:val="7DAA55FB"/>
    <w:rsid w:val="7DAA6C39"/>
    <w:rsid w:val="7DC5345E"/>
    <w:rsid w:val="7DF00F37"/>
    <w:rsid w:val="7DF2702E"/>
    <w:rsid w:val="7EE01021"/>
    <w:rsid w:val="7EEE184F"/>
    <w:rsid w:val="7F2F39DC"/>
    <w:rsid w:val="7F7B2D34"/>
    <w:rsid w:val="7FF0666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1339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qFormat="1"/>
    <w:lsdException w:name="Medium Shading 2" w:uiPriority="64"/>
    <w:lsdException w:name="Medium List 1" w:uiPriority="65"/>
    <w:lsdException w:name="Medium List 2" w:uiPriority="66" w:qFormat="1"/>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qFormat="1"/>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qFormat="1"/>
    <w:lsdException w:name="Light Grid Accent 2" w:uiPriority="62"/>
    <w:lsdException w:name="Medium Shading 1 Accent 2" w:uiPriority="63" w:qFormat="1"/>
    <w:lsdException w:name="Medium Shading 2 Accent 2" w:uiPriority="64" w:qFormat="1"/>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qFormat="1"/>
    <w:lsdException w:name="Light List Accent 3" w:uiPriority="61"/>
    <w:lsdException w:name="Light Grid Accent 3" w:uiPriority="62"/>
    <w:lsdException w:name="Medium Shading 1 Accent 3" w:uiPriority="63" w:qFormat="1"/>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qFormat="1"/>
    <w:lsdException w:name="Light List Accent 4" w:uiPriority="61"/>
    <w:lsdException w:name="Light Grid Accent 4" w:uiPriority="62" w:qFormat="1"/>
    <w:lsdException w:name="Medium Shading 1 Accent 4" w:uiPriority="63" w:qFormat="1"/>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qFormat="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line="360" w:lineRule="auto"/>
      <w:ind w:firstLine="720"/>
      <w:jc w:val="both"/>
    </w:pPr>
    <w:rPr>
      <w:rFonts w:ascii="Arial" w:eastAsiaTheme="minorHAnsi" w:hAnsi="Arial" w:cstheme="minorBidi"/>
      <w:color w:val="000000" w:themeColor="text1"/>
      <w:sz w:val="24"/>
      <w:szCs w:val="22"/>
      <w:lang w:eastAsia="en-US"/>
    </w:rPr>
  </w:style>
  <w:style w:type="paragraph" w:styleId="Heading1">
    <w:name w:val="heading 1"/>
    <w:basedOn w:val="Normal"/>
    <w:next w:val="Normal"/>
    <w:link w:val="Heading1Char"/>
    <w:uiPriority w:val="9"/>
    <w:qFormat/>
    <w:pPr>
      <w:keepNext/>
      <w:keepLines/>
      <w:ind w:firstLine="0"/>
      <w:contextualSpacing/>
      <w:outlineLvl w:val="0"/>
    </w:pPr>
    <w:rPr>
      <w:rFonts w:eastAsiaTheme="majorEastAsia" w:cstheme="majorBidi"/>
      <w:b/>
      <w:color w:val="auto"/>
      <w:szCs w:val="32"/>
      <w:lang w:val="en-US" w:eastAsia="en-GB"/>
    </w:rPr>
  </w:style>
  <w:style w:type="paragraph" w:styleId="Heading2">
    <w:name w:val="heading 2"/>
    <w:basedOn w:val="Normal"/>
    <w:next w:val="Normal"/>
    <w:link w:val="Heading2Char"/>
    <w:uiPriority w:val="9"/>
    <w:unhideWhenUsed/>
    <w:qFormat/>
    <w:pPr>
      <w:keepNext/>
      <w:keepLines/>
      <w:ind w:firstLine="0"/>
      <w:contextualSpacing/>
      <w:jc w:val="left"/>
      <w:outlineLvl w:val="1"/>
    </w:pPr>
    <w:rPr>
      <w:rFonts w:eastAsiaTheme="majorEastAsia" w:cstheme="majorBidi"/>
      <w:b/>
      <w:i/>
      <w:szCs w:val="26"/>
      <w:lang w:val="en-US" w:eastAsia="en-GB"/>
    </w:rPr>
  </w:style>
  <w:style w:type="paragraph" w:styleId="Heading3">
    <w:name w:val="heading 3"/>
    <w:basedOn w:val="Normal"/>
    <w:next w:val="Normal"/>
    <w:link w:val="Heading3Char"/>
    <w:uiPriority w:val="9"/>
    <w:unhideWhenUsed/>
    <w:qFormat/>
    <w:pPr>
      <w:ind w:firstLine="0"/>
      <w:contextualSpacing/>
      <w:jc w:val="center"/>
      <w:outlineLvl w:val="2"/>
    </w:pPr>
    <w:rPr>
      <w:b/>
    </w:rPr>
  </w:style>
  <w:style w:type="paragraph" w:styleId="Heading4">
    <w:name w:val="heading 4"/>
    <w:next w:val="Normal"/>
    <w:uiPriority w:val="9"/>
    <w:semiHidden/>
    <w:unhideWhenUsed/>
    <w:qFormat/>
    <w:pPr>
      <w:spacing w:beforeAutospacing="1" w:afterAutospacing="1"/>
      <w:outlineLvl w:val="3"/>
    </w:pPr>
    <w:rPr>
      <w:rFonts w:ascii="SimSun" w:hAnsi="SimSun" w:hint="eastAsia"/>
      <w:b/>
      <w:bCs/>
      <w:sz w:val="24"/>
      <w:szCs w:val="24"/>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680"/>
        <w:tab w:val="right" w:pos="9360"/>
      </w:tabs>
      <w:spacing w:line="240" w:lineRule="auto"/>
    </w:pPr>
  </w:style>
  <w:style w:type="paragraph" w:styleId="Header">
    <w:name w:val="header"/>
    <w:basedOn w:val="Normal"/>
    <w:link w:val="HeaderChar"/>
    <w:uiPriority w:val="99"/>
    <w:unhideWhenUsed/>
    <w:qFormat/>
    <w:pPr>
      <w:tabs>
        <w:tab w:val="center" w:pos="4680"/>
        <w:tab w:val="right" w:pos="9360"/>
      </w:tabs>
      <w:spacing w:line="240" w:lineRule="auto"/>
    </w:p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uiPriority w:val="99"/>
    <w:semiHidden/>
    <w:unhideWhenUsed/>
    <w:qFormat/>
    <w:pPr>
      <w:spacing w:beforeAutospacing="1" w:afterAutospacing="1"/>
    </w:pPr>
    <w:rPr>
      <w:sz w:val="24"/>
      <w:szCs w:val="24"/>
      <w:lang w:val="en-US" w:eastAsia="zh-CN"/>
    </w:rPr>
  </w:style>
  <w:style w:type="character" w:styleId="Strong">
    <w:name w:val="Strong"/>
    <w:basedOn w:val="DefaultParagraphFont"/>
    <w:uiPriority w:val="22"/>
    <w:qFormat/>
    <w:rPr>
      <w:b/>
      <w:bCs/>
    </w:r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spacing w:after="100"/>
      <w:ind w:left="240"/>
    </w:pPr>
  </w:style>
  <w:style w:type="paragraph" w:styleId="TOC3">
    <w:name w:val="toc 3"/>
    <w:basedOn w:val="Normal"/>
    <w:next w:val="Normal"/>
    <w:uiPriority w:val="39"/>
    <w:semiHidden/>
    <w:unhideWhenUsed/>
    <w:qFormat/>
    <w:pPr>
      <w:ind w:leftChars="400" w:left="840"/>
    </w:pPr>
  </w:style>
  <w:style w:type="character" w:customStyle="1" w:styleId="Heading1Char">
    <w:name w:val="Heading 1 Char"/>
    <w:basedOn w:val="DefaultParagraphFont"/>
    <w:link w:val="Heading1"/>
    <w:uiPriority w:val="9"/>
    <w:qFormat/>
    <w:rPr>
      <w:rFonts w:ascii="Arial" w:eastAsiaTheme="majorEastAsia" w:hAnsi="Arial" w:cstheme="majorBidi"/>
      <w:b/>
      <w:sz w:val="24"/>
      <w:szCs w:val="32"/>
      <w:lang w:eastAsia="en-GB"/>
    </w:rPr>
  </w:style>
  <w:style w:type="character" w:customStyle="1" w:styleId="Heading2Char">
    <w:name w:val="Heading 2 Char"/>
    <w:basedOn w:val="DefaultParagraphFont"/>
    <w:link w:val="Heading2"/>
    <w:uiPriority w:val="9"/>
    <w:qFormat/>
    <w:rPr>
      <w:rFonts w:ascii="Arial" w:eastAsiaTheme="majorEastAsia" w:hAnsi="Arial" w:cstheme="majorBidi"/>
      <w:b/>
      <w:i/>
      <w:color w:val="000000" w:themeColor="text1"/>
      <w:sz w:val="24"/>
      <w:szCs w:val="26"/>
      <w:lang w:eastAsia="en-GB"/>
    </w:rPr>
  </w:style>
  <w:style w:type="character" w:customStyle="1" w:styleId="Heading3Char">
    <w:name w:val="Heading 3 Char"/>
    <w:basedOn w:val="DefaultParagraphFont"/>
    <w:link w:val="Heading3"/>
    <w:uiPriority w:val="9"/>
    <w:qFormat/>
    <w:rPr>
      <w:rFonts w:ascii="Arial" w:hAnsi="Arial"/>
      <w:b/>
      <w:color w:val="000000" w:themeColor="text1"/>
      <w:sz w:val="24"/>
      <w:lang w:val="en-GB"/>
    </w:rPr>
  </w:style>
  <w:style w:type="paragraph" w:styleId="NoSpacing">
    <w:name w:val="No Spacing"/>
    <w:uiPriority w:val="1"/>
    <w:qFormat/>
    <w:pPr>
      <w:spacing w:line="360" w:lineRule="auto"/>
      <w:ind w:left="720" w:hanging="720"/>
      <w:jc w:val="both"/>
    </w:pPr>
    <w:rPr>
      <w:rFonts w:ascii="Arial" w:eastAsiaTheme="minorHAnsi" w:hAnsi="Arial" w:cstheme="minorBidi"/>
      <w:color w:val="000000" w:themeColor="text1"/>
      <w:sz w:val="24"/>
      <w:szCs w:val="22"/>
      <w:lang w:eastAsia="en-US"/>
    </w:rPr>
  </w:style>
  <w:style w:type="character" w:customStyle="1" w:styleId="HeaderChar">
    <w:name w:val="Header Char"/>
    <w:basedOn w:val="DefaultParagraphFont"/>
    <w:link w:val="Header"/>
    <w:uiPriority w:val="99"/>
    <w:qFormat/>
    <w:rPr>
      <w:rFonts w:ascii="Arial" w:hAnsi="Arial"/>
      <w:color w:val="000000" w:themeColor="text1"/>
      <w:sz w:val="24"/>
      <w:lang w:val="en-GB"/>
    </w:rPr>
  </w:style>
  <w:style w:type="character" w:customStyle="1" w:styleId="FooterChar">
    <w:name w:val="Footer Char"/>
    <w:basedOn w:val="DefaultParagraphFont"/>
    <w:link w:val="Footer"/>
    <w:uiPriority w:val="99"/>
    <w:qFormat/>
    <w:rPr>
      <w:rFonts w:ascii="Arial" w:hAnsi="Arial"/>
      <w:color w:val="000000" w:themeColor="text1"/>
      <w:sz w:val="24"/>
      <w:lang w:val="en-GB"/>
    </w:rPr>
  </w:style>
  <w:style w:type="paragraph" w:customStyle="1" w:styleId="TOCHeading1">
    <w:name w:val="TOC Heading1"/>
    <w:basedOn w:val="Heading1"/>
    <w:next w:val="Normal"/>
    <w:uiPriority w:val="39"/>
    <w:unhideWhenUsed/>
    <w:qFormat/>
    <w:pPr>
      <w:spacing w:before="240" w:line="259" w:lineRule="auto"/>
      <w:contextualSpacing w:val="0"/>
      <w:jc w:val="left"/>
      <w:outlineLvl w:val="9"/>
    </w:pPr>
    <w:rPr>
      <w:rFonts w:asciiTheme="majorHAnsi" w:hAnsiTheme="majorHAnsi"/>
      <w:b w:val="0"/>
      <w:color w:val="2E74B5" w:themeColor="accent1" w:themeShade="BF"/>
      <w:sz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770BA8-AE85-4F3F-ABA8-808F98C5AC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2959</Words>
  <Characters>16870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2023-10-09T19:46:00Z</dcterms:created>
  <dcterms:modified xsi:type="dcterms:W3CDTF">2023-11-08T10:47:00Z</dcterms:modified>
</cp:coreProperties>
</file>