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50F2224D" w:rsidP="50F2224D" w:rsidRDefault="50F2224D" w14:paraId="00EC021B" w14:textId="065EDA25">
      <w:pPr>
        <w:pStyle w:val="NormalWeb"/>
        <w:spacing w:before="0" w:beforeAutospacing="off"/>
        <w:jc w:val="center"/>
      </w:pPr>
    </w:p>
    <w:p w:rsidR="00B8231B" w:rsidP="0C87E071" w:rsidRDefault="6248D13F" w14:paraId="4CB9A2DE" w14:textId="3EDB57CF">
      <w:pPr>
        <w:pStyle w:val="NormalWeb"/>
        <w:spacing w:before="0" w:beforeAutospacing="0"/>
        <w:jc w:val="center"/>
      </w:pPr>
      <w:r>
        <w:rPr>
          <w:noProof/>
        </w:rPr>
        <w:drawing>
          <wp:inline distT="0" distB="0" distL="0" distR="0" wp14:anchorId="72800CFF" wp14:editId="78312F28">
            <wp:extent cx="4629150" cy="1323975"/>
            <wp:effectExtent l="0" t="0" r="0" b="0"/>
            <wp:docPr id="827854051" name="drawing">
              <a:extLst xmlns:a="http://schemas.openxmlformats.org/drawingml/2006/main">
                <a:ext uri="{FF2B5EF4-FFF2-40B4-BE49-F238E27FC236}">
                  <a16:creationId xmlns:a16="http://schemas.microsoft.com/office/drawing/2014/main" id="{43323055-A553-4840-84BA-2DB8555380C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854051" name="Picture 827854051"/>
                    <pic:cNvPicPr/>
                  </pic:nvPicPr>
                  <pic:blipFill>
                    <a:blip r:embed="rId5">
                      <a:extLst>
                        <a:ext uri="{28A0092B-C50C-407E-A947-70E740481C1C}">
                          <a14:useLocalDpi xmlns:a14="http://schemas.microsoft.com/office/drawing/2010/main"/>
                        </a:ext>
                      </a:extLst>
                    </a:blip>
                    <a:stretch>
                      <a:fillRect/>
                    </a:stretch>
                  </pic:blipFill>
                  <pic:spPr>
                    <a:xfrm>
                      <a:off x="0" y="0"/>
                      <a:ext cx="4629150" cy="1323975"/>
                    </a:xfrm>
                    <a:prstGeom prst="rect">
                      <a:avLst/>
                    </a:prstGeom>
                  </pic:spPr>
                </pic:pic>
              </a:graphicData>
            </a:graphic>
          </wp:inline>
        </w:drawing>
      </w:r>
      <w:r w:rsidR="00B8231B">
        <w:rPr>
          <w:rStyle w:val="Strong"/>
          <w:rFonts w:ascii="Arial" w:hAnsi="Arial" w:cs="Arial"/>
          <w:color w:val="1D2125"/>
          <w:sz w:val="48"/>
          <w:szCs w:val="48"/>
        </w:rPr>
        <w:t xml:space="preserve"> </w:t>
      </w:r>
    </w:p>
    <w:p w:rsidR="00B8231B" w:rsidP="50F2224D" w:rsidRDefault="00B8231B" w14:paraId="0D814EFD" w14:textId="40E2FFCE">
      <w:pPr>
        <w:pStyle w:val="NormalWeb"/>
        <w:spacing w:before="0" w:beforeAutospacing="off"/>
        <w:jc w:val="center"/>
        <w:rPr>
          <w:rStyle w:val="Strong"/>
          <w:rFonts w:ascii="Arial" w:hAnsi="Arial" w:cs="Arial"/>
          <w:color w:val="1D2125"/>
          <w:sz w:val="48"/>
          <w:szCs w:val="48"/>
        </w:rPr>
      </w:pPr>
      <w:r>
        <w:br/>
      </w:r>
      <w:r>
        <w:br/>
      </w:r>
    </w:p>
    <w:p w:rsidR="00B8231B" w:rsidP="01CEEEC6" w:rsidRDefault="56935C48" w14:paraId="4C7A7674" w14:textId="2E856B4C">
      <w:pPr>
        <w:pStyle w:val="NormalWeb"/>
        <w:spacing w:before="0" w:beforeAutospacing="0"/>
        <w:jc w:val="center"/>
        <w:rPr>
          <w:rStyle w:val="Strong"/>
          <w:rFonts w:ascii="Arial" w:hAnsi="Arial" w:cs="Arial"/>
          <w:color w:val="1D2125"/>
          <w:sz w:val="48"/>
          <w:szCs w:val="48"/>
        </w:rPr>
      </w:pPr>
      <w:r w:rsidRPr="3A8B9584">
        <w:rPr>
          <w:rStyle w:val="Strong"/>
          <w:rFonts w:ascii="Arial" w:hAnsi="Arial" w:cs="Arial"/>
          <w:color w:val="1D2125"/>
          <w:sz w:val="48"/>
          <w:szCs w:val="48"/>
        </w:rPr>
        <w:t xml:space="preserve">STUDENT </w:t>
      </w:r>
      <w:r w:rsidRPr="30640B48">
        <w:rPr>
          <w:rStyle w:val="Strong"/>
          <w:rFonts w:ascii="Arial" w:hAnsi="Arial" w:cs="Arial"/>
          <w:color w:val="1D2125"/>
          <w:sz w:val="48"/>
          <w:szCs w:val="48"/>
        </w:rPr>
        <w:t>NAME:</w:t>
      </w:r>
      <w:r w:rsidRPr="713A86C4">
        <w:rPr>
          <w:rStyle w:val="Strong"/>
          <w:rFonts w:ascii="Arial" w:hAnsi="Arial" w:cs="Arial"/>
          <w:color w:val="1D2125"/>
          <w:sz w:val="48"/>
          <w:szCs w:val="48"/>
        </w:rPr>
        <w:t xml:space="preserve"> </w:t>
      </w:r>
      <w:r w:rsidRPr="080A7F62">
        <w:rPr>
          <w:rStyle w:val="Strong"/>
          <w:rFonts w:ascii="Arial" w:hAnsi="Arial" w:cs="Arial"/>
          <w:color w:val="1D2125"/>
          <w:sz w:val="48"/>
          <w:szCs w:val="48"/>
        </w:rPr>
        <w:t xml:space="preserve">Chizoma </w:t>
      </w:r>
      <w:r w:rsidRPr="733016F4">
        <w:rPr>
          <w:rStyle w:val="Strong"/>
          <w:rFonts w:ascii="Arial" w:hAnsi="Arial" w:cs="Arial"/>
          <w:color w:val="1D2125"/>
          <w:sz w:val="48"/>
          <w:szCs w:val="48"/>
        </w:rPr>
        <w:t>Awoyemi</w:t>
      </w:r>
    </w:p>
    <w:p w:rsidR="00B8231B" w:rsidP="5A219B05" w:rsidRDefault="56935C48" w14:paraId="5891624B" w14:textId="08E3CE0F">
      <w:pPr>
        <w:pStyle w:val="NormalWeb"/>
        <w:spacing w:before="0" w:beforeAutospacing="0"/>
        <w:jc w:val="center"/>
        <w:rPr>
          <w:rStyle w:val="Strong"/>
          <w:rFonts w:ascii="Arial" w:hAnsi="Arial" w:cs="Arial"/>
          <w:color w:val="1D2125"/>
          <w:sz w:val="48"/>
          <w:szCs w:val="48"/>
        </w:rPr>
      </w:pPr>
      <w:r w:rsidRPr="06DD1949">
        <w:rPr>
          <w:rStyle w:val="Strong"/>
          <w:rFonts w:ascii="Arial" w:hAnsi="Arial" w:cs="Arial"/>
          <w:color w:val="1D2125"/>
          <w:sz w:val="48"/>
          <w:szCs w:val="48"/>
        </w:rPr>
        <w:t>STUDENT</w:t>
      </w:r>
      <w:r w:rsidRPr="4A7CEC30">
        <w:rPr>
          <w:rStyle w:val="Strong"/>
          <w:rFonts w:ascii="Arial" w:hAnsi="Arial" w:cs="Arial"/>
          <w:color w:val="1D2125"/>
          <w:sz w:val="48"/>
          <w:szCs w:val="48"/>
        </w:rPr>
        <w:t xml:space="preserve"> </w:t>
      </w:r>
      <w:r w:rsidRPr="47540203">
        <w:rPr>
          <w:rStyle w:val="Strong"/>
          <w:rFonts w:ascii="Arial" w:hAnsi="Arial" w:cs="Arial"/>
          <w:color w:val="1D2125"/>
          <w:sz w:val="48"/>
          <w:szCs w:val="48"/>
        </w:rPr>
        <w:t>ID</w:t>
      </w:r>
      <w:r w:rsidRPr="3965D2A8">
        <w:rPr>
          <w:rStyle w:val="Strong"/>
          <w:rFonts w:ascii="Arial" w:hAnsi="Arial" w:cs="Arial"/>
          <w:color w:val="1D2125"/>
          <w:sz w:val="48"/>
          <w:szCs w:val="48"/>
        </w:rPr>
        <w:t>:</w:t>
      </w:r>
      <w:r w:rsidRPr="7CADB64F">
        <w:rPr>
          <w:rStyle w:val="Strong"/>
          <w:rFonts w:ascii="Arial" w:hAnsi="Arial" w:cs="Arial"/>
          <w:color w:val="1D2125"/>
          <w:sz w:val="48"/>
          <w:szCs w:val="48"/>
        </w:rPr>
        <w:t xml:space="preserve"> </w:t>
      </w:r>
      <w:r w:rsidRPr="54C15FCE">
        <w:rPr>
          <w:rStyle w:val="Strong"/>
          <w:rFonts w:ascii="Arial" w:hAnsi="Arial" w:cs="Arial"/>
          <w:color w:val="1D2125"/>
          <w:sz w:val="48"/>
          <w:szCs w:val="48"/>
        </w:rPr>
        <w:t>2223400</w:t>
      </w:r>
    </w:p>
    <w:p w:rsidR="00B8231B" w:rsidRDefault="00B8231B" w14:paraId="700F9580" w14:textId="5222CD6E">
      <w:pPr>
        <w:pStyle w:val="NormalWeb"/>
        <w:spacing w:before="0" w:beforeAutospacing="0"/>
        <w:jc w:val="center"/>
        <w:rPr>
          <w:rFonts w:ascii="Segoe UI" w:hAnsi="Segoe UI" w:cs="Segoe UI"/>
          <w:color w:val="1D2125"/>
          <w:sz w:val="22"/>
          <w:szCs w:val="22"/>
        </w:rPr>
      </w:pPr>
      <w:r>
        <w:rPr>
          <w:rStyle w:val="Strong"/>
          <w:rFonts w:ascii="Arial" w:hAnsi="Arial" w:cs="Arial"/>
          <w:color w:val="1D2125"/>
          <w:sz w:val="48"/>
          <w:szCs w:val="48"/>
        </w:rPr>
        <w:t>LCHS7002_Birm</w:t>
      </w:r>
    </w:p>
    <w:p w:rsidR="00B8231B" w:rsidRDefault="00B8231B" w14:paraId="20E7394D" w14:textId="77777777">
      <w:pPr>
        <w:pStyle w:val="NormalWeb"/>
        <w:spacing w:before="0" w:beforeAutospacing="0"/>
        <w:jc w:val="center"/>
        <w:rPr>
          <w:rFonts w:ascii="Segoe UI" w:hAnsi="Segoe UI" w:cs="Segoe UI"/>
          <w:color w:val="1D2125"/>
          <w:sz w:val="22"/>
          <w:szCs w:val="22"/>
        </w:rPr>
      </w:pPr>
      <w:r>
        <w:rPr>
          <w:rFonts w:ascii="Arial" w:hAnsi="Arial" w:cs="Arial"/>
          <w:b/>
          <w:bCs/>
          <w:color w:val="1D2125"/>
          <w:sz w:val="48"/>
          <w:szCs w:val="48"/>
        </w:rPr>
        <w:t>Health Care System Organisation and Leadership</w:t>
      </w:r>
    </w:p>
    <w:p w:rsidR="666CFA02" w:rsidP="666CFA02" w:rsidRDefault="048F12D0" w14:paraId="25EB66E7" w14:textId="134CCC62">
      <w:pPr>
        <w:pStyle w:val="NormalWeb"/>
        <w:spacing w:before="0" w:beforeAutospacing="0"/>
        <w:jc w:val="center"/>
        <w:rPr>
          <w:rFonts w:ascii="Arial" w:hAnsi="Arial" w:cs="Arial"/>
          <w:b/>
          <w:bCs/>
          <w:color w:val="1D2125"/>
          <w:sz w:val="48"/>
          <w:szCs w:val="48"/>
        </w:rPr>
      </w:pPr>
      <w:r w:rsidRPr="67A51D86">
        <w:rPr>
          <w:rFonts w:ascii="Arial" w:hAnsi="Arial" w:cs="Arial"/>
          <w:b/>
          <w:bCs/>
          <w:color w:val="1D2125"/>
          <w:sz w:val="48"/>
          <w:szCs w:val="48"/>
        </w:rPr>
        <w:t xml:space="preserve">Dr </w:t>
      </w:r>
      <w:r w:rsidRPr="535E91C0">
        <w:rPr>
          <w:rFonts w:ascii="Arial" w:hAnsi="Arial" w:cs="Arial"/>
          <w:b/>
          <w:bCs/>
          <w:color w:val="1D2125"/>
          <w:sz w:val="48"/>
          <w:szCs w:val="48"/>
        </w:rPr>
        <w:t>Fahad</w:t>
      </w:r>
      <w:r w:rsidRPr="42DE4F90">
        <w:rPr>
          <w:rFonts w:ascii="Arial" w:hAnsi="Arial" w:cs="Arial"/>
          <w:b/>
          <w:bCs/>
          <w:color w:val="1D2125"/>
          <w:sz w:val="48"/>
          <w:szCs w:val="48"/>
        </w:rPr>
        <w:t xml:space="preserve"> </w:t>
      </w:r>
      <w:r w:rsidRPr="6DF906B3">
        <w:rPr>
          <w:rFonts w:ascii="Arial" w:hAnsi="Arial" w:cs="Arial"/>
          <w:b/>
          <w:bCs/>
          <w:color w:val="1D2125"/>
          <w:sz w:val="48"/>
          <w:szCs w:val="48"/>
        </w:rPr>
        <w:t>Khan</w:t>
      </w:r>
    </w:p>
    <w:p w:rsidR="006E79AD" w:rsidRDefault="006E79AD" w14:paraId="10C4A2BA" w14:textId="26C3F6F6">
      <w:pPr>
        <w:rPr>
          <w:rFonts w:ascii="Arial" w:hAnsi="Arial" w:eastAsia="Times New Roman" w:cs="Arial"/>
          <w:b/>
          <w:bCs/>
          <w:color w:val="1D2125"/>
          <w:sz w:val="22"/>
          <w:szCs w:val="22"/>
          <w:shd w:val="clear" w:color="auto" w:fill="FFFFFF"/>
        </w:rPr>
      </w:pPr>
      <w:r>
        <w:rPr>
          <w:rFonts w:ascii="Arial" w:hAnsi="Arial" w:eastAsia="Times New Roman" w:cs="Arial"/>
          <w:b/>
          <w:bCs/>
          <w:color w:val="1D2125"/>
          <w:sz w:val="22"/>
          <w:szCs w:val="22"/>
          <w:shd w:val="clear" w:color="auto" w:fill="FFFFFF"/>
        </w:rPr>
        <w:t xml:space="preserve">                                        </w:t>
      </w:r>
    </w:p>
    <w:p w:rsidR="00743A16" w:rsidRDefault="00743A16" w14:paraId="05FC09EB" w14:textId="77777777">
      <w:pPr>
        <w:rPr>
          <w:rStyle w:val="apple-converted-space"/>
          <w:rFonts w:ascii="Arial" w:hAnsi="Arial" w:eastAsia="Times New Roman" w:cs="Arial"/>
          <w:b/>
          <w:bCs/>
          <w:color w:val="1D2125"/>
          <w:sz w:val="22"/>
          <w:szCs w:val="22"/>
          <w:shd w:val="clear" w:color="auto" w:fill="FFFFFF"/>
        </w:rPr>
      </w:pPr>
    </w:p>
    <w:p w:rsidR="00616D36" w:rsidP="1B9F6394" w:rsidRDefault="00616D36" w14:paraId="637919D8" w14:textId="3F2FC344">
      <w:pPr>
        <w:rPr>
          <w:rFonts w:ascii="-webkit-standard" w:hAnsi="-webkit-standard" w:eastAsia="Times New Roman"/>
          <w:b/>
          <w:bCs/>
          <w:color w:val="000000" w:themeColor="text1"/>
          <w:sz w:val="27"/>
          <w:szCs w:val="27"/>
        </w:rPr>
      </w:pPr>
      <w:r w:rsidRPr="1B9F6394">
        <w:rPr>
          <w:rFonts w:ascii="-webkit-standard" w:hAnsi="-webkit-standard" w:eastAsia="Times New Roman"/>
          <w:b/>
          <w:bCs/>
          <w:color w:val="000000" w:themeColor="text1"/>
          <w:sz w:val="27"/>
          <w:szCs w:val="27"/>
        </w:rPr>
        <w:t xml:space="preserve">                                      </w:t>
      </w:r>
    </w:p>
    <w:p w:rsidR="00616D36" w:rsidP="78EABCD0" w:rsidRDefault="00616D36" w14:paraId="67BBB955" w14:textId="164A8429">
      <w:pPr>
        <w:rPr>
          <w:rFonts w:ascii="-webkit-standard" w:hAnsi="-webkit-standard" w:eastAsia="Times New Roman"/>
          <w:b/>
          <w:bCs/>
          <w:color w:val="000000" w:themeColor="text1"/>
          <w:sz w:val="27"/>
          <w:szCs w:val="27"/>
        </w:rPr>
      </w:pPr>
    </w:p>
    <w:p w:rsidR="00616D36" w:rsidP="78EABCD0" w:rsidRDefault="00616D36" w14:paraId="522EC9C8" w14:textId="354C644E">
      <w:pPr>
        <w:rPr>
          <w:rFonts w:ascii="-webkit-standard" w:hAnsi="-webkit-standard" w:eastAsia="Times New Roman"/>
          <w:b/>
          <w:bCs/>
          <w:color w:val="000000" w:themeColor="text1"/>
          <w:sz w:val="27"/>
          <w:szCs w:val="27"/>
        </w:rPr>
      </w:pPr>
    </w:p>
    <w:p w:rsidR="00616D36" w:rsidP="78EABCD0" w:rsidRDefault="00616D36" w14:paraId="018A11B4" w14:textId="4BCC197F">
      <w:pPr>
        <w:rPr>
          <w:rFonts w:ascii="-webkit-standard" w:hAnsi="-webkit-standard" w:eastAsia="Times New Roman"/>
          <w:b/>
          <w:bCs/>
          <w:color w:val="000000" w:themeColor="text1"/>
          <w:sz w:val="27"/>
          <w:szCs w:val="27"/>
        </w:rPr>
      </w:pPr>
    </w:p>
    <w:p w:rsidR="00616D36" w:rsidP="78EABCD0" w:rsidRDefault="00616D36" w14:paraId="19AA672C" w14:textId="1D22161F">
      <w:pPr>
        <w:rPr>
          <w:rFonts w:ascii="-webkit-standard" w:hAnsi="-webkit-standard" w:eastAsia="Times New Roman"/>
          <w:b/>
          <w:bCs/>
          <w:color w:val="000000" w:themeColor="text1"/>
          <w:sz w:val="27"/>
          <w:szCs w:val="27"/>
        </w:rPr>
      </w:pPr>
    </w:p>
    <w:p w:rsidR="00616D36" w:rsidP="78EABCD0" w:rsidRDefault="00616D36" w14:paraId="4B7BB7EA" w14:textId="321A3B01">
      <w:pPr>
        <w:rPr>
          <w:rFonts w:ascii="-webkit-standard" w:hAnsi="-webkit-standard" w:eastAsia="Times New Roman"/>
          <w:b/>
          <w:bCs/>
          <w:color w:val="000000" w:themeColor="text1"/>
          <w:sz w:val="27"/>
          <w:szCs w:val="27"/>
        </w:rPr>
      </w:pPr>
    </w:p>
    <w:p w:rsidR="4DF22574" w:rsidP="4DF22574" w:rsidRDefault="4DF22574" w14:paraId="3574CAD5" w14:textId="4B63C420">
      <w:pPr>
        <w:rPr>
          <w:rFonts w:ascii="Arial" w:hAnsi="Arial" w:eastAsia="Arial" w:cs="Arial"/>
          <w:b/>
          <w:bCs/>
          <w:color w:val="000000" w:themeColor="text1"/>
          <w:sz w:val="22"/>
          <w:szCs w:val="22"/>
        </w:rPr>
      </w:pPr>
    </w:p>
    <w:p w:rsidR="4DF22574" w:rsidP="4DF22574" w:rsidRDefault="4DF22574" w14:paraId="73C4EF13" w14:textId="791E2F31">
      <w:pPr>
        <w:rPr>
          <w:rFonts w:ascii="Arial" w:hAnsi="Arial" w:eastAsia="Arial" w:cs="Arial"/>
          <w:b/>
          <w:bCs/>
          <w:color w:val="000000" w:themeColor="text1"/>
          <w:sz w:val="22"/>
          <w:szCs w:val="22"/>
        </w:rPr>
      </w:pPr>
    </w:p>
    <w:p w:rsidR="4DF22574" w:rsidP="4DF22574" w:rsidRDefault="4DF22574" w14:paraId="30257AF8" w14:textId="724210D0">
      <w:pPr>
        <w:rPr>
          <w:rFonts w:ascii="Arial" w:hAnsi="Arial" w:eastAsia="Arial" w:cs="Arial"/>
          <w:b/>
          <w:bCs/>
          <w:color w:val="000000" w:themeColor="text1"/>
          <w:sz w:val="22"/>
          <w:szCs w:val="22"/>
        </w:rPr>
      </w:pPr>
    </w:p>
    <w:p w:rsidR="4DF22574" w:rsidP="4DF22574" w:rsidRDefault="4DF22574" w14:paraId="42FF12FD" w14:textId="6CFA4EF3">
      <w:pPr>
        <w:rPr>
          <w:rFonts w:ascii="Arial" w:hAnsi="Arial" w:eastAsia="Arial" w:cs="Arial"/>
          <w:b/>
          <w:bCs/>
          <w:color w:val="000000" w:themeColor="text1"/>
          <w:sz w:val="22"/>
          <w:szCs w:val="22"/>
        </w:rPr>
      </w:pPr>
    </w:p>
    <w:p w:rsidR="00616D36" w:rsidP="50F2224D" w:rsidRDefault="4F6B6531" w14:paraId="370610A8" w14:textId="55C485F8">
      <w:pPr>
        <w:spacing w:line="360" w:lineRule="auto"/>
        <w:jc w:val="both"/>
        <w:rPr>
          <w:rFonts w:ascii="Arial" w:hAnsi="Arial" w:eastAsia="Arial" w:cs="Arial"/>
          <w:b w:val="1"/>
          <w:bCs w:val="1"/>
          <w:color w:val="000000"/>
          <w:sz w:val="22"/>
          <w:szCs w:val="22"/>
        </w:rPr>
      </w:pPr>
      <w:r w:rsidRPr="50F2224D" w:rsidR="734E9677">
        <w:rPr>
          <w:rFonts w:ascii="Arial" w:hAnsi="Arial" w:eastAsia="Arial" w:cs="Arial"/>
          <w:b w:val="1"/>
          <w:bCs w:val="1"/>
          <w:color w:val="000000" w:themeColor="text1" w:themeTint="FF" w:themeShade="FF"/>
          <w:sz w:val="22"/>
          <w:szCs w:val="22"/>
        </w:rPr>
        <w:t xml:space="preserve">                                          </w:t>
      </w:r>
      <w:r w:rsidRPr="50F2224D" w:rsidR="734E9677">
        <w:rPr>
          <w:rFonts w:ascii="Arial" w:hAnsi="Arial" w:eastAsia="Arial" w:cs="Arial"/>
          <w:b w:val="1"/>
          <w:bCs w:val="1"/>
          <w:color w:val="000000" w:themeColor="text1" w:themeTint="FF" w:themeShade="FF"/>
          <w:sz w:val="22"/>
          <w:szCs w:val="22"/>
        </w:rPr>
        <w:t xml:space="preserve">                    </w:t>
      </w:r>
      <w:r w:rsidRPr="50F2224D" w:rsidR="162BCC10">
        <w:rPr>
          <w:rFonts w:ascii="Arial" w:hAnsi="Arial" w:eastAsia="Arial" w:cs="Arial"/>
          <w:b w:val="1"/>
          <w:bCs w:val="1"/>
          <w:color w:val="000000" w:themeColor="text1" w:themeTint="FF" w:themeShade="FF"/>
          <w:sz w:val="22"/>
          <w:szCs w:val="22"/>
        </w:rPr>
        <w:t xml:space="preserve">      </w:t>
      </w:r>
      <w:r w:rsidRPr="50F2224D" w:rsidR="0C7D6AE1">
        <w:rPr>
          <w:rFonts w:ascii="Arial" w:hAnsi="Arial" w:eastAsia="Arial" w:cs="Arial"/>
          <w:b w:val="1"/>
          <w:bCs w:val="1"/>
          <w:color w:val="000000" w:themeColor="text1" w:themeTint="FF" w:themeShade="FF"/>
          <w:sz w:val="22"/>
          <w:szCs w:val="22"/>
        </w:rPr>
        <w:t>Title</w:t>
      </w:r>
    </w:p>
    <w:p w:rsidR="00743A16" w:rsidP="50F2224D" w:rsidRDefault="5C231D3A" w14:paraId="166BD767" w14:textId="631BA7ED">
      <w:pPr>
        <w:spacing w:line="360" w:lineRule="auto"/>
        <w:jc w:val="both"/>
        <w:rPr>
          <w:rFonts w:ascii="Arial" w:hAnsi="Arial" w:eastAsia="Arial" w:cs="Arial"/>
          <w:b w:val="1"/>
          <w:bCs w:val="1"/>
          <w:color w:val="000000"/>
          <w:sz w:val="22"/>
          <w:szCs w:val="22"/>
        </w:rPr>
      </w:pPr>
      <w:r w:rsidRPr="50F2224D" w:rsidR="5A533416">
        <w:rPr>
          <w:rFonts w:ascii="Arial" w:hAnsi="Arial" w:eastAsia="Arial" w:cs="Arial"/>
          <w:b w:val="1"/>
          <w:bCs w:val="1"/>
          <w:color w:val="000000" w:themeColor="text1" w:themeTint="FF" w:themeShade="FF"/>
          <w:sz w:val="22"/>
          <w:szCs w:val="22"/>
        </w:rPr>
        <w:t>Case Report: Improving Patient Safety Systems through Crisis and Transformational Leadership</w:t>
      </w:r>
    </w:p>
    <w:p w:rsidR="00616D36" w:rsidP="50F2224D" w:rsidRDefault="00616D36" w14:paraId="7F82F819" w14:textId="77777777">
      <w:pPr>
        <w:spacing w:line="360" w:lineRule="auto"/>
        <w:jc w:val="both"/>
        <w:rPr>
          <w:rFonts w:ascii="Arial" w:hAnsi="Arial" w:eastAsia="Arial" w:cs="Arial"/>
          <w:b w:val="1"/>
          <w:bCs w:val="1"/>
          <w:color w:val="000000"/>
          <w:sz w:val="22"/>
          <w:szCs w:val="22"/>
        </w:rPr>
      </w:pPr>
    </w:p>
    <w:p w:rsidR="006A1127" w:rsidP="50F2224D" w:rsidRDefault="7C282E53" w14:paraId="78073E00" w14:textId="5FA091B1">
      <w:pPr>
        <w:spacing w:line="360" w:lineRule="auto"/>
        <w:jc w:val="both"/>
        <w:rPr>
          <w:rFonts w:ascii="Arial" w:hAnsi="Arial" w:eastAsia="Arial" w:cs="Arial"/>
          <w:b w:val="1"/>
          <w:bCs w:val="1"/>
          <w:color w:val="000000"/>
          <w:sz w:val="22"/>
          <w:szCs w:val="22"/>
        </w:rPr>
      </w:pPr>
      <w:r w:rsidRPr="50F2224D" w:rsidR="0AF479D1">
        <w:rPr>
          <w:rFonts w:ascii="Arial" w:hAnsi="Arial" w:eastAsia="Arial" w:cs="Arial"/>
          <w:b w:val="1"/>
          <w:bCs w:val="1"/>
          <w:color w:val="000000" w:themeColor="text1" w:themeTint="FF" w:themeShade="FF"/>
          <w:sz w:val="22"/>
          <w:szCs w:val="22"/>
        </w:rPr>
        <w:t xml:space="preserve">Introduction </w:t>
      </w:r>
    </w:p>
    <w:p w:rsidRPr="00140C22" w:rsidR="006A1127" w:rsidP="50F2224D" w:rsidRDefault="51FD0111" w14:paraId="22F7EAA3" w14:textId="47CB40B3">
      <w:pPr>
        <w:spacing w:line="360" w:lineRule="auto"/>
        <w:jc w:val="both"/>
        <w:rPr>
          <w:rFonts w:ascii="Arial" w:hAnsi="Arial" w:eastAsia="Arial" w:cs="Arial"/>
          <w:color w:val="000000"/>
          <w:sz w:val="22"/>
          <w:szCs w:val="22"/>
        </w:rPr>
      </w:pPr>
      <w:r w:rsidRPr="50F2224D" w:rsidR="41B7E876">
        <w:rPr>
          <w:rFonts w:ascii="Arial" w:hAnsi="Arial" w:eastAsia="Arial" w:cs="Arial"/>
          <w:color w:val="000000" w:themeColor="text1" w:themeTint="FF" w:themeShade="FF"/>
          <w:sz w:val="22"/>
          <w:szCs w:val="22"/>
        </w:rPr>
        <w:t>This repo</w:t>
      </w:r>
      <w:r w:rsidRPr="50F2224D" w:rsidR="41B7E876">
        <w:rPr>
          <w:rFonts w:ascii="Arial" w:hAnsi="Arial" w:eastAsia="Arial" w:cs="Arial"/>
          <w:color w:val="000000" w:themeColor="text1" w:themeTint="FF" w:themeShade="FF"/>
          <w:sz w:val="22"/>
          <w:szCs w:val="22"/>
        </w:rPr>
        <w:t>rt evaluates</w:t>
      </w:r>
      <w:r w:rsidRPr="50F2224D" w:rsidR="41B7E876">
        <w:rPr>
          <w:rFonts w:ascii="Arial" w:hAnsi="Arial" w:eastAsia="Arial" w:cs="Arial"/>
          <w:color w:val="000000" w:themeColor="text1" w:themeTint="FF" w:themeShade="FF"/>
          <w:sz w:val="22"/>
          <w:szCs w:val="22"/>
        </w:rPr>
        <w:t xml:space="preserve"> a serious patient safety incident involving a four-week-old baby in </w:t>
      </w:r>
      <w:r w:rsidRPr="50F2224D" w:rsidR="3CA1A21C">
        <w:rPr>
          <w:rFonts w:ascii="Arial" w:hAnsi="Arial" w:eastAsia="Arial" w:cs="Arial"/>
          <w:color w:val="000000" w:themeColor="text1" w:themeTint="FF" w:themeShade="FF"/>
          <w:sz w:val="22"/>
          <w:szCs w:val="22"/>
        </w:rPr>
        <w:t>North-East</w:t>
      </w:r>
      <w:r w:rsidRPr="50F2224D" w:rsidR="41B7E876">
        <w:rPr>
          <w:rFonts w:ascii="Arial" w:hAnsi="Arial" w:eastAsia="Arial" w:cs="Arial"/>
          <w:color w:val="000000" w:themeColor="text1" w:themeTint="FF" w:themeShade="FF"/>
          <w:sz w:val="22"/>
          <w:szCs w:val="22"/>
        </w:rPr>
        <w:t xml:space="preserve"> and Yorkshire area who received an overdose of morphine sulphate twenty times higher than prescribed (NHS England North</w:t>
      </w:r>
      <w:r w:rsidRPr="50F2224D" w:rsidR="08516BF7">
        <w:rPr>
          <w:rFonts w:ascii="Arial" w:hAnsi="Arial" w:eastAsia="Arial" w:cs="Arial"/>
          <w:color w:val="000000" w:themeColor="text1" w:themeTint="FF" w:themeShade="FF"/>
          <w:sz w:val="22"/>
          <w:szCs w:val="22"/>
        </w:rPr>
        <w:t>-</w:t>
      </w:r>
      <w:r w:rsidRPr="50F2224D" w:rsidR="41B7E876">
        <w:rPr>
          <w:rFonts w:ascii="Arial" w:hAnsi="Arial" w:eastAsia="Arial" w:cs="Arial"/>
          <w:color w:val="000000" w:themeColor="text1" w:themeTint="FF" w:themeShade="FF"/>
          <w:sz w:val="22"/>
          <w:szCs w:val="22"/>
        </w:rPr>
        <w:t xml:space="preserve">East and Yorkshire, 2023). The main </w:t>
      </w:r>
      <w:r w:rsidRPr="50F2224D" w:rsidR="41B7E876">
        <w:rPr>
          <w:rFonts w:ascii="Arial" w:hAnsi="Arial" w:eastAsia="Arial" w:cs="Arial"/>
          <w:color w:val="000000" w:themeColor="text1" w:themeTint="FF" w:themeShade="FF"/>
          <w:sz w:val="22"/>
          <w:szCs w:val="22"/>
        </w:rPr>
        <w:t>objective</w:t>
      </w:r>
      <w:r w:rsidRPr="50F2224D" w:rsidR="41B7E876">
        <w:rPr>
          <w:rFonts w:ascii="Arial" w:hAnsi="Arial" w:eastAsia="Arial" w:cs="Arial"/>
          <w:color w:val="000000" w:themeColor="text1" w:themeTint="FF" w:themeShade="FF"/>
          <w:sz w:val="22"/>
          <w:szCs w:val="22"/>
        </w:rPr>
        <w:t xml:space="preserve"> of this case study analysis is to explore the nature of the way systemic communication failures at the secondary and primary care interfaces create catastrophic clinical risks, and to </w:t>
      </w:r>
      <w:r w:rsidRPr="50F2224D" w:rsidR="41B7E876">
        <w:rPr>
          <w:rFonts w:ascii="Arial" w:hAnsi="Arial" w:eastAsia="Arial" w:cs="Arial"/>
          <w:color w:val="000000" w:themeColor="text1" w:themeTint="FF" w:themeShade="FF"/>
          <w:sz w:val="22"/>
          <w:szCs w:val="22"/>
        </w:rPr>
        <w:t>determine</w:t>
      </w:r>
      <w:r w:rsidRPr="50F2224D" w:rsidR="41B7E876">
        <w:rPr>
          <w:rFonts w:ascii="Arial" w:hAnsi="Arial" w:eastAsia="Arial" w:cs="Arial"/>
          <w:color w:val="000000" w:themeColor="text1" w:themeTint="FF" w:themeShade="FF"/>
          <w:sz w:val="22"/>
          <w:szCs w:val="22"/>
        </w:rPr>
        <w:t xml:space="preserve"> how strategic health management can prevent future episodes. Leadership in health and social care can be defined as the process of influencing, </w:t>
      </w:r>
      <w:r w:rsidRPr="50F2224D" w:rsidR="41B7E876">
        <w:rPr>
          <w:rFonts w:ascii="Arial" w:hAnsi="Arial" w:eastAsia="Arial" w:cs="Arial"/>
          <w:color w:val="000000" w:themeColor="text1" w:themeTint="FF" w:themeShade="FF"/>
          <w:sz w:val="22"/>
          <w:szCs w:val="22"/>
        </w:rPr>
        <w:t>motivating</w:t>
      </w:r>
      <w:r w:rsidRPr="50F2224D" w:rsidR="41B7E876">
        <w:rPr>
          <w:rFonts w:ascii="Arial" w:hAnsi="Arial" w:eastAsia="Arial" w:cs="Arial"/>
          <w:color w:val="000000" w:themeColor="text1" w:themeTint="FF" w:themeShade="FF"/>
          <w:sz w:val="22"/>
          <w:szCs w:val="22"/>
        </w:rPr>
        <w:t xml:space="preserve"> and guiding multi-disciplinary teams to work together effectively to achieve shared goals, </w:t>
      </w:r>
      <w:r w:rsidRPr="50F2224D" w:rsidR="41B7E876">
        <w:rPr>
          <w:rFonts w:ascii="Arial" w:hAnsi="Arial" w:eastAsia="Arial" w:cs="Arial"/>
          <w:color w:val="000000" w:themeColor="text1" w:themeTint="FF" w:themeShade="FF"/>
          <w:sz w:val="22"/>
          <w:szCs w:val="22"/>
        </w:rPr>
        <w:t>mainly the</w:t>
      </w:r>
      <w:r w:rsidRPr="50F2224D" w:rsidR="41B7E876">
        <w:rPr>
          <w:rFonts w:ascii="Arial" w:hAnsi="Arial" w:eastAsia="Arial" w:cs="Arial"/>
          <w:color w:val="000000" w:themeColor="text1" w:themeTint="FF" w:themeShade="FF"/>
          <w:sz w:val="22"/>
          <w:szCs w:val="22"/>
        </w:rPr>
        <w:t xml:space="preserve"> delivery of safe, </w:t>
      </w:r>
      <w:r w:rsidRPr="50F2224D" w:rsidR="184E9792">
        <w:rPr>
          <w:rFonts w:ascii="Arial" w:hAnsi="Arial" w:eastAsia="Arial" w:cs="Arial"/>
          <w:color w:val="000000" w:themeColor="text1" w:themeTint="FF" w:themeShade="FF"/>
          <w:sz w:val="22"/>
          <w:szCs w:val="22"/>
        </w:rPr>
        <w:t>high-quality</w:t>
      </w:r>
      <w:r w:rsidRPr="50F2224D" w:rsidR="41B7E876">
        <w:rPr>
          <w:rFonts w:ascii="Arial" w:hAnsi="Arial" w:eastAsia="Arial" w:cs="Arial"/>
          <w:color w:val="000000" w:themeColor="text1" w:themeTint="FF" w:themeShade="FF"/>
          <w:sz w:val="22"/>
          <w:szCs w:val="22"/>
        </w:rPr>
        <w:t xml:space="preserve"> patient care (West et al., 2015). Centralisation and decentralisation need to be balanced in effective healthcare architecture (Department of Health and Social Care, 2021). Centralisation places strategic decision making at a national policy o</w:t>
      </w:r>
      <w:r w:rsidRPr="50F2224D" w:rsidR="41B7E876">
        <w:rPr>
          <w:rFonts w:ascii="Arial" w:hAnsi="Arial" w:eastAsia="Arial" w:cs="Arial"/>
          <w:color w:val="000000" w:themeColor="text1" w:themeTint="FF" w:themeShade="FF"/>
          <w:sz w:val="22"/>
          <w:szCs w:val="22"/>
        </w:rPr>
        <w:t>r senior e</w:t>
      </w:r>
      <w:r w:rsidRPr="50F2224D" w:rsidR="41B7E876">
        <w:rPr>
          <w:rFonts w:ascii="Arial" w:hAnsi="Arial" w:eastAsia="Arial" w:cs="Arial"/>
          <w:color w:val="000000" w:themeColor="text1" w:themeTint="FF" w:themeShade="FF"/>
          <w:sz w:val="22"/>
          <w:szCs w:val="22"/>
        </w:rPr>
        <w:t xml:space="preserve">xecutive level and delivers clinical standardisation and good governance (NHS England, 2019). On the other </w:t>
      </w:r>
      <w:r w:rsidRPr="50F2224D" w:rsidR="14E7380E">
        <w:rPr>
          <w:rFonts w:ascii="Arial" w:hAnsi="Arial" w:eastAsia="Arial" w:cs="Arial"/>
          <w:color w:val="000000" w:themeColor="text1" w:themeTint="FF" w:themeShade="FF"/>
          <w:sz w:val="22"/>
          <w:szCs w:val="22"/>
        </w:rPr>
        <w:t>hand,</w:t>
      </w:r>
      <w:r w:rsidRPr="50F2224D" w:rsidR="41B7E876">
        <w:rPr>
          <w:rFonts w:ascii="Arial" w:hAnsi="Arial" w:eastAsia="Arial" w:cs="Arial"/>
          <w:color w:val="000000" w:themeColor="text1" w:themeTint="FF" w:themeShade="FF"/>
          <w:sz w:val="22"/>
          <w:szCs w:val="22"/>
        </w:rPr>
        <w:t xml:space="preserve"> decentralisation takes power to the coalface, to local organisations such as regional ICBs or local practices, encouraging clinical freedom, responsiveness to local conditions and local problem solving.</w:t>
      </w:r>
    </w:p>
    <w:p w:rsidR="00B83E03" w:rsidP="50F2224D" w:rsidRDefault="769465FD" w14:paraId="65C0DC34" w14:textId="21448652">
      <w:pPr>
        <w:spacing w:line="360" w:lineRule="auto"/>
        <w:jc w:val="both"/>
        <w:rPr>
          <w:rFonts w:ascii="Arial" w:hAnsi="Arial" w:eastAsia="Arial" w:cs="Arial"/>
          <w:color w:val="000000"/>
          <w:sz w:val="22"/>
          <w:szCs w:val="22"/>
        </w:rPr>
      </w:pPr>
      <w:r w:rsidRPr="50F2224D" w:rsidR="6740D21D">
        <w:rPr>
          <w:rFonts w:ascii="Arial" w:hAnsi="Arial" w:eastAsia="Arial" w:cs="Arial"/>
          <w:color w:val="000000" w:themeColor="text1" w:themeTint="FF" w:themeShade="FF"/>
          <w:sz w:val="22"/>
          <w:szCs w:val="22"/>
        </w:rPr>
        <w:t>When navigating complex healthcare transformations or clinical crises, different leadership theories are needed. Transformational leaders inspire staff, encourage open communication and drive culture change to fix broken systems. Transactional leadership is based on adherence, routine and close monitoring of performance which is essential to enforce rigid safety protocols like the "RED drug" boundaries (North Yorkshire Integrated Care Board, 2023). Situational leadership is about the ability of managers to adapt their style of leadership in real time to the clinical environment, the urgency of the situation and the maturity or competence of the teams they are leading.</w:t>
      </w:r>
    </w:p>
    <w:p w:rsidR="009D26FC" w:rsidP="50F2224D" w:rsidRDefault="6C520933" w14:paraId="2AEA42EA" w14:textId="2D1EEF50">
      <w:pPr>
        <w:spacing w:line="360" w:lineRule="auto"/>
        <w:jc w:val="both"/>
        <w:rPr>
          <w:rFonts w:ascii="Arial" w:hAnsi="Arial" w:eastAsia="Arial" w:cs="Arial"/>
          <w:color w:val="000000" w:themeColor="text1"/>
          <w:sz w:val="22"/>
          <w:szCs w:val="22"/>
        </w:rPr>
      </w:pPr>
      <w:r w:rsidRPr="50F2224D" w:rsidR="2B269F88">
        <w:rPr>
          <w:rFonts w:ascii="Arial" w:hAnsi="Arial" w:eastAsia="Arial" w:cs="Arial"/>
          <w:color w:val="000000" w:themeColor="text1" w:themeTint="FF" w:themeShade="FF"/>
          <w:sz w:val="22"/>
          <w:szCs w:val="22"/>
        </w:rPr>
        <w:t xml:space="preserve">The choice of leadership paradigm is of utmost importance in times of systemic crises. Misaligned leadership style can compound the breakdown in communication, alienate frontline </w:t>
      </w:r>
      <w:r w:rsidRPr="50F2224D" w:rsidR="71E8F90E">
        <w:rPr>
          <w:rFonts w:ascii="Arial" w:hAnsi="Arial" w:eastAsia="Arial" w:cs="Arial"/>
          <w:color w:val="000000" w:themeColor="text1" w:themeTint="FF" w:themeShade="FF"/>
          <w:sz w:val="22"/>
          <w:szCs w:val="22"/>
        </w:rPr>
        <w:t>staff,</w:t>
      </w:r>
      <w:r w:rsidRPr="50F2224D" w:rsidR="2B269F88">
        <w:rPr>
          <w:rFonts w:ascii="Arial" w:hAnsi="Arial" w:eastAsia="Arial" w:cs="Arial"/>
          <w:color w:val="000000" w:themeColor="text1" w:themeTint="FF" w:themeShade="FF"/>
          <w:sz w:val="22"/>
          <w:szCs w:val="22"/>
        </w:rPr>
        <w:t xml:space="preserve"> and perpetuate unsafe clinical practice (Francis, 2013). In contrast, strong and adaptive leadership cultivates psychological safety so that staff can report near-misses without fear of blame, which is crucial to building a resilient patient safety culture (NHS England, 2022). The report will contain a number of key areas including a full systemic analysis of the morphine overdose incident, an assessment of </w:t>
      </w:r>
      <w:r w:rsidRPr="50F2224D" w:rsidR="71E8F90E">
        <w:rPr>
          <w:rFonts w:ascii="Arial" w:hAnsi="Arial" w:eastAsia="Arial" w:cs="Arial"/>
          <w:color w:val="000000" w:themeColor="text1" w:themeTint="FF" w:themeShade="FF"/>
          <w:sz w:val="22"/>
          <w:szCs w:val="22"/>
        </w:rPr>
        <w:t>organisational</w:t>
      </w:r>
      <w:r w:rsidRPr="50F2224D" w:rsidR="2B269F88">
        <w:rPr>
          <w:rFonts w:ascii="Arial" w:hAnsi="Arial" w:eastAsia="Arial" w:cs="Arial"/>
          <w:color w:val="000000" w:themeColor="text1" w:themeTint="FF" w:themeShade="FF"/>
          <w:sz w:val="22"/>
          <w:szCs w:val="22"/>
        </w:rPr>
        <w:t xml:space="preserve"> governance structures, a critical review of relevant prescribing policies (General Medical Council, 2021) and strategic leadership recommendations to transform clinical practice and improve patient safety systems.</w:t>
      </w:r>
    </w:p>
    <w:p w:rsidR="69ED5DD3" w:rsidP="50F2224D" w:rsidRDefault="1DFA03AB" w14:paraId="697F430A" w14:textId="1423BA14">
      <w:pPr>
        <w:spacing w:line="360" w:lineRule="auto"/>
        <w:jc w:val="both"/>
        <w:rPr>
          <w:rFonts w:ascii="Arial" w:hAnsi="Arial" w:eastAsia="Arial" w:cs="Arial"/>
          <w:color w:val="000000" w:themeColor="text1"/>
          <w:sz w:val="22"/>
          <w:szCs w:val="22"/>
        </w:rPr>
      </w:pPr>
      <w:r w:rsidRPr="50F2224D" w:rsidR="1F2959CA">
        <w:rPr>
          <w:rFonts w:ascii="Arial" w:hAnsi="Arial" w:eastAsia="Arial" w:cs="Arial"/>
          <w:color w:val="000000" w:themeColor="text1" w:themeTint="FF" w:themeShade="FF"/>
          <w:sz w:val="22"/>
          <w:szCs w:val="22"/>
        </w:rPr>
        <w:t xml:space="preserve">The following Rich Picture </w:t>
      </w:r>
      <w:r w:rsidRPr="50F2224D" w:rsidR="32B63AAC">
        <w:rPr>
          <w:rFonts w:ascii="Arial" w:hAnsi="Arial" w:eastAsia="Arial" w:cs="Arial"/>
          <w:color w:val="000000" w:themeColor="text1" w:themeTint="FF" w:themeShade="FF"/>
          <w:sz w:val="22"/>
          <w:szCs w:val="22"/>
        </w:rPr>
        <w:t>visualises</w:t>
      </w:r>
      <w:r w:rsidRPr="50F2224D" w:rsidR="1F2959CA">
        <w:rPr>
          <w:rFonts w:ascii="Arial" w:hAnsi="Arial" w:eastAsia="Arial" w:cs="Arial"/>
          <w:color w:val="000000" w:themeColor="text1" w:themeTint="FF" w:themeShade="FF"/>
          <w:sz w:val="22"/>
          <w:szCs w:val="22"/>
        </w:rPr>
        <w:t xml:space="preserve"> the operational realities of the case study to delineate the complex interactions, uncoordinated processes and systemic tensions that led to this incident </w:t>
      </w:r>
      <w:r w:rsidRPr="50F2224D" w:rsidR="4D4F923E">
        <w:rPr>
          <w:rFonts w:ascii="Arial" w:hAnsi="Arial" w:eastAsia="Arial" w:cs="Arial"/>
          <w:color w:val="000000" w:themeColor="text1" w:themeTint="FF" w:themeShade="FF"/>
          <w:sz w:val="22"/>
          <w:szCs w:val="22"/>
        </w:rPr>
        <w:t>(</w:t>
      </w:r>
      <w:r w:rsidRPr="50F2224D" w:rsidR="1F2959CA">
        <w:rPr>
          <w:rFonts w:ascii="Arial" w:hAnsi="Arial" w:eastAsia="Arial" w:cs="Arial"/>
          <w:color w:val="000000" w:themeColor="text1" w:themeTint="FF" w:themeShade="FF"/>
          <w:sz w:val="22"/>
          <w:szCs w:val="22"/>
        </w:rPr>
        <w:t>Williams, 2015)</w:t>
      </w:r>
      <w:r w:rsidRPr="50F2224D" w:rsidR="279D69F9">
        <w:rPr>
          <w:rFonts w:ascii="Arial" w:hAnsi="Arial" w:eastAsia="Arial" w:cs="Arial"/>
          <w:color w:val="000000" w:themeColor="text1" w:themeTint="FF" w:themeShade="FF"/>
          <w:sz w:val="22"/>
          <w:szCs w:val="22"/>
        </w:rPr>
        <w:t>.</w:t>
      </w:r>
    </w:p>
    <w:p w:rsidRPr="00C13031" w:rsidR="423E3CE9" w:rsidP="50F2224D" w:rsidRDefault="324645B5" w14:paraId="3D31CC26" w14:textId="30331CA7">
      <w:pPr>
        <w:spacing w:line="360" w:lineRule="auto"/>
        <w:jc w:val="both"/>
        <w:rPr>
          <w:rFonts w:ascii="Arial" w:hAnsi="Arial" w:eastAsia="Arial" w:cs="Arial"/>
          <w:b w:val="1"/>
          <w:bCs w:val="1"/>
          <w:color w:val="000000" w:themeColor="text1"/>
          <w:sz w:val="22"/>
          <w:szCs w:val="22"/>
        </w:rPr>
      </w:pPr>
      <w:r w:rsidRPr="50F2224D" w:rsidR="639E91FC">
        <w:rPr>
          <w:rFonts w:ascii="Arial" w:hAnsi="Arial" w:eastAsia="Arial" w:cs="Arial"/>
          <w:b w:val="1"/>
          <w:bCs w:val="1"/>
          <w:color w:val="000000" w:themeColor="text1" w:themeTint="FF" w:themeShade="FF"/>
          <w:sz w:val="22"/>
          <w:szCs w:val="22"/>
        </w:rPr>
        <w:t>Rich Picture Analysis of the Case Study</w:t>
      </w:r>
    </w:p>
    <w:p w:rsidR="423E3CE9" w:rsidP="50F2224D" w:rsidRDefault="423E3CE9" w14:paraId="04C82B6E" w14:textId="037553EB">
      <w:pPr>
        <w:spacing w:line="360" w:lineRule="auto"/>
        <w:jc w:val="both"/>
        <w:rPr>
          <w:rFonts w:ascii="Arial" w:hAnsi="Arial" w:eastAsia="Arial" w:cs="Arial"/>
          <w:color w:val="000000" w:themeColor="text1"/>
          <w:sz w:val="22"/>
          <w:szCs w:val="22"/>
        </w:rPr>
      </w:pPr>
    </w:p>
    <w:p w:rsidR="423E3CE9" w:rsidP="50F2224D" w:rsidRDefault="423E3CE9" w14:paraId="7B7DAE40" w14:textId="40A5095C">
      <w:pPr>
        <w:spacing w:line="360" w:lineRule="auto"/>
        <w:jc w:val="both"/>
        <w:rPr>
          <w:rFonts w:ascii="Arial" w:hAnsi="Arial" w:eastAsia="Arial" w:cs="Arial"/>
          <w:color w:val="000000" w:themeColor="text1"/>
          <w:sz w:val="22"/>
          <w:szCs w:val="22"/>
        </w:rPr>
      </w:pPr>
    </w:p>
    <w:p w:rsidR="69ED5DD3" w:rsidP="50F2224D" w:rsidRDefault="69ED5DD3" w14:paraId="6765BAE9" w14:textId="436EA76D">
      <w:pPr>
        <w:spacing w:line="360" w:lineRule="auto"/>
        <w:jc w:val="both"/>
        <w:rPr>
          <w:rFonts w:ascii="Arial" w:hAnsi="Arial" w:eastAsia="Arial" w:cs="Arial"/>
          <w:color w:val="000000" w:themeColor="text1"/>
          <w:sz w:val="22"/>
          <w:szCs w:val="22"/>
        </w:rPr>
      </w:pPr>
      <w:r>
        <w:rPr>
          <w:noProof/>
        </w:rPr>
        <w:drawing>
          <wp:anchor distT="0" distB="0" distL="114300" distR="114300" simplePos="0" relativeHeight="251658240" behindDoc="0" locked="0" layoutInCell="1" allowOverlap="1" wp14:anchorId="2A24FEED" wp14:editId="72428B5C">
            <wp:simplePos x="0" y="0"/>
            <wp:positionH relativeFrom="column">
              <wp:posOffset>-866775</wp:posOffset>
            </wp:positionH>
            <wp:positionV relativeFrom="paragraph">
              <wp:posOffset>-19050</wp:posOffset>
            </wp:positionV>
            <wp:extent cx="7519829" cy="5017390"/>
            <wp:effectExtent l="0" t="0" r="0" b="0"/>
            <wp:wrapNone/>
            <wp:docPr id="1597871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8711" name="Picture 15978711"/>
                    <pic:cNvPicPr/>
                  </pic:nvPicPr>
                  <pic:blipFill>
                    <a:blip r:embed="rId6">
                      <a:extLst>
                        <a:ext uri="{28A0092B-C50C-407E-A947-70E740481C1C}">
                          <a14:useLocalDpi xmlns:a14="http://schemas.microsoft.com/office/drawing/2010/main"/>
                        </a:ext>
                      </a:extLst>
                    </a:blip>
                    <a:stretch>
                      <a:fillRect/>
                    </a:stretch>
                  </pic:blipFill>
                  <pic:spPr>
                    <a:xfrm>
                      <a:off x="0" y="0"/>
                      <a:ext cx="7519829" cy="5017390"/>
                    </a:xfrm>
                    <a:prstGeom prst="rect">
                      <a:avLst/>
                    </a:prstGeom>
                  </pic:spPr>
                </pic:pic>
              </a:graphicData>
            </a:graphic>
            <wp14:sizeRelH relativeFrom="page">
              <wp14:pctWidth>0</wp14:pctWidth>
            </wp14:sizeRelH>
            <wp14:sizeRelV relativeFrom="page">
              <wp14:pctHeight>0</wp14:pctHeight>
            </wp14:sizeRelV>
          </wp:anchor>
        </w:drawing>
      </w:r>
    </w:p>
    <w:p w:rsidR="00EB48FF" w:rsidP="50F2224D" w:rsidRDefault="00EB48FF" w14:paraId="1E1BE26D" w14:textId="77777777">
      <w:pPr>
        <w:spacing w:line="360" w:lineRule="auto"/>
        <w:jc w:val="both"/>
        <w:rPr>
          <w:rFonts w:ascii="Arial" w:hAnsi="Arial" w:eastAsia="Arial" w:cs="Arial"/>
          <w:color w:val="000000" w:themeColor="text1"/>
          <w:sz w:val="22"/>
          <w:szCs w:val="22"/>
        </w:rPr>
      </w:pPr>
    </w:p>
    <w:p w:rsidR="00EB48FF" w:rsidP="50F2224D" w:rsidRDefault="00EB48FF" w14:paraId="1C0C5D70" w14:textId="77777777">
      <w:pPr>
        <w:spacing w:line="360" w:lineRule="auto"/>
        <w:jc w:val="both"/>
        <w:rPr>
          <w:rFonts w:ascii="Arial" w:hAnsi="Arial" w:eastAsia="Arial" w:cs="Arial"/>
          <w:color w:val="000000" w:themeColor="text1"/>
          <w:sz w:val="22"/>
          <w:szCs w:val="22"/>
        </w:rPr>
      </w:pPr>
    </w:p>
    <w:p w:rsidR="00EB48FF" w:rsidP="50F2224D" w:rsidRDefault="00EB48FF" w14:paraId="61B9C975" w14:textId="77777777">
      <w:pPr>
        <w:spacing w:line="360" w:lineRule="auto"/>
        <w:jc w:val="both"/>
        <w:rPr>
          <w:rFonts w:ascii="Arial" w:hAnsi="Arial" w:eastAsia="Arial" w:cs="Arial"/>
          <w:color w:val="000000" w:themeColor="text1"/>
          <w:sz w:val="22"/>
          <w:szCs w:val="22"/>
        </w:rPr>
      </w:pPr>
    </w:p>
    <w:p w:rsidR="00EB48FF" w:rsidP="50F2224D" w:rsidRDefault="00EB48FF" w14:paraId="56F2BE99" w14:textId="77777777">
      <w:pPr>
        <w:spacing w:line="360" w:lineRule="auto"/>
        <w:jc w:val="both"/>
        <w:rPr>
          <w:rFonts w:ascii="Arial" w:hAnsi="Arial" w:eastAsia="Arial" w:cs="Arial"/>
          <w:color w:val="000000" w:themeColor="text1"/>
          <w:sz w:val="22"/>
          <w:szCs w:val="22"/>
        </w:rPr>
      </w:pPr>
    </w:p>
    <w:p w:rsidR="69ED5DD3" w:rsidP="50F2224D" w:rsidRDefault="69ED5DD3" w14:paraId="5C316131" w14:textId="1A36A198">
      <w:pPr>
        <w:spacing w:line="360" w:lineRule="auto"/>
        <w:jc w:val="both"/>
        <w:rPr>
          <w:rFonts w:ascii="Arial" w:hAnsi="Arial" w:eastAsia="Arial" w:cs="Arial"/>
          <w:color w:val="000000" w:themeColor="text1"/>
          <w:sz w:val="22"/>
          <w:szCs w:val="22"/>
        </w:rPr>
      </w:pPr>
    </w:p>
    <w:p w:rsidR="69ED5DD3" w:rsidP="50F2224D" w:rsidRDefault="69ED5DD3" w14:paraId="2C7EB54A" w14:textId="79F651DC">
      <w:pPr>
        <w:spacing w:line="360" w:lineRule="auto"/>
        <w:jc w:val="both"/>
        <w:rPr>
          <w:rFonts w:ascii="Arial" w:hAnsi="Arial" w:eastAsia="Arial" w:cs="Arial"/>
          <w:color w:val="000000" w:themeColor="text1"/>
          <w:sz w:val="22"/>
          <w:szCs w:val="22"/>
        </w:rPr>
      </w:pPr>
    </w:p>
    <w:p w:rsidR="69ED5DD3" w:rsidP="50F2224D" w:rsidRDefault="69ED5DD3" w14:paraId="78E2E2B8" w14:textId="61A568DF">
      <w:pPr>
        <w:spacing w:line="360" w:lineRule="auto"/>
        <w:jc w:val="both"/>
        <w:rPr>
          <w:rFonts w:ascii="Arial" w:hAnsi="Arial" w:eastAsia="Arial" w:cs="Arial"/>
          <w:color w:val="000000" w:themeColor="text1"/>
          <w:sz w:val="22"/>
          <w:szCs w:val="22"/>
        </w:rPr>
      </w:pPr>
    </w:p>
    <w:p w:rsidR="69ED5DD3" w:rsidP="50F2224D" w:rsidRDefault="69ED5DD3" w14:paraId="3F451855" w14:textId="6D64C788">
      <w:pPr>
        <w:spacing w:line="360" w:lineRule="auto"/>
        <w:jc w:val="both"/>
        <w:rPr>
          <w:rFonts w:ascii="Arial" w:hAnsi="Arial" w:eastAsia="Arial" w:cs="Arial"/>
          <w:color w:val="000000" w:themeColor="text1"/>
          <w:sz w:val="22"/>
          <w:szCs w:val="22"/>
        </w:rPr>
      </w:pPr>
    </w:p>
    <w:p w:rsidR="69ED5DD3" w:rsidP="50F2224D" w:rsidRDefault="69ED5DD3" w14:paraId="5A724D8F" w14:textId="530002B1">
      <w:pPr>
        <w:spacing w:line="360" w:lineRule="auto"/>
        <w:jc w:val="both"/>
        <w:rPr>
          <w:rFonts w:ascii="Arial" w:hAnsi="Arial" w:eastAsia="Arial" w:cs="Arial"/>
          <w:color w:val="000000" w:themeColor="text1"/>
          <w:sz w:val="22"/>
          <w:szCs w:val="22"/>
        </w:rPr>
      </w:pPr>
    </w:p>
    <w:p w:rsidR="69ED5DD3" w:rsidP="50F2224D" w:rsidRDefault="69ED5DD3" w14:paraId="784FE763" w14:textId="149865ED">
      <w:pPr>
        <w:spacing w:line="360" w:lineRule="auto"/>
        <w:jc w:val="both"/>
        <w:rPr>
          <w:rFonts w:ascii="Arial" w:hAnsi="Arial" w:eastAsia="Arial" w:cs="Arial"/>
          <w:color w:val="000000" w:themeColor="text1"/>
          <w:sz w:val="22"/>
          <w:szCs w:val="22"/>
        </w:rPr>
      </w:pPr>
    </w:p>
    <w:p w:rsidR="69ED5DD3" w:rsidP="50F2224D" w:rsidRDefault="69ED5DD3" w14:paraId="7F5AE94E" w14:textId="0179EAF3">
      <w:pPr>
        <w:spacing w:line="360" w:lineRule="auto"/>
        <w:jc w:val="both"/>
        <w:rPr>
          <w:rFonts w:ascii="Arial" w:hAnsi="Arial" w:eastAsia="Arial" w:cs="Arial"/>
          <w:color w:val="000000" w:themeColor="text1"/>
          <w:sz w:val="22"/>
          <w:szCs w:val="22"/>
        </w:rPr>
      </w:pPr>
    </w:p>
    <w:p w:rsidR="69ED5DD3" w:rsidP="50F2224D" w:rsidRDefault="69ED5DD3" w14:paraId="62B9A157" w14:textId="15D7BCA3">
      <w:pPr>
        <w:spacing w:line="360" w:lineRule="auto"/>
        <w:jc w:val="both"/>
        <w:rPr>
          <w:rFonts w:ascii="Arial" w:hAnsi="Arial" w:eastAsia="Arial" w:cs="Arial"/>
          <w:color w:val="000000" w:themeColor="text1"/>
          <w:sz w:val="22"/>
          <w:szCs w:val="22"/>
        </w:rPr>
      </w:pPr>
    </w:p>
    <w:p w:rsidR="69ED5DD3" w:rsidP="50F2224D" w:rsidRDefault="69ED5DD3" w14:paraId="627CC47F" w14:textId="0FA93AE4">
      <w:pPr>
        <w:spacing w:line="360" w:lineRule="auto"/>
        <w:jc w:val="both"/>
        <w:rPr>
          <w:rFonts w:ascii="Arial" w:hAnsi="Arial" w:eastAsia="Arial" w:cs="Arial"/>
          <w:color w:val="000000" w:themeColor="text1"/>
          <w:sz w:val="22"/>
          <w:szCs w:val="22"/>
        </w:rPr>
      </w:pPr>
    </w:p>
    <w:p w:rsidR="69ED5DD3" w:rsidP="50F2224D" w:rsidRDefault="69ED5DD3" w14:paraId="68617B0D" w14:textId="4F17251F">
      <w:pPr>
        <w:spacing w:line="360" w:lineRule="auto"/>
        <w:jc w:val="both"/>
        <w:rPr>
          <w:rFonts w:ascii="Arial" w:hAnsi="Arial" w:eastAsia="Arial" w:cs="Arial"/>
          <w:color w:val="000000" w:themeColor="text1"/>
          <w:sz w:val="22"/>
          <w:szCs w:val="22"/>
        </w:rPr>
      </w:pPr>
    </w:p>
    <w:p w:rsidR="00BA7CF4" w:rsidP="50F2224D" w:rsidRDefault="00BA7CF4" w14:paraId="52321144" w14:textId="5A0C57E3">
      <w:pPr>
        <w:pStyle w:val="Normal"/>
        <w:spacing w:line="360" w:lineRule="auto"/>
        <w:jc w:val="both"/>
        <w:rPr>
          <w:rFonts w:ascii="Arial" w:hAnsi="Arial" w:eastAsia="Arial" w:cs="Arial"/>
          <w:color w:val="000000" w:themeColor="text1"/>
          <w:sz w:val="22"/>
          <w:szCs w:val="22"/>
        </w:rPr>
      </w:pPr>
      <w:r w:rsidRPr="50F2224D" w:rsidR="6FBDCA43">
        <w:rPr>
          <w:rFonts w:ascii="Arial" w:hAnsi="Arial" w:eastAsia="Arial" w:cs="Arial"/>
          <w:color w:val="000000" w:themeColor="text1" w:themeTint="FF" w:themeShade="FF"/>
          <w:sz w:val="22"/>
          <w:szCs w:val="22"/>
        </w:rPr>
        <w:t>The Rich Picture reveals three toxic feedback loops and dependencies that undermined safety (Holden et al., 2013)</w:t>
      </w:r>
      <w:r w:rsidRPr="50F2224D" w:rsidR="01EE1869">
        <w:rPr>
          <w:rFonts w:ascii="Arial" w:hAnsi="Arial" w:eastAsia="Arial" w:cs="Arial"/>
          <w:color w:val="000000" w:themeColor="text1" w:themeTint="FF" w:themeShade="FF"/>
          <w:sz w:val="22"/>
          <w:szCs w:val="22"/>
        </w:rPr>
        <w:t>.</w:t>
      </w:r>
    </w:p>
    <w:p w:rsidRPr="00A04167" w:rsidR="00A04167" w:rsidP="50F2224D" w:rsidRDefault="27D72D18" w14:paraId="7B324D8B" w14:textId="619F83E1">
      <w:pPr>
        <w:spacing w:line="360" w:lineRule="auto"/>
        <w:jc w:val="both"/>
        <w:rPr>
          <w:rFonts w:ascii="Arial" w:hAnsi="Arial" w:eastAsia="Arial" w:cs="Arial"/>
          <w:color w:val="000000" w:themeColor="text1"/>
          <w:sz w:val="22"/>
          <w:szCs w:val="22"/>
        </w:rPr>
      </w:pPr>
      <w:r w:rsidRPr="50F2224D" w:rsidR="4E57BF80">
        <w:rPr>
          <w:rFonts w:ascii="Arial" w:hAnsi="Arial" w:eastAsia="Arial" w:cs="Arial"/>
          <w:color w:val="000000" w:themeColor="text1" w:themeTint="FF" w:themeShade="FF"/>
          <w:sz w:val="22"/>
          <w:szCs w:val="22"/>
        </w:rPr>
        <w:t>The Communication Disconnection Loop: A separate non-linear loop is formed when the acute hospital pharmacy refers families to community providers to avoid internal stock shortages (Wachter and Gupta, 2018). But, because the hospital is on a separate computer network, this re-routing is totally invisible to the regional ICB’s safety-monitoring systems (Macrae, 2016).</w:t>
      </w:r>
    </w:p>
    <w:p w:rsidRPr="00A04167" w:rsidR="00A04167" w:rsidP="50F2224D" w:rsidRDefault="27D72D18" w14:paraId="53D5C12F" w14:textId="77777777">
      <w:pPr>
        <w:spacing w:line="360" w:lineRule="auto"/>
        <w:jc w:val="both"/>
        <w:rPr>
          <w:rFonts w:ascii="Arial" w:hAnsi="Arial" w:eastAsia="Arial" w:cs="Arial"/>
          <w:color w:val="000000" w:themeColor="text1"/>
          <w:sz w:val="22"/>
          <w:szCs w:val="22"/>
        </w:rPr>
      </w:pPr>
      <w:r w:rsidRPr="50F2224D" w:rsidR="4E57BF80">
        <w:rPr>
          <w:rFonts w:ascii="Arial" w:hAnsi="Arial" w:eastAsia="Arial" w:cs="Arial"/>
          <w:color w:val="000000" w:themeColor="text1" w:themeTint="FF" w:themeShade="FF"/>
          <w:sz w:val="22"/>
          <w:szCs w:val="22"/>
        </w:rPr>
        <w:t>The Software Dependency Vulnerability The community pharmacy is wholly dependent upon commercial retail software that is oriented to standard commercial product codes and not the customized clinical formulations. Without an integrated digital link to hospital records, retail software strips away the specialist clinical context and presents a high-concentration commercial bottle as a valid substitute (Greenhalgh et al., 2017).</w:t>
      </w:r>
    </w:p>
    <w:p w:rsidRPr="00A04167" w:rsidR="00A04167" w:rsidP="50F2224D" w:rsidRDefault="00A04167" w14:paraId="4A61134C" w14:textId="77777777">
      <w:pPr>
        <w:spacing w:line="360" w:lineRule="auto"/>
        <w:jc w:val="both"/>
        <w:rPr>
          <w:rFonts w:ascii="Arial" w:hAnsi="Arial" w:eastAsia="Arial" w:cs="Arial"/>
          <w:color w:val="000000" w:themeColor="text1"/>
          <w:sz w:val="22"/>
          <w:szCs w:val="22"/>
        </w:rPr>
      </w:pPr>
    </w:p>
    <w:p w:rsidR="00ED6312" w:rsidP="50F2224D" w:rsidRDefault="27D72D18" w14:paraId="4F35633B" w14:textId="4CCC2508">
      <w:pPr>
        <w:spacing w:line="360" w:lineRule="auto"/>
        <w:jc w:val="both"/>
        <w:rPr>
          <w:rFonts w:ascii="Arial" w:hAnsi="Arial" w:eastAsia="Arial" w:cs="Arial"/>
          <w:color w:val="000000" w:themeColor="text1"/>
          <w:sz w:val="22"/>
          <w:szCs w:val="22"/>
        </w:rPr>
      </w:pPr>
      <w:r w:rsidRPr="50F2224D" w:rsidR="4E57BF80">
        <w:rPr>
          <w:rFonts w:ascii="Arial" w:hAnsi="Arial" w:eastAsia="Arial" w:cs="Arial"/>
          <w:color w:val="000000" w:themeColor="text1" w:themeTint="FF" w:themeShade="FF"/>
          <w:sz w:val="22"/>
          <w:szCs w:val="22"/>
        </w:rPr>
        <w:t>Workload-driven workaround loop:</w:t>
      </w:r>
      <w:r w:rsidRPr="50F2224D" w:rsidR="0FBDA8DF">
        <w:rPr>
          <w:rFonts w:ascii="Arial" w:hAnsi="Arial" w:eastAsia="Arial" w:cs="Arial"/>
          <w:color w:val="000000" w:themeColor="text1" w:themeTint="FF" w:themeShade="FF"/>
          <w:sz w:val="22"/>
          <w:szCs w:val="22"/>
        </w:rPr>
        <w:t xml:space="preserve"> </w:t>
      </w:r>
      <w:r w:rsidRPr="50F2224D" w:rsidR="4E57BF80">
        <w:rPr>
          <w:rFonts w:ascii="Arial" w:hAnsi="Arial" w:eastAsia="Arial" w:cs="Arial"/>
          <w:color w:val="000000" w:themeColor="text1" w:themeTint="FF" w:themeShade="FF"/>
          <w:sz w:val="22"/>
          <w:szCs w:val="22"/>
        </w:rPr>
        <w:t>Clinical teams are facing acute workforce shortages and significant discharge pressures, relying on informal, manual workarounds to maintain patient throughput (CQC, 2023). These rapid workarounds consistently bypass the mandatory dual-practitioner verification steps in secondary care wards, reducing safety margins in favour of operational speed (Reason, 2000).</w:t>
      </w:r>
    </w:p>
    <w:p w:rsidRPr="00EE625D" w:rsidR="00463EC6" w:rsidP="50F2224D" w:rsidRDefault="6CC3F3CC" w14:paraId="600500F6" w14:textId="56C3E136">
      <w:pPr>
        <w:spacing w:line="360" w:lineRule="auto"/>
        <w:jc w:val="both"/>
        <w:rPr>
          <w:rFonts w:ascii="Arial" w:hAnsi="Arial" w:eastAsia="Arial" w:cs="Arial"/>
          <w:b w:val="1"/>
          <w:bCs w:val="1"/>
          <w:color w:val="000000" w:themeColor="text1"/>
          <w:sz w:val="22"/>
          <w:szCs w:val="22"/>
        </w:rPr>
      </w:pPr>
      <w:r w:rsidRPr="50F2224D" w:rsidR="1A770B4D">
        <w:rPr>
          <w:rFonts w:ascii="Arial" w:hAnsi="Arial" w:eastAsia="Arial" w:cs="Arial"/>
          <w:b w:val="1"/>
          <w:bCs w:val="1"/>
          <w:color w:val="000000" w:themeColor="text1" w:themeTint="FF" w:themeShade="FF"/>
          <w:sz w:val="22"/>
          <w:szCs w:val="22"/>
        </w:rPr>
        <w:t>The Core Operational Failure and Clinical Context</w:t>
      </w:r>
    </w:p>
    <w:p w:rsidRPr="007A6CC7" w:rsidR="00ED6312" w:rsidP="50F2224D" w:rsidRDefault="1E647D95" w14:paraId="38D8A3AC" w14:textId="40AAD8DE">
      <w:pPr>
        <w:spacing w:line="360" w:lineRule="auto"/>
        <w:jc w:val="both"/>
        <w:rPr>
          <w:rFonts w:ascii="Arial" w:hAnsi="Arial" w:eastAsia="Arial" w:cs="Arial"/>
          <w:color w:val="000000" w:themeColor="text1"/>
          <w:sz w:val="22"/>
          <w:szCs w:val="22"/>
        </w:rPr>
      </w:pPr>
      <w:r w:rsidRPr="50F2224D" w:rsidR="571735F7">
        <w:rPr>
          <w:rFonts w:ascii="Arial" w:hAnsi="Arial" w:eastAsia="Arial" w:cs="Arial"/>
          <w:color w:val="000000" w:themeColor="text1" w:themeTint="FF" w:themeShade="FF"/>
          <w:sz w:val="22"/>
          <w:szCs w:val="22"/>
        </w:rPr>
        <w:t xml:space="preserve">The key issue to be discussed is a major preventable medication reconciliation and dispensing error within the NHS secondary to primary care interface in the North East and Yorkshire region (North Yorkshire Integrated Care Board [ICB], 2022). A 20-fold overdose of morphine sulphate oral solution was administered to a four-week-old neonate in an active failure that resulted in immediate acute respiratory depression requiring emergency life support. The error occurred when a community provider inadvertently provided the baby's parents with a commercially produced bottle of morphine sulphate oral solution at a high concentration of 10mg/5ml (2,000 micrograms/ml). The high dose stock solution was mistakenly issued instead of the custom compounded, low concentration 100 micrograms/ml formulation </w:t>
      </w:r>
      <w:r w:rsidRPr="50F2224D" w:rsidR="3596EF24">
        <w:rPr>
          <w:rFonts w:ascii="Arial" w:hAnsi="Arial" w:eastAsia="Arial" w:cs="Arial"/>
          <w:color w:val="000000" w:themeColor="text1" w:themeTint="FF" w:themeShade="FF"/>
          <w:sz w:val="22"/>
          <w:szCs w:val="22"/>
        </w:rPr>
        <w:t>needed</w:t>
      </w:r>
      <w:r w:rsidRPr="50F2224D" w:rsidR="571735F7">
        <w:rPr>
          <w:rFonts w:ascii="Arial" w:hAnsi="Arial" w:eastAsia="Arial" w:cs="Arial"/>
          <w:color w:val="000000" w:themeColor="text1" w:themeTint="FF" w:themeShade="FF"/>
          <w:sz w:val="22"/>
          <w:szCs w:val="22"/>
        </w:rPr>
        <w:t xml:space="preserve"> for safe neonatal therapeutic regimens (Patient Safety Commissioner, 2024).</w:t>
      </w:r>
    </w:p>
    <w:p w:rsidR="00943306" w:rsidP="50F2224D" w:rsidRDefault="0844A894" w14:paraId="21909329" w14:textId="4FF2DAC7">
      <w:pPr>
        <w:spacing w:after="0" w:line="360" w:lineRule="auto"/>
        <w:jc w:val="both"/>
        <w:rPr>
          <w:rFonts w:ascii="Arial" w:hAnsi="Arial" w:eastAsia="Arial" w:cs="Arial"/>
          <w:color w:val="000000" w:themeColor="text1"/>
          <w:sz w:val="22"/>
          <w:szCs w:val="22"/>
        </w:rPr>
      </w:pPr>
      <w:r w:rsidRPr="50F2224D" w:rsidR="3596EF24">
        <w:rPr>
          <w:rFonts w:ascii="Arial" w:hAnsi="Arial" w:eastAsia="Arial" w:cs="Arial"/>
          <w:color w:val="000000" w:themeColor="text1" w:themeTint="FF" w:themeShade="FF"/>
          <w:sz w:val="22"/>
          <w:szCs w:val="22"/>
        </w:rPr>
        <w:t>The infant survived only because parents intervened in an emergency and because naloxone, an opioid antagonist, was administered quickly in an acute Accident and Emergency department. However, a later retrospective analysis of national incident repositories showed that this was not an isolated clinical anomaly. This is the fifth reported case of this type of structural failure in the NHS since 2018, one of which led directly to the death of a baby (Patient Safety Commissioner, 2024).</w:t>
      </w:r>
    </w:p>
    <w:p w:rsidR="004D639B" w:rsidP="50F2224D" w:rsidRDefault="004D639B" w14:paraId="3131A035" w14:textId="77777777">
      <w:pPr>
        <w:spacing w:after="0" w:line="360" w:lineRule="auto"/>
        <w:jc w:val="both"/>
        <w:rPr>
          <w:rFonts w:ascii="Arial" w:hAnsi="Arial" w:eastAsia="Arial" w:cs="Arial"/>
          <w:color w:val="000000" w:themeColor="text1"/>
          <w:sz w:val="22"/>
          <w:szCs w:val="22"/>
        </w:rPr>
      </w:pPr>
    </w:p>
    <w:p w:rsidR="004D639B" w:rsidP="50F2224D" w:rsidRDefault="08391645" w14:paraId="2B8EC11E" w14:textId="1F648AD6">
      <w:pPr>
        <w:spacing w:after="0" w:line="360" w:lineRule="auto"/>
        <w:jc w:val="both"/>
        <w:rPr>
          <w:rFonts w:ascii="Arial" w:hAnsi="Arial" w:eastAsia="Arial" w:cs="Arial"/>
          <w:color w:val="000000" w:themeColor="text1"/>
          <w:sz w:val="22"/>
          <w:szCs w:val="22"/>
        </w:rPr>
      </w:pPr>
      <w:r w:rsidRPr="50F2224D" w:rsidR="4F13005A">
        <w:rPr>
          <w:rFonts w:ascii="Arial" w:hAnsi="Arial" w:eastAsia="Arial" w:cs="Arial"/>
          <w:color w:val="000000" w:themeColor="text1" w:themeTint="FF" w:themeShade="FF"/>
          <w:sz w:val="22"/>
          <w:szCs w:val="22"/>
        </w:rPr>
        <w:t>This repetitive breakdown highlights a severe failure to enforce "RED DRUG" clinical governance protocols. On regional joint formularies, the 100 micrograms/ml morphine sulphate oral solution is explicitly classified as a "RED DRUG – HOSPITAL ONLY" specials product (North Yorkshire ICB, 2022). Under standard NHS clinical governance frameworks, RED drugs must meet rigid criteria: they must be initiated solely by secondary care clinical specialists; the ongoing prescribing, clinical vetting, and physical dispensing must be retained entirely within acute secondary care infrastructure; and they must never be transferred to primary care general practitioners (GPs) for routine refill, nor routed through commercial community pharmacy retail networks (Royal Pharmaceutical Society [RPS], 2021). The systemic failure occurred when local acute discharge pathways broke down, causing a high-risk, hospital-only medication to bypass established structural boundaries and enter the uncoordinated community supply chain.</w:t>
      </w:r>
    </w:p>
    <w:p w:rsidRPr="007A6CC7" w:rsidR="001B2183" w:rsidP="50F2224D" w:rsidRDefault="001B2183" w14:paraId="2FB98833" w14:textId="77777777">
      <w:pPr>
        <w:spacing w:after="0" w:line="360" w:lineRule="auto"/>
        <w:jc w:val="both"/>
        <w:rPr>
          <w:rFonts w:ascii="Arial" w:hAnsi="Arial" w:eastAsia="Arial" w:cs="Arial"/>
          <w:color w:val="000000" w:themeColor="text1"/>
          <w:sz w:val="22"/>
          <w:szCs w:val="22"/>
        </w:rPr>
      </w:pPr>
    </w:p>
    <w:p w:rsidR="00D114F7" w:rsidP="50F2224D" w:rsidRDefault="0A0D59CC" w14:paraId="27E7EF73" w14:textId="6A63C645">
      <w:pPr>
        <w:spacing w:line="360" w:lineRule="auto"/>
        <w:jc w:val="both"/>
        <w:rPr>
          <w:rFonts w:ascii="Arial" w:hAnsi="Arial" w:eastAsia="Arial" w:cs="Arial"/>
          <w:b w:val="1"/>
          <w:bCs w:val="1"/>
          <w:color w:val="000000"/>
          <w:sz w:val="22"/>
          <w:szCs w:val="22"/>
        </w:rPr>
      </w:pPr>
      <w:r w:rsidRPr="50F2224D" w:rsidR="713322BF">
        <w:rPr>
          <w:rFonts w:ascii="Arial" w:hAnsi="Arial" w:eastAsia="Arial" w:cs="Arial"/>
          <w:b w:val="1"/>
          <w:bCs w:val="1"/>
          <w:color w:val="000000" w:themeColor="text1" w:themeTint="FF" w:themeShade="FF"/>
          <w:sz w:val="22"/>
          <w:szCs w:val="22"/>
        </w:rPr>
        <w:t>Global and National Data Saturation</w:t>
      </w:r>
    </w:p>
    <w:p w:rsidR="00E20ED7" w:rsidP="50F2224D" w:rsidRDefault="44A7D166" w14:paraId="515FC383" w14:textId="1CF938B2">
      <w:pPr>
        <w:spacing w:line="360" w:lineRule="auto"/>
        <w:jc w:val="both"/>
        <w:rPr>
          <w:rFonts w:ascii="Arial" w:hAnsi="Arial" w:eastAsia="Arial" w:cs="Arial"/>
          <w:sz w:val="22"/>
          <w:szCs w:val="22"/>
        </w:rPr>
      </w:pPr>
      <w:r w:rsidRPr="50F2224D" w:rsidR="6086785C">
        <w:rPr>
          <w:rFonts w:ascii="Arial" w:hAnsi="Arial" w:eastAsia="Arial" w:cs="Arial"/>
          <w:sz w:val="22"/>
          <w:szCs w:val="22"/>
        </w:rPr>
        <w:t>This regional failure, wh</w:t>
      </w:r>
      <w:r w:rsidRPr="50F2224D" w:rsidR="6086785C">
        <w:rPr>
          <w:rFonts w:ascii="Arial" w:hAnsi="Arial" w:eastAsia="Arial" w:cs="Arial"/>
          <w:sz w:val="22"/>
          <w:szCs w:val="22"/>
        </w:rPr>
        <w:t xml:space="preserve">en viewed </w:t>
      </w:r>
      <w:r w:rsidRPr="50F2224D" w:rsidR="6086785C">
        <w:rPr>
          <w:rFonts w:ascii="Arial" w:hAnsi="Arial" w:eastAsia="Arial" w:cs="Arial"/>
          <w:sz w:val="22"/>
          <w:szCs w:val="22"/>
        </w:rPr>
        <w:t>through the lens of macro-level epidemiological and organizational metrics, is indicative of profound systemic vulnerabilities affecting modern healthcare deliv</w:t>
      </w:r>
      <w:r w:rsidRPr="50F2224D" w:rsidR="6086785C">
        <w:rPr>
          <w:rFonts w:ascii="Arial" w:hAnsi="Arial" w:eastAsia="Arial" w:cs="Arial"/>
          <w:sz w:val="22"/>
          <w:szCs w:val="22"/>
        </w:rPr>
        <w:t>ery globally. A</w:t>
      </w:r>
      <w:r w:rsidRPr="50F2224D" w:rsidR="6086785C">
        <w:rPr>
          <w:rFonts w:ascii="Arial" w:hAnsi="Arial" w:eastAsia="Arial" w:cs="Arial"/>
          <w:sz w:val="22"/>
          <w:szCs w:val="22"/>
        </w:rPr>
        <w:t>ccording to the Global Patient Safety Action Plan 2021–2030 of the Wo</w:t>
      </w:r>
      <w:r w:rsidRPr="50F2224D" w:rsidR="6086785C">
        <w:rPr>
          <w:rFonts w:ascii="Arial" w:hAnsi="Arial" w:eastAsia="Arial" w:cs="Arial"/>
          <w:sz w:val="22"/>
          <w:szCs w:val="22"/>
        </w:rPr>
        <w:t>rld</w:t>
      </w:r>
      <w:r w:rsidRPr="50F2224D" w:rsidR="7C6059AA">
        <w:rPr>
          <w:rFonts w:ascii="Arial" w:hAnsi="Arial" w:eastAsia="Arial" w:cs="Arial"/>
          <w:sz w:val="22"/>
          <w:szCs w:val="22"/>
        </w:rPr>
        <w:t xml:space="preserve"> </w:t>
      </w:r>
      <w:r w:rsidRPr="50F2224D" w:rsidR="6086785C">
        <w:rPr>
          <w:rFonts w:ascii="Arial" w:hAnsi="Arial" w:eastAsia="Arial" w:cs="Arial"/>
          <w:sz w:val="22"/>
          <w:szCs w:val="22"/>
        </w:rPr>
        <w:t>Heal</w:t>
      </w:r>
      <w:r w:rsidRPr="50F2224D" w:rsidR="6086785C">
        <w:rPr>
          <w:rFonts w:ascii="Arial" w:hAnsi="Arial" w:eastAsia="Arial" w:cs="Arial"/>
          <w:sz w:val="22"/>
          <w:szCs w:val="22"/>
        </w:rPr>
        <w:t xml:space="preserve">th Organization (WHO, 2021), medication-related errors are the major source of preventable harm and avoidable injuries in healthcare delivery systems globally. The issue leads to an estimated annual financial burden of $42 billion USD, </w:t>
      </w:r>
      <w:r w:rsidRPr="50F2224D" w:rsidR="6086785C">
        <w:rPr>
          <w:rFonts w:ascii="Arial" w:hAnsi="Arial" w:eastAsia="Arial" w:cs="Arial"/>
          <w:sz w:val="22"/>
          <w:szCs w:val="22"/>
        </w:rPr>
        <w:t>representing</w:t>
      </w:r>
      <w:r w:rsidRPr="50F2224D" w:rsidR="6086785C">
        <w:rPr>
          <w:rFonts w:ascii="Arial" w:hAnsi="Arial" w:eastAsia="Arial" w:cs="Arial"/>
          <w:sz w:val="22"/>
          <w:szCs w:val="22"/>
        </w:rPr>
        <w:t xml:space="preserve"> </w:t>
      </w:r>
      <w:r w:rsidRPr="50F2224D" w:rsidR="6086785C">
        <w:rPr>
          <w:rFonts w:ascii="Arial" w:hAnsi="Arial" w:eastAsia="Arial" w:cs="Arial"/>
          <w:sz w:val="22"/>
          <w:szCs w:val="22"/>
        </w:rPr>
        <w:t>nearly 1%</w:t>
      </w:r>
      <w:r w:rsidRPr="50F2224D" w:rsidR="6086785C">
        <w:rPr>
          <w:rFonts w:ascii="Arial" w:hAnsi="Arial" w:eastAsia="Arial" w:cs="Arial"/>
          <w:sz w:val="22"/>
          <w:szCs w:val="22"/>
        </w:rPr>
        <w:t xml:space="preserve"> of total global healthcare expenditure (WHO, 2017). According to the WHO (2021), adverse medication events account for 5 to 7% of all acute hospital admissions around the world. Importantly, global assessments have </w:t>
      </w:r>
      <w:r w:rsidRPr="50F2224D" w:rsidR="6086785C">
        <w:rPr>
          <w:rFonts w:ascii="Arial" w:hAnsi="Arial" w:eastAsia="Arial" w:cs="Arial"/>
          <w:sz w:val="22"/>
          <w:szCs w:val="22"/>
        </w:rPr>
        <w:t>identified</w:t>
      </w:r>
      <w:r w:rsidRPr="50F2224D" w:rsidR="6086785C">
        <w:rPr>
          <w:rFonts w:ascii="Arial" w:hAnsi="Arial" w:eastAsia="Arial" w:cs="Arial"/>
          <w:sz w:val="22"/>
          <w:szCs w:val="22"/>
        </w:rPr>
        <w:t xml:space="preserve"> paediatric and neonatal populations as at three-to-five times higher risk of experiencing medication harm than adult cohorts (Donaldson et al., 2017). This increased vulnerability stems directly from the complicated calculations, micro-dose measurements, and custom dilutions needed to adjust for a neonate's changing weight and metabolic profile.</w:t>
      </w:r>
    </w:p>
    <w:p w:rsidR="00DB5A83" w:rsidP="50F2224D" w:rsidRDefault="5DA0298F" w14:paraId="6C8580D8" w14:textId="627C020D">
      <w:pPr>
        <w:spacing w:line="360" w:lineRule="auto"/>
        <w:jc w:val="both"/>
        <w:rPr>
          <w:rFonts w:ascii="Arial" w:hAnsi="Arial" w:eastAsia="Arial" w:cs="Arial"/>
          <w:sz w:val="22"/>
          <w:szCs w:val="22"/>
        </w:rPr>
      </w:pPr>
      <w:r w:rsidRPr="50F2224D" w:rsidR="4535A1E3">
        <w:rPr>
          <w:rFonts w:ascii="Arial" w:hAnsi="Arial" w:eastAsia="Arial" w:cs="Arial"/>
          <w:sz w:val="22"/>
          <w:szCs w:val="22"/>
        </w:rPr>
        <w:t>At a national level, data from the Care Quality Commission (CQC, 2023) and the National Reporting and Learning System (NRLS) indicates that there are over 237 million medication errors in England each year. This high volume of errors directly causes over 1,700 avoidable deaths per year and costs NHS England over £98 million annually in longer hospital stays and emergency corrective treatments (Sheikh, Storey and Cresswell, 2023)</w:t>
      </w:r>
      <w:r w:rsidRPr="50F2224D" w:rsidR="2F6E82C5">
        <w:rPr>
          <w:rFonts w:ascii="Arial" w:hAnsi="Arial" w:eastAsia="Arial" w:cs="Arial"/>
          <w:sz w:val="22"/>
          <w:szCs w:val="22"/>
        </w:rPr>
        <w:t>.</w:t>
      </w:r>
    </w:p>
    <w:p w:rsidR="00900358" w:rsidP="50F2224D" w:rsidRDefault="463FA916" w14:paraId="03EF2DF7" w14:textId="1CE829AE">
      <w:pPr>
        <w:spacing w:line="360" w:lineRule="auto"/>
        <w:jc w:val="both"/>
        <w:rPr>
          <w:rFonts w:ascii="Arial" w:hAnsi="Arial" w:eastAsia="Arial" w:cs="Arial"/>
          <w:sz w:val="22"/>
          <w:szCs w:val="22"/>
        </w:rPr>
      </w:pPr>
      <w:r w:rsidRPr="50F2224D" w:rsidR="100421DA">
        <w:rPr>
          <w:rFonts w:ascii="Arial" w:hAnsi="Arial" w:eastAsia="Arial" w:cs="Arial"/>
          <w:sz w:val="22"/>
          <w:szCs w:val="22"/>
        </w:rPr>
        <w:t xml:space="preserve">These findings are placed in a wider global context by statistical analyses from international bodies such as the Institute for Healthcare Improvement (IHI) which show that the UK’s challenges are reflective of international safety trends. The IHI estimate that as much as 40% of all high-alert medication errors are precipitated at points of transition, particularly in the discharge of patients from acute secondary units to community-based primary care networks (Institute for Healthcare Improvement, 2022). IHI says </w:t>
      </w:r>
      <w:r w:rsidRPr="50F2224D" w:rsidR="50E98E14">
        <w:rPr>
          <w:rFonts w:ascii="Arial" w:hAnsi="Arial" w:eastAsia="Arial" w:cs="Arial"/>
          <w:sz w:val="22"/>
          <w:szCs w:val="22"/>
        </w:rPr>
        <w:t>these handoffs</w:t>
      </w:r>
      <w:r w:rsidRPr="50F2224D" w:rsidR="100421DA">
        <w:rPr>
          <w:rFonts w:ascii="Arial" w:hAnsi="Arial" w:eastAsia="Arial" w:cs="Arial"/>
          <w:sz w:val="22"/>
          <w:szCs w:val="22"/>
        </w:rPr>
        <w:t xml:space="preserve"> points suffer from fragmented communication, lack of coordinated digital tracking and vague clinical accountability around the world. This basically converts simple care handovers into very volatile zones for patient safety (Wachter and Gupta, 2018).</w:t>
      </w:r>
    </w:p>
    <w:p w:rsidR="00754D31" w:rsidP="50F2224D" w:rsidRDefault="3AD6DD17" w14:paraId="77D636EE" w14:textId="4C56B381">
      <w:pPr>
        <w:spacing w:line="360" w:lineRule="auto"/>
        <w:jc w:val="both"/>
        <w:rPr>
          <w:rFonts w:ascii="Arial" w:hAnsi="Arial" w:eastAsia="Arial" w:cs="Arial"/>
          <w:b w:val="1"/>
          <w:bCs w:val="1"/>
          <w:color w:val="000000"/>
          <w:sz w:val="22"/>
          <w:szCs w:val="22"/>
        </w:rPr>
      </w:pPr>
      <w:r w:rsidRPr="50F2224D" w:rsidR="31493CFB">
        <w:rPr>
          <w:rFonts w:ascii="Arial" w:hAnsi="Arial" w:eastAsia="Arial" w:cs="Arial"/>
          <w:b w:val="1"/>
          <w:bCs w:val="1"/>
          <w:color w:val="000000" w:themeColor="text1" w:themeTint="FF" w:themeShade="FF"/>
          <w:sz w:val="22"/>
          <w:szCs w:val="22"/>
        </w:rPr>
        <w:t>Systemic Weaknesses and Multi-Layered Governance</w:t>
      </w:r>
    </w:p>
    <w:p w:rsidR="004A6F31" w:rsidP="50F2224D" w:rsidRDefault="58A40FE7" w14:paraId="18C7638E" w14:textId="77777777">
      <w:pPr>
        <w:spacing w:line="360" w:lineRule="auto"/>
        <w:jc w:val="both"/>
        <w:rPr>
          <w:rFonts w:ascii="Arial" w:hAnsi="Arial" w:eastAsia="Arial" w:cs="Arial"/>
          <w:color w:val="000000"/>
          <w:sz w:val="22"/>
          <w:szCs w:val="22"/>
        </w:rPr>
      </w:pPr>
      <w:r w:rsidRPr="50F2224D" w:rsidR="600D98E2">
        <w:rPr>
          <w:rFonts w:ascii="Arial" w:hAnsi="Arial" w:eastAsia="Arial" w:cs="Arial"/>
          <w:color w:val="000000" w:themeColor="text1" w:themeTint="FF" w:themeShade="FF"/>
          <w:sz w:val="22"/>
          <w:szCs w:val="22"/>
        </w:rPr>
        <w:t xml:space="preserve">Using current human factors engineering and systems thinking models such as the Systems Engineering Initiative for Patient Safety (SEIPS) framework, there is no question that this medication error cannot be blamed on the carelessness of one clinician at the “sharp end” of delivery (Carayon et al., 2006). Instead, the incident was the result of a combination of latent conditions embedded in various levels of the organizational hierarchy (Reason, 2000). </w:t>
      </w:r>
    </w:p>
    <w:p w:rsidR="007A6433" w:rsidP="50F2224D" w:rsidRDefault="58A40FE7" w14:paraId="3B2B3478" w14:textId="69B67C31">
      <w:pPr>
        <w:spacing w:line="360" w:lineRule="auto"/>
        <w:jc w:val="both"/>
        <w:rPr>
          <w:rFonts w:ascii="Arial" w:hAnsi="Arial" w:eastAsia="Arial" w:cs="Arial"/>
          <w:color w:val="000000"/>
          <w:sz w:val="22"/>
          <w:szCs w:val="22"/>
        </w:rPr>
      </w:pPr>
      <w:r w:rsidRPr="50F2224D" w:rsidR="600D98E2">
        <w:rPr>
          <w:rFonts w:ascii="Arial" w:hAnsi="Arial" w:eastAsia="Arial" w:cs="Arial"/>
          <w:color w:val="000000" w:themeColor="text1" w:themeTint="FF" w:themeShade="FF"/>
          <w:sz w:val="22"/>
          <w:szCs w:val="22"/>
        </w:rPr>
        <w:t>The breakdown highlights structural weaknesses in three main areas:</w:t>
      </w:r>
    </w:p>
    <w:p w:rsidR="00912F4A" w:rsidP="50F2224D" w:rsidRDefault="7A612501" w14:paraId="0B4BF64E" w14:textId="2A59F2F3">
      <w:pPr>
        <w:spacing w:line="360" w:lineRule="auto"/>
        <w:jc w:val="both"/>
        <w:rPr>
          <w:rFonts w:ascii="Arial" w:hAnsi="Arial" w:eastAsia="Arial" w:cs="Arial"/>
          <w:b w:val="1"/>
          <w:bCs w:val="1"/>
          <w:color w:val="000000"/>
          <w:sz w:val="22"/>
          <w:szCs w:val="22"/>
        </w:rPr>
      </w:pPr>
      <w:r w:rsidRPr="50F2224D" w:rsidR="7F08726E">
        <w:rPr>
          <w:rFonts w:ascii="Arial" w:hAnsi="Arial" w:eastAsia="Arial" w:cs="Arial"/>
          <w:b w:val="1"/>
          <w:bCs w:val="1"/>
          <w:color w:val="000000" w:themeColor="text1" w:themeTint="FF" w:themeShade="FF"/>
          <w:sz w:val="22"/>
          <w:szCs w:val="22"/>
        </w:rPr>
        <w:t>Communication Gaps</w:t>
      </w:r>
    </w:p>
    <w:p w:rsidR="00212D68" w:rsidP="50F2224D" w:rsidRDefault="406A857B" w14:paraId="01C28D4D" w14:textId="7132F182">
      <w:pPr>
        <w:spacing w:line="360" w:lineRule="auto"/>
        <w:jc w:val="both"/>
        <w:rPr>
          <w:rFonts w:ascii="Arial" w:hAnsi="Arial" w:eastAsia="Arial" w:cs="Arial"/>
          <w:sz w:val="22"/>
          <w:szCs w:val="22"/>
        </w:rPr>
      </w:pPr>
      <w:r w:rsidRPr="50F2224D" w:rsidR="534AFDC9">
        <w:rPr>
          <w:rFonts w:ascii="Arial" w:hAnsi="Arial" w:eastAsia="Arial" w:cs="Arial"/>
          <w:sz w:val="22"/>
          <w:szCs w:val="22"/>
        </w:rPr>
        <w:t>The acute paediatric clinic, primary care GPs and commercial community pharmacies all run on very different, non-interoperable, electronic health records (EHR). The community pharmacist did not have access to the specialist hospital notes which documented the unique 100 micrograms/ml dilution requirement (Greenhalgh et al., 2017). Therefore, they fell back on the normal retail procurement systems which only identified the highly concentrated commercial 10mg/5ml bottle (RPS, 2021).</w:t>
      </w:r>
    </w:p>
    <w:p w:rsidR="003842A2" w:rsidP="50F2224D" w:rsidRDefault="2878C377" w14:paraId="728104A9" w14:textId="27D6C6BA">
      <w:pPr>
        <w:spacing w:line="360" w:lineRule="auto"/>
        <w:jc w:val="both"/>
        <w:rPr>
          <w:rFonts w:ascii="Arial" w:hAnsi="Arial" w:eastAsia="Arial" w:cs="Arial"/>
          <w:b w:val="1"/>
          <w:bCs w:val="1"/>
          <w:color w:val="000000"/>
          <w:sz w:val="22"/>
          <w:szCs w:val="22"/>
        </w:rPr>
      </w:pPr>
      <w:r w:rsidRPr="50F2224D" w:rsidR="525FA5B3">
        <w:rPr>
          <w:rFonts w:ascii="Arial" w:hAnsi="Arial" w:eastAsia="Arial" w:cs="Arial"/>
          <w:b w:val="1"/>
          <w:bCs w:val="1"/>
          <w:color w:val="000000" w:themeColor="text1" w:themeTint="FF" w:themeShade="FF"/>
          <w:sz w:val="22"/>
          <w:szCs w:val="22"/>
        </w:rPr>
        <w:t>Accountability Gaps</w:t>
      </w:r>
    </w:p>
    <w:p w:rsidR="001440AE" w:rsidP="50F2224D" w:rsidRDefault="69F5B161" w14:paraId="1344BA51" w14:textId="5C1FE7FA">
      <w:pPr>
        <w:spacing w:line="360" w:lineRule="auto"/>
        <w:jc w:val="both"/>
        <w:rPr>
          <w:rFonts w:ascii="Arial" w:hAnsi="Arial" w:eastAsia="Arial" w:cs="Arial"/>
          <w:color w:val="000000"/>
          <w:sz w:val="22"/>
          <w:szCs w:val="22"/>
        </w:rPr>
      </w:pPr>
      <w:r w:rsidRPr="50F2224D" w:rsidR="6E77642B">
        <w:rPr>
          <w:rFonts w:ascii="Arial" w:hAnsi="Arial" w:eastAsia="Arial" w:cs="Arial"/>
          <w:color w:val="000000" w:themeColor="text1" w:themeTint="FF" w:themeShade="FF"/>
          <w:sz w:val="22"/>
          <w:szCs w:val="22"/>
        </w:rPr>
        <w:t>Responsibility was divided among a number of autonomous legal entities: an acute NHS hospital trust, an independent general practice, and a private sector retail pharmacy chain. There was no one clinical lead to follow the medication pathway across these boundaries, so each provider assumed another was checking the dose (NICE, 2015). This let a high risk 'RED DRUG' slip through the cracks.</w:t>
      </w:r>
    </w:p>
    <w:p w:rsidR="00591DAB" w:rsidP="50F2224D" w:rsidRDefault="7F7F65DA" w14:paraId="225707D5" w14:textId="18F17CB5">
      <w:pPr>
        <w:spacing w:line="360" w:lineRule="auto"/>
        <w:jc w:val="both"/>
        <w:rPr>
          <w:rFonts w:ascii="Arial" w:hAnsi="Arial" w:eastAsia="Arial" w:cs="Arial"/>
          <w:color w:val="000000"/>
          <w:sz w:val="22"/>
          <w:szCs w:val="22"/>
        </w:rPr>
      </w:pPr>
      <w:r w:rsidRPr="50F2224D" w:rsidR="07852369">
        <w:rPr>
          <w:rFonts w:ascii="Arial" w:hAnsi="Arial" w:eastAsia="Arial" w:cs="Arial"/>
          <w:b w:val="1"/>
          <w:bCs w:val="1"/>
          <w:color w:val="000000" w:themeColor="text1" w:themeTint="FF" w:themeShade="FF"/>
          <w:sz w:val="22"/>
          <w:szCs w:val="22"/>
        </w:rPr>
        <w:t>Leadership Failures</w:t>
      </w:r>
    </w:p>
    <w:p w:rsidR="005A2604" w:rsidP="50F2224D" w:rsidRDefault="509F5136" w14:paraId="454A7D7E" w14:textId="6F93E79E">
      <w:pPr>
        <w:spacing w:line="360" w:lineRule="auto"/>
        <w:jc w:val="both"/>
        <w:rPr>
          <w:rFonts w:ascii="Arial" w:hAnsi="Arial" w:eastAsia="Arial" w:cs="Arial"/>
          <w:sz w:val="22"/>
          <w:szCs w:val="22"/>
        </w:rPr>
      </w:pPr>
      <w:r w:rsidRPr="50F2224D" w:rsidR="336E4F22">
        <w:rPr>
          <w:rFonts w:ascii="Arial" w:hAnsi="Arial" w:eastAsia="Arial" w:cs="Arial"/>
          <w:sz w:val="22"/>
          <w:szCs w:val="22"/>
        </w:rPr>
        <w:t>Regional clinical leaders used passive policy generation, for example, by posting PDF updates on a regional formulary website, instead of active forcing functions (West et al., 2015). They did not put in place mandatory digital blocks or automated alerts on community-facing software to proactively prevent selection of restricted hospital-only drug codes (Sheikh, Storey and Cresswell, 2023).</w:t>
      </w:r>
    </w:p>
    <w:p w:rsidRPr="00481D32" w:rsidR="00481D32" w:rsidP="50F2224D" w:rsidRDefault="60984045" w14:paraId="45ED98CE" w14:textId="77777777">
      <w:pPr>
        <w:spacing w:line="360" w:lineRule="auto"/>
        <w:jc w:val="both"/>
        <w:rPr>
          <w:rFonts w:ascii="Arial" w:hAnsi="Arial" w:eastAsia="Arial" w:cs="Arial"/>
          <w:sz w:val="22"/>
          <w:szCs w:val="22"/>
        </w:rPr>
      </w:pPr>
      <w:r w:rsidRPr="50F2224D" w:rsidR="6C5AA207">
        <w:rPr>
          <w:rFonts w:ascii="Arial" w:hAnsi="Arial" w:eastAsia="Arial" w:cs="Arial"/>
          <w:sz w:val="22"/>
          <w:szCs w:val="22"/>
        </w:rPr>
        <w:t>This systemic weakness was also shaped by competing priorities at different levels of NHS governance:</w:t>
      </w:r>
    </w:p>
    <w:p w:rsidR="00B33BD1" w:rsidP="50F2224D" w:rsidRDefault="49461E6D" w14:paraId="56BC90E5" w14:textId="031C3BD5">
      <w:pPr>
        <w:spacing w:line="360" w:lineRule="auto"/>
        <w:jc w:val="both"/>
        <w:rPr>
          <w:rFonts w:ascii="Arial" w:hAnsi="Arial" w:eastAsia="Arial" w:cs="Arial"/>
          <w:sz w:val="22"/>
          <w:szCs w:val="22"/>
        </w:rPr>
      </w:pPr>
      <w:r w:rsidRPr="50F2224D" w:rsidR="3AC88856">
        <w:rPr>
          <w:rFonts w:ascii="Arial" w:hAnsi="Arial" w:eastAsia="Arial" w:cs="Arial"/>
          <w:b w:val="1"/>
          <w:bCs w:val="1"/>
          <w:sz w:val="22"/>
          <w:szCs w:val="22"/>
        </w:rPr>
        <w:t>NHS L</w:t>
      </w:r>
      <w:r w:rsidRPr="50F2224D" w:rsidR="6240883A">
        <w:rPr>
          <w:rFonts w:ascii="Arial" w:hAnsi="Arial" w:eastAsia="Arial" w:cs="Arial"/>
          <w:b w:val="1"/>
          <w:bCs w:val="1"/>
          <w:sz w:val="22"/>
          <w:szCs w:val="22"/>
        </w:rPr>
        <w:t>evel</w:t>
      </w:r>
      <w:r w:rsidRPr="50F2224D" w:rsidR="13ED9653">
        <w:rPr>
          <w:rFonts w:ascii="Arial" w:hAnsi="Arial" w:eastAsia="Arial" w:cs="Arial"/>
          <w:b w:val="1"/>
          <w:bCs w:val="1"/>
          <w:sz w:val="22"/>
          <w:szCs w:val="22"/>
        </w:rPr>
        <w:t xml:space="preserve">: </w:t>
      </w:r>
      <w:r w:rsidRPr="50F2224D" w:rsidR="6C5AA207">
        <w:rPr>
          <w:rFonts w:ascii="Arial" w:hAnsi="Arial" w:eastAsia="Arial" w:cs="Arial"/>
          <w:sz w:val="22"/>
          <w:szCs w:val="22"/>
        </w:rPr>
        <w:t>At the highest tier, NHS England and the Department of Health and Social Care (DHSC) provide overarching patient safety strategies and high alert drug alerts. However, national bodies do not run day-to-day operations, and instead pass this responsibility to local regions (DHSC, 2021).</w:t>
      </w:r>
    </w:p>
    <w:p w:rsidR="005A3BAB" w:rsidP="50F2224D" w:rsidRDefault="1ECBF6E1" w14:paraId="6517F8AF" w14:textId="0ADC2D6E">
      <w:pPr>
        <w:spacing w:line="360" w:lineRule="auto"/>
        <w:jc w:val="both"/>
        <w:rPr>
          <w:rFonts w:ascii="Arial" w:hAnsi="Arial" w:eastAsia="Arial" w:cs="Arial"/>
          <w:sz w:val="22"/>
          <w:szCs w:val="22"/>
        </w:rPr>
      </w:pPr>
      <w:r w:rsidRPr="50F2224D" w:rsidR="03058E09">
        <w:rPr>
          <w:rFonts w:ascii="Arial" w:hAnsi="Arial" w:eastAsia="Arial" w:cs="Arial"/>
          <w:b w:val="1"/>
          <w:bCs w:val="1"/>
          <w:sz w:val="22"/>
          <w:szCs w:val="22"/>
        </w:rPr>
        <w:t>Regional Level:</w:t>
      </w:r>
      <w:r w:rsidRPr="50F2224D" w:rsidR="03058E09">
        <w:rPr>
          <w:rFonts w:ascii="Arial" w:hAnsi="Arial" w:eastAsia="Arial" w:cs="Arial"/>
          <w:sz w:val="22"/>
          <w:szCs w:val="22"/>
        </w:rPr>
        <w:t xml:space="preserve"> The Integrated Care Boards (ICBs) have local authority to manage some formularies. Here, the regional ICB did not link its clinical governance structures with national alerts, leading to different definitions of medication restriction between neighbouring trusts (North Yorkshire ICB, 2022).</w:t>
      </w:r>
    </w:p>
    <w:p w:rsidR="00975253" w:rsidP="50F2224D" w:rsidRDefault="2FDFA605" w14:paraId="738997FA" w14:textId="50D73579">
      <w:pPr>
        <w:spacing w:line="360" w:lineRule="auto"/>
        <w:jc w:val="both"/>
        <w:rPr>
          <w:rFonts w:ascii="Arial" w:hAnsi="Arial" w:eastAsia="Arial" w:cs="Arial"/>
          <w:sz w:val="22"/>
          <w:szCs w:val="22"/>
        </w:rPr>
      </w:pPr>
      <w:r w:rsidRPr="50F2224D" w:rsidR="5C494934">
        <w:rPr>
          <w:rFonts w:ascii="Arial" w:hAnsi="Arial" w:eastAsia="Arial" w:cs="Arial"/>
          <w:b w:val="1"/>
          <w:bCs w:val="1"/>
          <w:sz w:val="22"/>
          <w:szCs w:val="22"/>
        </w:rPr>
        <w:t>Local Level:</w:t>
      </w:r>
      <w:r w:rsidRPr="50F2224D" w:rsidR="5C494934">
        <w:rPr>
          <w:rFonts w:ascii="Arial" w:hAnsi="Arial" w:eastAsia="Arial" w:cs="Arial"/>
          <w:sz w:val="22"/>
          <w:szCs w:val="22"/>
        </w:rPr>
        <w:t xml:space="preserve"> Frontline hospital trusts and community pharmacies are under huge operational pressure, including a chronic 10% to 12% national vacancy rate for pharmacists and nurses (CQC, 2023). This shortage of staff means there is a heavy reliance on temporary locum staff who are often not familiar with the local “RED DRUG” rules ( Waring, 2005). Local staff under significant pressure to free up hospital beds and clear discharge backlogs often develop informal workarounds, such as advising parents to obtain specialist medications from community retail providers, which inadvertently bypasses safety barriers within secondary care (Macrae, 2016).</w:t>
      </w:r>
    </w:p>
    <w:p w:rsidR="00C92722" w:rsidP="50F2224D" w:rsidRDefault="00C92722" w14:paraId="3EB098B8" w14:textId="77777777">
      <w:pPr>
        <w:spacing w:line="360" w:lineRule="auto"/>
        <w:jc w:val="both"/>
        <w:rPr>
          <w:rFonts w:ascii="Arial" w:hAnsi="Arial" w:eastAsia="Arial" w:cs="Arial"/>
          <w:b w:val="1"/>
          <w:bCs w:val="1"/>
          <w:color w:val="000000"/>
          <w:sz w:val="22"/>
          <w:szCs w:val="22"/>
        </w:rPr>
      </w:pPr>
    </w:p>
    <w:p w:rsidR="00CC2C82" w:rsidP="50F2224D" w:rsidRDefault="0113F891" w14:paraId="04E33BC8" w14:textId="3FA3BA34">
      <w:pPr>
        <w:spacing w:line="360" w:lineRule="auto"/>
        <w:jc w:val="both"/>
        <w:rPr>
          <w:rFonts w:ascii="Arial" w:hAnsi="Arial" w:eastAsia="Arial" w:cs="Arial"/>
          <w:b w:val="1"/>
          <w:bCs w:val="1"/>
          <w:color w:val="000000"/>
          <w:sz w:val="22"/>
          <w:szCs w:val="22"/>
        </w:rPr>
      </w:pPr>
      <w:r w:rsidRPr="50F2224D" w:rsidR="566B8455">
        <w:rPr>
          <w:rFonts w:ascii="Arial" w:hAnsi="Arial" w:eastAsia="Arial" w:cs="Arial"/>
          <w:b w:val="1"/>
          <w:bCs w:val="1"/>
          <w:color w:val="000000" w:themeColor="text1" w:themeTint="FF" w:themeShade="FF"/>
          <w:sz w:val="22"/>
          <w:szCs w:val="22"/>
        </w:rPr>
        <w:t>Centralisation or Decentralisation within the Case Study</w:t>
      </w:r>
    </w:p>
    <w:p w:rsidRPr="00407DFA" w:rsidR="00407DFA" w:rsidP="50F2224D" w:rsidRDefault="0A8168C2" w14:paraId="55C80732" w14:textId="0149BCF9">
      <w:pPr>
        <w:spacing w:line="360" w:lineRule="auto"/>
        <w:jc w:val="both"/>
        <w:rPr>
          <w:rFonts w:ascii="Arial" w:hAnsi="Arial" w:eastAsia="Arial" w:cs="Arial"/>
          <w:b w:val="1"/>
          <w:bCs w:val="1"/>
          <w:color w:val="000000"/>
          <w:sz w:val="22"/>
          <w:szCs w:val="22"/>
        </w:rPr>
      </w:pPr>
      <w:r w:rsidRPr="50F2224D" w:rsidR="39B927CF">
        <w:rPr>
          <w:rFonts w:ascii="Arial" w:hAnsi="Arial" w:eastAsia="Arial" w:cs="Arial"/>
          <w:b w:val="1"/>
          <w:bCs w:val="1"/>
          <w:color w:val="000000" w:themeColor="text1" w:themeTint="FF" w:themeShade="FF"/>
          <w:sz w:val="22"/>
          <w:szCs w:val="22"/>
        </w:rPr>
        <w:t>System Structure and Decision-Making Concentration</w:t>
      </w:r>
    </w:p>
    <w:p w:rsidR="000E0717" w:rsidP="50F2224D" w:rsidRDefault="2CDE07DA" w14:paraId="06CC20B3" w14:textId="3B110F46">
      <w:pPr>
        <w:spacing w:line="360" w:lineRule="auto"/>
        <w:jc w:val="both"/>
        <w:rPr>
          <w:rFonts w:ascii="Arial" w:hAnsi="Arial" w:eastAsia="Arial" w:cs="Arial"/>
          <w:sz w:val="22"/>
          <w:szCs w:val="22"/>
        </w:rPr>
      </w:pPr>
      <w:r w:rsidRPr="50F2224D" w:rsidR="72A14E49">
        <w:rPr>
          <w:rFonts w:ascii="Arial" w:hAnsi="Arial" w:eastAsia="Arial" w:cs="Arial"/>
          <w:sz w:val="22"/>
          <w:szCs w:val="22"/>
        </w:rPr>
        <w:t>The organisational architecture of the National Health Service (NHS) in the North East and Yorkshire region is a complex multi-layered hybrid model that explicitly combines macro-level centralisation with micro-level operational decentralisation (Department of Health and Social Care [DHSC], 2021). In a centralized health care structure, the authority to make strategic decisions, design policies, allocate capital budgets and regulate clinical negligence is concentrated exclusively at the top level of the organizational hierarchy (Al-Sawai, 2013). A high profile example of centralization in contemporary delivery of healthcare in Britain is formal issuance of National Patient Safety Alerts by NHS England. These alerts demand immediate and non-negotiable structural changes and clinical overrides at all individual health trusts to minimise catastrophic systemic risks (Patient Safety Commissioner, 2024).</w:t>
      </w:r>
    </w:p>
    <w:p w:rsidR="4DF22574" w:rsidP="50F2224D" w:rsidRDefault="4DF22574" w14:paraId="7BBB51E4" w14:textId="3C6B2B5C">
      <w:pPr>
        <w:spacing w:line="360" w:lineRule="auto"/>
        <w:jc w:val="both"/>
        <w:rPr>
          <w:rFonts w:ascii="Arial" w:hAnsi="Arial" w:eastAsia="Arial" w:cs="Arial"/>
          <w:b w:val="1"/>
          <w:bCs w:val="1"/>
          <w:color w:val="000000" w:themeColor="text1"/>
          <w:sz w:val="22"/>
          <w:szCs w:val="22"/>
        </w:rPr>
      </w:pPr>
    </w:p>
    <w:p w:rsidR="50F2224D" w:rsidP="50F2224D" w:rsidRDefault="50F2224D" w14:paraId="3A7298E0" w14:textId="2BCCCD03">
      <w:pPr>
        <w:spacing w:line="360" w:lineRule="auto"/>
        <w:jc w:val="both"/>
        <w:rPr>
          <w:rFonts w:ascii="Arial" w:hAnsi="Arial" w:eastAsia="Arial" w:cs="Arial"/>
          <w:b w:val="1"/>
          <w:bCs w:val="1"/>
          <w:color w:val="000000" w:themeColor="text1" w:themeTint="FF" w:themeShade="FF"/>
          <w:sz w:val="22"/>
          <w:szCs w:val="22"/>
        </w:rPr>
      </w:pPr>
    </w:p>
    <w:p w:rsidR="50F2224D" w:rsidP="50F2224D" w:rsidRDefault="50F2224D" w14:paraId="590F5DED" w14:textId="3DBC6B7E">
      <w:pPr>
        <w:spacing w:line="360" w:lineRule="auto"/>
        <w:jc w:val="both"/>
        <w:rPr>
          <w:rFonts w:ascii="Arial" w:hAnsi="Arial" w:eastAsia="Arial" w:cs="Arial"/>
          <w:b w:val="1"/>
          <w:bCs w:val="1"/>
          <w:color w:val="000000" w:themeColor="text1" w:themeTint="FF" w:themeShade="FF"/>
          <w:sz w:val="22"/>
          <w:szCs w:val="22"/>
        </w:rPr>
      </w:pPr>
    </w:p>
    <w:p w:rsidR="00CB5D55" w:rsidP="50F2224D" w:rsidRDefault="1C29872D" w14:paraId="1E2D6923" w14:textId="5A1F95E7">
      <w:pPr>
        <w:spacing w:line="360" w:lineRule="auto"/>
        <w:jc w:val="both"/>
        <w:rPr>
          <w:rFonts w:ascii="Arial" w:hAnsi="Arial" w:eastAsia="Arial" w:cs="Arial"/>
          <w:b w:val="1"/>
          <w:bCs w:val="1"/>
          <w:color w:val="000000"/>
          <w:sz w:val="22"/>
          <w:szCs w:val="22"/>
        </w:rPr>
      </w:pPr>
      <w:r w:rsidRPr="50F2224D" w:rsidR="52C4DEDF">
        <w:rPr>
          <w:rFonts w:ascii="Arial" w:hAnsi="Arial" w:eastAsia="Arial" w:cs="Arial"/>
          <w:b w:val="1"/>
          <w:bCs w:val="1"/>
          <w:color w:val="000000" w:themeColor="text1" w:themeTint="FF" w:themeShade="FF"/>
          <w:sz w:val="22"/>
          <w:szCs w:val="22"/>
        </w:rPr>
        <w:t>Advantages of Centralisation</w:t>
      </w:r>
    </w:p>
    <w:p w:rsidR="00C6454E" w:rsidP="50F2224D" w:rsidRDefault="04C694DA" w14:paraId="04641D41" w14:textId="7D614048">
      <w:pPr>
        <w:spacing w:line="360" w:lineRule="auto"/>
        <w:jc w:val="both"/>
        <w:rPr>
          <w:rFonts w:ascii="Arial" w:hAnsi="Arial" w:eastAsia="Arial" w:cs="Arial"/>
          <w:sz w:val="22"/>
          <w:szCs w:val="22"/>
        </w:rPr>
      </w:pPr>
      <w:r w:rsidRPr="50F2224D" w:rsidR="17815373">
        <w:rPr>
          <w:rFonts w:ascii="Arial" w:hAnsi="Arial" w:eastAsia="Arial" w:cs="Arial"/>
          <w:sz w:val="22"/>
          <w:szCs w:val="22"/>
        </w:rPr>
        <w:t>Centralisation</w:t>
      </w:r>
      <w:r w:rsidRPr="50F2224D" w:rsidR="5DDF3C06">
        <w:rPr>
          <w:rFonts w:ascii="Arial" w:hAnsi="Arial" w:eastAsia="Arial" w:cs="Arial"/>
          <w:sz w:val="22"/>
          <w:szCs w:val="22"/>
        </w:rPr>
        <w:t xml:space="preserve"> ensures complete uniformity in safety procedures for enormous geographic areas, taking out the regional variation often called the “postcode lottery” of health care quality systematically. This enables the automated deployment of digital forcing functions at the macro level, top down. For instance, a central digital team could create a required,</w:t>
      </w:r>
      <w:r w:rsidRPr="50F2224D" w:rsidR="64C1B406">
        <w:rPr>
          <w:rFonts w:ascii="Arial" w:hAnsi="Arial" w:eastAsia="Arial" w:cs="Arial"/>
          <w:sz w:val="22"/>
          <w:szCs w:val="22"/>
        </w:rPr>
        <w:t xml:space="preserve"> skipped </w:t>
      </w:r>
      <w:r w:rsidRPr="50F2224D" w:rsidR="5DDF3C06">
        <w:rPr>
          <w:rFonts w:ascii="Arial" w:hAnsi="Arial" w:eastAsia="Arial" w:cs="Arial"/>
          <w:sz w:val="22"/>
          <w:szCs w:val="22"/>
        </w:rPr>
        <w:t>electronic block in a single National Electronic Health Record (EHR) network. This block immediately prevents unauthorized non-specialist clinicians from seeing or choosing dangerous prescription codes (Wachter and Gupta, 2018).</w:t>
      </w:r>
    </w:p>
    <w:p w:rsidR="00A226B8" w:rsidP="50F2224D" w:rsidRDefault="31B04223" w14:paraId="2E4E3F6D" w14:textId="473F73BE">
      <w:pPr>
        <w:spacing w:line="360" w:lineRule="auto"/>
        <w:jc w:val="both"/>
        <w:rPr>
          <w:rFonts w:ascii="Arial" w:hAnsi="Arial" w:eastAsia="Arial" w:cs="Arial"/>
          <w:b w:val="1"/>
          <w:bCs w:val="1"/>
          <w:color w:val="000000"/>
          <w:sz w:val="22"/>
          <w:szCs w:val="22"/>
        </w:rPr>
      </w:pPr>
      <w:r w:rsidRPr="50F2224D" w:rsidR="20DCCD2D">
        <w:rPr>
          <w:rFonts w:ascii="Arial" w:hAnsi="Arial" w:eastAsia="Arial" w:cs="Arial"/>
          <w:b w:val="1"/>
          <w:bCs w:val="1"/>
          <w:color w:val="000000" w:themeColor="text1" w:themeTint="FF" w:themeShade="FF"/>
          <w:sz w:val="22"/>
          <w:szCs w:val="22"/>
        </w:rPr>
        <w:t>Disadvantages of Centralisation</w:t>
      </w:r>
    </w:p>
    <w:p w:rsidR="004731EC" w:rsidP="50F2224D" w:rsidRDefault="34737982" w14:paraId="584CE41F" w14:textId="4C7EE3DE">
      <w:pPr>
        <w:spacing w:line="360" w:lineRule="auto"/>
        <w:jc w:val="both"/>
        <w:rPr>
          <w:rFonts w:ascii="Arial" w:hAnsi="Arial" w:eastAsia="Arial" w:cs="Arial"/>
          <w:sz w:val="22"/>
          <w:szCs w:val="22"/>
        </w:rPr>
      </w:pPr>
      <w:r w:rsidRPr="50F2224D" w:rsidR="4761E6A3">
        <w:rPr>
          <w:rFonts w:ascii="Arial" w:hAnsi="Arial" w:eastAsia="Arial" w:cs="Arial"/>
          <w:sz w:val="22"/>
          <w:szCs w:val="22"/>
        </w:rPr>
        <w:t xml:space="preserve">However, </w:t>
      </w:r>
      <w:r w:rsidRPr="50F2224D" w:rsidR="576DE60A">
        <w:rPr>
          <w:rFonts w:ascii="Arial" w:hAnsi="Arial" w:eastAsia="Arial" w:cs="Arial"/>
          <w:sz w:val="22"/>
          <w:szCs w:val="22"/>
        </w:rPr>
        <w:t>fully centralised systems suffer from administrative bureaucracy, long approval chains, and a crippling inability to respond operationally agilely to niche, localize</w:t>
      </w:r>
      <w:r w:rsidRPr="50F2224D" w:rsidR="576DE60A">
        <w:rPr>
          <w:rFonts w:ascii="Arial" w:hAnsi="Arial" w:eastAsia="Arial" w:cs="Arial"/>
          <w:sz w:val="22"/>
          <w:szCs w:val="22"/>
        </w:rPr>
        <w:t>d crises</w:t>
      </w:r>
      <w:r w:rsidRPr="50F2224D" w:rsidR="576DE60A">
        <w:rPr>
          <w:rFonts w:ascii="Arial" w:hAnsi="Arial" w:eastAsia="Arial" w:cs="Arial"/>
          <w:sz w:val="22"/>
          <w:szCs w:val="22"/>
        </w:rPr>
        <w:t>. This top-down rigidity leads to a critical compliance lag</w:t>
      </w:r>
      <w:r w:rsidRPr="50F2224D" w:rsidR="487A2904">
        <w:rPr>
          <w:rFonts w:ascii="Arial" w:hAnsi="Arial" w:eastAsia="Arial" w:cs="Arial"/>
          <w:sz w:val="22"/>
          <w:szCs w:val="22"/>
        </w:rPr>
        <w:t>.</w:t>
      </w:r>
      <w:r w:rsidRPr="50F2224D" w:rsidR="576DE60A">
        <w:rPr>
          <w:rFonts w:ascii="Arial" w:hAnsi="Arial" w:eastAsia="Arial" w:cs="Arial"/>
          <w:sz w:val="22"/>
          <w:szCs w:val="22"/>
        </w:rPr>
        <w:t xml:space="preserve"> </w:t>
      </w:r>
      <w:r w:rsidRPr="50F2224D" w:rsidR="576DE60A">
        <w:rPr>
          <w:rFonts w:ascii="Arial" w:hAnsi="Arial" w:eastAsia="Arial" w:cs="Arial"/>
          <w:sz w:val="22"/>
          <w:szCs w:val="22"/>
        </w:rPr>
        <w:t>Nationa</w:t>
      </w:r>
      <w:r w:rsidRPr="50F2224D" w:rsidR="576DE60A">
        <w:rPr>
          <w:rFonts w:ascii="Arial" w:hAnsi="Arial" w:eastAsia="Arial" w:cs="Arial"/>
          <w:sz w:val="22"/>
          <w:szCs w:val="22"/>
        </w:rPr>
        <w:t xml:space="preserve">l audits show that complex </w:t>
      </w:r>
      <w:r w:rsidRPr="50F2224D" w:rsidR="4761E6A3">
        <w:rPr>
          <w:rFonts w:ascii="Arial" w:hAnsi="Arial" w:eastAsia="Arial" w:cs="Arial"/>
          <w:sz w:val="22"/>
          <w:szCs w:val="22"/>
        </w:rPr>
        <w:t>centralised</w:t>
      </w:r>
      <w:r w:rsidRPr="50F2224D" w:rsidR="576DE60A">
        <w:rPr>
          <w:rFonts w:ascii="Arial" w:hAnsi="Arial" w:eastAsia="Arial" w:cs="Arial"/>
          <w:sz w:val="22"/>
          <w:szCs w:val="22"/>
        </w:rPr>
        <w:t xml:space="preserve"> safety directives take on average 180 days to work their way through localized governance panels, reconcile with custom IT systems, and </w:t>
      </w:r>
      <w:r w:rsidRPr="50F2224D" w:rsidR="576DE60A">
        <w:rPr>
          <w:rFonts w:ascii="Arial" w:hAnsi="Arial" w:eastAsia="Arial" w:cs="Arial"/>
          <w:sz w:val="22"/>
          <w:szCs w:val="22"/>
        </w:rPr>
        <w:t>ultimately change</w:t>
      </w:r>
      <w:r w:rsidRPr="50F2224D" w:rsidR="576DE60A">
        <w:rPr>
          <w:rFonts w:ascii="Arial" w:hAnsi="Arial" w:eastAsia="Arial" w:cs="Arial"/>
          <w:sz w:val="22"/>
          <w:szCs w:val="22"/>
        </w:rPr>
        <w:t xml:space="preserve"> clinician </w:t>
      </w:r>
      <w:r w:rsidRPr="50F2224D" w:rsidR="7C62EC6B">
        <w:rPr>
          <w:rFonts w:ascii="Arial" w:hAnsi="Arial" w:eastAsia="Arial" w:cs="Arial"/>
          <w:sz w:val="22"/>
          <w:szCs w:val="22"/>
        </w:rPr>
        <w:t>behaviour</w:t>
      </w:r>
      <w:r w:rsidRPr="50F2224D" w:rsidR="576DE60A">
        <w:rPr>
          <w:rFonts w:ascii="Arial" w:hAnsi="Arial" w:eastAsia="Arial" w:cs="Arial"/>
          <w:sz w:val="22"/>
          <w:szCs w:val="22"/>
        </w:rPr>
        <w:t xml:space="preserve"> on the ward (Macrae, 2016).</w:t>
      </w:r>
    </w:p>
    <w:p w:rsidR="007B57FD" w:rsidP="50F2224D" w:rsidRDefault="2E3A4FDB" w14:paraId="254E42D6" w14:textId="11EC9E0D">
      <w:pPr>
        <w:spacing w:line="360" w:lineRule="auto"/>
        <w:jc w:val="both"/>
        <w:rPr>
          <w:rFonts w:ascii="Arial" w:hAnsi="Arial" w:eastAsia="Arial" w:cs="Arial"/>
          <w:b w:val="1"/>
          <w:bCs w:val="1"/>
          <w:color w:val="000000"/>
          <w:sz w:val="22"/>
          <w:szCs w:val="22"/>
        </w:rPr>
      </w:pPr>
      <w:r w:rsidRPr="50F2224D" w:rsidR="611C1B35">
        <w:rPr>
          <w:rFonts w:ascii="Arial" w:hAnsi="Arial" w:eastAsia="Arial" w:cs="Arial"/>
          <w:b w:val="1"/>
          <w:bCs w:val="1"/>
          <w:color w:val="000000" w:themeColor="text1" w:themeTint="FF" w:themeShade="FF"/>
          <w:sz w:val="22"/>
          <w:szCs w:val="22"/>
        </w:rPr>
        <w:t>Decentralised Systems and Distributed Authority</w:t>
      </w:r>
    </w:p>
    <w:p w:rsidR="00B96788" w:rsidP="50F2224D" w:rsidRDefault="2A75A8CF" w14:paraId="4486AF06" w14:textId="6970B9FA">
      <w:pPr>
        <w:spacing w:line="360" w:lineRule="auto"/>
        <w:jc w:val="both"/>
        <w:rPr>
          <w:rFonts w:ascii="Arial" w:hAnsi="Arial" w:eastAsia="Arial" w:cs="Arial"/>
          <w:sz w:val="22"/>
          <w:szCs w:val="22"/>
        </w:rPr>
      </w:pPr>
      <w:r w:rsidRPr="50F2224D" w:rsidR="3A3F5886">
        <w:rPr>
          <w:rFonts w:ascii="Arial" w:hAnsi="Arial" w:eastAsia="Arial" w:cs="Arial"/>
          <w:sz w:val="22"/>
          <w:szCs w:val="22"/>
        </w:rPr>
        <w:t xml:space="preserve">Instead, a decentralised healthcare system deliberately diffuses operational autonomy, commissioning authority, financial execution budgets, and the development of specific clinical policies from the executive apex down to local, regional levels of governance (Spehar, Frich and </w:t>
      </w:r>
      <w:r w:rsidRPr="50F2224D" w:rsidR="3A3F5886">
        <w:rPr>
          <w:rFonts w:ascii="Arial" w:hAnsi="Arial" w:eastAsia="Arial" w:cs="Arial"/>
          <w:sz w:val="22"/>
          <w:szCs w:val="22"/>
        </w:rPr>
        <w:t>Kjekshus</w:t>
      </w:r>
      <w:r w:rsidRPr="50F2224D" w:rsidR="3A3F5886">
        <w:rPr>
          <w:rFonts w:ascii="Arial" w:hAnsi="Arial" w:eastAsia="Arial" w:cs="Arial"/>
          <w:sz w:val="22"/>
          <w:szCs w:val="22"/>
        </w:rPr>
        <w:t xml:space="preserve">, 2015). One clear example of decentralisation in this case study is the independent Integrated Care Boards (ICBs) which have the autonomy to manage regional joint formularies. Under </w:t>
      </w:r>
      <w:r w:rsidRPr="50F2224D" w:rsidR="3A3F5886">
        <w:rPr>
          <w:rFonts w:ascii="Arial" w:hAnsi="Arial" w:eastAsia="Arial" w:cs="Arial"/>
          <w:sz w:val="22"/>
          <w:szCs w:val="22"/>
        </w:rPr>
        <w:t>the Hea</w:t>
      </w:r>
      <w:r w:rsidRPr="50F2224D" w:rsidR="3A3F5886">
        <w:rPr>
          <w:rFonts w:ascii="Arial" w:hAnsi="Arial" w:eastAsia="Arial" w:cs="Arial"/>
          <w:sz w:val="22"/>
          <w:szCs w:val="22"/>
        </w:rPr>
        <w:t>lth and Care Act 2022, these regional boards have the autonomy to set local drug restrictions, customise specialist discharge pathways, negotiate regional pharmaceutical procurement contracts, and allocate clinical work forces solely based on local demographic and budget constraints (North Yorkshire Integrated Care Board, 2022).</w:t>
      </w:r>
    </w:p>
    <w:p w:rsidR="00FA5770" w:rsidP="50F2224D" w:rsidRDefault="2935FFFF" w14:paraId="512A2352" w14:textId="40880905">
      <w:pPr>
        <w:spacing w:line="360" w:lineRule="auto"/>
        <w:jc w:val="both"/>
        <w:rPr>
          <w:rFonts w:ascii="Arial" w:hAnsi="Arial" w:eastAsia="Arial" w:cs="Arial"/>
          <w:b w:val="1"/>
          <w:bCs w:val="1"/>
          <w:color w:val="000000"/>
          <w:sz w:val="22"/>
          <w:szCs w:val="22"/>
        </w:rPr>
      </w:pPr>
      <w:r w:rsidRPr="50F2224D" w:rsidR="3D08F064">
        <w:rPr>
          <w:rFonts w:ascii="Arial" w:hAnsi="Arial" w:eastAsia="Arial" w:cs="Arial"/>
          <w:b w:val="1"/>
          <w:bCs w:val="1"/>
          <w:color w:val="000000" w:themeColor="text1" w:themeTint="FF" w:themeShade="FF"/>
          <w:sz w:val="22"/>
          <w:szCs w:val="22"/>
        </w:rPr>
        <w:t>Disadvantages of Decentralisation</w:t>
      </w:r>
    </w:p>
    <w:p w:rsidR="0006254D" w:rsidP="50F2224D" w:rsidRDefault="1424FE95" w14:paraId="44F5BC8E" w14:textId="7E43BA26">
      <w:pPr>
        <w:spacing w:line="360" w:lineRule="auto"/>
        <w:jc w:val="both"/>
        <w:rPr>
          <w:rFonts w:ascii="Arial" w:hAnsi="Arial" w:eastAsia="Arial" w:cs="Arial"/>
          <w:color w:val="000000"/>
          <w:sz w:val="22"/>
          <w:szCs w:val="22"/>
        </w:rPr>
      </w:pPr>
      <w:r w:rsidRPr="50F2224D" w:rsidR="0E644510">
        <w:rPr>
          <w:rFonts w:ascii="Arial" w:hAnsi="Arial" w:eastAsia="Arial" w:cs="Arial"/>
          <w:color w:val="000000" w:themeColor="text1" w:themeTint="FF" w:themeShade="FF"/>
          <w:sz w:val="22"/>
          <w:szCs w:val="22"/>
        </w:rPr>
        <w:t>The primary vulnerability of decentralisation is systemic fragmentation. Distributing authority allows distinct variations in high-risk medication protocols to quietly develop across adjacent regional borders. This fragmentation obscures formal organisational accountability and creates structural blind spots were informal, risky workarounds can multiply completely hidden from national regulatory bodies (Giltinane, 2013).</w:t>
      </w:r>
    </w:p>
    <w:p w:rsidR="4DF22574" w:rsidP="50F2224D" w:rsidRDefault="4DF22574" w14:paraId="239E5B2A" w14:textId="1A6B0C36">
      <w:pPr>
        <w:spacing w:line="360" w:lineRule="auto"/>
        <w:jc w:val="both"/>
        <w:rPr>
          <w:rFonts w:ascii="Arial" w:hAnsi="Arial" w:eastAsia="Arial" w:cs="Arial"/>
          <w:b w:val="1"/>
          <w:bCs w:val="1"/>
          <w:color w:val="000000" w:themeColor="text1"/>
          <w:sz w:val="22"/>
          <w:szCs w:val="22"/>
        </w:rPr>
      </w:pPr>
    </w:p>
    <w:p w:rsidR="4DF22574" w:rsidP="50F2224D" w:rsidRDefault="4DF22574" w14:paraId="763679DE" w14:textId="1DF206B0">
      <w:pPr>
        <w:spacing w:line="360" w:lineRule="auto"/>
        <w:jc w:val="both"/>
        <w:rPr>
          <w:rFonts w:ascii="Arial" w:hAnsi="Arial" w:eastAsia="Arial" w:cs="Arial"/>
          <w:b w:val="1"/>
          <w:bCs w:val="1"/>
          <w:color w:val="000000" w:themeColor="text1"/>
          <w:sz w:val="22"/>
          <w:szCs w:val="22"/>
        </w:rPr>
      </w:pPr>
    </w:p>
    <w:p w:rsidR="50F2224D" w:rsidP="50F2224D" w:rsidRDefault="50F2224D" w14:paraId="70220BD6" w14:textId="5BB9C8E0">
      <w:pPr>
        <w:spacing w:line="360" w:lineRule="auto"/>
        <w:jc w:val="both"/>
        <w:rPr>
          <w:rFonts w:ascii="Arial" w:hAnsi="Arial" w:eastAsia="Arial" w:cs="Arial"/>
          <w:b w:val="1"/>
          <w:bCs w:val="1"/>
          <w:color w:val="000000" w:themeColor="text1" w:themeTint="FF" w:themeShade="FF"/>
          <w:sz w:val="22"/>
          <w:szCs w:val="22"/>
        </w:rPr>
      </w:pPr>
    </w:p>
    <w:p w:rsidR="004F5D69" w:rsidP="50F2224D" w:rsidRDefault="1DC0D4F2" w14:paraId="1F7E0104" w14:textId="43DF8043">
      <w:pPr>
        <w:spacing w:line="360" w:lineRule="auto"/>
        <w:jc w:val="both"/>
        <w:rPr>
          <w:rFonts w:ascii="Arial" w:hAnsi="Arial" w:eastAsia="Arial" w:cs="Arial"/>
          <w:b w:val="1"/>
          <w:bCs w:val="1"/>
          <w:color w:val="000000"/>
          <w:sz w:val="22"/>
          <w:szCs w:val="22"/>
        </w:rPr>
      </w:pPr>
      <w:r w:rsidRPr="50F2224D" w:rsidR="7A1469C8">
        <w:rPr>
          <w:rFonts w:ascii="Arial" w:hAnsi="Arial" w:eastAsia="Arial" w:cs="Arial"/>
          <w:b w:val="1"/>
          <w:bCs w:val="1"/>
          <w:color w:val="000000" w:themeColor="text1" w:themeTint="FF" w:themeShade="FF"/>
          <w:sz w:val="22"/>
          <w:szCs w:val="22"/>
        </w:rPr>
        <w:t>Critical Analysis of System Performance Data</w:t>
      </w:r>
    </w:p>
    <w:p w:rsidR="0047233D" w:rsidP="50F2224D" w:rsidRDefault="24659B63" w14:paraId="30D8BEBB" w14:textId="7B15D82D">
      <w:pPr>
        <w:spacing w:line="360" w:lineRule="auto"/>
        <w:jc w:val="both"/>
        <w:rPr>
          <w:rFonts w:ascii="Arial" w:hAnsi="Arial" w:eastAsia="Arial" w:cs="Arial"/>
          <w:sz w:val="22"/>
          <w:szCs w:val="22"/>
        </w:rPr>
      </w:pPr>
      <w:r w:rsidRPr="50F2224D" w:rsidR="709EE25A">
        <w:rPr>
          <w:rFonts w:ascii="Arial" w:hAnsi="Arial" w:eastAsia="Arial" w:cs="Arial"/>
          <w:sz w:val="22"/>
          <w:szCs w:val="22"/>
        </w:rPr>
        <w:t xml:space="preserve">Critical analysis of the North East and Yorkshire region showed that the decentralised implementation of "RED DRUG" protocols directly hampered effective crisis management, slowed down proactive decision-making and broke down organisational accountability. National bodies supplied abstract clinical definitions for high-alert drugs, but the decentralised execution model meant that individual hospital trusts and regional primary care networks operated on separate, totally non-interoperable electronic prescribing platforms (Sheikh, Storey and Cresswell, 2023). This systemic disconnect is confirmed by global healthcare performance indicators: financial and clinical quality audits compiled by the Organisation for Economic Co-operation and Development (OECD, 2020) show that healthcare regions using highly </w:t>
      </w:r>
      <w:r w:rsidRPr="50F2224D" w:rsidR="432D725E">
        <w:rPr>
          <w:rFonts w:ascii="Arial" w:hAnsi="Arial" w:eastAsia="Arial" w:cs="Arial"/>
          <w:sz w:val="22"/>
          <w:szCs w:val="22"/>
        </w:rPr>
        <w:t>decentralised</w:t>
      </w:r>
      <w:r w:rsidRPr="50F2224D" w:rsidR="709EE25A">
        <w:rPr>
          <w:rFonts w:ascii="Arial" w:hAnsi="Arial" w:eastAsia="Arial" w:cs="Arial"/>
          <w:sz w:val="22"/>
          <w:szCs w:val="22"/>
        </w:rPr>
        <w:t>, non-interoperable IT architectures have a 35% higher incidence of care-transition medication reconciliation errors than integrated, centralised networks.</w:t>
      </w:r>
    </w:p>
    <w:p w:rsidR="00FE2AF6" w:rsidP="50F2224D" w:rsidRDefault="6466C423" w14:paraId="573498F3" w14:textId="4DA77F61">
      <w:pPr>
        <w:spacing w:line="360" w:lineRule="auto"/>
        <w:jc w:val="both"/>
        <w:rPr>
          <w:rFonts w:ascii="Arial" w:hAnsi="Arial" w:eastAsia="Arial" w:cs="Arial"/>
          <w:sz w:val="22"/>
          <w:szCs w:val="22"/>
        </w:rPr>
      </w:pPr>
      <w:r w:rsidRPr="50F2224D" w:rsidR="432D725E">
        <w:rPr>
          <w:rFonts w:ascii="Arial" w:hAnsi="Arial" w:eastAsia="Arial" w:cs="Arial"/>
          <w:sz w:val="22"/>
          <w:szCs w:val="22"/>
        </w:rPr>
        <w:t>Additionally, localised trust audit data showed that compliance with “RED DRUG” restrictions ranged widely from 55% to 92% among regional providers, due to the lack of a central automated monitoring system (Royal Pharmaceutical Society [RPS], 2021). Local managers in the local acute hospital trust used their decentralised operational authority to bypass secondary-care loops in response to sudden internal stock shortages and an intense discharge backlog. They created workarounds to meet throughput targets manually and told parents to get the specialised medication from commercial retail pharmacies.</w:t>
      </w:r>
    </w:p>
    <w:p w:rsidR="000338B4" w:rsidP="50F2224D" w:rsidRDefault="2ACF9C43" w14:paraId="6A3379D2" w14:textId="7769C0FB">
      <w:pPr>
        <w:spacing w:line="360" w:lineRule="auto"/>
        <w:jc w:val="both"/>
        <w:rPr>
          <w:rFonts w:ascii="Arial" w:hAnsi="Arial" w:eastAsia="Arial" w:cs="Arial"/>
          <w:sz w:val="22"/>
          <w:szCs w:val="22"/>
        </w:rPr>
      </w:pPr>
      <w:r w:rsidRPr="50F2224D" w:rsidR="0775C9EF">
        <w:rPr>
          <w:rFonts w:ascii="Arial" w:hAnsi="Arial" w:eastAsia="Arial" w:cs="Arial"/>
          <w:sz w:val="22"/>
          <w:szCs w:val="22"/>
        </w:rPr>
        <w:t>However, these community pharmacies are confronted with a dire chronic 12% national clinical pharmacist vacancy rate that severely restricts their ability to carry out complex independent double checks (Care Quality Commission [CQC], 2023). This absolute fragmentation broke the chain of accountability. Five nearly identical life-threatening mistakes have occurred nationally since 2018. There was no single central authority with the cross-boundary data visibility to monitor the end-to-end neonatal drug pathway, and the system was blind to the compounding risk until active patient harm occurred (Patient Safety Commissioner, 2024). However, these community pharmacies are confronted with a dire chronic 12% national clinical pharmacist vacancy rate that severely restricts their ability to carry out complex independent double checks (Care Quality Commission [CQC], 2023). This absolute fragmentation broke the chain of accountability. Five nearly identical life-threatening mistakes have occurred nationally since 2018. There was no single central authority with the cross-boundary data visibility to monitor the end-to-end neonatal drug pathway, and the system was blind to the compounding risk until active patient harm occurred (Patient Safety Commissioner, 2024).</w:t>
      </w:r>
    </w:p>
    <w:p w:rsidR="4DF22574" w:rsidP="50F2224D" w:rsidRDefault="4DF22574" w14:paraId="3C8A17A1" w14:textId="52378907">
      <w:pPr>
        <w:spacing w:line="360" w:lineRule="auto"/>
        <w:jc w:val="both"/>
        <w:rPr>
          <w:rFonts w:ascii="Arial" w:hAnsi="Arial" w:eastAsia="Arial" w:cs="Arial"/>
          <w:b w:val="1"/>
          <w:bCs w:val="1"/>
          <w:color w:val="000000" w:themeColor="text1"/>
          <w:sz w:val="22"/>
          <w:szCs w:val="22"/>
        </w:rPr>
      </w:pPr>
    </w:p>
    <w:p w:rsidR="00F56576" w:rsidP="50F2224D" w:rsidRDefault="2A2F1D0B" w14:paraId="3F61EF0B" w14:textId="42AB463A">
      <w:pPr>
        <w:spacing w:line="360" w:lineRule="auto"/>
        <w:jc w:val="both"/>
        <w:rPr>
          <w:rFonts w:ascii="Arial" w:hAnsi="Arial" w:eastAsia="Arial" w:cs="Arial"/>
          <w:b w:val="1"/>
          <w:bCs w:val="1"/>
          <w:color w:val="000000"/>
          <w:sz w:val="22"/>
          <w:szCs w:val="22"/>
        </w:rPr>
      </w:pPr>
      <w:r w:rsidRPr="50F2224D" w:rsidR="7B56858E">
        <w:rPr>
          <w:rFonts w:ascii="Arial" w:hAnsi="Arial" w:eastAsia="Arial" w:cs="Arial"/>
          <w:b w:val="1"/>
          <w:bCs w:val="1"/>
          <w:color w:val="000000" w:themeColor="text1" w:themeTint="FF" w:themeShade="FF"/>
          <w:sz w:val="22"/>
          <w:szCs w:val="22"/>
        </w:rPr>
        <w:t>Leadership Theories and Application to the Case Study</w:t>
      </w:r>
    </w:p>
    <w:p w:rsidR="001C7AC0" w:rsidP="50F2224D" w:rsidRDefault="26917D4C" w14:paraId="2A5BEC2C" w14:textId="47D63AD6">
      <w:pPr>
        <w:spacing w:line="360" w:lineRule="auto"/>
        <w:jc w:val="both"/>
        <w:rPr>
          <w:rFonts w:ascii="Arial" w:hAnsi="Arial" w:eastAsia="Arial" w:cs="Arial"/>
          <w:b w:val="1"/>
          <w:bCs w:val="1"/>
          <w:color w:val="000000"/>
          <w:sz w:val="22"/>
          <w:szCs w:val="22"/>
        </w:rPr>
      </w:pPr>
      <w:r w:rsidRPr="50F2224D" w:rsidR="030BFD66">
        <w:rPr>
          <w:rFonts w:ascii="Arial" w:hAnsi="Arial" w:eastAsia="Arial" w:cs="Arial"/>
          <w:b w:val="1"/>
          <w:bCs w:val="1"/>
          <w:color w:val="000000" w:themeColor="text1" w:themeTint="FF" w:themeShade="FF"/>
          <w:sz w:val="22"/>
          <w:szCs w:val="22"/>
        </w:rPr>
        <w:t>Critique of Relevant Leadership Theories</w:t>
      </w:r>
    </w:p>
    <w:p w:rsidR="00A4551C" w:rsidP="50F2224D" w:rsidRDefault="73BC0A0D" w14:paraId="7B564F0E" w14:textId="2068429E">
      <w:pPr>
        <w:spacing w:line="360" w:lineRule="auto"/>
        <w:jc w:val="both"/>
        <w:rPr>
          <w:rFonts w:ascii="Arial" w:hAnsi="Arial" w:eastAsia="Arial" w:cs="Arial"/>
          <w:sz w:val="22"/>
          <w:szCs w:val="22"/>
        </w:rPr>
      </w:pPr>
      <w:r w:rsidRPr="50F2224D" w:rsidR="2EB0048D">
        <w:rPr>
          <w:rFonts w:ascii="Arial" w:hAnsi="Arial" w:eastAsia="Arial" w:cs="Arial"/>
          <w:sz w:val="22"/>
          <w:szCs w:val="22"/>
        </w:rPr>
        <w:t xml:space="preserve">Understanding the underlying organisational behaviour that </w:t>
      </w:r>
      <w:r w:rsidRPr="50F2224D" w:rsidR="2EB0048D">
        <w:rPr>
          <w:rFonts w:ascii="Arial" w:hAnsi="Arial" w:eastAsia="Arial" w:cs="Arial"/>
          <w:sz w:val="22"/>
          <w:szCs w:val="22"/>
        </w:rPr>
        <w:t>permitted</w:t>
      </w:r>
      <w:r w:rsidRPr="50F2224D" w:rsidR="2EB0048D">
        <w:rPr>
          <w:rFonts w:ascii="Arial" w:hAnsi="Arial" w:eastAsia="Arial" w:cs="Arial"/>
          <w:sz w:val="22"/>
          <w:szCs w:val="22"/>
        </w:rPr>
        <w:t xml:space="preserve"> the 20-fold morphine sulphate overdose requires a rigorous application and critique of three primary leadership frameworks: transactional, transform</w:t>
      </w:r>
      <w:r w:rsidRPr="50F2224D" w:rsidR="601D9D29">
        <w:rPr>
          <w:rFonts w:ascii="Arial" w:hAnsi="Arial" w:eastAsia="Arial" w:cs="Arial"/>
          <w:sz w:val="22"/>
          <w:szCs w:val="22"/>
        </w:rPr>
        <w:t xml:space="preserve">ational </w:t>
      </w:r>
      <w:r w:rsidRPr="50F2224D" w:rsidR="1966F24F">
        <w:rPr>
          <w:rFonts w:ascii="Arial" w:hAnsi="Arial" w:eastAsia="Arial" w:cs="Arial"/>
          <w:sz w:val="22"/>
          <w:szCs w:val="22"/>
        </w:rPr>
        <w:t>and</w:t>
      </w:r>
      <w:r w:rsidRPr="50F2224D" w:rsidR="63A6180A">
        <w:rPr>
          <w:rFonts w:ascii="Arial" w:hAnsi="Arial" w:eastAsia="Arial" w:cs="Arial"/>
          <w:sz w:val="22"/>
          <w:szCs w:val="22"/>
        </w:rPr>
        <w:t xml:space="preserve"> sit</w:t>
      </w:r>
      <w:r w:rsidRPr="50F2224D" w:rsidR="2EB0048D">
        <w:rPr>
          <w:rFonts w:ascii="Arial" w:hAnsi="Arial" w:eastAsia="Arial" w:cs="Arial"/>
          <w:sz w:val="22"/>
          <w:szCs w:val="22"/>
        </w:rPr>
        <w:t>uational leadership (Giltinane, 2013). Healthcare systems are profoundly dependent on these leadership paradigms to bridge the gap between abstract clinical policies on a page and safe, reliable frontline execution by multidisciplinary teams (Barr and Dowding, 2022).</w:t>
      </w:r>
    </w:p>
    <w:p w:rsidR="00052499" w:rsidP="50F2224D" w:rsidRDefault="09BB0A47" w14:paraId="49296103" w14:textId="24C4AECE">
      <w:pPr>
        <w:spacing w:line="360" w:lineRule="auto"/>
        <w:jc w:val="both"/>
        <w:rPr>
          <w:rFonts w:ascii="Arial" w:hAnsi="Arial" w:eastAsia="Arial" w:cs="Arial"/>
          <w:b w:val="1"/>
          <w:bCs w:val="1"/>
          <w:color w:val="000000"/>
          <w:sz w:val="22"/>
          <w:szCs w:val="22"/>
        </w:rPr>
      </w:pPr>
      <w:r w:rsidRPr="50F2224D" w:rsidR="5A338F90">
        <w:rPr>
          <w:rFonts w:ascii="Arial" w:hAnsi="Arial" w:eastAsia="Arial" w:cs="Arial"/>
          <w:b w:val="1"/>
          <w:bCs w:val="1"/>
          <w:color w:val="000000" w:themeColor="text1" w:themeTint="FF" w:themeShade="FF"/>
          <w:sz w:val="22"/>
          <w:szCs w:val="22"/>
        </w:rPr>
        <w:t>Critical Analysis of Three Leadership Paradigms</w:t>
      </w:r>
    </w:p>
    <w:p w:rsidR="00725840" w:rsidP="50F2224D" w:rsidRDefault="381BD22F" w14:paraId="2FF32533" w14:textId="57EC3B08">
      <w:pPr>
        <w:spacing w:line="360" w:lineRule="auto"/>
        <w:jc w:val="both"/>
        <w:rPr>
          <w:rFonts w:ascii="Arial" w:hAnsi="Arial" w:eastAsia="Arial" w:cs="Arial"/>
          <w:b w:val="1"/>
          <w:bCs w:val="1"/>
          <w:color w:val="000000"/>
          <w:sz w:val="22"/>
          <w:szCs w:val="22"/>
        </w:rPr>
      </w:pPr>
      <w:r w:rsidRPr="50F2224D" w:rsidR="55E014C3">
        <w:rPr>
          <w:rFonts w:ascii="Arial" w:hAnsi="Arial" w:eastAsia="Arial" w:cs="Arial"/>
          <w:b w:val="1"/>
          <w:bCs w:val="1"/>
          <w:color w:val="000000" w:themeColor="text1" w:themeTint="FF" w:themeShade="FF"/>
          <w:sz w:val="22"/>
          <w:szCs w:val="22"/>
        </w:rPr>
        <w:t>Transactional Leadership</w:t>
      </w:r>
    </w:p>
    <w:p w:rsidR="00C2288C" w:rsidP="50F2224D" w:rsidRDefault="386DA940" w14:paraId="774A4573" w14:textId="77777777">
      <w:pPr>
        <w:spacing w:line="360" w:lineRule="auto"/>
        <w:jc w:val="both"/>
        <w:rPr>
          <w:rFonts w:ascii="Arial" w:hAnsi="Arial" w:eastAsia="Arial" w:cs="Arial"/>
          <w:color w:val="000000"/>
          <w:sz w:val="22"/>
          <w:szCs w:val="22"/>
        </w:rPr>
      </w:pPr>
      <w:r w:rsidRPr="50F2224D" w:rsidR="477A353D">
        <w:rPr>
          <w:rFonts w:ascii="Arial" w:hAnsi="Arial" w:eastAsia="Arial" w:cs="Arial"/>
          <w:color w:val="000000" w:themeColor="text1" w:themeTint="FF" w:themeShade="FF"/>
          <w:sz w:val="22"/>
          <w:szCs w:val="22"/>
        </w:rPr>
        <w:t>Transactional leadership is based on formal structural hierarchies, inflexible monitoring and enforcement of standard operating procedures (SOPs). It relies on a deterministic exchange model that utilizes explicit clarity, performance indicators, and corrective disciplinary actions to maintain established operational baselines (Al-Sawai, 2013).</w:t>
      </w:r>
    </w:p>
    <w:p w:rsidR="00D20450" w:rsidP="50F2224D" w:rsidRDefault="3AC79B55" w14:paraId="1ECC48A4" w14:textId="06FC62BD">
      <w:pPr>
        <w:spacing w:line="360" w:lineRule="auto"/>
        <w:jc w:val="both"/>
        <w:rPr>
          <w:rFonts w:ascii="Arial" w:hAnsi="Arial" w:eastAsia="Arial" w:cs="Arial"/>
          <w:sz w:val="22"/>
          <w:szCs w:val="22"/>
        </w:rPr>
      </w:pPr>
      <w:r w:rsidRPr="50F2224D" w:rsidR="39660CE9">
        <w:rPr>
          <w:rFonts w:ascii="Arial" w:hAnsi="Arial" w:eastAsia="Arial" w:cs="Arial"/>
          <w:b w:val="1"/>
          <w:bCs w:val="1"/>
          <w:color w:val="000000" w:themeColor="text1" w:themeTint="FF" w:themeShade="FF"/>
          <w:sz w:val="22"/>
          <w:szCs w:val="22"/>
        </w:rPr>
        <w:t>Application</w:t>
      </w:r>
      <w:r w:rsidRPr="50F2224D" w:rsidR="39660CE9">
        <w:rPr>
          <w:rFonts w:ascii="Arial" w:hAnsi="Arial" w:eastAsia="Arial" w:cs="Arial"/>
          <w:sz w:val="22"/>
          <w:szCs w:val="22"/>
        </w:rPr>
        <w:t>: The region's healthcare managers operated within a clearly transactional paradigm before the infant's overdose. Safety was managed passively by static formulary updates published on a regional website and human vigilance for absolute individual adherence (North Yorkshire ICB, 2022). This command and control approach failed totally as it did not consider latent system flaws such as mismatched stock levels and non-interoperable software (Reason, 2000).</w:t>
      </w:r>
    </w:p>
    <w:p w:rsidR="00C2288C" w:rsidP="50F2224D" w:rsidRDefault="7C3F079A" w14:paraId="6D80A90A" w14:textId="667A9E4D">
      <w:pPr>
        <w:spacing w:line="360" w:lineRule="auto"/>
        <w:jc w:val="both"/>
        <w:rPr>
          <w:rFonts w:ascii="Arial" w:hAnsi="Arial" w:eastAsia="Arial" w:cs="Arial"/>
          <w:sz w:val="22"/>
          <w:szCs w:val="22"/>
        </w:rPr>
      </w:pPr>
      <w:r w:rsidRPr="50F2224D" w:rsidR="4FA62570">
        <w:rPr>
          <w:rFonts w:ascii="Arial" w:hAnsi="Arial" w:eastAsia="Arial" w:cs="Arial"/>
          <w:b w:val="1"/>
          <w:bCs w:val="1"/>
          <w:sz w:val="22"/>
          <w:szCs w:val="22"/>
        </w:rPr>
        <w:t>Critique &amp; Data:</w:t>
      </w:r>
      <w:r w:rsidRPr="50F2224D" w:rsidR="4FA62570">
        <w:rPr>
          <w:rFonts w:ascii="Arial" w:hAnsi="Arial" w:eastAsia="Arial" w:cs="Arial"/>
          <w:sz w:val="22"/>
          <w:szCs w:val="22"/>
        </w:rPr>
        <w:t xml:space="preserve"> Leaders responded to the incident in a traditional, transactional manner by re-auditing compliance checklists and issuing punitive warnings to frontline staff (Waring, 2005). Metrics in the National NHS Staff Survey show that organisations with transactional leadership experience a profound lack of psychological safety: 45% of frontline staff report they do not report near-miss errors for fear of personal blame and disciplinary action (Woodward, 2020).</w:t>
      </w:r>
    </w:p>
    <w:p w:rsidR="00344A7D" w:rsidP="50F2224D" w:rsidRDefault="526DFFAB" w14:paraId="6199A240" w14:textId="51BD9B64">
      <w:pPr>
        <w:spacing w:line="360" w:lineRule="auto"/>
        <w:jc w:val="both"/>
        <w:rPr>
          <w:rFonts w:ascii="Arial" w:hAnsi="Arial" w:eastAsia="Arial" w:cs="Arial"/>
          <w:b w:val="1"/>
          <w:bCs w:val="1"/>
          <w:color w:val="000000"/>
          <w:sz w:val="22"/>
          <w:szCs w:val="22"/>
        </w:rPr>
      </w:pPr>
      <w:r w:rsidRPr="50F2224D" w:rsidR="3E4BDE17">
        <w:rPr>
          <w:rFonts w:ascii="Arial" w:hAnsi="Arial" w:eastAsia="Arial" w:cs="Arial"/>
          <w:b w:val="1"/>
          <w:bCs w:val="1"/>
          <w:color w:val="000000" w:themeColor="text1" w:themeTint="FF" w:themeShade="FF"/>
          <w:sz w:val="22"/>
          <w:szCs w:val="22"/>
        </w:rPr>
        <w:t>Transformational Leadership</w:t>
      </w:r>
    </w:p>
    <w:p w:rsidR="0096529F" w:rsidP="50F2224D" w:rsidRDefault="5D5AC523" w14:paraId="361AF3B9" w14:textId="09E376DA">
      <w:pPr>
        <w:spacing w:line="360" w:lineRule="auto"/>
        <w:jc w:val="both"/>
        <w:rPr>
          <w:rFonts w:ascii="Arial" w:hAnsi="Arial" w:eastAsia="Arial" w:cs="Arial"/>
          <w:color w:val="000000"/>
          <w:sz w:val="22"/>
          <w:szCs w:val="22"/>
        </w:rPr>
      </w:pPr>
      <w:r w:rsidRPr="50F2224D" w:rsidR="1DE59678">
        <w:rPr>
          <w:rFonts w:ascii="Arial" w:hAnsi="Arial" w:eastAsia="Arial" w:cs="Arial"/>
          <w:color w:val="000000" w:themeColor="text1" w:themeTint="FF" w:themeShade="FF"/>
          <w:sz w:val="22"/>
          <w:szCs w:val="22"/>
        </w:rPr>
        <w:t>Transformational leadership is concerned with long-term cultural change, and inspires a shared vision of the organisation, intellectual stimulation and the empowerment of multi-disciplinary teams to innovate beyond the baseline rules (Giltinane, 2013).</w:t>
      </w:r>
    </w:p>
    <w:p w:rsidR="00042AF1" w:rsidP="50F2224D" w:rsidRDefault="23E675D3" w14:paraId="7406103D" w14:textId="3D0765A7">
      <w:pPr>
        <w:spacing w:line="360" w:lineRule="auto"/>
        <w:jc w:val="both"/>
        <w:rPr>
          <w:rFonts w:ascii="Arial" w:hAnsi="Arial" w:eastAsia="Arial" w:cs="Arial"/>
          <w:sz w:val="22"/>
          <w:szCs w:val="22"/>
        </w:rPr>
      </w:pPr>
      <w:r w:rsidRPr="50F2224D" w:rsidR="3E895AD7">
        <w:rPr>
          <w:rFonts w:ascii="Arial" w:hAnsi="Arial" w:eastAsia="Arial" w:cs="Arial"/>
          <w:b w:val="1"/>
          <w:bCs w:val="1"/>
          <w:sz w:val="22"/>
          <w:szCs w:val="22"/>
        </w:rPr>
        <w:t xml:space="preserve">Application: </w:t>
      </w:r>
      <w:r w:rsidRPr="50F2224D" w:rsidR="3E895AD7">
        <w:rPr>
          <w:rFonts w:ascii="Arial" w:hAnsi="Arial" w:eastAsia="Arial" w:cs="Arial"/>
          <w:sz w:val="22"/>
          <w:szCs w:val="22"/>
        </w:rPr>
        <w:t>This proactive, vision-led model was notably missing across the care interface in North East and Yorkshire. No coherent safety vision emerged that brought together hospital specialists, general practitioners and community pharmacists into one collaborative network (Patient Safety Commissioner, 2024).</w:t>
      </w:r>
    </w:p>
    <w:p w:rsidR="00103F97" w:rsidP="50F2224D" w:rsidRDefault="41F8E912" w14:paraId="362E581F" w14:textId="60EB4FD9">
      <w:pPr>
        <w:spacing w:line="360" w:lineRule="auto"/>
        <w:jc w:val="both"/>
        <w:rPr>
          <w:rFonts w:ascii="Arial" w:hAnsi="Arial" w:eastAsia="Arial" w:cs="Arial"/>
          <w:sz w:val="22"/>
          <w:szCs w:val="22"/>
        </w:rPr>
      </w:pPr>
      <w:r w:rsidRPr="50F2224D" w:rsidR="188F7EE4">
        <w:rPr>
          <w:rFonts w:ascii="Arial" w:hAnsi="Arial" w:eastAsia="Arial" w:cs="Arial"/>
          <w:b w:val="1"/>
          <w:bCs w:val="1"/>
          <w:sz w:val="22"/>
          <w:szCs w:val="22"/>
        </w:rPr>
        <w:t xml:space="preserve">Critique &amp; Data: </w:t>
      </w:r>
      <w:r w:rsidRPr="50F2224D" w:rsidR="188F7EE4">
        <w:rPr>
          <w:rFonts w:ascii="Arial" w:hAnsi="Arial" w:eastAsia="Arial" w:cs="Arial"/>
          <w:sz w:val="22"/>
          <w:szCs w:val="22"/>
        </w:rPr>
        <w:t>Had transformational leadership been used, executives would have focused on system-wide cross-boundary integration rather than on isolated institutional compliance. The King’s Fund empirical data shows that healthcare trusts that use transformational leadership styles have a 25% higher score on positive safety culture indices and report significantly fewer serious untoward incidents than command-driven environments (West et al, 2015).</w:t>
      </w:r>
    </w:p>
    <w:p w:rsidRPr="002616E3" w:rsidR="00552F1E" w:rsidP="50F2224D" w:rsidRDefault="7846348F" w14:paraId="11FC5064" w14:textId="435DCA98">
      <w:pPr>
        <w:spacing w:line="360" w:lineRule="auto"/>
        <w:jc w:val="both"/>
        <w:rPr>
          <w:rFonts w:ascii="Arial" w:hAnsi="Arial" w:eastAsia="Arial" w:cs="Arial"/>
          <w:b w:val="1"/>
          <w:bCs w:val="1"/>
          <w:sz w:val="22"/>
          <w:szCs w:val="22"/>
        </w:rPr>
      </w:pPr>
      <w:r w:rsidRPr="50F2224D" w:rsidR="29E75F26">
        <w:rPr>
          <w:rFonts w:ascii="Arial" w:hAnsi="Arial" w:eastAsia="Arial" w:cs="Arial"/>
          <w:b w:val="1"/>
          <w:bCs w:val="1"/>
          <w:color w:val="000000" w:themeColor="text1" w:themeTint="FF" w:themeShade="FF"/>
          <w:sz w:val="22"/>
          <w:szCs w:val="22"/>
        </w:rPr>
        <w:t>Situational Leadership</w:t>
      </w:r>
    </w:p>
    <w:p w:rsidR="00C2288C" w:rsidP="50F2224D" w:rsidRDefault="2AD19B2F" w14:paraId="7F856331" w14:textId="7A6E9F1A">
      <w:pPr>
        <w:spacing w:line="360" w:lineRule="auto"/>
        <w:jc w:val="both"/>
        <w:rPr>
          <w:rFonts w:ascii="Arial" w:hAnsi="Arial" w:eastAsia="Arial" w:cs="Arial"/>
          <w:color w:val="000000"/>
          <w:sz w:val="22"/>
          <w:szCs w:val="22"/>
        </w:rPr>
      </w:pPr>
      <w:r w:rsidRPr="50F2224D" w:rsidR="799C52C0">
        <w:rPr>
          <w:rFonts w:ascii="Arial" w:hAnsi="Arial" w:eastAsia="Arial" w:cs="Arial"/>
          <w:color w:val="000000" w:themeColor="text1" w:themeTint="FF" w:themeShade="FF"/>
          <w:sz w:val="22"/>
          <w:szCs w:val="22"/>
        </w:rPr>
        <w:t>Situational leadership suggests that good managers should change their leadership style from highly directive to coaching, supporting or delegating depending on the operational situation and the competence and stress levels of the staff (Giltinane, 2013).</w:t>
      </w:r>
    </w:p>
    <w:p w:rsidR="00392A94" w:rsidP="50F2224D" w:rsidRDefault="2932283B" w14:paraId="0B2BFFCC" w14:textId="67B742A3">
      <w:pPr>
        <w:spacing w:line="360" w:lineRule="auto"/>
        <w:jc w:val="both"/>
        <w:rPr>
          <w:rFonts w:ascii="Arial" w:hAnsi="Arial" w:eastAsia="Arial" w:cs="Arial"/>
          <w:color w:val="000000"/>
          <w:sz w:val="22"/>
          <w:szCs w:val="22"/>
        </w:rPr>
      </w:pPr>
      <w:r w:rsidRPr="50F2224D" w:rsidR="0448F2B2">
        <w:rPr>
          <w:rFonts w:ascii="Arial" w:hAnsi="Arial" w:eastAsia="Arial" w:cs="Arial"/>
          <w:b w:val="1"/>
          <w:bCs w:val="1"/>
          <w:color w:val="000000" w:themeColor="text1" w:themeTint="FF" w:themeShade="FF"/>
          <w:sz w:val="22"/>
          <w:szCs w:val="22"/>
        </w:rPr>
        <w:t xml:space="preserve">Application: </w:t>
      </w:r>
      <w:r w:rsidRPr="50F2224D" w:rsidR="0448F2B2">
        <w:rPr>
          <w:rFonts w:ascii="Arial" w:hAnsi="Arial" w:eastAsia="Arial" w:cs="Arial"/>
          <w:color w:val="000000" w:themeColor="text1" w:themeTint="FF" w:themeShade="FF"/>
          <w:sz w:val="22"/>
          <w:szCs w:val="22"/>
        </w:rPr>
        <w:t>A highly directive, command style of situational leadership was quite appropriate during the immediate, acute phase of the crisis when the four-week-old baby was admitted with respiratory failure. Leaders quickly took control to ensure survival of the infant, to recall incorrect stock and to begin an emergency clinical review (Barr and Dowding, 2022).</w:t>
      </w:r>
    </w:p>
    <w:p w:rsidR="00F61626" w:rsidP="50F2224D" w:rsidRDefault="685D75A9" w14:paraId="18EBA6A6" w14:textId="3F824B00">
      <w:pPr>
        <w:spacing w:line="360" w:lineRule="auto"/>
        <w:jc w:val="both"/>
        <w:rPr>
          <w:rFonts w:ascii="Arial" w:hAnsi="Arial" w:eastAsia="Arial" w:cs="Arial"/>
          <w:color w:val="000000"/>
          <w:sz w:val="22"/>
          <w:szCs w:val="22"/>
        </w:rPr>
      </w:pPr>
      <w:r w:rsidRPr="50F2224D" w:rsidR="1616F6B2">
        <w:rPr>
          <w:rFonts w:ascii="Arial" w:hAnsi="Arial" w:eastAsia="Arial" w:cs="Arial"/>
          <w:b w:val="1"/>
          <w:bCs w:val="1"/>
          <w:color w:val="000000" w:themeColor="text1" w:themeTint="FF" w:themeShade="FF"/>
          <w:sz w:val="22"/>
          <w:szCs w:val="22"/>
        </w:rPr>
        <w:t>Critique &amp; Data:</w:t>
      </w:r>
      <w:r w:rsidRPr="50F2224D" w:rsidR="1616F6B2">
        <w:rPr>
          <w:rFonts w:ascii="Arial" w:hAnsi="Arial" w:eastAsia="Arial" w:cs="Arial"/>
          <w:color w:val="000000" w:themeColor="text1" w:themeTint="FF" w:themeShade="FF"/>
          <w:sz w:val="22"/>
          <w:szCs w:val="22"/>
        </w:rPr>
        <w:t xml:space="preserve"> Leaders, however, did not alter their style in the subsequent root-cause investigation. They adopted a rigid, directive stance in a systemic review and silenced frontline staff who had critical insights into why operational workarounds happened (Macrae, 2016). Once the immediate crisis is over, to make sustainable improvements in safety, leaders need to go beyond a command-driven style and take on an emotionally intelligent and supportive approach, ensuring that systemic lessons are collaboratively identified and integrated (Vincent, Taylor-Adams and Stanhope, 1998).</w:t>
      </w:r>
    </w:p>
    <w:p w:rsidR="005B5E2A" w:rsidP="50F2224D" w:rsidRDefault="343DF522" w14:paraId="524659F0" w14:textId="23EB1AFA">
      <w:pPr>
        <w:spacing w:line="360" w:lineRule="auto"/>
        <w:jc w:val="both"/>
        <w:rPr>
          <w:rFonts w:ascii="Arial" w:hAnsi="Arial" w:eastAsia="Arial" w:cs="Arial"/>
          <w:b w:val="1"/>
          <w:bCs w:val="1"/>
          <w:color w:val="000000"/>
          <w:sz w:val="22"/>
          <w:szCs w:val="22"/>
        </w:rPr>
      </w:pPr>
      <w:r w:rsidRPr="50F2224D" w:rsidR="607B63D9">
        <w:rPr>
          <w:rFonts w:ascii="Arial" w:hAnsi="Arial" w:eastAsia="Arial" w:cs="Arial"/>
          <w:b w:val="1"/>
          <w:bCs w:val="1"/>
          <w:color w:val="000000" w:themeColor="text1" w:themeTint="FF" w:themeShade="FF"/>
          <w:sz w:val="22"/>
          <w:szCs w:val="22"/>
        </w:rPr>
        <w:t>Evaluation of Leadership Effectiveness</w:t>
      </w:r>
    </w:p>
    <w:p w:rsidR="00234072" w:rsidP="50F2224D" w:rsidRDefault="1306677B" w14:paraId="4C37A3BE" w14:textId="6F96E52C">
      <w:pPr>
        <w:spacing w:line="360" w:lineRule="auto"/>
        <w:jc w:val="both"/>
        <w:rPr>
          <w:rFonts w:ascii="Arial" w:hAnsi="Arial" w:eastAsia="Arial" w:cs="Arial"/>
          <w:color w:val="000000"/>
          <w:sz w:val="22"/>
          <w:szCs w:val="22"/>
        </w:rPr>
      </w:pPr>
      <w:r w:rsidRPr="50F2224D" w:rsidR="0479E033">
        <w:rPr>
          <w:rFonts w:ascii="Arial" w:hAnsi="Arial" w:eastAsia="Arial" w:cs="Arial"/>
          <w:color w:val="000000" w:themeColor="text1" w:themeTint="FF" w:themeShade="FF"/>
          <w:sz w:val="22"/>
          <w:szCs w:val="22"/>
        </w:rPr>
        <w:t>The data show that regional clinical leadership was mainly reactive and command-driven rather than proactive and purpose-driven (Spehar, Frich and Kjekshus, 2015). Instead of anticipating the structural vulnerabilities of a decentralized formulary, leaders acted after catastrophic harm had occurred (Donaldson et al., 2017). The organisation required a distributed and emotionally intelligent leadership model to achieve continuous improvement (Barr and Dowding, 2022). Distributed leadership would have facilitated community pharmacists and GPs to co-design the ‘RED DRUG’ verification pathway, while high emotional intelligence would have created the psychological safety for staff to voice system errors before they reached the patient (Waring, 2005).</w:t>
      </w:r>
    </w:p>
    <w:p w:rsidR="4DF22574" w:rsidP="50F2224D" w:rsidRDefault="4DF22574" w14:paraId="03EE52BC" w14:textId="194413DC">
      <w:pPr>
        <w:spacing w:line="360" w:lineRule="auto"/>
        <w:jc w:val="both"/>
        <w:rPr>
          <w:rFonts w:ascii="Arial" w:hAnsi="Arial" w:eastAsia="Arial" w:cs="Arial"/>
          <w:b w:val="1"/>
          <w:bCs w:val="1"/>
          <w:color w:val="000000" w:themeColor="text1"/>
          <w:sz w:val="22"/>
          <w:szCs w:val="22"/>
        </w:rPr>
      </w:pPr>
    </w:p>
    <w:p w:rsidR="4DF22574" w:rsidP="50F2224D" w:rsidRDefault="4DF22574" w14:paraId="5B254571" w14:textId="59E15F9C">
      <w:pPr>
        <w:spacing w:line="360" w:lineRule="auto"/>
        <w:jc w:val="both"/>
        <w:rPr>
          <w:rFonts w:ascii="Arial" w:hAnsi="Arial" w:eastAsia="Arial" w:cs="Arial"/>
          <w:b w:val="1"/>
          <w:bCs w:val="1"/>
          <w:color w:val="000000" w:themeColor="text1"/>
          <w:sz w:val="22"/>
          <w:szCs w:val="22"/>
        </w:rPr>
      </w:pPr>
    </w:p>
    <w:p w:rsidR="00FE37E7" w:rsidP="50F2224D" w:rsidRDefault="5DB14DB9" w14:paraId="39AEC3CA" w14:textId="6903B772">
      <w:pPr>
        <w:spacing w:line="360" w:lineRule="auto"/>
        <w:jc w:val="both"/>
        <w:rPr>
          <w:rFonts w:ascii="Arial" w:hAnsi="Arial" w:eastAsia="Arial" w:cs="Arial"/>
          <w:b w:val="1"/>
          <w:bCs w:val="1"/>
          <w:color w:val="000000"/>
          <w:sz w:val="22"/>
          <w:szCs w:val="22"/>
        </w:rPr>
      </w:pPr>
      <w:r w:rsidRPr="50F2224D" w:rsidR="22C6D935">
        <w:rPr>
          <w:rFonts w:ascii="Arial" w:hAnsi="Arial" w:eastAsia="Arial" w:cs="Arial"/>
          <w:b w:val="1"/>
          <w:bCs w:val="1"/>
          <w:color w:val="000000" w:themeColor="text1" w:themeTint="FF" w:themeShade="FF"/>
          <w:sz w:val="22"/>
          <w:szCs w:val="22"/>
        </w:rPr>
        <w:t>Improvement, and Lessons Learned</w:t>
      </w:r>
    </w:p>
    <w:p w:rsidR="00693192" w:rsidP="50F2224D" w:rsidRDefault="37C9D586" w14:paraId="7BC66D95" w14:textId="36385D65">
      <w:pPr>
        <w:spacing w:line="360" w:lineRule="auto"/>
        <w:jc w:val="both"/>
        <w:rPr>
          <w:rFonts w:ascii="Arial" w:hAnsi="Arial" w:eastAsia="Arial" w:cs="Arial"/>
          <w:b w:val="1"/>
          <w:bCs w:val="1"/>
          <w:color w:val="000000"/>
          <w:sz w:val="22"/>
          <w:szCs w:val="22"/>
        </w:rPr>
      </w:pPr>
      <w:r w:rsidRPr="50F2224D" w:rsidR="549D578D">
        <w:rPr>
          <w:rFonts w:ascii="Arial" w:hAnsi="Arial" w:eastAsia="Arial" w:cs="Arial"/>
          <w:b w:val="1"/>
          <w:bCs w:val="1"/>
          <w:color w:val="000000" w:themeColor="text1" w:themeTint="FF" w:themeShade="FF"/>
          <w:sz w:val="22"/>
          <w:szCs w:val="22"/>
        </w:rPr>
        <w:t>Critique of Leadership and Governance Interactions</w:t>
      </w:r>
    </w:p>
    <w:p w:rsidR="006634ED" w:rsidP="50F2224D" w:rsidRDefault="67C44D8E" w14:paraId="1DAF2D27" w14:textId="34A3D9D2">
      <w:pPr>
        <w:spacing w:line="360" w:lineRule="auto"/>
        <w:jc w:val="both"/>
        <w:rPr>
          <w:rFonts w:ascii="Arial" w:hAnsi="Arial" w:eastAsia="Arial" w:cs="Arial"/>
          <w:color w:val="000000"/>
          <w:sz w:val="22"/>
          <w:szCs w:val="22"/>
        </w:rPr>
      </w:pPr>
      <w:r w:rsidRPr="50F2224D" w:rsidR="0E46F319">
        <w:rPr>
          <w:rFonts w:ascii="Arial" w:hAnsi="Arial" w:eastAsia="Arial" w:cs="Arial"/>
          <w:color w:val="000000" w:themeColor="text1" w:themeTint="FF" w:themeShade="FF"/>
          <w:sz w:val="22"/>
          <w:szCs w:val="22"/>
        </w:rPr>
        <w:t xml:space="preserve">The case study was critically </w:t>
      </w:r>
      <w:r w:rsidRPr="50F2224D" w:rsidR="3BFABA66">
        <w:rPr>
          <w:rFonts w:ascii="Arial" w:hAnsi="Arial" w:eastAsia="Arial" w:cs="Arial"/>
          <w:color w:val="000000" w:themeColor="text1" w:themeTint="FF" w:themeShade="FF"/>
          <w:sz w:val="22"/>
          <w:szCs w:val="22"/>
        </w:rPr>
        <w:t>reviewed,</w:t>
      </w:r>
      <w:r w:rsidRPr="50F2224D" w:rsidR="0E46F319">
        <w:rPr>
          <w:rFonts w:ascii="Arial" w:hAnsi="Arial" w:eastAsia="Arial" w:cs="Arial"/>
          <w:color w:val="000000" w:themeColor="text1" w:themeTint="FF" w:themeShade="FF"/>
          <w:sz w:val="22"/>
          <w:szCs w:val="22"/>
        </w:rPr>
        <w:t xml:space="preserve"> and it was found that the clinical failure was due to a dysfunctional interplay of reactive leadership and fragmented governance (Carayon et al., 2006). Governance structures remained strictly siloed within the physical confines of the acute hospital trust, thus completely failing to oversee the high risk transition points, where vulnerable neonatal patients are discharged into decentralised community settings (IHI, 2022). Transactional leaders believed that the inclusion of the 100 micrograms/ml formulation on a policy document as a ‘RED DRUG’ was sufficient to meet their governance requirements (North Yorkshire ICB, 2022). This passive oversight overlooked the need for digital interoperability to enforce that rule across commercial retail pharmacies (Sheikh, Storey and Cresswell, 2023).</w:t>
      </w:r>
    </w:p>
    <w:p w:rsidR="00250501" w:rsidP="50F2224D" w:rsidRDefault="766ECBD4" w14:paraId="4231C326" w14:textId="62F15342">
      <w:pPr>
        <w:spacing w:line="360" w:lineRule="auto"/>
        <w:jc w:val="both"/>
        <w:rPr>
          <w:rFonts w:ascii="Arial" w:hAnsi="Arial" w:eastAsia="Arial" w:cs="Arial"/>
          <w:color w:val="000000"/>
          <w:sz w:val="22"/>
          <w:szCs w:val="22"/>
        </w:rPr>
      </w:pPr>
      <w:r w:rsidRPr="50F2224D" w:rsidR="02C4D184">
        <w:rPr>
          <w:rFonts w:ascii="Arial" w:hAnsi="Arial" w:eastAsia="Arial" w:cs="Arial"/>
          <w:color w:val="000000" w:themeColor="text1" w:themeTint="FF" w:themeShade="FF"/>
          <w:sz w:val="22"/>
          <w:szCs w:val="22"/>
        </w:rPr>
        <w:t xml:space="preserve">When clinical structures are very fragmented across separate legal entities, e.g. an acute NHS Hospital Trust, an independent General Practice and a private sector retail pharmacy chain, passive policies break down under operational strain (Greenhalgh et al., 2017). There was no collective leadership to assess the safety of the entire care transition pathway because of the complete absence of a cross-boundary clinical governance board (Ferlie and Shortell, 2001). Operational leadership focused heavily on internal hospital metrics, such as freeing up beds and reducing delays in the discharge process (Wachter and Gupta, 2018). This narrow focus was an active ignorance of the downstream risks imposed on community providers lacking the </w:t>
      </w:r>
      <w:r w:rsidRPr="50F2224D" w:rsidR="2DD91403">
        <w:rPr>
          <w:rFonts w:ascii="Arial" w:hAnsi="Arial" w:eastAsia="Arial" w:cs="Arial"/>
          <w:color w:val="000000" w:themeColor="text1" w:themeTint="FF" w:themeShade="FF"/>
          <w:sz w:val="22"/>
          <w:szCs w:val="22"/>
        </w:rPr>
        <w:t>specialised</w:t>
      </w:r>
      <w:r w:rsidRPr="50F2224D" w:rsidR="02C4D184">
        <w:rPr>
          <w:rFonts w:ascii="Arial" w:hAnsi="Arial" w:eastAsia="Arial" w:cs="Arial"/>
          <w:color w:val="000000" w:themeColor="text1" w:themeTint="FF" w:themeShade="FF"/>
          <w:sz w:val="22"/>
          <w:szCs w:val="22"/>
        </w:rPr>
        <w:t xml:space="preserve"> clinical software to manage complex hospital-only special formulations safely (Greenhalgh et al., 2017).</w:t>
      </w:r>
    </w:p>
    <w:p w:rsidRPr="00816EC3" w:rsidR="003A0E9A" w:rsidP="50F2224D" w:rsidRDefault="37948F64" w14:paraId="1926F8A3" w14:textId="7CEDBC88">
      <w:pPr>
        <w:spacing w:line="360" w:lineRule="auto"/>
        <w:jc w:val="both"/>
        <w:rPr>
          <w:rFonts w:ascii="Arial" w:hAnsi="Arial" w:eastAsia="Arial" w:cs="Arial"/>
          <w:b w:val="1"/>
          <w:bCs w:val="1"/>
          <w:color w:val="000000"/>
          <w:sz w:val="22"/>
          <w:szCs w:val="22"/>
        </w:rPr>
      </w:pPr>
      <w:r w:rsidRPr="50F2224D" w:rsidR="2476C384">
        <w:rPr>
          <w:rFonts w:ascii="Arial" w:hAnsi="Arial" w:eastAsia="Arial" w:cs="Arial"/>
          <w:b w:val="1"/>
          <w:bCs w:val="1"/>
          <w:color w:val="000000" w:themeColor="text1" w:themeTint="FF" w:themeShade="FF"/>
          <w:sz w:val="22"/>
          <w:szCs w:val="22"/>
        </w:rPr>
        <w:t>Data-Driven Synthesis of Problems and Evidence-Based Solutions</w:t>
      </w:r>
    </w:p>
    <w:p w:rsidR="003F5E95" w:rsidP="50F2224D" w:rsidRDefault="23C44E08" w14:paraId="6481FF4D" w14:textId="4763CFD0">
      <w:pPr>
        <w:spacing w:line="360" w:lineRule="auto"/>
        <w:jc w:val="both"/>
        <w:rPr>
          <w:rFonts w:ascii="Arial" w:hAnsi="Arial" w:eastAsia="Arial" w:cs="Arial"/>
          <w:color w:val="000000"/>
          <w:sz w:val="22"/>
          <w:szCs w:val="22"/>
        </w:rPr>
      </w:pPr>
      <w:r w:rsidRPr="50F2224D" w:rsidR="480670CA">
        <w:rPr>
          <w:rFonts w:ascii="Arial" w:hAnsi="Arial" w:eastAsia="Arial" w:cs="Arial"/>
          <w:color w:val="000000" w:themeColor="text1" w:themeTint="FF" w:themeShade="FF"/>
          <w:sz w:val="22"/>
          <w:szCs w:val="22"/>
        </w:rPr>
        <w:t>The specific governance breakdowns found in the case study need to be matched with solutions that are supported by evidence and validated through performance indicators to be able to effect systemic change (Wachter and Gupta, 2018)</w:t>
      </w:r>
    </w:p>
    <w:p w:rsidR="002E318F" w:rsidP="50F2224D" w:rsidRDefault="4347080D" w14:paraId="3A8D767C" w14:textId="262EEB72">
      <w:pPr>
        <w:spacing w:line="360" w:lineRule="auto"/>
        <w:jc w:val="both"/>
        <w:rPr>
          <w:rFonts w:ascii="Arial" w:hAnsi="Arial" w:eastAsia="Arial" w:cs="Arial"/>
          <w:b w:val="1"/>
          <w:bCs w:val="1"/>
          <w:color w:val="000000"/>
          <w:sz w:val="22"/>
          <w:szCs w:val="22"/>
        </w:rPr>
      </w:pPr>
      <w:r w:rsidRPr="50F2224D" w:rsidR="321B2053">
        <w:rPr>
          <w:rFonts w:ascii="Arial" w:hAnsi="Arial" w:eastAsia="Arial" w:cs="Arial"/>
          <w:b w:val="1"/>
          <w:bCs w:val="1"/>
          <w:color w:val="000000" w:themeColor="text1" w:themeTint="FF" w:themeShade="FF"/>
          <w:sz w:val="22"/>
          <w:szCs w:val="22"/>
        </w:rPr>
        <w:t>Delayed incident reporting and poor feedback loops</w:t>
      </w:r>
    </w:p>
    <w:p w:rsidR="00980643" w:rsidP="50F2224D" w:rsidRDefault="77E1B0D9" w14:paraId="570884D7" w14:textId="1B92D681">
      <w:pPr>
        <w:spacing w:line="360" w:lineRule="auto"/>
        <w:jc w:val="both"/>
        <w:rPr>
          <w:rFonts w:ascii="Arial" w:hAnsi="Arial" w:eastAsia="Arial" w:cs="Arial"/>
          <w:color w:val="000000"/>
          <w:sz w:val="22"/>
          <w:szCs w:val="22"/>
        </w:rPr>
      </w:pPr>
      <w:r w:rsidRPr="50F2224D" w:rsidR="42145DEB">
        <w:rPr>
          <w:rFonts w:ascii="Arial" w:hAnsi="Arial" w:eastAsia="Arial" w:cs="Arial"/>
          <w:b w:val="1"/>
          <w:bCs w:val="1"/>
          <w:color w:val="000000" w:themeColor="text1" w:themeTint="FF" w:themeShade="FF"/>
          <w:sz w:val="22"/>
          <w:szCs w:val="22"/>
        </w:rPr>
        <w:t xml:space="preserve">Problem: </w:t>
      </w:r>
      <w:r w:rsidRPr="50F2224D" w:rsidR="42145DEB">
        <w:rPr>
          <w:rFonts w:ascii="Arial" w:hAnsi="Arial" w:eastAsia="Arial" w:cs="Arial"/>
          <w:color w:val="000000" w:themeColor="text1" w:themeTint="FF" w:themeShade="FF"/>
          <w:sz w:val="22"/>
          <w:szCs w:val="22"/>
        </w:rPr>
        <w:t>Late incident reporting, poor accountability feedback loop in decentralised hierarchy (Macrae, 2016).</w:t>
      </w:r>
    </w:p>
    <w:p w:rsidR="00BC4344" w:rsidP="50F2224D" w:rsidRDefault="6F0550C1" w14:paraId="01D37006" w14:textId="2C022EC7">
      <w:pPr>
        <w:spacing w:line="360" w:lineRule="auto"/>
        <w:jc w:val="both"/>
        <w:rPr>
          <w:rFonts w:ascii="Arial" w:hAnsi="Arial" w:eastAsia="Arial" w:cs="Arial"/>
          <w:color w:val="000000"/>
          <w:sz w:val="22"/>
          <w:szCs w:val="22"/>
        </w:rPr>
      </w:pPr>
      <w:r w:rsidRPr="50F2224D" w:rsidR="7AAD7B99">
        <w:rPr>
          <w:rFonts w:ascii="Arial" w:hAnsi="Arial" w:eastAsia="Arial" w:cs="Arial"/>
          <w:b w:val="1"/>
          <w:bCs w:val="1"/>
          <w:color w:val="000000" w:themeColor="text1" w:themeTint="FF" w:themeShade="FF"/>
          <w:sz w:val="22"/>
          <w:szCs w:val="22"/>
        </w:rPr>
        <w:t xml:space="preserve">Data: </w:t>
      </w:r>
      <w:r w:rsidRPr="50F2224D" w:rsidR="7AAD7B99">
        <w:rPr>
          <w:rFonts w:ascii="Arial" w:hAnsi="Arial" w:eastAsia="Arial" w:cs="Arial"/>
          <w:color w:val="000000" w:themeColor="text1" w:themeTint="FF" w:themeShade="FF"/>
          <w:sz w:val="22"/>
          <w:szCs w:val="22"/>
        </w:rPr>
        <w:t>40% of medication errors were not reported at all for more than 48 hours, masking the real incidence of recurring systemic failures as per regional clinical audits (Macrae, 2016).</w:t>
      </w:r>
    </w:p>
    <w:p w:rsidR="006401F3" w:rsidP="50F2224D" w:rsidRDefault="226D24F0" w14:paraId="10B81434" w14:textId="278488AF">
      <w:pPr>
        <w:spacing w:line="360" w:lineRule="auto"/>
        <w:jc w:val="both"/>
        <w:rPr>
          <w:rFonts w:ascii="Arial" w:hAnsi="Arial" w:eastAsia="Arial" w:cs="Arial"/>
          <w:color w:val="000000"/>
          <w:sz w:val="22"/>
          <w:szCs w:val="22"/>
        </w:rPr>
      </w:pPr>
      <w:r w:rsidRPr="50F2224D" w:rsidR="7B961938">
        <w:rPr>
          <w:rFonts w:ascii="Arial" w:hAnsi="Arial" w:eastAsia="Arial" w:cs="Arial"/>
          <w:b w:val="1"/>
          <w:bCs w:val="1"/>
          <w:color w:val="000000" w:themeColor="text1" w:themeTint="FF" w:themeShade="FF"/>
          <w:sz w:val="22"/>
          <w:szCs w:val="22"/>
        </w:rPr>
        <w:t xml:space="preserve">Improvement: </w:t>
      </w:r>
      <w:r w:rsidRPr="50F2224D" w:rsidR="7B961938">
        <w:rPr>
          <w:rFonts w:ascii="Arial" w:hAnsi="Arial" w:eastAsia="Arial" w:cs="Arial"/>
          <w:color w:val="000000" w:themeColor="text1" w:themeTint="FF" w:themeShade="FF"/>
          <w:sz w:val="22"/>
          <w:szCs w:val="22"/>
        </w:rPr>
        <w:t>Develop a single, cloud-based electronic incident reporting system that goes beyond the boundaries of individual institutions to provide real-time incident documentation and automated safety alerts across regions (Wachter and Gupta, 2018).</w:t>
      </w:r>
    </w:p>
    <w:p w:rsidR="00744210" w:rsidP="50F2224D" w:rsidRDefault="0FC0DFC6" w14:paraId="1A8C3AB8" w14:textId="3842774D">
      <w:pPr>
        <w:spacing w:line="360" w:lineRule="auto"/>
        <w:jc w:val="both"/>
        <w:rPr>
          <w:rFonts w:ascii="Arial" w:hAnsi="Arial" w:eastAsia="Arial" w:cs="Arial"/>
          <w:b w:val="1"/>
          <w:bCs w:val="1"/>
          <w:color w:val="000000"/>
          <w:sz w:val="22"/>
          <w:szCs w:val="22"/>
        </w:rPr>
      </w:pPr>
      <w:r w:rsidRPr="50F2224D" w:rsidR="54C31949">
        <w:rPr>
          <w:rFonts w:ascii="Arial" w:hAnsi="Arial" w:eastAsia="Arial" w:cs="Arial"/>
          <w:b w:val="1"/>
          <w:bCs w:val="1"/>
          <w:color w:val="000000" w:themeColor="text1" w:themeTint="FF" w:themeShade="FF"/>
          <w:sz w:val="22"/>
          <w:szCs w:val="22"/>
        </w:rPr>
        <w:t>Fragmented Care Interfaces and Interoperability Deficits</w:t>
      </w:r>
    </w:p>
    <w:p w:rsidRPr="00FC2DC0" w:rsidR="00FC2DC0" w:rsidP="50F2224D" w:rsidRDefault="2D745CEC" w14:paraId="482F3AE9" w14:textId="77777777">
      <w:pPr>
        <w:spacing w:line="360" w:lineRule="auto"/>
        <w:jc w:val="both"/>
        <w:rPr>
          <w:rFonts w:ascii="Arial" w:hAnsi="Arial" w:eastAsia="Arial" w:cs="Arial"/>
          <w:color w:val="000000"/>
          <w:sz w:val="22"/>
          <w:szCs w:val="22"/>
        </w:rPr>
      </w:pPr>
      <w:r w:rsidRPr="50F2224D" w:rsidR="5B6065B4">
        <w:rPr>
          <w:rFonts w:ascii="Arial" w:hAnsi="Arial" w:eastAsia="Arial" w:cs="Arial"/>
          <w:b w:val="1"/>
          <w:bCs w:val="1"/>
          <w:color w:val="000000" w:themeColor="text1" w:themeTint="FF" w:themeShade="FF"/>
          <w:sz w:val="22"/>
          <w:szCs w:val="22"/>
        </w:rPr>
        <w:t xml:space="preserve">Problem: </w:t>
      </w:r>
      <w:r w:rsidRPr="50F2224D" w:rsidR="5B6065B4">
        <w:rPr>
          <w:rFonts w:ascii="Arial" w:hAnsi="Arial" w:eastAsia="Arial" w:cs="Arial"/>
          <w:color w:val="000000" w:themeColor="text1" w:themeTint="FF" w:themeShade="FF"/>
          <w:sz w:val="22"/>
          <w:szCs w:val="22"/>
        </w:rPr>
        <w:t>There is a lack of coordination of communication channels between primary and secondary care providers (Greenhalgh et al., 2017).</w:t>
      </w:r>
    </w:p>
    <w:p w:rsidRPr="00FC2DC0" w:rsidR="00FC2DC0" w:rsidP="50F2224D" w:rsidRDefault="0481E4AB" w14:paraId="56F3D9DB" w14:textId="23A86E88">
      <w:pPr>
        <w:spacing w:line="360" w:lineRule="auto"/>
        <w:jc w:val="both"/>
        <w:rPr>
          <w:rFonts w:ascii="Arial" w:hAnsi="Arial" w:eastAsia="Arial" w:cs="Arial"/>
          <w:color w:val="000000"/>
          <w:sz w:val="22"/>
          <w:szCs w:val="22"/>
        </w:rPr>
      </w:pPr>
      <w:r w:rsidRPr="50F2224D" w:rsidR="2BA0A7B0">
        <w:rPr>
          <w:rFonts w:ascii="Arial" w:hAnsi="Arial" w:eastAsia="Arial" w:cs="Arial"/>
          <w:b w:val="1"/>
          <w:bCs w:val="1"/>
          <w:color w:val="000000" w:themeColor="text1" w:themeTint="FF" w:themeShade="FF"/>
          <w:sz w:val="22"/>
          <w:szCs w:val="22"/>
        </w:rPr>
        <w:t>Data:</w:t>
      </w:r>
      <w:r w:rsidRPr="50F2224D" w:rsidR="5B6065B4">
        <w:rPr>
          <w:rFonts w:ascii="Arial" w:hAnsi="Arial" w:eastAsia="Arial" w:cs="Arial"/>
          <w:color w:val="000000" w:themeColor="text1" w:themeTint="FF" w:themeShade="FF"/>
          <w:sz w:val="22"/>
          <w:szCs w:val="22"/>
        </w:rPr>
        <w:t xml:space="preserve"> indicated a 0% direct digital communication rate between acute hospital paediatric clinics and community pharmacies on “specials” procurement (Sheikh, Storey and Cresswell, 2023).</w:t>
      </w:r>
    </w:p>
    <w:p w:rsidR="00F628A7" w:rsidP="50F2224D" w:rsidRDefault="0E3F9575" w14:paraId="1A0EF45D" w14:textId="5852AA23">
      <w:pPr>
        <w:spacing w:line="360" w:lineRule="auto"/>
        <w:jc w:val="both"/>
        <w:rPr>
          <w:rFonts w:ascii="Arial" w:hAnsi="Arial" w:eastAsia="Arial" w:cs="Arial"/>
          <w:color w:val="000000"/>
          <w:sz w:val="22"/>
          <w:szCs w:val="22"/>
        </w:rPr>
      </w:pPr>
      <w:r w:rsidRPr="50F2224D" w:rsidR="58E8D91F">
        <w:rPr>
          <w:rFonts w:ascii="Arial" w:hAnsi="Arial" w:eastAsia="Arial" w:cs="Arial"/>
          <w:b w:val="1"/>
          <w:bCs w:val="1"/>
          <w:color w:val="000000" w:themeColor="text1" w:themeTint="FF" w:themeShade="FF"/>
          <w:sz w:val="22"/>
          <w:szCs w:val="22"/>
        </w:rPr>
        <w:t>Improvement:</w:t>
      </w:r>
      <w:r w:rsidRPr="50F2224D" w:rsidR="5B6065B4">
        <w:rPr>
          <w:rFonts w:ascii="Arial" w:hAnsi="Arial" w:eastAsia="Arial" w:cs="Arial"/>
          <w:b w:val="1"/>
          <w:bCs w:val="1"/>
          <w:color w:val="000000" w:themeColor="text1" w:themeTint="FF" w:themeShade="FF"/>
          <w:sz w:val="22"/>
          <w:szCs w:val="22"/>
        </w:rPr>
        <w:t xml:space="preserve"> </w:t>
      </w:r>
      <w:r w:rsidRPr="50F2224D" w:rsidR="5B6065B4">
        <w:rPr>
          <w:rFonts w:ascii="Arial" w:hAnsi="Arial" w:eastAsia="Arial" w:cs="Arial"/>
          <w:color w:val="000000" w:themeColor="text1" w:themeTint="FF" w:themeShade="FF"/>
          <w:sz w:val="22"/>
          <w:szCs w:val="22"/>
        </w:rPr>
        <w:t>Create a shared network of electronic health records (EHR) with digital blocks coded not to permit commercial community pharmacies to bill or dispense restricted hospital-only items automatically (Greenhalgh et al., 2017).</w:t>
      </w:r>
    </w:p>
    <w:p w:rsidRPr="00841A1B" w:rsidR="009926D1" w:rsidP="50F2224D" w:rsidRDefault="024B1C71" w14:paraId="0FF77852" w14:textId="3E7F202C">
      <w:pPr>
        <w:spacing w:line="360" w:lineRule="auto"/>
        <w:jc w:val="both"/>
        <w:rPr>
          <w:rFonts w:ascii="Arial" w:hAnsi="Arial" w:eastAsia="Arial" w:cs="Arial"/>
          <w:b w:val="1"/>
          <w:bCs w:val="1"/>
          <w:color w:val="000000"/>
          <w:sz w:val="22"/>
          <w:szCs w:val="22"/>
        </w:rPr>
      </w:pPr>
      <w:r w:rsidRPr="50F2224D" w:rsidR="3BDB0C7B">
        <w:rPr>
          <w:rFonts w:ascii="Arial" w:hAnsi="Arial" w:eastAsia="Arial" w:cs="Arial"/>
          <w:b w:val="1"/>
          <w:bCs w:val="1"/>
          <w:color w:val="000000" w:themeColor="text1" w:themeTint="FF" w:themeShade="FF"/>
          <w:sz w:val="22"/>
          <w:szCs w:val="22"/>
        </w:rPr>
        <w:t>System Interactivity and Universal Lessons Learnt</w:t>
      </w:r>
    </w:p>
    <w:p w:rsidR="009926D1" w:rsidP="50F2224D" w:rsidRDefault="668FE31A" w14:paraId="4ADB838C" w14:textId="6378ED3C">
      <w:pPr>
        <w:spacing w:line="360" w:lineRule="auto"/>
        <w:jc w:val="both"/>
        <w:rPr>
          <w:rFonts w:ascii="Arial" w:hAnsi="Arial" w:eastAsia="Arial" w:cs="Arial"/>
          <w:color w:val="000000"/>
          <w:sz w:val="22"/>
          <w:szCs w:val="22"/>
        </w:rPr>
      </w:pPr>
      <w:r w:rsidRPr="50F2224D" w:rsidR="6AED7B8F">
        <w:rPr>
          <w:rFonts w:ascii="Arial" w:hAnsi="Arial" w:eastAsia="Arial" w:cs="Arial"/>
          <w:color w:val="000000" w:themeColor="text1" w:themeTint="FF" w:themeShade="FF"/>
          <w:sz w:val="22"/>
          <w:szCs w:val="22"/>
        </w:rPr>
        <w:t xml:space="preserve">This case study illustrates the interaction of system structures, leadership </w:t>
      </w:r>
      <w:r w:rsidRPr="50F2224D" w:rsidR="6AED7B8F">
        <w:rPr>
          <w:rFonts w:ascii="Arial" w:hAnsi="Arial" w:eastAsia="Arial" w:cs="Arial"/>
          <w:color w:val="000000" w:themeColor="text1" w:themeTint="FF" w:themeShade="FF"/>
          <w:sz w:val="22"/>
          <w:szCs w:val="22"/>
        </w:rPr>
        <w:t>styles</w:t>
      </w:r>
      <w:r w:rsidRPr="50F2224D" w:rsidR="6AED7B8F">
        <w:rPr>
          <w:rFonts w:ascii="Arial" w:hAnsi="Arial" w:eastAsia="Arial" w:cs="Arial"/>
          <w:color w:val="000000" w:themeColor="text1" w:themeTint="FF" w:themeShade="FF"/>
          <w:sz w:val="22"/>
          <w:szCs w:val="22"/>
        </w:rPr>
        <w:t xml:space="preserve"> and system feedback, and provides a clear picture of systemic vulnerability (Holden et al., 2013). The decentralised architecture of the ICB meant that regional differences in electronic prescribing software were </w:t>
      </w:r>
      <w:r w:rsidRPr="50F2224D" w:rsidR="6AED7B8F">
        <w:rPr>
          <w:rFonts w:ascii="Arial" w:hAnsi="Arial" w:eastAsia="Arial" w:cs="Arial"/>
          <w:color w:val="000000" w:themeColor="text1" w:themeTint="FF" w:themeShade="FF"/>
          <w:sz w:val="22"/>
          <w:szCs w:val="22"/>
        </w:rPr>
        <w:t>permitted</w:t>
      </w:r>
      <w:r w:rsidRPr="50F2224D" w:rsidR="6AED7B8F">
        <w:rPr>
          <w:rFonts w:ascii="Arial" w:hAnsi="Arial" w:eastAsia="Arial" w:cs="Arial"/>
          <w:color w:val="000000" w:themeColor="text1" w:themeTint="FF" w:themeShade="FF"/>
          <w:sz w:val="22"/>
          <w:szCs w:val="22"/>
        </w:rPr>
        <w:t xml:space="preserve"> to pers</w:t>
      </w:r>
      <w:r w:rsidRPr="50F2224D" w:rsidR="6AED7B8F">
        <w:rPr>
          <w:rFonts w:ascii="Arial" w:hAnsi="Arial" w:eastAsia="Arial" w:cs="Arial"/>
          <w:color w:val="000000" w:themeColor="text1" w:themeTint="FF" w:themeShade="FF"/>
          <w:sz w:val="22"/>
          <w:szCs w:val="22"/>
        </w:rPr>
        <w:t>ist uncorrected (D</w:t>
      </w:r>
      <w:r w:rsidRPr="50F2224D" w:rsidR="6AED7B8F">
        <w:rPr>
          <w:rFonts w:ascii="Arial" w:hAnsi="Arial" w:eastAsia="Arial" w:cs="Arial"/>
          <w:color w:val="000000" w:themeColor="text1" w:themeTint="FF" w:themeShade="FF"/>
          <w:sz w:val="22"/>
          <w:szCs w:val="22"/>
        </w:rPr>
        <w:t xml:space="preserve">HSC, </w:t>
      </w:r>
      <w:r w:rsidRPr="50F2224D" w:rsidR="6AED7B8F">
        <w:rPr>
          <w:rFonts w:ascii="Arial" w:hAnsi="Arial" w:eastAsia="Arial" w:cs="Arial"/>
          <w:color w:val="000000" w:themeColor="text1" w:themeTint="FF" w:themeShade="FF"/>
          <w:sz w:val="22"/>
          <w:szCs w:val="22"/>
        </w:rPr>
        <w:t>2021).</w:t>
      </w:r>
      <w:r w:rsidRPr="50F2224D" w:rsidR="5FAD9FF4">
        <w:rPr>
          <w:rFonts w:ascii="Arial" w:hAnsi="Arial" w:eastAsia="Arial" w:cs="Arial"/>
          <w:color w:val="000000" w:themeColor="text1" w:themeTint="FF" w:themeShade="FF"/>
          <w:sz w:val="22"/>
          <w:szCs w:val="22"/>
        </w:rPr>
        <w:t xml:space="preserve"> T</w:t>
      </w:r>
      <w:r w:rsidRPr="50F2224D" w:rsidR="6AED7B8F">
        <w:rPr>
          <w:rFonts w:ascii="Arial" w:hAnsi="Arial" w:eastAsia="Arial" w:cs="Arial"/>
          <w:color w:val="000000" w:themeColor="text1" w:themeTint="FF" w:themeShade="FF"/>
          <w:sz w:val="22"/>
          <w:szCs w:val="22"/>
        </w:rPr>
        <w:t>h</w:t>
      </w:r>
      <w:r w:rsidRPr="50F2224D" w:rsidR="6AED7B8F">
        <w:rPr>
          <w:rFonts w:ascii="Arial" w:hAnsi="Arial" w:eastAsia="Arial" w:cs="Arial"/>
          <w:color w:val="000000" w:themeColor="text1" w:themeTint="FF" w:themeShade="FF"/>
          <w:sz w:val="22"/>
          <w:szCs w:val="22"/>
        </w:rPr>
        <w:t>is structural fragmentation was reinforced by a reactive, transactional style of leadership that focused on individual error rather than fixing the underlying system (Reason, 2000). Thus, the critical feedback loop whereby incident data from front-line practice was fed upwards to effect structural change was completely broken (</w:t>
      </w:r>
      <w:r w:rsidRPr="50F2224D" w:rsidR="6AED7B8F">
        <w:rPr>
          <w:rFonts w:ascii="Arial" w:hAnsi="Arial" w:eastAsia="Arial" w:cs="Arial"/>
          <w:color w:val="000000" w:themeColor="text1" w:themeTint="FF" w:themeShade="FF"/>
          <w:sz w:val="22"/>
          <w:szCs w:val="22"/>
        </w:rPr>
        <w:t>Checkland</w:t>
      </w:r>
      <w:r w:rsidRPr="50F2224D" w:rsidR="6AED7B8F">
        <w:rPr>
          <w:rFonts w:ascii="Arial" w:hAnsi="Arial" w:eastAsia="Arial" w:cs="Arial"/>
          <w:color w:val="000000" w:themeColor="text1" w:themeTint="FF" w:themeShade="FF"/>
          <w:sz w:val="22"/>
          <w:szCs w:val="22"/>
        </w:rPr>
        <w:t xml:space="preserve"> and Scholes, 1999). This breakdown shows how the same medication error happened five times in the national network without a s</w:t>
      </w:r>
      <w:r w:rsidRPr="50F2224D" w:rsidR="6AED7B8F">
        <w:rPr>
          <w:rFonts w:ascii="Arial" w:hAnsi="Arial" w:eastAsia="Arial" w:cs="Arial"/>
          <w:color w:val="000000" w:themeColor="text1" w:themeTint="FF" w:themeShade="FF"/>
          <w:sz w:val="22"/>
          <w:szCs w:val="22"/>
        </w:rPr>
        <w:t>ystem-</w:t>
      </w:r>
      <w:r w:rsidRPr="50F2224D" w:rsidR="6AED7B8F">
        <w:rPr>
          <w:rFonts w:ascii="Arial" w:hAnsi="Arial" w:eastAsia="Arial" w:cs="Arial"/>
          <w:color w:val="000000" w:themeColor="text1" w:themeTint="FF" w:themeShade="FF"/>
          <w:sz w:val="22"/>
          <w:szCs w:val="22"/>
        </w:rPr>
        <w:t>wide effective intervention (Donaldson et al., 2017).</w:t>
      </w:r>
    </w:p>
    <w:p w:rsidR="00C557F6" w:rsidP="50F2224D" w:rsidRDefault="50FD32F8" w14:paraId="15CEBDC7" w14:textId="2C564393">
      <w:pPr>
        <w:spacing w:line="360" w:lineRule="auto"/>
        <w:jc w:val="both"/>
        <w:rPr>
          <w:rFonts w:ascii="Arial" w:hAnsi="Arial" w:eastAsia="Arial" w:cs="Arial"/>
          <w:color w:val="000000"/>
          <w:sz w:val="22"/>
          <w:szCs w:val="22"/>
        </w:rPr>
      </w:pPr>
      <w:r w:rsidRPr="50F2224D" w:rsidR="5802D7FB">
        <w:rPr>
          <w:rFonts w:ascii="Arial" w:hAnsi="Arial" w:eastAsia="Arial" w:cs="Arial"/>
          <w:color w:val="000000" w:themeColor="text1" w:themeTint="FF" w:themeShade="FF"/>
          <w:sz w:val="22"/>
          <w:szCs w:val="22"/>
        </w:rPr>
        <w:t>This incident provides a number of important lessons for other health and social care organisations</w:t>
      </w:r>
    </w:p>
    <w:p w:rsidRPr="00DF3894" w:rsidR="00DF3894" w:rsidP="50F2224D" w:rsidRDefault="6CE8CB9F" w14:paraId="3D0215D9" w14:textId="28F8F68B">
      <w:pPr>
        <w:spacing w:line="360" w:lineRule="auto"/>
        <w:jc w:val="both"/>
        <w:rPr>
          <w:rFonts w:ascii="Arial" w:hAnsi="Arial" w:eastAsia="Arial" w:cs="Arial"/>
          <w:color w:val="000000"/>
          <w:sz w:val="22"/>
          <w:szCs w:val="22"/>
        </w:rPr>
      </w:pPr>
      <w:r w:rsidRPr="50F2224D" w:rsidR="1C4B0500">
        <w:rPr>
          <w:rFonts w:ascii="Arial" w:hAnsi="Arial" w:eastAsia="Arial" w:cs="Arial"/>
          <w:b w:val="1"/>
          <w:bCs w:val="1"/>
          <w:color w:val="000000" w:themeColor="text1" w:themeTint="FF" w:themeShade="FF"/>
          <w:sz w:val="22"/>
          <w:szCs w:val="22"/>
        </w:rPr>
        <w:t>Passive Policies Do Not Guarantee Safet</w:t>
      </w:r>
      <w:r w:rsidRPr="50F2224D" w:rsidR="0DDE4559">
        <w:rPr>
          <w:rFonts w:ascii="Arial" w:hAnsi="Arial" w:eastAsia="Arial" w:cs="Arial"/>
          <w:b w:val="1"/>
          <w:bCs w:val="1"/>
          <w:color w:val="000000" w:themeColor="text1" w:themeTint="FF" w:themeShade="FF"/>
          <w:sz w:val="22"/>
          <w:szCs w:val="22"/>
        </w:rPr>
        <w:t xml:space="preserve">y: </w:t>
      </w:r>
      <w:r w:rsidRPr="50F2224D" w:rsidR="0DDE4559">
        <w:rPr>
          <w:rFonts w:ascii="Arial" w:hAnsi="Arial" w:eastAsia="Arial" w:cs="Arial"/>
          <w:color w:val="000000" w:themeColor="text1" w:themeTint="FF" w:themeShade="FF"/>
          <w:sz w:val="22"/>
          <w:szCs w:val="22"/>
        </w:rPr>
        <w:t>Having</w:t>
      </w:r>
      <w:r w:rsidRPr="50F2224D" w:rsidR="1C4B0500">
        <w:rPr>
          <w:rFonts w:ascii="Arial" w:hAnsi="Arial" w:eastAsia="Arial" w:cs="Arial"/>
          <w:color w:val="000000" w:themeColor="text1" w:themeTint="FF" w:themeShade="FF"/>
          <w:sz w:val="22"/>
          <w:szCs w:val="22"/>
        </w:rPr>
        <w:t xml:space="preserve"> only passive guidelines (e.g. </w:t>
      </w:r>
      <w:r w:rsidRPr="50F2224D" w:rsidR="1C4B0500">
        <w:rPr>
          <w:rFonts w:ascii="Arial" w:hAnsi="Arial" w:eastAsia="Arial" w:cs="Arial"/>
          <w:color w:val="000000" w:themeColor="text1" w:themeTint="FF" w:themeShade="FF"/>
          <w:sz w:val="22"/>
          <w:szCs w:val="22"/>
        </w:rPr>
        <w:t>designating</w:t>
      </w:r>
      <w:r w:rsidRPr="50F2224D" w:rsidR="1C4B0500">
        <w:rPr>
          <w:rFonts w:ascii="Arial" w:hAnsi="Arial" w:eastAsia="Arial" w:cs="Arial"/>
          <w:color w:val="000000" w:themeColor="text1" w:themeTint="FF" w:themeShade="FF"/>
          <w:sz w:val="22"/>
          <w:szCs w:val="22"/>
        </w:rPr>
        <w:t xml:space="preserve"> a medication as a RED DRUG) without hard digital enforcement gives a false sense of security to leadership (Kohn, </w:t>
      </w:r>
      <w:r w:rsidRPr="50F2224D" w:rsidR="1C4B0500">
        <w:rPr>
          <w:rFonts w:ascii="Arial" w:hAnsi="Arial" w:eastAsia="Arial" w:cs="Arial"/>
          <w:color w:val="000000" w:themeColor="text1" w:themeTint="FF" w:themeShade="FF"/>
          <w:sz w:val="22"/>
          <w:szCs w:val="22"/>
        </w:rPr>
        <w:t>Corrigan</w:t>
      </w:r>
      <w:r w:rsidRPr="50F2224D" w:rsidR="1C4B0500">
        <w:rPr>
          <w:rFonts w:ascii="Arial" w:hAnsi="Arial" w:eastAsia="Arial" w:cs="Arial"/>
          <w:color w:val="000000" w:themeColor="text1" w:themeTint="FF" w:themeShade="FF"/>
          <w:sz w:val="22"/>
          <w:szCs w:val="22"/>
        </w:rPr>
        <w:t xml:space="preserve"> and Donaldson, 2000).</w:t>
      </w:r>
    </w:p>
    <w:p w:rsidRPr="00DF3894" w:rsidR="00DF3894" w:rsidP="50F2224D" w:rsidRDefault="6CE8CB9F" w14:paraId="140D0239" w14:textId="77777777">
      <w:pPr>
        <w:spacing w:line="360" w:lineRule="auto"/>
        <w:jc w:val="both"/>
        <w:rPr>
          <w:rFonts w:ascii="Arial" w:hAnsi="Arial" w:eastAsia="Arial" w:cs="Arial"/>
          <w:color w:val="000000"/>
          <w:sz w:val="22"/>
          <w:szCs w:val="22"/>
        </w:rPr>
      </w:pPr>
      <w:r w:rsidRPr="50F2224D" w:rsidR="1C4B0500">
        <w:rPr>
          <w:rFonts w:ascii="Arial" w:hAnsi="Arial" w:eastAsia="Arial" w:cs="Arial"/>
          <w:b w:val="1"/>
          <w:bCs w:val="1"/>
          <w:color w:val="000000" w:themeColor="text1" w:themeTint="FF" w:themeShade="FF"/>
          <w:sz w:val="22"/>
          <w:szCs w:val="22"/>
        </w:rPr>
        <w:t>Safety Demands Interoperability:</w:t>
      </w:r>
      <w:r w:rsidRPr="50F2224D" w:rsidR="1C4B0500">
        <w:rPr>
          <w:rFonts w:ascii="Arial" w:hAnsi="Arial" w:eastAsia="Arial" w:cs="Arial"/>
          <w:color w:val="000000" w:themeColor="text1" w:themeTint="FF" w:themeShade="FF"/>
          <w:sz w:val="22"/>
          <w:szCs w:val="22"/>
        </w:rPr>
        <w:t xml:space="preserve"> Patient safety is not possible in silos; clinical governance frameworks must encompass the whole care journey to ensure that critical data travels with the patient between secondary and primary care settings (Greenhalgh et al., 2017).</w:t>
      </w:r>
    </w:p>
    <w:p w:rsidR="00575F12" w:rsidP="50F2224D" w:rsidRDefault="6CE8CB9F" w14:paraId="1BECE727" w14:textId="521AF6C2">
      <w:pPr>
        <w:spacing w:line="360" w:lineRule="auto"/>
        <w:jc w:val="both"/>
        <w:rPr>
          <w:rFonts w:ascii="Arial" w:hAnsi="Arial" w:eastAsia="Arial" w:cs="Arial"/>
          <w:color w:val="000000"/>
          <w:sz w:val="22"/>
          <w:szCs w:val="22"/>
        </w:rPr>
      </w:pPr>
      <w:r w:rsidRPr="50F2224D" w:rsidR="1C4B0500">
        <w:rPr>
          <w:rFonts w:ascii="Arial" w:hAnsi="Arial" w:eastAsia="Arial" w:cs="Arial"/>
          <w:b w:val="1"/>
          <w:bCs w:val="1"/>
          <w:color w:val="000000" w:themeColor="text1" w:themeTint="FF" w:themeShade="FF"/>
          <w:sz w:val="22"/>
          <w:szCs w:val="22"/>
        </w:rPr>
        <w:t>Proactive System Re-design</w:t>
      </w:r>
      <w:r w:rsidRPr="50F2224D" w:rsidR="1C4B0500">
        <w:rPr>
          <w:rFonts w:ascii="Arial" w:hAnsi="Arial" w:eastAsia="Arial" w:cs="Arial"/>
          <w:color w:val="000000" w:themeColor="text1" w:themeTint="FF" w:themeShade="FF"/>
          <w:sz w:val="22"/>
          <w:szCs w:val="22"/>
        </w:rPr>
        <w:t>: Moving away from blame-heavy, retrospective investigations. Instead, they must employ proactive human factors engineering and systems thinking to identify and correct structural defects before they reach the patient (Carayon et al., 2006).</w:t>
      </w:r>
    </w:p>
    <w:p w:rsidR="008540E4" w:rsidP="50F2224D" w:rsidRDefault="2F8341E1" w14:paraId="1CCE2131" w14:textId="651B2FEB">
      <w:pPr>
        <w:spacing w:line="360" w:lineRule="auto"/>
        <w:jc w:val="both"/>
        <w:rPr>
          <w:rFonts w:ascii="Arial" w:hAnsi="Arial" w:eastAsia="Arial" w:cs="Arial"/>
          <w:color w:val="000000"/>
          <w:sz w:val="22"/>
          <w:szCs w:val="22"/>
        </w:rPr>
      </w:pPr>
      <w:r w:rsidRPr="50F2224D" w:rsidR="65283E79">
        <w:rPr>
          <w:rFonts w:ascii="Arial" w:hAnsi="Arial" w:eastAsia="Arial" w:cs="Arial"/>
          <w:color w:val="000000" w:themeColor="text1" w:themeTint="FF" w:themeShade="FF"/>
          <w:sz w:val="22"/>
          <w:szCs w:val="22"/>
        </w:rPr>
        <w:t>Data and continuous improvement measurements are critical to ongoing accountability (OECD, 2020). Instead of lagging indicators (counting deaths or formal incident reports after the fact) healthcare leaders need to move to leading indicators (Wachter and Gupta, 2018). These include real time tracking of electronic prescription overrides, rates of medication reconciliation completion within 24 hours of discharge, and regular, anonymous safety culture surveys (IHI, 2022). The inclusion of these metrics in regional clinical governance dashboards provides leadership with continuous visibility, ensuring accountability and protecting vulnerable patients from systemic organizational failures (WHO, 2021).</w:t>
      </w:r>
    </w:p>
    <w:p w:rsidR="00B77CBF" w:rsidP="50F2224D" w:rsidRDefault="5DE190C3" w14:paraId="6D617437" w14:textId="5D2D8EB4">
      <w:pPr>
        <w:spacing w:line="360" w:lineRule="auto"/>
        <w:jc w:val="both"/>
        <w:rPr>
          <w:rFonts w:ascii="Arial" w:hAnsi="Arial" w:eastAsia="Arial" w:cs="Arial"/>
          <w:b w:val="1"/>
          <w:bCs w:val="1"/>
          <w:color w:val="000000"/>
          <w:sz w:val="22"/>
          <w:szCs w:val="22"/>
        </w:rPr>
      </w:pPr>
      <w:r w:rsidRPr="50F2224D" w:rsidR="421C6736">
        <w:rPr>
          <w:rFonts w:ascii="Arial" w:hAnsi="Arial" w:eastAsia="Arial" w:cs="Arial"/>
          <w:b w:val="1"/>
          <w:bCs w:val="1"/>
          <w:color w:val="000000" w:themeColor="text1" w:themeTint="FF" w:themeShade="FF"/>
          <w:sz w:val="22"/>
          <w:szCs w:val="22"/>
        </w:rPr>
        <w:t>Recommendation</w:t>
      </w:r>
    </w:p>
    <w:p w:rsidR="00E46069" w:rsidP="50F2224D" w:rsidRDefault="6D5955CE" w14:paraId="1EF288AD" w14:textId="456810F1">
      <w:pPr>
        <w:spacing w:line="360" w:lineRule="auto"/>
        <w:jc w:val="both"/>
        <w:rPr>
          <w:rFonts w:ascii="Arial" w:hAnsi="Arial" w:eastAsia="Arial" w:cs="Arial"/>
          <w:color w:val="000000"/>
          <w:sz w:val="22"/>
          <w:szCs w:val="22"/>
        </w:rPr>
      </w:pPr>
      <w:r w:rsidRPr="50F2224D" w:rsidR="4FF7C4C4">
        <w:rPr>
          <w:rFonts w:ascii="Arial" w:hAnsi="Arial" w:eastAsia="Arial" w:cs="Arial"/>
          <w:color w:val="000000" w:themeColor="text1" w:themeTint="FF" w:themeShade="FF"/>
          <w:sz w:val="22"/>
          <w:szCs w:val="22"/>
        </w:rPr>
        <w:t>Immediate evidence-based actions are required to support ongoing improvement, remove regional differences and protect vulnerable patients across the North East and Yorkshire region:</w:t>
      </w:r>
    </w:p>
    <w:p w:rsidR="00D66A4B" w:rsidP="50F2224D" w:rsidRDefault="375C52E2" w14:paraId="475945E6" w14:textId="0CAF13C0">
      <w:pPr>
        <w:spacing w:line="360" w:lineRule="auto"/>
        <w:jc w:val="both"/>
        <w:rPr>
          <w:rFonts w:ascii="Arial" w:hAnsi="Arial" w:eastAsia="Arial" w:cs="Arial"/>
          <w:b w:val="1"/>
          <w:bCs w:val="1"/>
          <w:color w:val="000000"/>
          <w:sz w:val="22"/>
          <w:szCs w:val="22"/>
        </w:rPr>
      </w:pPr>
      <w:r w:rsidRPr="50F2224D" w:rsidR="715E12F6">
        <w:rPr>
          <w:rFonts w:ascii="Arial" w:hAnsi="Arial" w:eastAsia="Arial" w:cs="Arial"/>
          <w:b w:val="1"/>
          <w:bCs w:val="1"/>
          <w:color w:val="000000" w:themeColor="text1" w:themeTint="FF" w:themeShade="FF"/>
          <w:sz w:val="22"/>
          <w:szCs w:val="22"/>
        </w:rPr>
        <w:t>Shift to an Action-Oriented, Transformational and Distributed Leadership Framework</w:t>
      </w:r>
    </w:p>
    <w:p w:rsidR="002373E2" w:rsidP="50F2224D" w:rsidRDefault="65B70FEC" w14:paraId="74AB329B" w14:textId="334E4CE7">
      <w:pPr>
        <w:spacing w:line="360" w:lineRule="auto"/>
        <w:jc w:val="both"/>
        <w:rPr>
          <w:rFonts w:ascii="Arial" w:hAnsi="Arial" w:eastAsia="Arial" w:cs="Arial"/>
          <w:color w:val="000000"/>
          <w:sz w:val="22"/>
          <w:szCs w:val="22"/>
        </w:rPr>
      </w:pPr>
      <w:r w:rsidRPr="50F2224D" w:rsidR="37E5C4D6">
        <w:rPr>
          <w:rFonts w:ascii="Arial" w:hAnsi="Arial" w:eastAsia="Arial" w:cs="Arial"/>
          <w:color w:val="000000" w:themeColor="text1" w:themeTint="FF" w:themeShade="FF"/>
          <w:sz w:val="22"/>
          <w:szCs w:val="22"/>
        </w:rPr>
        <w:t>Regional health executives need to move away from a rigid, transactional governance model to a transformational, distributed leadership model (Giltinane, 2013). Executive leaders need to articulate a clear vision for zero-harm care transitions, making patient safety a collective responsibility rather than an individual compliance task (West et al., 2015). At the same time, leadership needs to be distributed through the appointment of dedicated Clinical Safety Champions within secondary care neonatology units and community pharmacy forums (Barr &amp; Dowding, 2022). These champions will be collaborative leaders who transcend organizational silos, coordinate joint safety huddles and ensure that frontline insights directly inform system improvements (Spehar, Frich and Kjekshus, 2015)</w:t>
      </w:r>
      <w:r w:rsidRPr="50F2224D" w:rsidR="38581919">
        <w:rPr>
          <w:rFonts w:ascii="Arial" w:hAnsi="Arial" w:eastAsia="Arial" w:cs="Arial"/>
          <w:color w:val="000000" w:themeColor="text1" w:themeTint="FF" w:themeShade="FF"/>
          <w:sz w:val="22"/>
          <w:szCs w:val="22"/>
        </w:rPr>
        <w:t>.</w:t>
      </w:r>
    </w:p>
    <w:p w:rsidR="001C37D9" w:rsidP="50F2224D" w:rsidRDefault="6FAD66D8" w14:paraId="507CD899" w14:textId="44C30E29">
      <w:pPr>
        <w:spacing w:line="360" w:lineRule="auto"/>
        <w:jc w:val="both"/>
        <w:rPr>
          <w:rFonts w:ascii="Arial" w:hAnsi="Arial" w:eastAsia="Arial" w:cs="Arial"/>
          <w:b w:val="1"/>
          <w:bCs w:val="1"/>
          <w:color w:val="000000"/>
          <w:sz w:val="22"/>
          <w:szCs w:val="22"/>
        </w:rPr>
      </w:pPr>
      <w:r w:rsidRPr="50F2224D" w:rsidR="5ED69B71">
        <w:rPr>
          <w:rFonts w:ascii="Arial" w:hAnsi="Arial" w:eastAsia="Arial" w:cs="Arial"/>
          <w:b w:val="1"/>
          <w:bCs w:val="1"/>
          <w:color w:val="000000" w:themeColor="text1" w:themeTint="FF" w:themeShade="FF"/>
          <w:sz w:val="22"/>
          <w:szCs w:val="22"/>
        </w:rPr>
        <w:t>Standardise Governance and Enforce Digital Interoperability</w:t>
      </w:r>
    </w:p>
    <w:p w:rsidR="00540A8D" w:rsidP="50F2224D" w:rsidRDefault="703DBE2F" w14:paraId="34B7D107" w14:textId="5BC3EAAA">
      <w:pPr>
        <w:spacing w:line="360" w:lineRule="auto"/>
        <w:jc w:val="both"/>
        <w:rPr>
          <w:rFonts w:ascii="Arial" w:hAnsi="Arial" w:eastAsia="Arial" w:cs="Arial"/>
          <w:color w:val="000000"/>
          <w:sz w:val="22"/>
          <w:szCs w:val="22"/>
        </w:rPr>
      </w:pPr>
      <w:r w:rsidRPr="50F2224D" w:rsidR="2BA760D4">
        <w:rPr>
          <w:rFonts w:ascii="Arial" w:hAnsi="Arial" w:eastAsia="Arial" w:cs="Arial"/>
          <w:color w:val="000000" w:themeColor="text1" w:themeTint="FF" w:themeShade="FF"/>
          <w:sz w:val="22"/>
          <w:szCs w:val="22"/>
        </w:rPr>
        <w:t xml:space="preserve">The regional ICB </w:t>
      </w:r>
      <w:r w:rsidRPr="50F2224D" w:rsidR="2BA760D4">
        <w:rPr>
          <w:rFonts w:ascii="Arial" w:hAnsi="Arial" w:eastAsia="Arial" w:cs="Arial"/>
          <w:color w:val="000000" w:themeColor="text1" w:themeTint="FF" w:themeShade="FF"/>
          <w:sz w:val="22"/>
          <w:szCs w:val="22"/>
        </w:rPr>
        <w:t>has to</w:t>
      </w:r>
      <w:r w:rsidRPr="50F2224D" w:rsidR="2BA760D4">
        <w:rPr>
          <w:rFonts w:ascii="Arial" w:hAnsi="Arial" w:eastAsia="Arial" w:cs="Arial"/>
          <w:color w:val="000000" w:themeColor="text1" w:themeTint="FF" w:themeShade="FF"/>
          <w:sz w:val="22"/>
          <w:szCs w:val="22"/>
        </w:rPr>
        <w:t xml:space="preserve"> standardise its clinical gov</w:t>
      </w:r>
      <w:r w:rsidRPr="50F2224D" w:rsidR="2BA760D4">
        <w:rPr>
          <w:rFonts w:ascii="Arial" w:hAnsi="Arial" w:eastAsia="Arial" w:cs="Arial"/>
          <w:color w:val="000000" w:themeColor="text1" w:themeTint="FF" w:themeShade="FF"/>
          <w:sz w:val="22"/>
          <w:szCs w:val="22"/>
        </w:rPr>
        <w:t>ernance framewo</w:t>
      </w:r>
      <w:r w:rsidRPr="50F2224D" w:rsidR="2BA760D4">
        <w:rPr>
          <w:rFonts w:ascii="Arial" w:hAnsi="Arial" w:eastAsia="Arial" w:cs="Arial"/>
          <w:color w:val="000000" w:themeColor="text1" w:themeTint="FF" w:themeShade="FF"/>
          <w:sz w:val="22"/>
          <w:szCs w:val="22"/>
        </w:rPr>
        <w:t>r</w:t>
      </w:r>
      <w:r w:rsidRPr="50F2224D" w:rsidR="2BA760D4">
        <w:rPr>
          <w:rFonts w:ascii="Arial" w:hAnsi="Arial" w:eastAsia="Arial" w:cs="Arial"/>
          <w:color w:val="000000" w:themeColor="text1" w:themeTint="FF" w:themeShade="FF"/>
          <w:sz w:val="22"/>
          <w:szCs w:val="22"/>
        </w:rPr>
        <w:t>k, by sett</w:t>
      </w:r>
      <w:r w:rsidRPr="50F2224D" w:rsidR="2BA760D4">
        <w:rPr>
          <w:rFonts w:ascii="Arial" w:hAnsi="Arial" w:eastAsia="Arial" w:cs="Arial"/>
          <w:color w:val="000000" w:themeColor="text1" w:themeTint="FF" w:themeShade="FF"/>
          <w:sz w:val="22"/>
          <w:szCs w:val="22"/>
        </w:rPr>
        <w:t>ing u</w:t>
      </w:r>
      <w:r w:rsidRPr="50F2224D" w:rsidR="2BA760D4">
        <w:rPr>
          <w:rFonts w:ascii="Arial" w:hAnsi="Arial" w:eastAsia="Arial" w:cs="Arial"/>
          <w:color w:val="000000" w:themeColor="text1" w:themeTint="FF" w:themeShade="FF"/>
          <w:sz w:val="22"/>
          <w:szCs w:val="22"/>
        </w:rPr>
        <w:t>p an un-</w:t>
      </w:r>
      <w:r w:rsidRPr="50F2224D" w:rsidR="2E684756">
        <w:rPr>
          <w:rFonts w:ascii="Arial" w:hAnsi="Arial" w:eastAsia="Arial" w:cs="Arial"/>
          <w:color w:val="000000" w:themeColor="text1" w:themeTint="FF" w:themeShade="FF"/>
          <w:sz w:val="22"/>
          <w:szCs w:val="22"/>
        </w:rPr>
        <w:t>by passable</w:t>
      </w:r>
      <w:r w:rsidRPr="50F2224D" w:rsidR="2BA760D4">
        <w:rPr>
          <w:rFonts w:ascii="Arial" w:hAnsi="Arial" w:eastAsia="Arial" w:cs="Arial"/>
          <w:color w:val="000000" w:themeColor="text1" w:themeTint="FF" w:themeShade="FF"/>
          <w:sz w:val="22"/>
          <w:szCs w:val="22"/>
        </w:rPr>
        <w:t xml:space="preserve"> electronic prescribing and medicines administration (EPMA) network which links the secondary and primary care providers (Sheikh, </w:t>
      </w:r>
      <w:r w:rsidRPr="50F2224D" w:rsidR="2BA760D4">
        <w:rPr>
          <w:rFonts w:ascii="Arial" w:hAnsi="Arial" w:eastAsia="Arial" w:cs="Arial"/>
          <w:color w:val="000000" w:themeColor="text1" w:themeTint="FF" w:themeShade="FF"/>
          <w:sz w:val="22"/>
          <w:szCs w:val="22"/>
        </w:rPr>
        <w:t>Storey</w:t>
      </w:r>
      <w:r w:rsidRPr="50F2224D" w:rsidR="2BA760D4">
        <w:rPr>
          <w:rFonts w:ascii="Arial" w:hAnsi="Arial" w:eastAsia="Arial" w:cs="Arial"/>
          <w:color w:val="000000" w:themeColor="text1" w:themeTint="FF" w:themeShade="FF"/>
          <w:sz w:val="22"/>
          <w:szCs w:val="22"/>
        </w:rPr>
        <w:t xml:space="preserve"> and Cresswell, 2023).</w:t>
      </w:r>
    </w:p>
    <w:p w:rsidR="00C15238" w:rsidP="50F2224D" w:rsidRDefault="05C774A2" w14:paraId="647FC8D1" w14:textId="28814BC5">
      <w:pPr>
        <w:spacing w:line="360" w:lineRule="auto"/>
        <w:jc w:val="both"/>
        <w:rPr>
          <w:rFonts w:ascii="Arial" w:hAnsi="Arial" w:eastAsia="Arial" w:cs="Arial"/>
          <w:color w:val="000000"/>
          <w:sz w:val="22"/>
          <w:szCs w:val="22"/>
        </w:rPr>
      </w:pPr>
      <w:r w:rsidRPr="50F2224D" w:rsidR="768DC022">
        <w:rPr>
          <w:rFonts w:ascii="Arial" w:hAnsi="Arial" w:eastAsia="Arial" w:cs="Arial"/>
          <w:b w:val="1"/>
          <w:bCs w:val="1"/>
          <w:color w:val="000000" w:themeColor="text1" w:themeTint="FF" w:themeShade="FF"/>
          <w:sz w:val="22"/>
          <w:szCs w:val="22"/>
        </w:rPr>
        <w:t xml:space="preserve">Hard-coded System Blocks: </w:t>
      </w:r>
      <w:r w:rsidRPr="50F2224D" w:rsidR="768DC022">
        <w:rPr>
          <w:rFonts w:ascii="Arial" w:hAnsi="Arial" w:eastAsia="Arial" w:cs="Arial"/>
          <w:color w:val="000000" w:themeColor="text1" w:themeTint="FF" w:themeShade="FF"/>
          <w:sz w:val="22"/>
          <w:szCs w:val="22"/>
        </w:rPr>
        <w:t>System administrators must install a hard-coded electronic block in all community pharmacy dispensing systems (Greenhalgh et al., 2017). If a restricted RED DRUG (for example the 10mg/5ml morphine sulphate solution) is attempted to be dispensed outside a hospital pharmacy for a neonate, the system should block the transaction and send an automated alert to the regional clinical governance team (Wachter and Gupta, 2018).</w:t>
      </w:r>
    </w:p>
    <w:p w:rsidR="00AB4A56" w:rsidP="50F2224D" w:rsidRDefault="6829E31E" w14:paraId="7C1FE6A4" w14:textId="3D5C12BD">
      <w:pPr>
        <w:spacing w:line="360" w:lineRule="auto"/>
        <w:jc w:val="both"/>
        <w:rPr>
          <w:rFonts w:ascii="Arial" w:hAnsi="Arial" w:eastAsia="Arial" w:cs="Arial"/>
          <w:color w:val="000000"/>
          <w:sz w:val="22"/>
          <w:szCs w:val="22"/>
        </w:rPr>
      </w:pPr>
      <w:r w:rsidRPr="50F2224D" w:rsidR="33B45D10">
        <w:rPr>
          <w:rFonts w:ascii="Arial" w:hAnsi="Arial" w:eastAsia="Arial" w:cs="Arial"/>
          <w:b w:val="1"/>
          <w:bCs w:val="1"/>
          <w:color w:val="000000" w:themeColor="text1" w:themeTint="FF" w:themeShade="FF"/>
          <w:sz w:val="22"/>
          <w:szCs w:val="22"/>
        </w:rPr>
        <w:t>Compulsory electronic reconciliation:</w:t>
      </w:r>
      <w:r w:rsidRPr="50F2224D" w:rsidR="33B45D10">
        <w:rPr>
          <w:rFonts w:ascii="Arial" w:hAnsi="Arial" w:eastAsia="Arial" w:cs="Arial"/>
          <w:color w:val="000000" w:themeColor="text1" w:themeTint="FF" w:themeShade="FF"/>
          <w:sz w:val="22"/>
          <w:szCs w:val="22"/>
        </w:rPr>
        <w:t xml:space="preserve"> Introduce a strict regional policy that a pharmacist-led medication reconciliation must be completed within 24 hours of discharge for any </w:t>
      </w:r>
      <w:r w:rsidRPr="50F2224D" w:rsidR="0E093C75">
        <w:rPr>
          <w:rFonts w:ascii="Arial" w:hAnsi="Arial" w:eastAsia="Arial" w:cs="Arial"/>
          <w:color w:val="000000" w:themeColor="text1" w:themeTint="FF" w:themeShade="FF"/>
          <w:sz w:val="22"/>
          <w:szCs w:val="22"/>
        </w:rPr>
        <w:t>high-risk</w:t>
      </w:r>
      <w:r w:rsidRPr="50F2224D" w:rsidR="33B45D10">
        <w:rPr>
          <w:rFonts w:ascii="Arial" w:hAnsi="Arial" w:eastAsia="Arial" w:cs="Arial"/>
          <w:color w:val="000000" w:themeColor="text1" w:themeTint="FF" w:themeShade="FF"/>
          <w:sz w:val="22"/>
          <w:szCs w:val="22"/>
        </w:rPr>
        <w:t xml:space="preserve"> paediatric patient (NICE, 2015).</w:t>
      </w:r>
    </w:p>
    <w:p w:rsidR="000C4A4F" w:rsidP="50F2224D" w:rsidRDefault="50568E84" w14:paraId="1196FFEF" w14:textId="53EA1BDC">
      <w:pPr>
        <w:spacing w:line="360" w:lineRule="auto"/>
        <w:jc w:val="both"/>
        <w:rPr>
          <w:rFonts w:ascii="Arial" w:hAnsi="Arial" w:eastAsia="Arial" w:cs="Arial"/>
          <w:color w:val="000000"/>
          <w:sz w:val="22"/>
          <w:szCs w:val="22"/>
        </w:rPr>
      </w:pPr>
      <w:r w:rsidRPr="50F2224D" w:rsidR="20A23D9B">
        <w:rPr>
          <w:rFonts w:ascii="Arial" w:hAnsi="Arial" w:eastAsia="Arial" w:cs="Arial"/>
          <w:b w:val="1"/>
          <w:bCs w:val="1"/>
          <w:color w:val="000000" w:themeColor="text1" w:themeTint="FF" w:themeShade="FF"/>
          <w:sz w:val="22"/>
          <w:szCs w:val="22"/>
        </w:rPr>
        <w:t>Achieve Maximum Technical and Allocative Efficiency</w:t>
      </w:r>
      <w:r w:rsidRPr="50F2224D" w:rsidR="006649F9">
        <w:rPr>
          <w:rFonts w:ascii="Arial" w:hAnsi="Arial" w:eastAsia="Arial" w:cs="Arial"/>
          <w:color w:val="000000" w:themeColor="text1" w:themeTint="FF" w:themeShade="FF"/>
          <w:sz w:val="22"/>
          <w:szCs w:val="22"/>
        </w:rPr>
        <w:t xml:space="preserve">: </w:t>
      </w:r>
      <w:r w:rsidRPr="50F2224D" w:rsidR="20A23D9B">
        <w:rPr>
          <w:rFonts w:ascii="Arial" w:hAnsi="Arial" w:eastAsia="Arial" w:cs="Arial"/>
          <w:color w:val="000000" w:themeColor="text1" w:themeTint="FF" w:themeShade="FF"/>
          <w:sz w:val="22"/>
          <w:szCs w:val="22"/>
        </w:rPr>
        <w:t>To enhance technical efficiency, the ICB should link the procurement and preparation of high-risk neonatal “specials” formulations to a centralised, aseptic secondary-care compounding pharmacy hub (RPS, 2021). This removes the need for community pharmacies to source dangerous, highly concentrated commercial alternatives, maximising safety while reducing waste (OECD, 2020).</w:t>
      </w:r>
    </w:p>
    <w:p w:rsidR="005772FA" w:rsidP="50F2224D" w:rsidRDefault="4165A57E" w14:paraId="27DD9022" w14:textId="631ED898">
      <w:pPr>
        <w:spacing w:line="360" w:lineRule="auto"/>
        <w:jc w:val="both"/>
        <w:rPr>
          <w:rFonts w:ascii="Arial" w:hAnsi="Arial" w:eastAsia="Arial" w:cs="Arial"/>
          <w:color w:val="000000"/>
          <w:sz w:val="22"/>
          <w:szCs w:val="22"/>
        </w:rPr>
      </w:pPr>
      <w:r w:rsidRPr="50F2224D" w:rsidR="3F59CD1C">
        <w:rPr>
          <w:rFonts w:ascii="Arial" w:hAnsi="Arial" w:eastAsia="Arial" w:cs="Arial"/>
          <w:color w:val="000000" w:themeColor="text1" w:themeTint="FF" w:themeShade="FF"/>
          <w:sz w:val="22"/>
          <w:szCs w:val="22"/>
        </w:rPr>
        <w:t>To achieve allocative efficiency, financial resources need to be reallocated to fund integrated clinical pharmacy services within acute paediatric discharge teams, ensuring that expert oversight is embedded at the point of care transitions (IHI, 2022).</w:t>
      </w:r>
    </w:p>
    <w:p w:rsidR="00A818B4" w:rsidP="50F2224D" w:rsidRDefault="4475B3CB" w14:paraId="029E9A3A" w14:textId="32D8B52C">
      <w:pPr>
        <w:spacing w:line="360" w:lineRule="auto"/>
        <w:jc w:val="both"/>
        <w:rPr>
          <w:rFonts w:ascii="Arial" w:hAnsi="Arial" w:eastAsia="Arial" w:cs="Arial"/>
          <w:b w:val="1"/>
          <w:bCs w:val="1"/>
          <w:color w:val="000000"/>
          <w:sz w:val="22"/>
          <w:szCs w:val="22"/>
        </w:rPr>
      </w:pPr>
      <w:r w:rsidRPr="50F2224D" w:rsidR="5337FEB3">
        <w:rPr>
          <w:rFonts w:ascii="Arial" w:hAnsi="Arial" w:eastAsia="Arial" w:cs="Arial"/>
          <w:b w:val="1"/>
          <w:bCs w:val="1"/>
          <w:color w:val="000000" w:themeColor="text1" w:themeTint="FF" w:themeShade="FF"/>
          <w:sz w:val="22"/>
          <w:szCs w:val="22"/>
        </w:rPr>
        <w:t>Commit to Continuous Learning, Stakeholder Engagement, and Co-Production</w:t>
      </w:r>
    </w:p>
    <w:p w:rsidR="00290A7E" w:rsidP="50F2224D" w:rsidRDefault="4716F8B2" w14:paraId="4784C8F0" w14:textId="51007204">
      <w:pPr>
        <w:spacing w:line="360" w:lineRule="auto"/>
        <w:jc w:val="both"/>
        <w:rPr>
          <w:rFonts w:ascii="Arial" w:hAnsi="Arial" w:eastAsia="Arial" w:cs="Arial"/>
          <w:color w:val="000000"/>
          <w:sz w:val="22"/>
          <w:szCs w:val="22"/>
        </w:rPr>
      </w:pPr>
      <w:r w:rsidRPr="50F2224D" w:rsidR="7CCF1281">
        <w:rPr>
          <w:rFonts w:ascii="Arial" w:hAnsi="Arial" w:eastAsia="Arial" w:cs="Arial"/>
          <w:color w:val="000000" w:themeColor="text1" w:themeTint="FF" w:themeShade="FF"/>
          <w:sz w:val="22"/>
          <w:szCs w:val="22"/>
        </w:rPr>
        <w:t xml:space="preserve">The </w:t>
      </w:r>
      <w:r w:rsidRPr="50F2224D" w:rsidR="29BF225C">
        <w:rPr>
          <w:rFonts w:ascii="Arial" w:hAnsi="Arial" w:eastAsia="Arial" w:cs="Arial"/>
          <w:color w:val="000000" w:themeColor="text1" w:themeTint="FF" w:themeShade="FF"/>
          <w:sz w:val="22"/>
          <w:szCs w:val="22"/>
        </w:rPr>
        <w:t>organisation</w:t>
      </w:r>
      <w:r w:rsidRPr="50F2224D" w:rsidR="7CCF1281">
        <w:rPr>
          <w:rFonts w:ascii="Arial" w:hAnsi="Arial" w:eastAsia="Arial" w:cs="Arial"/>
          <w:color w:val="000000" w:themeColor="text1" w:themeTint="FF" w:themeShade="FF"/>
          <w:sz w:val="22"/>
          <w:szCs w:val="22"/>
        </w:rPr>
        <w:t xml:space="preserve"> needs to replace its traditional fault-finding incident reviews with a formal ‘Just Culture’ assessment model, where investigations should be geared to fixing latent system flaws rather than punishing front-line staff (Woodward, 2020). Furthermore, future safety procedures must be developed through genuine co-production, in active partnership with patient advocacy groups, parents, neonatal clinicians and community pharmacy networks (WHO, 2021).</w:t>
      </w:r>
    </w:p>
    <w:p w:rsidR="00175FA3" w:rsidP="50F2224D" w:rsidRDefault="3401681E" w14:paraId="69A47703" w14:textId="3EA1BB94">
      <w:pPr>
        <w:spacing w:line="360" w:lineRule="auto"/>
        <w:jc w:val="both"/>
        <w:rPr>
          <w:rFonts w:ascii="Arial" w:hAnsi="Arial" w:eastAsia="Arial" w:cs="Arial"/>
          <w:color w:val="000000"/>
          <w:sz w:val="22"/>
          <w:szCs w:val="22"/>
        </w:rPr>
      </w:pPr>
      <w:r w:rsidRPr="50F2224D" w:rsidR="35A89ED9">
        <w:rPr>
          <w:rFonts w:ascii="Arial" w:hAnsi="Arial" w:eastAsia="Arial" w:cs="Arial"/>
          <w:color w:val="000000" w:themeColor="text1" w:themeTint="FF" w:themeShade="FF"/>
          <w:sz w:val="22"/>
          <w:szCs w:val="22"/>
        </w:rPr>
        <w:t>When discharged, parents must be involved in the safety process through the use of co-designed, clear visual tracking tools and pre-printed dosing diaries (Kohn, Corrigan and Donaldson, 2000). This enables them to be a key partner in their child’s care journey.</w:t>
      </w:r>
    </w:p>
    <w:p w:rsidR="002F58B8" w:rsidP="50F2224D" w:rsidRDefault="02704404" w14:paraId="6FE8FE74" w14:textId="41EEABAE">
      <w:pPr>
        <w:spacing w:line="360" w:lineRule="auto"/>
        <w:jc w:val="both"/>
        <w:rPr>
          <w:rFonts w:ascii="Arial" w:hAnsi="Arial" w:eastAsia="Arial" w:cs="Arial"/>
          <w:b w:val="1"/>
          <w:bCs w:val="1"/>
          <w:color w:val="000000"/>
          <w:sz w:val="22"/>
          <w:szCs w:val="22"/>
        </w:rPr>
      </w:pPr>
      <w:r w:rsidRPr="50F2224D" w:rsidR="1374522C">
        <w:rPr>
          <w:rFonts w:ascii="Arial" w:hAnsi="Arial" w:eastAsia="Arial" w:cs="Arial"/>
          <w:b w:val="1"/>
          <w:bCs w:val="1"/>
          <w:color w:val="000000" w:themeColor="text1" w:themeTint="FF" w:themeShade="FF"/>
          <w:sz w:val="22"/>
          <w:szCs w:val="22"/>
        </w:rPr>
        <w:t>Conclusion</w:t>
      </w:r>
    </w:p>
    <w:p w:rsidR="00B743E7" w:rsidP="50F2224D" w:rsidRDefault="05CAC610" w14:paraId="4F0F48DB" w14:textId="14A8A5B9">
      <w:pPr>
        <w:spacing w:line="360" w:lineRule="auto"/>
        <w:jc w:val="both"/>
        <w:rPr>
          <w:rFonts w:ascii="Arial" w:hAnsi="Arial" w:eastAsia="Arial" w:cs="Arial"/>
          <w:color w:val="000000"/>
          <w:sz w:val="22"/>
          <w:szCs w:val="22"/>
        </w:rPr>
      </w:pPr>
      <w:r w:rsidRPr="50F2224D" w:rsidR="5EFBB208">
        <w:rPr>
          <w:rFonts w:ascii="Arial" w:hAnsi="Arial" w:eastAsia="Arial" w:cs="Arial"/>
          <w:color w:val="000000" w:themeColor="text1" w:themeTint="FF" w:themeShade="FF"/>
          <w:sz w:val="22"/>
          <w:szCs w:val="22"/>
        </w:rPr>
        <w:t xml:space="preserve">The case report offers a detailed systems-based review of the medication safety critical incident in the </w:t>
      </w:r>
      <w:r w:rsidRPr="50F2224D" w:rsidR="5EFBB208">
        <w:rPr>
          <w:rFonts w:ascii="Arial" w:hAnsi="Arial" w:eastAsia="Arial" w:cs="Arial"/>
          <w:color w:val="000000" w:themeColor="text1" w:themeTint="FF" w:themeShade="FF"/>
          <w:sz w:val="22"/>
          <w:szCs w:val="22"/>
        </w:rPr>
        <w:t>North East</w:t>
      </w:r>
      <w:r w:rsidRPr="50F2224D" w:rsidR="5EFBB208">
        <w:rPr>
          <w:rFonts w:ascii="Arial" w:hAnsi="Arial" w:eastAsia="Arial" w:cs="Arial"/>
          <w:color w:val="000000" w:themeColor="text1" w:themeTint="FF" w:themeShade="FF"/>
          <w:sz w:val="22"/>
          <w:szCs w:val="22"/>
        </w:rPr>
        <w:t xml:space="preserve"> and Yorkshire region, whereby a 4-week-old infant was subject to a significant overdose of morphine sulphate (20 times the prescribed dose). A detailed root cause analysis using systems thinking and a Rich Picture illustrate that this failure was not just an individual slip by a frontline clinician (Reason, 2000). Rather, it was the product of hidden vulnerabilities along the care interface due to non-interoperable electronic platforms, fragmented regional governance, and the lack of standardised formulary enforcement (Holden et al., 2013). There have been five identical life-threatening errors across the national NHS network since 2018 highlighting the need for a move away from local workarounds towards structural, system-wide change (Donaldson et al., 2017). The case report offers a detailed systems-based review of the medication safety critical incident in the </w:t>
      </w:r>
      <w:r w:rsidRPr="50F2224D" w:rsidR="73EEBB65">
        <w:rPr>
          <w:rFonts w:ascii="Arial" w:hAnsi="Arial" w:eastAsia="Arial" w:cs="Arial"/>
          <w:color w:val="000000" w:themeColor="text1" w:themeTint="FF" w:themeShade="FF"/>
          <w:sz w:val="22"/>
          <w:szCs w:val="22"/>
        </w:rPr>
        <w:t>North East</w:t>
      </w:r>
      <w:r w:rsidRPr="50F2224D" w:rsidR="5EFBB208">
        <w:rPr>
          <w:rFonts w:ascii="Arial" w:hAnsi="Arial" w:eastAsia="Arial" w:cs="Arial"/>
          <w:color w:val="000000" w:themeColor="text1" w:themeTint="FF" w:themeShade="FF"/>
          <w:sz w:val="22"/>
          <w:szCs w:val="22"/>
        </w:rPr>
        <w:t xml:space="preserve"> and Yorkshire region, whereby a 4-week-old infant was subject to a significant overdose of morphine sulphate (20 times the prescribed dose). A detailed root cause analysis using systems thinking and a Rich Picture illustrate that this failure was not just an individual slip by a frontline clinician (Reason, 2000). Rather, it was the product of hidden vulnerabilities along the care interface due to non-interoperable electronic platforms, fragmented regional governance, and the lack of standardised formulary enforcement (Holden et al., 2013). There have been five identical life-threatening errors across the national NHS network since 2018 highlighting the need for a move away from local workarounds towards structural, system-wide change (Donaldson et al., 2017).</w:t>
      </w:r>
    </w:p>
    <w:p w:rsidR="00805BD2" w:rsidP="50F2224D" w:rsidRDefault="1E9197E3" w14:paraId="2A635E46" w14:textId="3255E4EE">
      <w:pPr>
        <w:spacing w:line="360" w:lineRule="auto"/>
        <w:jc w:val="both"/>
        <w:rPr>
          <w:rFonts w:ascii="Arial" w:hAnsi="Arial" w:eastAsia="Arial" w:cs="Arial"/>
          <w:color w:val="000000"/>
          <w:sz w:val="22"/>
          <w:szCs w:val="22"/>
        </w:rPr>
      </w:pPr>
      <w:r w:rsidRPr="50F2224D" w:rsidR="235954E8">
        <w:rPr>
          <w:rFonts w:ascii="Arial" w:hAnsi="Arial" w:eastAsia="Arial" w:cs="Arial"/>
          <w:color w:val="000000" w:themeColor="text1" w:themeTint="FF" w:themeShade="FF"/>
          <w:sz w:val="22"/>
          <w:szCs w:val="22"/>
        </w:rPr>
        <w:t xml:space="preserve">Analysis demonstrates that although </w:t>
      </w:r>
      <w:r w:rsidRPr="50F2224D" w:rsidR="538E8AFC">
        <w:rPr>
          <w:rFonts w:ascii="Arial" w:hAnsi="Arial" w:eastAsia="Arial" w:cs="Arial"/>
          <w:color w:val="000000" w:themeColor="text1" w:themeTint="FF" w:themeShade="FF"/>
          <w:sz w:val="22"/>
          <w:szCs w:val="22"/>
        </w:rPr>
        <w:t>decentralised</w:t>
      </w:r>
      <w:r w:rsidRPr="50F2224D" w:rsidR="235954E8">
        <w:rPr>
          <w:rFonts w:ascii="Arial" w:hAnsi="Arial" w:eastAsia="Arial" w:cs="Arial"/>
          <w:color w:val="000000" w:themeColor="text1" w:themeTint="FF" w:themeShade="FF"/>
          <w:sz w:val="22"/>
          <w:szCs w:val="22"/>
        </w:rPr>
        <w:t xml:space="preserve"> models of governance provide useful operational flexibility for regional ICBs, uncoordinated </w:t>
      </w:r>
      <w:r w:rsidRPr="50F2224D" w:rsidR="538E8AFC">
        <w:rPr>
          <w:rFonts w:ascii="Arial" w:hAnsi="Arial" w:eastAsia="Arial" w:cs="Arial"/>
          <w:color w:val="000000" w:themeColor="text1" w:themeTint="FF" w:themeShade="FF"/>
          <w:sz w:val="22"/>
          <w:szCs w:val="22"/>
        </w:rPr>
        <w:t>decentralised</w:t>
      </w:r>
      <w:r w:rsidRPr="50F2224D" w:rsidR="235954E8">
        <w:rPr>
          <w:rFonts w:ascii="Arial" w:hAnsi="Arial" w:eastAsia="Arial" w:cs="Arial"/>
          <w:color w:val="000000" w:themeColor="text1" w:themeTint="FF" w:themeShade="FF"/>
          <w:sz w:val="22"/>
          <w:szCs w:val="22"/>
        </w:rPr>
        <w:t xml:space="preserve"> governance models also introduce dangerous inconsistencies in safety procedures across healthcare boundaries (DHSC, 2021). Moving forward, healthcare leadership will need to move from a reactive, transactional mode of blame and rigid policy checklists to a transformational, distributed, and inspiring model of leadership (Al-Sawai, 2013). This move is vital for building an open and psychologically safe clinical culture that is committed to continuous improvement and proactive risk reduction (Waring, 2005).</w:t>
      </w:r>
    </w:p>
    <w:p w:rsidR="00E643C5" w:rsidP="50F2224D" w:rsidRDefault="1217BF46" w14:paraId="368DBC41" w14:textId="69B4273C">
      <w:pPr>
        <w:spacing w:line="360" w:lineRule="auto"/>
        <w:jc w:val="both"/>
        <w:rPr>
          <w:rFonts w:ascii="Arial" w:hAnsi="Arial" w:eastAsia="Arial" w:cs="Arial"/>
          <w:color w:val="000000" w:themeColor="text1"/>
          <w:sz w:val="22"/>
          <w:szCs w:val="22"/>
        </w:rPr>
      </w:pPr>
      <w:r w:rsidRPr="50F2224D" w:rsidR="372C6543">
        <w:rPr>
          <w:rFonts w:ascii="Arial" w:hAnsi="Arial" w:eastAsia="Arial" w:cs="Arial"/>
          <w:color w:val="000000" w:themeColor="text1" w:themeTint="FF" w:themeShade="FF"/>
          <w:sz w:val="22"/>
          <w:szCs w:val="22"/>
        </w:rPr>
        <w:t>Long-term patient safety requires the comprehensive integration of advanced digital technologies, standardised governance structures and modern systems thinking (Carayon et al., 2006). The NHS can develop a highly resilient healthcare system by implementing hard-coded electronic forcing functions, reducing the management of high-risk neonatal medications to a single centralised location, and embracing co-production with clinicians and families alike (WHO, 2021). These interventions will finally close the dangerous communication gaps during care transitions, enforce real clinical accountability, and protect vulnerable neonatal patients from preventable systemic harm (Wachter and Gupta, 2018).</w:t>
      </w:r>
    </w:p>
    <w:p w:rsidR="00E43747" w:rsidP="50F2224D" w:rsidRDefault="0096660B" w14:paraId="4E9453E2" w14:textId="1EF59752">
      <w:pPr>
        <w:spacing w:line="360" w:lineRule="auto"/>
        <w:rPr>
          <w:rFonts w:ascii="Arial" w:hAnsi="Arial" w:eastAsia="Arial" w:cs="Arial"/>
          <w:b w:val="1"/>
          <w:bCs w:val="1"/>
          <w:color w:val="000000" w:themeColor="text1" w:themeTint="FF" w:themeShade="FF"/>
          <w:sz w:val="22"/>
          <w:szCs w:val="22"/>
        </w:rPr>
      </w:pPr>
    </w:p>
    <w:p w:rsidR="00E43747" w:rsidP="50F2224D" w:rsidRDefault="0096660B" w14:paraId="31CF1AF9" w14:textId="4F455EC7">
      <w:pPr>
        <w:spacing w:line="360" w:lineRule="auto"/>
        <w:rPr>
          <w:rFonts w:ascii="Arial" w:hAnsi="Arial" w:eastAsia="Arial" w:cs="Arial"/>
          <w:b w:val="1"/>
          <w:bCs w:val="1"/>
          <w:color w:val="000000" w:themeColor="text1" w:themeTint="FF" w:themeShade="FF"/>
          <w:sz w:val="22"/>
          <w:szCs w:val="22"/>
        </w:rPr>
      </w:pPr>
    </w:p>
    <w:p w:rsidR="00E43747" w:rsidP="50F2224D" w:rsidRDefault="0096660B" w14:paraId="6C8F8C01" w14:textId="77D45D8D">
      <w:pPr>
        <w:spacing w:line="360" w:lineRule="auto"/>
        <w:rPr>
          <w:rFonts w:ascii="Arial" w:hAnsi="Arial" w:eastAsia="Arial" w:cs="Arial"/>
          <w:b w:val="1"/>
          <w:bCs w:val="1"/>
          <w:color w:val="000000" w:themeColor="text1" w:themeTint="FF" w:themeShade="FF"/>
          <w:sz w:val="22"/>
          <w:szCs w:val="22"/>
        </w:rPr>
      </w:pPr>
    </w:p>
    <w:p w:rsidR="00E43747" w:rsidP="50F2224D" w:rsidRDefault="0096660B" w14:paraId="65F0A934" w14:textId="7916D339">
      <w:pPr>
        <w:spacing w:line="360" w:lineRule="auto"/>
        <w:rPr>
          <w:rFonts w:ascii="Arial" w:hAnsi="Arial" w:eastAsia="Arial" w:cs="Arial"/>
          <w:b w:val="1"/>
          <w:bCs w:val="1"/>
          <w:color w:val="000000" w:themeColor="text1" w:themeTint="FF" w:themeShade="FF"/>
          <w:sz w:val="22"/>
          <w:szCs w:val="22"/>
        </w:rPr>
      </w:pPr>
    </w:p>
    <w:p w:rsidR="00E43747" w:rsidP="50F2224D" w:rsidRDefault="0096660B" w14:paraId="502654E6" w14:textId="1EA1903C">
      <w:pPr>
        <w:spacing w:line="360" w:lineRule="auto"/>
        <w:rPr>
          <w:rFonts w:ascii="Arial" w:hAnsi="Arial" w:eastAsia="Arial" w:cs="Arial"/>
          <w:b w:val="1"/>
          <w:bCs w:val="1"/>
          <w:color w:val="000000" w:themeColor="text1" w:themeTint="FF" w:themeShade="FF"/>
          <w:sz w:val="22"/>
          <w:szCs w:val="22"/>
        </w:rPr>
      </w:pPr>
    </w:p>
    <w:p w:rsidR="00E43747" w:rsidP="50F2224D" w:rsidRDefault="0096660B" w14:paraId="2686E922" w14:textId="2887698D">
      <w:pPr>
        <w:spacing w:line="360" w:lineRule="auto"/>
        <w:rPr>
          <w:rFonts w:ascii="Arial" w:hAnsi="Arial" w:eastAsia="Arial" w:cs="Arial"/>
          <w:b w:val="1"/>
          <w:bCs w:val="1"/>
          <w:color w:val="000000" w:themeColor="text1" w:themeTint="FF" w:themeShade="FF"/>
          <w:sz w:val="22"/>
          <w:szCs w:val="22"/>
        </w:rPr>
      </w:pPr>
    </w:p>
    <w:p w:rsidR="00E43747" w:rsidP="50F2224D" w:rsidRDefault="0096660B" w14:paraId="334B1ED8" w14:textId="51F65F5B">
      <w:pPr>
        <w:spacing w:line="360" w:lineRule="auto"/>
        <w:rPr>
          <w:rFonts w:ascii="Arial" w:hAnsi="Arial" w:eastAsia="Arial" w:cs="Arial"/>
          <w:b w:val="1"/>
          <w:bCs w:val="1"/>
          <w:color w:val="000000" w:themeColor="text1" w:themeTint="FF" w:themeShade="FF"/>
          <w:sz w:val="22"/>
          <w:szCs w:val="22"/>
        </w:rPr>
      </w:pPr>
    </w:p>
    <w:p w:rsidR="00E43747" w:rsidP="50F2224D" w:rsidRDefault="0096660B" w14:paraId="71CEF448" w14:textId="3D4760C1">
      <w:pPr>
        <w:spacing w:line="360" w:lineRule="auto"/>
        <w:rPr>
          <w:rFonts w:ascii="Arial" w:hAnsi="Arial" w:eastAsia="Arial" w:cs="Arial"/>
          <w:b w:val="1"/>
          <w:bCs w:val="1"/>
          <w:color w:val="000000" w:themeColor="text1" w:themeTint="FF" w:themeShade="FF"/>
          <w:sz w:val="22"/>
          <w:szCs w:val="22"/>
        </w:rPr>
      </w:pPr>
    </w:p>
    <w:p w:rsidR="00E43747" w:rsidP="50F2224D" w:rsidRDefault="0096660B" w14:paraId="17251BDB" w14:textId="68B78A93">
      <w:pPr>
        <w:spacing w:line="360" w:lineRule="auto"/>
        <w:rPr>
          <w:rFonts w:ascii="Arial" w:hAnsi="Arial" w:eastAsia="Arial" w:cs="Arial"/>
          <w:b w:val="1"/>
          <w:bCs w:val="1"/>
          <w:color w:val="000000" w:themeColor="text1" w:themeTint="FF" w:themeShade="FF"/>
          <w:sz w:val="22"/>
          <w:szCs w:val="22"/>
        </w:rPr>
      </w:pPr>
    </w:p>
    <w:p w:rsidR="00E43747" w:rsidP="50F2224D" w:rsidRDefault="0096660B" w14:paraId="765A11BC" w14:textId="0372BA11">
      <w:pPr>
        <w:spacing w:line="360" w:lineRule="auto"/>
        <w:rPr>
          <w:rFonts w:ascii="Arial" w:hAnsi="Arial" w:eastAsia="Arial" w:cs="Arial"/>
          <w:b w:val="1"/>
          <w:bCs w:val="1"/>
          <w:color w:val="000000" w:themeColor="text1" w:themeTint="FF" w:themeShade="FF"/>
          <w:sz w:val="22"/>
          <w:szCs w:val="22"/>
        </w:rPr>
      </w:pPr>
    </w:p>
    <w:p w:rsidR="00E43747" w:rsidP="50F2224D" w:rsidRDefault="0096660B" w14:paraId="214AE8E8" w14:textId="4CAC64C2">
      <w:pPr>
        <w:spacing w:line="360" w:lineRule="auto"/>
        <w:rPr>
          <w:rFonts w:ascii="Arial" w:hAnsi="Arial" w:eastAsia="Arial" w:cs="Arial"/>
          <w:b w:val="1"/>
          <w:bCs w:val="1"/>
          <w:color w:val="000000" w:themeColor="text1" w:themeTint="FF" w:themeShade="FF"/>
          <w:sz w:val="22"/>
          <w:szCs w:val="22"/>
        </w:rPr>
      </w:pPr>
    </w:p>
    <w:p w:rsidR="00E43747" w:rsidP="50F2224D" w:rsidRDefault="0096660B" w14:paraId="712CED6D" w14:textId="01EFB39F">
      <w:pPr>
        <w:pStyle w:val="Normal"/>
        <w:spacing w:line="360" w:lineRule="auto"/>
        <w:rPr>
          <w:rFonts w:ascii="Arial" w:hAnsi="Arial" w:eastAsia="Arial" w:cs="Arial"/>
          <w:b w:val="1"/>
          <w:bCs w:val="1"/>
          <w:color w:val="000000" w:themeColor="text1" w:themeTint="FF" w:themeShade="FF"/>
          <w:sz w:val="22"/>
          <w:szCs w:val="22"/>
        </w:rPr>
      </w:pPr>
    </w:p>
    <w:p w:rsidR="00E43747" w:rsidP="50F2224D" w:rsidRDefault="0096660B" w14:paraId="4DC3D32D" w14:textId="34B13CCD">
      <w:pPr>
        <w:pStyle w:val="Normal"/>
        <w:spacing w:line="360" w:lineRule="auto"/>
        <w:rPr>
          <w:rFonts w:ascii="Arial" w:hAnsi="Arial" w:eastAsia="Arial" w:cs="Arial"/>
          <w:b w:val="1"/>
          <w:bCs w:val="1"/>
          <w:color w:val="000000" w:themeColor="text1"/>
          <w:sz w:val="22"/>
          <w:szCs w:val="22"/>
        </w:rPr>
      </w:pPr>
      <w:r w:rsidRPr="50F2224D" w:rsidR="0AF6ECD4">
        <w:rPr>
          <w:rFonts w:ascii="Arial" w:hAnsi="Arial" w:eastAsia="Arial" w:cs="Arial"/>
          <w:b w:val="1"/>
          <w:bCs w:val="1"/>
          <w:color w:val="000000" w:themeColor="text1" w:themeTint="FF" w:themeShade="FF"/>
          <w:sz w:val="22"/>
          <w:szCs w:val="22"/>
        </w:rPr>
        <w:t xml:space="preserve">References </w:t>
      </w:r>
    </w:p>
    <w:p w:rsidRPr="00BC0825" w:rsidR="00BC0825" w:rsidP="50F2224D" w:rsidRDefault="00BC0825" w14:paraId="47577C24" w14:textId="7EA90316">
      <w:pPr>
        <w:pStyle w:val="ListParagraph"/>
        <w:numPr>
          <w:ilvl w:val="0"/>
          <w:numId w:val="1"/>
        </w:numPr>
        <w:spacing w:after="0" w:line="360" w:lineRule="auto"/>
        <w:rPr>
          <w:rFonts w:ascii="Arial" w:hAnsi="Arial" w:eastAsia="Arial" w:cs="Arial"/>
          <w:sz w:val="22"/>
          <w:szCs w:val="22"/>
        </w:rPr>
      </w:pPr>
      <w:r w:rsidRPr="50F2224D" w:rsidR="75EAD0E0">
        <w:rPr>
          <w:rFonts w:ascii="Arial" w:hAnsi="Arial" w:eastAsia="Arial" w:cs="Arial"/>
          <w:kern w:val="0"/>
          <w:sz w:val="22"/>
          <w:szCs w:val="22"/>
          <w14:ligatures w14:val="none"/>
        </w:rPr>
        <w:t xml:space="preserve"> </w:t>
      </w:r>
      <w:r w:rsidRPr="50F2224D" w:rsidR="75EAD0E0">
        <w:rPr>
          <w:rFonts w:ascii="Arial" w:hAnsi="Arial" w:eastAsia="Arial" w:cs="Arial"/>
          <w:sz w:val="22"/>
          <w:szCs w:val="22"/>
        </w:rPr>
        <w:t>Al-Sawai, A.</w:t>
      </w:r>
      <w:r w:rsidRPr="50F2224D" w:rsidR="2C3B9B30">
        <w:rPr>
          <w:rFonts w:ascii="Arial" w:hAnsi="Arial" w:eastAsia="Arial" w:cs="Arial"/>
          <w:sz w:val="22"/>
          <w:szCs w:val="22"/>
        </w:rPr>
        <w:t xml:space="preserve"> (</w:t>
      </w:r>
      <w:r w:rsidRPr="50F2224D" w:rsidR="75EAD0E0">
        <w:rPr>
          <w:rFonts w:ascii="Arial" w:hAnsi="Arial" w:eastAsia="Arial" w:cs="Arial"/>
          <w:sz w:val="22"/>
          <w:szCs w:val="22"/>
        </w:rPr>
        <w:t>2013</w:t>
      </w:r>
      <w:r w:rsidRPr="50F2224D" w:rsidR="7D4C871B">
        <w:rPr>
          <w:rFonts w:ascii="Arial" w:hAnsi="Arial" w:eastAsia="Arial" w:cs="Arial"/>
          <w:sz w:val="22"/>
          <w:szCs w:val="22"/>
        </w:rPr>
        <w:t>).</w:t>
      </w:r>
      <w:r w:rsidRPr="50F2224D" w:rsidR="75EAD0E0">
        <w:rPr>
          <w:rFonts w:ascii="Arial" w:hAnsi="Arial" w:eastAsia="Arial" w:cs="Arial"/>
          <w:sz w:val="22"/>
          <w:szCs w:val="22"/>
        </w:rPr>
        <w:t xml:space="preserve"> Leadership of healthcare networks: an exploration of the role of leadership styles in healthcare governance. </w:t>
      </w:r>
      <w:r w:rsidRPr="50F2224D" w:rsidR="75EAD0E0">
        <w:rPr>
          <w:rFonts w:ascii="Arial" w:hAnsi="Arial" w:eastAsia="Arial" w:cs="Arial"/>
          <w:i w:val="1"/>
          <w:iCs w:val="1"/>
          <w:sz w:val="22"/>
          <w:szCs w:val="22"/>
        </w:rPr>
        <w:t>Sultan Qaboos University Medical Journal</w:t>
      </w:r>
      <w:r w:rsidRPr="50F2224D" w:rsidR="75EAD0E0">
        <w:rPr>
          <w:rFonts w:ascii="Arial" w:hAnsi="Arial" w:eastAsia="Arial" w:cs="Arial"/>
          <w:sz w:val="22"/>
          <w:szCs w:val="22"/>
        </w:rPr>
        <w:t>, 13(2), pp.204–211.</w:t>
      </w:r>
    </w:p>
    <w:p w:rsidRPr="00BC0825" w:rsidR="00BC0825" w:rsidP="50F2224D" w:rsidRDefault="00BC0825" w14:paraId="25F7AF32" w14:textId="57C64559">
      <w:pPr>
        <w:pStyle w:val="ListParagraph"/>
        <w:numPr>
          <w:ilvl w:val="0"/>
          <w:numId w:val="1"/>
        </w:numPr>
        <w:spacing w:after="0" w:line="360" w:lineRule="auto"/>
        <w:rPr>
          <w:rFonts w:ascii="Arial" w:hAnsi="Arial" w:eastAsia="Arial" w:cs="Arial"/>
          <w:kern w:val="0"/>
          <w:sz w:val="22"/>
          <w:szCs w:val="22"/>
          <w14:ligatures w14:val="none"/>
        </w:rPr>
      </w:pPr>
      <w:r w:rsidRPr="50F2224D" w:rsidR="75EAD0E0">
        <w:rPr>
          <w:rFonts w:ascii="Arial" w:hAnsi="Arial" w:eastAsia="Arial" w:cs="Arial"/>
          <w:sz w:val="22"/>
          <w:szCs w:val="22"/>
        </w:rPr>
        <w:t xml:space="preserve"> </w:t>
      </w:r>
      <w:r w:rsidRPr="50F2224D" w:rsidR="75EAD0E0">
        <w:rPr>
          <w:rFonts w:ascii="Arial" w:hAnsi="Arial" w:eastAsia="Arial" w:cs="Arial"/>
          <w:sz w:val="22"/>
          <w:szCs w:val="22"/>
        </w:rPr>
        <w:t>Barr, J. and Dowding, L.</w:t>
      </w:r>
      <w:r w:rsidRPr="50F2224D" w:rsidR="204B1F56">
        <w:rPr>
          <w:rFonts w:ascii="Arial" w:hAnsi="Arial" w:eastAsia="Arial" w:cs="Arial"/>
          <w:sz w:val="22"/>
          <w:szCs w:val="22"/>
        </w:rPr>
        <w:t xml:space="preserve"> (</w:t>
      </w:r>
      <w:r w:rsidRPr="50F2224D" w:rsidR="75EAD0E0">
        <w:rPr>
          <w:rFonts w:ascii="Arial" w:hAnsi="Arial" w:eastAsia="Arial" w:cs="Arial"/>
          <w:sz w:val="22"/>
          <w:szCs w:val="22"/>
        </w:rPr>
        <w:t>2022</w:t>
      </w:r>
      <w:r w:rsidRPr="50F2224D" w:rsidR="761BA202">
        <w:rPr>
          <w:rFonts w:ascii="Arial" w:hAnsi="Arial" w:eastAsia="Arial" w:cs="Arial"/>
          <w:sz w:val="22"/>
          <w:szCs w:val="22"/>
        </w:rPr>
        <w:t>)</w:t>
      </w:r>
      <w:r w:rsidRPr="50F2224D" w:rsidR="75EAD0E0">
        <w:rPr>
          <w:rFonts w:ascii="Arial" w:hAnsi="Arial" w:eastAsia="Arial" w:cs="Arial"/>
          <w:sz w:val="22"/>
          <w:szCs w:val="22"/>
        </w:rPr>
        <w:t>. </w:t>
      </w:r>
      <w:r w:rsidRPr="50F2224D" w:rsidR="75EAD0E0">
        <w:rPr>
          <w:rFonts w:ascii="Arial" w:hAnsi="Arial" w:eastAsia="Arial" w:cs="Arial"/>
          <w:i w:val="1"/>
          <w:iCs w:val="1"/>
          <w:sz w:val="22"/>
          <w:szCs w:val="22"/>
        </w:rPr>
        <w:t>Leadership in health care</w:t>
      </w:r>
      <w:r w:rsidRPr="50F2224D" w:rsidR="75EAD0E0">
        <w:rPr>
          <w:rFonts w:ascii="Arial" w:hAnsi="Arial" w:eastAsia="Arial" w:cs="Arial"/>
          <w:sz w:val="22"/>
          <w:szCs w:val="22"/>
        </w:rPr>
        <w:t>. 5th ed. London: SAGE Publications.</w:t>
      </w:r>
    </w:p>
    <w:p w:rsidRPr="00BC0825" w:rsidR="00BC0825" w:rsidP="50F2224D" w:rsidRDefault="00BC0825" w14:paraId="2A08C8B0" w14:textId="63651F04">
      <w:pPr>
        <w:pStyle w:val="ListParagraph"/>
        <w:numPr>
          <w:ilvl w:val="0"/>
          <w:numId w:val="1"/>
        </w:numPr>
        <w:spacing w:after="0" w:line="360" w:lineRule="auto"/>
        <w:rPr>
          <w:rFonts w:ascii="Arial" w:hAnsi="Arial" w:eastAsia="Arial" w:cs="Arial"/>
          <w:kern w:val="0"/>
          <w:sz w:val="22"/>
          <w:szCs w:val="22"/>
          <w14:ligatures w14:val="none"/>
        </w:rPr>
      </w:pPr>
      <w:r w:rsidRPr="50F2224D" w:rsidR="75EAD0E0">
        <w:rPr>
          <w:rFonts w:ascii="Arial" w:hAnsi="Arial" w:eastAsia="Arial" w:cs="Arial"/>
          <w:kern w:val="0"/>
          <w:sz w:val="22"/>
          <w:szCs w:val="22"/>
          <w14:ligatures w14:val="none"/>
        </w:rPr>
        <w:t xml:space="preserve">Care Quality Commission </w:t>
      </w:r>
      <w:r w:rsidRPr="50F2224D" w:rsidR="4EF3B6CA">
        <w:rPr>
          <w:rFonts w:ascii="Arial" w:hAnsi="Arial" w:eastAsia="Arial" w:cs="Arial"/>
          <w:sz w:val="22"/>
          <w:szCs w:val="22"/>
        </w:rPr>
        <w:t>(</w:t>
      </w:r>
      <w:r w:rsidRPr="50F2224D" w:rsidR="75EAD0E0">
        <w:rPr>
          <w:rFonts w:ascii="Arial" w:hAnsi="Arial" w:eastAsia="Arial" w:cs="Arial"/>
          <w:sz w:val="22"/>
          <w:szCs w:val="22"/>
        </w:rPr>
        <w:t>2023</w:t>
      </w:r>
      <w:r w:rsidRPr="50F2224D" w:rsidR="4408156D">
        <w:rPr>
          <w:rFonts w:ascii="Arial" w:hAnsi="Arial" w:eastAsia="Arial" w:cs="Arial"/>
          <w:sz w:val="22"/>
          <w:szCs w:val="22"/>
        </w:rPr>
        <w:t>)</w:t>
      </w:r>
      <w:r w:rsidRPr="50F2224D" w:rsidR="75EAD0E0">
        <w:rPr>
          <w:rFonts w:ascii="Arial" w:hAnsi="Arial" w:eastAsia="Arial" w:cs="Arial"/>
          <w:sz w:val="22"/>
          <w:szCs w:val="22"/>
        </w:rPr>
        <w:t>. </w:t>
      </w:r>
      <w:r w:rsidRPr="50F2224D" w:rsidR="75EAD0E0">
        <w:rPr>
          <w:rFonts w:ascii="Arial" w:hAnsi="Arial" w:eastAsia="Arial" w:cs="Arial"/>
          <w:i w:val="1"/>
          <w:iCs w:val="1"/>
          <w:sz w:val="22"/>
          <w:szCs w:val="22"/>
        </w:rPr>
        <w:t>The state of health care and adult social care in England 2022/23</w:t>
      </w:r>
      <w:r w:rsidRPr="50F2224D" w:rsidR="75EAD0E0">
        <w:rPr>
          <w:rFonts w:ascii="Arial" w:hAnsi="Arial" w:eastAsia="Arial" w:cs="Arial"/>
          <w:sz w:val="22"/>
          <w:szCs w:val="22"/>
        </w:rPr>
        <w:t>. Newcastle upon Tyne: CQC.</w:t>
      </w:r>
    </w:p>
    <w:p w:rsidRPr="00BC0825" w:rsidR="00BC0825" w:rsidP="50F2224D" w:rsidRDefault="00BC0825" w14:paraId="2E07D245" w14:textId="2281C214">
      <w:pPr>
        <w:pStyle w:val="ListParagraph"/>
        <w:numPr>
          <w:ilvl w:val="0"/>
          <w:numId w:val="1"/>
        </w:numPr>
        <w:spacing w:after="0" w:line="360" w:lineRule="auto"/>
        <w:rPr>
          <w:rFonts w:ascii="Arial" w:hAnsi="Arial" w:eastAsia="Arial" w:cs="Arial"/>
          <w:kern w:val="0"/>
          <w:sz w:val="22"/>
          <w:szCs w:val="22"/>
          <w14:ligatures w14:val="none"/>
        </w:rPr>
      </w:pPr>
      <w:r w:rsidRPr="50F2224D" w:rsidR="75EAD0E0">
        <w:rPr>
          <w:rFonts w:ascii="Arial" w:hAnsi="Arial" w:eastAsia="Arial" w:cs="Arial"/>
          <w:kern w:val="0"/>
          <w:sz w:val="22"/>
          <w:szCs w:val="22"/>
          <w14:ligatures w14:val="none"/>
        </w:rPr>
        <w:t>Carayon</w:t>
      </w:r>
      <w:r w:rsidRPr="50F2224D" w:rsidR="75EAD0E0">
        <w:rPr>
          <w:rFonts w:ascii="Arial" w:hAnsi="Arial" w:eastAsia="Arial" w:cs="Arial"/>
          <w:sz w:val="22"/>
          <w:szCs w:val="22"/>
        </w:rPr>
        <w:t xml:space="preserve">, P., Schoofs Hundt, A., Karsh, B.T., </w:t>
      </w:r>
      <w:r w:rsidRPr="50F2224D" w:rsidR="75EAD0E0">
        <w:rPr>
          <w:rFonts w:ascii="Arial" w:hAnsi="Arial" w:eastAsia="Arial" w:cs="Arial"/>
          <w:sz w:val="22"/>
          <w:szCs w:val="22"/>
        </w:rPr>
        <w:t>Gurses</w:t>
      </w:r>
      <w:r w:rsidRPr="50F2224D" w:rsidR="75EAD0E0">
        <w:rPr>
          <w:rFonts w:ascii="Arial" w:hAnsi="Arial" w:eastAsia="Arial" w:cs="Arial"/>
          <w:sz w:val="22"/>
          <w:szCs w:val="22"/>
        </w:rPr>
        <w:t>, A.P., Alvarado, C.J., Smith, M.─A. and Flatley Brennan, P.</w:t>
      </w:r>
      <w:r w:rsidRPr="50F2224D" w:rsidR="2044D989">
        <w:rPr>
          <w:rFonts w:ascii="Arial" w:hAnsi="Arial" w:eastAsia="Arial" w:cs="Arial"/>
          <w:sz w:val="22"/>
          <w:szCs w:val="22"/>
        </w:rPr>
        <w:t xml:space="preserve"> (</w:t>
      </w:r>
      <w:r w:rsidRPr="50F2224D" w:rsidR="75EAD0E0">
        <w:rPr>
          <w:rFonts w:ascii="Arial" w:hAnsi="Arial" w:eastAsia="Arial" w:cs="Arial"/>
          <w:sz w:val="22"/>
          <w:szCs w:val="22"/>
        </w:rPr>
        <w:t>2</w:t>
      </w:r>
      <w:r w:rsidRPr="50F2224D" w:rsidR="75EAD0E0">
        <w:rPr>
          <w:rFonts w:ascii="Arial" w:hAnsi="Arial" w:eastAsia="Arial" w:cs="Arial"/>
          <w:sz w:val="22"/>
          <w:szCs w:val="22"/>
        </w:rPr>
        <w:t>006</w:t>
      </w:r>
      <w:r w:rsidRPr="50F2224D" w:rsidR="7C0F56E9">
        <w:rPr>
          <w:rFonts w:ascii="Arial" w:hAnsi="Arial" w:eastAsia="Arial" w:cs="Arial"/>
          <w:sz w:val="22"/>
          <w:szCs w:val="22"/>
        </w:rPr>
        <w:t>)</w:t>
      </w:r>
      <w:r w:rsidRPr="50F2224D" w:rsidR="75EAD0E0">
        <w:rPr>
          <w:rFonts w:ascii="Arial" w:hAnsi="Arial" w:eastAsia="Arial" w:cs="Arial"/>
          <w:sz w:val="22"/>
          <w:szCs w:val="22"/>
        </w:rPr>
        <w:t>. Work system design for patient safety: the SEIPS model. </w:t>
      </w:r>
      <w:r w:rsidRPr="50F2224D" w:rsidR="75EAD0E0">
        <w:rPr>
          <w:rFonts w:ascii="Arial" w:hAnsi="Arial" w:eastAsia="Arial" w:cs="Arial"/>
          <w:i w:val="1"/>
          <w:iCs w:val="1"/>
          <w:sz w:val="22"/>
          <w:szCs w:val="22"/>
        </w:rPr>
        <w:t>BMJ Quality &amp; Safety</w:t>
      </w:r>
      <w:r w:rsidRPr="50F2224D" w:rsidR="75EAD0E0">
        <w:rPr>
          <w:rFonts w:ascii="Arial" w:hAnsi="Arial" w:eastAsia="Arial" w:cs="Arial"/>
          <w:sz w:val="22"/>
          <w:szCs w:val="22"/>
        </w:rPr>
        <w:t xml:space="preserve">, 15(suppl_1), </w:t>
      </w:r>
      <w:r w:rsidRPr="50F2224D" w:rsidR="75EAD0E0">
        <w:rPr>
          <w:rFonts w:ascii="Arial" w:hAnsi="Arial" w:eastAsia="Arial" w:cs="Arial"/>
          <w:sz w:val="22"/>
          <w:szCs w:val="22"/>
        </w:rPr>
        <w:t>pp.i</w:t>
      </w:r>
      <w:r w:rsidRPr="50F2224D" w:rsidR="75EAD0E0">
        <w:rPr>
          <w:rFonts w:ascii="Arial" w:hAnsi="Arial" w:eastAsia="Arial" w:cs="Arial"/>
          <w:sz w:val="22"/>
          <w:szCs w:val="22"/>
        </w:rPr>
        <w:t>50–i58.</w:t>
      </w:r>
    </w:p>
    <w:p w:rsidRPr="00BC0825" w:rsidR="00BC0825" w:rsidP="50F2224D" w:rsidRDefault="00BC0825" w14:paraId="7D1A5BBB" w14:textId="7C89DCB2">
      <w:pPr>
        <w:pStyle w:val="ListParagraph"/>
        <w:numPr>
          <w:ilvl w:val="0"/>
          <w:numId w:val="1"/>
        </w:numPr>
        <w:spacing w:after="0" w:line="360" w:lineRule="auto"/>
        <w:rPr>
          <w:rFonts w:ascii="Arial" w:hAnsi="Arial" w:eastAsia="Arial" w:cs="Arial"/>
          <w:kern w:val="0"/>
          <w:sz w:val="22"/>
          <w:szCs w:val="22"/>
          <w14:ligatures w14:val="none"/>
        </w:rPr>
      </w:pPr>
      <w:r w:rsidRPr="50F2224D" w:rsidR="75EAD0E0">
        <w:rPr>
          <w:rFonts w:ascii="Arial" w:hAnsi="Arial" w:eastAsia="Arial" w:cs="Arial"/>
          <w:kern w:val="0"/>
          <w:sz w:val="22"/>
          <w:szCs w:val="22"/>
          <w14:ligatures w14:val="none"/>
        </w:rPr>
        <w:t xml:space="preserve"> </w:t>
      </w:r>
      <w:r w:rsidRPr="50F2224D" w:rsidR="75EAD0E0">
        <w:rPr>
          <w:rFonts w:ascii="Arial" w:hAnsi="Arial" w:eastAsia="Arial" w:cs="Arial"/>
          <w:sz w:val="22"/>
          <w:szCs w:val="22"/>
        </w:rPr>
        <w:t>Checkland</w:t>
      </w:r>
      <w:r w:rsidRPr="50F2224D" w:rsidR="75EAD0E0">
        <w:rPr>
          <w:rFonts w:ascii="Arial" w:hAnsi="Arial" w:eastAsia="Arial" w:cs="Arial"/>
          <w:sz w:val="22"/>
          <w:szCs w:val="22"/>
        </w:rPr>
        <w:t>, P. and Scholes, J.</w:t>
      </w:r>
      <w:r w:rsidRPr="50F2224D" w:rsidR="18C24C4C">
        <w:rPr>
          <w:rFonts w:ascii="Arial" w:hAnsi="Arial" w:eastAsia="Arial" w:cs="Arial"/>
          <w:sz w:val="22"/>
          <w:szCs w:val="22"/>
        </w:rPr>
        <w:t xml:space="preserve"> (</w:t>
      </w:r>
      <w:r w:rsidRPr="50F2224D" w:rsidR="75EAD0E0">
        <w:rPr>
          <w:rFonts w:ascii="Arial" w:hAnsi="Arial" w:eastAsia="Arial" w:cs="Arial"/>
          <w:sz w:val="22"/>
          <w:szCs w:val="22"/>
        </w:rPr>
        <w:t>1999</w:t>
      </w:r>
      <w:r w:rsidRPr="50F2224D" w:rsidR="49B7FC70">
        <w:rPr>
          <w:rFonts w:ascii="Arial" w:hAnsi="Arial" w:eastAsia="Arial" w:cs="Arial"/>
          <w:sz w:val="22"/>
          <w:szCs w:val="22"/>
        </w:rPr>
        <w:t xml:space="preserve">). </w:t>
      </w:r>
      <w:r w:rsidRPr="50F2224D" w:rsidR="75EAD0E0">
        <w:rPr>
          <w:rFonts w:ascii="Arial" w:hAnsi="Arial" w:eastAsia="Arial" w:cs="Arial"/>
          <w:i w:val="1"/>
          <w:iCs w:val="1"/>
          <w:sz w:val="22"/>
          <w:szCs w:val="22"/>
        </w:rPr>
        <w:t xml:space="preserve">Soft systems </w:t>
      </w:r>
      <w:r w:rsidRPr="50F2224D" w:rsidR="75EAD0E0">
        <w:rPr>
          <w:rFonts w:ascii="Arial" w:hAnsi="Arial" w:eastAsia="Arial" w:cs="Arial"/>
          <w:i w:val="1"/>
          <w:iCs w:val="1"/>
          <w:sz w:val="22"/>
          <w:szCs w:val="22"/>
        </w:rPr>
        <w:t>methodology</w:t>
      </w:r>
      <w:r w:rsidRPr="50F2224D" w:rsidR="75EAD0E0">
        <w:rPr>
          <w:rFonts w:ascii="Arial" w:hAnsi="Arial" w:eastAsia="Arial" w:cs="Arial"/>
          <w:i w:val="1"/>
          <w:iCs w:val="1"/>
          <w:sz w:val="22"/>
          <w:szCs w:val="22"/>
        </w:rPr>
        <w:t xml:space="preserve"> in action</w:t>
      </w:r>
      <w:r w:rsidRPr="50F2224D" w:rsidR="75EAD0E0">
        <w:rPr>
          <w:rFonts w:ascii="Arial" w:hAnsi="Arial" w:eastAsia="Arial" w:cs="Arial"/>
          <w:sz w:val="22"/>
          <w:szCs w:val="22"/>
        </w:rPr>
        <w:t>. Chichester: John Wiley &amp; Sons.</w:t>
      </w:r>
    </w:p>
    <w:p w:rsidRPr="00BC0825" w:rsidR="00BC0825" w:rsidP="50F2224D" w:rsidRDefault="00BC0825" w14:paraId="773E1DC0" w14:textId="54CC6917">
      <w:pPr>
        <w:pStyle w:val="ListParagraph"/>
        <w:numPr>
          <w:ilvl w:val="0"/>
          <w:numId w:val="1"/>
        </w:numPr>
        <w:spacing w:after="0" w:line="360" w:lineRule="auto"/>
        <w:rPr>
          <w:rFonts w:ascii="Arial" w:hAnsi="Arial" w:eastAsia="Arial" w:cs="Arial"/>
          <w:kern w:val="0"/>
          <w:sz w:val="22"/>
          <w:szCs w:val="22"/>
          <w14:ligatures w14:val="none"/>
        </w:rPr>
      </w:pPr>
      <w:r w:rsidRPr="50F2224D" w:rsidR="75EAD0E0">
        <w:rPr>
          <w:rFonts w:ascii="Arial" w:hAnsi="Arial" w:eastAsia="Arial" w:cs="Arial"/>
          <w:kern w:val="0"/>
          <w:sz w:val="22"/>
          <w:szCs w:val="22"/>
          <w14:ligatures w14:val="none"/>
        </w:rPr>
        <w:t xml:space="preserve">Department of Health and Social Care </w:t>
      </w:r>
      <w:r w:rsidRPr="50F2224D" w:rsidR="61A539F1">
        <w:rPr>
          <w:rFonts w:ascii="Arial" w:hAnsi="Arial" w:eastAsia="Arial" w:cs="Arial"/>
          <w:sz w:val="22"/>
          <w:szCs w:val="22"/>
        </w:rPr>
        <w:t>(2021)</w:t>
      </w:r>
      <w:r w:rsidRPr="50F2224D" w:rsidR="75EAD0E0">
        <w:rPr>
          <w:rFonts w:ascii="Arial" w:hAnsi="Arial" w:eastAsia="Arial" w:cs="Arial"/>
          <w:sz w:val="22"/>
          <w:szCs w:val="22"/>
        </w:rPr>
        <w:t>. </w:t>
      </w:r>
      <w:r w:rsidRPr="50F2224D" w:rsidR="75EAD0E0">
        <w:rPr>
          <w:rFonts w:ascii="Arial" w:hAnsi="Arial" w:eastAsia="Arial" w:cs="Arial"/>
          <w:i w:val="1"/>
          <w:iCs w:val="1"/>
          <w:sz w:val="22"/>
          <w:szCs w:val="22"/>
        </w:rPr>
        <w:t>Integration and innovation: working together to improve health and social care for all</w:t>
      </w:r>
      <w:r w:rsidRPr="50F2224D" w:rsidR="75EAD0E0">
        <w:rPr>
          <w:rFonts w:ascii="Arial" w:hAnsi="Arial" w:eastAsia="Arial" w:cs="Arial"/>
          <w:sz w:val="22"/>
          <w:szCs w:val="22"/>
        </w:rPr>
        <w:t>. London: DHSC.</w:t>
      </w:r>
    </w:p>
    <w:p w:rsidRPr="00BC0825" w:rsidR="00BC0825" w:rsidP="50F2224D" w:rsidRDefault="00BC0825" w14:paraId="299F43DB" w14:textId="2A945534">
      <w:pPr>
        <w:pStyle w:val="ListParagraph"/>
        <w:numPr>
          <w:ilvl w:val="0"/>
          <w:numId w:val="1"/>
        </w:numPr>
        <w:spacing w:after="0" w:line="360" w:lineRule="auto"/>
        <w:rPr>
          <w:rFonts w:ascii="Arial" w:hAnsi="Arial" w:eastAsia="Arial" w:cs="Arial"/>
          <w:sz w:val="22"/>
          <w:szCs w:val="22"/>
        </w:rPr>
      </w:pPr>
      <w:r w:rsidRPr="50F2224D" w:rsidR="75EAD0E0">
        <w:rPr>
          <w:rFonts w:ascii="Arial" w:hAnsi="Arial" w:eastAsia="Arial" w:cs="Arial"/>
          <w:kern w:val="0"/>
          <w:sz w:val="22"/>
          <w:szCs w:val="22"/>
          <w14:ligatures w14:val="none"/>
        </w:rPr>
        <w:t xml:space="preserve">Donaldson, L.J., Kelley, E.T., Dhingra-Kumar, N., Ahmad-Khan, </w:t>
      </w:r>
      <w:r w:rsidRPr="50F2224D" w:rsidR="75EAD0E0">
        <w:rPr>
          <w:rFonts w:ascii="Arial" w:hAnsi="Arial" w:eastAsia="Arial" w:cs="Arial"/>
          <w:sz w:val="22"/>
          <w:szCs w:val="22"/>
        </w:rPr>
        <w:t>B.</w:t>
      </w:r>
      <w:r w:rsidRPr="50F2224D" w:rsidR="75EAD0E0">
        <w:rPr>
          <w:rFonts w:ascii="Arial" w:hAnsi="Arial" w:eastAsia="Arial" w:cs="Arial"/>
          <w:sz w:val="22"/>
          <w:szCs w:val="22"/>
        </w:rPr>
        <w:t xml:space="preserve"> and Donaldson, S.B.</w:t>
      </w:r>
      <w:r w:rsidRPr="50F2224D" w:rsidR="55C68561">
        <w:rPr>
          <w:rFonts w:ascii="Arial" w:hAnsi="Arial" w:eastAsia="Arial" w:cs="Arial"/>
          <w:sz w:val="22"/>
          <w:szCs w:val="22"/>
        </w:rPr>
        <w:t xml:space="preserve"> (</w:t>
      </w:r>
      <w:r w:rsidRPr="50F2224D" w:rsidR="75EAD0E0">
        <w:rPr>
          <w:rFonts w:ascii="Arial" w:hAnsi="Arial" w:eastAsia="Arial" w:cs="Arial"/>
          <w:sz w:val="22"/>
          <w:szCs w:val="22"/>
        </w:rPr>
        <w:t>2017</w:t>
      </w:r>
      <w:r w:rsidRPr="50F2224D" w:rsidR="2E571670">
        <w:rPr>
          <w:rFonts w:ascii="Arial" w:hAnsi="Arial" w:eastAsia="Arial" w:cs="Arial"/>
          <w:sz w:val="22"/>
          <w:szCs w:val="22"/>
        </w:rPr>
        <w:t>)</w:t>
      </w:r>
      <w:r w:rsidRPr="50F2224D" w:rsidR="75EAD0E0">
        <w:rPr>
          <w:rFonts w:ascii="Arial" w:hAnsi="Arial" w:eastAsia="Arial" w:cs="Arial"/>
          <w:sz w:val="22"/>
          <w:szCs w:val="22"/>
        </w:rPr>
        <w:t>. Medication without harm: WHO's third global patient safety challenge. </w:t>
      </w:r>
      <w:r w:rsidRPr="50F2224D" w:rsidR="75EAD0E0">
        <w:rPr>
          <w:rFonts w:ascii="Arial" w:hAnsi="Arial" w:eastAsia="Arial" w:cs="Arial"/>
          <w:i w:val="1"/>
          <w:iCs w:val="1"/>
          <w:sz w:val="22"/>
          <w:szCs w:val="22"/>
        </w:rPr>
        <w:t>The Lancet</w:t>
      </w:r>
      <w:r w:rsidRPr="50F2224D" w:rsidR="75EAD0E0">
        <w:rPr>
          <w:rFonts w:ascii="Arial" w:hAnsi="Arial" w:eastAsia="Arial" w:cs="Arial"/>
          <w:sz w:val="22"/>
          <w:szCs w:val="22"/>
        </w:rPr>
        <w:t>, 389(10080), pp.1680–1681.</w:t>
      </w:r>
    </w:p>
    <w:p w:rsidRPr="00BC0825" w:rsidR="00BC0825" w:rsidP="50F2224D" w:rsidRDefault="00BC0825" w14:paraId="39A4E432" w14:textId="32CC00C9">
      <w:pPr>
        <w:pStyle w:val="ListParagraph"/>
        <w:numPr>
          <w:ilvl w:val="0"/>
          <w:numId w:val="1"/>
        </w:numPr>
        <w:spacing w:after="0" w:line="360" w:lineRule="auto"/>
        <w:rPr>
          <w:rFonts w:ascii="Arial" w:hAnsi="Arial" w:eastAsia="Arial" w:cs="Arial"/>
          <w:sz w:val="22"/>
          <w:szCs w:val="22"/>
        </w:rPr>
      </w:pPr>
      <w:r w:rsidRPr="50F2224D" w:rsidR="66F98790">
        <w:rPr>
          <w:rFonts w:ascii="Arial" w:hAnsi="Arial" w:eastAsia="Arial" w:cs="Arial"/>
          <w:sz w:val="22"/>
          <w:szCs w:val="22"/>
        </w:rPr>
        <w:t>Ferlie, E.B. and Shortell, S.M. (2001). Improving the quality of health care in the United Kingdom and the United States: a framework for change. </w:t>
      </w:r>
      <w:r w:rsidRPr="50F2224D" w:rsidR="66F98790">
        <w:rPr>
          <w:rFonts w:ascii="Arial" w:hAnsi="Arial" w:eastAsia="Arial" w:cs="Arial"/>
          <w:i w:val="1"/>
          <w:iCs w:val="1"/>
          <w:sz w:val="22"/>
          <w:szCs w:val="22"/>
        </w:rPr>
        <w:t>The Milbank Quarterly</w:t>
      </w:r>
      <w:r w:rsidRPr="50F2224D" w:rsidR="66F98790">
        <w:rPr>
          <w:rFonts w:ascii="Arial" w:hAnsi="Arial" w:eastAsia="Arial" w:cs="Arial"/>
          <w:sz w:val="22"/>
          <w:szCs w:val="22"/>
        </w:rPr>
        <w:t>, 79(2), pp.281–315.</w:t>
      </w:r>
    </w:p>
    <w:p w:rsidRPr="00BC0825" w:rsidR="00BC0825" w:rsidP="50F2224D" w:rsidRDefault="00BC0825" w14:paraId="25A6A0A8" w14:textId="16730444">
      <w:pPr>
        <w:pStyle w:val="ListParagraph"/>
        <w:numPr>
          <w:ilvl w:val="0"/>
          <w:numId w:val="1"/>
        </w:numPr>
        <w:spacing w:after="0" w:line="360" w:lineRule="auto"/>
        <w:rPr>
          <w:rFonts w:ascii="Arial" w:hAnsi="Arial" w:eastAsia="Arial" w:cs="Arial"/>
          <w:sz w:val="22"/>
          <w:szCs w:val="22"/>
        </w:rPr>
      </w:pPr>
      <w:r w:rsidRPr="50F2224D" w:rsidR="66F98790">
        <w:rPr>
          <w:rFonts w:ascii="Arial" w:hAnsi="Arial" w:eastAsia="Arial" w:cs="Arial"/>
          <w:sz w:val="22"/>
          <w:szCs w:val="22"/>
        </w:rPr>
        <w:t>Giltinane, C.L. (2013). Leadership styles and theories. </w:t>
      </w:r>
      <w:r w:rsidRPr="50F2224D" w:rsidR="66F98790">
        <w:rPr>
          <w:rFonts w:ascii="Arial" w:hAnsi="Arial" w:eastAsia="Arial" w:cs="Arial"/>
          <w:i w:val="1"/>
          <w:iCs w:val="1"/>
          <w:sz w:val="22"/>
          <w:szCs w:val="22"/>
        </w:rPr>
        <w:t>Nursing Standard</w:t>
      </w:r>
      <w:r w:rsidRPr="50F2224D" w:rsidR="66F98790">
        <w:rPr>
          <w:rFonts w:ascii="Arial" w:hAnsi="Arial" w:eastAsia="Arial" w:cs="Arial"/>
          <w:sz w:val="22"/>
          <w:szCs w:val="22"/>
        </w:rPr>
        <w:t>, 27(41), pp.35–39.</w:t>
      </w:r>
    </w:p>
    <w:p w:rsidRPr="00BC0825" w:rsidR="00BC0825" w:rsidP="50F2224D" w:rsidRDefault="00BC0825" w14:paraId="1030796E" w14:textId="177A84A9">
      <w:pPr>
        <w:pStyle w:val="ListParagraph"/>
        <w:numPr>
          <w:ilvl w:val="0"/>
          <w:numId w:val="1"/>
        </w:numPr>
        <w:spacing w:after="0" w:line="360" w:lineRule="auto"/>
        <w:rPr>
          <w:rFonts w:ascii="Arial" w:hAnsi="Arial" w:eastAsia="Arial" w:cs="Arial"/>
          <w:kern w:val="0"/>
          <w:sz w:val="22"/>
          <w:szCs w:val="22"/>
          <w14:ligatures w14:val="none"/>
        </w:rPr>
      </w:pPr>
      <w:r w:rsidRPr="50F2224D" w:rsidR="66F98790">
        <w:rPr>
          <w:rFonts w:ascii="Arial" w:hAnsi="Arial" w:eastAsia="Arial" w:cs="Arial"/>
          <w:sz w:val="22"/>
          <w:szCs w:val="22"/>
        </w:rPr>
        <w:t xml:space="preserve">Greenhalgh, T., </w:t>
      </w:r>
      <w:r w:rsidRPr="50F2224D" w:rsidR="66F98790">
        <w:rPr>
          <w:rFonts w:ascii="Arial" w:hAnsi="Arial" w:eastAsia="Arial" w:cs="Arial"/>
          <w:sz w:val="22"/>
          <w:szCs w:val="22"/>
        </w:rPr>
        <w:t>Wherton</w:t>
      </w:r>
      <w:r w:rsidRPr="50F2224D" w:rsidR="66F98790">
        <w:rPr>
          <w:rFonts w:ascii="Arial" w:hAnsi="Arial" w:eastAsia="Arial" w:cs="Arial"/>
          <w:sz w:val="22"/>
          <w:szCs w:val="22"/>
        </w:rPr>
        <w:t xml:space="preserve">, J., Papoutsi, C., Lynch, J., Hughes, G., A'Court, C., Hinder, S., Fahy, N., Procter, </w:t>
      </w:r>
      <w:r w:rsidRPr="50F2224D" w:rsidR="66F98790">
        <w:rPr>
          <w:rFonts w:ascii="Arial" w:hAnsi="Arial" w:eastAsia="Arial" w:cs="Arial"/>
          <w:sz w:val="22"/>
          <w:szCs w:val="22"/>
        </w:rPr>
        <w:t>R.</w:t>
      </w:r>
      <w:r w:rsidRPr="50F2224D" w:rsidR="66F98790">
        <w:rPr>
          <w:rFonts w:ascii="Arial" w:hAnsi="Arial" w:eastAsia="Arial" w:cs="Arial"/>
          <w:sz w:val="22"/>
          <w:szCs w:val="22"/>
        </w:rPr>
        <w:t xml:space="preserve"> and Shaw, S. (2017). Beyond adoption: a new framework for theorizing and evaluating </w:t>
      </w:r>
      <w:r w:rsidRPr="50F2224D" w:rsidR="66F98790">
        <w:rPr>
          <w:rFonts w:ascii="Arial" w:hAnsi="Arial" w:eastAsia="Arial" w:cs="Arial"/>
          <w:sz w:val="22"/>
          <w:szCs w:val="22"/>
        </w:rPr>
        <w:t>nonadoption</w:t>
      </w:r>
      <w:r w:rsidRPr="50F2224D" w:rsidR="66F98790">
        <w:rPr>
          <w:rFonts w:ascii="Arial" w:hAnsi="Arial" w:eastAsia="Arial" w:cs="Arial"/>
          <w:sz w:val="22"/>
          <w:szCs w:val="22"/>
        </w:rPr>
        <w:t>, abandonment, and challenges to the scale-up, spread, and sustainability of health and care technologies. </w:t>
      </w:r>
      <w:r w:rsidRPr="50F2224D" w:rsidR="66F98790">
        <w:rPr>
          <w:rFonts w:ascii="Arial" w:hAnsi="Arial" w:eastAsia="Arial" w:cs="Arial"/>
          <w:i w:val="1"/>
          <w:iCs w:val="1"/>
          <w:sz w:val="22"/>
          <w:szCs w:val="22"/>
        </w:rPr>
        <w:t>Journal of Medical Internet Research</w:t>
      </w:r>
      <w:r w:rsidRPr="50F2224D" w:rsidR="66F98790">
        <w:rPr>
          <w:rFonts w:ascii="Arial" w:hAnsi="Arial" w:eastAsia="Arial" w:cs="Arial"/>
          <w:sz w:val="22"/>
          <w:szCs w:val="22"/>
        </w:rPr>
        <w:t>, 19(11), p.e367.</w:t>
      </w:r>
    </w:p>
    <w:p w:rsidRPr="00BC0825" w:rsidR="00BC0825" w:rsidP="50F2224D" w:rsidRDefault="00BC0825" w14:paraId="48EC8DDB" w14:textId="15EFF6B8">
      <w:pPr>
        <w:pStyle w:val="ListParagraph"/>
        <w:numPr>
          <w:ilvl w:val="0"/>
          <w:numId w:val="1"/>
        </w:numPr>
        <w:spacing w:after="0" w:line="360" w:lineRule="auto"/>
        <w:rPr>
          <w:rFonts w:ascii="Arial" w:hAnsi="Arial" w:eastAsia="Arial" w:cs="Arial"/>
          <w:kern w:val="0"/>
          <w:sz w:val="22"/>
          <w:szCs w:val="22"/>
          <w14:ligatures w14:val="none"/>
        </w:rPr>
      </w:pPr>
      <w:r w:rsidRPr="50F2224D" w:rsidR="75EAD0E0">
        <w:rPr>
          <w:rFonts w:ascii="Arial" w:hAnsi="Arial" w:eastAsia="Arial" w:cs="Arial"/>
          <w:kern w:val="0"/>
          <w:sz w:val="22"/>
          <w:szCs w:val="22"/>
          <w14:ligatures w14:val="none"/>
        </w:rPr>
        <w:t xml:space="preserve">Holden, R.J., </w:t>
      </w:r>
      <w:r w:rsidRPr="50F2224D" w:rsidR="75EAD0E0">
        <w:rPr>
          <w:rFonts w:ascii="Arial" w:hAnsi="Arial" w:eastAsia="Arial" w:cs="Arial"/>
          <w:sz w:val="22"/>
          <w:szCs w:val="22"/>
        </w:rPr>
        <w:t>Carayon</w:t>
      </w:r>
      <w:r w:rsidRPr="50F2224D" w:rsidR="75EAD0E0">
        <w:rPr>
          <w:rFonts w:ascii="Arial" w:hAnsi="Arial" w:eastAsia="Arial" w:cs="Arial"/>
          <w:sz w:val="22"/>
          <w:szCs w:val="22"/>
        </w:rPr>
        <w:t xml:space="preserve">, P., </w:t>
      </w:r>
      <w:r w:rsidRPr="50F2224D" w:rsidR="75EAD0E0">
        <w:rPr>
          <w:rFonts w:ascii="Arial" w:hAnsi="Arial" w:eastAsia="Arial" w:cs="Arial"/>
          <w:sz w:val="22"/>
          <w:szCs w:val="22"/>
        </w:rPr>
        <w:t>Gurses</w:t>
      </w:r>
      <w:r w:rsidRPr="50F2224D" w:rsidR="75EAD0E0">
        <w:rPr>
          <w:rFonts w:ascii="Arial" w:hAnsi="Arial" w:eastAsia="Arial" w:cs="Arial"/>
          <w:sz w:val="22"/>
          <w:szCs w:val="22"/>
        </w:rPr>
        <w:t xml:space="preserve">, A.P., </w:t>
      </w:r>
      <w:r w:rsidRPr="50F2224D" w:rsidR="75EAD0E0">
        <w:rPr>
          <w:rFonts w:ascii="Arial" w:hAnsi="Arial" w:eastAsia="Arial" w:cs="Arial"/>
          <w:sz w:val="22"/>
          <w:szCs w:val="22"/>
        </w:rPr>
        <w:t>Hoonakker</w:t>
      </w:r>
      <w:r w:rsidRPr="50F2224D" w:rsidR="75EAD0E0">
        <w:rPr>
          <w:rFonts w:ascii="Arial" w:hAnsi="Arial" w:eastAsia="Arial" w:cs="Arial"/>
          <w:sz w:val="22"/>
          <w:szCs w:val="22"/>
        </w:rPr>
        <w:t xml:space="preserve">, P., Hundt, A.S., </w:t>
      </w:r>
      <w:r w:rsidRPr="50F2224D" w:rsidR="75EAD0E0">
        <w:rPr>
          <w:rFonts w:ascii="Arial" w:hAnsi="Arial" w:eastAsia="Arial" w:cs="Arial"/>
          <w:sz w:val="22"/>
          <w:szCs w:val="22"/>
        </w:rPr>
        <w:t>Ozok</w:t>
      </w:r>
      <w:r w:rsidRPr="50F2224D" w:rsidR="75EAD0E0">
        <w:rPr>
          <w:rFonts w:ascii="Arial" w:hAnsi="Arial" w:eastAsia="Arial" w:cs="Arial"/>
          <w:sz w:val="22"/>
          <w:szCs w:val="22"/>
        </w:rPr>
        <w:t>, A.A. and Rivera-Rodriguez, A.J.</w:t>
      </w:r>
      <w:r w:rsidRPr="50F2224D" w:rsidR="4D129D9B">
        <w:rPr>
          <w:rFonts w:ascii="Arial" w:hAnsi="Arial" w:eastAsia="Arial" w:cs="Arial"/>
          <w:sz w:val="22"/>
          <w:szCs w:val="22"/>
        </w:rPr>
        <w:t xml:space="preserve"> (</w:t>
      </w:r>
      <w:r w:rsidRPr="50F2224D" w:rsidR="75EAD0E0">
        <w:rPr>
          <w:rFonts w:ascii="Arial" w:hAnsi="Arial" w:eastAsia="Arial" w:cs="Arial"/>
          <w:sz w:val="22"/>
          <w:szCs w:val="22"/>
        </w:rPr>
        <w:t>2013</w:t>
      </w:r>
      <w:r w:rsidRPr="50F2224D" w:rsidR="2A915CDB">
        <w:rPr>
          <w:rFonts w:ascii="Arial" w:hAnsi="Arial" w:eastAsia="Arial" w:cs="Arial"/>
          <w:sz w:val="22"/>
          <w:szCs w:val="22"/>
        </w:rPr>
        <w:t>).</w:t>
      </w:r>
      <w:r w:rsidRPr="50F2224D" w:rsidR="75EAD0E0">
        <w:rPr>
          <w:rFonts w:ascii="Arial" w:hAnsi="Arial" w:eastAsia="Arial" w:cs="Arial"/>
          <w:sz w:val="22"/>
          <w:szCs w:val="22"/>
        </w:rPr>
        <w:t xml:space="preserve"> SEIPS 2.0: a human factors framework for multi-level systems engineering in healthcare. </w:t>
      </w:r>
      <w:r w:rsidRPr="50F2224D" w:rsidR="75EAD0E0">
        <w:rPr>
          <w:rFonts w:ascii="Arial" w:hAnsi="Arial" w:eastAsia="Arial" w:cs="Arial"/>
          <w:i w:val="1"/>
          <w:iCs w:val="1"/>
          <w:sz w:val="22"/>
          <w:szCs w:val="22"/>
        </w:rPr>
        <w:t>Ergonomics</w:t>
      </w:r>
      <w:r w:rsidRPr="50F2224D" w:rsidR="75EAD0E0">
        <w:rPr>
          <w:rFonts w:ascii="Arial" w:hAnsi="Arial" w:eastAsia="Arial" w:cs="Arial"/>
          <w:sz w:val="22"/>
          <w:szCs w:val="22"/>
        </w:rPr>
        <w:t>, 56(11), pp.1669–1686.</w:t>
      </w:r>
    </w:p>
    <w:p w:rsidRPr="00BC0825" w:rsidR="00BC0825" w:rsidP="50F2224D" w:rsidRDefault="00BC0825" w14:paraId="7231B1CB" w14:textId="3B8CD69A">
      <w:pPr>
        <w:pStyle w:val="ListParagraph"/>
        <w:numPr>
          <w:ilvl w:val="0"/>
          <w:numId w:val="1"/>
        </w:numPr>
        <w:spacing w:after="0" w:line="360" w:lineRule="auto"/>
        <w:rPr>
          <w:rFonts w:ascii="Arial" w:hAnsi="Arial" w:eastAsia="Arial" w:cs="Arial"/>
          <w:kern w:val="0"/>
          <w:sz w:val="22"/>
          <w:szCs w:val="22"/>
          <w14:ligatures w14:val="none"/>
        </w:rPr>
      </w:pPr>
      <w:r w:rsidRPr="50F2224D" w:rsidR="75EAD0E0">
        <w:rPr>
          <w:rFonts w:ascii="Arial" w:hAnsi="Arial" w:eastAsia="Arial" w:cs="Arial"/>
          <w:kern w:val="0"/>
          <w:sz w:val="22"/>
          <w:szCs w:val="22"/>
          <w14:ligatures w14:val="none"/>
        </w:rPr>
        <w:t xml:space="preserve">Institute for Healthcare </w:t>
      </w:r>
      <w:r w:rsidRPr="50F2224D" w:rsidR="3DD840B4">
        <w:rPr>
          <w:rFonts w:ascii="Arial" w:hAnsi="Arial" w:eastAsia="Arial" w:cs="Arial"/>
          <w:sz w:val="22"/>
          <w:szCs w:val="22"/>
        </w:rPr>
        <w:t>Improvement (</w:t>
      </w:r>
      <w:r w:rsidRPr="50F2224D" w:rsidR="75EAD0E0">
        <w:rPr>
          <w:rFonts w:ascii="Arial" w:hAnsi="Arial" w:eastAsia="Arial" w:cs="Arial"/>
          <w:sz w:val="22"/>
          <w:szCs w:val="22"/>
        </w:rPr>
        <w:t>2022</w:t>
      </w:r>
      <w:r w:rsidRPr="50F2224D" w:rsidR="3FEC5D94">
        <w:rPr>
          <w:rFonts w:ascii="Arial" w:hAnsi="Arial" w:eastAsia="Arial" w:cs="Arial"/>
          <w:sz w:val="22"/>
          <w:szCs w:val="22"/>
        </w:rPr>
        <w:t>)</w:t>
      </w:r>
      <w:r w:rsidRPr="50F2224D" w:rsidR="75EAD0E0">
        <w:rPr>
          <w:rFonts w:ascii="Arial" w:hAnsi="Arial" w:eastAsia="Arial" w:cs="Arial"/>
          <w:sz w:val="22"/>
          <w:szCs w:val="22"/>
        </w:rPr>
        <w:t>. </w:t>
      </w:r>
      <w:r w:rsidRPr="50F2224D" w:rsidR="75EAD0E0">
        <w:rPr>
          <w:rFonts w:ascii="Arial" w:hAnsi="Arial" w:eastAsia="Arial" w:cs="Arial"/>
          <w:i w:val="1"/>
          <w:iCs w:val="1"/>
          <w:sz w:val="22"/>
          <w:szCs w:val="22"/>
        </w:rPr>
        <w:t>Transforming medication safety during transitions of care</w:t>
      </w:r>
      <w:r w:rsidRPr="50F2224D" w:rsidR="75EAD0E0">
        <w:rPr>
          <w:rFonts w:ascii="Arial" w:hAnsi="Arial" w:eastAsia="Arial" w:cs="Arial"/>
          <w:sz w:val="22"/>
          <w:szCs w:val="22"/>
        </w:rPr>
        <w:t>. Boston: IHI.</w:t>
      </w:r>
    </w:p>
    <w:p w:rsidRPr="00BC0825" w:rsidR="00BC0825" w:rsidP="50F2224D" w:rsidRDefault="00BC0825" w14:paraId="777EA756" w14:textId="471D2FC1">
      <w:pPr>
        <w:pStyle w:val="ListParagraph"/>
        <w:numPr>
          <w:ilvl w:val="0"/>
          <w:numId w:val="1"/>
        </w:numPr>
        <w:spacing w:after="0" w:line="360" w:lineRule="auto"/>
        <w:rPr>
          <w:rFonts w:ascii="Arial" w:hAnsi="Arial" w:eastAsia="Arial" w:cs="Arial"/>
          <w:kern w:val="0"/>
          <w:sz w:val="22"/>
          <w:szCs w:val="22"/>
          <w14:ligatures w14:val="none"/>
        </w:rPr>
      </w:pPr>
      <w:r w:rsidRPr="50F2224D" w:rsidR="75EAD0E0">
        <w:rPr>
          <w:rFonts w:ascii="Arial" w:hAnsi="Arial" w:eastAsia="Arial" w:cs="Arial"/>
          <w:kern w:val="0"/>
          <w:sz w:val="22"/>
          <w:szCs w:val="22"/>
          <w14:ligatures w14:val="none"/>
        </w:rPr>
        <w:t>Kohn</w:t>
      </w:r>
      <w:r w:rsidRPr="50F2224D" w:rsidR="75EAD0E0">
        <w:rPr>
          <w:rFonts w:ascii="Arial" w:hAnsi="Arial" w:eastAsia="Arial" w:cs="Arial"/>
          <w:sz w:val="22"/>
          <w:szCs w:val="22"/>
        </w:rPr>
        <w:t>, L.T., Corrigan, J.M. and Donaldson, M.S. eds., 2000. </w:t>
      </w:r>
      <w:r w:rsidRPr="50F2224D" w:rsidR="75EAD0E0">
        <w:rPr>
          <w:rFonts w:ascii="Arial" w:hAnsi="Arial" w:eastAsia="Arial" w:cs="Arial"/>
          <w:i w:val="1"/>
          <w:iCs w:val="1"/>
          <w:sz w:val="22"/>
          <w:szCs w:val="22"/>
        </w:rPr>
        <w:t>To err is human: building a safer health system</w:t>
      </w:r>
      <w:r w:rsidRPr="50F2224D" w:rsidR="75EAD0E0">
        <w:rPr>
          <w:rFonts w:ascii="Arial" w:hAnsi="Arial" w:eastAsia="Arial" w:cs="Arial"/>
          <w:sz w:val="22"/>
          <w:szCs w:val="22"/>
        </w:rPr>
        <w:t>. Washington, DC: National Academies Press.</w:t>
      </w:r>
    </w:p>
    <w:p w:rsidRPr="00BC0825" w:rsidR="00BC0825" w:rsidP="50F2224D" w:rsidRDefault="00BC0825" w14:paraId="50E69257" w14:textId="5C6B2074">
      <w:pPr>
        <w:pStyle w:val="ListParagraph"/>
        <w:numPr>
          <w:ilvl w:val="0"/>
          <w:numId w:val="1"/>
        </w:numPr>
        <w:spacing w:after="0" w:line="360" w:lineRule="auto"/>
        <w:rPr>
          <w:rFonts w:ascii="Arial" w:hAnsi="Arial" w:eastAsia="Arial" w:cs="Arial"/>
          <w:kern w:val="0"/>
          <w:sz w:val="22"/>
          <w:szCs w:val="22"/>
          <w14:ligatures w14:val="none"/>
        </w:rPr>
      </w:pPr>
      <w:r w:rsidRPr="50F2224D" w:rsidR="75EAD0E0">
        <w:rPr>
          <w:rFonts w:ascii="Arial" w:hAnsi="Arial" w:eastAsia="Arial" w:cs="Arial"/>
          <w:kern w:val="0"/>
          <w:sz w:val="22"/>
          <w:szCs w:val="22"/>
          <w14:ligatures w14:val="none"/>
        </w:rPr>
        <w:t>Macrae</w:t>
      </w:r>
      <w:r w:rsidRPr="50F2224D" w:rsidR="75EAD0E0">
        <w:rPr>
          <w:rFonts w:ascii="Arial" w:hAnsi="Arial" w:eastAsia="Arial" w:cs="Arial"/>
          <w:sz w:val="22"/>
          <w:szCs w:val="22"/>
        </w:rPr>
        <w:t>, C., 2016. The problem with incident reporting. </w:t>
      </w:r>
      <w:r w:rsidRPr="50F2224D" w:rsidR="75EAD0E0">
        <w:rPr>
          <w:rFonts w:ascii="Arial" w:hAnsi="Arial" w:eastAsia="Arial" w:cs="Arial"/>
          <w:i w:val="1"/>
          <w:iCs w:val="1"/>
          <w:sz w:val="22"/>
          <w:szCs w:val="22"/>
        </w:rPr>
        <w:t>BMJ Quality &amp; Safety</w:t>
      </w:r>
      <w:r w:rsidRPr="50F2224D" w:rsidR="75EAD0E0">
        <w:rPr>
          <w:rFonts w:ascii="Arial" w:hAnsi="Arial" w:eastAsia="Arial" w:cs="Arial"/>
          <w:sz w:val="22"/>
          <w:szCs w:val="22"/>
        </w:rPr>
        <w:t>, 25(10), pp.716–721.</w:t>
      </w:r>
    </w:p>
    <w:p w:rsidRPr="00BC0825" w:rsidR="00BC0825" w:rsidP="50F2224D" w:rsidRDefault="00BC0825" w14:paraId="3888F670" w14:textId="4A93FE98">
      <w:pPr>
        <w:pStyle w:val="ListParagraph"/>
        <w:numPr>
          <w:ilvl w:val="0"/>
          <w:numId w:val="1"/>
        </w:numPr>
        <w:spacing w:after="0" w:line="360" w:lineRule="auto"/>
        <w:rPr>
          <w:rFonts w:ascii="Arial" w:hAnsi="Arial" w:eastAsia="Arial" w:cs="Arial"/>
          <w:kern w:val="0"/>
          <w:sz w:val="22"/>
          <w:szCs w:val="22"/>
          <w14:ligatures w14:val="none"/>
        </w:rPr>
      </w:pPr>
      <w:r w:rsidRPr="50F2224D" w:rsidR="75EAD0E0">
        <w:rPr>
          <w:rFonts w:ascii="Arial" w:hAnsi="Arial" w:eastAsia="Arial" w:cs="Arial"/>
          <w:kern w:val="0"/>
          <w:sz w:val="22"/>
          <w:szCs w:val="22"/>
          <w14:ligatures w14:val="none"/>
        </w:rPr>
        <w:t>National Institute for Health and Care Excellence (NICE), 2015. </w:t>
      </w:r>
      <w:r w:rsidRPr="50F2224D" w:rsidR="75EAD0E0">
        <w:rPr>
          <w:rFonts w:ascii="Arial" w:hAnsi="Arial" w:eastAsia="Arial" w:cs="Arial"/>
          <w:i w:val="1"/>
          <w:iCs w:val="1"/>
          <w:sz w:val="22"/>
          <w:szCs w:val="22"/>
        </w:rPr>
        <w:t>Medicines optimisation: the safe and effective use of medicines to enable the best possible outcomes</w:t>
      </w:r>
      <w:r w:rsidRPr="50F2224D" w:rsidR="75EAD0E0">
        <w:rPr>
          <w:rFonts w:ascii="Arial" w:hAnsi="Arial" w:eastAsia="Arial" w:cs="Arial"/>
          <w:sz w:val="22"/>
          <w:szCs w:val="22"/>
        </w:rPr>
        <w:t>. London: NICE.</w:t>
      </w:r>
    </w:p>
    <w:p w:rsidRPr="00BC0825" w:rsidR="00BC0825" w:rsidP="50F2224D" w:rsidRDefault="00BC0825" w14:paraId="7962F090" w14:textId="07B0A17F">
      <w:pPr>
        <w:pStyle w:val="ListParagraph"/>
        <w:numPr>
          <w:ilvl w:val="0"/>
          <w:numId w:val="1"/>
        </w:numPr>
        <w:spacing w:after="0" w:line="360" w:lineRule="auto"/>
        <w:rPr>
          <w:rFonts w:ascii="Arial" w:hAnsi="Arial" w:eastAsia="Arial" w:cs="Arial"/>
          <w:kern w:val="0"/>
          <w:sz w:val="22"/>
          <w:szCs w:val="22"/>
          <w14:ligatures w14:val="none"/>
        </w:rPr>
      </w:pPr>
      <w:r w:rsidRPr="50F2224D" w:rsidR="75EAD0E0">
        <w:rPr>
          <w:rFonts w:ascii="Arial" w:hAnsi="Arial" w:eastAsia="Arial" w:cs="Arial"/>
          <w:kern w:val="0"/>
          <w:sz w:val="22"/>
          <w:szCs w:val="22"/>
          <w14:ligatures w14:val="none"/>
        </w:rPr>
        <w:t>NHS</w:t>
      </w:r>
      <w:r w:rsidRPr="50F2224D" w:rsidR="75EAD0E0">
        <w:rPr>
          <w:rFonts w:ascii="Arial" w:hAnsi="Arial" w:eastAsia="Arial" w:cs="Arial"/>
          <w:sz w:val="22"/>
          <w:szCs w:val="22"/>
        </w:rPr>
        <w:t xml:space="preserve"> England, 2024. </w:t>
      </w:r>
      <w:r w:rsidRPr="50F2224D" w:rsidR="75EAD0E0">
        <w:rPr>
          <w:rFonts w:ascii="Arial" w:hAnsi="Arial" w:eastAsia="Arial" w:cs="Arial"/>
          <w:i w:val="1"/>
          <w:iCs w:val="1"/>
          <w:sz w:val="22"/>
          <w:szCs w:val="22"/>
        </w:rPr>
        <w:t>The NHS patient safety strategy: embedding a culture of safety across secondary care systems</w:t>
      </w:r>
      <w:r w:rsidRPr="50F2224D" w:rsidR="75EAD0E0">
        <w:rPr>
          <w:rFonts w:ascii="Arial" w:hAnsi="Arial" w:eastAsia="Arial" w:cs="Arial"/>
          <w:sz w:val="22"/>
          <w:szCs w:val="22"/>
        </w:rPr>
        <w:t>. London: NHS England.</w:t>
      </w:r>
    </w:p>
    <w:p w:rsidRPr="00BC0825" w:rsidR="00BC0825" w:rsidP="50F2224D" w:rsidRDefault="00BC0825" w14:paraId="63B3C842" w14:textId="3A1D6B2B">
      <w:pPr>
        <w:pStyle w:val="ListParagraph"/>
        <w:numPr>
          <w:ilvl w:val="0"/>
          <w:numId w:val="1"/>
        </w:numPr>
        <w:spacing w:after="0" w:line="360" w:lineRule="auto"/>
        <w:rPr>
          <w:rFonts w:ascii="Arial" w:hAnsi="Arial" w:eastAsia="Arial" w:cs="Arial"/>
          <w:kern w:val="0"/>
          <w:sz w:val="22"/>
          <w:szCs w:val="22"/>
          <w14:ligatures w14:val="none"/>
        </w:rPr>
      </w:pPr>
      <w:r w:rsidRPr="50F2224D" w:rsidR="75EAD0E0">
        <w:rPr>
          <w:rFonts w:ascii="Arial" w:hAnsi="Arial" w:eastAsia="Arial" w:cs="Arial"/>
          <w:kern w:val="0"/>
          <w:sz w:val="22"/>
          <w:szCs w:val="22"/>
          <w14:ligatures w14:val="none"/>
        </w:rPr>
        <w:t xml:space="preserve">North Yorkshire Integrated Care Board </w:t>
      </w:r>
      <w:r w:rsidRPr="50F2224D" w:rsidR="1B3049E2">
        <w:rPr>
          <w:rFonts w:ascii="Arial" w:hAnsi="Arial" w:eastAsia="Arial" w:cs="Arial"/>
          <w:sz w:val="22"/>
          <w:szCs w:val="22"/>
        </w:rPr>
        <w:t>(</w:t>
      </w:r>
      <w:r w:rsidRPr="50F2224D" w:rsidR="75EAD0E0">
        <w:rPr>
          <w:rFonts w:ascii="Arial" w:hAnsi="Arial" w:eastAsia="Arial" w:cs="Arial"/>
          <w:sz w:val="22"/>
          <w:szCs w:val="22"/>
        </w:rPr>
        <w:t>202</w:t>
      </w:r>
      <w:r w:rsidRPr="50F2224D" w:rsidR="75C3277F">
        <w:rPr>
          <w:rFonts w:ascii="Arial" w:hAnsi="Arial" w:eastAsia="Arial" w:cs="Arial"/>
          <w:sz w:val="22"/>
          <w:szCs w:val="22"/>
        </w:rPr>
        <w:t>0)</w:t>
      </w:r>
      <w:r w:rsidRPr="50F2224D" w:rsidR="75EAD0E0">
        <w:rPr>
          <w:rFonts w:ascii="Arial" w:hAnsi="Arial" w:eastAsia="Arial" w:cs="Arial"/>
          <w:sz w:val="22"/>
          <w:szCs w:val="22"/>
        </w:rPr>
        <w:t>. </w:t>
      </w:r>
      <w:r w:rsidRPr="50F2224D" w:rsidR="75EAD0E0">
        <w:rPr>
          <w:rFonts w:ascii="Arial" w:hAnsi="Arial" w:eastAsia="Arial" w:cs="Arial"/>
          <w:i w:val="1"/>
          <w:iCs w:val="1"/>
          <w:sz w:val="22"/>
          <w:szCs w:val="22"/>
        </w:rPr>
        <w:t>Regional formulary management and safer prescribing guidelines for high-risk medications</w:t>
      </w:r>
      <w:r w:rsidRPr="50F2224D" w:rsidR="75EAD0E0">
        <w:rPr>
          <w:rFonts w:ascii="Arial" w:hAnsi="Arial" w:eastAsia="Arial" w:cs="Arial"/>
          <w:sz w:val="22"/>
          <w:szCs w:val="22"/>
        </w:rPr>
        <w:t>. North Yorkshire: ICB.</w:t>
      </w:r>
    </w:p>
    <w:p w:rsidRPr="00BC0825" w:rsidR="00BC0825" w:rsidP="50F2224D" w:rsidRDefault="00BC0825" w14:paraId="0316873D" w14:textId="3E6A0A4A">
      <w:pPr>
        <w:pStyle w:val="ListParagraph"/>
        <w:numPr>
          <w:ilvl w:val="0"/>
          <w:numId w:val="1"/>
        </w:numPr>
        <w:spacing w:after="0" w:line="360" w:lineRule="auto"/>
        <w:rPr>
          <w:rFonts w:ascii="Arial" w:hAnsi="Arial" w:eastAsia="Arial" w:cs="Arial"/>
          <w:kern w:val="0"/>
          <w:sz w:val="22"/>
          <w:szCs w:val="22"/>
          <w14:ligatures w14:val="none"/>
        </w:rPr>
      </w:pPr>
      <w:r w:rsidRPr="50F2224D" w:rsidR="75EAD0E0">
        <w:rPr>
          <w:rFonts w:ascii="Arial" w:hAnsi="Arial" w:eastAsia="Arial" w:cs="Arial"/>
          <w:kern w:val="0"/>
          <w:sz w:val="22"/>
          <w:szCs w:val="22"/>
          <w14:ligatures w14:val="none"/>
        </w:rPr>
        <w:t xml:space="preserve">Organisation for Economic Co-operation and Development </w:t>
      </w:r>
      <w:r w:rsidRPr="50F2224D" w:rsidR="4F09194E">
        <w:rPr>
          <w:rFonts w:ascii="Arial" w:hAnsi="Arial" w:eastAsia="Arial" w:cs="Arial"/>
          <w:sz w:val="22"/>
          <w:szCs w:val="22"/>
        </w:rPr>
        <w:t>(2</w:t>
      </w:r>
      <w:r w:rsidRPr="50F2224D" w:rsidR="75EAD0E0">
        <w:rPr>
          <w:rFonts w:ascii="Arial" w:hAnsi="Arial" w:eastAsia="Arial" w:cs="Arial"/>
          <w:sz w:val="22"/>
          <w:szCs w:val="22"/>
        </w:rPr>
        <w:t>020</w:t>
      </w:r>
      <w:r w:rsidRPr="50F2224D" w:rsidR="74311762">
        <w:rPr>
          <w:rFonts w:ascii="Arial" w:hAnsi="Arial" w:eastAsia="Arial" w:cs="Arial"/>
          <w:sz w:val="22"/>
          <w:szCs w:val="22"/>
        </w:rPr>
        <w:t>)</w:t>
      </w:r>
      <w:r w:rsidRPr="50F2224D" w:rsidR="75EAD0E0">
        <w:rPr>
          <w:rFonts w:ascii="Arial" w:hAnsi="Arial" w:eastAsia="Arial" w:cs="Arial"/>
          <w:sz w:val="22"/>
          <w:szCs w:val="22"/>
        </w:rPr>
        <w:t>. </w:t>
      </w:r>
      <w:r w:rsidRPr="50F2224D" w:rsidR="75EAD0E0">
        <w:rPr>
          <w:rFonts w:ascii="Arial" w:hAnsi="Arial" w:eastAsia="Arial" w:cs="Arial"/>
          <w:i w:val="1"/>
          <w:iCs w:val="1"/>
          <w:sz w:val="22"/>
          <w:szCs w:val="22"/>
        </w:rPr>
        <w:t>The economics of patient safety: from analysis to action</w:t>
      </w:r>
      <w:r w:rsidRPr="50F2224D" w:rsidR="75EAD0E0">
        <w:rPr>
          <w:rFonts w:ascii="Arial" w:hAnsi="Arial" w:eastAsia="Arial" w:cs="Arial"/>
          <w:sz w:val="22"/>
          <w:szCs w:val="22"/>
        </w:rPr>
        <w:t>. Paris: OECD Publishing.</w:t>
      </w:r>
    </w:p>
    <w:p w:rsidRPr="00BC0825" w:rsidR="00BC0825" w:rsidP="50F2224D" w:rsidRDefault="00BC0825" w14:paraId="124EDAEC" w14:textId="02103E32">
      <w:pPr>
        <w:pStyle w:val="ListParagraph"/>
        <w:numPr>
          <w:ilvl w:val="0"/>
          <w:numId w:val="1"/>
        </w:numPr>
        <w:spacing w:after="0" w:line="360" w:lineRule="auto"/>
        <w:rPr>
          <w:rFonts w:ascii="Arial" w:hAnsi="Arial" w:eastAsia="Arial" w:cs="Arial"/>
          <w:kern w:val="0"/>
          <w:sz w:val="22"/>
          <w:szCs w:val="22"/>
          <w14:ligatures w14:val="none"/>
        </w:rPr>
      </w:pPr>
      <w:r w:rsidRPr="50F2224D" w:rsidR="75EAD0E0">
        <w:rPr>
          <w:rFonts w:ascii="Arial" w:hAnsi="Arial" w:eastAsia="Arial" w:cs="Arial"/>
          <w:kern w:val="0"/>
          <w:sz w:val="22"/>
          <w:szCs w:val="22"/>
          <w14:ligatures w14:val="none"/>
        </w:rPr>
        <w:t>Reason, J.</w:t>
      </w:r>
      <w:r w:rsidRPr="50F2224D" w:rsidR="3CC628A4">
        <w:rPr>
          <w:rFonts w:ascii="Arial" w:hAnsi="Arial" w:eastAsia="Arial" w:cs="Arial"/>
          <w:sz w:val="22"/>
          <w:szCs w:val="22"/>
        </w:rPr>
        <w:t xml:space="preserve"> (</w:t>
      </w:r>
      <w:r w:rsidRPr="50F2224D" w:rsidR="75EAD0E0">
        <w:rPr>
          <w:rFonts w:ascii="Arial" w:hAnsi="Arial" w:eastAsia="Arial" w:cs="Arial"/>
          <w:sz w:val="22"/>
          <w:szCs w:val="22"/>
        </w:rPr>
        <w:t>2000</w:t>
      </w:r>
      <w:r w:rsidRPr="50F2224D" w:rsidR="493469CB">
        <w:rPr>
          <w:rFonts w:ascii="Arial" w:hAnsi="Arial" w:eastAsia="Arial" w:cs="Arial"/>
          <w:sz w:val="22"/>
          <w:szCs w:val="22"/>
        </w:rPr>
        <w:t>)</w:t>
      </w:r>
      <w:r w:rsidRPr="50F2224D" w:rsidR="75EAD0E0">
        <w:rPr>
          <w:rFonts w:ascii="Arial" w:hAnsi="Arial" w:eastAsia="Arial" w:cs="Arial"/>
          <w:sz w:val="22"/>
          <w:szCs w:val="22"/>
        </w:rPr>
        <w:t>. Human error: models and management. </w:t>
      </w:r>
      <w:r w:rsidRPr="50F2224D" w:rsidR="75EAD0E0">
        <w:rPr>
          <w:rFonts w:ascii="Arial" w:hAnsi="Arial" w:eastAsia="Arial" w:cs="Arial"/>
          <w:i w:val="1"/>
          <w:iCs w:val="1"/>
          <w:sz w:val="22"/>
          <w:szCs w:val="22"/>
        </w:rPr>
        <w:t>BMJ</w:t>
      </w:r>
      <w:r w:rsidRPr="50F2224D" w:rsidR="75EAD0E0">
        <w:rPr>
          <w:rFonts w:ascii="Arial" w:hAnsi="Arial" w:eastAsia="Arial" w:cs="Arial"/>
          <w:sz w:val="22"/>
          <w:szCs w:val="22"/>
        </w:rPr>
        <w:t>, 320(7237), pp.768–770.</w:t>
      </w:r>
    </w:p>
    <w:p w:rsidRPr="00BC0825" w:rsidR="00BC0825" w:rsidP="50F2224D" w:rsidRDefault="00BC0825" w14:paraId="76314635" w14:textId="70B2D259">
      <w:pPr>
        <w:pStyle w:val="ListParagraph"/>
        <w:numPr>
          <w:ilvl w:val="0"/>
          <w:numId w:val="1"/>
        </w:numPr>
        <w:spacing w:after="0" w:line="360" w:lineRule="auto"/>
        <w:rPr>
          <w:rFonts w:ascii="Arial" w:hAnsi="Arial" w:eastAsia="Arial" w:cs="Arial"/>
          <w:kern w:val="0"/>
          <w:sz w:val="22"/>
          <w:szCs w:val="22"/>
          <w14:ligatures w14:val="none"/>
        </w:rPr>
      </w:pPr>
      <w:r w:rsidRPr="50F2224D" w:rsidR="75EAD0E0">
        <w:rPr>
          <w:rFonts w:ascii="Arial" w:hAnsi="Arial" w:eastAsia="Arial" w:cs="Arial"/>
          <w:kern w:val="0"/>
          <w:sz w:val="22"/>
          <w:szCs w:val="22"/>
          <w14:ligatures w14:val="none"/>
        </w:rPr>
        <w:t>Royal Pharmaceutical Society</w:t>
      </w:r>
      <w:r w:rsidRPr="50F2224D" w:rsidR="2DA41981">
        <w:rPr>
          <w:rFonts w:ascii="Arial" w:hAnsi="Arial" w:eastAsia="Arial" w:cs="Arial"/>
          <w:sz w:val="22"/>
          <w:szCs w:val="22"/>
        </w:rPr>
        <w:t xml:space="preserve"> </w:t>
      </w:r>
      <w:r w:rsidRPr="50F2224D" w:rsidR="5D747A92">
        <w:rPr>
          <w:rFonts w:ascii="Arial" w:hAnsi="Arial" w:eastAsia="Arial" w:cs="Arial"/>
          <w:sz w:val="22"/>
          <w:szCs w:val="22"/>
        </w:rPr>
        <w:t>(</w:t>
      </w:r>
      <w:r w:rsidRPr="50F2224D" w:rsidR="75EAD0E0">
        <w:rPr>
          <w:rFonts w:ascii="Arial" w:hAnsi="Arial" w:eastAsia="Arial" w:cs="Arial"/>
          <w:sz w:val="22"/>
          <w:szCs w:val="22"/>
        </w:rPr>
        <w:t>2021</w:t>
      </w:r>
      <w:r w:rsidRPr="50F2224D" w:rsidR="6AE3FC11">
        <w:rPr>
          <w:rFonts w:ascii="Arial" w:hAnsi="Arial" w:eastAsia="Arial" w:cs="Arial"/>
          <w:sz w:val="22"/>
          <w:szCs w:val="22"/>
        </w:rPr>
        <w:t>)</w:t>
      </w:r>
      <w:r w:rsidRPr="50F2224D" w:rsidR="75EAD0E0">
        <w:rPr>
          <w:rFonts w:ascii="Arial" w:hAnsi="Arial" w:eastAsia="Arial" w:cs="Arial"/>
          <w:sz w:val="22"/>
          <w:szCs w:val="22"/>
        </w:rPr>
        <w:t>. </w:t>
      </w:r>
      <w:r w:rsidRPr="50F2224D" w:rsidR="75EAD0E0">
        <w:rPr>
          <w:rFonts w:ascii="Arial" w:hAnsi="Arial" w:eastAsia="Arial" w:cs="Arial"/>
          <w:i w:val="1"/>
          <w:iCs w:val="1"/>
          <w:sz w:val="22"/>
          <w:szCs w:val="22"/>
        </w:rPr>
        <w:t>Professional guidance on patient safety in the dispensing process</w:t>
      </w:r>
      <w:r w:rsidRPr="50F2224D" w:rsidR="75EAD0E0">
        <w:rPr>
          <w:rFonts w:ascii="Arial" w:hAnsi="Arial" w:eastAsia="Arial" w:cs="Arial"/>
          <w:sz w:val="22"/>
          <w:szCs w:val="22"/>
        </w:rPr>
        <w:t>. London: RPS.</w:t>
      </w:r>
    </w:p>
    <w:p w:rsidRPr="00BC0825" w:rsidR="00BC0825" w:rsidP="50F2224D" w:rsidRDefault="00BC0825" w14:paraId="5B5F521E" w14:textId="7E9AA845">
      <w:pPr>
        <w:pStyle w:val="ListParagraph"/>
        <w:numPr>
          <w:ilvl w:val="0"/>
          <w:numId w:val="1"/>
        </w:numPr>
        <w:spacing w:after="0" w:line="360" w:lineRule="auto"/>
        <w:rPr>
          <w:rFonts w:ascii="Arial" w:hAnsi="Arial" w:eastAsia="Arial" w:cs="Arial"/>
          <w:kern w:val="0"/>
          <w:sz w:val="22"/>
          <w:szCs w:val="22"/>
          <w14:ligatures w14:val="none"/>
        </w:rPr>
      </w:pPr>
      <w:r w:rsidRPr="50F2224D" w:rsidR="75EAD0E0">
        <w:rPr>
          <w:rFonts w:ascii="Arial" w:hAnsi="Arial" w:eastAsia="Arial" w:cs="Arial"/>
          <w:kern w:val="0"/>
          <w:sz w:val="22"/>
          <w:szCs w:val="22"/>
          <w14:ligatures w14:val="none"/>
        </w:rPr>
        <w:t>Patient Safety Commissioner</w:t>
      </w:r>
      <w:r w:rsidRPr="50F2224D" w:rsidR="33BBA819">
        <w:rPr>
          <w:rFonts w:ascii="Arial" w:hAnsi="Arial" w:eastAsia="Arial" w:cs="Arial"/>
          <w:sz w:val="22"/>
          <w:szCs w:val="22"/>
        </w:rPr>
        <w:t xml:space="preserve"> (</w:t>
      </w:r>
      <w:r w:rsidRPr="50F2224D" w:rsidR="75EAD0E0">
        <w:rPr>
          <w:rFonts w:ascii="Arial" w:hAnsi="Arial" w:eastAsia="Arial" w:cs="Arial"/>
          <w:sz w:val="22"/>
          <w:szCs w:val="22"/>
        </w:rPr>
        <w:t>2024</w:t>
      </w:r>
      <w:r w:rsidRPr="50F2224D" w:rsidR="7BE40C2C">
        <w:rPr>
          <w:rFonts w:ascii="Arial" w:hAnsi="Arial" w:eastAsia="Arial" w:cs="Arial"/>
          <w:sz w:val="22"/>
          <w:szCs w:val="22"/>
        </w:rPr>
        <w:t>)</w:t>
      </w:r>
      <w:r w:rsidRPr="50F2224D" w:rsidR="75EAD0E0">
        <w:rPr>
          <w:rFonts w:ascii="Arial" w:hAnsi="Arial" w:eastAsia="Arial" w:cs="Arial"/>
          <w:sz w:val="22"/>
          <w:szCs w:val="22"/>
        </w:rPr>
        <w:t>. </w:t>
      </w:r>
      <w:r w:rsidRPr="50F2224D" w:rsidR="75EAD0E0">
        <w:rPr>
          <w:rFonts w:ascii="Arial" w:hAnsi="Arial" w:eastAsia="Arial" w:cs="Arial"/>
          <w:i w:val="1"/>
          <w:iCs w:val="1"/>
          <w:sz w:val="22"/>
          <w:szCs w:val="22"/>
        </w:rPr>
        <w:t>Independent review of transitional care and cross-boundary clinical safety</w:t>
      </w:r>
      <w:r w:rsidRPr="50F2224D" w:rsidR="75EAD0E0">
        <w:rPr>
          <w:rFonts w:ascii="Arial" w:hAnsi="Arial" w:eastAsia="Arial" w:cs="Arial"/>
          <w:sz w:val="22"/>
          <w:szCs w:val="22"/>
        </w:rPr>
        <w:t>. London: Patient Safety Commission.</w:t>
      </w:r>
    </w:p>
    <w:p w:rsidRPr="00BC0825" w:rsidR="00BC0825" w:rsidP="50F2224D" w:rsidRDefault="00BC0825" w14:paraId="72DE3445" w14:textId="33A5641D">
      <w:pPr>
        <w:pStyle w:val="ListParagraph"/>
        <w:numPr>
          <w:ilvl w:val="0"/>
          <w:numId w:val="1"/>
        </w:numPr>
        <w:spacing w:after="0" w:line="360" w:lineRule="auto"/>
        <w:rPr>
          <w:rFonts w:ascii="Arial" w:hAnsi="Arial" w:eastAsia="Arial" w:cs="Arial"/>
          <w:kern w:val="0"/>
          <w:sz w:val="22"/>
          <w:szCs w:val="22"/>
          <w14:ligatures w14:val="none"/>
        </w:rPr>
      </w:pPr>
      <w:r w:rsidRPr="50F2224D" w:rsidR="75EAD0E0">
        <w:rPr>
          <w:rFonts w:ascii="Arial" w:hAnsi="Arial" w:eastAsia="Arial" w:cs="Arial"/>
          <w:kern w:val="0"/>
          <w:sz w:val="22"/>
          <w:szCs w:val="22"/>
          <w14:ligatures w14:val="none"/>
        </w:rPr>
        <w:t>Sheikh, A., Storey, C. and Cresswell, K.</w:t>
      </w:r>
      <w:r w:rsidRPr="50F2224D" w:rsidR="44DAE851">
        <w:rPr>
          <w:rFonts w:ascii="Arial" w:hAnsi="Arial" w:eastAsia="Arial" w:cs="Arial"/>
          <w:sz w:val="22"/>
          <w:szCs w:val="22"/>
        </w:rPr>
        <w:t xml:space="preserve"> (</w:t>
      </w:r>
      <w:r w:rsidRPr="50F2224D" w:rsidR="75EAD0E0">
        <w:rPr>
          <w:rFonts w:ascii="Arial" w:hAnsi="Arial" w:eastAsia="Arial" w:cs="Arial"/>
          <w:sz w:val="22"/>
          <w:szCs w:val="22"/>
        </w:rPr>
        <w:t>2023</w:t>
      </w:r>
      <w:r w:rsidRPr="50F2224D" w:rsidR="4CA1BDD5">
        <w:rPr>
          <w:rFonts w:ascii="Arial" w:hAnsi="Arial" w:eastAsia="Arial" w:cs="Arial"/>
          <w:sz w:val="22"/>
          <w:szCs w:val="22"/>
        </w:rPr>
        <w:t>).</w:t>
      </w:r>
      <w:r w:rsidRPr="50F2224D" w:rsidR="75EAD0E0">
        <w:rPr>
          <w:rFonts w:ascii="Arial" w:hAnsi="Arial" w:eastAsia="Arial" w:cs="Arial"/>
          <w:sz w:val="22"/>
          <w:szCs w:val="22"/>
        </w:rPr>
        <w:t xml:space="preserve"> Digital health and patient safety: </w:t>
      </w:r>
      <w:r w:rsidRPr="50F2224D" w:rsidR="75EAD0E0">
        <w:rPr>
          <w:rFonts w:ascii="Arial" w:hAnsi="Arial" w:eastAsia="Arial" w:cs="Arial"/>
          <w:sz w:val="22"/>
          <w:szCs w:val="22"/>
        </w:rPr>
        <w:t>current status</w:t>
      </w:r>
      <w:r w:rsidRPr="50F2224D" w:rsidR="75EAD0E0">
        <w:rPr>
          <w:rFonts w:ascii="Arial" w:hAnsi="Arial" w:eastAsia="Arial" w:cs="Arial"/>
          <w:sz w:val="22"/>
          <w:szCs w:val="22"/>
        </w:rPr>
        <w:t xml:space="preserve"> and future directions. </w:t>
      </w:r>
      <w:r w:rsidRPr="50F2224D" w:rsidR="75EAD0E0">
        <w:rPr>
          <w:rFonts w:ascii="Arial" w:hAnsi="Arial" w:eastAsia="Arial" w:cs="Arial"/>
          <w:i w:val="1"/>
          <w:iCs w:val="1"/>
          <w:sz w:val="22"/>
          <w:szCs w:val="22"/>
        </w:rPr>
        <w:t>Journal of Patient Safety and Risk Management</w:t>
      </w:r>
      <w:r w:rsidRPr="50F2224D" w:rsidR="75EAD0E0">
        <w:rPr>
          <w:rFonts w:ascii="Arial" w:hAnsi="Arial" w:eastAsia="Arial" w:cs="Arial"/>
          <w:sz w:val="22"/>
          <w:szCs w:val="22"/>
        </w:rPr>
        <w:t>, 28(4), pp.145–152.</w:t>
      </w:r>
    </w:p>
    <w:p w:rsidRPr="00BC0825" w:rsidR="00BC0825" w:rsidP="50F2224D" w:rsidRDefault="00BC0825" w14:paraId="3EB5F2EC" w14:textId="27621CD4">
      <w:pPr>
        <w:pStyle w:val="ListParagraph"/>
        <w:numPr>
          <w:ilvl w:val="0"/>
          <w:numId w:val="1"/>
        </w:numPr>
        <w:spacing w:after="0" w:line="360" w:lineRule="auto"/>
        <w:rPr>
          <w:rFonts w:ascii="Arial" w:hAnsi="Arial" w:eastAsia="Arial" w:cs="Arial"/>
          <w:sz w:val="22"/>
          <w:szCs w:val="22"/>
        </w:rPr>
      </w:pPr>
      <w:r w:rsidRPr="50F2224D" w:rsidR="75EAD0E0">
        <w:rPr>
          <w:rFonts w:ascii="Arial" w:hAnsi="Arial" w:eastAsia="Arial" w:cs="Arial"/>
          <w:kern w:val="0"/>
          <w:sz w:val="22"/>
          <w:szCs w:val="22"/>
          <w14:ligatures w14:val="none"/>
        </w:rPr>
        <w:t xml:space="preserve">Spehar, I., Frich, J.C. and </w:t>
      </w:r>
      <w:r w:rsidRPr="50F2224D" w:rsidR="75EAD0E0">
        <w:rPr>
          <w:rFonts w:ascii="Arial" w:hAnsi="Arial" w:eastAsia="Arial" w:cs="Arial"/>
          <w:sz w:val="22"/>
          <w:szCs w:val="22"/>
        </w:rPr>
        <w:t>Kjekshus</w:t>
      </w:r>
      <w:r w:rsidRPr="50F2224D" w:rsidR="75EAD0E0">
        <w:rPr>
          <w:rFonts w:ascii="Arial" w:hAnsi="Arial" w:eastAsia="Arial" w:cs="Arial"/>
          <w:sz w:val="22"/>
          <w:szCs w:val="22"/>
        </w:rPr>
        <w:t>, L.E.</w:t>
      </w:r>
      <w:r w:rsidRPr="50F2224D" w:rsidR="2C5B7DB9">
        <w:rPr>
          <w:rFonts w:ascii="Arial" w:hAnsi="Arial" w:eastAsia="Arial" w:cs="Arial"/>
          <w:sz w:val="22"/>
          <w:szCs w:val="22"/>
        </w:rPr>
        <w:t xml:space="preserve"> (</w:t>
      </w:r>
      <w:r w:rsidRPr="50F2224D" w:rsidR="75EAD0E0">
        <w:rPr>
          <w:rFonts w:ascii="Arial" w:hAnsi="Arial" w:eastAsia="Arial" w:cs="Arial"/>
          <w:sz w:val="22"/>
          <w:szCs w:val="22"/>
        </w:rPr>
        <w:t>2015</w:t>
      </w:r>
      <w:r w:rsidRPr="50F2224D" w:rsidR="566F0BA8">
        <w:rPr>
          <w:rFonts w:ascii="Arial" w:hAnsi="Arial" w:eastAsia="Arial" w:cs="Arial"/>
          <w:sz w:val="22"/>
          <w:szCs w:val="22"/>
        </w:rPr>
        <w:t>)</w:t>
      </w:r>
      <w:r w:rsidRPr="50F2224D" w:rsidR="75EAD0E0">
        <w:rPr>
          <w:rFonts w:ascii="Arial" w:hAnsi="Arial" w:eastAsia="Arial" w:cs="Arial"/>
          <w:sz w:val="22"/>
          <w:szCs w:val="22"/>
        </w:rPr>
        <w:t>. Clinicians in management: a qualitative study of managers' use of influence strategies in hospitals. </w:t>
      </w:r>
      <w:r w:rsidRPr="50F2224D" w:rsidR="75EAD0E0">
        <w:rPr>
          <w:rFonts w:ascii="Arial" w:hAnsi="Arial" w:eastAsia="Arial" w:cs="Arial"/>
          <w:i w:val="1"/>
          <w:iCs w:val="1"/>
          <w:sz w:val="22"/>
          <w:szCs w:val="22"/>
        </w:rPr>
        <w:t>BMC Health Services Research</w:t>
      </w:r>
      <w:r w:rsidRPr="50F2224D" w:rsidR="75EAD0E0">
        <w:rPr>
          <w:rFonts w:ascii="Arial" w:hAnsi="Arial" w:eastAsia="Arial" w:cs="Arial"/>
          <w:sz w:val="22"/>
          <w:szCs w:val="22"/>
        </w:rPr>
        <w:t>, 15(1), pp.1–12.</w:t>
      </w:r>
    </w:p>
    <w:p w:rsidRPr="00BC0825" w:rsidR="00BC0825" w:rsidP="50F2224D" w:rsidRDefault="00BC0825" w14:paraId="5217FBE1" w14:textId="0ACCD969">
      <w:pPr>
        <w:pStyle w:val="ListParagraph"/>
        <w:numPr>
          <w:ilvl w:val="0"/>
          <w:numId w:val="1"/>
        </w:numPr>
        <w:spacing w:after="0" w:line="360" w:lineRule="auto"/>
        <w:rPr>
          <w:rFonts w:ascii="Arial" w:hAnsi="Arial" w:eastAsia="Arial" w:cs="Arial"/>
          <w:sz w:val="22"/>
          <w:szCs w:val="22"/>
        </w:rPr>
      </w:pPr>
      <w:r w:rsidRPr="50F2224D" w:rsidR="53866213">
        <w:rPr>
          <w:rFonts w:ascii="Arial" w:hAnsi="Arial" w:eastAsia="Arial" w:cs="Arial"/>
          <w:sz w:val="22"/>
          <w:szCs w:val="22"/>
        </w:rPr>
        <w:t>Vincent, C., Taylor-Adams, G. and Stanhope, N. (1998). Framework for analysing risk and safety in clinical medicine. </w:t>
      </w:r>
      <w:r w:rsidRPr="50F2224D" w:rsidR="53866213">
        <w:rPr>
          <w:rFonts w:ascii="Arial" w:hAnsi="Arial" w:eastAsia="Arial" w:cs="Arial"/>
          <w:i w:val="1"/>
          <w:iCs w:val="1"/>
          <w:sz w:val="22"/>
          <w:szCs w:val="22"/>
        </w:rPr>
        <w:t>BMJ</w:t>
      </w:r>
      <w:r w:rsidRPr="50F2224D" w:rsidR="53866213">
        <w:rPr>
          <w:rFonts w:ascii="Arial" w:hAnsi="Arial" w:eastAsia="Arial" w:cs="Arial"/>
          <w:sz w:val="22"/>
          <w:szCs w:val="22"/>
        </w:rPr>
        <w:t>, 316(7138), pp.1154–1157.</w:t>
      </w:r>
    </w:p>
    <w:p w:rsidRPr="00BC0825" w:rsidR="00BC0825" w:rsidP="50F2224D" w:rsidRDefault="00BC0825" w14:paraId="3E339A90" w14:textId="739F11FD">
      <w:pPr>
        <w:pStyle w:val="ListParagraph"/>
        <w:numPr>
          <w:ilvl w:val="0"/>
          <w:numId w:val="1"/>
        </w:numPr>
        <w:spacing w:after="0" w:line="360" w:lineRule="auto"/>
        <w:rPr>
          <w:rFonts w:ascii="Arial" w:hAnsi="Arial" w:eastAsia="Arial" w:cs="Arial"/>
          <w:kern w:val="0"/>
          <w:sz w:val="22"/>
          <w:szCs w:val="22"/>
          <w14:ligatures w14:val="none"/>
        </w:rPr>
      </w:pPr>
      <w:r w:rsidRPr="50F2224D" w:rsidR="53866213">
        <w:rPr>
          <w:rFonts w:ascii="Arial" w:hAnsi="Arial" w:eastAsia="Arial" w:cs="Arial"/>
          <w:sz w:val="22"/>
          <w:szCs w:val="22"/>
        </w:rPr>
        <w:t>Wachter, R.M. and Gupta, K. (2018). </w:t>
      </w:r>
      <w:r w:rsidRPr="50F2224D" w:rsidR="53866213">
        <w:rPr>
          <w:rFonts w:ascii="Arial" w:hAnsi="Arial" w:eastAsia="Arial" w:cs="Arial"/>
          <w:i w:val="1"/>
          <w:iCs w:val="1"/>
          <w:sz w:val="22"/>
          <w:szCs w:val="22"/>
        </w:rPr>
        <w:t>Understanding patient safety</w:t>
      </w:r>
      <w:r w:rsidRPr="50F2224D" w:rsidR="53866213">
        <w:rPr>
          <w:rFonts w:ascii="Arial" w:hAnsi="Arial" w:eastAsia="Arial" w:cs="Arial"/>
          <w:sz w:val="22"/>
          <w:szCs w:val="22"/>
        </w:rPr>
        <w:t>. 3rd ed. New York: McGraw-Hill Education.</w:t>
      </w:r>
    </w:p>
    <w:p w:rsidRPr="00BC0825" w:rsidR="00BC0825" w:rsidP="50F2224D" w:rsidRDefault="00BC0825" w14:paraId="44CD9258" w14:textId="3D42D2BE">
      <w:pPr>
        <w:pStyle w:val="ListParagraph"/>
        <w:numPr>
          <w:ilvl w:val="0"/>
          <w:numId w:val="1"/>
        </w:numPr>
        <w:spacing w:after="0" w:line="360" w:lineRule="auto"/>
        <w:rPr>
          <w:rFonts w:ascii="Arial" w:hAnsi="Arial" w:eastAsia="Arial" w:cs="Arial"/>
          <w:kern w:val="0"/>
          <w:sz w:val="22"/>
          <w:szCs w:val="22"/>
          <w14:ligatures w14:val="none"/>
        </w:rPr>
      </w:pPr>
      <w:r w:rsidRPr="50F2224D" w:rsidR="75EAD0E0">
        <w:rPr>
          <w:rFonts w:ascii="Arial" w:hAnsi="Arial" w:eastAsia="Arial" w:cs="Arial"/>
          <w:kern w:val="0"/>
          <w:sz w:val="22"/>
          <w:szCs w:val="22"/>
          <w14:ligatures w14:val="none"/>
        </w:rPr>
        <w:t>Woodward, S.</w:t>
      </w:r>
      <w:r w:rsidRPr="50F2224D" w:rsidR="3EA97D07">
        <w:rPr>
          <w:rFonts w:ascii="Arial" w:hAnsi="Arial" w:eastAsia="Arial" w:cs="Arial"/>
          <w:sz w:val="22"/>
          <w:szCs w:val="22"/>
        </w:rPr>
        <w:t xml:space="preserve"> (</w:t>
      </w:r>
      <w:r w:rsidRPr="50F2224D" w:rsidR="75EAD0E0">
        <w:rPr>
          <w:rFonts w:ascii="Arial" w:hAnsi="Arial" w:eastAsia="Arial" w:cs="Arial"/>
          <w:sz w:val="22"/>
          <w:szCs w:val="22"/>
        </w:rPr>
        <w:t>2020</w:t>
      </w:r>
      <w:r w:rsidRPr="50F2224D" w:rsidR="26658DCE">
        <w:rPr>
          <w:rFonts w:ascii="Arial" w:hAnsi="Arial" w:eastAsia="Arial" w:cs="Arial"/>
          <w:sz w:val="22"/>
          <w:szCs w:val="22"/>
        </w:rPr>
        <w:t>)</w:t>
      </w:r>
      <w:r w:rsidRPr="50F2224D" w:rsidR="75EAD0E0">
        <w:rPr>
          <w:rFonts w:ascii="Arial" w:hAnsi="Arial" w:eastAsia="Arial" w:cs="Arial"/>
          <w:sz w:val="22"/>
          <w:szCs w:val="22"/>
        </w:rPr>
        <w:t>. </w:t>
      </w:r>
      <w:r w:rsidRPr="50F2224D" w:rsidR="75EAD0E0">
        <w:rPr>
          <w:rFonts w:ascii="Arial" w:hAnsi="Arial" w:eastAsia="Arial" w:cs="Arial"/>
          <w:i w:val="1"/>
          <w:iCs w:val="1"/>
          <w:sz w:val="22"/>
          <w:szCs w:val="22"/>
        </w:rPr>
        <w:t>Moving towards a just culture in patient safety</w:t>
      </w:r>
      <w:r w:rsidRPr="50F2224D" w:rsidR="75EAD0E0">
        <w:rPr>
          <w:rFonts w:ascii="Arial" w:hAnsi="Arial" w:eastAsia="Arial" w:cs="Arial"/>
          <w:sz w:val="22"/>
          <w:szCs w:val="22"/>
        </w:rPr>
        <w:t>. London: Routledge.</w:t>
      </w:r>
    </w:p>
    <w:p w:rsidRPr="00BC0825" w:rsidR="00BC0825" w:rsidP="50F2224D" w:rsidRDefault="00BC0825" w14:paraId="1D741216" w14:textId="43A265F1">
      <w:pPr>
        <w:pStyle w:val="ListParagraph"/>
        <w:numPr>
          <w:ilvl w:val="0"/>
          <w:numId w:val="1"/>
        </w:numPr>
        <w:spacing w:after="0" w:line="360" w:lineRule="auto"/>
        <w:rPr>
          <w:rFonts w:ascii="Arial" w:hAnsi="Arial" w:eastAsia="Arial" w:cs="Arial"/>
          <w:kern w:val="0"/>
          <w:sz w:val="22"/>
          <w:szCs w:val="22"/>
          <w14:ligatures w14:val="none"/>
        </w:rPr>
      </w:pPr>
      <w:r w:rsidRPr="50F2224D" w:rsidR="75EAD0E0">
        <w:rPr>
          <w:rFonts w:ascii="Arial" w:hAnsi="Arial" w:eastAsia="Arial" w:cs="Arial"/>
          <w:kern w:val="0"/>
          <w:sz w:val="22"/>
          <w:szCs w:val="22"/>
          <w14:ligatures w14:val="none"/>
        </w:rPr>
        <w:t xml:space="preserve">West, M., Armit, K., Loewenthal, L., Eckert, R., West, T. and Lee, A. </w:t>
      </w:r>
      <w:r w:rsidRPr="50F2224D" w:rsidR="40CCCFE9">
        <w:rPr>
          <w:rFonts w:ascii="Arial" w:hAnsi="Arial" w:eastAsia="Arial" w:cs="Arial"/>
          <w:sz w:val="22"/>
          <w:szCs w:val="22"/>
        </w:rPr>
        <w:t>(</w:t>
      </w:r>
      <w:r w:rsidRPr="50F2224D" w:rsidR="75EAD0E0">
        <w:rPr>
          <w:rFonts w:ascii="Arial" w:hAnsi="Arial" w:eastAsia="Arial" w:cs="Arial"/>
          <w:sz w:val="22"/>
          <w:szCs w:val="22"/>
        </w:rPr>
        <w:t>2015</w:t>
      </w:r>
      <w:r w:rsidRPr="50F2224D" w:rsidR="457D2CFB">
        <w:rPr>
          <w:rFonts w:ascii="Arial" w:hAnsi="Arial" w:eastAsia="Arial" w:cs="Arial"/>
          <w:sz w:val="22"/>
          <w:szCs w:val="22"/>
        </w:rPr>
        <w:t>)</w:t>
      </w:r>
      <w:r w:rsidRPr="50F2224D" w:rsidR="75EAD0E0">
        <w:rPr>
          <w:rFonts w:ascii="Arial" w:hAnsi="Arial" w:eastAsia="Arial" w:cs="Arial"/>
          <w:sz w:val="22"/>
          <w:szCs w:val="22"/>
        </w:rPr>
        <w:t>. </w:t>
      </w:r>
      <w:r w:rsidRPr="50F2224D" w:rsidR="75EAD0E0">
        <w:rPr>
          <w:rFonts w:ascii="Arial" w:hAnsi="Arial" w:eastAsia="Arial" w:cs="Arial"/>
          <w:i w:val="1"/>
          <w:iCs w:val="1"/>
          <w:sz w:val="22"/>
          <w:szCs w:val="22"/>
        </w:rPr>
        <w:t>Leadership and leadership development in healthcare: the evidence base</w:t>
      </w:r>
      <w:r w:rsidRPr="50F2224D" w:rsidR="75EAD0E0">
        <w:rPr>
          <w:rFonts w:ascii="Arial" w:hAnsi="Arial" w:eastAsia="Arial" w:cs="Arial"/>
          <w:sz w:val="22"/>
          <w:szCs w:val="22"/>
        </w:rPr>
        <w:t>. London: The King's Fund.</w:t>
      </w:r>
    </w:p>
    <w:p w:rsidRPr="00BC0825" w:rsidR="00BC0825" w:rsidP="50F2224D" w:rsidRDefault="00BC0825" w14:paraId="08E6A0D9" w14:textId="7278ECFC">
      <w:pPr>
        <w:pStyle w:val="ListParagraph"/>
        <w:numPr>
          <w:ilvl w:val="0"/>
          <w:numId w:val="1"/>
        </w:numPr>
        <w:spacing w:after="0" w:line="360" w:lineRule="auto"/>
        <w:rPr>
          <w:rFonts w:ascii="Arial" w:hAnsi="Arial" w:eastAsia="Arial" w:cs="Arial"/>
          <w:kern w:val="0"/>
          <w:sz w:val="22"/>
          <w:szCs w:val="22"/>
          <w14:ligatures w14:val="none"/>
        </w:rPr>
      </w:pPr>
      <w:r w:rsidRPr="50F2224D" w:rsidR="75EAD0E0">
        <w:rPr>
          <w:rFonts w:ascii="Arial" w:hAnsi="Arial" w:eastAsia="Arial" w:cs="Arial"/>
          <w:kern w:val="0"/>
          <w:sz w:val="22"/>
          <w:szCs w:val="22"/>
          <w14:ligatures w14:val="none"/>
        </w:rPr>
        <w:t>Waring, J.J.</w:t>
      </w:r>
      <w:r w:rsidRPr="50F2224D" w:rsidR="2F0D823C">
        <w:rPr>
          <w:rFonts w:ascii="Arial" w:hAnsi="Arial" w:eastAsia="Arial" w:cs="Arial"/>
          <w:sz w:val="22"/>
          <w:szCs w:val="22"/>
        </w:rPr>
        <w:t xml:space="preserve"> (</w:t>
      </w:r>
      <w:r w:rsidRPr="50F2224D" w:rsidR="75EAD0E0">
        <w:rPr>
          <w:rFonts w:ascii="Arial" w:hAnsi="Arial" w:eastAsia="Arial" w:cs="Arial"/>
          <w:sz w:val="22"/>
          <w:szCs w:val="22"/>
        </w:rPr>
        <w:t>2005</w:t>
      </w:r>
      <w:r w:rsidRPr="50F2224D" w:rsidR="5F624F87">
        <w:rPr>
          <w:rFonts w:ascii="Arial" w:hAnsi="Arial" w:eastAsia="Arial" w:cs="Arial"/>
          <w:sz w:val="22"/>
          <w:szCs w:val="22"/>
        </w:rPr>
        <w:t>)</w:t>
      </w:r>
      <w:r w:rsidRPr="50F2224D" w:rsidR="75EAD0E0">
        <w:rPr>
          <w:rFonts w:ascii="Arial" w:hAnsi="Arial" w:eastAsia="Arial" w:cs="Arial"/>
          <w:sz w:val="22"/>
          <w:szCs w:val="22"/>
        </w:rPr>
        <w:t>. Beyond blame: cultural barriers to medical incident reporting. </w:t>
      </w:r>
      <w:r w:rsidRPr="50F2224D" w:rsidR="75EAD0E0">
        <w:rPr>
          <w:rFonts w:ascii="Arial" w:hAnsi="Arial" w:eastAsia="Arial" w:cs="Arial"/>
          <w:i w:val="1"/>
          <w:iCs w:val="1"/>
          <w:sz w:val="22"/>
          <w:szCs w:val="22"/>
        </w:rPr>
        <w:t>Social Science &amp; Medicine</w:t>
      </w:r>
      <w:r w:rsidRPr="50F2224D" w:rsidR="75EAD0E0">
        <w:rPr>
          <w:rFonts w:ascii="Arial" w:hAnsi="Arial" w:eastAsia="Arial" w:cs="Arial"/>
          <w:sz w:val="22"/>
          <w:szCs w:val="22"/>
        </w:rPr>
        <w:t>, 60(9), pp.1927–1935.</w:t>
      </w:r>
    </w:p>
    <w:p w:rsidRPr="00BC0825" w:rsidR="00BC0825" w:rsidP="50F2224D" w:rsidRDefault="00BC0825" w14:paraId="12B569EB" w14:textId="2A7B670E">
      <w:pPr>
        <w:pStyle w:val="ListParagraph"/>
        <w:numPr>
          <w:ilvl w:val="0"/>
          <w:numId w:val="1"/>
        </w:numPr>
        <w:spacing w:after="0" w:line="360" w:lineRule="auto"/>
        <w:rPr>
          <w:rFonts w:ascii="Arial" w:hAnsi="Arial" w:eastAsia="Arial" w:cs="Arial"/>
          <w:kern w:val="0"/>
          <w:sz w:val="22"/>
          <w:szCs w:val="22"/>
          <w14:ligatures w14:val="none"/>
        </w:rPr>
      </w:pPr>
      <w:r w:rsidRPr="50F2224D" w:rsidR="75EAD0E0">
        <w:rPr>
          <w:rFonts w:ascii="Arial" w:hAnsi="Arial" w:eastAsia="Arial" w:cs="Arial"/>
          <w:kern w:val="0"/>
          <w:sz w:val="22"/>
          <w:szCs w:val="22"/>
          <w14:ligatures w14:val="none"/>
        </w:rPr>
        <w:t xml:space="preserve">West, M.A. </w:t>
      </w:r>
      <w:r w:rsidRPr="50F2224D" w:rsidR="15010728">
        <w:rPr>
          <w:rFonts w:ascii="Arial" w:hAnsi="Arial" w:eastAsia="Arial" w:cs="Arial"/>
          <w:sz w:val="22"/>
          <w:szCs w:val="22"/>
        </w:rPr>
        <w:t>(</w:t>
      </w:r>
      <w:r w:rsidRPr="50F2224D" w:rsidR="75EAD0E0">
        <w:rPr>
          <w:rFonts w:ascii="Arial" w:hAnsi="Arial" w:eastAsia="Arial" w:cs="Arial"/>
          <w:sz w:val="22"/>
          <w:szCs w:val="22"/>
        </w:rPr>
        <w:t>2012</w:t>
      </w:r>
      <w:r w:rsidRPr="50F2224D" w:rsidR="2F88CD37">
        <w:rPr>
          <w:rFonts w:ascii="Arial" w:hAnsi="Arial" w:eastAsia="Arial" w:cs="Arial"/>
          <w:sz w:val="22"/>
          <w:szCs w:val="22"/>
        </w:rPr>
        <w:t xml:space="preserve">). </w:t>
      </w:r>
      <w:r w:rsidRPr="50F2224D" w:rsidR="75EAD0E0">
        <w:rPr>
          <w:rFonts w:ascii="Arial" w:hAnsi="Arial" w:eastAsia="Arial" w:cs="Arial"/>
          <w:i w:val="1"/>
          <w:iCs w:val="1"/>
          <w:sz w:val="22"/>
          <w:szCs w:val="22"/>
        </w:rPr>
        <w:t>Effective teamwork: practical lessons from organizational research</w:t>
      </w:r>
      <w:r w:rsidRPr="50F2224D" w:rsidR="75EAD0E0">
        <w:rPr>
          <w:rFonts w:ascii="Arial" w:hAnsi="Arial" w:eastAsia="Arial" w:cs="Arial"/>
          <w:sz w:val="22"/>
          <w:szCs w:val="22"/>
        </w:rPr>
        <w:t>. Chichester: John Wiley &amp; Sons.</w:t>
      </w:r>
    </w:p>
    <w:p w:rsidRPr="00BC0825" w:rsidR="00AE2DF7" w:rsidP="50F2224D" w:rsidRDefault="00BC0825" w14:paraId="06DC8B0A" w14:textId="7975146E">
      <w:pPr>
        <w:pStyle w:val="ListParagraph"/>
        <w:numPr>
          <w:ilvl w:val="0"/>
          <w:numId w:val="1"/>
        </w:numPr>
        <w:spacing w:line="360" w:lineRule="auto"/>
        <w:rPr>
          <w:rFonts w:ascii="Arial" w:hAnsi="Arial" w:eastAsia="Arial" w:cs="Arial"/>
          <w:color w:val="000000"/>
          <w:sz w:val="22"/>
          <w:szCs w:val="22"/>
        </w:rPr>
      </w:pPr>
      <w:r w:rsidRPr="50F2224D" w:rsidR="75EAD0E0">
        <w:rPr>
          <w:rFonts w:ascii="Arial" w:hAnsi="Arial" w:eastAsia="Arial" w:cs="Arial"/>
          <w:kern w:val="0"/>
          <w:sz w:val="22"/>
          <w:szCs w:val="22"/>
          <w14:ligatures w14:val="none"/>
        </w:rPr>
        <w:t xml:space="preserve">World Health </w:t>
      </w:r>
      <w:r w:rsidRPr="50F2224D" w:rsidR="6333AB73">
        <w:rPr>
          <w:rFonts w:ascii="Arial" w:hAnsi="Arial" w:eastAsia="Arial" w:cs="Arial"/>
          <w:sz w:val="22"/>
          <w:szCs w:val="22"/>
        </w:rPr>
        <w:t>Organization (2</w:t>
      </w:r>
      <w:r w:rsidRPr="50F2224D" w:rsidR="75EAD0E0">
        <w:rPr>
          <w:rFonts w:ascii="Arial" w:hAnsi="Arial" w:eastAsia="Arial" w:cs="Arial"/>
          <w:sz w:val="22"/>
          <w:szCs w:val="22"/>
        </w:rPr>
        <w:t>021</w:t>
      </w:r>
      <w:r w:rsidRPr="50F2224D" w:rsidR="6776F1AE">
        <w:rPr>
          <w:rFonts w:ascii="Arial" w:hAnsi="Arial" w:eastAsia="Arial" w:cs="Arial"/>
          <w:sz w:val="22"/>
          <w:szCs w:val="22"/>
        </w:rPr>
        <w:t>)</w:t>
      </w:r>
      <w:r w:rsidRPr="50F2224D" w:rsidR="75EAD0E0">
        <w:rPr>
          <w:rFonts w:ascii="Arial" w:hAnsi="Arial" w:eastAsia="Arial" w:cs="Arial"/>
          <w:sz w:val="22"/>
          <w:szCs w:val="22"/>
        </w:rPr>
        <w:t>. </w:t>
      </w:r>
      <w:r w:rsidRPr="50F2224D" w:rsidR="75EAD0E0">
        <w:rPr>
          <w:rFonts w:ascii="Arial" w:hAnsi="Arial" w:eastAsia="Arial" w:cs="Arial"/>
          <w:i w:val="1"/>
          <w:iCs w:val="1"/>
          <w:sz w:val="22"/>
          <w:szCs w:val="22"/>
        </w:rPr>
        <w:t xml:space="preserve">Global Patient Safety Action Plan 2021–2030: Towards </w:t>
      </w:r>
      <w:r w:rsidRPr="50F2224D" w:rsidR="75EAD0E0">
        <w:rPr>
          <w:rFonts w:ascii="Arial" w:hAnsi="Arial" w:eastAsia="Arial" w:cs="Arial"/>
          <w:i w:val="1"/>
          <w:iCs w:val="1"/>
          <w:sz w:val="22"/>
          <w:szCs w:val="22"/>
        </w:rPr>
        <w:t>eliminating</w:t>
      </w:r>
      <w:r w:rsidRPr="50F2224D" w:rsidR="75EAD0E0">
        <w:rPr>
          <w:rFonts w:ascii="Arial" w:hAnsi="Arial" w:eastAsia="Arial" w:cs="Arial"/>
          <w:i w:val="1"/>
          <w:iCs w:val="1"/>
          <w:sz w:val="22"/>
          <w:szCs w:val="22"/>
        </w:rPr>
        <w:t xml:space="preserve"> avoidable harm in health care</w:t>
      </w:r>
      <w:r w:rsidRPr="50F2224D" w:rsidR="75EAD0E0">
        <w:rPr>
          <w:rFonts w:ascii="Arial" w:hAnsi="Arial" w:eastAsia="Arial" w:cs="Arial"/>
          <w:sz w:val="22"/>
          <w:szCs w:val="22"/>
        </w:rPr>
        <w:t>. Geneva: World Health Organization.</w:t>
      </w:r>
    </w:p>
    <w:p w:rsidRPr="00805BD2" w:rsidR="009C1F5F" w:rsidP="4DF22574" w:rsidRDefault="009C1F5F" w14:paraId="49C8A70A" w14:textId="77777777">
      <w:pPr>
        <w:spacing w:line="360" w:lineRule="auto"/>
        <w:rPr>
          <w:rFonts w:ascii="Arial" w:hAnsi="Arial" w:eastAsia="Arial" w:cs="Arial"/>
          <w:color w:val="000000"/>
          <w:sz w:val="22"/>
          <w:szCs w:val="22"/>
        </w:rPr>
      </w:pPr>
    </w:p>
    <w:sectPr w:rsidRPr="00805BD2" w:rsidR="009C1F5F">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ebkit-standard">
    <w:altName w:val="Cambria"/>
    <w:charset w:val="00"/>
    <w:family w:val="roman"/>
    <w:pitch w:val="default"/>
  </w:font>
  <w:font w:name="Symbol">
    <w:panose1 w:val="05050102010706020507"/>
    <w:charset w:val="02"/>
    <w:family w:val="roman"/>
    <w:pitch w:val="variable"/>
    <w:sig w:usb0="00000000" w:usb1="10000000" w:usb2="00000000" w:usb3="00000000" w:csb0="80000000" w:csb1="00000000"/>
  </w:font>
  <w:font w:name="Helvetica Neue">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
    <w:nsid w:val="4cd22ad0"/>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31B"/>
    <w:rsid w:val="000005CF"/>
    <w:rsid w:val="000135F6"/>
    <w:rsid w:val="00015F62"/>
    <w:rsid w:val="00027790"/>
    <w:rsid w:val="000338B4"/>
    <w:rsid w:val="00042445"/>
    <w:rsid w:val="00042AF1"/>
    <w:rsid w:val="00047FDD"/>
    <w:rsid w:val="00052499"/>
    <w:rsid w:val="000542DD"/>
    <w:rsid w:val="000618DF"/>
    <w:rsid w:val="0006254D"/>
    <w:rsid w:val="00070E3C"/>
    <w:rsid w:val="000A0B88"/>
    <w:rsid w:val="000B39CA"/>
    <w:rsid w:val="000C4A4F"/>
    <w:rsid w:val="000D38BB"/>
    <w:rsid w:val="000E0717"/>
    <w:rsid w:val="000E71CC"/>
    <w:rsid w:val="00103F97"/>
    <w:rsid w:val="001156B1"/>
    <w:rsid w:val="00127CA3"/>
    <w:rsid w:val="00140C22"/>
    <w:rsid w:val="001440AE"/>
    <w:rsid w:val="00146EF4"/>
    <w:rsid w:val="00151B7E"/>
    <w:rsid w:val="00155A4E"/>
    <w:rsid w:val="00157A9D"/>
    <w:rsid w:val="0016308C"/>
    <w:rsid w:val="00165A7A"/>
    <w:rsid w:val="00175FA3"/>
    <w:rsid w:val="00195AD8"/>
    <w:rsid w:val="001A2227"/>
    <w:rsid w:val="001A364F"/>
    <w:rsid w:val="001B086F"/>
    <w:rsid w:val="001B2183"/>
    <w:rsid w:val="001C2241"/>
    <w:rsid w:val="001C37D9"/>
    <w:rsid w:val="001C7AC0"/>
    <w:rsid w:val="001E3CB7"/>
    <w:rsid w:val="001E3D3D"/>
    <w:rsid w:val="001E4CE2"/>
    <w:rsid w:val="001E67E6"/>
    <w:rsid w:val="00206DA7"/>
    <w:rsid w:val="00212D68"/>
    <w:rsid w:val="0022715F"/>
    <w:rsid w:val="00234072"/>
    <w:rsid w:val="002367E2"/>
    <w:rsid w:val="002373E2"/>
    <w:rsid w:val="002448C8"/>
    <w:rsid w:val="00250501"/>
    <w:rsid w:val="00251163"/>
    <w:rsid w:val="00255568"/>
    <w:rsid w:val="00257ADF"/>
    <w:rsid w:val="002616E3"/>
    <w:rsid w:val="00290A7E"/>
    <w:rsid w:val="002B0897"/>
    <w:rsid w:val="002D0A2D"/>
    <w:rsid w:val="002D3FDB"/>
    <w:rsid w:val="002E318F"/>
    <w:rsid w:val="002F58B8"/>
    <w:rsid w:val="00300F88"/>
    <w:rsid w:val="00313107"/>
    <w:rsid w:val="00314B77"/>
    <w:rsid w:val="0033239D"/>
    <w:rsid w:val="00335B6A"/>
    <w:rsid w:val="003363DF"/>
    <w:rsid w:val="00344A7D"/>
    <w:rsid w:val="00354EC4"/>
    <w:rsid w:val="00360DB9"/>
    <w:rsid w:val="003842A2"/>
    <w:rsid w:val="00392A94"/>
    <w:rsid w:val="00392BA0"/>
    <w:rsid w:val="003966FA"/>
    <w:rsid w:val="003A0E9A"/>
    <w:rsid w:val="003A2217"/>
    <w:rsid w:val="003A263A"/>
    <w:rsid w:val="003A5D98"/>
    <w:rsid w:val="003B7AB5"/>
    <w:rsid w:val="003F5E95"/>
    <w:rsid w:val="00401C37"/>
    <w:rsid w:val="0040434C"/>
    <w:rsid w:val="00404D81"/>
    <w:rsid w:val="00407DFA"/>
    <w:rsid w:val="00424756"/>
    <w:rsid w:val="0043038B"/>
    <w:rsid w:val="004353F6"/>
    <w:rsid w:val="00437399"/>
    <w:rsid w:val="00446D7A"/>
    <w:rsid w:val="00451A65"/>
    <w:rsid w:val="004570F4"/>
    <w:rsid w:val="00463EC6"/>
    <w:rsid w:val="00466AA9"/>
    <w:rsid w:val="0047233D"/>
    <w:rsid w:val="004731EC"/>
    <w:rsid w:val="00481D32"/>
    <w:rsid w:val="00490636"/>
    <w:rsid w:val="00490D91"/>
    <w:rsid w:val="004979FF"/>
    <w:rsid w:val="00497E4F"/>
    <w:rsid w:val="004A6995"/>
    <w:rsid w:val="004A6F31"/>
    <w:rsid w:val="004B4975"/>
    <w:rsid w:val="004C653E"/>
    <w:rsid w:val="004D2F56"/>
    <w:rsid w:val="004D639B"/>
    <w:rsid w:val="004F1A8A"/>
    <w:rsid w:val="004F2142"/>
    <w:rsid w:val="004F28CB"/>
    <w:rsid w:val="004F5D69"/>
    <w:rsid w:val="004F7383"/>
    <w:rsid w:val="00520230"/>
    <w:rsid w:val="005318F0"/>
    <w:rsid w:val="00540A8D"/>
    <w:rsid w:val="00543257"/>
    <w:rsid w:val="005504E9"/>
    <w:rsid w:val="00552F1E"/>
    <w:rsid w:val="00553F36"/>
    <w:rsid w:val="00562F36"/>
    <w:rsid w:val="005722D2"/>
    <w:rsid w:val="00575EE7"/>
    <w:rsid w:val="00575F12"/>
    <w:rsid w:val="005772FA"/>
    <w:rsid w:val="00591DAB"/>
    <w:rsid w:val="005963C3"/>
    <w:rsid w:val="005A2604"/>
    <w:rsid w:val="005A3BAB"/>
    <w:rsid w:val="005A3FB1"/>
    <w:rsid w:val="005A502B"/>
    <w:rsid w:val="005A5565"/>
    <w:rsid w:val="005B5E2A"/>
    <w:rsid w:val="005B79E7"/>
    <w:rsid w:val="005C4867"/>
    <w:rsid w:val="005C51E7"/>
    <w:rsid w:val="005C7202"/>
    <w:rsid w:val="005D731D"/>
    <w:rsid w:val="006045B5"/>
    <w:rsid w:val="00616D36"/>
    <w:rsid w:val="006266B9"/>
    <w:rsid w:val="00626F90"/>
    <w:rsid w:val="006279EC"/>
    <w:rsid w:val="006401F3"/>
    <w:rsid w:val="006433DB"/>
    <w:rsid w:val="006634ED"/>
    <w:rsid w:val="00664162"/>
    <w:rsid w:val="006649F9"/>
    <w:rsid w:val="006843A2"/>
    <w:rsid w:val="00684600"/>
    <w:rsid w:val="00692D19"/>
    <w:rsid w:val="00693192"/>
    <w:rsid w:val="006931EB"/>
    <w:rsid w:val="006A1127"/>
    <w:rsid w:val="006A1CBD"/>
    <w:rsid w:val="006B01E7"/>
    <w:rsid w:val="006B26A1"/>
    <w:rsid w:val="006C40FA"/>
    <w:rsid w:val="006E79AD"/>
    <w:rsid w:val="006F042F"/>
    <w:rsid w:val="0070188F"/>
    <w:rsid w:val="00705D26"/>
    <w:rsid w:val="0071584C"/>
    <w:rsid w:val="00725840"/>
    <w:rsid w:val="00743A16"/>
    <w:rsid w:val="00744210"/>
    <w:rsid w:val="00744DCF"/>
    <w:rsid w:val="00754D31"/>
    <w:rsid w:val="007A169A"/>
    <w:rsid w:val="007A3B6C"/>
    <w:rsid w:val="007A6433"/>
    <w:rsid w:val="007A6CC7"/>
    <w:rsid w:val="007B0CDD"/>
    <w:rsid w:val="007B14D0"/>
    <w:rsid w:val="007B57FD"/>
    <w:rsid w:val="007C7A1F"/>
    <w:rsid w:val="007E0D14"/>
    <w:rsid w:val="007E47E3"/>
    <w:rsid w:val="00805BD2"/>
    <w:rsid w:val="00816EC3"/>
    <w:rsid w:val="00841A1B"/>
    <w:rsid w:val="00846EA4"/>
    <w:rsid w:val="008540E4"/>
    <w:rsid w:val="00854DBA"/>
    <w:rsid w:val="00873073"/>
    <w:rsid w:val="00874494"/>
    <w:rsid w:val="00875A09"/>
    <w:rsid w:val="008846BC"/>
    <w:rsid w:val="008D5DA2"/>
    <w:rsid w:val="008E407D"/>
    <w:rsid w:val="008E5BDD"/>
    <w:rsid w:val="008E784B"/>
    <w:rsid w:val="008F2392"/>
    <w:rsid w:val="00900358"/>
    <w:rsid w:val="00912F4A"/>
    <w:rsid w:val="00917AFE"/>
    <w:rsid w:val="009320F4"/>
    <w:rsid w:val="00933C7F"/>
    <w:rsid w:val="0093478B"/>
    <w:rsid w:val="00943306"/>
    <w:rsid w:val="0095071A"/>
    <w:rsid w:val="00953BD3"/>
    <w:rsid w:val="00962585"/>
    <w:rsid w:val="0096529F"/>
    <w:rsid w:val="0096660B"/>
    <w:rsid w:val="00975253"/>
    <w:rsid w:val="00980643"/>
    <w:rsid w:val="009832C4"/>
    <w:rsid w:val="00986C2C"/>
    <w:rsid w:val="00991FCB"/>
    <w:rsid w:val="009926D1"/>
    <w:rsid w:val="009A16FD"/>
    <w:rsid w:val="009A2366"/>
    <w:rsid w:val="009C1F5F"/>
    <w:rsid w:val="009D26FC"/>
    <w:rsid w:val="00A00121"/>
    <w:rsid w:val="00A0127E"/>
    <w:rsid w:val="00A04167"/>
    <w:rsid w:val="00A226B8"/>
    <w:rsid w:val="00A27B3F"/>
    <w:rsid w:val="00A32480"/>
    <w:rsid w:val="00A4551C"/>
    <w:rsid w:val="00A46337"/>
    <w:rsid w:val="00A52E5B"/>
    <w:rsid w:val="00A724B9"/>
    <w:rsid w:val="00A818B4"/>
    <w:rsid w:val="00AA61C0"/>
    <w:rsid w:val="00AB4A56"/>
    <w:rsid w:val="00AB5B27"/>
    <w:rsid w:val="00AC73E2"/>
    <w:rsid w:val="00AE2DF7"/>
    <w:rsid w:val="00AE51C3"/>
    <w:rsid w:val="00AE53D4"/>
    <w:rsid w:val="00AF7BB0"/>
    <w:rsid w:val="00B02E8D"/>
    <w:rsid w:val="00B21FF1"/>
    <w:rsid w:val="00B22C7F"/>
    <w:rsid w:val="00B24385"/>
    <w:rsid w:val="00B24575"/>
    <w:rsid w:val="00B33BD1"/>
    <w:rsid w:val="00B70566"/>
    <w:rsid w:val="00B743E7"/>
    <w:rsid w:val="00B77CBF"/>
    <w:rsid w:val="00B8231B"/>
    <w:rsid w:val="00B83E03"/>
    <w:rsid w:val="00B92161"/>
    <w:rsid w:val="00B96788"/>
    <w:rsid w:val="00BA2583"/>
    <w:rsid w:val="00BA7CF4"/>
    <w:rsid w:val="00BB0D5A"/>
    <w:rsid w:val="00BB3ABF"/>
    <w:rsid w:val="00BC0825"/>
    <w:rsid w:val="00BC4344"/>
    <w:rsid w:val="00BD0A12"/>
    <w:rsid w:val="00BD1030"/>
    <w:rsid w:val="00BD15E4"/>
    <w:rsid w:val="00BF08A1"/>
    <w:rsid w:val="00C03329"/>
    <w:rsid w:val="00C13031"/>
    <w:rsid w:val="00C15238"/>
    <w:rsid w:val="00C15DA8"/>
    <w:rsid w:val="00C16CFA"/>
    <w:rsid w:val="00C2288C"/>
    <w:rsid w:val="00C3034A"/>
    <w:rsid w:val="00C5557A"/>
    <w:rsid w:val="00C557F6"/>
    <w:rsid w:val="00C55E9D"/>
    <w:rsid w:val="00C61887"/>
    <w:rsid w:val="00C6454E"/>
    <w:rsid w:val="00C66366"/>
    <w:rsid w:val="00C8689C"/>
    <w:rsid w:val="00C87766"/>
    <w:rsid w:val="00C92722"/>
    <w:rsid w:val="00CB5D55"/>
    <w:rsid w:val="00CC2C82"/>
    <w:rsid w:val="00CE21A0"/>
    <w:rsid w:val="00CE31AF"/>
    <w:rsid w:val="00CF5691"/>
    <w:rsid w:val="00D10A4E"/>
    <w:rsid w:val="00D10A59"/>
    <w:rsid w:val="00D114F7"/>
    <w:rsid w:val="00D20450"/>
    <w:rsid w:val="00D27820"/>
    <w:rsid w:val="00D342B8"/>
    <w:rsid w:val="00D5205D"/>
    <w:rsid w:val="00D66A4B"/>
    <w:rsid w:val="00D67371"/>
    <w:rsid w:val="00D75CFA"/>
    <w:rsid w:val="00D82B2F"/>
    <w:rsid w:val="00D90419"/>
    <w:rsid w:val="00D9664A"/>
    <w:rsid w:val="00DA0770"/>
    <w:rsid w:val="00DB5A83"/>
    <w:rsid w:val="00DB65AB"/>
    <w:rsid w:val="00DC4A51"/>
    <w:rsid w:val="00DF1BFC"/>
    <w:rsid w:val="00DF3894"/>
    <w:rsid w:val="00E144B6"/>
    <w:rsid w:val="00E20ED7"/>
    <w:rsid w:val="00E26A1A"/>
    <w:rsid w:val="00E43747"/>
    <w:rsid w:val="00E46069"/>
    <w:rsid w:val="00E571A2"/>
    <w:rsid w:val="00E643C5"/>
    <w:rsid w:val="00E6662C"/>
    <w:rsid w:val="00E72FE5"/>
    <w:rsid w:val="00E75ECA"/>
    <w:rsid w:val="00E76FFF"/>
    <w:rsid w:val="00E81932"/>
    <w:rsid w:val="00E946A1"/>
    <w:rsid w:val="00EB48FF"/>
    <w:rsid w:val="00EB694F"/>
    <w:rsid w:val="00EC402F"/>
    <w:rsid w:val="00ED6312"/>
    <w:rsid w:val="00EE2E5B"/>
    <w:rsid w:val="00EE625D"/>
    <w:rsid w:val="00EE7951"/>
    <w:rsid w:val="00F06A72"/>
    <w:rsid w:val="00F177CB"/>
    <w:rsid w:val="00F2117E"/>
    <w:rsid w:val="00F21D99"/>
    <w:rsid w:val="00F33643"/>
    <w:rsid w:val="00F400FE"/>
    <w:rsid w:val="00F43459"/>
    <w:rsid w:val="00F56576"/>
    <w:rsid w:val="00F61626"/>
    <w:rsid w:val="00F628A7"/>
    <w:rsid w:val="00F773B4"/>
    <w:rsid w:val="00FA5770"/>
    <w:rsid w:val="00FC2DC0"/>
    <w:rsid w:val="00FD5E9D"/>
    <w:rsid w:val="00FE2AF6"/>
    <w:rsid w:val="00FE37E7"/>
    <w:rsid w:val="00FE663C"/>
    <w:rsid w:val="0113F891"/>
    <w:rsid w:val="0183CDD3"/>
    <w:rsid w:val="01A3820F"/>
    <w:rsid w:val="01CEEEC6"/>
    <w:rsid w:val="01EE1869"/>
    <w:rsid w:val="02094C81"/>
    <w:rsid w:val="024B1C71"/>
    <w:rsid w:val="02704404"/>
    <w:rsid w:val="02C4D184"/>
    <w:rsid w:val="03058E09"/>
    <w:rsid w:val="030BFD66"/>
    <w:rsid w:val="033DD518"/>
    <w:rsid w:val="0342F160"/>
    <w:rsid w:val="0448F2B2"/>
    <w:rsid w:val="0479E033"/>
    <w:rsid w:val="0481E4AB"/>
    <w:rsid w:val="048F12D0"/>
    <w:rsid w:val="04C694DA"/>
    <w:rsid w:val="055CB5C2"/>
    <w:rsid w:val="058FE64D"/>
    <w:rsid w:val="05C774A2"/>
    <w:rsid w:val="05CAC610"/>
    <w:rsid w:val="066A8F67"/>
    <w:rsid w:val="06DD1949"/>
    <w:rsid w:val="0775C9EF"/>
    <w:rsid w:val="07852369"/>
    <w:rsid w:val="080A7F62"/>
    <w:rsid w:val="080C08B0"/>
    <w:rsid w:val="08391645"/>
    <w:rsid w:val="0844A894"/>
    <w:rsid w:val="08516BF7"/>
    <w:rsid w:val="09BB0A47"/>
    <w:rsid w:val="0A0D59CC"/>
    <w:rsid w:val="0A8168C2"/>
    <w:rsid w:val="0ADC6E23"/>
    <w:rsid w:val="0AF479D1"/>
    <w:rsid w:val="0AF6ECD4"/>
    <w:rsid w:val="0B09E4E6"/>
    <w:rsid w:val="0BBA52A1"/>
    <w:rsid w:val="0C26B569"/>
    <w:rsid w:val="0C7D6AE1"/>
    <w:rsid w:val="0C87E071"/>
    <w:rsid w:val="0D5EB1B6"/>
    <w:rsid w:val="0DDE4559"/>
    <w:rsid w:val="0E093C75"/>
    <w:rsid w:val="0E3F9575"/>
    <w:rsid w:val="0E440D58"/>
    <w:rsid w:val="0E46F319"/>
    <w:rsid w:val="0E644510"/>
    <w:rsid w:val="0EA65CD5"/>
    <w:rsid w:val="0F3B8BAC"/>
    <w:rsid w:val="0FA1F0BF"/>
    <w:rsid w:val="0FBDA8DF"/>
    <w:rsid w:val="0FC0DFC6"/>
    <w:rsid w:val="100421DA"/>
    <w:rsid w:val="118AAFC6"/>
    <w:rsid w:val="1217BF46"/>
    <w:rsid w:val="127EA3BB"/>
    <w:rsid w:val="12F1D829"/>
    <w:rsid w:val="1306677B"/>
    <w:rsid w:val="1374522C"/>
    <w:rsid w:val="138EB79C"/>
    <w:rsid w:val="13ED9653"/>
    <w:rsid w:val="1424FE95"/>
    <w:rsid w:val="14E7380E"/>
    <w:rsid w:val="15010728"/>
    <w:rsid w:val="154C7B91"/>
    <w:rsid w:val="1616F6B2"/>
    <w:rsid w:val="162BCC10"/>
    <w:rsid w:val="16AAAB7F"/>
    <w:rsid w:val="17815373"/>
    <w:rsid w:val="17E93548"/>
    <w:rsid w:val="1838C3BB"/>
    <w:rsid w:val="184E9792"/>
    <w:rsid w:val="188A6D05"/>
    <w:rsid w:val="188F7EE4"/>
    <w:rsid w:val="18C24C4C"/>
    <w:rsid w:val="190C301A"/>
    <w:rsid w:val="1966F24F"/>
    <w:rsid w:val="19D9C603"/>
    <w:rsid w:val="1A770B4D"/>
    <w:rsid w:val="1B3049E2"/>
    <w:rsid w:val="1B9F6394"/>
    <w:rsid w:val="1C1E230A"/>
    <w:rsid w:val="1C29872D"/>
    <w:rsid w:val="1C4B0500"/>
    <w:rsid w:val="1C4F04A6"/>
    <w:rsid w:val="1D591D6A"/>
    <w:rsid w:val="1D95F34C"/>
    <w:rsid w:val="1DC0D4F2"/>
    <w:rsid w:val="1DE59678"/>
    <w:rsid w:val="1DFA03AB"/>
    <w:rsid w:val="1E647D95"/>
    <w:rsid w:val="1E7EC346"/>
    <w:rsid w:val="1E9197E3"/>
    <w:rsid w:val="1EC2A9EA"/>
    <w:rsid w:val="1ECBF6E1"/>
    <w:rsid w:val="1F163ECF"/>
    <w:rsid w:val="1F2959CA"/>
    <w:rsid w:val="1F318CE9"/>
    <w:rsid w:val="1F8BC8AB"/>
    <w:rsid w:val="202C1C69"/>
    <w:rsid w:val="2044D989"/>
    <w:rsid w:val="204B1F56"/>
    <w:rsid w:val="20A23D9B"/>
    <w:rsid w:val="20DCCD2D"/>
    <w:rsid w:val="20E9FBA9"/>
    <w:rsid w:val="21DC7939"/>
    <w:rsid w:val="221C4D76"/>
    <w:rsid w:val="226D24F0"/>
    <w:rsid w:val="22A3811D"/>
    <w:rsid w:val="22C6D935"/>
    <w:rsid w:val="22E9842B"/>
    <w:rsid w:val="2348B350"/>
    <w:rsid w:val="235954E8"/>
    <w:rsid w:val="23C44E08"/>
    <w:rsid w:val="23E675D3"/>
    <w:rsid w:val="243202F1"/>
    <w:rsid w:val="24659B63"/>
    <w:rsid w:val="2476C384"/>
    <w:rsid w:val="2596378D"/>
    <w:rsid w:val="26658DCE"/>
    <w:rsid w:val="26917D4C"/>
    <w:rsid w:val="27040707"/>
    <w:rsid w:val="275D7556"/>
    <w:rsid w:val="279D69F9"/>
    <w:rsid w:val="27D72D18"/>
    <w:rsid w:val="2878C377"/>
    <w:rsid w:val="289E6A86"/>
    <w:rsid w:val="2932283B"/>
    <w:rsid w:val="2935FFFF"/>
    <w:rsid w:val="29645EFA"/>
    <w:rsid w:val="29AB2681"/>
    <w:rsid w:val="29BF225C"/>
    <w:rsid w:val="29E75F26"/>
    <w:rsid w:val="2A2F1D0B"/>
    <w:rsid w:val="2A75A8CF"/>
    <w:rsid w:val="2A915CDB"/>
    <w:rsid w:val="2ACF9C43"/>
    <w:rsid w:val="2AD19B2F"/>
    <w:rsid w:val="2B269F88"/>
    <w:rsid w:val="2BA0A7B0"/>
    <w:rsid w:val="2BA760D4"/>
    <w:rsid w:val="2C3B9B30"/>
    <w:rsid w:val="2C5B7DB9"/>
    <w:rsid w:val="2C7D8DD2"/>
    <w:rsid w:val="2C9511C8"/>
    <w:rsid w:val="2CADCBC5"/>
    <w:rsid w:val="2CDE07DA"/>
    <w:rsid w:val="2D1B9F67"/>
    <w:rsid w:val="2D2FF96A"/>
    <w:rsid w:val="2D745CEC"/>
    <w:rsid w:val="2DA41981"/>
    <w:rsid w:val="2DD91403"/>
    <w:rsid w:val="2E3A4FDB"/>
    <w:rsid w:val="2E571670"/>
    <w:rsid w:val="2E684756"/>
    <w:rsid w:val="2EB0048D"/>
    <w:rsid w:val="2EE42161"/>
    <w:rsid w:val="2EEEA414"/>
    <w:rsid w:val="2F0D823C"/>
    <w:rsid w:val="2F6E82C5"/>
    <w:rsid w:val="2F8341E1"/>
    <w:rsid w:val="2F88CD37"/>
    <w:rsid w:val="2FB7114F"/>
    <w:rsid w:val="2FDFA605"/>
    <w:rsid w:val="30157276"/>
    <w:rsid w:val="30640B48"/>
    <w:rsid w:val="3068D504"/>
    <w:rsid w:val="30FEEAAD"/>
    <w:rsid w:val="31493CFB"/>
    <w:rsid w:val="31B04223"/>
    <w:rsid w:val="31B96E55"/>
    <w:rsid w:val="31F71545"/>
    <w:rsid w:val="321B2053"/>
    <w:rsid w:val="324645B5"/>
    <w:rsid w:val="32710FF7"/>
    <w:rsid w:val="32B63AAC"/>
    <w:rsid w:val="33451539"/>
    <w:rsid w:val="336E4F22"/>
    <w:rsid w:val="33858C4C"/>
    <w:rsid w:val="33A2FA79"/>
    <w:rsid w:val="33B45D10"/>
    <w:rsid w:val="33BBA819"/>
    <w:rsid w:val="3401681E"/>
    <w:rsid w:val="3403C912"/>
    <w:rsid w:val="343DF522"/>
    <w:rsid w:val="34737982"/>
    <w:rsid w:val="35505484"/>
    <w:rsid w:val="3596EF24"/>
    <w:rsid w:val="35A89ED9"/>
    <w:rsid w:val="36DBC15E"/>
    <w:rsid w:val="372C6543"/>
    <w:rsid w:val="375C52E2"/>
    <w:rsid w:val="376BE964"/>
    <w:rsid w:val="377D1926"/>
    <w:rsid w:val="37948F64"/>
    <w:rsid w:val="3797B4D2"/>
    <w:rsid w:val="37AE1334"/>
    <w:rsid w:val="37C7C993"/>
    <w:rsid w:val="37C9D586"/>
    <w:rsid w:val="37E5C4D6"/>
    <w:rsid w:val="381BD22F"/>
    <w:rsid w:val="38581919"/>
    <w:rsid w:val="386DA940"/>
    <w:rsid w:val="3965D2A8"/>
    <w:rsid w:val="39660CE9"/>
    <w:rsid w:val="39B927CF"/>
    <w:rsid w:val="3A3F5886"/>
    <w:rsid w:val="3A8B9584"/>
    <w:rsid w:val="3A8E2061"/>
    <w:rsid w:val="3AC79B55"/>
    <w:rsid w:val="3AC88856"/>
    <w:rsid w:val="3AD6DD17"/>
    <w:rsid w:val="3B9702D3"/>
    <w:rsid w:val="3BDB0C7B"/>
    <w:rsid w:val="3BFABA66"/>
    <w:rsid w:val="3CA1A21C"/>
    <w:rsid w:val="3CC628A4"/>
    <w:rsid w:val="3D08F064"/>
    <w:rsid w:val="3DD840B4"/>
    <w:rsid w:val="3E4BDE17"/>
    <w:rsid w:val="3E895AD7"/>
    <w:rsid w:val="3EA97D07"/>
    <w:rsid w:val="3F59CD1C"/>
    <w:rsid w:val="3F76F520"/>
    <w:rsid w:val="3FEC5D94"/>
    <w:rsid w:val="40307D1A"/>
    <w:rsid w:val="406A857B"/>
    <w:rsid w:val="408C7A2C"/>
    <w:rsid w:val="4094E101"/>
    <w:rsid w:val="4095E11F"/>
    <w:rsid w:val="40BA8BE2"/>
    <w:rsid w:val="40CCCFE9"/>
    <w:rsid w:val="410831A9"/>
    <w:rsid w:val="41418629"/>
    <w:rsid w:val="4165A57E"/>
    <w:rsid w:val="41911B96"/>
    <w:rsid w:val="41B7E876"/>
    <w:rsid w:val="41C043DD"/>
    <w:rsid w:val="41C783EF"/>
    <w:rsid w:val="41F8E912"/>
    <w:rsid w:val="42145DEB"/>
    <w:rsid w:val="421C6736"/>
    <w:rsid w:val="423E3CE9"/>
    <w:rsid w:val="42B2049B"/>
    <w:rsid w:val="42DE4F90"/>
    <w:rsid w:val="431B2114"/>
    <w:rsid w:val="432D725E"/>
    <w:rsid w:val="4347080D"/>
    <w:rsid w:val="4408156D"/>
    <w:rsid w:val="441BB239"/>
    <w:rsid w:val="442003DE"/>
    <w:rsid w:val="44717CEA"/>
    <w:rsid w:val="4475B3CB"/>
    <w:rsid w:val="44A7D166"/>
    <w:rsid w:val="44DAE851"/>
    <w:rsid w:val="4535A1E3"/>
    <w:rsid w:val="457D2CFB"/>
    <w:rsid w:val="463FA916"/>
    <w:rsid w:val="47165127"/>
    <w:rsid w:val="4716F8B2"/>
    <w:rsid w:val="47540203"/>
    <w:rsid w:val="4761E6A3"/>
    <w:rsid w:val="477A353D"/>
    <w:rsid w:val="480670CA"/>
    <w:rsid w:val="4849D873"/>
    <w:rsid w:val="487A2904"/>
    <w:rsid w:val="493469CB"/>
    <w:rsid w:val="49461E6D"/>
    <w:rsid w:val="4997DE6A"/>
    <w:rsid w:val="49B7FC70"/>
    <w:rsid w:val="4A0A8C81"/>
    <w:rsid w:val="4A468598"/>
    <w:rsid w:val="4A7CEC30"/>
    <w:rsid w:val="4B16CBF1"/>
    <w:rsid w:val="4CA1BDD5"/>
    <w:rsid w:val="4CFC7B14"/>
    <w:rsid w:val="4D02EA90"/>
    <w:rsid w:val="4D129D9B"/>
    <w:rsid w:val="4D4F923E"/>
    <w:rsid w:val="4DF22574"/>
    <w:rsid w:val="4DF3BAD9"/>
    <w:rsid w:val="4E57BF80"/>
    <w:rsid w:val="4EF3B6CA"/>
    <w:rsid w:val="4F09194E"/>
    <w:rsid w:val="4F13005A"/>
    <w:rsid w:val="4F6B6531"/>
    <w:rsid w:val="4FA62570"/>
    <w:rsid w:val="4FF7C4C4"/>
    <w:rsid w:val="5023F272"/>
    <w:rsid w:val="502F1D3B"/>
    <w:rsid w:val="50568E84"/>
    <w:rsid w:val="509F5136"/>
    <w:rsid w:val="50B234E6"/>
    <w:rsid w:val="50DF00F3"/>
    <w:rsid w:val="50E98E14"/>
    <w:rsid w:val="50EE118F"/>
    <w:rsid w:val="50F2224D"/>
    <w:rsid w:val="50FD32F8"/>
    <w:rsid w:val="51B4B641"/>
    <w:rsid w:val="51C1B83C"/>
    <w:rsid w:val="51F3B436"/>
    <w:rsid w:val="51FD0111"/>
    <w:rsid w:val="525FA5B3"/>
    <w:rsid w:val="526DFFAB"/>
    <w:rsid w:val="52781938"/>
    <w:rsid w:val="52A01D49"/>
    <w:rsid w:val="52C4DEDF"/>
    <w:rsid w:val="53024B43"/>
    <w:rsid w:val="53131018"/>
    <w:rsid w:val="5337FEB3"/>
    <w:rsid w:val="534AFDC9"/>
    <w:rsid w:val="535E3E18"/>
    <w:rsid w:val="535E91C0"/>
    <w:rsid w:val="53866213"/>
    <w:rsid w:val="538DA498"/>
    <w:rsid w:val="538E8AFC"/>
    <w:rsid w:val="53C722F2"/>
    <w:rsid w:val="540936F9"/>
    <w:rsid w:val="549D578D"/>
    <w:rsid w:val="54C15FCE"/>
    <w:rsid w:val="54C31949"/>
    <w:rsid w:val="55608C43"/>
    <w:rsid w:val="557CB4FB"/>
    <w:rsid w:val="55C68561"/>
    <w:rsid w:val="55E014C3"/>
    <w:rsid w:val="566B8455"/>
    <w:rsid w:val="566F0BA8"/>
    <w:rsid w:val="56935C48"/>
    <w:rsid w:val="56FBAA2D"/>
    <w:rsid w:val="571735F7"/>
    <w:rsid w:val="576DE60A"/>
    <w:rsid w:val="5802D7FB"/>
    <w:rsid w:val="58A40FE7"/>
    <w:rsid w:val="58D916E5"/>
    <w:rsid w:val="58E8D91F"/>
    <w:rsid w:val="5904725D"/>
    <w:rsid w:val="5A219B05"/>
    <w:rsid w:val="5A338F90"/>
    <w:rsid w:val="5A533416"/>
    <w:rsid w:val="5ADBDE0E"/>
    <w:rsid w:val="5B6065B4"/>
    <w:rsid w:val="5BC43243"/>
    <w:rsid w:val="5C231D3A"/>
    <w:rsid w:val="5C494934"/>
    <w:rsid w:val="5D5AC523"/>
    <w:rsid w:val="5D747A92"/>
    <w:rsid w:val="5D825050"/>
    <w:rsid w:val="5DA0298F"/>
    <w:rsid w:val="5DB14DB9"/>
    <w:rsid w:val="5DDD8152"/>
    <w:rsid w:val="5DDF3C06"/>
    <w:rsid w:val="5DE190C3"/>
    <w:rsid w:val="5DFEAFE9"/>
    <w:rsid w:val="5ED69B71"/>
    <w:rsid w:val="5EE0409A"/>
    <w:rsid w:val="5EFBB208"/>
    <w:rsid w:val="5F130F50"/>
    <w:rsid w:val="5F624F87"/>
    <w:rsid w:val="5F71E50F"/>
    <w:rsid w:val="5FAD9FF4"/>
    <w:rsid w:val="5FCD24BE"/>
    <w:rsid w:val="600D98E2"/>
    <w:rsid w:val="6013BF93"/>
    <w:rsid w:val="601D9D29"/>
    <w:rsid w:val="603534F6"/>
    <w:rsid w:val="60421E2D"/>
    <w:rsid w:val="607B63D9"/>
    <w:rsid w:val="6086785C"/>
    <w:rsid w:val="60984045"/>
    <w:rsid w:val="611C1B35"/>
    <w:rsid w:val="61A539F1"/>
    <w:rsid w:val="6240883A"/>
    <w:rsid w:val="6248D13F"/>
    <w:rsid w:val="62776132"/>
    <w:rsid w:val="62F5D657"/>
    <w:rsid w:val="6333AB73"/>
    <w:rsid w:val="639C0F0A"/>
    <w:rsid w:val="639E91FC"/>
    <w:rsid w:val="63A6180A"/>
    <w:rsid w:val="63B6524C"/>
    <w:rsid w:val="644669F2"/>
    <w:rsid w:val="6466C423"/>
    <w:rsid w:val="64893C33"/>
    <w:rsid w:val="64A83831"/>
    <w:rsid w:val="64C1B406"/>
    <w:rsid w:val="65283E79"/>
    <w:rsid w:val="65B70FEC"/>
    <w:rsid w:val="65E93DAD"/>
    <w:rsid w:val="6622CBF1"/>
    <w:rsid w:val="666CFA02"/>
    <w:rsid w:val="668FE31A"/>
    <w:rsid w:val="66F98790"/>
    <w:rsid w:val="6740D21D"/>
    <w:rsid w:val="6776F1AE"/>
    <w:rsid w:val="67A51D86"/>
    <w:rsid w:val="67C44D8E"/>
    <w:rsid w:val="68036264"/>
    <w:rsid w:val="6829E31E"/>
    <w:rsid w:val="685D75A9"/>
    <w:rsid w:val="693DE74A"/>
    <w:rsid w:val="69622A1A"/>
    <w:rsid w:val="69ED5DD3"/>
    <w:rsid w:val="69F5B161"/>
    <w:rsid w:val="6A2EF475"/>
    <w:rsid w:val="6AE3FC11"/>
    <w:rsid w:val="6AED7B8F"/>
    <w:rsid w:val="6B49C80E"/>
    <w:rsid w:val="6C520933"/>
    <w:rsid w:val="6C5AA207"/>
    <w:rsid w:val="6CC3F3CC"/>
    <w:rsid w:val="6CE8CB9F"/>
    <w:rsid w:val="6D5955CE"/>
    <w:rsid w:val="6DF906B3"/>
    <w:rsid w:val="6E77642B"/>
    <w:rsid w:val="6EF520B9"/>
    <w:rsid w:val="6F0550C1"/>
    <w:rsid w:val="6F99F893"/>
    <w:rsid w:val="6FAD66D8"/>
    <w:rsid w:val="6FBDCA43"/>
    <w:rsid w:val="6FF6D0BD"/>
    <w:rsid w:val="6FFF6B9C"/>
    <w:rsid w:val="703DBE2F"/>
    <w:rsid w:val="709EE25A"/>
    <w:rsid w:val="713322BF"/>
    <w:rsid w:val="713A86C4"/>
    <w:rsid w:val="714577AE"/>
    <w:rsid w:val="715E12F6"/>
    <w:rsid w:val="71B95992"/>
    <w:rsid w:val="71E8F90E"/>
    <w:rsid w:val="72A14E49"/>
    <w:rsid w:val="7309D6FF"/>
    <w:rsid w:val="733016F4"/>
    <w:rsid w:val="734E9677"/>
    <w:rsid w:val="73BC0A0D"/>
    <w:rsid w:val="73EEBB65"/>
    <w:rsid w:val="741A6D9A"/>
    <w:rsid w:val="74311762"/>
    <w:rsid w:val="75C3277F"/>
    <w:rsid w:val="75EAD0E0"/>
    <w:rsid w:val="760667FA"/>
    <w:rsid w:val="761BA202"/>
    <w:rsid w:val="766ECBD4"/>
    <w:rsid w:val="768DC022"/>
    <w:rsid w:val="769465FD"/>
    <w:rsid w:val="769DF507"/>
    <w:rsid w:val="77E1B0D9"/>
    <w:rsid w:val="7846348F"/>
    <w:rsid w:val="78EABCD0"/>
    <w:rsid w:val="7925558E"/>
    <w:rsid w:val="799C52C0"/>
    <w:rsid w:val="7A1469C8"/>
    <w:rsid w:val="7A612501"/>
    <w:rsid w:val="7A9A6C78"/>
    <w:rsid w:val="7AAD7B99"/>
    <w:rsid w:val="7AD4E610"/>
    <w:rsid w:val="7B4CB50B"/>
    <w:rsid w:val="7B56858E"/>
    <w:rsid w:val="7B961938"/>
    <w:rsid w:val="7BE40C2C"/>
    <w:rsid w:val="7C0F56E9"/>
    <w:rsid w:val="7C282E53"/>
    <w:rsid w:val="7C3F079A"/>
    <w:rsid w:val="7C6059AA"/>
    <w:rsid w:val="7C62EC6B"/>
    <w:rsid w:val="7CADB64F"/>
    <w:rsid w:val="7CCF1281"/>
    <w:rsid w:val="7D4C871B"/>
    <w:rsid w:val="7D7D9FF9"/>
    <w:rsid w:val="7ECEC5F8"/>
    <w:rsid w:val="7F08726E"/>
    <w:rsid w:val="7F280EBE"/>
    <w:rsid w:val="7F33BAE7"/>
    <w:rsid w:val="7F7F65D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B181CAC"/>
  <w15:chartTrackingRefBased/>
  <w15:docId w15:val="{3B3F5A16-253F-485A-8A2E-3FDFBFB26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B8231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231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23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23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23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23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23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23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231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8231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B8231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B8231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B8231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B8231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B8231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8231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8231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8231B"/>
    <w:rPr>
      <w:rFonts w:eastAsiaTheme="majorEastAsia" w:cstheme="majorBidi"/>
      <w:color w:val="272727" w:themeColor="text1" w:themeTint="D8"/>
    </w:rPr>
  </w:style>
  <w:style w:type="paragraph" w:styleId="Title">
    <w:name w:val="Title"/>
    <w:basedOn w:val="Normal"/>
    <w:next w:val="Normal"/>
    <w:link w:val="TitleChar"/>
    <w:uiPriority w:val="10"/>
    <w:qFormat/>
    <w:rsid w:val="00B8231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8231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B8231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B823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231B"/>
    <w:pPr>
      <w:spacing w:before="160"/>
      <w:jc w:val="center"/>
    </w:pPr>
    <w:rPr>
      <w:i/>
      <w:iCs/>
      <w:color w:val="404040" w:themeColor="text1" w:themeTint="BF"/>
    </w:rPr>
  </w:style>
  <w:style w:type="character" w:styleId="QuoteChar" w:customStyle="1">
    <w:name w:val="Quote Char"/>
    <w:basedOn w:val="DefaultParagraphFont"/>
    <w:link w:val="Quote"/>
    <w:uiPriority w:val="29"/>
    <w:rsid w:val="00B8231B"/>
    <w:rPr>
      <w:i/>
      <w:iCs/>
      <w:color w:val="404040" w:themeColor="text1" w:themeTint="BF"/>
    </w:rPr>
  </w:style>
  <w:style w:type="paragraph" w:styleId="ListParagraph">
    <w:name w:val="List Paragraph"/>
    <w:basedOn w:val="Normal"/>
    <w:uiPriority w:val="34"/>
    <w:qFormat/>
    <w:rsid w:val="00B8231B"/>
    <w:pPr>
      <w:ind w:left="720"/>
      <w:contextualSpacing/>
    </w:pPr>
  </w:style>
  <w:style w:type="character" w:styleId="IntenseEmphasis">
    <w:name w:val="Intense Emphasis"/>
    <w:basedOn w:val="DefaultParagraphFont"/>
    <w:uiPriority w:val="21"/>
    <w:qFormat/>
    <w:rsid w:val="00B8231B"/>
    <w:rPr>
      <w:i/>
      <w:iCs/>
      <w:color w:val="0F4761" w:themeColor="accent1" w:themeShade="BF"/>
    </w:rPr>
  </w:style>
  <w:style w:type="paragraph" w:styleId="IntenseQuote">
    <w:name w:val="Intense Quote"/>
    <w:basedOn w:val="Normal"/>
    <w:next w:val="Normal"/>
    <w:link w:val="IntenseQuoteChar"/>
    <w:uiPriority w:val="30"/>
    <w:qFormat/>
    <w:rsid w:val="00B8231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B8231B"/>
    <w:rPr>
      <w:i/>
      <w:iCs/>
      <w:color w:val="0F4761" w:themeColor="accent1" w:themeShade="BF"/>
    </w:rPr>
  </w:style>
  <w:style w:type="character" w:styleId="IntenseReference">
    <w:name w:val="Intense Reference"/>
    <w:basedOn w:val="DefaultParagraphFont"/>
    <w:uiPriority w:val="32"/>
    <w:qFormat/>
    <w:rsid w:val="00B8231B"/>
    <w:rPr>
      <w:b/>
      <w:bCs/>
      <w:smallCaps/>
      <w:color w:val="0F4761" w:themeColor="accent1" w:themeShade="BF"/>
      <w:spacing w:val="5"/>
    </w:rPr>
  </w:style>
  <w:style w:type="paragraph" w:styleId="NormalWeb">
    <w:name w:val="Normal (Web)"/>
    <w:basedOn w:val="Normal"/>
    <w:uiPriority w:val="99"/>
    <w:semiHidden/>
    <w:unhideWhenUsed/>
    <w:rsid w:val="00B8231B"/>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B8231B"/>
    <w:rPr>
      <w:b/>
      <w:bCs/>
    </w:rPr>
  </w:style>
  <w:style w:type="character" w:styleId="apple-converted-space" w:customStyle="1">
    <w:name w:val="apple-converted-space"/>
    <w:basedOn w:val="DefaultParagraphFont"/>
    <w:rsid w:val="00D10A4E"/>
  </w:style>
  <w:style w:type="character" w:styleId="t286pc" w:customStyle="1">
    <w:name w:val="t286pc"/>
    <w:basedOn w:val="DefaultParagraphFont"/>
    <w:rsid w:val="00BC0825"/>
  </w:style>
  <w:style w:type="character" w:styleId="Emphasis">
    <w:name w:val="Emphasis"/>
    <w:basedOn w:val="DefaultParagraphFont"/>
    <w:uiPriority w:val="20"/>
    <w:qFormat/>
    <w:rsid w:val="00BC082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image" Target="media/image1.png"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Chizoma Awoyemi (2223400)</dc:creator>
  <keywords/>
  <dc:description/>
  <lastModifiedBy>Chizoma Awoyemi (2223400)</lastModifiedBy>
  <revision>10</revision>
  <dcterms:created xsi:type="dcterms:W3CDTF">2026-07-15T23:04:00.0000000Z</dcterms:created>
  <dcterms:modified xsi:type="dcterms:W3CDTF">2026-07-23T19:59:53.0832136Z</dcterms:modified>
</coreProperties>
</file>