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80D" w:rsidRDefault="00690FCA" w:rsidP="008B0AF6">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                     Emerging Issues </w:t>
      </w:r>
      <w:proofErr w:type="gramStart"/>
      <w:r>
        <w:rPr>
          <w:rFonts w:ascii="Times New Roman" w:eastAsia="Times New Roman" w:hAnsi="Times New Roman" w:cs="Times New Roman"/>
          <w:b/>
          <w:sz w:val="24"/>
          <w:szCs w:val="24"/>
          <w:lang w:val="en-GB"/>
        </w:rPr>
        <w:t>In</w:t>
      </w:r>
      <w:proofErr w:type="gramEnd"/>
      <w:r>
        <w:rPr>
          <w:rFonts w:ascii="Times New Roman" w:eastAsia="Times New Roman" w:hAnsi="Times New Roman" w:cs="Times New Roman"/>
          <w:b/>
          <w:sz w:val="24"/>
          <w:szCs w:val="24"/>
          <w:lang w:val="en-GB"/>
        </w:rPr>
        <w:t xml:space="preserve"> Health Delivery (BMHP6001_LON)</w:t>
      </w:r>
    </w:p>
    <w:p w:rsidR="00CF5A32" w:rsidRDefault="00CF5A32" w:rsidP="008B0AF6">
      <w:pPr>
        <w:pStyle w:val="Normal1"/>
        <w:spacing w:line="360" w:lineRule="auto"/>
        <w:jc w:val="both"/>
        <w:rPr>
          <w:rFonts w:ascii="Times New Roman" w:eastAsia="Times New Roman" w:hAnsi="Times New Roman" w:cs="Times New Roman"/>
          <w:b/>
          <w:sz w:val="24"/>
          <w:szCs w:val="24"/>
          <w:lang w:val="en-GB"/>
        </w:rPr>
      </w:pPr>
    </w:p>
    <w:p w:rsidR="00CF5A32" w:rsidRDefault="00CF5A32" w:rsidP="008B0AF6">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                    University of Wales Trinity Saint David London Campus</w:t>
      </w:r>
    </w:p>
    <w:p w:rsidR="00690FCA" w:rsidRDefault="00690FCA" w:rsidP="008B0AF6">
      <w:pPr>
        <w:jc w:val="both"/>
        <w:rPr>
          <w:rFonts w:ascii="Times New Roman" w:eastAsia="Times New Roman" w:hAnsi="Times New Roman" w:cs="Times New Roman"/>
          <w:b/>
          <w:sz w:val="24"/>
          <w:szCs w:val="24"/>
          <w:lang w:val="en-GB"/>
        </w:rPr>
      </w:pPr>
    </w:p>
    <w:p w:rsidR="00690FCA" w:rsidRDefault="00690FCA" w:rsidP="008B0AF6">
      <w:pPr>
        <w:jc w:val="both"/>
        <w:rPr>
          <w:rFonts w:ascii="Times New Roman" w:eastAsia="Times New Roman" w:hAnsi="Times New Roman" w:cs="Times New Roman"/>
          <w:b/>
          <w:sz w:val="24"/>
          <w:szCs w:val="24"/>
          <w:lang w:val="en-GB"/>
        </w:rPr>
      </w:pPr>
    </w:p>
    <w:p w:rsidR="0076180D" w:rsidRDefault="0076180D" w:rsidP="008B0AF6">
      <w:pPr>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Student’s Name:                                                                           </w:t>
      </w:r>
      <w:r w:rsidR="00690FCA">
        <w:rPr>
          <w:rFonts w:ascii="Times New Roman" w:eastAsia="Times New Roman" w:hAnsi="Times New Roman" w:cs="Times New Roman"/>
          <w:b/>
          <w:sz w:val="24"/>
          <w:szCs w:val="24"/>
          <w:lang w:val="en-GB"/>
        </w:rPr>
        <w:t xml:space="preserve">         </w:t>
      </w:r>
      <w:r w:rsidR="008B0AF6">
        <w:rPr>
          <w:rFonts w:ascii="Times New Roman" w:eastAsia="Times New Roman" w:hAnsi="Times New Roman" w:cs="Times New Roman"/>
          <w:b/>
          <w:sz w:val="24"/>
          <w:szCs w:val="24"/>
          <w:lang w:val="en-GB"/>
        </w:rPr>
        <w:t xml:space="preserve">             </w:t>
      </w:r>
      <w:proofErr w:type="spellStart"/>
      <w:r>
        <w:rPr>
          <w:rFonts w:ascii="Times New Roman" w:eastAsia="Times New Roman" w:hAnsi="Times New Roman" w:cs="Times New Roman"/>
          <w:b/>
          <w:sz w:val="24"/>
          <w:szCs w:val="24"/>
          <w:lang w:val="en-GB"/>
        </w:rPr>
        <w:t>Naseer</w:t>
      </w:r>
      <w:proofErr w:type="spellEnd"/>
      <w:r>
        <w:rPr>
          <w:rFonts w:ascii="Times New Roman" w:eastAsia="Times New Roman" w:hAnsi="Times New Roman" w:cs="Times New Roman"/>
          <w:b/>
          <w:sz w:val="24"/>
          <w:szCs w:val="24"/>
          <w:lang w:val="en-GB"/>
        </w:rPr>
        <w:t xml:space="preserve"> </w:t>
      </w:r>
      <w:proofErr w:type="spellStart"/>
      <w:r>
        <w:rPr>
          <w:rFonts w:ascii="Times New Roman" w:eastAsia="Times New Roman" w:hAnsi="Times New Roman" w:cs="Times New Roman"/>
          <w:b/>
          <w:sz w:val="24"/>
          <w:szCs w:val="24"/>
          <w:lang w:val="en-GB"/>
        </w:rPr>
        <w:t>Ud</w:t>
      </w:r>
      <w:proofErr w:type="spellEnd"/>
      <w:r>
        <w:rPr>
          <w:rFonts w:ascii="Times New Roman" w:eastAsia="Times New Roman" w:hAnsi="Times New Roman" w:cs="Times New Roman"/>
          <w:b/>
          <w:sz w:val="24"/>
          <w:szCs w:val="24"/>
          <w:lang w:val="en-GB"/>
        </w:rPr>
        <w:t>-din</w:t>
      </w:r>
    </w:p>
    <w:p w:rsidR="0076180D" w:rsidRDefault="0076180D" w:rsidP="008B0AF6">
      <w:pPr>
        <w:jc w:val="both"/>
        <w:rPr>
          <w:rFonts w:ascii="Times New Roman" w:eastAsia="Times New Roman" w:hAnsi="Times New Roman" w:cs="Times New Roman"/>
          <w:b/>
          <w:sz w:val="24"/>
          <w:szCs w:val="24"/>
          <w:lang w:val="en-GB"/>
        </w:rPr>
      </w:pPr>
    </w:p>
    <w:p w:rsidR="0076180D" w:rsidRDefault="0076180D" w:rsidP="008B0AF6">
      <w:pPr>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Student’s      ID:                                                                                     </w:t>
      </w:r>
      <w:r w:rsidR="00690FCA">
        <w:rPr>
          <w:rFonts w:ascii="Times New Roman" w:eastAsia="Times New Roman" w:hAnsi="Times New Roman" w:cs="Times New Roman"/>
          <w:b/>
          <w:sz w:val="24"/>
          <w:szCs w:val="24"/>
          <w:lang w:val="en-GB"/>
        </w:rPr>
        <w:t xml:space="preserve">         </w:t>
      </w:r>
      <w:r>
        <w:rPr>
          <w:rFonts w:ascii="Times New Roman" w:eastAsia="Times New Roman" w:hAnsi="Times New Roman" w:cs="Times New Roman"/>
          <w:b/>
          <w:sz w:val="24"/>
          <w:szCs w:val="24"/>
          <w:lang w:val="en-GB"/>
        </w:rPr>
        <w:t xml:space="preserve"> </w:t>
      </w:r>
      <w:r w:rsidR="008B0AF6">
        <w:rPr>
          <w:rFonts w:ascii="Times New Roman" w:eastAsia="Times New Roman" w:hAnsi="Times New Roman" w:cs="Times New Roman"/>
          <w:b/>
          <w:sz w:val="24"/>
          <w:szCs w:val="24"/>
          <w:lang w:val="en-GB"/>
        </w:rPr>
        <w:t xml:space="preserve">             </w:t>
      </w:r>
      <w:r>
        <w:rPr>
          <w:rFonts w:ascii="Times New Roman" w:eastAsia="Times New Roman" w:hAnsi="Times New Roman" w:cs="Times New Roman"/>
          <w:b/>
          <w:sz w:val="24"/>
          <w:szCs w:val="24"/>
          <w:lang w:val="en-GB"/>
        </w:rPr>
        <w:t>1604516</w:t>
      </w:r>
    </w:p>
    <w:p w:rsidR="00690FCA" w:rsidRDefault="00690FCA" w:rsidP="008B0AF6">
      <w:pPr>
        <w:jc w:val="both"/>
        <w:rPr>
          <w:rFonts w:ascii="Times New Roman" w:eastAsia="Times New Roman" w:hAnsi="Times New Roman" w:cs="Times New Roman"/>
          <w:b/>
          <w:sz w:val="24"/>
          <w:szCs w:val="24"/>
          <w:lang w:val="en-GB"/>
        </w:rPr>
      </w:pPr>
    </w:p>
    <w:p w:rsidR="00B4419D" w:rsidRPr="0076180D" w:rsidRDefault="0076180D" w:rsidP="008B0AF6">
      <w:pPr>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Teacher’s Name:                                                                          </w:t>
      </w:r>
      <w:r w:rsidR="00690FCA">
        <w:rPr>
          <w:rFonts w:ascii="Times New Roman" w:eastAsia="Times New Roman" w:hAnsi="Times New Roman" w:cs="Times New Roman"/>
          <w:b/>
          <w:sz w:val="24"/>
          <w:szCs w:val="24"/>
          <w:lang w:val="en-GB"/>
        </w:rPr>
        <w:t xml:space="preserve">        </w:t>
      </w:r>
      <w:r w:rsidR="00CF5A32">
        <w:rPr>
          <w:rFonts w:ascii="Times New Roman" w:eastAsia="Times New Roman" w:hAnsi="Times New Roman" w:cs="Times New Roman"/>
          <w:b/>
          <w:sz w:val="24"/>
          <w:szCs w:val="24"/>
          <w:lang w:val="en-GB"/>
        </w:rPr>
        <w:t xml:space="preserve"> </w:t>
      </w:r>
      <w:r w:rsidR="008B0AF6">
        <w:rPr>
          <w:rFonts w:ascii="Times New Roman" w:eastAsia="Times New Roman" w:hAnsi="Times New Roman" w:cs="Times New Roman"/>
          <w:b/>
          <w:sz w:val="24"/>
          <w:szCs w:val="24"/>
          <w:lang w:val="en-GB"/>
        </w:rPr>
        <w:t xml:space="preserve">        </w:t>
      </w:r>
      <w:proofErr w:type="spellStart"/>
      <w:r w:rsidR="00CF5A32">
        <w:rPr>
          <w:rFonts w:ascii="Times New Roman" w:eastAsia="Times New Roman" w:hAnsi="Times New Roman" w:cs="Times New Roman"/>
          <w:b/>
          <w:sz w:val="24"/>
          <w:szCs w:val="24"/>
          <w:lang w:val="en-GB"/>
        </w:rPr>
        <w:t>Di</w:t>
      </w:r>
      <w:r>
        <w:rPr>
          <w:rFonts w:ascii="Times New Roman" w:eastAsia="Times New Roman" w:hAnsi="Times New Roman" w:cs="Times New Roman"/>
          <w:b/>
          <w:sz w:val="24"/>
          <w:szCs w:val="24"/>
          <w:lang w:val="en-GB"/>
        </w:rPr>
        <w:t>ola</w:t>
      </w:r>
      <w:proofErr w:type="spellEnd"/>
      <w:r>
        <w:rPr>
          <w:rFonts w:ascii="Times New Roman" w:eastAsia="Times New Roman" w:hAnsi="Times New Roman" w:cs="Times New Roman"/>
          <w:b/>
          <w:sz w:val="24"/>
          <w:szCs w:val="24"/>
          <w:lang w:val="en-GB"/>
        </w:rPr>
        <w:t xml:space="preserve"> </w:t>
      </w:r>
      <w:proofErr w:type="spellStart"/>
      <w:r w:rsidR="002D1160">
        <w:rPr>
          <w:rFonts w:ascii="Times New Roman" w:eastAsia="Times New Roman" w:hAnsi="Times New Roman" w:cs="Times New Roman"/>
          <w:b/>
          <w:sz w:val="24"/>
          <w:szCs w:val="24"/>
          <w:lang w:val="en-GB"/>
        </w:rPr>
        <w:t>Bijlhout</w:t>
      </w:r>
      <w:proofErr w:type="spellEnd"/>
      <w:r>
        <w:rPr>
          <w:rFonts w:ascii="Times New Roman" w:eastAsia="Times New Roman" w:hAnsi="Times New Roman" w:cs="Times New Roman"/>
          <w:b/>
          <w:sz w:val="24"/>
          <w:szCs w:val="24"/>
          <w:lang w:val="en-GB"/>
        </w:rPr>
        <w:br w:type="page"/>
      </w:r>
      <w:r w:rsidR="00082804">
        <w:rPr>
          <w:rFonts w:ascii="Times New Roman" w:eastAsia="Times New Roman" w:hAnsi="Times New Roman" w:cs="Times New Roman"/>
          <w:b/>
          <w:sz w:val="24"/>
          <w:szCs w:val="24"/>
        </w:rPr>
        <w:lastRenderedPageBreak/>
        <w:t>Introduction</w:t>
      </w:r>
    </w:p>
    <w:p w:rsidR="0076180D" w:rsidRDefault="0076180D" w:rsidP="008B0AF6">
      <w:pPr>
        <w:pStyle w:val="Normal1"/>
        <w:spacing w:line="360" w:lineRule="auto"/>
        <w:jc w:val="both"/>
        <w:rPr>
          <w:rFonts w:ascii="Times New Roman" w:eastAsia="Times New Roman" w:hAnsi="Times New Roman" w:cs="Times New Roman"/>
          <w:sz w:val="24"/>
          <w:szCs w:val="24"/>
          <w:lang w:val="en-GB"/>
        </w:rPr>
      </w:pPr>
    </w:p>
    <w:p w:rsidR="00B4419D" w:rsidRDefault="00082804" w:rsidP="008B0AF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Studies done previously has demonstrated that an over-estimation is presented by the media of smoking rates and smoking is often associated with great characteristics or circumstances. It is widely known that youth culture is vastly influenced by the media therefore, representation of smoking in the media is a great concern. A research on ‘media representation of smoking’ published by Health Education Research in 2003 where 117 school students took part showed that young people see media representation of smoking very normal and acceptable. The results of the research also show that young people think, smoking helps relieve stress although they were aware of the harmful effects of it. Moreover, the participants also mentioned about the acceptability of smoking as a ‘cool’ image. Media often portray the positive image of smoking that overpower the negative health consequences. This happens particularly in the popular culture.</w:t>
      </w:r>
    </w:p>
    <w:p w:rsidR="00B4419D" w:rsidRDefault="00B4419D" w:rsidP="008B0AF6">
      <w:pPr>
        <w:pStyle w:val="Normal1"/>
        <w:spacing w:line="360" w:lineRule="auto"/>
        <w:jc w:val="both"/>
        <w:rPr>
          <w:rFonts w:ascii="Times New Roman" w:eastAsia="Times New Roman" w:hAnsi="Times New Roman" w:cs="Times New Roman"/>
          <w:sz w:val="24"/>
          <w:szCs w:val="24"/>
        </w:rPr>
      </w:pPr>
    </w:p>
    <w:p w:rsidR="00B4419D" w:rsidRDefault="00082804" w:rsidP="008B0AF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Statistics </w:t>
      </w:r>
    </w:p>
    <w:p w:rsidR="00B4419D" w:rsidRDefault="00082804" w:rsidP="008B0AF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England, 3% of children aged between 11-15 are involved in regular smoking. They smoke at least 1 cigarette a week in average. A regular child smoker smokes 31 cigarettes per week. Approximately, 18% children aged between 11-15 in England have smoked at least once in their life. The number of girls in this age group who are regular smoker is double than boys. This rate of young smoker is pretty same in the other parts of the UK. For example, the rate of regular smoker aged between 11-15 in Wales is 4%, in Scotland 2% and 4% in Northern Ireland. This statistics shows how bad the situation is and raises a question, how are children being influenced into smoking.  </w:t>
      </w:r>
    </w:p>
    <w:p w:rsidR="00B4419D" w:rsidRDefault="00B4419D" w:rsidP="008B0AF6">
      <w:pPr>
        <w:pStyle w:val="Normal1"/>
        <w:spacing w:line="360" w:lineRule="auto"/>
        <w:jc w:val="both"/>
        <w:rPr>
          <w:rFonts w:ascii="Times New Roman" w:eastAsia="Times New Roman" w:hAnsi="Times New Roman" w:cs="Times New Roman"/>
          <w:sz w:val="24"/>
          <w:szCs w:val="24"/>
        </w:rPr>
      </w:pPr>
    </w:p>
    <w:p w:rsidR="00B4419D" w:rsidRDefault="00082804" w:rsidP="008B0AF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media influences young people to smoke</w:t>
      </w:r>
    </w:p>
    <w:p w:rsidR="00B4419D" w:rsidRDefault="00082804" w:rsidP="008B0AF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we understand by media is books and magazines, newspapers, radio, televisions, movies and so on. It is well established in the society that media has a huge influence on people’s behaviour, especially when it comes to the perception of fashion. And, as young people lack maturity in most cases, they are highly influenced by what is represented in the media. People get entertainment or information from different types of media as mentioned earlier. Smoking is promoted in the media in a manner, knowing that people will notice the advertisements while entertaining themselves or collecting information through media. For example, the entertainment industry is a part of the media that produces big stars whom young people tend to follow. Often, products are introduced to the public by celebrities in </w:t>
      </w:r>
      <w:r>
        <w:rPr>
          <w:rFonts w:ascii="Times New Roman" w:eastAsia="Times New Roman" w:hAnsi="Times New Roman" w:cs="Times New Roman"/>
          <w:sz w:val="24"/>
          <w:szCs w:val="24"/>
        </w:rPr>
        <w:lastRenderedPageBreak/>
        <w:t xml:space="preserve">mass media. Their fans are highly influenced to buy those products because of their personal likeness of the celebrities. </w:t>
      </w:r>
    </w:p>
    <w:p w:rsidR="00B4419D" w:rsidRDefault="00B4419D" w:rsidP="008B0AF6">
      <w:pPr>
        <w:pStyle w:val="Normal1"/>
        <w:spacing w:line="360" w:lineRule="auto"/>
        <w:jc w:val="both"/>
        <w:rPr>
          <w:rFonts w:ascii="Times New Roman" w:eastAsia="Times New Roman" w:hAnsi="Times New Roman" w:cs="Times New Roman"/>
          <w:sz w:val="24"/>
          <w:szCs w:val="24"/>
        </w:rPr>
      </w:pPr>
    </w:p>
    <w:p w:rsidR="00B4419D" w:rsidRDefault="00082804" w:rsidP="008B0AF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Media as a source of communication (for both tobacco promoters and anti-smoke campaigners)</w:t>
      </w:r>
    </w:p>
    <w:p w:rsidR="00B4419D" w:rsidRDefault="00082804" w:rsidP="008B0AF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Media, which is popular among especially the youth, has been playing a big role in influencing them into smoking ever since it was created. Moreover, tobacco companies have been using media increasingly to promote their products although there are restrictions and policies on advertising tobacco products in the electronic and print media (Hastings, 1990). These tobacco companies are targeting the youth audiences particularly, using all media channels as young people spend a lot of time watching TV and surfing internet. In addition, where tobacco advertising is restricted by policies and legislation, tobacco companies are using popular media as an alternative marketing strategy (Hazan and Glantz, 1995). It is believed that the mass media has direct influence on the behaviour of people and therefore it has been long used by the promoters of tobacco products. On the other hand, anti-smoking campaigners also use mass media to communicate with the youth (O’Keefe, and Pollay, 1996). They try to create awareness of the negative impacts (individual health and society) of smoking among the youth. So, both parties have this assumption that mass media communication is effective in either promoting tobacco brands or creating awareness of youth smoking (Pautz, 2002).</w:t>
      </w:r>
    </w:p>
    <w:p w:rsidR="00B4419D" w:rsidRDefault="00082804" w:rsidP="008B0AF6">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B4419D" w:rsidRDefault="00082804" w:rsidP="008B0AF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Media representation of smoking and public perception</w:t>
      </w:r>
    </w:p>
    <w:p w:rsidR="00B4419D" w:rsidRDefault="00082804" w:rsidP="008B0AF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evident that media plays a big role in influencing smoking behaviour among the youth. Young people have the tendency to follow role models. When they see their role models smoking in movies or there is a picture of them in a media platform, they tend to imitate those role models’ behaviors if they are related to positive outcomes for instance power, sex, romance and status and the likes. Furthermore, teenagers have the tendency to look cool  because they want to present a cool image to their friends. Being cool is about looking cool without trying to look cool. When someone tries to look cool it can’t be called ‘being cool’. Therefore, the way smoking is represented and whom is seen smoking has big influence on the youth towards smoking. If they think that smoking cigarettes is adding coolness, then they will want to copy the behaviors of their role models. Through high level of tobacco advertising, young people are encouraged to buy tobacco products. Moreover, children who see smoking in movies too frequently are 3 times more likely to start smoking than the </w:t>
      </w:r>
      <w:r>
        <w:rPr>
          <w:rFonts w:ascii="Times New Roman" w:eastAsia="Times New Roman" w:hAnsi="Times New Roman" w:cs="Times New Roman"/>
          <w:sz w:val="24"/>
          <w:szCs w:val="24"/>
        </w:rPr>
        <w:lastRenderedPageBreak/>
        <w:t>children who see least smoking in the movies. In addition, children between 5 and 15 years of age who watch television more than 2 hours a day are likely to fall into smoking and 17% adulthood smoking occurs from viewing television by this age group (Sargent, 2015).</w:t>
      </w:r>
    </w:p>
    <w:p w:rsidR="00B4419D" w:rsidRDefault="00B4419D" w:rsidP="008B0AF6">
      <w:pPr>
        <w:pStyle w:val="Normal1"/>
        <w:pBdr>
          <w:top w:val="none" w:sz="0" w:space="0" w:color="auto"/>
          <w:left w:val="none" w:sz="0" w:space="0" w:color="auto"/>
          <w:bottom w:val="none" w:sz="0" w:space="0" w:color="auto"/>
          <w:right w:val="none" w:sz="0" w:space="0" w:color="auto"/>
          <w:between w:val="none" w:sz="0" w:space="0" w:color="auto"/>
        </w:pBdr>
        <w:shd w:val="clear" w:color="auto" w:fill="FFFFFF"/>
        <w:spacing w:line="408" w:lineRule="auto"/>
        <w:jc w:val="both"/>
        <w:rPr>
          <w:rFonts w:ascii="Times New Roman" w:eastAsia="Times New Roman" w:hAnsi="Times New Roman" w:cs="Times New Roman"/>
          <w:color w:val="2A2A2A"/>
          <w:sz w:val="24"/>
          <w:szCs w:val="24"/>
        </w:rPr>
      </w:pPr>
    </w:p>
    <w:p w:rsidR="00B4419D" w:rsidRDefault="00082804" w:rsidP="008B0AF6">
      <w:pPr>
        <w:pStyle w:val="Normal1"/>
        <w:pBdr>
          <w:top w:val="none" w:sz="0" w:space="0" w:color="auto"/>
          <w:left w:val="none" w:sz="0" w:space="0" w:color="auto"/>
          <w:bottom w:val="none" w:sz="0" w:space="0" w:color="auto"/>
          <w:right w:val="none" w:sz="0" w:space="0" w:color="auto"/>
          <w:between w:val="none" w:sz="0" w:space="0" w:color="auto"/>
        </w:pBdr>
        <w:shd w:val="clear" w:color="auto" w:fill="FFFFFF"/>
        <w:spacing w:line="408" w:lineRule="auto"/>
        <w:jc w:val="both"/>
        <w:rPr>
          <w:rFonts w:ascii="Times New Roman" w:eastAsia="Times New Roman" w:hAnsi="Times New Roman" w:cs="Times New Roman"/>
          <w:color w:val="2A2A2A"/>
          <w:sz w:val="24"/>
          <w:szCs w:val="24"/>
        </w:rPr>
      </w:pPr>
      <w:r>
        <w:rPr>
          <w:rFonts w:ascii="Times New Roman" w:eastAsia="Times New Roman" w:hAnsi="Times New Roman" w:cs="Times New Roman"/>
          <w:color w:val="2A2A2A"/>
          <w:sz w:val="24"/>
          <w:szCs w:val="24"/>
        </w:rPr>
        <w:t>Researcher have been trying to understand how incidental smoking images are influencing young people to smoke and the number of studies is increasing day by day to fight this issue. It has been revealed in a recent study conducted in Western Australia that 60% teenagers of 11-17 years of age go to the cinema and 99% children of 10-17 of age watch TV. The study also found that 24% of these children watch TV more than 4 hours everyday. (Personal communication: AC Nielsen, 2000; Nielsen Media Research, Sydney, Australia).</w:t>
      </w:r>
    </w:p>
    <w:p w:rsidR="00B4419D" w:rsidRDefault="00B4419D" w:rsidP="008B0AF6">
      <w:pPr>
        <w:pStyle w:val="Normal1"/>
        <w:pBdr>
          <w:top w:val="none" w:sz="0" w:space="0" w:color="auto"/>
          <w:left w:val="none" w:sz="0" w:space="0" w:color="auto"/>
          <w:bottom w:val="none" w:sz="0" w:space="0" w:color="auto"/>
          <w:right w:val="none" w:sz="0" w:space="0" w:color="auto"/>
          <w:between w:val="none" w:sz="0" w:space="0" w:color="auto"/>
        </w:pBdr>
        <w:shd w:val="clear" w:color="auto" w:fill="FFFFFF"/>
        <w:spacing w:line="408" w:lineRule="auto"/>
        <w:jc w:val="both"/>
        <w:rPr>
          <w:rFonts w:ascii="Times New Roman" w:eastAsia="Times New Roman" w:hAnsi="Times New Roman" w:cs="Times New Roman"/>
          <w:color w:val="2A2A2A"/>
          <w:sz w:val="24"/>
          <w:szCs w:val="24"/>
        </w:rPr>
      </w:pPr>
    </w:p>
    <w:p w:rsidR="00B4419D" w:rsidRDefault="00082804" w:rsidP="008B0AF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Just like the study in Australia, a study was also conducted in the UK to examine the perception of teenagers of images or scenes related to smoking on TV, movies, newspapers and magazines. This study was done by Gray et al., (1996) where teenagers made either negative or neutral comments about the appearance of smoking scenes on TV. However, there was a difference between the opinions of younger and older teenagers. Another study conducted on the teenagers of New Zealand where it found that the teenagers perceive smoking scenes in movies as normal (McCool et al., 2000).</w:t>
      </w:r>
    </w:p>
    <w:p w:rsidR="00B4419D" w:rsidRDefault="00B4419D" w:rsidP="008B0AF6">
      <w:pPr>
        <w:pStyle w:val="Normal1"/>
        <w:shd w:val="clear" w:color="auto" w:fill="FFFFFF"/>
        <w:spacing w:after="160" w:line="360" w:lineRule="auto"/>
        <w:jc w:val="both"/>
        <w:rPr>
          <w:rFonts w:ascii="Times New Roman" w:eastAsia="Times New Roman" w:hAnsi="Times New Roman" w:cs="Times New Roman"/>
          <w:color w:val="333333"/>
          <w:sz w:val="24"/>
          <w:szCs w:val="24"/>
        </w:rPr>
      </w:pP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How does the media work</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Some particular types of stories get extra priority in the media over others. Despite the hallowed journalistic tradition of objective reporting, news stories are best conceptualised as highly crafted artefacts that shape events into a readily digestible format. Through the presentation of selected news stories or issues in particular methods, media not only can influence the issue but also can control how the issue is perceived by public </w:t>
      </w:r>
      <w:r>
        <w:rPr>
          <w:rFonts w:ascii="Times New Roman" w:eastAsia="Times New Roman" w:hAnsi="Times New Roman" w:cs="Times New Roman"/>
          <w:sz w:val="24"/>
          <w:szCs w:val="24"/>
        </w:rPr>
        <w:t>(Sargent, 2015)</w:t>
      </w:r>
      <w:r>
        <w:rPr>
          <w:rFonts w:ascii="Times New Roman" w:eastAsia="Times New Roman" w:hAnsi="Times New Roman" w:cs="Times New Roman"/>
          <w:color w:val="333333"/>
          <w:sz w:val="24"/>
          <w:szCs w:val="24"/>
        </w:rPr>
        <w:t xml:space="preserve">. This specific process of covering news stories needs the presentation and packaging to takes place in a way that highlights some aspects of an issue while ignores the others.  Thus, frames can not only define what problems are seen as being important, but also what their causes are, and what their solutions might be. News is always a “social construction”, rather than a direct transfer of facts to the public. As Gamson and Modigliani describe it: “Media discourse can be conceived of as a set of interpretive packages that give meaning to an issue. At its core is a central organising idea or frame suggesting what is at issue.” Negative media coverage of </w:t>
      </w:r>
      <w:r>
        <w:rPr>
          <w:rFonts w:ascii="Times New Roman" w:eastAsia="Times New Roman" w:hAnsi="Times New Roman" w:cs="Times New Roman"/>
          <w:color w:val="333333"/>
          <w:sz w:val="24"/>
          <w:szCs w:val="24"/>
        </w:rPr>
        <w:lastRenderedPageBreak/>
        <w:t xml:space="preserve">policies, institutions, and individuals can profoundly shape public views, voting patterns, and the political strategies of competing parties </w:t>
      </w:r>
      <w:r>
        <w:rPr>
          <w:rFonts w:ascii="Times New Roman" w:eastAsia="Times New Roman" w:hAnsi="Times New Roman" w:cs="Times New Roman"/>
          <w:sz w:val="24"/>
          <w:szCs w:val="24"/>
        </w:rPr>
        <w:t>(Hazan and Glantz, 1995)</w:t>
      </w:r>
      <w:r>
        <w:rPr>
          <w:rFonts w:ascii="Times New Roman" w:eastAsia="Times New Roman" w:hAnsi="Times New Roman" w:cs="Times New Roman"/>
          <w:color w:val="333333"/>
          <w:sz w:val="24"/>
          <w:szCs w:val="24"/>
        </w:rPr>
        <w:t>.</w:t>
      </w:r>
    </w:p>
    <w:p w:rsidR="00B4419D" w:rsidRDefault="00B4419D" w:rsidP="008B0AF6">
      <w:pPr>
        <w:pStyle w:val="Normal1"/>
        <w:shd w:val="clear" w:color="auto" w:fill="FFFFFF"/>
        <w:spacing w:after="160" w:line="360" w:lineRule="auto"/>
        <w:jc w:val="both"/>
        <w:rPr>
          <w:rFonts w:ascii="Times New Roman" w:eastAsia="Times New Roman" w:hAnsi="Times New Roman" w:cs="Times New Roman"/>
          <w:color w:val="333333"/>
          <w:sz w:val="24"/>
          <w:szCs w:val="24"/>
        </w:rPr>
      </w:pP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News coverage of smoking issue and its impacts</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A lot of studies have proved the influence of media on public perception and public policy. To, illustrate, according to a research conducted by Fan, the way drugs issues are presented in American newspapers, it changes public perception of drugs which is a major problem. It is portrayed in the newspaper as a crisis. Moreover, media advocacy is very much related to the influence of media on public opinion and policy. Media advocacy entails the deliberate use of media by interest groups to advance specific causes and concerns. Media advocacy however, is considered to be a useful method reframing issues in ways that promote specific changes in attitudes, behaviour, and public policy in communities as well as particular groups like government policy makers. To illustrate, Holder and Treno reported that through media advocacy news coverage of smoking issues has increased which has drawn people’s attention and created some awareness (</w:t>
      </w:r>
      <w:r>
        <w:rPr>
          <w:rFonts w:ascii="Times New Roman" w:eastAsia="Times New Roman" w:hAnsi="Times New Roman" w:cs="Times New Roman"/>
          <w:sz w:val="24"/>
          <w:szCs w:val="24"/>
        </w:rPr>
        <w:t>Niederdeppe, Farrelly and Wenter, 2007)</w:t>
      </w:r>
      <w:r>
        <w:rPr>
          <w:rFonts w:ascii="Times New Roman" w:eastAsia="Times New Roman" w:hAnsi="Times New Roman" w:cs="Times New Roman"/>
          <w:color w:val="333333"/>
          <w:sz w:val="24"/>
          <w:szCs w:val="24"/>
        </w:rPr>
        <w:t xml:space="preserve">.   </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Several researches have proved that media advocacy plays an important role in advancing tobacco control objectives. However, a massive campaign could be very expensive and take lots of effort. Also, this type of effort may not last long. One of the biggest advantage of media advocacy strategy is that news coverage of smoking issues does not cost much usually if it is not a massive campaign and it can run constantly (</w:t>
      </w:r>
      <w:r>
        <w:rPr>
          <w:rFonts w:ascii="Times New Roman" w:eastAsia="Times New Roman" w:hAnsi="Times New Roman" w:cs="Times New Roman"/>
          <w:sz w:val="24"/>
          <w:szCs w:val="24"/>
        </w:rPr>
        <w:t>Niederdeppe, Farrelly and Wenter, 2007)</w:t>
      </w:r>
      <w:r>
        <w:rPr>
          <w:rFonts w:ascii="Times New Roman" w:eastAsia="Times New Roman" w:hAnsi="Times New Roman" w:cs="Times New Roman"/>
          <w:color w:val="333333"/>
          <w:sz w:val="24"/>
          <w:szCs w:val="24"/>
        </w:rPr>
        <w:t>. Therefore, creating awareness in public through news coverage is relatively uncostly and conceivably exceeds their presentation to broad communications battles, however very much created they may be.</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Even though news coverage plays a big role in creating awareness against smoking, there has not been enough systematic surveillance, analysis and evaluation of news coverage and its possible effects on public perception, attitude and policy. One important task then is to bring “the background into the foreground”; to analyse the the method that is used to cover tobacco issue and how may this affect public opinion and policy. </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color w:val="333333"/>
          <w:sz w:val="24"/>
          <w:szCs w:val="24"/>
        </w:rPr>
        <w:t xml:space="preserve">News coverage on smoking has close relation with different types of health behaviours. However, sufficient studies should be done on various impacts of news coverage generated by a health promotion campaign. To illustrate this, in 1998, in Florida, a youth-led marketing </w:t>
      </w:r>
      <w:r>
        <w:rPr>
          <w:rFonts w:ascii="Times New Roman" w:eastAsia="Times New Roman" w:hAnsi="Times New Roman" w:cs="Times New Roman"/>
          <w:color w:val="333333"/>
          <w:sz w:val="24"/>
          <w:szCs w:val="24"/>
        </w:rPr>
        <w:lastRenderedPageBreak/>
        <w:t xml:space="preserve">and grassroot campaign </w:t>
      </w:r>
      <w:r>
        <w:rPr>
          <w:rFonts w:ascii="Times New Roman" w:eastAsia="Times New Roman" w:hAnsi="Times New Roman" w:cs="Times New Roman"/>
          <w:color w:val="333333"/>
          <w:sz w:val="24"/>
          <w:szCs w:val="24"/>
          <w:highlight w:val="white"/>
        </w:rPr>
        <w:t xml:space="preserve">The Florida Tobacco Control Program (FTCP) </w:t>
      </w:r>
      <w:r>
        <w:rPr>
          <w:rFonts w:ascii="Times New Roman" w:eastAsia="Times New Roman" w:hAnsi="Times New Roman" w:cs="Times New Roman"/>
          <w:color w:val="333333"/>
          <w:sz w:val="24"/>
          <w:szCs w:val="24"/>
        </w:rPr>
        <w:t xml:space="preserve">was launched. </w:t>
      </w:r>
      <w:r>
        <w:rPr>
          <w:rFonts w:ascii="Times New Roman" w:eastAsia="Times New Roman" w:hAnsi="Times New Roman" w:cs="Times New Roman"/>
          <w:color w:val="333333"/>
          <w:sz w:val="24"/>
          <w:szCs w:val="24"/>
          <w:highlight w:val="white"/>
        </w:rPr>
        <w:t xml:space="preserve">Newspaper coverage content published in the newspapers in Florida was analysed between 1998 and 2001 and patterns were noticed before and after the period to assess the effects of newspaper coverage and media advocacy. Analysis of event history in 23 of 67 counties in Florida was conducted whether see whether newspaper coverage had reduced youth smoking </w:t>
      </w:r>
      <w:r>
        <w:rPr>
          <w:rFonts w:ascii="Times New Roman" w:eastAsia="Times New Roman" w:hAnsi="Times New Roman" w:cs="Times New Roman"/>
          <w:color w:val="333333"/>
          <w:sz w:val="24"/>
          <w:szCs w:val="24"/>
        </w:rPr>
        <w:t>(</w:t>
      </w:r>
      <w:r>
        <w:rPr>
          <w:rFonts w:ascii="Times New Roman" w:eastAsia="Times New Roman" w:hAnsi="Times New Roman" w:cs="Times New Roman"/>
          <w:sz w:val="24"/>
          <w:szCs w:val="24"/>
        </w:rPr>
        <w:t>Niederdeppe, Farrelly and Wenter, 2007)</w:t>
      </w:r>
      <w:r>
        <w:rPr>
          <w:rFonts w:ascii="Times New Roman" w:eastAsia="Times New Roman" w:hAnsi="Times New Roman" w:cs="Times New Roman"/>
          <w:color w:val="333333"/>
          <w:sz w:val="24"/>
          <w:szCs w:val="24"/>
          <w:highlight w:val="white"/>
        </w:rPr>
        <w:t xml:space="preserve">. </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This programme gave the opportunity to monitor the impacts of the programme-related news coverage on the behaviour of youth smoking. Under this programme, articles were collected from daily newspapers of Florida and then contents were analysed to oversee the prevalence of particular topic coverage. This was then combined with the analysis of other counties and previous years’ </w:t>
      </w:r>
      <w:r>
        <w:rPr>
          <w:rFonts w:ascii="Times New Roman" w:eastAsia="Times New Roman" w:hAnsi="Times New Roman" w:cs="Times New Roman"/>
          <w:color w:val="333333"/>
          <w:sz w:val="24"/>
          <w:szCs w:val="24"/>
          <w:highlight w:val="white"/>
        </w:rPr>
        <w:t>Florida Youth Tobacco Survey, which were a statewide, representative survey of Florida middle school and high school students administered between 1998 and 2002.</w:t>
      </w:r>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333333"/>
          <w:sz w:val="24"/>
          <w:szCs w:val="24"/>
          <w:highlight w:val="white"/>
        </w:rPr>
        <w:t xml:space="preserve">Trend comparisons and logistic regression models and controlling for alternate explanations showed that newspaper coverage in Florida related to smoking played an important role in reducing smoking. Therefore, newspaper coverage can have an indirect but meaning effects effects as health promotional campaigns </w:t>
      </w:r>
      <w:r>
        <w:rPr>
          <w:rFonts w:ascii="Times New Roman" w:eastAsia="Times New Roman" w:hAnsi="Times New Roman" w:cs="Times New Roman"/>
          <w:color w:val="333333"/>
          <w:sz w:val="24"/>
          <w:szCs w:val="24"/>
        </w:rPr>
        <w:t>(</w:t>
      </w:r>
      <w:r>
        <w:rPr>
          <w:rFonts w:ascii="Times New Roman" w:eastAsia="Times New Roman" w:hAnsi="Times New Roman" w:cs="Times New Roman"/>
          <w:sz w:val="24"/>
          <w:szCs w:val="24"/>
        </w:rPr>
        <w:t>Niederdeppe, Farrelly and Wenter, 2007)</w:t>
      </w:r>
      <w:r>
        <w:rPr>
          <w:rFonts w:ascii="Times New Roman" w:eastAsia="Times New Roman" w:hAnsi="Times New Roman" w:cs="Times New Roman"/>
          <w:color w:val="333333"/>
          <w:sz w:val="24"/>
          <w:szCs w:val="24"/>
          <w:highlight w:val="white"/>
        </w:rPr>
        <w:t xml:space="preserve">.  </w:t>
      </w:r>
      <w:r>
        <w:rPr>
          <w:rFonts w:ascii="Times New Roman" w:eastAsia="Times New Roman" w:hAnsi="Times New Roman" w:cs="Times New Roman"/>
          <w:color w:val="333333"/>
          <w:sz w:val="24"/>
          <w:szCs w:val="24"/>
        </w:rPr>
        <w:t xml:space="preserve">  </w:t>
      </w:r>
    </w:p>
    <w:p w:rsidR="00B4419D" w:rsidRDefault="00B4419D" w:rsidP="008B0AF6">
      <w:pPr>
        <w:pStyle w:val="Normal1"/>
        <w:shd w:val="clear" w:color="auto" w:fill="FFFFFF"/>
        <w:spacing w:after="300" w:line="360" w:lineRule="auto"/>
        <w:jc w:val="both"/>
        <w:rPr>
          <w:rFonts w:ascii="Times New Roman" w:eastAsia="Times New Roman" w:hAnsi="Times New Roman" w:cs="Times New Roman"/>
          <w:b/>
          <w:color w:val="333333"/>
          <w:sz w:val="24"/>
          <w:szCs w:val="24"/>
          <w:highlight w:val="white"/>
        </w:rPr>
      </w:pPr>
    </w:p>
    <w:p w:rsidR="00B4419D" w:rsidRDefault="00082804" w:rsidP="008B0AF6">
      <w:pPr>
        <w:pStyle w:val="Normal1"/>
        <w:shd w:val="clear" w:color="auto" w:fill="FFFFFF"/>
        <w:spacing w:after="300" w:line="360" w:lineRule="auto"/>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Legislation and policy</w:t>
      </w:r>
    </w:p>
    <w:p w:rsidR="00B4419D" w:rsidRDefault="00082804" w:rsidP="008B0AF6">
      <w:pPr>
        <w:pStyle w:val="Normal1"/>
        <w:shd w:val="clear" w:color="auto" w:fill="FFFFFF"/>
        <w:spacing w:after="30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Media representation of tobacco products means promoting them in the media such as television, TV news, newspapers and magazines.  In the primary portion of 2003, the Tobacco Advertising and Promotion Act 2002 restricted the immediate and backhanded publicizing or advancement of tobacco items. For the motivations behind the boycott, 'tobacco notice' is characterized as a commercial that has the sole reason for advancing a tobacco item (coordinate publicizing) or 'whose impact is to do as such' (aberrant promoting or brand-extending) </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333333"/>
          <w:sz w:val="24"/>
          <w:szCs w:val="24"/>
          <w:highlight w:val="white"/>
        </w:rPr>
        <w:t xml:space="preserve">Distefan, 2004). The Act says that a 'tobacco item' is anything made 'completely or somewhat of tobacco and planned to be smoked, sniffed, sucked or bitten.' The same Act banned tobacco advertising in the press and on billboards in February 2003 including a full ban on direct marketing in May same year. The Health Act 2009 added further regulations on tobacco selling and marketing. On the 1st October 2011, a restriction on the offer of tobacco from, and show of adverts on, vending machines came into constrain, </w:t>
      </w:r>
      <w:r>
        <w:rPr>
          <w:rFonts w:ascii="Times New Roman" w:eastAsia="Times New Roman" w:hAnsi="Times New Roman" w:cs="Times New Roman"/>
          <w:color w:val="333333"/>
          <w:sz w:val="24"/>
          <w:szCs w:val="24"/>
          <w:highlight w:val="white"/>
        </w:rPr>
        <w:lastRenderedPageBreak/>
        <w:t>the point being to anticipate under-age sales to youngsters and to help grown-ups attempting to stop smoking. On 6 April 2012, government introduced new regulations on tobacco displaying in supermarkets which includes hiding tobacco products from public view. Small shops other businesses started applying this regulation from 2015.</w:t>
      </w:r>
    </w:p>
    <w:p w:rsidR="00B4419D" w:rsidRDefault="00082804" w:rsidP="008B0AF6">
      <w:pPr>
        <w:pStyle w:val="Normal1"/>
        <w:shd w:val="clear" w:color="auto" w:fill="FFFFFF"/>
        <w:spacing w:after="30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On 20</w:t>
      </w:r>
      <w:r>
        <w:rPr>
          <w:rFonts w:ascii="Times New Roman" w:eastAsia="Times New Roman" w:hAnsi="Times New Roman" w:cs="Times New Roman"/>
          <w:color w:val="333333"/>
          <w:sz w:val="24"/>
          <w:szCs w:val="24"/>
          <w:highlight w:val="white"/>
          <w:vertAlign w:val="superscript"/>
        </w:rPr>
        <w:t>th</w:t>
      </w:r>
      <w:r>
        <w:rPr>
          <w:rFonts w:ascii="Times New Roman" w:eastAsia="Times New Roman" w:hAnsi="Times New Roman" w:cs="Times New Roman"/>
          <w:color w:val="333333"/>
          <w:sz w:val="24"/>
          <w:szCs w:val="24"/>
          <w:highlight w:val="white"/>
        </w:rPr>
        <w:t xml:space="preserve"> May 2016, the UK government published guidance on tobacco advertising in the media. Article 20(5) of the Tobacco Products Directive 2014/40/EU requires EU Member States to present confinements on the publicizing of electronic cigarettes. These standards have been executed in Britain in the Communications Act 2003, changes by Ofcom (the correspondences controller in the UK) to the BCAP Code (UK Code of Broadcast Advertising) and Broadcast Code and in the Tobacco and Related Products Regulations 2016</w:t>
      </w:r>
      <w:r>
        <w:rPr>
          <w:rFonts w:ascii="Times New Roman" w:eastAsia="Times New Roman" w:hAnsi="Times New Roman" w:cs="Times New Roman"/>
          <w:color w:val="222222"/>
          <w:sz w:val="24"/>
          <w:szCs w:val="24"/>
          <w:highlight w:val="white"/>
        </w:rPr>
        <w:t xml:space="preserve"> (Gove. UK, 2016)</w:t>
      </w:r>
      <w:r>
        <w:rPr>
          <w:rFonts w:ascii="Times New Roman" w:eastAsia="Times New Roman" w:hAnsi="Times New Roman" w:cs="Times New Roman"/>
          <w:color w:val="333333"/>
          <w:sz w:val="24"/>
          <w:szCs w:val="24"/>
          <w:highlight w:val="white"/>
        </w:rPr>
        <w:t>.</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color w:val="333333"/>
          <w:sz w:val="24"/>
          <w:szCs w:val="24"/>
          <w:highlight w:val="white"/>
        </w:rPr>
        <w:t>According to this article, the EU member states need to ensure that business interchanges in data society administrations, in the press and other printed distributions, with the point or immediate or circuitous impact of advancing electronic cigarettes and refill holders are precluded, aside from productions that are planned solely for experts in the exchange of electronic cigarettes or refill compartments and for distributions which are printed and distributed in third nations, where those distributions are not mainly proposed for the Union market (Grbich, 1999). The article also says that any commercial communications on the radio for promoting tobacco products directly or indirectly should be forbidden.</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Complexities in implementing policy and legislation</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Hostile issues are how much tobacco publicizing urges individuals to take up smoking and to what degree people of various ages ought to be presented to special messages (Pautz, 2002). The parties who are the opponents of the ban of tobacco advertising argue that the publicity of tobacco products does not actually expand the market of it rather it only helps the smokers choose their brands. One of the tobacco producers has claimed to Commons Health Committee that, "cigarette publicizing does not make individuals get into a habit of smoking (Balch, 1998). Basically, cigarette publicizing has two purposes - to keep up brand reliability and to urge smokers to switch brands." Due to the rebellious activities of some tobacco companies it becomes difficult for governments to force some strict legislation sometimes </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333333"/>
          <w:sz w:val="24"/>
          <w:szCs w:val="24"/>
          <w:highlight w:val="white"/>
        </w:rPr>
        <w:t xml:space="preserve">Dalton, 2003). In some countries, governments are forced to keep the policies and legislation relaxed about media representation of smoking due to the fact that tobacco companies pay </w:t>
      </w:r>
      <w:r>
        <w:rPr>
          <w:rFonts w:ascii="Times New Roman" w:eastAsia="Times New Roman" w:hAnsi="Times New Roman" w:cs="Times New Roman"/>
          <w:color w:val="333333"/>
          <w:sz w:val="24"/>
          <w:szCs w:val="24"/>
          <w:highlight w:val="white"/>
        </w:rPr>
        <w:lastRenderedPageBreak/>
        <w:t>huge taxes to the government's. Also, in some countries where corruption is high, tobacco companies bribe the government officials who make and enforce the policies. On the other hand, campaigners who are against smoking argue that allowing tobacco companies to advertise smoking in the media in a way legitimises smoking. Anti-smoking campaigners suggest that tobacco companies tend to target youngsters so that the smokers who have reached old age, given up smoking or died are replaced by the youngsters.</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color w:val="333333"/>
          <w:sz w:val="24"/>
          <w:szCs w:val="24"/>
          <w:highlight w:val="white"/>
        </w:rPr>
        <w:t>Plans announced by European Union in December 2012 have been praised by ASH (action on smoking and health) where it says that cigarette packets have to contain big warnings displayed on them. The guidance says that the health warning on the cigarette packet has to cover 75% of the area both sides of the packs. AHS recommends that in spite of the fact that the Directive does not unequivocally call for plain bundling of tobacco, it would empower Member States to embrace such a measure. Nonetheless, the secretary-general of the Tobacco Manufacturers' Association, Jaine Chisholm Caunt, said the recommendations, "go against sound judgment, and limit unhindered commerce." She likewise asserted that endeavors to institutionalize bundling would "make open doors for criminal packs to benefit and pitch illegal tobacco to kids."</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 xml:space="preserve">Conclusion </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It is worldwide known that smoking is hazardous for individuals of any age. The habit of smoking usually develops at young age. Young people are immature and simply get influenced by media representation of smoking. Tobacco companies also target the youngsters as they are the long-term consumers of tobacco and can be easily encouraged. Government has policies and legislation about advertising tobacco products in the media yet smoking in the youth is increasing. There are some controversies and complexities in implementing the current policies and introduce new policies also. But, government needs to take this issue more seriously and restrict media representation of smoking to save the youth from going towards darkness.</w:t>
      </w:r>
    </w:p>
    <w:p w:rsidR="00B4419D" w:rsidRDefault="00B4419D"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p>
    <w:p w:rsidR="008B0AF6" w:rsidRDefault="008B0AF6" w:rsidP="008B0AF6">
      <w:pPr>
        <w:pStyle w:val="Normal1"/>
        <w:shd w:val="clear" w:color="auto" w:fill="FFFFFF"/>
        <w:spacing w:after="160" w:line="360" w:lineRule="auto"/>
        <w:jc w:val="both"/>
        <w:rPr>
          <w:rFonts w:ascii="Times New Roman" w:eastAsia="Times New Roman" w:hAnsi="Times New Roman" w:cs="Times New Roman"/>
          <w:b/>
          <w:color w:val="333333"/>
          <w:sz w:val="24"/>
          <w:szCs w:val="24"/>
          <w:highlight w:val="white"/>
          <w:lang w:val="en-GB"/>
        </w:rPr>
      </w:pPr>
    </w:p>
    <w:p w:rsidR="008B0AF6" w:rsidRDefault="008B0AF6" w:rsidP="008B0AF6">
      <w:pPr>
        <w:pStyle w:val="Normal1"/>
        <w:shd w:val="clear" w:color="auto" w:fill="FFFFFF"/>
        <w:spacing w:after="160" w:line="360" w:lineRule="auto"/>
        <w:jc w:val="both"/>
        <w:rPr>
          <w:rFonts w:ascii="Times New Roman" w:eastAsia="Times New Roman" w:hAnsi="Times New Roman" w:cs="Times New Roman"/>
          <w:b/>
          <w:color w:val="333333"/>
          <w:sz w:val="24"/>
          <w:szCs w:val="24"/>
          <w:highlight w:val="white"/>
          <w:lang w:val="en-GB"/>
        </w:rPr>
      </w:pPr>
    </w:p>
    <w:p w:rsidR="008B0AF6" w:rsidRDefault="008B0AF6" w:rsidP="008B0AF6">
      <w:pPr>
        <w:pStyle w:val="Normal1"/>
        <w:shd w:val="clear" w:color="auto" w:fill="FFFFFF"/>
        <w:spacing w:after="160" w:line="360" w:lineRule="auto"/>
        <w:jc w:val="both"/>
        <w:rPr>
          <w:rFonts w:ascii="Times New Roman" w:eastAsia="Times New Roman" w:hAnsi="Times New Roman" w:cs="Times New Roman"/>
          <w:b/>
          <w:color w:val="333333"/>
          <w:sz w:val="24"/>
          <w:szCs w:val="24"/>
          <w:highlight w:val="white"/>
          <w:lang w:val="en-GB"/>
        </w:rPr>
      </w:pP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lastRenderedPageBreak/>
        <w:t>References</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Allbutt, H., Amos, A. and Cunningham‐Burley, S. (1995) The social image of smoking among young people in Scotland.  </w:t>
      </w:r>
      <w:r>
        <w:rPr>
          <w:rFonts w:ascii="Times New Roman" w:eastAsia="Times New Roman" w:hAnsi="Times New Roman" w:cs="Times New Roman"/>
          <w:i/>
          <w:color w:val="333333"/>
          <w:sz w:val="24"/>
          <w:szCs w:val="24"/>
          <w:highlight w:val="white"/>
        </w:rPr>
        <w:t>Health Education Research</w:t>
      </w:r>
      <w:r>
        <w:rPr>
          <w:rFonts w:ascii="Times New Roman" w:eastAsia="Times New Roman" w:hAnsi="Times New Roman" w:cs="Times New Roman"/>
          <w:color w:val="333333"/>
          <w:sz w:val="24"/>
          <w:szCs w:val="24"/>
          <w:highlight w:val="white"/>
        </w:rPr>
        <w:t xml:space="preserve"> , 10, 443–454.</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Amos, A. (1993) Youth and style magazines: hooked on smoking? </w:t>
      </w:r>
      <w:r>
        <w:rPr>
          <w:rFonts w:ascii="Times New Roman" w:eastAsia="Times New Roman" w:hAnsi="Times New Roman" w:cs="Times New Roman"/>
          <w:i/>
          <w:color w:val="333333"/>
          <w:sz w:val="24"/>
          <w:szCs w:val="24"/>
          <w:highlight w:val="white"/>
        </w:rPr>
        <w:t>Health Visitor</w:t>
      </w:r>
      <w:r>
        <w:rPr>
          <w:rFonts w:ascii="Times New Roman" w:eastAsia="Times New Roman" w:hAnsi="Times New Roman" w:cs="Times New Roman"/>
          <w:color w:val="333333"/>
          <w:sz w:val="24"/>
          <w:szCs w:val="24"/>
          <w:highlight w:val="white"/>
        </w:rPr>
        <w:t>, 66, 91–93.</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Amos, A., Currie, C., Gray, D. and Elton, R. (1998) Perceptions of fashion images from youth magazines: does a cigarette make a difference? </w:t>
      </w:r>
      <w:r>
        <w:rPr>
          <w:rFonts w:ascii="Times New Roman" w:eastAsia="Times New Roman" w:hAnsi="Times New Roman" w:cs="Times New Roman"/>
          <w:i/>
          <w:color w:val="333333"/>
          <w:sz w:val="24"/>
          <w:szCs w:val="24"/>
          <w:highlight w:val="white"/>
        </w:rPr>
        <w:t>Health Education Research</w:t>
      </w:r>
      <w:r>
        <w:rPr>
          <w:rFonts w:ascii="Times New Roman" w:eastAsia="Times New Roman" w:hAnsi="Times New Roman" w:cs="Times New Roman"/>
          <w:color w:val="333333"/>
          <w:sz w:val="24"/>
          <w:szCs w:val="24"/>
          <w:highlight w:val="white"/>
        </w:rPr>
        <w:t xml:space="preserve"> , 13, 491–501.</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Balch, G. (1998) Exploring perceptions of smoking cessation among high school smokers: input and feedback from focus groups. </w:t>
      </w:r>
      <w:r>
        <w:rPr>
          <w:rFonts w:ascii="Times New Roman" w:eastAsia="Times New Roman" w:hAnsi="Times New Roman" w:cs="Times New Roman"/>
          <w:i/>
          <w:color w:val="333333"/>
          <w:sz w:val="24"/>
          <w:szCs w:val="24"/>
          <w:highlight w:val="white"/>
        </w:rPr>
        <w:t>Preventive Medicine</w:t>
      </w:r>
      <w:r>
        <w:rPr>
          <w:rFonts w:ascii="Times New Roman" w:eastAsia="Times New Roman" w:hAnsi="Times New Roman" w:cs="Times New Roman"/>
          <w:color w:val="333333"/>
          <w:sz w:val="24"/>
          <w:szCs w:val="24"/>
          <w:highlight w:val="white"/>
        </w:rPr>
        <w:t xml:space="preserve"> , 27, A55–A63.</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Clarkson, J., Donovan, R., Giles-Corti, B. &amp; Watson, N. (2002), A study of smoking promotion in the mass media. Report to Healthway by Health Promotion Evaluation Unit, Department of Public Health, University of WA.</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Dalton, M. A., J. D. Sargent, M. L. Beach, L. Titus-Ernstoff, J. J. Gibson, M. B. Ahrens, J. J. Tickle, and T. F. Heatherton. 2003. Effect of viewing smoking in movies on adolescent smoking initiation: A cohort study. Lancet 362 (9380): 281–85.</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Distefan, J. M., J. P. Pierce, and E. A. Gilpin. 2004. Do favorite movie stars influence adolescent smoking initiation? American Journal of Public Health 94 (7): 1239–44.</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Chapman, S. (1997) Smoking in movies: is it a problem? </w:t>
      </w:r>
      <w:r>
        <w:rPr>
          <w:rFonts w:ascii="Times New Roman" w:eastAsia="Times New Roman" w:hAnsi="Times New Roman" w:cs="Times New Roman"/>
          <w:i/>
          <w:color w:val="333333"/>
          <w:sz w:val="24"/>
          <w:szCs w:val="24"/>
          <w:highlight w:val="white"/>
        </w:rPr>
        <w:t>Tobacco Control</w:t>
      </w:r>
      <w:r>
        <w:rPr>
          <w:rFonts w:ascii="Times New Roman" w:eastAsia="Times New Roman" w:hAnsi="Times New Roman" w:cs="Times New Roman"/>
          <w:color w:val="333333"/>
          <w:sz w:val="24"/>
          <w:szCs w:val="24"/>
          <w:highlight w:val="white"/>
        </w:rPr>
        <w:t xml:space="preserve"> , 6, 269–271.</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Cialdini, R. (1988) </w:t>
      </w:r>
      <w:r>
        <w:rPr>
          <w:rFonts w:ascii="Times New Roman" w:eastAsia="Times New Roman" w:hAnsi="Times New Roman" w:cs="Times New Roman"/>
          <w:i/>
          <w:color w:val="333333"/>
          <w:sz w:val="24"/>
          <w:szCs w:val="24"/>
          <w:highlight w:val="white"/>
        </w:rPr>
        <w:t>Influence: Science and Practice</w:t>
      </w:r>
      <w:r>
        <w:rPr>
          <w:rFonts w:ascii="Times New Roman" w:eastAsia="Times New Roman" w:hAnsi="Times New Roman" w:cs="Times New Roman"/>
          <w:color w:val="333333"/>
          <w:sz w:val="24"/>
          <w:szCs w:val="24"/>
          <w:highlight w:val="white"/>
        </w:rPr>
        <w:t xml:space="preserve">, 2nd edn. Scott, Foresman, Glenview, IL.Cruz, J. and Wallack, L. (1986) Trends in tobacco use on television. </w:t>
      </w:r>
      <w:r>
        <w:rPr>
          <w:rFonts w:ascii="Times New Roman" w:eastAsia="Times New Roman" w:hAnsi="Times New Roman" w:cs="Times New Roman"/>
          <w:i/>
          <w:color w:val="333333"/>
          <w:sz w:val="24"/>
          <w:szCs w:val="24"/>
          <w:highlight w:val="white"/>
        </w:rPr>
        <w:t>American Journal of Public Health</w:t>
      </w:r>
      <w:r>
        <w:rPr>
          <w:rFonts w:ascii="Times New Roman" w:eastAsia="Times New Roman" w:hAnsi="Times New Roman" w:cs="Times New Roman"/>
          <w:color w:val="333333"/>
          <w:sz w:val="24"/>
          <w:szCs w:val="24"/>
          <w:highlight w:val="white"/>
        </w:rPr>
        <w:t xml:space="preserve"> , 76, 698–699.</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Donovan, R. and Leivers, S. (1988) </w:t>
      </w:r>
      <w:r>
        <w:rPr>
          <w:rFonts w:ascii="Times New Roman" w:eastAsia="Times New Roman" w:hAnsi="Times New Roman" w:cs="Times New Roman"/>
          <w:i/>
          <w:color w:val="333333"/>
          <w:sz w:val="24"/>
          <w:szCs w:val="24"/>
          <w:highlight w:val="white"/>
        </w:rPr>
        <w:t>Women and Smoking. Report to NCADA Media Unit.</w:t>
      </w:r>
      <w:r>
        <w:rPr>
          <w:rFonts w:ascii="Times New Roman" w:eastAsia="Times New Roman" w:hAnsi="Times New Roman" w:cs="Times New Roman"/>
          <w:color w:val="333333"/>
          <w:sz w:val="24"/>
          <w:szCs w:val="24"/>
          <w:highlight w:val="white"/>
        </w:rPr>
        <w:t xml:space="preserve"> Commonwealth Department of Health, Perth.</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Egger, G., Donovan, R. and Spark, R. (1993) </w:t>
      </w:r>
      <w:r>
        <w:rPr>
          <w:rFonts w:ascii="Times New Roman" w:eastAsia="Times New Roman" w:hAnsi="Times New Roman" w:cs="Times New Roman"/>
          <w:i/>
          <w:color w:val="333333"/>
          <w:sz w:val="24"/>
          <w:szCs w:val="24"/>
          <w:highlight w:val="white"/>
        </w:rPr>
        <w:t>Health and the Media: Principles and Practices for Health Promotion</w:t>
      </w:r>
      <w:r>
        <w:rPr>
          <w:rFonts w:ascii="Times New Roman" w:eastAsia="Times New Roman" w:hAnsi="Times New Roman" w:cs="Times New Roman"/>
          <w:color w:val="333333"/>
          <w:sz w:val="24"/>
          <w:szCs w:val="24"/>
          <w:highlight w:val="white"/>
        </w:rPr>
        <w:t>. McGraw‐Hill, Sydney.</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Escamilla, G., Cradock, A. and Kawachi, I. (2000) Women and smoking inHollywood movies: a content analysis. </w:t>
      </w:r>
      <w:r>
        <w:rPr>
          <w:rFonts w:ascii="Times New Roman" w:eastAsia="Times New Roman" w:hAnsi="Times New Roman" w:cs="Times New Roman"/>
          <w:i/>
          <w:color w:val="333333"/>
          <w:sz w:val="24"/>
          <w:szCs w:val="24"/>
          <w:highlight w:val="white"/>
        </w:rPr>
        <w:t>American Journal of Public Health</w:t>
      </w:r>
      <w:r>
        <w:rPr>
          <w:rFonts w:ascii="Times New Roman" w:eastAsia="Times New Roman" w:hAnsi="Times New Roman" w:cs="Times New Roman"/>
          <w:color w:val="333333"/>
          <w:sz w:val="24"/>
          <w:szCs w:val="24"/>
          <w:highlight w:val="white"/>
        </w:rPr>
        <w:t xml:space="preserve"> , 90, 412–414.</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Goldberg, M. E., and H. Baumgartner. 2002. Cross-country attraction as a motivation for product consumption. Journal of Business Research 55 (11): 901–6.</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lastRenderedPageBreak/>
        <w:t>Grbich, C. (1999) Qualitative Research in Health: An Introduction. Allen &amp; Unwin, Sydney.</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Hastings, G. (1990) Qualitative research in health education. Journal of the Institute of Health Education , 28, 11–127.</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Hazan, A. and Glantz, S. (1995) Current trends in tobacco use on prime‐time fictional television. American Journal of Public Health , 85, 116–117.</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Lambert, A., J. D. Sargent, S. A. Glantz, and P. M. Ling. 2004. How Philip Morris unlocked the Japanese cigarette market: Lessons for global tobacco control. Tobacco Control 13 (4): 379–87.</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Mekemson, C., D. Glik, K. Titus, A. Myerson, A. Shaivitz, A. Ang, and S. Mitchell. 2004. Tobacco use in popular movies during the past decade. Tobacco Control 13 (4): 400–402.</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Mekemson, C. &amp; Glantz, SA. (2002), How the tobacco industry built its relationship with Hollywood. Tobacco Control, 11, i81 – i91.</w:t>
      </w:r>
    </w:p>
    <w:p w:rsidR="00B4419D" w:rsidRDefault="00082804" w:rsidP="008B0AF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Niederdeppe, J. Farrelly, M. C and Wenter, D. (2007). Media advocacy, tobacco control policy change and teen smoking in Florida. [online]. Available at: </w:t>
      </w:r>
      <w:hyperlink r:id="rId7">
        <w:r>
          <w:rPr>
            <w:rFonts w:ascii="Times New Roman" w:eastAsia="Times New Roman" w:hAnsi="Times New Roman" w:cs="Times New Roman"/>
            <w:color w:val="1155CC"/>
            <w:sz w:val="24"/>
            <w:szCs w:val="24"/>
            <w:u w:val="single"/>
          </w:rPr>
          <w:t>https://www.ncbi.nlm.nih.gov/pmc/articles/PMC2598450/</w:t>
        </w:r>
      </w:hyperlink>
      <w:r>
        <w:rPr>
          <w:rFonts w:ascii="Times New Roman" w:eastAsia="Times New Roman" w:hAnsi="Times New Roman" w:cs="Times New Roman"/>
          <w:sz w:val="24"/>
          <w:szCs w:val="24"/>
        </w:rPr>
        <w:t>. [last accessed:10/11/2017].</w:t>
      </w:r>
    </w:p>
    <w:p w:rsidR="00B4419D" w:rsidRDefault="00B4419D"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O’Keefe, A. M., and R. W. Pollay. 1996. Deadly targeting of women in promoting cigarettes. Journal of the American Medical Women’s Association 51 (1–2): 67–69.</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Pollay, R. W. 1993. Cigarette advertising and life (1937–1947): The history of advertising and archives. Vancouver: Univ. of British Columbia.</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Pierce, J. P., and E. A. Gilpin. 1995. A historical analysis of tobacco marketing and the uptake of smoking by youth in the United States: 1890–1977. Health Psychology 14 (6): 500–508.</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Pautz, M. 2002. The decline in average weekly cinema attendance, 1930–2000. Issues in Political Economy. http://www .elon.edu/ipe/Vol%2011%202002.htm</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Sargent, J. D., M. L. Beach, M. A. Dalton, L. T. Ernstoff, J. J. Gibson, J. J. Tickle, and T. F. Heatherton. 2004. Effect of parental R-rated movie restriction on adolescent smoking initiation: A prospective study. Pediatrics 114 (1): 149–56.</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lastRenderedPageBreak/>
        <w:t>Watson, N., Clarkson, J., Donovan, R., &amp; Giles-Corti, B. Filthy or Fashionable?: Young People’s Perception of Smoking in the Media. In Press, Health Education and Research.</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B4419D" w:rsidRDefault="00082804"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B4419D" w:rsidRDefault="00B4419D"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p>
    <w:p w:rsidR="00B4419D" w:rsidRDefault="00B4419D" w:rsidP="008B0AF6">
      <w:pPr>
        <w:pStyle w:val="Normal1"/>
        <w:shd w:val="clear" w:color="auto" w:fill="FFFFFF"/>
        <w:spacing w:after="160" w:line="360" w:lineRule="auto"/>
        <w:jc w:val="both"/>
        <w:rPr>
          <w:rFonts w:ascii="Times New Roman" w:eastAsia="Times New Roman" w:hAnsi="Times New Roman" w:cs="Times New Roman"/>
          <w:color w:val="333333"/>
          <w:sz w:val="24"/>
          <w:szCs w:val="24"/>
          <w:highlight w:val="white"/>
        </w:rPr>
      </w:pPr>
    </w:p>
    <w:p w:rsidR="00B4419D" w:rsidRDefault="00B4419D" w:rsidP="008B0AF6">
      <w:pPr>
        <w:pStyle w:val="Normal1"/>
        <w:jc w:val="both"/>
        <w:rPr>
          <w:rFonts w:ascii="Times New Roman" w:eastAsia="Times New Roman" w:hAnsi="Times New Roman" w:cs="Times New Roman"/>
          <w:sz w:val="24"/>
          <w:szCs w:val="24"/>
        </w:rPr>
      </w:pPr>
    </w:p>
    <w:sectPr w:rsidR="00B4419D">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96E" w:rsidRDefault="008C596E" w:rsidP="00352EC4">
      <w:pPr>
        <w:spacing w:line="240" w:lineRule="auto"/>
      </w:pPr>
      <w:r>
        <w:separator/>
      </w:r>
    </w:p>
  </w:endnote>
  <w:endnote w:type="continuationSeparator" w:id="0">
    <w:p w:rsidR="008C596E" w:rsidRDefault="008C596E" w:rsidP="00352E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EC4" w:rsidRDefault="00352E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155816"/>
      <w:docPartObj>
        <w:docPartGallery w:val="Page Numbers (Bottom of Page)"/>
        <w:docPartUnique/>
      </w:docPartObj>
    </w:sdtPr>
    <w:sdtEndPr>
      <w:rPr>
        <w:noProof/>
      </w:rPr>
    </w:sdtEndPr>
    <w:sdtContent>
      <w:bookmarkStart w:id="0" w:name="_GoBack" w:displacedByCustomXml="prev"/>
      <w:bookmarkEnd w:id="0" w:displacedByCustomXml="prev"/>
      <w:p w:rsidR="00352EC4" w:rsidRDefault="00352EC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352EC4" w:rsidRDefault="00352E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EC4" w:rsidRDefault="00352E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96E" w:rsidRDefault="008C596E" w:rsidP="00352EC4">
      <w:pPr>
        <w:spacing w:line="240" w:lineRule="auto"/>
      </w:pPr>
      <w:r>
        <w:separator/>
      </w:r>
    </w:p>
  </w:footnote>
  <w:footnote w:type="continuationSeparator" w:id="0">
    <w:p w:rsidR="008C596E" w:rsidRDefault="008C596E" w:rsidP="00352E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EC4" w:rsidRDefault="00352E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EC4" w:rsidRDefault="00352E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EC4" w:rsidRDefault="00352EC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B4419D"/>
    <w:rsid w:val="00082804"/>
    <w:rsid w:val="002D1160"/>
    <w:rsid w:val="00352EC4"/>
    <w:rsid w:val="00391417"/>
    <w:rsid w:val="005D61C5"/>
    <w:rsid w:val="00690FCA"/>
    <w:rsid w:val="0076180D"/>
    <w:rsid w:val="008B0AF6"/>
    <w:rsid w:val="008C596E"/>
    <w:rsid w:val="00B4419D"/>
    <w:rsid w:val="00CF5A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uz-Cyrl-UZ"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352EC4"/>
    <w:pPr>
      <w:tabs>
        <w:tab w:val="center" w:pos="4513"/>
        <w:tab w:val="right" w:pos="9026"/>
      </w:tabs>
      <w:spacing w:line="240" w:lineRule="auto"/>
    </w:pPr>
  </w:style>
  <w:style w:type="character" w:customStyle="1" w:styleId="HeaderChar">
    <w:name w:val="Header Char"/>
    <w:basedOn w:val="DefaultParagraphFont"/>
    <w:link w:val="Header"/>
    <w:uiPriority w:val="99"/>
    <w:rsid w:val="00352EC4"/>
  </w:style>
  <w:style w:type="paragraph" w:styleId="Footer">
    <w:name w:val="footer"/>
    <w:basedOn w:val="Normal"/>
    <w:link w:val="FooterChar"/>
    <w:uiPriority w:val="99"/>
    <w:unhideWhenUsed/>
    <w:rsid w:val="00352EC4"/>
    <w:pPr>
      <w:tabs>
        <w:tab w:val="center" w:pos="4513"/>
        <w:tab w:val="right" w:pos="9026"/>
      </w:tabs>
      <w:spacing w:line="240" w:lineRule="auto"/>
    </w:pPr>
  </w:style>
  <w:style w:type="character" w:customStyle="1" w:styleId="FooterChar">
    <w:name w:val="Footer Char"/>
    <w:basedOn w:val="DefaultParagraphFont"/>
    <w:link w:val="Footer"/>
    <w:uiPriority w:val="99"/>
    <w:rsid w:val="00352E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uz-Cyrl-UZ"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352EC4"/>
    <w:pPr>
      <w:tabs>
        <w:tab w:val="center" w:pos="4513"/>
        <w:tab w:val="right" w:pos="9026"/>
      </w:tabs>
      <w:spacing w:line="240" w:lineRule="auto"/>
    </w:pPr>
  </w:style>
  <w:style w:type="character" w:customStyle="1" w:styleId="HeaderChar">
    <w:name w:val="Header Char"/>
    <w:basedOn w:val="DefaultParagraphFont"/>
    <w:link w:val="Header"/>
    <w:uiPriority w:val="99"/>
    <w:rsid w:val="00352EC4"/>
  </w:style>
  <w:style w:type="paragraph" w:styleId="Footer">
    <w:name w:val="footer"/>
    <w:basedOn w:val="Normal"/>
    <w:link w:val="FooterChar"/>
    <w:uiPriority w:val="99"/>
    <w:unhideWhenUsed/>
    <w:rsid w:val="00352EC4"/>
    <w:pPr>
      <w:tabs>
        <w:tab w:val="center" w:pos="4513"/>
        <w:tab w:val="right" w:pos="9026"/>
      </w:tabs>
      <w:spacing w:line="240" w:lineRule="auto"/>
    </w:pPr>
  </w:style>
  <w:style w:type="character" w:customStyle="1" w:styleId="FooterChar">
    <w:name w:val="Footer Char"/>
    <w:basedOn w:val="DefaultParagraphFont"/>
    <w:link w:val="Footer"/>
    <w:uiPriority w:val="99"/>
    <w:rsid w:val="00352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ncbi.nlm.nih.gov/pmc/articles/PMC2598450/"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3318</Words>
  <Characters>18914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Underman</Company>
  <LinksUpToDate>false</LinksUpToDate>
  <CharactersWithSpaces>22188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5</cp:revision>
  <dcterms:created xsi:type="dcterms:W3CDTF">2017-11-24T10:45:00Z</dcterms:created>
  <dcterms:modified xsi:type="dcterms:W3CDTF">2017-11-24T11:03:00Z</dcterms:modified>
</cp:coreProperties>
</file>