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5738A8" w14:textId="4479433E" w:rsidR="004F3366" w:rsidRPr="00161B64" w:rsidRDefault="004F3366" w:rsidP="00996C96">
      <w:pPr>
        <w:spacing w:line="360" w:lineRule="auto"/>
        <w:jc w:val="center"/>
        <w:rPr>
          <w:rFonts w:ascii="Arial" w:hAnsi="Arial" w:cs="Arial"/>
          <w:b/>
          <w:bCs/>
          <w:sz w:val="36"/>
          <w:szCs w:val="36"/>
          <w:u w:val="single"/>
        </w:rPr>
      </w:pPr>
      <w:r w:rsidRPr="00161B64">
        <w:rPr>
          <w:rFonts w:ascii="Arial" w:hAnsi="Arial" w:cs="Arial"/>
          <w:b/>
          <w:bCs/>
          <w:sz w:val="36"/>
          <w:szCs w:val="36"/>
          <w:u w:val="single"/>
        </w:rPr>
        <w:t>A critical evaluation and the identification of next teaching and learning steps focusing on a case study of an individual learner or a group of learners, based on an observed critical incident.</w:t>
      </w:r>
    </w:p>
    <w:p w14:paraId="374CB94B" w14:textId="77777777" w:rsidR="00B140F2" w:rsidRDefault="00B140F2" w:rsidP="006F07F7">
      <w:pPr>
        <w:spacing w:line="360" w:lineRule="auto"/>
        <w:rPr>
          <w:rFonts w:ascii="Arial" w:hAnsi="Arial" w:cs="Arial"/>
          <w:b/>
          <w:bCs/>
          <w:sz w:val="28"/>
          <w:szCs w:val="28"/>
        </w:rPr>
      </w:pPr>
    </w:p>
    <w:p w14:paraId="1E49A2AF" w14:textId="4BA29576" w:rsidR="001D0792" w:rsidRPr="00B140F2" w:rsidRDefault="00600B74" w:rsidP="006F07F7">
      <w:pPr>
        <w:spacing w:line="360" w:lineRule="auto"/>
        <w:rPr>
          <w:rFonts w:ascii="Arial" w:hAnsi="Arial" w:cs="Arial"/>
          <w:b/>
          <w:bCs/>
          <w:sz w:val="28"/>
          <w:szCs w:val="28"/>
        </w:rPr>
      </w:pPr>
      <w:r w:rsidRPr="00B140F2">
        <w:rPr>
          <w:rFonts w:ascii="Arial" w:hAnsi="Arial" w:cs="Arial"/>
          <w:b/>
          <w:bCs/>
          <w:sz w:val="28"/>
          <w:szCs w:val="28"/>
        </w:rPr>
        <w:t>Introduction</w:t>
      </w:r>
    </w:p>
    <w:p w14:paraId="37E545A9" w14:textId="77777777" w:rsidR="00F76251" w:rsidRPr="00F76251" w:rsidRDefault="00F76251" w:rsidP="00F76251">
      <w:pPr>
        <w:spacing w:line="360" w:lineRule="auto"/>
        <w:rPr>
          <w:rFonts w:ascii="Arial" w:hAnsi="Arial" w:cs="Arial"/>
        </w:rPr>
      </w:pPr>
      <w:r w:rsidRPr="00F76251">
        <w:rPr>
          <w:rFonts w:ascii="Arial" w:hAnsi="Arial" w:cs="Arial"/>
        </w:rPr>
        <w:t>The content of this essay entails a critical evaluation of a critical incident observed by myself. According to Tripp (1993), critical incidents are often very normal incidents that happen in the everyday routine of educational practice. He argued that the incidents themselves appear to be common and minor in the context of a classroom environment, but when considered critically the incidents themselves should be considered greatly, and may possess a deeper explanation which needs to be resolved (ibid). Thus, the essay intends to evaluate the critical incident through various stages. An explanation of the context and incident itself set the tone for possible areas of research. This is followed by a review of literature, which enabled an academic development of knowledge within the area of the incident. With this knowledge, possible identifications for ways forward to develop practice and outcomes for students have been considered. By considering an incident experientially and by deepening investigation academically, one can develop their professional practice (ibid).</w:t>
      </w:r>
    </w:p>
    <w:p w14:paraId="71AE39A9" w14:textId="77777777" w:rsidR="00F76251" w:rsidRPr="00F76251" w:rsidRDefault="00F76251" w:rsidP="00F76251">
      <w:pPr>
        <w:spacing w:line="360" w:lineRule="auto"/>
        <w:rPr>
          <w:rFonts w:ascii="Arial" w:hAnsi="Arial" w:cs="Arial"/>
        </w:rPr>
      </w:pPr>
      <w:r w:rsidRPr="00F76251">
        <w:rPr>
          <w:rFonts w:ascii="Arial" w:hAnsi="Arial" w:cs="Arial"/>
          <w:b/>
          <w:bCs/>
        </w:rPr>
        <w:t>The role of critical reflection</w:t>
      </w:r>
    </w:p>
    <w:p w14:paraId="43E6FD5C" w14:textId="77777777" w:rsidR="00F76251" w:rsidRPr="00F76251" w:rsidRDefault="00F76251" w:rsidP="00F76251">
      <w:pPr>
        <w:spacing w:line="360" w:lineRule="auto"/>
        <w:rPr>
          <w:rFonts w:ascii="Arial" w:hAnsi="Arial" w:cs="Arial"/>
        </w:rPr>
      </w:pPr>
      <w:r w:rsidRPr="00F76251">
        <w:rPr>
          <w:rFonts w:ascii="Arial" w:hAnsi="Arial" w:cs="Arial"/>
        </w:rPr>
        <w:t xml:space="preserve">Fook (2015) argues that critical reflection is a process of ongoing scrutiny of one’s own educational practice which enables professional development. This can be viewed as a two-stage process. The first is a personal reflection on our practice, such as our own beliefs and ideas of the </w:t>
      </w:r>
      <w:r w:rsidRPr="00F76251">
        <w:rPr>
          <w:rFonts w:ascii="Arial" w:hAnsi="Arial" w:cs="Arial"/>
          <w:i/>
          <w:iCs/>
        </w:rPr>
        <w:t xml:space="preserve">wrongs </w:t>
      </w:r>
      <w:r w:rsidRPr="00F76251">
        <w:rPr>
          <w:rFonts w:ascii="Arial" w:hAnsi="Arial" w:cs="Arial"/>
        </w:rPr>
        <w:t xml:space="preserve">and the </w:t>
      </w:r>
      <w:r w:rsidRPr="00F76251">
        <w:rPr>
          <w:rFonts w:ascii="Arial" w:hAnsi="Arial" w:cs="Arial"/>
          <w:i/>
          <w:iCs/>
        </w:rPr>
        <w:t>rights</w:t>
      </w:r>
      <w:r w:rsidRPr="00F76251">
        <w:rPr>
          <w:rFonts w:ascii="Arial" w:hAnsi="Arial" w:cs="Arial"/>
        </w:rPr>
        <w:t xml:space="preserve"> and how practice can be developed. The second is the addition of educational theories and factual evidence which offer support and reason as to </w:t>
      </w:r>
      <w:r w:rsidRPr="00F76251">
        <w:rPr>
          <w:rFonts w:ascii="Arial" w:hAnsi="Arial" w:cs="Arial"/>
          <w:i/>
          <w:iCs/>
        </w:rPr>
        <w:t>why</w:t>
      </w:r>
      <w:r w:rsidRPr="00F76251">
        <w:rPr>
          <w:rFonts w:ascii="Arial" w:hAnsi="Arial" w:cs="Arial"/>
        </w:rPr>
        <w:t xml:space="preserve"> things have or have not worked (ibid). Thus, if considered and implemented our practice can be developed. In order to implement such a process, Dewey (1933) proclaims that an individual must possess the following attributes. One must welcome new ideas and criticism through open-mindedness, one must also consider the possible impact that their reflection may cause, and lastly one’s commitment and dedication to engage with the process of these developments (ibid). In order to understand and support the role of critical reflection within </w:t>
      </w:r>
      <w:r w:rsidRPr="00F76251">
        <w:rPr>
          <w:rFonts w:ascii="Arial" w:hAnsi="Arial" w:cs="Arial"/>
        </w:rPr>
        <w:lastRenderedPageBreak/>
        <w:t>education and educational practice, we must have a corresponding understanding of the profession itself.</w:t>
      </w:r>
    </w:p>
    <w:p w14:paraId="0F927ABB" w14:textId="77777777" w:rsidR="00F76251" w:rsidRPr="00F76251" w:rsidRDefault="00F76251" w:rsidP="00F76251">
      <w:pPr>
        <w:spacing w:line="360" w:lineRule="auto"/>
        <w:rPr>
          <w:rFonts w:ascii="Arial" w:hAnsi="Arial" w:cs="Arial"/>
        </w:rPr>
      </w:pPr>
      <w:r w:rsidRPr="00F76251">
        <w:rPr>
          <w:rFonts w:ascii="Arial" w:hAnsi="Arial" w:cs="Arial"/>
        </w:rPr>
        <w:t xml:space="preserve">According to Gove (2010, cited in Orchard and Winch, 2015), the foremost approach to creating an effective educator is through observation. Where a student observes a professional in their </w:t>
      </w:r>
      <w:r w:rsidRPr="00F76251">
        <w:rPr>
          <w:rFonts w:ascii="Arial" w:hAnsi="Arial" w:cs="Arial"/>
          <w:i/>
          <w:iCs/>
        </w:rPr>
        <w:t xml:space="preserve">craft, </w:t>
      </w:r>
      <w:r w:rsidRPr="00F76251">
        <w:rPr>
          <w:rFonts w:ascii="Arial" w:hAnsi="Arial" w:cs="Arial"/>
        </w:rPr>
        <w:t xml:space="preserve">and the professional observes the student. In consequence, the knowledge developed is based on common sense and on the surface of education due to the lack of consideration of the </w:t>
      </w:r>
      <w:r w:rsidRPr="00F76251">
        <w:rPr>
          <w:rFonts w:ascii="Arial" w:hAnsi="Arial" w:cs="Arial"/>
          <w:i/>
          <w:iCs/>
        </w:rPr>
        <w:t xml:space="preserve">why. </w:t>
      </w:r>
      <w:r w:rsidRPr="00F76251">
        <w:rPr>
          <w:rFonts w:ascii="Arial" w:hAnsi="Arial" w:cs="Arial"/>
        </w:rPr>
        <w:t>Whereas, teaching as a profession considers the teachers' ability to engross themselves in the theory and frameworks of education (Orchard and Winch, 2015). Thus, developing a deepened level of knowledge. The deeper level of knowledge enables professionals to make informed and unbiased decisions that do not cause harm to those involved. The teaching as a craft model supports the first stage of the critical reflection process discussed by Fook (2015), whereby a personal level of reflection commences. Fundamentally, the starting point of the process of critical reflection. This additionally supports the criterion set by Dewey (1933), due to the commencement of exploration displaying their competence to recognise the need for reflection. Teaching as a profession, largely supports the idea of critical reflection presented Fook’s (2015) second stage of critical reflection through their association of the requirement of theory and developed knowledge in order to be a developed and educated professional in making decisions. Therefore, the most effective use of critical reflection in education is through a professional who considers both craftsmanship and the professional aspect of educational reflection.</w:t>
      </w:r>
    </w:p>
    <w:p w14:paraId="017B1647" w14:textId="77777777" w:rsidR="00F76251" w:rsidRPr="00F76251" w:rsidRDefault="00F76251" w:rsidP="00F76251">
      <w:pPr>
        <w:spacing w:line="360" w:lineRule="auto"/>
        <w:rPr>
          <w:rFonts w:ascii="Arial" w:hAnsi="Arial" w:cs="Arial"/>
        </w:rPr>
      </w:pPr>
      <w:r w:rsidRPr="00F76251">
        <w:rPr>
          <w:rFonts w:ascii="Arial" w:hAnsi="Arial" w:cs="Arial"/>
        </w:rPr>
        <w:t xml:space="preserve">Nonetheless, this idealistic model is not always achievable. In Furlong’s (2015), review of initial teacher training they argued that little consideration of critical reflection and practice was considered in the Qualified Teacher Status pathway. They argued that the contextualisation of teachers and training teachers did not recognise the developmental manner of the profession, instead looked at creating a teacher that knows </w:t>
      </w:r>
      <w:r w:rsidRPr="00F76251">
        <w:rPr>
          <w:rFonts w:ascii="Arial" w:hAnsi="Arial" w:cs="Arial"/>
          <w:i/>
          <w:iCs/>
        </w:rPr>
        <w:t>everything</w:t>
      </w:r>
      <w:r w:rsidRPr="00F76251">
        <w:rPr>
          <w:rFonts w:ascii="Arial" w:hAnsi="Arial" w:cs="Arial"/>
        </w:rPr>
        <w:t>. Thus, it is too largely concerned with what teachers must achieve and complete educationally, as opposed to their own competence to deliver effective education through developed pedagogy. Thus, educational practice is an ongoing developmental practice, therefore there can never be a fully complete professional.</w:t>
      </w:r>
    </w:p>
    <w:p w14:paraId="6A125A10" w14:textId="77777777" w:rsidR="00F76251" w:rsidRPr="00F76251" w:rsidRDefault="00F76251" w:rsidP="00F76251">
      <w:pPr>
        <w:spacing w:line="360" w:lineRule="auto"/>
        <w:rPr>
          <w:rFonts w:ascii="Arial" w:hAnsi="Arial" w:cs="Arial"/>
        </w:rPr>
      </w:pPr>
      <w:r w:rsidRPr="00F76251">
        <w:rPr>
          <w:rFonts w:ascii="Arial" w:hAnsi="Arial" w:cs="Arial"/>
          <w:b/>
          <w:bCs/>
        </w:rPr>
        <w:t>Observation: school and class context</w:t>
      </w:r>
    </w:p>
    <w:p w14:paraId="5D160176" w14:textId="77777777" w:rsidR="00F76251" w:rsidRPr="00F76251" w:rsidRDefault="00F76251" w:rsidP="00F76251">
      <w:pPr>
        <w:spacing w:line="360" w:lineRule="auto"/>
        <w:rPr>
          <w:rFonts w:ascii="Arial" w:hAnsi="Arial" w:cs="Arial"/>
        </w:rPr>
      </w:pPr>
      <w:r w:rsidRPr="00F76251">
        <w:rPr>
          <w:rFonts w:ascii="Arial" w:hAnsi="Arial" w:cs="Arial"/>
        </w:rPr>
        <w:t xml:space="preserve">For the purpose of this assignment, an observation of a school’s classroom was carried out. In order to protect those involved in the observations made The BERA Ethical Guidelines for Education Research (2018) have been considered greatly. To achieve the best for those involved, consideration of possible harm from participation has been examined thus </w:t>
      </w:r>
      <w:r w:rsidRPr="00F76251">
        <w:rPr>
          <w:rFonts w:ascii="Arial" w:hAnsi="Arial" w:cs="Arial"/>
        </w:rPr>
        <w:lastRenderedPageBreak/>
        <w:t>concluding that the privacy and anonymity of those involved will be concealed (ibid, pp. 19-21). The critical incident chosen as part of this assignment observes an individual child, who will be named Child A for the purpose of this assignment, and their interactions with a Learning Support Assistant (LSA) and the classroom teacher. The critical incident took place in a reception classroom as the students regathered after having their first break time of the day, and during their phonics lesson, 10:40 until 12:00. I arrived at the classroom before the students and had the opportunity to have a brief discussion with the classroom teacher. I was informed that Child A has 1:1 with an LSA however, they were absent due to personal reasons. This was becoming a common occurrence, according to the teacher. In addition to this, Child A had access to a 1:1 as a result of displaying Autism tendencies and was in the process of having an autism referral. Additionally, the child had been added to the school register for possible additional learning needs. They explained that the absence of the LSA was causing difficulties in the classroom environment. I was also given a lesson/classroom plan which was as follows: children take off coats, regather on the mat, ‘pause and move’ time, milk time, phonics lesson and before their lunchtime.</w:t>
      </w:r>
    </w:p>
    <w:p w14:paraId="3042F584" w14:textId="77777777" w:rsidR="00F76251" w:rsidRPr="00F76251" w:rsidRDefault="00F76251" w:rsidP="00F76251">
      <w:pPr>
        <w:spacing w:line="360" w:lineRule="auto"/>
        <w:rPr>
          <w:rFonts w:ascii="Arial" w:hAnsi="Arial" w:cs="Arial"/>
        </w:rPr>
      </w:pPr>
      <w:r w:rsidRPr="00F76251">
        <w:rPr>
          <w:rFonts w:ascii="Arial" w:hAnsi="Arial" w:cs="Arial"/>
          <w:b/>
          <w:bCs/>
        </w:rPr>
        <w:t>Critical incident</w:t>
      </w:r>
    </w:p>
    <w:p w14:paraId="13D1A724" w14:textId="77777777" w:rsidR="00F76251" w:rsidRPr="00F76251" w:rsidRDefault="00F76251" w:rsidP="00F76251">
      <w:pPr>
        <w:spacing w:line="360" w:lineRule="auto"/>
        <w:rPr>
          <w:rFonts w:ascii="Arial" w:hAnsi="Arial" w:cs="Arial"/>
        </w:rPr>
      </w:pPr>
      <w:r w:rsidRPr="00F76251">
        <w:rPr>
          <w:rFonts w:ascii="Arial" w:hAnsi="Arial" w:cs="Arial"/>
        </w:rPr>
        <w:t>As the students returned to the classroom after their break time they were asked to sit on the mat ‘smartly,’ however, it took a few attempts to do so. I noted that one of the children (Child A) was sitting next to LSA who had been attempting to get the child to sit still. This continued, but there was little to no response from Child A when the LSA asked for them to sit quietly, however it was evident that the child was becoming irritable. This resulted in Child A attempting to walk out of the classroom. Throughout the lesson, the child held on tightly to some play blocks. Before the class set out on task they were asked to sit in groups, as this was instructed Child A crawled over to the ‘Play Corner</w:t>
      </w:r>
      <w:proofErr w:type="gramStart"/>
      <w:r w:rsidRPr="00F76251">
        <w:rPr>
          <w:rFonts w:ascii="Arial" w:hAnsi="Arial" w:cs="Arial"/>
        </w:rPr>
        <w:t>’.</w:t>
      </w:r>
      <w:proofErr w:type="gramEnd"/>
      <w:r w:rsidRPr="00F76251">
        <w:rPr>
          <w:rFonts w:ascii="Arial" w:hAnsi="Arial" w:cs="Arial"/>
        </w:rPr>
        <w:t xml:space="preserve"> The LSA tried bringing the child over to their table, however, this caused more stress for the child and the whole class. The child remained in the play corner and did not engage largely within the phonics tasks set out. Once they did, they were put in a lower-level group of 4 children. It was evident that the child was not engaged with the task, and there was some difficulty attempting to engage them with the task. The task involved sounding out various toys such as ‘car,’ but the child used this as a play opportunity and would not share with the other children, causing a clear disruption of the task. As it neared dinner time, the child asked if they were going home. The LSA replied stating that they were having food and that it is not time to go home yet. This caused upset and confusion for the child. I later discovered that the child was in a transition phase into the reception class, meaning their days in school were getting progressively longer until reaching a full day in school.</w:t>
      </w:r>
    </w:p>
    <w:p w14:paraId="6D05CFEA" w14:textId="77777777" w:rsidR="00F76251" w:rsidRPr="00F76251" w:rsidRDefault="00F76251" w:rsidP="00F76251">
      <w:pPr>
        <w:spacing w:line="360" w:lineRule="auto"/>
        <w:rPr>
          <w:rFonts w:ascii="Arial" w:hAnsi="Arial" w:cs="Arial"/>
        </w:rPr>
      </w:pPr>
      <w:r w:rsidRPr="00F76251">
        <w:rPr>
          <w:rFonts w:ascii="Arial" w:hAnsi="Arial" w:cs="Arial"/>
        </w:rPr>
        <w:lastRenderedPageBreak/>
        <w:t>One of Donaldson's four principles within the Curriculum for Wales is the outcome of an “ambitious, capable learner” (Donaldson). This principle focuses on a more educational aspect of the curriculum, due to it specifically focusing on the learner’s active contribution to learning. However, from observations made one could argue that their ability to contribute towards their own learning was impacted as a result of an environment that may not have supported their needs. For instance, one of the points made within this principle states that the learner should be able to “communicate effectively in different forms and settings, using both Welsh and English” (Donaldson, p.31), however from the observations made it was evident that the child was unable to do so, due to their lack of response when receiving instructions from the teacher and LSA. The idea of students building their mental and emotional well-being through confidence, resilience and empathy set within the “healthy, confident individual, ready to lead fulfilling lives as valued members of society” principle, was evident during observations (ibid, pp.29-31). As mentioned, the child appeared to be extremely overwhelmed within the classroom environment and appeared to resort to leaving various situations they were in. For instance, leaving the classroom or to the play corner. This could suggest that the child has difficulty in regards to resilience, in unfamiliar settings. Thus, impacting their mental and emotional well-being.</w:t>
      </w:r>
    </w:p>
    <w:p w14:paraId="13063AEC" w14:textId="77777777" w:rsidR="00F76251" w:rsidRPr="00F76251" w:rsidRDefault="00F76251" w:rsidP="00F76251">
      <w:pPr>
        <w:spacing w:line="360" w:lineRule="auto"/>
        <w:rPr>
          <w:rFonts w:ascii="Arial" w:hAnsi="Arial" w:cs="Arial"/>
        </w:rPr>
      </w:pPr>
      <w:r w:rsidRPr="00F76251">
        <w:rPr>
          <w:rFonts w:ascii="Arial" w:hAnsi="Arial" w:cs="Arial"/>
          <w:b/>
          <w:bCs/>
        </w:rPr>
        <w:t>Literature review</w:t>
      </w:r>
    </w:p>
    <w:p w14:paraId="710F2D66" w14:textId="77777777" w:rsidR="00F76251" w:rsidRPr="00F76251" w:rsidRDefault="00F76251" w:rsidP="00F76251">
      <w:pPr>
        <w:spacing w:line="360" w:lineRule="auto"/>
        <w:rPr>
          <w:rFonts w:ascii="Arial" w:hAnsi="Arial" w:cs="Arial"/>
        </w:rPr>
      </w:pPr>
      <w:r w:rsidRPr="00F76251">
        <w:rPr>
          <w:rFonts w:ascii="Arial" w:hAnsi="Arial" w:cs="Arial"/>
        </w:rPr>
        <w:t xml:space="preserve">According to the Welsh Government (2021, p.21-22), an additional learning need is when an individual has either a learning disability or learning difficulty that requires additional support known as an Additional Learning Provision. This is seen as significantly more difficult to their learning in comparison to those of the same or similar age, or if their disability comes under the Equality Act of 2010. An Additional Learning Provision is a provision put in place to support the needs of the learner, and is planned to suit their individual needs (ibid). In 2021, the Welsh Government implemented The Additional Learning Needs Code for Wales. The code and its regulations are under an Act; thus, it provides statutory guidance to support children and young people with additional learning needs. According to Autism Wales (2015), autism spectrum disorder or autism is a hidden disability, meaning there are no physical indications of one’s disability thus it is often not recognised and dealt with immediately. </w:t>
      </w:r>
      <w:proofErr w:type="spellStart"/>
      <w:r w:rsidRPr="00F76251">
        <w:rPr>
          <w:rFonts w:ascii="Arial" w:hAnsi="Arial" w:cs="Arial"/>
        </w:rPr>
        <w:t>Glazzard</w:t>
      </w:r>
      <w:proofErr w:type="spellEnd"/>
      <w:r w:rsidRPr="00F76251">
        <w:rPr>
          <w:rFonts w:ascii="Arial" w:hAnsi="Arial" w:cs="Arial"/>
        </w:rPr>
        <w:t xml:space="preserve"> (2010, p.76), defines this developmental disability as a “social impairment”, where an individual holds no desire or ability to take part in their society socially and lacks interest in others.</w:t>
      </w:r>
    </w:p>
    <w:p w14:paraId="6E4D8EB3" w14:textId="1B01830B" w:rsidR="00F76251" w:rsidRPr="00F76251" w:rsidRDefault="00F76251" w:rsidP="00F76251">
      <w:pPr>
        <w:spacing w:line="360" w:lineRule="auto"/>
        <w:rPr>
          <w:rFonts w:ascii="Arial" w:hAnsi="Arial" w:cs="Arial"/>
        </w:rPr>
      </w:pPr>
      <w:r w:rsidRPr="00F76251">
        <w:rPr>
          <w:rFonts w:ascii="Arial" w:hAnsi="Arial" w:cs="Arial"/>
        </w:rPr>
        <w:t xml:space="preserve">To begin this exploration, the sociological imagination of autistic individuals will be discussed, this is their own ability to make sense of social interactions (AutismWales.org, 2015). Autistic individuals display an inability in communicating and interacting socially with </w:t>
      </w:r>
      <w:r w:rsidRPr="00F76251">
        <w:rPr>
          <w:rFonts w:ascii="Arial" w:hAnsi="Arial" w:cs="Arial"/>
        </w:rPr>
        <w:lastRenderedPageBreak/>
        <w:t xml:space="preserve">others. These difficulties are caused due to their lack of understanding of social cues from both verbal and non-verbal signals (AutismWales.org, 2020). These can include, understanding how someone’s tone of voice or body language can change how their words can be interpreted. It is important to be able to recognise these differences to understand the way someone is conveying their message, instead autistic individuals may only understand what the person is saying in a </w:t>
      </w:r>
      <w:r w:rsidR="00563CD2" w:rsidRPr="00F76251">
        <w:rPr>
          <w:rFonts w:ascii="Arial" w:hAnsi="Arial" w:cs="Arial"/>
        </w:rPr>
        <w:t>strictly</w:t>
      </w:r>
      <w:r w:rsidRPr="00F76251">
        <w:rPr>
          <w:rFonts w:ascii="Arial" w:hAnsi="Arial" w:cs="Arial"/>
        </w:rPr>
        <w:t xml:space="preserve"> literal sense. In addition to this, autistic individuals may fail to understand that there are social norms and rules (AutismWales.org, 2015) (</w:t>
      </w:r>
      <w:proofErr w:type="spellStart"/>
      <w:r w:rsidRPr="00F76251">
        <w:rPr>
          <w:rFonts w:ascii="Arial" w:hAnsi="Arial" w:cs="Arial"/>
        </w:rPr>
        <w:t>Glazzard</w:t>
      </w:r>
      <w:proofErr w:type="spellEnd"/>
      <w:r w:rsidRPr="00F76251">
        <w:rPr>
          <w:rFonts w:ascii="Arial" w:hAnsi="Arial" w:cs="Arial"/>
        </w:rPr>
        <w:t xml:space="preserve">, 2010). This includes ensuring you give others personal space, shaking hands when greeting others and returning eye contact. These are things we expect from others within our society, thus when they are not conformed this may cause a sense of disrespect. The above can have an immense impact on their ability to make and maintain relationships with others. However, as argued this is something that autistic people do not see as a necessity in their lives. </w:t>
      </w:r>
      <w:proofErr w:type="gramStart"/>
      <w:r w:rsidRPr="00F76251">
        <w:rPr>
          <w:rFonts w:ascii="Arial" w:hAnsi="Arial" w:cs="Arial"/>
        </w:rPr>
        <w:t>In spite of</w:t>
      </w:r>
      <w:proofErr w:type="gramEnd"/>
      <w:r w:rsidRPr="00F76251">
        <w:rPr>
          <w:rFonts w:ascii="Arial" w:hAnsi="Arial" w:cs="Arial"/>
        </w:rPr>
        <w:t xml:space="preserve"> this, it can have an impact on how others view them. This can create a negative idea of the individual, developing negative ideas of them. Having said that, autistic individuals are more responsive to people they are familiar with, such as family or support workers (</w:t>
      </w:r>
      <w:proofErr w:type="spellStart"/>
      <w:r w:rsidRPr="00F76251">
        <w:rPr>
          <w:rFonts w:ascii="Arial" w:hAnsi="Arial" w:cs="Arial"/>
        </w:rPr>
        <w:t>Glazzard</w:t>
      </w:r>
      <w:proofErr w:type="spellEnd"/>
      <w:r w:rsidRPr="00F76251">
        <w:rPr>
          <w:rFonts w:ascii="Arial" w:hAnsi="Arial" w:cs="Arial"/>
        </w:rPr>
        <w:t>, 2010). This is arguably a result of their need for routine and repetition within their lives.</w:t>
      </w:r>
    </w:p>
    <w:p w14:paraId="3068518E" w14:textId="77777777" w:rsidR="00F76251" w:rsidRPr="00F76251" w:rsidRDefault="00F76251" w:rsidP="00F76251">
      <w:pPr>
        <w:spacing w:line="360" w:lineRule="auto"/>
        <w:rPr>
          <w:rFonts w:ascii="Arial" w:hAnsi="Arial" w:cs="Arial"/>
        </w:rPr>
      </w:pPr>
      <w:r w:rsidRPr="00F76251">
        <w:rPr>
          <w:rFonts w:ascii="Arial" w:hAnsi="Arial" w:cs="Arial"/>
        </w:rPr>
        <w:t>Routine and structure are a large part of maintaining a stable lifestyle. This can help with feelings of stress and unfamiliarity. In the context of the classroom, it is important to ensure that the social environment set out for the individual does not feel unsafe. A further area that also needs consideration is the conceptualisation of the individual (</w:t>
      </w:r>
      <w:proofErr w:type="spellStart"/>
      <w:r w:rsidRPr="00F76251">
        <w:rPr>
          <w:rFonts w:ascii="Arial" w:hAnsi="Arial" w:cs="Arial"/>
        </w:rPr>
        <w:t>Glazzard</w:t>
      </w:r>
      <w:proofErr w:type="spellEnd"/>
      <w:r w:rsidRPr="00F76251">
        <w:rPr>
          <w:rFonts w:ascii="Arial" w:hAnsi="Arial" w:cs="Arial"/>
        </w:rPr>
        <w:t>, 2010). We must ensure that the individual is supported and empowered, but not solely seen for their learning difficulty and how to tolerate it. Differentiation is highly important when working with individuals with ALN. It enables learners to complete tasks suited to their own learning needs, however, ensures inclusion by providing the same topic area (Spooner, 2011). This is extremely important to consider when working with children who have autism, due to their different learning styles, such as visual aids. Ensuring everyone is focusing on the same topic of work, creates a safer learning environment that does not conceptualise the disability (</w:t>
      </w:r>
      <w:proofErr w:type="spellStart"/>
      <w:r w:rsidRPr="00F76251">
        <w:rPr>
          <w:rFonts w:ascii="Arial" w:hAnsi="Arial" w:cs="Arial"/>
        </w:rPr>
        <w:t>Glazzard</w:t>
      </w:r>
      <w:proofErr w:type="spellEnd"/>
      <w:r w:rsidRPr="00F76251">
        <w:rPr>
          <w:rFonts w:ascii="Arial" w:hAnsi="Arial" w:cs="Arial"/>
        </w:rPr>
        <w:t>, 2010). Through this, the classroom will support their individual needs as opposed to viewing them for their additional learning need.</w:t>
      </w:r>
    </w:p>
    <w:p w14:paraId="2D0D770C" w14:textId="77777777" w:rsidR="00F76251" w:rsidRPr="00F76251" w:rsidRDefault="00F76251" w:rsidP="00F76251">
      <w:pPr>
        <w:spacing w:line="360" w:lineRule="auto"/>
        <w:rPr>
          <w:rFonts w:ascii="Arial" w:hAnsi="Arial" w:cs="Arial"/>
        </w:rPr>
      </w:pPr>
      <w:r w:rsidRPr="00F76251">
        <w:rPr>
          <w:rFonts w:ascii="Arial" w:hAnsi="Arial" w:cs="Arial"/>
        </w:rPr>
        <w:t>Individuals with autism also have sensory issues meaning their responses may be heightened or decreased as a result of sensory elements such as smell, movement, or noise (AutismWales.org, 2020). These are commonly seen in our day-to-day life. In the context of the classroom, this may be sensitivity to the lighting or bright colours displayed in the classroom (</w:t>
      </w:r>
      <w:proofErr w:type="spellStart"/>
      <w:r w:rsidRPr="00F76251">
        <w:rPr>
          <w:rFonts w:ascii="Arial" w:hAnsi="Arial" w:cs="Arial"/>
        </w:rPr>
        <w:t>Glazzard</w:t>
      </w:r>
      <w:proofErr w:type="spellEnd"/>
      <w:r w:rsidRPr="00F76251">
        <w:rPr>
          <w:rFonts w:ascii="Arial" w:hAnsi="Arial" w:cs="Arial"/>
        </w:rPr>
        <w:t xml:space="preserve">, 2010). Depending on the individual’s individual autistic tendencies, this could be hypersensitive or hyposensitive. Hypersensitive is when an individual is </w:t>
      </w:r>
      <w:r w:rsidRPr="00F76251">
        <w:rPr>
          <w:rFonts w:ascii="Arial" w:hAnsi="Arial" w:cs="Arial"/>
        </w:rPr>
        <w:lastRenderedPageBreak/>
        <w:t>overstimulated by the environment, and they have a physical reaction such as flapping arms or spinning in an attempt to focus their sensitivity. Hyposensitive is when an individual is under-stimulated by the environment, and their physical response is to provide more stimulus (AutismWales.org, 2020). Thus, there is great individuality among autistic individuals, and one must consider classroom provision with their individual needs in mind (AutismWales.org, 2020) (Spooner, 2011).</w:t>
      </w:r>
    </w:p>
    <w:p w14:paraId="789CE59E" w14:textId="77777777" w:rsidR="00F76251" w:rsidRPr="00F76251" w:rsidRDefault="00F76251" w:rsidP="00F76251">
      <w:pPr>
        <w:spacing w:line="360" w:lineRule="auto"/>
        <w:rPr>
          <w:rFonts w:ascii="Arial" w:hAnsi="Arial" w:cs="Arial"/>
        </w:rPr>
      </w:pPr>
      <w:r w:rsidRPr="00F76251">
        <w:rPr>
          <w:rFonts w:ascii="Arial" w:hAnsi="Arial" w:cs="Arial"/>
        </w:rPr>
        <w:t>Roberts and Webster (2022), argue that the school environment has the largest implication on autistic learners. In order to support their learning, a whole-school approach must be adopted. To support their learning an appropriate provision for learning and arrangement within the school environment must be in place (Spooner, 2011). As mentioned, the individuality of autistic tendencies is great, therefore this must be considered with great caution. Thus, this requires compromise within the classroom (</w:t>
      </w:r>
      <w:proofErr w:type="spellStart"/>
      <w:r w:rsidRPr="00F76251">
        <w:rPr>
          <w:rFonts w:ascii="Arial" w:hAnsi="Arial" w:cs="Arial"/>
        </w:rPr>
        <w:t>Glazzard</w:t>
      </w:r>
      <w:proofErr w:type="spellEnd"/>
      <w:r w:rsidRPr="00F76251">
        <w:rPr>
          <w:rFonts w:ascii="Arial" w:hAnsi="Arial" w:cs="Arial"/>
        </w:rPr>
        <w:t>, 2010). We cannot change a whole environment to suit one individual and their needs. Therefore, provision for various learning needs must be in place to support all needs (Spooner, 2011). In doing so, the inclusion of all students is considered.   </w:t>
      </w:r>
    </w:p>
    <w:p w14:paraId="3621CB92" w14:textId="77777777" w:rsidR="00F76251" w:rsidRPr="00F76251" w:rsidRDefault="00F76251" w:rsidP="00F76251">
      <w:pPr>
        <w:spacing w:line="360" w:lineRule="auto"/>
        <w:rPr>
          <w:rFonts w:ascii="Arial" w:hAnsi="Arial" w:cs="Arial"/>
        </w:rPr>
      </w:pPr>
      <w:r w:rsidRPr="00F76251">
        <w:rPr>
          <w:rFonts w:ascii="Arial" w:hAnsi="Arial" w:cs="Arial"/>
        </w:rPr>
        <w:t> </w:t>
      </w:r>
    </w:p>
    <w:p w14:paraId="498B6C8A" w14:textId="77777777" w:rsidR="00F76251" w:rsidRPr="00F76251" w:rsidRDefault="00F76251" w:rsidP="00F76251">
      <w:pPr>
        <w:spacing w:line="360" w:lineRule="auto"/>
        <w:rPr>
          <w:rFonts w:ascii="Arial" w:hAnsi="Arial" w:cs="Arial"/>
        </w:rPr>
      </w:pPr>
      <w:r w:rsidRPr="00F76251">
        <w:rPr>
          <w:rFonts w:ascii="Arial" w:hAnsi="Arial" w:cs="Arial"/>
        </w:rPr>
        <w:t xml:space="preserve">An area of research which may develop a further understanding of the incident is behaviourism theory. According to </w:t>
      </w:r>
      <w:proofErr w:type="spellStart"/>
      <w:r w:rsidRPr="00F76251">
        <w:rPr>
          <w:rFonts w:ascii="Arial" w:hAnsi="Arial" w:cs="Arial"/>
        </w:rPr>
        <w:t>Slavin</w:t>
      </w:r>
      <w:proofErr w:type="spellEnd"/>
      <w:r w:rsidRPr="00F76251">
        <w:rPr>
          <w:rFonts w:ascii="Arial" w:hAnsi="Arial" w:cs="Arial"/>
        </w:rPr>
        <w:t xml:space="preserve"> (2009, cited in </w:t>
      </w:r>
      <w:proofErr w:type="spellStart"/>
      <w:r w:rsidRPr="00F76251">
        <w:rPr>
          <w:rFonts w:ascii="Arial" w:hAnsi="Arial" w:cs="Arial"/>
        </w:rPr>
        <w:t>Martella</w:t>
      </w:r>
      <w:proofErr w:type="spellEnd"/>
      <w:r w:rsidRPr="00F76251">
        <w:rPr>
          <w:rFonts w:ascii="Arial" w:hAnsi="Arial" w:cs="Arial"/>
        </w:rPr>
        <w:t xml:space="preserve"> 2012), discipline is specifically the process of implementing strategies and the act of responding to issues relating to children’s behaviour to ensure that the same behavioural issues to not reoccur. However, there is great differentiating in regards to the term discipline specifically with the concept that discipline requires a form of punishment in order to be successful (</w:t>
      </w:r>
      <w:proofErr w:type="spellStart"/>
      <w:r w:rsidRPr="00F76251">
        <w:rPr>
          <w:rFonts w:ascii="Arial" w:hAnsi="Arial" w:cs="Arial"/>
        </w:rPr>
        <w:t>Martella</w:t>
      </w:r>
      <w:proofErr w:type="spellEnd"/>
      <w:r w:rsidRPr="00F76251">
        <w:rPr>
          <w:rFonts w:ascii="Arial" w:hAnsi="Arial" w:cs="Arial"/>
        </w:rPr>
        <w:t xml:space="preserve">, 2012). </w:t>
      </w:r>
      <w:proofErr w:type="gramStart"/>
      <w:r w:rsidRPr="00F76251">
        <w:rPr>
          <w:rFonts w:ascii="Arial" w:hAnsi="Arial" w:cs="Arial"/>
        </w:rPr>
        <w:t>In regard to</w:t>
      </w:r>
      <w:proofErr w:type="gramEnd"/>
      <w:r w:rsidRPr="00F76251">
        <w:rPr>
          <w:rFonts w:ascii="Arial" w:hAnsi="Arial" w:cs="Arial"/>
        </w:rPr>
        <w:t xml:space="preserve"> managing behaviour, three relevant approaches will be discussed. Firstly, Assertive Discipline. Canter and Canter (1992, cited in </w:t>
      </w:r>
      <w:proofErr w:type="spellStart"/>
      <w:r w:rsidRPr="00F76251">
        <w:rPr>
          <w:rFonts w:ascii="Arial" w:hAnsi="Arial" w:cs="Arial"/>
        </w:rPr>
        <w:t>Martella</w:t>
      </w:r>
      <w:proofErr w:type="spellEnd"/>
      <w:r w:rsidRPr="00F76251">
        <w:rPr>
          <w:rFonts w:ascii="Arial" w:hAnsi="Arial" w:cs="Arial"/>
        </w:rPr>
        <w:t xml:space="preserve">, 2012), underpinned this discipline as an approach which assumes misbehaviour will take place within the classroom. An assertively disciplined classroom is one which creates, discusses, and displays its rules clearly, with an understanding of the consequences when rules may be mistreated (Canter and Canter, 1992 cited in </w:t>
      </w:r>
      <w:proofErr w:type="spellStart"/>
      <w:r w:rsidRPr="00F76251">
        <w:rPr>
          <w:rFonts w:ascii="Arial" w:hAnsi="Arial" w:cs="Arial"/>
        </w:rPr>
        <w:t>Martella</w:t>
      </w:r>
      <w:proofErr w:type="spellEnd"/>
      <w:r w:rsidRPr="00F76251">
        <w:rPr>
          <w:rFonts w:ascii="Arial" w:hAnsi="Arial" w:cs="Arial"/>
        </w:rPr>
        <w:t xml:space="preserve">, 2012). This concept is developed by </w:t>
      </w:r>
      <w:proofErr w:type="spellStart"/>
      <w:r w:rsidRPr="00F76251">
        <w:rPr>
          <w:rFonts w:ascii="Arial" w:hAnsi="Arial" w:cs="Arial"/>
        </w:rPr>
        <w:t>Malmgren</w:t>
      </w:r>
      <w:proofErr w:type="spellEnd"/>
      <w:r w:rsidRPr="00F76251">
        <w:rPr>
          <w:rFonts w:ascii="Arial" w:hAnsi="Arial" w:cs="Arial"/>
        </w:rPr>
        <w:t xml:space="preserve"> et al (2005 cited in </w:t>
      </w:r>
      <w:proofErr w:type="spellStart"/>
      <w:r w:rsidRPr="00F76251">
        <w:rPr>
          <w:rFonts w:ascii="Arial" w:hAnsi="Arial" w:cs="Arial"/>
        </w:rPr>
        <w:t>Martella</w:t>
      </w:r>
      <w:proofErr w:type="spellEnd"/>
      <w:r w:rsidRPr="00F76251">
        <w:rPr>
          <w:rFonts w:ascii="Arial" w:hAnsi="Arial" w:cs="Arial"/>
        </w:rPr>
        <w:t xml:space="preserve">, 2012), whereby consequences come both negatively and positively. Thus, students are also rewarded for their behaviour. This is known as primary behaviour, where the misbehaviour is dealt with initially, and secondary behaviour where negative behaviour is tactically ignored to reward good behaviour. One could argue that due to the severity of the behaviour and disruption caused to the classroom that this seemed only purposeful during that situation. However, they must also consider the evaluation of </w:t>
      </w:r>
      <w:r w:rsidRPr="00F76251">
        <w:rPr>
          <w:rFonts w:ascii="Arial" w:hAnsi="Arial" w:cs="Arial"/>
          <w:i/>
          <w:iCs/>
        </w:rPr>
        <w:t xml:space="preserve">why </w:t>
      </w:r>
      <w:r w:rsidRPr="00F76251">
        <w:rPr>
          <w:rFonts w:ascii="Arial" w:hAnsi="Arial" w:cs="Arial"/>
        </w:rPr>
        <w:t xml:space="preserve">an </w:t>
      </w:r>
      <w:r w:rsidRPr="00F76251">
        <w:rPr>
          <w:rFonts w:ascii="Arial" w:hAnsi="Arial" w:cs="Arial"/>
        </w:rPr>
        <w:lastRenderedPageBreak/>
        <w:t>adopted discipline was unsuccessful through developing their relationship with the learner(s) to better understand their needs to ensure they are met through the rules set (ibid).</w:t>
      </w:r>
    </w:p>
    <w:p w14:paraId="04CFD56F" w14:textId="77777777" w:rsidR="00F76251" w:rsidRPr="00F76251" w:rsidRDefault="00F76251" w:rsidP="00F76251">
      <w:pPr>
        <w:spacing w:line="360" w:lineRule="auto"/>
        <w:rPr>
          <w:rFonts w:ascii="Arial" w:hAnsi="Arial" w:cs="Arial"/>
        </w:rPr>
      </w:pPr>
      <w:r w:rsidRPr="00F76251">
        <w:rPr>
          <w:rFonts w:ascii="Arial" w:hAnsi="Arial" w:cs="Arial"/>
        </w:rPr>
        <w:t>According to Dreikurs (1968), behaviour is caused by the individual's unconscious needs. It is argued that these unconscious needs are related to the concept of desiring social acceptance. Thus, the individual’s lack of contribution and belonging to something leads to misbehaving to gain attention, power and so forth (ibid). This concept is similarly seen within Glasser’s (1962) Reality Theory, whereby behaviours are seen as choices based on an individual’s unmet needs. These needs include survival, freedom, power, love and belonging, and fun. Consequently, if an individual lacks something in one of these needs it causes them to misbehave, which is argued as the individual choosing their behaviour (ibid). Thus, resulting in misbehaviour within the classroom.</w:t>
      </w:r>
    </w:p>
    <w:p w14:paraId="343BBAFF" w14:textId="77777777" w:rsidR="00F76251" w:rsidRPr="00F76251" w:rsidRDefault="00F76251" w:rsidP="00F76251">
      <w:pPr>
        <w:spacing w:line="360" w:lineRule="auto"/>
        <w:rPr>
          <w:rFonts w:ascii="Arial" w:hAnsi="Arial" w:cs="Arial"/>
        </w:rPr>
      </w:pPr>
      <w:r w:rsidRPr="00F76251">
        <w:rPr>
          <w:rFonts w:ascii="Arial" w:hAnsi="Arial" w:cs="Arial"/>
        </w:rPr>
        <w:t> </w:t>
      </w:r>
    </w:p>
    <w:p w14:paraId="7281A0E6" w14:textId="77777777" w:rsidR="00F76251" w:rsidRPr="00F76251" w:rsidRDefault="00F76251" w:rsidP="00F76251">
      <w:pPr>
        <w:spacing w:line="360" w:lineRule="auto"/>
        <w:rPr>
          <w:rFonts w:ascii="Arial" w:hAnsi="Arial" w:cs="Arial"/>
        </w:rPr>
      </w:pPr>
      <w:r w:rsidRPr="00F76251">
        <w:rPr>
          <w:rFonts w:ascii="Arial" w:hAnsi="Arial" w:cs="Arial"/>
          <w:b/>
          <w:bCs/>
        </w:rPr>
        <w:t>Reflection/ Evaluation</w:t>
      </w:r>
    </w:p>
    <w:p w14:paraId="720696B5" w14:textId="77777777" w:rsidR="00F76251" w:rsidRPr="00F76251" w:rsidRDefault="00F76251" w:rsidP="00F76251">
      <w:pPr>
        <w:spacing w:line="360" w:lineRule="auto"/>
        <w:rPr>
          <w:rFonts w:ascii="Arial" w:hAnsi="Arial" w:cs="Arial"/>
        </w:rPr>
      </w:pPr>
      <w:r w:rsidRPr="00F76251">
        <w:rPr>
          <w:rFonts w:ascii="Arial" w:hAnsi="Arial" w:cs="Arial"/>
        </w:rPr>
        <w:t>As mentioned previously, the role of critical reflection is an integral aspect of the education profession. The role of critical reflection, if used correctly can develop educational practice, thus improving the experience our learners receive. One must be open-minded and have a commitment to make these changes (Dewey, 2010). The following recommendations have been considered ethically to protect those involved and their own professional practice.</w:t>
      </w:r>
    </w:p>
    <w:p w14:paraId="01D0810A" w14:textId="77777777" w:rsidR="00F76251" w:rsidRPr="00F76251" w:rsidRDefault="00F76251" w:rsidP="00F76251">
      <w:pPr>
        <w:spacing w:line="360" w:lineRule="auto"/>
        <w:rPr>
          <w:rFonts w:ascii="Arial" w:hAnsi="Arial" w:cs="Arial"/>
        </w:rPr>
      </w:pPr>
      <w:r w:rsidRPr="00F76251">
        <w:rPr>
          <w:rFonts w:ascii="Arial" w:hAnsi="Arial" w:cs="Arial"/>
        </w:rPr>
        <w:t xml:space="preserve">In regards to recommendations for improvement, the following model of reflection should be considered for use regarding a situation like a critical incident. Gibbs’ (1988) Reflective Cycle model will be used to support the reflection of the critical incident. In order to structure the reflection, the first stage of the model is to describe the incident. This would include an account of the incident from start to finish, the context of the incident such as where it took place, who was there, and the intended outcomes of the situation. The second stage is a description of thoughts and feelings. This will include the individuals’ thoughts and feelings, but will also recognise the other individuals who were present. The third stage is an evaluation of the incident, this will include a discussion of what worked and what did not work. It is important for this stage to be as critical of oneself, as this will contribute towards the following step (ibid). Fook (2015), states that professional development needs ongoing scrutiny of one’s practice. Thus, this stage is of great importance. The fourth stage is when the professional must make sense of the situation, by using their own personal judgments to develop towards researching for educational theories and research related to the incident (Gibb, 1988). These findings support the fifth stage, which should provide reasonings and an explanation for the incident that took place. The last stage is where the professional should feel as though their developed knowledge and understanding of the incident can develop </w:t>
      </w:r>
      <w:r w:rsidRPr="00F76251">
        <w:rPr>
          <w:rFonts w:ascii="Arial" w:hAnsi="Arial" w:cs="Arial"/>
        </w:rPr>
        <w:lastRenderedPageBreak/>
        <w:t>their future practice (ibid). Due to the nature of the critical incident, this model of reflection seems the best fitting. This is due to it referring to the analysis of the incident. By making sense of the incident, primarily through literature that relates to autism, how to accommodate the individual and an understanding of various behavioural strategies the incident will begin to make sense through possible reasons why things happened and why things did not work. This is supported by Fook (2015), suggesting that in order to be critical of one’s own practice we must also make use of educational theories which provide factual evidence.</w:t>
      </w:r>
    </w:p>
    <w:p w14:paraId="36F303AC" w14:textId="77777777" w:rsidR="00F76251" w:rsidRPr="00F76251" w:rsidRDefault="00F76251" w:rsidP="00F76251">
      <w:pPr>
        <w:spacing w:line="360" w:lineRule="auto"/>
        <w:rPr>
          <w:rFonts w:ascii="Arial" w:hAnsi="Arial" w:cs="Arial"/>
        </w:rPr>
      </w:pPr>
      <w:r w:rsidRPr="00F76251">
        <w:rPr>
          <w:rFonts w:ascii="Arial" w:hAnsi="Arial" w:cs="Arial"/>
        </w:rPr>
        <w:t>The forefront of the critical incident was the LSA being absent. This is a difficult area to analyse, due to the complications of absence. However, it was made clear that their absence was becoming more regular. Therefore, it may be beneficial for them to consider the implications of the LSA’s absence, how this impacts Child A, and what can be done to prevent this. As mentioned, autistic people have a tendency that requires structure and familiarity, and when this is obstructed, it can cause a disruptive reaction (AutismWales.org, 2015) (</w:t>
      </w:r>
      <w:proofErr w:type="spellStart"/>
      <w:r w:rsidRPr="00F76251">
        <w:rPr>
          <w:rFonts w:ascii="Arial" w:hAnsi="Arial" w:cs="Arial"/>
        </w:rPr>
        <w:t>Glazzard</w:t>
      </w:r>
      <w:proofErr w:type="spellEnd"/>
      <w:r w:rsidRPr="00F76251">
        <w:rPr>
          <w:rFonts w:ascii="Arial" w:hAnsi="Arial" w:cs="Arial"/>
        </w:rPr>
        <w:t xml:space="preserve">, 2010). Therefore, with their existing understanding of Child A’s tendencies and the rise in their LSA's absence, perhaps it may be worthwhile to explore ways in which they can support Child A in a similar way to what their LSA does. For instance, this may be a similar area within the classroom, teaching pattern and, techniques used. Despite only being a small change, this may be of benefit to bring the child to some form of ease. Furthermore, the confusion Child </w:t>
      </w:r>
      <w:proofErr w:type="spellStart"/>
      <w:r w:rsidRPr="00F76251">
        <w:rPr>
          <w:rFonts w:ascii="Arial" w:hAnsi="Arial" w:cs="Arial"/>
        </w:rPr>
        <w:t>A</w:t>
      </w:r>
      <w:proofErr w:type="spellEnd"/>
      <w:r w:rsidRPr="00F76251">
        <w:rPr>
          <w:rFonts w:ascii="Arial" w:hAnsi="Arial" w:cs="Arial"/>
        </w:rPr>
        <w:t xml:space="preserve"> experienced </w:t>
      </w:r>
      <w:proofErr w:type="gramStart"/>
      <w:r w:rsidRPr="00F76251">
        <w:rPr>
          <w:rFonts w:ascii="Arial" w:hAnsi="Arial" w:cs="Arial"/>
        </w:rPr>
        <w:t>with regard to</w:t>
      </w:r>
      <w:proofErr w:type="gramEnd"/>
      <w:r w:rsidRPr="00F76251">
        <w:rPr>
          <w:rFonts w:ascii="Arial" w:hAnsi="Arial" w:cs="Arial"/>
        </w:rPr>
        <w:t xml:space="preserve"> dinner time is also something that could be resolved by explaining the plan of the day. </w:t>
      </w:r>
      <w:proofErr w:type="spellStart"/>
      <w:r w:rsidRPr="00F76251">
        <w:rPr>
          <w:rFonts w:ascii="Arial" w:hAnsi="Arial" w:cs="Arial"/>
        </w:rPr>
        <w:t>Glazzard</w:t>
      </w:r>
      <w:proofErr w:type="spellEnd"/>
      <w:r w:rsidRPr="00F76251">
        <w:rPr>
          <w:rFonts w:ascii="Arial" w:hAnsi="Arial" w:cs="Arial"/>
        </w:rPr>
        <w:t xml:space="preserve"> (2010), argued that minimal change should be made to an autistic child’s routine. Thus, if the child is aware of changes prior to them taking place a minimal reaction should occur.</w:t>
      </w:r>
    </w:p>
    <w:p w14:paraId="23E0A951" w14:textId="77777777" w:rsidR="00F76251" w:rsidRPr="00F76251" w:rsidRDefault="00F76251" w:rsidP="00F76251">
      <w:pPr>
        <w:spacing w:line="360" w:lineRule="auto"/>
        <w:rPr>
          <w:rFonts w:ascii="Arial" w:hAnsi="Arial" w:cs="Arial"/>
        </w:rPr>
      </w:pPr>
      <w:r w:rsidRPr="00F76251">
        <w:rPr>
          <w:rFonts w:ascii="Arial" w:hAnsi="Arial" w:cs="Arial"/>
        </w:rPr>
        <w:t> Additionally, an overall understanding of autism is required in order to support Child A, and perhaps this is an area that needs development. As mentioned by Roberts and Webster (2022), evidence displays that many educational professionals lack an understanding of autism and display difficulty when attempting to meet the various needs set out by these individuals. Therefore, seeking support on autism and how to support their learner may improve the whole class experience.</w:t>
      </w:r>
    </w:p>
    <w:p w14:paraId="7CCC4C02" w14:textId="77777777" w:rsidR="00F76251" w:rsidRPr="00F76251" w:rsidRDefault="00F76251" w:rsidP="00F76251">
      <w:pPr>
        <w:spacing w:line="360" w:lineRule="auto"/>
        <w:rPr>
          <w:rFonts w:ascii="Arial" w:hAnsi="Arial" w:cs="Arial"/>
        </w:rPr>
      </w:pPr>
      <w:r w:rsidRPr="00F76251">
        <w:rPr>
          <w:rFonts w:ascii="Arial" w:hAnsi="Arial" w:cs="Arial"/>
        </w:rPr>
        <w:t xml:space="preserve">Differentiation within the classroom was observed through groups of students working in their set ability group during the phonics lesson. Although, it was clear that this did not support Child A and may have impacted the students within this group. The approach to teaching required an understanding of social norms and rules such as sharing and letting others speak. Child A displayed difficulty in doing this. Perhaps by having a better understanding of Child A’s individual tendencies the differentiation can be placed accordingly within the classroom. Through considering </w:t>
      </w:r>
      <w:proofErr w:type="spellStart"/>
      <w:r w:rsidRPr="00F76251">
        <w:rPr>
          <w:rFonts w:ascii="Arial" w:hAnsi="Arial" w:cs="Arial"/>
        </w:rPr>
        <w:t>Dreikur's</w:t>
      </w:r>
      <w:proofErr w:type="spellEnd"/>
      <w:r w:rsidRPr="00F76251">
        <w:rPr>
          <w:rFonts w:ascii="Arial" w:hAnsi="Arial" w:cs="Arial"/>
        </w:rPr>
        <w:t xml:space="preserve"> (1968) theory of misbehaviour being a </w:t>
      </w:r>
      <w:r w:rsidRPr="00F76251">
        <w:rPr>
          <w:rFonts w:ascii="Arial" w:hAnsi="Arial" w:cs="Arial"/>
        </w:rPr>
        <w:lastRenderedPageBreak/>
        <w:t xml:space="preserve">cause of unconscious needs and desire to be accepted by society was somewhat related to their inability to belong and relate to the class due to their additional needs. However, when developed through Glasser’s (1962), Reality Therapy one could argue that the child misbehaved due to their need to stimulate themselves according to their own hypo/hypersensitivity. Thus, their need for </w:t>
      </w:r>
      <w:r w:rsidRPr="00F76251">
        <w:rPr>
          <w:rFonts w:ascii="Arial" w:hAnsi="Arial" w:cs="Arial"/>
          <w:i/>
          <w:iCs/>
        </w:rPr>
        <w:t xml:space="preserve">freedom </w:t>
      </w:r>
      <w:r w:rsidRPr="00F76251">
        <w:rPr>
          <w:rFonts w:ascii="Arial" w:hAnsi="Arial" w:cs="Arial"/>
        </w:rPr>
        <w:t>and have control over their own autonomy and live independently (ibid). Therefore, this must be considered when viewing someone’s behaviour as misbehaviour.</w:t>
      </w:r>
    </w:p>
    <w:p w14:paraId="448CE2C9" w14:textId="77777777" w:rsidR="00F76251" w:rsidRPr="00F76251" w:rsidRDefault="00F76251" w:rsidP="00F76251">
      <w:pPr>
        <w:spacing w:line="360" w:lineRule="auto"/>
        <w:rPr>
          <w:rFonts w:ascii="Arial" w:hAnsi="Arial" w:cs="Arial"/>
        </w:rPr>
      </w:pPr>
      <w:r w:rsidRPr="00F76251">
        <w:rPr>
          <w:rFonts w:ascii="Arial" w:hAnsi="Arial" w:cs="Arial"/>
          <w:b/>
          <w:bCs/>
        </w:rPr>
        <w:t>Conclusion</w:t>
      </w:r>
    </w:p>
    <w:p w14:paraId="6BE50ECF" w14:textId="77777777" w:rsidR="00F76251" w:rsidRPr="00F76251" w:rsidRDefault="00F76251" w:rsidP="00F76251">
      <w:pPr>
        <w:spacing w:line="360" w:lineRule="auto"/>
        <w:rPr>
          <w:rFonts w:ascii="Arial" w:hAnsi="Arial" w:cs="Arial"/>
        </w:rPr>
      </w:pPr>
      <w:r w:rsidRPr="00F76251">
        <w:rPr>
          <w:rFonts w:ascii="Arial" w:hAnsi="Arial" w:cs="Arial"/>
        </w:rPr>
        <w:t xml:space="preserve">In conclusion, the observation of a critical incident has enabled myself to adopt the approach of critical reflection in order to become a reflective professional, in doing so preparing for the development of my own practice. In summary, one must reflect on their own practice for possible faults and develop their practice through using wider educational research (Fook, 2015). This is evident within the Welsh Governments (2020) Professional Standards for Teaching and Leadership, under the Professional Learning segment which discusses the role of developing professional knowledge and skills to better pedagogy, within “Wider Readings and Research Findings”, whereby practice is developed through wider research on an educational base (Welsh Government, 2020, p.48). This arguably supports the process taken within this essay, to take my current knowledge taken from the critical incident and extend it through conducting a literature review which enabled the development of practice. Despite not being an incident within my own classroom, I have now developed knowledge within this area, but am also prepared to continuously reflect and develop my own practice through the methods taken. Furthermore, “Continuing Professional Learning” highlights the importance of considering the four principles when developing our practice (Welsh Government, 2020, p.47).  By considering this, we can see whether these principles are being met for learners to succeed in both their education and lives. One could argue that this supports a clear vision of the needs that need to be met, thus supporting Dewey (1933) who argues that we must possess a desire to develop our practice. By considering the four principles, this possession is simplified for the professional. The use of Gibbs (1988) Reflective Cycle model, was considered throughout the process and largely supported the steps after the literature review. In use, the findings have been used to support the reflection. This approach will be highly considered for future practice, despite seeming like a large process I would argue that it only seems that way to ensure that all the appropriate stages have been considered. To close, Furlong (2015) argued that the QTS pathway did not support the role of critical reflection. However, after completing the assignment I would argue against it. The exploration of critical reflection within and beyond this assignment has </w:t>
      </w:r>
      <w:r w:rsidRPr="00F76251">
        <w:rPr>
          <w:rFonts w:ascii="Arial" w:hAnsi="Arial" w:cs="Arial"/>
        </w:rPr>
        <w:lastRenderedPageBreak/>
        <w:t xml:space="preserve">developed my knowledge considerably, both academically and its importance within an educational occupation. </w:t>
      </w:r>
    </w:p>
    <w:p w14:paraId="1B4460C5" w14:textId="77777777" w:rsidR="00755907" w:rsidRDefault="00755907" w:rsidP="00221B4C">
      <w:pPr>
        <w:spacing w:line="360" w:lineRule="auto"/>
        <w:rPr>
          <w:rFonts w:ascii="Arial" w:hAnsi="Arial" w:cs="Arial"/>
          <w:u w:val="single"/>
        </w:rPr>
      </w:pPr>
    </w:p>
    <w:p w14:paraId="133CD2DC" w14:textId="5836978E" w:rsidR="00387BB7" w:rsidRDefault="001865F4" w:rsidP="00221B4C">
      <w:pPr>
        <w:spacing w:line="360" w:lineRule="auto"/>
        <w:rPr>
          <w:rFonts w:ascii="Arial" w:hAnsi="Arial" w:cs="Arial"/>
          <w:b/>
          <w:bCs/>
          <w:sz w:val="24"/>
          <w:szCs w:val="24"/>
        </w:rPr>
      </w:pPr>
      <w:r w:rsidRPr="00BE144A">
        <w:rPr>
          <w:rFonts w:ascii="Arial" w:hAnsi="Arial" w:cs="Arial"/>
          <w:b/>
          <w:bCs/>
          <w:sz w:val="24"/>
          <w:szCs w:val="24"/>
        </w:rPr>
        <w:t>Word count</w:t>
      </w:r>
      <w:r w:rsidR="00494FA0" w:rsidRPr="00BE144A">
        <w:rPr>
          <w:rFonts w:ascii="Arial" w:hAnsi="Arial" w:cs="Arial"/>
          <w:b/>
          <w:bCs/>
          <w:sz w:val="24"/>
          <w:szCs w:val="24"/>
        </w:rPr>
        <w:t xml:space="preserve"> </w:t>
      </w:r>
      <w:r w:rsidR="004C05C2">
        <w:rPr>
          <w:rFonts w:ascii="Arial" w:hAnsi="Arial" w:cs="Arial"/>
          <w:b/>
          <w:bCs/>
          <w:sz w:val="24"/>
          <w:szCs w:val="24"/>
        </w:rPr>
        <w:t>–</w:t>
      </w:r>
      <w:r w:rsidR="00494FA0" w:rsidRPr="00BE144A">
        <w:rPr>
          <w:rFonts w:ascii="Arial" w:hAnsi="Arial" w:cs="Arial"/>
          <w:b/>
          <w:bCs/>
          <w:sz w:val="24"/>
          <w:szCs w:val="24"/>
        </w:rPr>
        <w:t xml:space="preserve"> </w:t>
      </w:r>
      <w:r w:rsidR="004C05C2">
        <w:rPr>
          <w:rFonts w:ascii="Arial" w:hAnsi="Arial" w:cs="Arial"/>
          <w:b/>
          <w:bCs/>
          <w:sz w:val="24"/>
          <w:szCs w:val="24"/>
        </w:rPr>
        <w:t>4,072</w:t>
      </w:r>
    </w:p>
    <w:p w14:paraId="21E4CCA1" w14:textId="2BBD2B8F" w:rsidR="0090542A" w:rsidRPr="00BE144A" w:rsidRDefault="0090542A" w:rsidP="00221B4C">
      <w:pPr>
        <w:spacing w:line="360" w:lineRule="auto"/>
        <w:rPr>
          <w:rFonts w:ascii="Arial" w:hAnsi="Arial" w:cs="Arial"/>
          <w:b/>
          <w:bCs/>
          <w:sz w:val="24"/>
          <w:szCs w:val="24"/>
        </w:rPr>
      </w:pPr>
      <w:r w:rsidRPr="00BE144A">
        <w:rPr>
          <w:rFonts w:ascii="Arial" w:hAnsi="Arial" w:cs="Arial"/>
          <w:b/>
          <w:bCs/>
          <w:sz w:val="24"/>
          <w:szCs w:val="24"/>
        </w:rPr>
        <w:t xml:space="preserve">References </w:t>
      </w:r>
    </w:p>
    <w:p w14:paraId="247CC222" w14:textId="77777777" w:rsidR="00F77E18" w:rsidRPr="00221B4C" w:rsidRDefault="00F77E18" w:rsidP="00221B4C">
      <w:pPr>
        <w:spacing w:line="360" w:lineRule="auto"/>
        <w:rPr>
          <w:rFonts w:ascii="Arial" w:hAnsi="Arial" w:cs="Arial"/>
          <w:color w:val="212529"/>
          <w:shd w:val="clear" w:color="auto" w:fill="FFFFFF"/>
        </w:rPr>
      </w:pPr>
      <w:r w:rsidRPr="00221B4C">
        <w:rPr>
          <w:rFonts w:ascii="Arial" w:hAnsi="Arial" w:cs="Arial"/>
          <w:color w:val="212529"/>
          <w:shd w:val="clear" w:color="auto" w:fill="FFFFFF"/>
        </w:rPr>
        <w:t>AutismWales.org. (2015) ‘</w:t>
      </w:r>
      <w:r w:rsidRPr="00221B4C">
        <w:rPr>
          <w:rFonts w:ascii="Arial" w:hAnsi="Arial" w:cs="Arial"/>
        </w:rPr>
        <w:t>Autism: A Guide for Mainstream Primary Schools</w:t>
      </w:r>
      <w:r w:rsidRPr="00221B4C">
        <w:rPr>
          <w:rFonts w:ascii="Arial" w:hAnsi="Arial" w:cs="Arial"/>
          <w:color w:val="212529"/>
          <w:shd w:val="clear" w:color="auto" w:fill="FFFFFF"/>
        </w:rPr>
        <w:t xml:space="preserve">. Available at: </w:t>
      </w:r>
      <w:hyperlink r:id="rId8" w:history="1">
        <w:r w:rsidRPr="00221B4C">
          <w:rPr>
            <w:rStyle w:val="Hyperlink"/>
            <w:rFonts w:ascii="Arial" w:hAnsi="Arial" w:cs="Arial"/>
          </w:rPr>
          <w:t>https://autismwales.org/wp-content/uploads/2020/08/2015_Autism-A-Guide-for-Mainstream-Primary-Schools-ENG.pdf</w:t>
        </w:r>
      </w:hyperlink>
      <w:r w:rsidRPr="00221B4C">
        <w:rPr>
          <w:rFonts w:ascii="Arial" w:hAnsi="Arial" w:cs="Arial"/>
        </w:rPr>
        <w:t xml:space="preserve"> </w:t>
      </w:r>
      <w:r w:rsidRPr="00221B4C">
        <w:rPr>
          <w:rFonts w:ascii="Arial" w:hAnsi="Arial" w:cs="Arial"/>
          <w:color w:val="212529"/>
          <w:shd w:val="clear" w:color="auto" w:fill="FFFFFF"/>
        </w:rPr>
        <w:t xml:space="preserve">(Accessed: 11 October 2022). </w:t>
      </w:r>
    </w:p>
    <w:p w14:paraId="61306838" w14:textId="77777777" w:rsidR="00F77E18" w:rsidRPr="00221B4C" w:rsidRDefault="00F77E18" w:rsidP="00221B4C">
      <w:pPr>
        <w:spacing w:line="360" w:lineRule="auto"/>
        <w:rPr>
          <w:rFonts w:ascii="Arial" w:hAnsi="Arial" w:cs="Arial"/>
        </w:rPr>
      </w:pPr>
      <w:r w:rsidRPr="00221B4C">
        <w:rPr>
          <w:rFonts w:ascii="Arial" w:hAnsi="Arial" w:cs="Arial"/>
        </w:rPr>
        <w:t>Dewey, J. (1933). How We Think: A Restatement of the Relation of Reflective Thinking to the Educative Process. Boston, MA: D.C. Heath &amp; Co Publishers.</w:t>
      </w:r>
    </w:p>
    <w:p w14:paraId="191B0C54" w14:textId="77777777" w:rsidR="00F77E18" w:rsidRPr="00221B4C" w:rsidRDefault="00F77E18" w:rsidP="00221B4C">
      <w:pPr>
        <w:spacing w:line="360" w:lineRule="auto"/>
        <w:rPr>
          <w:rFonts w:ascii="Arial" w:hAnsi="Arial" w:cs="Arial"/>
        </w:rPr>
      </w:pPr>
      <w:r w:rsidRPr="00221B4C">
        <w:rPr>
          <w:rFonts w:ascii="Arial" w:hAnsi="Arial" w:cs="Arial"/>
        </w:rPr>
        <w:t>Dreikurs, R. (1968). Psychology in the classroom (2nd ed.). New York: Harper &amp; Row.</w:t>
      </w:r>
    </w:p>
    <w:p w14:paraId="3DB4C024" w14:textId="77777777" w:rsidR="00F77E18" w:rsidRPr="00221B4C" w:rsidRDefault="00F77E18" w:rsidP="00221B4C">
      <w:pPr>
        <w:spacing w:line="360" w:lineRule="auto"/>
        <w:rPr>
          <w:rFonts w:ascii="Arial" w:hAnsi="Arial" w:cs="Arial"/>
          <w:shd w:val="clear" w:color="auto" w:fill="FFFFFF"/>
        </w:rPr>
      </w:pPr>
      <w:r w:rsidRPr="00221B4C">
        <w:rPr>
          <w:rFonts w:ascii="Arial" w:hAnsi="Arial" w:cs="Arial"/>
          <w:shd w:val="clear" w:color="auto" w:fill="FFFFFF"/>
        </w:rPr>
        <w:t>Fook, J. (2015) Reflective Practice and Critical Reflection. </w:t>
      </w:r>
      <w:proofErr w:type="spellStart"/>
      <w:r w:rsidRPr="00221B4C">
        <w:rPr>
          <w:rFonts w:ascii="Arial" w:hAnsi="Arial" w:cs="Arial"/>
          <w:i/>
          <w:iCs/>
          <w:shd w:val="clear" w:color="auto" w:fill="FFFFFF"/>
        </w:rPr>
        <w:t>ScOPTbox</w:t>
      </w:r>
      <w:proofErr w:type="spellEnd"/>
      <w:r w:rsidRPr="00221B4C">
        <w:rPr>
          <w:rFonts w:ascii="Arial" w:hAnsi="Arial" w:cs="Arial"/>
          <w:i/>
          <w:iCs/>
          <w:shd w:val="clear" w:color="auto" w:fill="FFFFFF"/>
        </w:rPr>
        <w:t xml:space="preserve"> Practice Learning Library</w:t>
      </w:r>
      <w:r w:rsidRPr="00221B4C">
        <w:rPr>
          <w:rFonts w:ascii="Arial" w:hAnsi="Arial" w:cs="Arial"/>
          <w:shd w:val="clear" w:color="auto" w:fill="FFFFFF"/>
        </w:rPr>
        <w:t>. [Online]. Available from: https://practicelearning.info/mod/data/view.php?d=4&amp;rid=190 [Accessed: 5 October 2022].</w:t>
      </w:r>
    </w:p>
    <w:p w14:paraId="5A3C05CF" w14:textId="77777777" w:rsidR="00F77E18" w:rsidRPr="00221B4C" w:rsidRDefault="00F77E18" w:rsidP="00221B4C">
      <w:pPr>
        <w:spacing w:line="360" w:lineRule="auto"/>
        <w:rPr>
          <w:rFonts w:ascii="Arial" w:hAnsi="Arial" w:cs="Arial"/>
        </w:rPr>
      </w:pPr>
      <w:r w:rsidRPr="00221B4C">
        <w:rPr>
          <w:rFonts w:ascii="Arial" w:hAnsi="Arial" w:cs="Arial"/>
        </w:rPr>
        <w:t xml:space="preserve">Furlong, J. (2015) ‘Teaching tomorrow’s </w:t>
      </w:r>
      <w:proofErr w:type="gramStart"/>
      <w:r w:rsidRPr="00221B4C">
        <w:rPr>
          <w:rFonts w:ascii="Arial" w:hAnsi="Arial" w:cs="Arial"/>
        </w:rPr>
        <w:t>teachers’</w:t>
      </w:r>
      <w:proofErr w:type="gramEnd"/>
      <w:r w:rsidRPr="00221B4C">
        <w:rPr>
          <w:rFonts w:ascii="Arial" w:hAnsi="Arial" w:cs="Arial"/>
        </w:rPr>
        <w:t xml:space="preserve">. Available at: </w:t>
      </w:r>
      <w:hyperlink r:id="rId9" w:history="1">
        <w:r w:rsidRPr="00221B4C">
          <w:rPr>
            <w:rStyle w:val="Hyperlink"/>
            <w:rFonts w:ascii="Arial" w:hAnsi="Arial" w:cs="Arial"/>
          </w:rPr>
          <w:t>https://gov.wales/sites/default/files/publications/2018-03/teaching-tomorrow%E2%80%99s-teachers.pdf</w:t>
        </w:r>
      </w:hyperlink>
      <w:r w:rsidRPr="00221B4C">
        <w:rPr>
          <w:rFonts w:ascii="Arial" w:hAnsi="Arial" w:cs="Arial"/>
        </w:rPr>
        <w:t xml:space="preserve"> (Accessed: 5 October 2022).</w:t>
      </w:r>
    </w:p>
    <w:p w14:paraId="4BB7C325" w14:textId="77777777" w:rsidR="00F77E18" w:rsidRPr="00221B4C" w:rsidRDefault="00F77E18" w:rsidP="00221B4C">
      <w:pPr>
        <w:spacing w:line="360" w:lineRule="auto"/>
        <w:rPr>
          <w:rFonts w:ascii="Arial" w:hAnsi="Arial" w:cs="Arial"/>
        </w:rPr>
      </w:pPr>
      <w:r w:rsidRPr="00221B4C">
        <w:rPr>
          <w:rFonts w:ascii="Arial" w:hAnsi="Arial" w:cs="Arial"/>
        </w:rPr>
        <w:t>Gibbs G (1988). Learning by Doing: A guide to teaching and learning methods. Further Education Unit. Oxford Polytechnic: Oxford.</w:t>
      </w:r>
    </w:p>
    <w:p w14:paraId="63C64053" w14:textId="77777777" w:rsidR="00F77E18" w:rsidRPr="00221B4C" w:rsidRDefault="00F77E18" w:rsidP="00221B4C">
      <w:pPr>
        <w:spacing w:line="360" w:lineRule="auto"/>
        <w:rPr>
          <w:rFonts w:ascii="Arial" w:hAnsi="Arial" w:cs="Arial"/>
        </w:rPr>
      </w:pPr>
      <w:r w:rsidRPr="00221B4C">
        <w:rPr>
          <w:rFonts w:ascii="Arial" w:hAnsi="Arial" w:cs="Arial"/>
        </w:rPr>
        <w:t>Glazzard, J. (2010) </w:t>
      </w:r>
      <w:r w:rsidRPr="00221B4C">
        <w:rPr>
          <w:rFonts w:ascii="Arial" w:hAnsi="Arial" w:cs="Arial"/>
          <w:i/>
          <w:iCs/>
        </w:rPr>
        <w:t>Teaching primary special educational needs</w:t>
      </w:r>
      <w:r w:rsidRPr="00221B4C">
        <w:rPr>
          <w:rFonts w:ascii="Arial" w:hAnsi="Arial" w:cs="Arial"/>
        </w:rPr>
        <w:t>. Exeter: Learning Matters.</w:t>
      </w:r>
    </w:p>
    <w:p w14:paraId="479EA0D8" w14:textId="77777777" w:rsidR="00F77E18" w:rsidRPr="00221B4C" w:rsidRDefault="00F77E18" w:rsidP="00221B4C">
      <w:pPr>
        <w:spacing w:line="360" w:lineRule="auto"/>
        <w:rPr>
          <w:rFonts w:ascii="Arial" w:hAnsi="Arial" w:cs="Arial"/>
        </w:rPr>
      </w:pPr>
      <w:proofErr w:type="spellStart"/>
      <w:r w:rsidRPr="00221B4C">
        <w:rPr>
          <w:rFonts w:ascii="Arial" w:hAnsi="Arial" w:cs="Arial"/>
        </w:rPr>
        <w:t>Martella</w:t>
      </w:r>
      <w:proofErr w:type="spellEnd"/>
      <w:r w:rsidRPr="00221B4C">
        <w:rPr>
          <w:rFonts w:ascii="Arial" w:hAnsi="Arial" w:cs="Arial"/>
        </w:rPr>
        <w:t>, R.C. (2012) </w:t>
      </w:r>
      <w:r w:rsidRPr="00221B4C">
        <w:rPr>
          <w:rFonts w:ascii="Arial" w:hAnsi="Arial" w:cs="Arial"/>
          <w:i/>
          <w:iCs/>
        </w:rPr>
        <w:t xml:space="preserve">Comprehensive </w:t>
      </w:r>
      <w:proofErr w:type="spellStart"/>
      <w:r w:rsidRPr="00221B4C">
        <w:rPr>
          <w:rFonts w:ascii="Arial" w:hAnsi="Arial" w:cs="Arial"/>
          <w:i/>
          <w:iCs/>
        </w:rPr>
        <w:t>behavior</w:t>
      </w:r>
      <w:proofErr w:type="spellEnd"/>
      <w:r w:rsidRPr="00221B4C">
        <w:rPr>
          <w:rFonts w:ascii="Arial" w:hAnsi="Arial" w:cs="Arial"/>
          <w:i/>
          <w:iCs/>
        </w:rPr>
        <w:t xml:space="preserve"> management individualized, classroom, and schoolwide approaches</w:t>
      </w:r>
      <w:r w:rsidRPr="00221B4C">
        <w:rPr>
          <w:rFonts w:ascii="Arial" w:hAnsi="Arial" w:cs="Arial"/>
        </w:rPr>
        <w:t>. 2nd ed. Thousand Oaks, Calif: SAGE.</w:t>
      </w:r>
    </w:p>
    <w:p w14:paraId="2B8D5F81" w14:textId="77777777" w:rsidR="00F77E18" w:rsidRPr="00221B4C" w:rsidRDefault="00F77E18" w:rsidP="00221B4C">
      <w:pPr>
        <w:spacing w:line="360" w:lineRule="auto"/>
        <w:rPr>
          <w:rFonts w:ascii="Arial" w:hAnsi="Arial" w:cs="Arial"/>
        </w:rPr>
      </w:pPr>
      <w:r w:rsidRPr="00221B4C">
        <w:rPr>
          <w:rFonts w:ascii="Arial" w:hAnsi="Arial" w:cs="Arial"/>
        </w:rPr>
        <w:t xml:space="preserve">Orchard, J. and Winch, C. (2015) ‘What training do teachers </w:t>
      </w:r>
      <w:proofErr w:type="gramStart"/>
      <w:r w:rsidRPr="00221B4C">
        <w:rPr>
          <w:rFonts w:ascii="Arial" w:hAnsi="Arial" w:cs="Arial"/>
        </w:rPr>
        <w:t>need?</w:t>
      </w:r>
      <w:r>
        <w:rPr>
          <w:rFonts w:ascii="Arial" w:hAnsi="Arial" w:cs="Arial"/>
        </w:rPr>
        <w:t>:</w:t>
      </w:r>
      <w:proofErr w:type="gramEnd"/>
      <w:r w:rsidRPr="00221B4C">
        <w:rPr>
          <w:rFonts w:ascii="Arial" w:hAnsi="Arial" w:cs="Arial"/>
        </w:rPr>
        <w:t xml:space="preserve"> Why theory is necessary to good teaching’, Impact, 2015(22), pp. 1–43. Available at: </w:t>
      </w:r>
      <w:hyperlink r:id="rId10" w:history="1">
        <w:r w:rsidRPr="00221B4C">
          <w:rPr>
            <w:rStyle w:val="Hyperlink"/>
            <w:rFonts w:ascii="Arial" w:hAnsi="Arial" w:cs="Arial"/>
          </w:rPr>
          <w:t>https://doi.org/10.1111/2048-416X.2015.12002.x</w:t>
        </w:r>
      </w:hyperlink>
      <w:r w:rsidRPr="00221B4C">
        <w:rPr>
          <w:rFonts w:ascii="Arial" w:hAnsi="Arial" w:cs="Arial"/>
        </w:rPr>
        <w:t>.</w:t>
      </w:r>
    </w:p>
    <w:p w14:paraId="699593F4" w14:textId="77777777" w:rsidR="00F77E18" w:rsidRPr="00221B4C" w:rsidRDefault="00F77E18" w:rsidP="00221B4C">
      <w:pPr>
        <w:spacing w:line="360" w:lineRule="auto"/>
        <w:rPr>
          <w:rFonts w:ascii="Arial" w:hAnsi="Arial" w:cs="Arial"/>
        </w:rPr>
      </w:pPr>
      <w:r w:rsidRPr="00221B4C">
        <w:rPr>
          <w:rFonts w:ascii="Arial" w:hAnsi="Arial" w:cs="Arial"/>
        </w:rPr>
        <w:t>Roberts, J., and, Webster., A. (2022) ‘Including students with autism in schools: a whole school approach to improve outcomes for students with autism’, </w:t>
      </w:r>
      <w:r w:rsidRPr="00221B4C">
        <w:rPr>
          <w:rFonts w:ascii="Arial" w:hAnsi="Arial" w:cs="Arial"/>
          <w:i/>
          <w:iCs/>
        </w:rPr>
        <w:t>International Journal of Inclusive Education</w:t>
      </w:r>
      <w:r w:rsidRPr="00221B4C">
        <w:rPr>
          <w:rFonts w:ascii="Arial" w:hAnsi="Arial" w:cs="Arial"/>
        </w:rPr>
        <w:t>, 26(7), pp. 701-718, DOI: </w:t>
      </w:r>
      <w:hyperlink r:id="rId11" w:history="1">
        <w:r w:rsidRPr="00221B4C">
          <w:rPr>
            <w:rStyle w:val="Hyperlink"/>
            <w:rFonts w:ascii="Arial" w:hAnsi="Arial" w:cs="Arial"/>
          </w:rPr>
          <w:t>10.1080/13603116.2020.1712622</w:t>
        </w:r>
      </w:hyperlink>
      <w:r w:rsidRPr="00221B4C">
        <w:rPr>
          <w:rFonts w:ascii="Arial" w:hAnsi="Arial" w:cs="Arial"/>
        </w:rPr>
        <w:t xml:space="preserve"> (Accessed: 5 November 2022).</w:t>
      </w:r>
    </w:p>
    <w:p w14:paraId="2A59EB68" w14:textId="77777777" w:rsidR="00F77E18" w:rsidRPr="00221B4C" w:rsidRDefault="00F77E18" w:rsidP="00221B4C">
      <w:pPr>
        <w:spacing w:line="360" w:lineRule="auto"/>
        <w:rPr>
          <w:rFonts w:ascii="Arial" w:hAnsi="Arial" w:cs="Arial"/>
        </w:rPr>
      </w:pPr>
      <w:r w:rsidRPr="00221B4C">
        <w:rPr>
          <w:rFonts w:ascii="Arial" w:hAnsi="Arial" w:cs="Arial"/>
        </w:rPr>
        <w:t>Spooner, W. (2011) </w:t>
      </w:r>
      <w:r w:rsidRPr="00221B4C">
        <w:rPr>
          <w:rFonts w:ascii="Arial" w:hAnsi="Arial" w:cs="Arial"/>
          <w:i/>
          <w:iCs/>
        </w:rPr>
        <w:t>The SEN handbook for trainee teachers, NQTs and teaching assistants</w:t>
      </w:r>
      <w:r w:rsidRPr="00221B4C">
        <w:rPr>
          <w:rFonts w:ascii="Arial" w:hAnsi="Arial" w:cs="Arial"/>
        </w:rPr>
        <w:t xml:space="preserve">. 2nd ed. London: Routledge. Available at: </w:t>
      </w:r>
      <w:hyperlink r:id="rId12" w:history="1">
        <w:r w:rsidRPr="00221B4C">
          <w:rPr>
            <w:rStyle w:val="Hyperlink"/>
            <w:rFonts w:ascii="Arial" w:hAnsi="Arial" w:cs="Arial"/>
          </w:rPr>
          <w:t>https://doi.org/10.4324/9780203838655</w:t>
        </w:r>
      </w:hyperlink>
      <w:r w:rsidRPr="00221B4C">
        <w:rPr>
          <w:rFonts w:ascii="Arial" w:hAnsi="Arial" w:cs="Arial"/>
        </w:rPr>
        <w:t xml:space="preserve">. </w:t>
      </w:r>
    </w:p>
    <w:p w14:paraId="56A8C09C" w14:textId="77777777" w:rsidR="00F77E18" w:rsidRPr="00996845" w:rsidRDefault="00F77E18" w:rsidP="00221B4C">
      <w:pPr>
        <w:spacing w:line="360" w:lineRule="auto"/>
        <w:rPr>
          <w:rFonts w:ascii="Arial" w:hAnsi="Arial" w:cs="Arial"/>
          <w:shd w:val="clear" w:color="auto" w:fill="FFFFFF"/>
        </w:rPr>
      </w:pPr>
      <w:r w:rsidRPr="00996845">
        <w:rPr>
          <w:rFonts w:ascii="Arial" w:hAnsi="Arial" w:cs="Arial"/>
          <w:shd w:val="clear" w:color="auto" w:fill="FFFFFF"/>
        </w:rPr>
        <w:lastRenderedPageBreak/>
        <w:t>Tripp, D. (1993) Critical incidents in teaching: developing professional judgement. Classic ed. London: Routledge.</w:t>
      </w:r>
    </w:p>
    <w:p w14:paraId="22F1F39F" w14:textId="77777777" w:rsidR="00F77E18" w:rsidRPr="00221B4C" w:rsidRDefault="00F77E18" w:rsidP="00221B4C">
      <w:pPr>
        <w:spacing w:line="360" w:lineRule="auto"/>
        <w:rPr>
          <w:rFonts w:ascii="Arial" w:hAnsi="Arial" w:cs="Arial"/>
        </w:rPr>
      </w:pPr>
      <w:r w:rsidRPr="00221B4C">
        <w:rPr>
          <w:rFonts w:ascii="Arial" w:hAnsi="Arial" w:cs="Arial"/>
        </w:rPr>
        <w:t xml:space="preserve">Welsh Government. (2020) </w:t>
      </w:r>
      <w:r w:rsidRPr="00221B4C">
        <w:rPr>
          <w:rFonts w:ascii="Arial" w:hAnsi="Arial" w:cs="Arial"/>
          <w:i/>
          <w:iCs/>
        </w:rPr>
        <w:t xml:space="preserve">Professional standards for teaching and leadership. </w:t>
      </w:r>
      <w:r w:rsidRPr="00221B4C">
        <w:rPr>
          <w:rFonts w:ascii="Arial" w:hAnsi="Arial" w:cs="Arial"/>
        </w:rPr>
        <w:t xml:space="preserve">Available at: </w:t>
      </w:r>
      <w:hyperlink r:id="rId13" w:history="1">
        <w:r w:rsidRPr="00221B4C">
          <w:rPr>
            <w:rStyle w:val="Hyperlink"/>
            <w:rFonts w:ascii="Arial" w:hAnsi="Arial" w:cs="Arial"/>
          </w:rPr>
          <w:t>https://hwb.gov.wales/api/storage/19bc948b-8a3f-41e0-944a-7bf2cadf7d18/professional-standards-for-teaching-and-leadership-interactive-pdf-for-pc.pdf</w:t>
        </w:r>
      </w:hyperlink>
      <w:r w:rsidRPr="00221B4C">
        <w:rPr>
          <w:rFonts w:ascii="Arial" w:hAnsi="Arial" w:cs="Arial"/>
        </w:rPr>
        <w:t xml:space="preserve"> (Accessed: 5 November 2022).  </w:t>
      </w:r>
    </w:p>
    <w:p w14:paraId="371BD129" w14:textId="77777777" w:rsidR="00F77E18" w:rsidRPr="00221B4C" w:rsidRDefault="00F77E18" w:rsidP="00221B4C">
      <w:pPr>
        <w:spacing w:line="360" w:lineRule="auto"/>
        <w:rPr>
          <w:rFonts w:ascii="Arial" w:hAnsi="Arial" w:cs="Arial"/>
        </w:rPr>
      </w:pPr>
      <w:r w:rsidRPr="00221B4C">
        <w:rPr>
          <w:rFonts w:ascii="Arial" w:hAnsi="Arial" w:cs="Arial"/>
        </w:rPr>
        <w:t xml:space="preserve">Welsh Government. (2021) </w:t>
      </w:r>
      <w:r w:rsidRPr="00221B4C">
        <w:rPr>
          <w:rFonts w:ascii="Arial" w:hAnsi="Arial" w:cs="Arial"/>
          <w:i/>
          <w:iCs/>
        </w:rPr>
        <w:t xml:space="preserve">The Additional Learning Needs Code for Wales 2021. </w:t>
      </w:r>
      <w:r w:rsidRPr="00221B4C">
        <w:rPr>
          <w:rFonts w:ascii="Arial" w:hAnsi="Arial" w:cs="Arial"/>
        </w:rPr>
        <w:t>Available at:</w:t>
      </w:r>
      <w:r w:rsidRPr="00996845">
        <w:t xml:space="preserve"> </w:t>
      </w:r>
      <w:hyperlink r:id="rId14" w:history="1">
        <w:r w:rsidRPr="004C43C6">
          <w:rPr>
            <w:rStyle w:val="Hyperlink"/>
            <w:rFonts w:ascii="Arial" w:hAnsi="Arial" w:cs="Arial"/>
          </w:rPr>
          <w:t>https://gov.wales/sites/default/files/publications/2021-03/210326-the-additional-learning-needs-code-for-wales-2021.pdf</w:t>
        </w:r>
      </w:hyperlink>
      <w:r>
        <w:rPr>
          <w:rFonts w:ascii="Arial" w:hAnsi="Arial" w:cs="Arial"/>
        </w:rPr>
        <w:t xml:space="preserve"> </w:t>
      </w:r>
      <w:r w:rsidRPr="00221B4C">
        <w:rPr>
          <w:rFonts w:ascii="Arial" w:hAnsi="Arial" w:cs="Arial"/>
        </w:rPr>
        <w:t xml:space="preserve"> (Accessed: 12 October 2022).</w:t>
      </w:r>
    </w:p>
    <w:p w14:paraId="3B6C70C5" w14:textId="77777777" w:rsidR="00C969F8" w:rsidRDefault="00C969F8" w:rsidP="00C969F8">
      <w:pPr>
        <w:rPr>
          <w:b/>
          <w:bCs/>
          <w:u w:val="single"/>
        </w:rPr>
      </w:pPr>
    </w:p>
    <w:p w14:paraId="0A43BC66" w14:textId="77777777" w:rsidR="00C969F8" w:rsidRDefault="00C969F8" w:rsidP="00C969F8">
      <w:pPr>
        <w:rPr>
          <w:b/>
          <w:bCs/>
          <w:u w:val="single"/>
        </w:rPr>
      </w:pPr>
    </w:p>
    <w:p w14:paraId="6E611596" w14:textId="77777777" w:rsidR="00C969F8" w:rsidRDefault="00C969F8" w:rsidP="00C969F8">
      <w:pPr>
        <w:rPr>
          <w:b/>
          <w:bCs/>
          <w:u w:val="single"/>
        </w:rPr>
      </w:pPr>
    </w:p>
    <w:p w14:paraId="409EA784" w14:textId="77777777" w:rsidR="00940F2B" w:rsidRPr="00DD5CB0" w:rsidRDefault="00940F2B">
      <w:pPr>
        <w:rPr>
          <w:rFonts w:cstheme="minorHAnsi"/>
        </w:rPr>
      </w:pPr>
    </w:p>
    <w:sectPr w:rsidR="00940F2B" w:rsidRPr="00DD5CB0">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0A9FD1" w14:textId="77777777" w:rsidR="00230E64" w:rsidRDefault="00230E64" w:rsidP="00003500">
      <w:pPr>
        <w:spacing w:after="0" w:line="240" w:lineRule="auto"/>
      </w:pPr>
      <w:r>
        <w:separator/>
      </w:r>
    </w:p>
  </w:endnote>
  <w:endnote w:type="continuationSeparator" w:id="0">
    <w:p w14:paraId="2539F9DF" w14:textId="77777777" w:rsidR="00230E64" w:rsidRDefault="00230E64" w:rsidP="000035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77F8C3" w14:textId="77777777" w:rsidR="00230E64" w:rsidRDefault="00230E64" w:rsidP="00003500">
      <w:pPr>
        <w:spacing w:after="0" w:line="240" w:lineRule="auto"/>
      </w:pPr>
      <w:r>
        <w:separator/>
      </w:r>
    </w:p>
  </w:footnote>
  <w:footnote w:type="continuationSeparator" w:id="0">
    <w:p w14:paraId="141A133A" w14:textId="77777777" w:rsidR="00230E64" w:rsidRDefault="00230E64" w:rsidP="000035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E9C6" w14:textId="2E8D957C" w:rsidR="00003500" w:rsidRDefault="000315FE">
    <w:pPr>
      <w:pStyle w:val="Header"/>
    </w:pPr>
    <w:r>
      <w:t>ECAD6007</w:t>
    </w:r>
    <w:r>
      <w:ptab w:relativeTo="margin" w:alignment="center" w:leader="none"/>
    </w:r>
    <w:r>
      <w:ptab w:relativeTo="margin" w:alignment="right" w:leader="none"/>
    </w:r>
    <w:r>
      <w:t>1711503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0682C"/>
    <w:multiLevelType w:val="hybridMultilevel"/>
    <w:tmpl w:val="586E0C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E806DD0"/>
    <w:multiLevelType w:val="hybridMultilevel"/>
    <w:tmpl w:val="17E06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3731EC"/>
    <w:multiLevelType w:val="hybridMultilevel"/>
    <w:tmpl w:val="F3F80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7D6258"/>
    <w:multiLevelType w:val="hybridMultilevel"/>
    <w:tmpl w:val="0C545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341D61"/>
    <w:multiLevelType w:val="hybridMultilevel"/>
    <w:tmpl w:val="33E44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4812FB"/>
    <w:multiLevelType w:val="hybridMultilevel"/>
    <w:tmpl w:val="B7943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87146"/>
    <w:multiLevelType w:val="hybridMultilevel"/>
    <w:tmpl w:val="C3E26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4D4D02"/>
    <w:multiLevelType w:val="hybridMultilevel"/>
    <w:tmpl w:val="F13C35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59DA5B83"/>
    <w:multiLevelType w:val="hybridMultilevel"/>
    <w:tmpl w:val="D5C44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FE05A2"/>
    <w:multiLevelType w:val="hybridMultilevel"/>
    <w:tmpl w:val="2AC06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7474162">
    <w:abstractNumId w:val="1"/>
  </w:num>
  <w:num w:numId="2" w16cid:durableId="901604001">
    <w:abstractNumId w:val="3"/>
  </w:num>
  <w:num w:numId="3" w16cid:durableId="1585337722">
    <w:abstractNumId w:val="9"/>
  </w:num>
  <w:num w:numId="4" w16cid:durableId="8218557">
    <w:abstractNumId w:val="0"/>
  </w:num>
  <w:num w:numId="5" w16cid:durableId="720789126">
    <w:abstractNumId w:val="2"/>
  </w:num>
  <w:num w:numId="6" w16cid:durableId="2020425842">
    <w:abstractNumId w:val="5"/>
  </w:num>
  <w:num w:numId="7" w16cid:durableId="402682264">
    <w:abstractNumId w:val="4"/>
  </w:num>
  <w:num w:numId="8" w16cid:durableId="376246270">
    <w:abstractNumId w:val="6"/>
  </w:num>
  <w:num w:numId="9" w16cid:durableId="1688671995">
    <w:abstractNumId w:val="7"/>
  </w:num>
  <w:num w:numId="10" w16cid:durableId="52536326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B74"/>
    <w:rsid w:val="00002B98"/>
    <w:rsid w:val="00003500"/>
    <w:rsid w:val="00004400"/>
    <w:rsid w:val="000110F1"/>
    <w:rsid w:val="0001139C"/>
    <w:rsid w:val="00021A8F"/>
    <w:rsid w:val="00022D89"/>
    <w:rsid w:val="0002553B"/>
    <w:rsid w:val="00025C2F"/>
    <w:rsid w:val="000311A5"/>
    <w:rsid w:val="000315FE"/>
    <w:rsid w:val="00031F76"/>
    <w:rsid w:val="00032AEB"/>
    <w:rsid w:val="00033349"/>
    <w:rsid w:val="00034589"/>
    <w:rsid w:val="00034DB4"/>
    <w:rsid w:val="0003602E"/>
    <w:rsid w:val="00037065"/>
    <w:rsid w:val="0004177A"/>
    <w:rsid w:val="00043620"/>
    <w:rsid w:val="000468E9"/>
    <w:rsid w:val="0005042D"/>
    <w:rsid w:val="00050638"/>
    <w:rsid w:val="00051CF7"/>
    <w:rsid w:val="0005425F"/>
    <w:rsid w:val="00057F5C"/>
    <w:rsid w:val="0006363B"/>
    <w:rsid w:val="00064A98"/>
    <w:rsid w:val="000719B1"/>
    <w:rsid w:val="00072BDA"/>
    <w:rsid w:val="0007448C"/>
    <w:rsid w:val="000800D9"/>
    <w:rsid w:val="000820AC"/>
    <w:rsid w:val="000835A9"/>
    <w:rsid w:val="000868DE"/>
    <w:rsid w:val="00091401"/>
    <w:rsid w:val="00092DCF"/>
    <w:rsid w:val="0009408B"/>
    <w:rsid w:val="00096409"/>
    <w:rsid w:val="00097530"/>
    <w:rsid w:val="000A0D49"/>
    <w:rsid w:val="000A302D"/>
    <w:rsid w:val="000B2A25"/>
    <w:rsid w:val="000B3AC5"/>
    <w:rsid w:val="000B7269"/>
    <w:rsid w:val="000B7B3F"/>
    <w:rsid w:val="000C0EC1"/>
    <w:rsid w:val="000C21F7"/>
    <w:rsid w:val="000C2B31"/>
    <w:rsid w:val="000C3DCB"/>
    <w:rsid w:val="000C57AE"/>
    <w:rsid w:val="000C69F6"/>
    <w:rsid w:val="000D0926"/>
    <w:rsid w:val="000D758E"/>
    <w:rsid w:val="000E060B"/>
    <w:rsid w:val="000E132A"/>
    <w:rsid w:val="000E30CD"/>
    <w:rsid w:val="000E3A99"/>
    <w:rsid w:val="000E579A"/>
    <w:rsid w:val="000E7155"/>
    <w:rsid w:val="000E7739"/>
    <w:rsid w:val="000F2A09"/>
    <w:rsid w:val="000F3321"/>
    <w:rsid w:val="000F3EEC"/>
    <w:rsid w:val="000F5836"/>
    <w:rsid w:val="000F6F1B"/>
    <w:rsid w:val="001009F1"/>
    <w:rsid w:val="00101407"/>
    <w:rsid w:val="001025BD"/>
    <w:rsid w:val="001033C5"/>
    <w:rsid w:val="00106246"/>
    <w:rsid w:val="00106E3C"/>
    <w:rsid w:val="0010783B"/>
    <w:rsid w:val="00115626"/>
    <w:rsid w:val="0011699C"/>
    <w:rsid w:val="00117A9D"/>
    <w:rsid w:val="001200EC"/>
    <w:rsid w:val="00120D99"/>
    <w:rsid w:val="00121905"/>
    <w:rsid w:val="00124828"/>
    <w:rsid w:val="00127461"/>
    <w:rsid w:val="00130B7C"/>
    <w:rsid w:val="00130DFB"/>
    <w:rsid w:val="00132683"/>
    <w:rsid w:val="00133AF6"/>
    <w:rsid w:val="00140DC2"/>
    <w:rsid w:val="00141A04"/>
    <w:rsid w:val="001452F3"/>
    <w:rsid w:val="001503EB"/>
    <w:rsid w:val="00152FE8"/>
    <w:rsid w:val="001539C0"/>
    <w:rsid w:val="001547F8"/>
    <w:rsid w:val="00154B63"/>
    <w:rsid w:val="001618DB"/>
    <w:rsid w:val="00161B64"/>
    <w:rsid w:val="00162118"/>
    <w:rsid w:val="00164379"/>
    <w:rsid w:val="00165F86"/>
    <w:rsid w:val="00174628"/>
    <w:rsid w:val="00177BF3"/>
    <w:rsid w:val="00177D81"/>
    <w:rsid w:val="00181EB9"/>
    <w:rsid w:val="00183338"/>
    <w:rsid w:val="001865F4"/>
    <w:rsid w:val="00187D2F"/>
    <w:rsid w:val="00190624"/>
    <w:rsid w:val="001930A8"/>
    <w:rsid w:val="00194122"/>
    <w:rsid w:val="001953E1"/>
    <w:rsid w:val="001A65F1"/>
    <w:rsid w:val="001A792C"/>
    <w:rsid w:val="001A7A86"/>
    <w:rsid w:val="001B2F02"/>
    <w:rsid w:val="001C011B"/>
    <w:rsid w:val="001C2884"/>
    <w:rsid w:val="001C2C70"/>
    <w:rsid w:val="001C4BF3"/>
    <w:rsid w:val="001C71E3"/>
    <w:rsid w:val="001D0792"/>
    <w:rsid w:val="001D4439"/>
    <w:rsid w:val="001E2638"/>
    <w:rsid w:val="001E2DB3"/>
    <w:rsid w:val="001F20B4"/>
    <w:rsid w:val="001F2FF5"/>
    <w:rsid w:val="001F3EE3"/>
    <w:rsid w:val="001F51C4"/>
    <w:rsid w:val="002011EC"/>
    <w:rsid w:val="0020512E"/>
    <w:rsid w:val="00211AA7"/>
    <w:rsid w:val="00212A22"/>
    <w:rsid w:val="00213ABC"/>
    <w:rsid w:val="00213C6B"/>
    <w:rsid w:val="00220FED"/>
    <w:rsid w:val="00221B4C"/>
    <w:rsid w:val="002254C7"/>
    <w:rsid w:val="00230E64"/>
    <w:rsid w:val="002358D0"/>
    <w:rsid w:val="00236E61"/>
    <w:rsid w:val="00241FB5"/>
    <w:rsid w:val="00242111"/>
    <w:rsid w:val="00244777"/>
    <w:rsid w:val="00244D4D"/>
    <w:rsid w:val="00245732"/>
    <w:rsid w:val="00245E2F"/>
    <w:rsid w:val="002476CC"/>
    <w:rsid w:val="0025092E"/>
    <w:rsid w:val="0025199A"/>
    <w:rsid w:val="00254F35"/>
    <w:rsid w:val="00256838"/>
    <w:rsid w:val="0026281D"/>
    <w:rsid w:val="00263AD9"/>
    <w:rsid w:val="00265957"/>
    <w:rsid w:val="00266A47"/>
    <w:rsid w:val="00267C9F"/>
    <w:rsid w:val="00270BAC"/>
    <w:rsid w:val="00270D4C"/>
    <w:rsid w:val="00281F32"/>
    <w:rsid w:val="00287F53"/>
    <w:rsid w:val="00287FD7"/>
    <w:rsid w:val="0029127F"/>
    <w:rsid w:val="0029178E"/>
    <w:rsid w:val="002930C8"/>
    <w:rsid w:val="00293274"/>
    <w:rsid w:val="00296EB8"/>
    <w:rsid w:val="002A0061"/>
    <w:rsid w:val="002A28B1"/>
    <w:rsid w:val="002A40B8"/>
    <w:rsid w:val="002A4AC3"/>
    <w:rsid w:val="002A635C"/>
    <w:rsid w:val="002B0A64"/>
    <w:rsid w:val="002B1B09"/>
    <w:rsid w:val="002C32F8"/>
    <w:rsid w:val="002C4EA3"/>
    <w:rsid w:val="002C6C2B"/>
    <w:rsid w:val="002D1165"/>
    <w:rsid w:val="002D7199"/>
    <w:rsid w:val="002D737F"/>
    <w:rsid w:val="002E5EFB"/>
    <w:rsid w:val="002E677B"/>
    <w:rsid w:val="002E7CBA"/>
    <w:rsid w:val="002F2041"/>
    <w:rsid w:val="002F2113"/>
    <w:rsid w:val="002F22CA"/>
    <w:rsid w:val="002F2E8A"/>
    <w:rsid w:val="002F3EC3"/>
    <w:rsid w:val="003047F1"/>
    <w:rsid w:val="00306F48"/>
    <w:rsid w:val="00312FD9"/>
    <w:rsid w:val="00313205"/>
    <w:rsid w:val="003160C7"/>
    <w:rsid w:val="00316EDE"/>
    <w:rsid w:val="00323154"/>
    <w:rsid w:val="00323C0F"/>
    <w:rsid w:val="00327D1B"/>
    <w:rsid w:val="0033093B"/>
    <w:rsid w:val="00331152"/>
    <w:rsid w:val="00332E55"/>
    <w:rsid w:val="00334054"/>
    <w:rsid w:val="00334273"/>
    <w:rsid w:val="00334426"/>
    <w:rsid w:val="0033449C"/>
    <w:rsid w:val="003353B4"/>
    <w:rsid w:val="00335986"/>
    <w:rsid w:val="00341F63"/>
    <w:rsid w:val="00342ADA"/>
    <w:rsid w:val="00342BF7"/>
    <w:rsid w:val="0034321B"/>
    <w:rsid w:val="00343D36"/>
    <w:rsid w:val="00346690"/>
    <w:rsid w:val="00346F3E"/>
    <w:rsid w:val="00347BB5"/>
    <w:rsid w:val="00347F2F"/>
    <w:rsid w:val="00350F15"/>
    <w:rsid w:val="00352184"/>
    <w:rsid w:val="00354F26"/>
    <w:rsid w:val="00356269"/>
    <w:rsid w:val="00356493"/>
    <w:rsid w:val="00357B20"/>
    <w:rsid w:val="00360360"/>
    <w:rsid w:val="00360F26"/>
    <w:rsid w:val="00362423"/>
    <w:rsid w:val="00364D67"/>
    <w:rsid w:val="003678A2"/>
    <w:rsid w:val="00370D28"/>
    <w:rsid w:val="00371C1E"/>
    <w:rsid w:val="00371EF4"/>
    <w:rsid w:val="003724C0"/>
    <w:rsid w:val="003724CC"/>
    <w:rsid w:val="0037295D"/>
    <w:rsid w:val="00373138"/>
    <w:rsid w:val="003734A9"/>
    <w:rsid w:val="00376089"/>
    <w:rsid w:val="003765E6"/>
    <w:rsid w:val="00376DA5"/>
    <w:rsid w:val="00380C84"/>
    <w:rsid w:val="00383910"/>
    <w:rsid w:val="00384943"/>
    <w:rsid w:val="00387BB7"/>
    <w:rsid w:val="00390F79"/>
    <w:rsid w:val="003A2044"/>
    <w:rsid w:val="003A2C97"/>
    <w:rsid w:val="003A4A68"/>
    <w:rsid w:val="003A6841"/>
    <w:rsid w:val="003B1A07"/>
    <w:rsid w:val="003B301B"/>
    <w:rsid w:val="003B3080"/>
    <w:rsid w:val="003B48F5"/>
    <w:rsid w:val="003B49E4"/>
    <w:rsid w:val="003B552A"/>
    <w:rsid w:val="003B5825"/>
    <w:rsid w:val="003B5FFE"/>
    <w:rsid w:val="003C1B71"/>
    <w:rsid w:val="003C3168"/>
    <w:rsid w:val="003C6F18"/>
    <w:rsid w:val="003C71E8"/>
    <w:rsid w:val="003D1A2B"/>
    <w:rsid w:val="003D1A94"/>
    <w:rsid w:val="003D1F17"/>
    <w:rsid w:val="003D7BD9"/>
    <w:rsid w:val="003E01D3"/>
    <w:rsid w:val="003E040D"/>
    <w:rsid w:val="003E1990"/>
    <w:rsid w:val="003E1B2D"/>
    <w:rsid w:val="003E1F50"/>
    <w:rsid w:val="003E52B5"/>
    <w:rsid w:val="003E6929"/>
    <w:rsid w:val="003F05E4"/>
    <w:rsid w:val="003F1C6B"/>
    <w:rsid w:val="00401FAD"/>
    <w:rsid w:val="0040209D"/>
    <w:rsid w:val="00402F0D"/>
    <w:rsid w:val="00407E7E"/>
    <w:rsid w:val="004107BC"/>
    <w:rsid w:val="00411A67"/>
    <w:rsid w:val="00411D0C"/>
    <w:rsid w:val="00411E5A"/>
    <w:rsid w:val="00416575"/>
    <w:rsid w:val="00416B07"/>
    <w:rsid w:val="00417485"/>
    <w:rsid w:val="0042475A"/>
    <w:rsid w:val="0042534B"/>
    <w:rsid w:val="00430177"/>
    <w:rsid w:val="004307FA"/>
    <w:rsid w:val="00431CD4"/>
    <w:rsid w:val="00435B90"/>
    <w:rsid w:val="00436F3E"/>
    <w:rsid w:val="00437B26"/>
    <w:rsid w:val="0044172A"/>
    <w:rsid w:val="004430FB"/>
    <w:rsid w:val="0044353C"/>
    <w:rsid w:val="004438CB"/>
    <w:rsid w:val="004439E6"/>
    <w:rsid w:val="00443EB4"/>
    <w:rsid w:val="0044427C"/>
    <w:rsid w:val="004467EB"/>
    <w:rsid w:val="00446EF2"/>
    <w:rsid w:val="0045205F"/>
    <w:rsid w:val="00452316"/>
    <w:rsid w:val="00453AE3"/>
    <w:rsid w:val="00454AE1"/>
    <w:rsid w:val="00456FFD"/>
    <w:rsid w:val="00460024"/>
    <w:rsid w:val="00462DEF"/>
    <w:rsid w:val="00462EC3"/>
    <w:rsid w:val="004679B7"/>
    <w:rsid w:val="004705EA"/>
    <w:rsid w:val="0047083C"/>
    <w:rsid w:val="00473BE6"/>
    <w:rsid w:val="0047471E"/>
    <w:rsid w:val="00475101"/>
    <w:rsid w:val="00475958"/>
    <w:rsid w:val="00475DD2"/>
    <w:rsid w:val="004821C6"/>
    <w:rsid w:val="00486680"/>
    <w:rsid w:val="004900F5"/>
    <w:rsid w:val="00492B0B"/>
    <w:rsid w:val="00494FA0"/>
    <w:rsid w:val="00496E51"/>
    <w:rsid w:val="004A1854"/>
    <w:rsid w:val="004A3F0D"/>
    <w:rsid w:val="004A4100"/>
    <w:rsid w:val="004A58C2"/>
    <w:rsid w:val="004A6930"/>
    <w:rsid w:val="004A6968"/>
    <w:rsid w:val="004B2FDA"/>
    <w:rsid w:val="004B5726"/>
    <w:rsid w:val="004B58B8"/>
    <w:rsid w:val="004C05C2"/>
    <w:rsid w:val="004C39EF"/>
    <w:rsid w:val="004C7E77"/>
    <w:rsid w:val="004D2396"/>
    <w:rsid w:val="004D57C0"/>
    <w:rsid w:val="004D5EE1"/>
    <w:rsid w:val="004D713F"/>
    <w:rsid w:val="004D781D"/>
    <w:rsid w:val="004E082F"/>
    <w:rsid w:val="004E10A2"/>
    <w:rsid w:val="004E21D5"/>
    <w:rsid w:val="004E61E0"/>
    <w:rsid w:val="004F281F"/>
    <w:rsid w:val="004F303F"/>
    <w:rsid w:val="004F3366"/>
    <w:rsid w:val="004F4388"/>
    <w:rsid w:val="004F5E5C"/>
    <w:rsid w:val="00500CA5"/>
    <w:rsid w:val="00501FEE"/>
    <w:rsid w:val="005039A1"/>
    <w:rsid w:val="0050678F"/>
    <w:rsid w:val="0050714C"/>
    <w:rsid w:val="0050729D"/>
    <w:rsid w:val="0051075F"/>
    <w:rsid w:val="0051088C"/>
    <w:rsid w:val="0051205C"/>
    <w:rsid w:val="00512A0D"/>
    <w:rsid w:val="00513327"/>
    <w:rsid w:val="00515B62"/>
    <w:rsid w:val="00521F0E"/>
    <w:rsid w:val="005233BB"/>
    <w:rsid w:val="00536E73"/>
    <w:rsid w:val="00540660"/>
    <w:rsid w:val="005444C7"/>
    <w:rsid w:val="00546C91"/>
    <w:rsid w:val="00550116"/>
    <w:rsid w:val="00552918"/>
    <w:rsid w:val="00552BF1"/>
    <w:rsid w:val="005537A7"/>
    <w:rsid w:val="00561C9A"/>
    <w:rsid w:val="00563CD2"/>
    <w:rsid w:val="0056653F"/>
    <w:rsid w:val="00566C95"/>
    <w:rsid w:val="00567B55"/>
    <w:rsid w:val="00572EFA"/>
    <w:rsid w:val="00583BC5"/>
    <w:rsid w:val="005851E0"/>
    <w:rsid w:val="005929FB"/>
    <w:rsid w:val="005957F6"/>
    <w:rsid w:val="0059581B"/>
    <w:rsid w:val="005967A7"/>
    <w:rsid w:val="00596907"/>
    <w:rsid w:val="005969E4"/>
    <w:rsid w:val="00596A15"/>
    <w:rsid w:val="00597BD3"/>
    <w:rsid w:val="00597E9C"/>
    <w:rsid w:val="005A2FA7"/>
    <w:rsid w:val="005A4159"/>
    <w:rsid w:val="005A457D"/>
    <w:rsid w:val="005A4753"/>
    <w:rsid w:val="005A5A0D"/>
    <w:rsid w:val="005B090B"/>
    <w:rsid w:val="005B3A37"/>
    <w:rsid w:val="005B47CA"/>
    <w:rsid w:val="005B62C3"/>
    <w:rsid w:val="005B66EE"/>
    <w:rsid w:val="005C2A36"/>
    <w:rsid w:val="005C710A"/>
    <w:rsid w:val="005D0561"/>
    <w:rsid w:val="005D1310"/>
    <w:rsid w:val="005D32C7"/>
    <w:rsid w:val="005D48CD"/>
    <w:rsid w:val="005E141D"/>
    <w:rsid w:val="005E166A"/>
    <w:rsid w:val="005E2139"/>
    <w:rsid w:val="005E4437"/>
    <w:rsid w:val="005E4BA0"/>
    <w:rsid w:val="005E53D9"/>
    <w:rsid w:val="005E6C99"/>
    <w:rsid w:val="005E6DFE"/>
    <w:rsid w:val="005E7762"/>
    <w:rsid w:val="005E7B14"/>
    <w:rsid w:val="005F021F"/>
    <w:rsid w:val="005F141F"/>
    <w:rsid w:val="005F26FC"/>
    <w:rsid w:val="005F5368"/>
    <w:rsid w:val="005F59E5"/>
    <w:rsid w:val="005F7891"/>
    <w:rsid w:val="00600077"/>
    <w:rsid w:val="00600B74"/>
    <w:rsid w:val="00606068"/>
    <w:rsid w:val="00606614"/>
    <w:rsid w:val="00607A86"/>
    <w:rsid w:val="00612719"/>
    <w:rsid w:val="00613BA5"/>
    <w:rsid w:val="006145F7"/>
    <w:rsid w:val="00615699"/>
    <w:rsid w:val="00616AEB"/>
    <w:rsid w:val="006243EA"/>
    <w:rsid w:val="00624680"/>
    <w:rsid w:val="00624CCA"/>
    <w:rsid w:val="006315D5"/>
    <w:rsid w:val="00633EDF"/>
    <w:rsid w:val="0063497E"/>
    <w:rsid w:val="00635D0F"/>
    <w:rsid w:val="00635D1E"/>
    <w:rsid w:val="00636F15"/>
    <w:rsid w:val="00637221"/>
    <w:rsid w:val="00642556"/>
    <w:rsid w:val="006433E2"/>
    <w:rsid w:val="00647835"/>
    <w:rsid w:val="00650B83"/>
    <w:rsid w:val="00652DC9"/>
    <w:rsid w:val="00654EF7"/>
    <w:rsid w:val="00665DB5"/>
    <w:rsid w:val="00666149"/>
    <w:rsid w:val="006662D4"/>
    <w:rsid w:val="00670079"/>
    <w:rsid w:val="00673604"/>
    <w:rsid w:val="00673E0B"/>
    <w:rsid w:val="006745DD"/>
    <w:rsid w:val="006776FE"/>
    <w:rsid w:val="00677A31"/>
    <w:rsid w:val="0068007B"/>
    <w:rsid w:val="00681387"/>
    <w:rsid w:val="00683225"/>
    <w:rsid w:val="00684F3F"/>
    <w:rsid w:val="00687F11"/>
    <w:rsid w:val="00694B4E"/>
    <w:rsid w:val="00697611"/>
    <w:rsid w:val="006A17F5"/>
    <w:rsid w:val="006A3566"/>
    <w:rsid w:val="006A516F"/>
    <w:rsid w:val="006B0B02"/>
    <w:rsid w:val="006B13E3"/>
    <w:rsid w:val="006B1EC8"/>
    <w:rsid w:val="006B2603"/>
    <w:rsid w:val="006B6927"/>
    <w:rsid w:val="006B6F55"/>
    <w:rsid w:val="006C474C"/>
    <w:rsid w:val="006C56B1"/>
    <w:rsid w:val="006C6115"/>
    <w:rsid w:val="006D317C"/>
    <w:rsid w:val="006D418D"/>
    <w:rsid w:val="006D4CB9"/>
    <w:rsid w:val="006D4E71"/>
    <w:rsid w:val="006D4F32"/>
    <w:rsid w:val="006D79D8"/>
    <w:rsid w:val="006E014C"/>
    <w:rsid w:val="006E06BA"/>
    <w:rsid w:val="006E2E5C"/>
    <w:rsid w:val="006E3C5F"/>
    <w:rsid w:val="006E4302"/>
    <w:rsid w:val="006E5179"/>
    <w:rsid w:val="006E53E3"/>
    <w:rsid w:val="006E56B3"/>
    <w:rsid w:val="006E5874"/>
    <w:rsid w:val="006E75D6"/>
    <w:rsid w:val="006E7807"/>
    <w:rsid w:val="006F07F7"/>
    <w:rsid w:val="006F64B4"/>
    <w:rsid w:val="00703575"/>
    <w:rsid w:val="00703735"/>
    <w:rsid w:val="00704CAD"/>
    <w:rsid w:val="0070737D"/>
    <w:rsid w:val="0071026C"/>
    <w:rsid w:val="00711AD6"/>
    <w:rsid w:val="00711AFA"/>
    <w:rsid w:val="007145E2"/>
    <w:rsid w:val="00717949"/>
    <w:rsid w:val="00720950"/>
    <w:rsid w:val="007243AA"/>
    <w:rsid w:val="00724FD0"/>
    <w:rsid w:val="007265EC"/>
    <w:rsid w:val="00727634"/>
    <w:rsid w:val="0073255B"/>
    <w:rsid w:val="00734B67"/>
    <w:rsid w:val="00735631"/>
    <w:rsid w:val="007451A0"/>
    <w:rsid w:val="00746DBC"/>
    <w:rsid w:val="007477AD"/>
    <w:rsid w:val="00750872"/>
    <w:rsid w:val="00751D2E"/>
    <w:rsid w:val="00752B5F"/>
    <w:rsid w:val="0075309B"/>
    <w:rsid w:val="0075409D"/>
    <w:rsid w:val="0075432E"/>
    <w:rsid w:val="00754D6B"/>
    <w:rsid w:val="00755907"/>
    <w:rsid w:val="00756D3F"/>
    <w:rsid w:val="00760344"/>
    <w:rsid w:val="00760F73"/>
    <w:rsid w:val="00761AC9"/>
    <w:rsid w:val="007623A2"/>
    <w:rsid w:val="00762BD2"/>
    <w:rsid w:val="00762C63"/>
    <w:rsid w:val="00763B86"/>
    <w:rsid w:val="00766544"/>
    <w:rsid w:val="00767C5D"/>
    <w:rsid w:val="0077028F"/>
    <w:rsid w:val="007702FB"/>
    <w:rsid w:val="00771B64"/>
    <w:rsid w:val="007731D9"/>
    <w:rsid w:val="00774CCC"/>
    <w:rsid w:val="00777AED"/>
    <w:rsid w:val="00780EB3"/>
    <w:rsid w:val="00782F7D"/>
    <w:rsid w:val="00783630"/>
    <w:rsid w:val="007876D9"/>
    <w:rsid w:val="00787D15"/>
    <w:rsid w:val="00790A70"/>
    <w:rsid w:val="00795A3D"/>
    <w:rsid w:val="00797A85"/>
    <w:rsid w:val="007B09A4"/>
    <w:rsid w:val="007B4089"/>
    <w:rsid w:val="007B77A7"/>
    <w:rsid w:val="007B7FDB"/>
    <w:rsid w:val="007C1121"/>
    <w:rsid w:val="007C3DB0"/>
    <w:rsid w:val="007C5049"/>
    <w:rsid w:val="007D2D5B"/>
    <w:rsid w:val="007D3A32"/>
    <w:rsid w:val="007D3F1F"/>
    <w:rsid w:val="007D56F9"/>
    <w:rsid w:val="007D7874"/>
    <w:rsid w:val="007D7E4C"/>
    <w:rsid w:val="007E2E29"/>
    <w:rsid w:val="007E3D61"/>
    <w:rsid w:val="007E46CA"/>
    <w:rsid w:val="007E4DE5"/>
    <w:rsid w:val="007E4E77"/>
    <w:rsid w:val="007E51D0"/>
    <w:rsid w:val="007E7256"/>
    <w:rsid w:val="007E7D4F"/>
    <w:rsid w:val="007E7FF6"/>
    <w:rsid w:val="007F2836"/>
    <w:rsid w:val="007F3189"/>
    <w:rsid w:val="007F506C"/>
    <w:rsid w:val="007F5E79"/>
    <w:rsid w:val="007F709F"/>
    <w:rsid w:val="00801045"/>
    <w:rsid w:val="0080150B"/>
    <w:rsid w:val="008028C0"/>
    <w:rsid w:val="0080394D"/>
    <w:rsid w:val="00805E52"/>
    <w:rsid w:val="008101CE"/>
    <w:rsid w:val="00811972"/>
    <w:rsid w:val="008177B9"/>
    <w:rsid w:val="008205BF"/>
    <w:rsid w:val="008232C9"/>
    <w:rsid w:val="008239DD"/>
    <w:rsid w:val="00823F6A"/>
    <w:rsid w:val="00824BC8"/>
    <w:rsid w:val="008269F4"/>
    <w:rsid w:val="008279E2"/>
    <w:rsid w:val="00827CCF"/>
    <w:rsid w:val="00827FF2"/>
    <w:rsid w:val="008304EB"/>
    <w:rsid w:val="0083092D"/>
    <w:rsid w:val="00830A0B"/>
    <w:rsid w:val="00835D4F"/>
    <w:rsid w:val="0083648B"/>
    <w:rsid w:val="008463E7"/>
    <w:rsid w:val="0084754B"/>
    <w:rsid w:val="00851D0E"/>
    <w:rsid w:val="00852F13"/>
    <w:rsid w:val="008534A1"/>
    <w:rsid w:val="00853812"/>
    <w:rsid w:val="00854A67"/>
    <w:rsid w:val="00854DDF"/>
    <w:rsid w:val="008622EF"/>
    <w:rsid w:val="00863021"/>
    <w:rsid w:val="008645A0"/>
    <w:rsid w:val="008738DB"/>
    <w:rsid w:val="008750E6"/>
    <w:rsid w:val="00876EEB"/>
    <w:rsid w:val="00876FC8"/>
    <w:rsid w:val="00880AF7"/>
    <w:rsid w:val="008817CD"/>
    <w:rsid w:val="008836BF"/>
    <w:rsid w:val="00883BB6"/>
    <w:rsid w:val="00884061"/>
    <w:rsid w:val="008843B0"/>
    <w:rsid w:val="00884DC9"/>
    <w:rsid w:val="008859E9"/>
    <w:rsid w:val="00885BF6"/>
    <w:rsid w:val="00885D06"/>
    <w:rsid w:val="00885F2B"/>
    <w:rsid w:val="008900A9"/>
    <w:rsid w:val="0089075F"/>
    <w:rsid w:val="008911F7"/>
    <w:rsid w:val="00893646"/>
    <w:rsid w:val="00896345"/>
    <w:rsid w:val="008977A7"/>
    <w:rsid w:val="008A08DA"/>
    <w:rsid w:val="008A139B"/>
    <w:rsid w:val="008A30D5"/>
    <w:rsid w:val="008A7515"/>
    <w:rsid w:val="008B0883"/>
    <w:rsid w:val="008C2C25"/>
    <w:rsid w:val="008C5079"/>
    <w:rsid w:val="008C5F02"/>
    <w:rsid w:val="008D5196"/>
    <w:rsid w:val="008D6D50"/>
    <w:rsid w:val="008E4FBF"/>
    <w:rsid w:val="008E6132"/>
    <w:rsid w:val="008E724E"/>
    <w:rsid w:val="008E7696"/>
    <w:rsid w:val="008E794A"/>
    <w:rsid w:val="008F0AFA"/>
    <w:rsid w:val="008F1680"/>
    <w:rsid w:val="008F19A2"/>
    <w:rsid w:val="008F547E"/>
    <w:rsid w:val="008F5FFC"/>
    <w:rsid w:val="008F6ECF"/>
    <w:rsid w:val="008F73CE"/>
    <w:rsid w:val="008F7836"/>
    <w:rsid w:val="008F7845"/>
    <w:rsid w:val="0090117E"/>
    <w:rsid w:val="0090401E"/>
    <w:rsid w:val="0090542A"/>
    <w:rsid w:val="00914FC2"/>
    <w:rsid w:val="009221DB"/>
    <w:rsid w:val="0093093C"/>
    <w:rsid w:val="00930FDB"/>
    <w:rsid w:val="009322A3"/>
    <w:rsid w:val="00933417"/>
    <w:rsid w:val="009370CC"/>
    <w:rsid w:val="0093780B"/>
    <w:rsid w:val="00940F2B"/>
    <w:rsid w:val="009421EC"/>
    <w:rsid w:val="00943540"/>
    <w:rsid w:val="00944D46"/>
    <w:rsid w:val="00944D8B"/>
    <w:rsid w:val="00946BDC"/>
    <w:rsid w:val="00946EB0"/>
    <w:rsid w:val="00954A56"/>
    <w:rsid w:val="00955D0D"/>
    <w:rsid w:val="00956AA8"/>
    <w:rsid w:val="009577F4"/>
    <w:rsid w:val="00960D65"/>
    <w:rsid w:val="0096411C"/>
    <w:rsid w:val="00964A9F"/>
    <w:rsid w:val="00964F92"/>
    <w:rsid w:val="0096538C"/>
    <w:rsid w:val="00965C37"/>
    <w:rsid w:val="009671E8"/>
    <w:rsid w:val="009675B3"/>
    <w:rsid w:val="00970322"/>
    <w:rsid w:val="00970C20"/>
    <w:rsid w:val="00973D6E"/>
    <w:rsid w:val="00977A80"/>
    <w:rsid w:val="009801EB"/>
    <w:rsid w:val="00980728"/>
    <w:rsid w:val="00980765"/>
    <w:rsid w:val="0098530F"/>
    <w:rsid w:val="00985A00"/>
    <w:rsid w:val="00993A6F"/>
    <w:rsid w:val="0099401D"/>
    <w:rsid w:val="00996845"/>
    <w:rsid w:val="00996C96"/>
    <w:rsid w:val="00996D69"/>
    <w:rsid w:val="009978E4"/>
    <w:rsid w:val="009A00A3"/>
    <w:rsid w:val="009A6209"/>
    <w:rsid w:val="009B0CA8"/>
    <w:rsid w:val="009B2E2D"/>
    <w:rsid w:val="009B4572"/>
    <w:rsid w:val="009B5E92"/>
    <w:rsid w:val="009B6A13"/>
    <w:rsid w:val="009B753D"/>
    <w:rsid w:val="009B7E19"/>
    <w:rsid w:val="009C1973"/>
    <w:rsid w:val="009C3395"/>
    <w:rsid w:val="009C3FC6"/>
    <w:rsid w:val="009C4200"/>
    <w:rsid w:val="009C5254"/>
    <w:rsid w:val="009C68E3"/>
    <w:rsid w:val="009C69B0"/>
    <w:rsid w:val="009C7467"/>
    <w:rsid w:val="009D01E1"/>
    <w:rsid w:val="009D1396"/>
    <w:rsid w:val="009D1569"/>
    <w:rsid w:val="009D1BBB"/>
    <w:rsid w:val="009D2311"/>
    <w:rsid w:val="009D6B63"/>
    <w:rsid w:val="009D74A1"/>
    <w:rsid w:val="009E000F"/>
    <w:rsid w:val="009E003B"/>
    <w:rsid w:val="009E2103"/>
    <w:rsid w:val="009E34D9"/>
    <w:rsid w:val="009E6533"/>
    <w:rsid w:val="009F05FB"/>
    <w:rsid w:val="009F25A2"/>
    <w:rsid w:val="009F4BA9"/>
    <w:rsid w:val="009F6ED0"/>
    <w:rsid w:val="009F79C9"/>
    <w:rsid w:val="00A02E8F"/>
    <w:rsid w:val="00A03EB2"/>
    <w:rsid w:val="00A108A9"/>
    <w:rsid w:val="00A1554F"/>
    <w:rsid w:val="00A252D5"/>
    <w:rsid w:val="00A318B2"/>
    <w:rsid w:val="00A31D28"/>
    <w:rsid w:val="00A32EE8"/>
    <w:rsid w:val="00A444DC"/>
    <w:rsid w:val="00A5014B"/>
    <w:rsid w:val="00A50765"/>
    <w:rsid w:val="00A50822"/>
    <w:rsid w:val="00A5085A"/>
    <w:rsid w:val="00A52D05"/>
    <w:rsid w:val="00A531FC"/>
    <w:rsid w:val="00A54479"/>
    <w:rsid w:val="00A54CB0"/>
    <w:rsid w:val="00A55F06"/>
    <w:rsid w:val="00A626B1"/>
    <w:rsid w:val="00A6328D"/>
    <w:rsid w:val="00A65105"/>
    <w:rsid w:val="00A66476"/>
    <w:rsid w:val="00A71E1E"/>
    <w:rsid w:val="00A74452"/>
    <w:rsid w:val="00A746CB"/>
    <w:rsid w:val="00A7511A"/>
    <w:rsid w:val="00A75EA2"/>
    <w:rsid w:val="00A77CA6"/>
    <w:rsid w:val="00A81033"/>
    <w:rsid w:val="00A82725"/>
    <w:rsid w:val="00A87AD0"/>
    <w:rsid w:val="00A914CE"/>
    <w:rsid w:val="00A938EB"/>
    <w:rsid w:val="00A97D31"/>
    <w:rsid w:val="00AA12FB"/>
    <w:rsid w:val="00AA371B"/>
    <w:rsid w:val="00AA617B"/>
    <w:rsid w:val="00AB5D26"/>
    <w:rsid w:val="00AB5EBF"/>
    <w:rsid w:val="00AB655F"/>
    <w:rsid w:val="00AC0AA6"/>
    <w:rsid w:val="00AC470D"/>
    <w:rsid w:val="00AC51AB"/>
    <w:rsid w:val="00AC54C1"/>
    <w:rsid w:val="00AC675C"/>
    <w:rsid w:val="00AD3EA8"/>
    <w:rsid w:val="00AD440A"/>
    <w:rsid w:val="00AD52F7"/>
    <w:rsid w:val="00AD55B7"/>
    <w:rsid w:val="00AD69A8"/>
    <w:rsid w:val="00AD7FBD"/>
    <w:rsid w:val="00AE400C"/>
    <w:rsid w:val="00AE533C"/>
    <w:rsid w:val="00AE5AB5"/>
    <w:rsid w:val="00AF058B"/>
    <w:rsid w:val="00AF1E32"/>
    <w:rsid w:val="00AF4B60"/>
    <w:rsid w:val="00AF53CA"/>
    <w:rsid w:val="00B01811"/>
    <w:rsid w:val="00B02AE8"/>
    <w:rsid w:val="00B031CD"/>
    <w:rsid w:val="00B06BB4"/>
    <w:rsid w:val="00B06F88"/>
    <w:rsid w:val="00B1049E"/>
    <w:rsid w:val="00B11E52"/>
    <w:rsid w:val="00B1224C"/>
    <w:rsid w:val="00B1252F"/>
    <w:rsid w:val="00B140F2"/>
    <w:rsid w:val="00B20D69"/>
    <w:rsid w:val="00B23E70"/>
    <w:rsid w:val="00B24A48"/>
    <w:rsid w:val="00B262E5"/>
    <w:rsid w:val="00B2763C"/>
    <w:rsid w:val="00B27867"/>
    <w:rsid w:val="00B27B94"/>
    <w:rsid w:val="00B30164"/>
    <w:rsid w:val="00B325D0"/>
    <w:rsid w:val="00B33A92"/>
    <w:rsid w:val="00B3424C"/>
    <w:rsid w:val="00B343A2"/>
    <w:rsid w:val="00B43EA2"/>
    <w:rsid w:val="00B44E4E"/>
    <w:rsid w:val="00B4545E"/>
    <w:rsid w:val="00B4555A"/>
    <w:rsid w:val="00B458A8"/>
    <w:rsid w:val="00B466B9"/>
    <w:rsid w:val="00B50757"/>
    <w:rsid w:val="00B53C88"/>
    <w:rsid w:val="00B54B10"/>
    <w:rsid w:val="00B54E4D"/>
    <w:rsid w:val="00B602E4"/>
    <w:rsid w:val="00B60C26"/>
    <w:rsid w:val="00B6342A"/>
    <w:rsid w:val="00B6394F"/>
    <w:rsid w:val="00B64837"/>
    <w:rsid w:val="00B70A52"/>
    <w:rsid w:val="00B776F1"/>
    <w:rsid w:val="00B84C42"/>
    <w:rsid w:val="00B85721"/>
    <w:rsid w:val="00B91309"/>
    <w:rsid w:val="00B9199B"/>
    <w:rsid w:val="00B96C60"/>
    <w:rsid w:val="00BA0C4A"/>
    <w:rsid w:val="00BA0E69"/>
    <w:rsid w:val="00BA215B"/>
    <w:rsid w:val="00BA4C94"/>
    <w:rsid w:val="00BA5719"/>
    <w:rsid w:val="00BB108A"/>
    <w:rsid w:val="00BB4E41"/>
    <w:rsid w:val="00BC0FD7"/>
    <w:rsid w:val="00BC504B"/>
    <w:rsid w:val="00BC625B"/>
    <w:rsid w:val="00BD0678"/>
    <w:rsid w:val="00BD095B"/>
    <w:rsid w:val="00BD1E12"/>
    <w:rsid w:val="00BD26FA"/>
    <w:rsid w:val="00BD3B69"/>
    <w:rsid w:val="00BD4029"/>
    <w:rsid w:val="00BD4A67"/>
    <w:rsid w:val="00BD7BCB"/>
    <w:rsid w:val="00BE144A"/>
    <w:rsid w:val="00BE2EA6"/>
    <w:rsid w:val="00BE3AFC"/>
    <w:rsid w:val="00BE4861"/>
    <w:rsid w:val="00BE6757"/>
    <w:rsid w:val="00BF1251"/>
    <w:rsid w:val="00BF1E5D"/>
    <w:rsid w:val="00BF3352"/>
    <w:rsid w:val="00C02586"/>
    <w:rsid w:val="00C04742"/>
    <w:rsid w:val="00C04D21"/>
    <w:rsid w:val="00C06D22"/>
    <w:rsid w:val="00C11902"/>
    <w:rsid w:val="00C120E2"/>
    <w:rsid w:val="00C13A46"/>
    <w:rsid w:val="00C166C2"/>
    <w:rsid w:val="00C17CC8"/>
    <w:rsid w:val="00C20D8E"/>
    <w:rsid w:val="00C257BC"/>
    <w:rsid w:val="00C25A22"/>
    <w:rsid w:val="00C25D88"/>
    <w:rsid w:val="00C315EA"/>
    <w:rsid w:val="00C3330B"/>
    <w:rsid w:val="00C33F55"/>
    <w:rsid w:val="00C355F5"/>
    <w:rsid w:val="00C3575D"/>
    <w:rsid w:val="00C37FEB"/>
    <w:rsid w:val="00C41799"/>
    <w:rsid w:val="00C43ADA"/>
    <w:rsid w:val="00C51302"/>
    <w:rsid w:val="00C51C9D"/>
    <w:rsid w:val="00C539D2"/>
    <w:rsid w:val="00C55D3B"/>
    <w:rsid w:val="00C657E2"/>
    <w:rsid w:val="00C66AE1"/>
    <w:rsid w:val="00C66BEC"/>
    <w:rsid w:val="00C73343"/>
    <w:rsid w:val="00C743A6"/>
    <w:rsid w:val="00C818F1"/>
    <w:rsid w:val="00C83B4F"/>
    <w:rsid w:val="00C86E93"/>
    <w:rsid w:val="00C92DC7"/>
    <w:rsid w:val="00C92E7B"/>
    <w:rsid w:val="00C94934"/>
    <w:rsid w:val="00C969F8"/>
    <w:rsid w:val="00CA1527"/>
    <w:rsid w:val="00CA2F79"/>
    <w:rsid w:val="00CA3C73"/>
    <w:rsid w:val="00CA53D1"/>
    <w:rsid w:val="00CA5C68"/>
    <w:rsid w:val="00CA6437"/>
    <w:rsid w:val="00CA7929"/>
    <w:rsid w:val="00CA7BEE"/>
    <w:rsid w:val="00CB006D"/>
    <w:rsid w:val="00CB247B"/>
    <w:rsid w:val="00CB338E"/>
    <w:rsid w:val="00CB3581"/>
    <w:rsid w:val="00CB7199"/>
    <w:rsid w:val="00CB74CA"/>
    <w:rsid w:val="00CB7A3D"/>
    <w:rsid w:val="00CB7C06"/>
    <w:rsid w:val="00CC3486"/>
    <w:rsid w:val="00CC3656"/>
    <w:rsid w:val="00CC4740"/>
    <w:rsid w:val="00CC695A"/>
    <w:rsid w:val="00CD06EE"/>
    <w:rsid w:val="00CD2B26"/>
    <w:rsid w:val="00CD2D5B"/>
    <w:rsid w:val="00CD4AA3"/>
    <w:rsid w:val="00CD5EE1"/>
    <w:rsid w:val="00CD721D"/>
    <w:rsid w:val="00CE00DE"/>
    <w:rsid w:val="00CE49F5"/>
    <w:rsid w:val="00CF2A01"/>
    <w:rsid w:val="00CF4769"/>
    <w:rsid w:val="00CF67EC"/>
    <w:rsid w:val="00CF69A2"/>
    <w:rsid w:val="00CF7E9F"/>
    <w:rsid w:val="00D10A02"/>
    <w:rsid w:val="00D12667"/>
    <w:rsid w:val="00D15455"/>
    <w:rsid w:val="00D16467"/>
    <w:rsid w:val="00D16616"/>
    <w:rsid w:val="00D16BC1"/>
    <w:rsid w:val="00D204C8"/>
    <w:rsid w:val="00D20A46"/>
    <w:rsid w:val="00D25EB9"/>
    <w:rsid w:val="00D25FC5"/>
    <w:rsid w:val="00D2638F"/>
    <w:rsid w:val="00D27B80"/>
    <w:rsid w:val="00D30892"/>
    <w:rsid w:val="00D3240C"/>
    <w:rsid w:val="00D340AB"/>
    <w:rsid w:val="00D36670"/>
    <w:rsid w:val="00D40135"/>
    <w:rsid w:val="00D41785"/>
    <w:rsid w:val="00D455A1"/>
    <w:rsid w:val="00D4592D"/>
    <w:rsid w:val="00D47253"/>
    <w:rsid w:val="00D47D84"/>
    <w:rsid w:val="00D51286"/>
    <w:rsid w:val="00D51C1D"/>
    <w:rsid w:val="00D53DB3"/>
    <w:rsid w:val="00D549CE"/>
    <w:rsid w:val="00D5696E"/>
    <w:rsid w:val="00D61AF9"/>
    <w:rsid w:val="00D63E98"/>
    <w:rsid w:val="00D65CB5"/>
    <w:rsid w:val="00D66287"/>
    <w:rsid w:val="00D665BD"/>
    <w:rsid w:val="00D744AA"/>
    <w:rsid w:val="00D76E41"/>
    <w:rsid w:val="00D77087"/>
    <w:rsid w:val="00D8066C"/>
    <w:rsid w:val="00D8183F"/>
    <w:rsid w:val="00D81AED"/>
    <w:rsid w:val="00D83B3B"/>
    <w:rsid w:val="00D84921"/>
    <w:rsid w:val="00D87775"/>
    <w:rsid w:val="00D87DC6"/>
    <w:rsid w:val="00D925AE"/>
    <w:rsid w:val="00D9275F"/>
    <w:rsid w:val="00D93771"/>
    <w:rsid w:val="00D949C9"/>
    <w:rsid w:val="00D95C41"/>
    <w:rsid w:val="00DA14C3"/>
    <w:rsid w:val="00DA4AE6"/>
    <w:rsid w:val="00DA65D6"/>
    <w:rsid w:val="00DA6ECC"/>
    <w:rsid w:val="00DA79F5"/>
    <w:rsid w:val="00DA7B09"/>
    <w:rsid w:val="00DB1B10"/>
    <w:rsid w:val="00DB5B6B"/>
    <w:rsid w:val="00DB710E"/>
    <w:rsid w:val="00DC1477"/>
    <w:rsid w:val="00DC1D70"/>
    <w:rsid w:val="00DC44EC"/>
    <w:rsid w:val="00DC74F1"/>
    <w:rsid w:val="00DD00D7"/>
    <w:rsid w:val="00DD5CB0"/>
    <w:rsid w:val="00DD67E9"/>
    <w:rsid w:val="00DD6F65"/>
    <w:rsid w:val="00DE030A"/>
    <w:rsid w:val="00DE065F"/>
    <w:rsid w:val="00DE23D9"/>
    <w:rsid w:val="00DE34B6"/>
    <w:rsid w:val="00DE737F"/>
    <w:rsid w:val="00DF1FF9"/>
    <w:rsid w:val="00DF27E6"/>
    <w:rsid w:val="00DF3588"/>
    <w:rsid w:val="00DF6F47"/>
    <w:rsid w:val="00E00484"/>
    <w:rsid w:val="00E0260F"/>
    <w:rsid w:val="00E0302B"/>
    <w:rsid w:val="00E04319"/>
    <w:rsid w:val="00E04FD2"/>
    <w:rsid w:val="00E05B19"/>
    <w:rsid w:val="00E06448"/>
    <w:rsid w:val="00E12B78"/>
    <w:rsid w:val="00E1351A"/>
    <w:rsid w:val="00E15A4C"/>
    <w:rsid w:val="00E17885"/>
    <w:rsid w:val="00E17BAE"/>
    <w:rsid w:val="00E21030"/>
    <w:rsid w:val="00E21094"/>
    <w:rsid w:val="00E2464B"/>
    <w:rsid w:val="00E24E42"/>
    <w:rsid w:val="00E24E76"/>
    <w:rsid w:val="00E25637"/>
    <w:rsid w:val="00E25AC6"/>
    <w:rsid w:val="00E27114"/>
    <w:rsid w:val="00E27EC8"/>
    <w:rsid w:val="00E31030"/>
    <w:rsid w:val="00E331FB"/>
    <w:rsid w:val="00E341B4"/>
    <w:rsid w:val="00E36824"/>
    <w:rsid w:val="00E40A56"/>
    <w:rsid w:val="00E40D4C"/>
    <w:rsid w:val="00E42FF0"/>
    <w:rsid w:val="00E43473"/>
    <w:rsid w:val="00E44198"/>
    <w:rsid w:val="00E4677B"/>
    <w:rsid w:val="00E47B0E"/>
    <w:rsid w:val="00E502FA"/>
    <w:rsid w:val="00E53B6B"/>
    <w:rsid w:val="00E55793"/>
    <w:rsid w:val="00E606C4"/>
    <w:rsid w:val="00E63E6C"/>
    <w:rsid w:val="00E65305"/>
    <w:rsid w:val="00E670E2"/>
    <w:rsid w:val="00E6714E"/>
    <w:rsid w:val="00E67859"/>
    <w:rsid w:val="00E710E0"/>
    <w:rsid w:val="00E715CD"/>
    <w:rsid w:val="00E722DB"/>
    <w:rsid w:val="00E760B4"/>
    <w:rsid w:val="00E8366C"/>
    <w:rsid w:val="00E83FFB"/>
    <w:rsid w:val="00E846B8"/>
    <w:rsid w:val="00E85E24"/>
    <w:rsid w:val="00E92347"/>
    <w:rsid w:val="00E96EAE"/>
    <w:rsid w:val="00E97B3B"/>
    <w:rsid w:val="00E97F2F"/>
    <w:rsid w:val="00EA0EB2"/>
    <w:rsid w:val="00EA13D0"/>
    <w:rsid w:val="00EA16F4"/>
    <w:rsid w:val="00EA1F67"/>
    <w:rsid w:val="00EA2A34"/>
    <w:rsid w:val="00EA2E18"/>
    <w:rsid w:val="00EA5941"/>
    <w:rsid w:val="00EA75BF"/>
    <w:rsid w:val="00EB17D5"/>
    <w:rsid w:val="00EB2BB7"/>
    <w:rsid w:val="00EB3259"/>
    <w:rsid w:val="00EB37E9"/>
    <w:rsid w:val="00EB5075"/>
    <w:rsid w:val="00EB5128"/>
    <w:rsid w:val="00EB7CF9"/>
    <w:rsid w:val="00EC0E42"/>
    <w:rsid w:val="00EC11A9"/>
    <w:rsid w:val="00EC1BC7"/>
    <w:rsid w:val="00EC304A"/>
    <w:rsid w:val="00EC4CB5"/>
    <w:rsid w:val="00ED2337"/>
    <w:rsid w:val="00ED406A"/>
    <w:rsid w:val="00ED5CCD"/>
    <w:rsid w:val="00ED6BC5"/>
    <w:rsid w:val="00EE4BFC"/>
    <w:rsid w:val="00EE5C64"/>
    <w:rsid w:val="00EE7374"/>
    <w:rsid w:val="00EF10C2"/>
    <w:rsid w:val="00EF1DD5"/>
    <w:rsid w:val="00EF489C"/>
    <w:rsid w:val="00EF6AD8"/>
    <w:rsid w:val="00F01989"/>
    <w:rsid w:val="00F03488"/>
    <w:rsid w:val="00F058E1"/>
    <w:rsid w:val="00F05AD6"/>
    <w:rsid w:val="00F06820"/>
    <w:rsid w:val="00F07B33"/>
    <w:rsid w:val="00F122B6"/>
    <w:rsid w:val="00F122FF"/>
    <w:rsid w:val="00F127C8"/>
    <w:rsid w:val="00F1502E"/>
    <w:rsid w:val="00F15044"/>
    <w:rsid w:val="00F175E2"/>
    <w:rsid w:val="00F20511"/>
    <w:rsid w:val="00F218B9"/>
    <w:rsid w:val="00F23369"/>
    <w:rsid w:val="00F250AB"/>
    <w:rsid w:val="00F253D5"/>
    <w:rsid w:val="00F27C35"/>
    <w:rsid w:val="00F30F08"/>
    <w:rsid w:val="00F34E1D"/>
    <w:rsid w:val="00F41067"/>
    <w:rsid w:val="00F428B3"/>
    <w:rsid w:val="00F478D0"/>
    <w:rsid w:val="00F51D2E"/>
    <w:rsid w:val="00F530D4"/>
    <w:rsid w:val="00F55439"/>
    <w:rsid w:val="00F55F47"/>
    <w:rsid w:val="00F60F83"/>
    <w:rsid w:val="00F62FDE"/>
    <w:rsid w:val="00F62FEF"/>
    <w:rsid w:val="00F7060D"/>
    <w:rsid w:val="00F718B3"/>
    <w:rsid w:val="00F720D7"/>
    <w:rsid w:val="00F760CB"/>
    <w:rsid w:val="00F76251"/>
    <w:rsid w:val="00F76C8C"/>
    <w:rsid w:val="00F77E18"/>
    <w:rsid w:val="00F802F5"/>
    <w:rsid w:val="00F808AD"/>
    <w:rsid w:val="00F81A46"/>
    <w:rsid w:val="00F81CD0"/>
    <w:rsid w:val="00F84909"/>
    <w:rsid w:val="00F86409"/>
    <w:rsid w:val="00F86B7E"/>
    <w:rsid w:val="00F8703A"/>
    <w:rsid w:val="00F906B9"/>
    <w:rsid w:val="00F90DD8"/>
    <w:rsid w:val="00F92258"/>
    <w:rsid w:val="00F92273"/>
    <w:rsid w:val="00F96DDF"/>
    <w:rsid w:val="00F96E36"/>
    <w:rsid w:val="00F97A9E"/>
    <w:rsid w:val="00FA0B22"/>
    <w:rsid w:val="00FA2EFE"/>
    <w:rsid w:val="00FA3FB3"/>
    <w:rsid w:val="00FB4EDE"/>
    <w:rsid w:val="00FB64FB"/>
    <w:rsid w:val="00FC07D9"/>
    <w:rsid w:val="00FC0E0D"/>
    <w:rsid w:val="00FC1B5C"/>
    <w:rsid w:val="00FC3A0B"/>
    <w:rsid w:val="00FC3AA5"/>
    <w:rsid w:val="00FC3B9C"/>
    <w:rsid w:val="00FC5705"/>
    <w:rsid w:val="00FC5B70"/>
    <w:rsid w:val="00FC5E4F"/>
    <w:rsid w:val="00FC6B58"/>
    <w:rsid w:val="00FC6B71"/>
    <w:rsid w:val="00FD1C71"/>
    <w:rsid w:val="00FD4253"/>
    <w:rsid w:val="00FD43B5"/>
    <w:rsid w:val="00FD5CCD"/>
    <w:rsid w:val="00FD6D50"/>
    <w:rsid w:val="00FE1DBD"/>
    <w:rsid w:val="00FE2F47"/>
    <w:rsid w:val="00FE497F"/>
    <w:rsid w:val="00FE6B0E"/>
    <w:rsid w:val="00FF2573"/>
    <w:rsid w:val="00FF4454"/>
    <w:rsid w:val="00FF73D3"/>
    <w:rsid w:val="00FF7B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B55DC"/>
  <w15:chartTrackingRefBased/>
  <w15:docId w15:val="{ED9B0BBF-B576-4489-8F60-3A13B011A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040D"/>
    <w:pPr>
      <w:ind w:left="720"/>
      <w:contextualSpacing/>
    </w:pPr>
  </w:style>
  <w:style w:type="character" w:styleId="Hyperlink">
    <w:name w:val="Hyperlink"/>
    <w:basedOn w:val="DefaultParagraphFont"/>
    <w:uiPriority w:val="99"/>
    <w:unhideWhenUsed/>
    <w:rsid w:val="00B1252F"/>
    <w:rPr>
      <w:color w:val="0563C1" w:themeColor="hyperlink"/>
      <w:u w:val="single"/>
    </w:rPr>
  </w:style>
  <w:style w:type="character" w:styleId="UnresolvedMention">
    <w:name w:val="Unresolved Mention"/>
    <w:basedOn w:val="DefaultParagraphFont"/>
    <w:uiPriority w:val="99"/>
    <w:semiHidden/>
    <w:unhideWhenUsed/>
    <w:rsid w:val="00B1252F"/>
    <w:rPr>
      <w:color w:val="605E5C"/>
      <w:shd w:val="clear" w:color="auto" w:fill="E1DFDD"/>
    </w:rPr>
  </w:style>
  <w:style w:type="character" w:styleId="FollowedHyperlink">
    <w:name w:val="FollowedHyperlink"/>
    <w:basedOn w:val="DefaultParagraphFont"/>
    <w:uiPriority w:val="99"/>
    <w:semiHidden/>
    <w:unhideWhenUsed/>
    <w:rsid w:val="0047083C"/>
    <w:rPr>
      <w:color w:val="954F72" w:themeColor="followedHyperlink"/>
      <w:u w:val="single"/>
    </w:rPr>
  </w:style>
  <w:style w:type="paragraph" w:styleId="Header">
    <w:name w:val="header"/>
    <w:basedOn w:val="Normal"/>
    <w:link w:val="HeaderChar"/>
    <w:uiPriority w:val="99"/>
    <w:unhideWhenUsed/>
    <w:rsid w:val="000035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3500"/>
  </w:style>
  <w:style w:type="paragraph" w:styleId="Footer">
    <w:name w:val="footer"/>
    <w:basedOn w:val="Normal"/>
    <w:link w:val="FooterChar"/>
    <w:uiPriority w:val="99"/>
    <w:unhideWhenUsed/>
    <w:rsid w:val="000035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35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6450739">
      <w:bodyDiv w:val="1"/>
      <w:marLeft w:val="0"/>
      <w:marRight w:val="0"/>
      <w:marTop w:val="0"/>
      <w:marBottom w:val="0"/>
      <w:divBdr>
        <w:top w:val="none" w:sz="0" w:space="0" w:color="auto"/>
        <w:left w:val="none" w:sz="0" w:space="0" w:color="auto"/>
        <w:bottom w:val="none" w:sz="0" w:space="0" w:color="auto"/>
        <w:right w:val="none" w:sz="0" w:space="0" w:color="auto"/>
      </w:divBdr>
    </w:div>
    <w:div w:id="1770929582">
      <w:bodyDiv w:val="1"/>
      <w:marLeft w:val="0"/>
      <w:marRight w:val="0"/>
      <w:marTop w:val="0"/>
      <w:marBottom w:val="0"/>
      <w:divBdr>
        <w:top w:val="none" w:sz="0" w:space="0" w:color="auto"/>
        <w:left w:val="none" w:sz="0" w:space="0" w:color="auto"/>
        <w:bottom w:val="none" w:sz="0" w:space="0" w:color="auto"/>
        <w:right w:val="none" w:sz="0" w:space="0" w:color="auto"/>
      </w:divBdr>
    </w:div>
    <w:div w:id="1959141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utismwales.org/wp-content/uploads/2020/08/2015_Autism-A-Guide-for-Mainstream-Primary-Schools-ENG.pdf" TargetMode="External"/><Relationship Id="rId13" Type="http://schemas.openxmlformats.org/officeDocument/2006/relationships/hyperlink" Target="https://hwb.gov.wales/api/storage/19bc948b-8a3f-41e0-944a-7bf2cadf7d18/professional-standards-for-teaching-and-leadership-interactive-pdf-for-pc.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4324/9780203838655"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ezproxy.uwtsd.ac.uk/10.1080/13603116.2020.1712622"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doi.org/10.1111/2048-416X.2015.12002.x" TargetMode="External"/><Relationship Id="rId4" Type="http://schemas.openxmlformats.org/officeDocument/2006/relationships/settings" Target="settings.xml"/><Relationship Id="rId9" Type="http://schemas.openxmlformats.org/officeDocument/2006/relationships/hyperlink" Target="https://gov.wales/sites/default/files/publications/2018-03/teaching-tomorrow%E2%80%99s-teachers.pdf" TargetMode="External"/><Relationship Id="rId14" Type="http://schemas.openxmlformats.org/officeDocument/2006/relationships/hyperlink" Target="https://gov.wales/sites/default/files/publications/2021-03/210326-the-additional-learning-needs-code-for-wales-20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4D324C-0C84-4B2B-8BAA-F0310DDDD3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17854</TotalTime>
  <Pages>11</Pages>
  <Words>4439</Words>
  <Characters>25307</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Morgan</dc:creator>
  <cp:keywords/>
  <dc:description/>
  <cp:lastModifiedBy>Amy Morgan</cp:lastModifiedBy>
  <cp:revision>1130</cp:revision>
  <dcterms:created xsi:type="dcterms:W3CDTF">2022-09-30T11:23:00Z</dcterms:created>
  <dcterms:modified xsi:type="dcterms:W3CDTF">2022-11-07T15:55:00Z</dcterms:modified>
</cp:coreProperties>
</file>