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C7957D8" wp14:paraId="5E5787A5" wp14:textId="321DF9F3">
      <w:pPr>
        <w:pStyle w:val="Normal"/>
      </w:pPr>
      <w:r w:rsidR="5A6D22C2">
        <w:drawing>
          <wp:inline xmlns:wp14="http://schemas.microsoft.com/office/word/2010/wordprocessingDrawing" wp14:editId="7A94B653" wp14:anchorId="6E73D53E">
            <wp:extent cx="3343275" cy="1343025"/>
            <wp:effectExtent l="0" t="0" r="0" b="0"/>
            <wp:docPr id="1884204259" name="drawing" title="UWTSD logo | Discover Dylan Thoma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4204259" name="Picture 1884204259"/>
                    <pic:cNvPicPr/>
                  </pic:nvPicPr>
                  <pic:blipFill>
                    <a:blip xmlns:r="http://schemas.openxmlformats.org/officeDocument/2006/relationships" r:embed="rId1157745938">
                      <a:extLst>
                        <a:ext uri="{28A0092B-C50C-407E-A947-70E740481C1C}">
                          <a14:useLocalDpi xmlns:a14="http://schemas.microsoft.com/office/drawing/2010/main"/>
                        </a:ext>
                      </a:extLst>
                    </a:blip>
                    <a:stretch>
                      <a:fillRect/>
                    </a:stretch>
                  </pic:blipFill>
                  <pic:spPr>
                    <a:xfrm>
                      <a:off x="0" y="0"/>
                      <a:ext cx="3343275" cy="1343025"/>
                    </a:xfrm>
                    <a:prstGeom prst="rect">
                      <a:avLst/>
                    </a:prstGeom>
                  </pic:spPr>
                </pic:pic>
              </a:graphicData>
            </a:graphic>
          </wp:inline>
        </w:drawing>
      </w:r>
    </w:p>
    <w:p w:rsidR="5C7957D8" w:rsidP="5C7957D8" w:rsidRDefault="5C7957D8" w14:paraId="33AB6367" w14:textId="7732D9B2">
      <w:pPr>
        <w:pStyle w:val="Normal"/>
      </w:pPr>
    </w:p>
    <w:p w:rsidR="5C7957D8" w:rsidP="5C7957D8" w:rsidRDefault="5C7957D8" w14:paraId="1C8FDF0F" w14:textId="10AF2DDD">
      <w:pPr>
        <w:pStyle w:val="Normal"/>
      </w:pPr>
    </w:p>
    <w:p w:rsidR="5C7957D8" w:rsidP="5C7957D8" w:rsidRDefault="5C7957D8" w14:paraId="290656C5" w14:textId="2CD12EE7">
      <w:pPr>
        <w:pStyle w:val="Normal"/>
      </w:pPr>
    </w:p>
    <w:p w:rsidR="777B4B6D" w:rsidP="5C7957D8" w:rsidRDefault="777B4B6D" w14:paraId="69CECD9E" w14:textId="04784D71">
      <w:pPr>
        <w:pStyle w:val="Normal"/>
      </w:pPr>
      <w:r w:rsidRPr="5C7957D8" w:rsidR="777B4B6D">
        <w:rPr>
          <w:b w:val="1"/>
          <w:bCs w:val="1"/>
          <w:sz w:val="32"/>
          <w:szCs w:val="32"/>
        </w:rPr>
        <w:t>BMHP6029-Psychopath</w:t>
      </w:r>
      <w:r w:rsidRPr="5C7957D8" w:rsidR="6AA66CE6">
        <w:rPr>
          <w:b w:val="1"/>
          <w:bCs w:val="1"/>
          <w:sz w:val="32"/>
          <w:szCs w:val="32"/>
        </w:rPr>
        <w:t>ologica</w:t>
      </w:r>
      <w:r w:rsidRPr="5C7957D8" w:rsidR="63D84E29">
        <w:rPr>
          <w:b w:val="1"/>
          <w:bCs w:val="1"/>
          <w:sz w:val="32"/>
          <w:szCs w:val="32"/>
        </w:rPr>
        <w:t>l Classifications and Provisions</w:t>
      </w:r>
    </w:p>
    <w:p w:rsidR="5C7957D8" w:rsidP="5C7957D8" w:rsidRDefault="5C7957D8" w14:paraId="2C0359FE" w14:textId="7856BCEF">
      <w:pPr>
        <w:pStyle w:val="Normal"/>
        <w:rPr>
          <w:b w:val="1"/>
          <w:bCs w:val="1"/>
          <w:sz w:val="32"/>
          <w:szCs w:val="32"/>
        </w:rPr>
      </w:pPr>
    </w:p>
    <w:p w:rsidR="5C7957D8" w:rsidP="5C7957D8" w:rsidRDefault="5C7957D8" w14:paraId="6D288505" w14:textId="0FADA263">
      <w:pPr>
        <w:pStyle w:val="Normal"/>
        <w:rPr>
          <w:b w:val="1"/>
          <w:bCs w:val="1"/>
          <w:sz w:val="32"/>
          <w:szCs w:val="32"/>
        </w:rPr>
      </w:pPr>
    </w:p>
    <w:p w:rsidR="63D84E29" w:rsidP="5C7957D8" w:rsidRDefault="63D84E29" w14:paraId="3C5AF4CA" w14:textId="17B00F12">
      <w:pPr>
        <w:pStyle w:val="Normal"/>
      </w:pPr>
      <w:r w:rsidRPr="5C7957D8" w:rsidR="63D84E29">
        <w:rPr>
          <w:b w:val="1"/>
          <w:bCs w:val="1"/>
          <w:sz w:val="28"/>
          <w:szCs w:val="28"/>
        </w:rPr>
        <w:t>Component</w:t>
      </w:r>
      <w:r w:rsidRPr="5C7957D8" w:rsidR="63D84E29">
        <w:rPr>
          <w:b w:val="1"/>
          <w:bCs w:val="1"/>
          <w:sz w:val="28"/>
          <w:szCs w:val="28"/>
        </w:rPr>
        <w:t xml:space="preserve"> 2: Written Assignment (Report)</w:t>
      </w:r>
    </w:p>
    <w:p w:rsidR="77240226" w:rsidP="5C7957D8" w:rsidRDefault="77240226" w14:paraId="19DD7EB7" w14:textId="0C34077D">
      <w:pPr>
        <w:pStyle w:val="Normal"/>
      </w:pPr>
      <w:r w:rsidRPr="5C7957D8" w:rsidR="77240226">
        <w:rPr>
          <w:b w:val="1"/>
          <w:bCs w:val="1"/>
          <w:sz w:val="28"/>
          <w:szCs w:val="28"/>
        </w:rPr>
        <w:t>Student name Bernarda Luisa Antonio Candido</w:t>
      </w:r>
    </w:p>
    <w:p w:rsidR="77240226" w:rsidP="5C7957D8" w:rsidRDefault="77240226" w14:paraId="0C4AEDB8" w14:textId="75057C29">
      <w:pPr>
        <w:pStyle w:val="Normal"/>
      </w:pPr>
      <w:r w:rsidRPr="5C7957D8" w:rsidR="77240226">
        <w:rPr>
          <w:b w:val="1"/>
          <w:bCs w:val="1"/>
          <w:sz w:val="28"/>
          <w:szCs w:val="28"/>
        </w:rPr>
        <w:t xml:space="preserve">Student number 2335282 </w:t>
      </w:r>
    </w:p>
    <w:p w:rsidR="5C7957D8" w:rsidP="5C7957D8" w:rsidRDefault="5C7957D8" w14:paraId="33254287" w14:textId="56DBCC24">
      <w:pPr>
        <w:pStyle w:val="Normal"/>
        <w:rPr>
          <w:b w:val="1"/>
          <w:bCs w:val="1"/>
          <w:sz w:val="28"/>
          <w:szCs w:val="28"/>
        </w:rPr>
      </w:pPr>
    </w:p>
    <w:p w:rsidR="5C7957D8" w:rsidP="5C7957D8" w:rsidRDefault="5C7957D8" w14:paraId="197E8BC9" w14:textId="6905BAF0">
      <w:pPr>
        <w:pStyle w:val="Normal"/>
        <w:rPr>
          <w:b w:val="1"/>
          <w:bCs w:val="1"/>
          <w:sz w:val="28"/>
          <w:szCs w:val="28"/>
        </w:rPr>
      </w:pPr>
    </w:p>
    <w:p w:rsidR="5C7957D8" w:rsidP="5C7957D8" w:rsidRDefault="5C7957D8" w14:paraId="59283FF4" w14:textId="45FBF0F7">
      <w:pPr>
        <w:pStyle w:val="Normal"/>
        <w:rPr>
          <w:b w:val="0"/>
          <w:bCs w:val="0"/>
          <w:sz w:val="28"/>
          <w:szCs w:val="28"/>
        </w:rPr>
      </w:pPr>
    </w:p>
    <w:p w:rsidR="5C7957D8" w:rsidRDefault="5C7957D8" w14:paraId="3B6C9880" w14:textId="1474C996">
      <w:r>
        <w:br w:type="page"/>
      </w:r>
    </w:p>
    <w:p w:rsidR="18670D96" w:rsidP="5C7957D8" w:rsidRDefault="18670D96" w14:paraId="6B583718" w14:textId="6FDD0CAF">
      <w:pPr>
        <w:pStyle w:val="Heading2"/>
        <w:spacing w:before="299" w:beforeAutospacing="off" w:after="299" w:afterAutospacing="off"/>
      </w:pPr>
      <w:r w:rsidRPr="5C7957D8" w:rsidR="18670D96">
        <w:rPr>
          <w:rFonts w:ascii="Aptos" w:hAnsi="Aptos" w:eastAsia="Aptos" w:cs="Aptos"/>
          <w:b w:val="1"/>
          <w:bCs w:val="1"/>
          <w:noProof w:val="0"/>
          <w:color w:val="auto"/>
          <w:sz w:val="36"/>
          <w:szCs w:val="36"/>
          <w:lang w:val="en-GB"/>
        </w:rPr>
        <w:t>Introduction</w:t>
      </w:r>
    </w:p>
    <w:p w:rsidR="18670D96" w:rsidP="5C7957D8" w:rsidRDefault="18670D96" w14:paraId="4D097394" w14:textId="02A472CB">
      <w:pPr>
        <w:spacing w:before="240" w:beforeAutospacing="off" w:after="240" w:afterAutospacing="off"/>
      </w:pPr>
      <w:r w:rsidRPr="5C7957D8" w:rsidR="18670D96">
        <w:rPr>
          <w:rFonts w:ascii="Aptos" w:hAnsi="Aptos" w:eastAsia="Aptos" w:cs="Aptos"/>
          <w:noProof w:val="0"/>
          <w:sz w:val="28"/>
          <w:szCs w:val="28"/>
          <w:lang w:val="en-GB"/>
        </w:rPr>
        <w:t xml:space="preserve">Autism spectrum disorder (ASD) is a lifelong neurodevelopmental condition characterised by differences in social communication and social interaction alongside restricted, </w:t>
      </w:r>
      <w:r w:rsidRPr="5C7957D8" w:rsidR="18670D96">
        <w:rPr>
          <w:rFonts w:ascii="Aptos" w:hAnsi="Aptos" w:eastAsia="Aptos" w:cs="Aptos"/>
          <w:noProof w:val="0"/>
          <w:sz w:val="28"/>
          <w:szCs w:val="28"/>
          <w:lang w:val="en-GB"/>
        </w:rPr>
        <w:t>repetitive</w:t>
      </w:r>
      <w:r w:rsidRPr="5C7957D8" w:rsidR="18670D96">
        <w:rPr>
          <w:rFonts w:ascii="Aptos" w:hAnsi="Aptos" w:eastAsia="Aptos" w:cs="Aptos"/>
          <w:noProof w:val="0"/>
          <w:sz w:val="28"/>
          <w:szCs w:val="28"/>
          <w:lang w:val="en-GB"/>
        </w:rPr>
        <w:t xml:space="preserve"> or inflexible patterns of behaviour, </w:t>
      </w:r>
      <w:r w:rsidRPr="5C7957D8" w:rsidR="18670D96">
        <w:rPr>
          <w:rFonts w:ascii="Aptos" w:hAnsi="Aptos" w:eastAsia="Aptos" w:cs="Aptos"/>
          <w:noProof w:val="0"/>
          <w:sz w:val="28"/>
          <w:szCs w:val="28"/>
          <w:lang w:val="en-GB"/>
        </w:rPr>
        <w:t>interests</w:t>
      </w:r>
      <w:r w:rsidRPr="5C7957D8" w:rsidR="18670D96">
        <w:rPr>
          <w:rFonts w:ascii="Aptos" w:hAnsi="Aptos" w:eastAsia="Aptos" w:cs="Aptos"/>
          <w:noProof w:val="0"/>
          <w:sz w:val="28"/>
          <w:szCs w:val="28"/>
          <w:lang w:val="en-GB"/>
        </w:rPr>
        <w:t xml:space="preserve"> or activities. Autism is highly heterogeneous, meaning that autistic individuals can have </w:t>
      </w:r>
      <w:r w:rsidRPr="5C7957D8" w:rsidR="18670D96">
        <w:rPr>
          <w:rFonts w:ascii="Aptos" w:hAnsi="Aptos" w:eastAsia="Aptos" w:cs="Aptos"/>
          <w:noProof w:val="0"/>
          <w:sz w:val="28"/>
          <w:szCs w:val="28"/>
          <w:lang w:val="en-GB"/>
        </w:rPr>
        <w:t>substantially different</w:t>
      </w:r>
      <w:r w:rsidRPr="5C7957D8" w:rsidR="18670D96">
        <w:rPr>
          <w:rFonts w:ascii="Aptos" w:hAnsi="Aptos" w:eastAsia="Aptos" w:cs="Aptos"/>
          <w:noProof w:val="0"/>
          <w:sz w:val="28"/>
          <w:szCs w:val="28"/>
          <w:lang w:val="en-GB"/>
        </w:rPr>
        <w:t xml:space="preserve"> abilities, support </w:t>
      </w:r>
      <w:r w:rsidRPr="5C7957D8" w:rsidR="18670D96">
        <w:rPr>
          <w:rFonts w:ascii="Aptos" w:hAnsi="Aptos" w:eastAsia="Aptos" w:cs="Aptos"/>
          <w:noProof w:val="0"/>
          <w:sz w:val="28"/>
          <w:szCs w:val="28"/>
          <w:lang w:val="en-GB"/>
        </w:rPr>
        <w:t>requirements</w:t>
      </w:r>
      <w:r w:rsidRPr="5C7957D8" w:rsidR="18670D96">
        <w:rPr>
          <w:rFonts w:ascii="Aptos" w:hAnsi="Aptos" w:eastAsia="Aptos" w:cs="Aptos"/>
          <w:noProof w:val="0"/>
          <w:sz w:val="28"/>
          <w:szCs w:val="28"/>
          <w:lang w:val="en-GB"/>
        </w:rPr>
        <w:t xml:space="preserve"> and life experiences. The World Health Organization (WHO) classifies autism within the neurodevelopmental disorders in the International Classification of Diseases, 11th Revision (ICD-11). The classification is intended to provide a consistent framework for diagnosis and service provision while recognising variation in intellectual development and functional language (World Health Organization, 2024). </w:t>
      </w:r>
    </w:p>
    <w:p w:rsidR="5C7957D8" w:rsidP="5C7957D8" w:rsidRDefault="5C7957D8" w14:paraId="6D08E705" w14:textId="429DF879">
      <w:pPr>
        <w:spacing w:before="240" w:beforeAutospacing="off" w:after="240" w:afterAutospacing="off"/>
        <w:rPr>
          <w:rFonts w:ascii="Aptos" w:hAnsi="Aptos" w:eastAsia="Aptos" w:cs="Aptos"/>
          <w:noProof w:val="0"/>
          <w:sz w:val="28"/>
          <w:szCs w:val="28"/>
          <w:lang w:val="en-GB"/>
        </w:rPr>
      </w:pPr>
    </w:p>
    <w:p w:rsidR="1355AB5D" w:rsidP="5C7957D8" w:rsidRDefault="1355AB5D" w14:paraId="763E9AC4" w14:textId="21BF42D3">
      <w:pPr>
        <w:pStyle w:val="Heading2"/>
        <w:spacing w:before="299" w:beforeAutospacing="off" w:after="299" w:afterAutospacing="off"/>
        <w:rPr>
          <w:rFonts w:ascii="Aptos" w:hAnsi="Aptos" w:eastAsia="Aptos" w:cs="Aptos"/>
          <w:b w:val="1"/>
          <w:bCs w:val="1"/>
          <w:noProof w:val="0"/>
          <w:color w:val="auto"/>
          <w:sz w:val="36"/>
          <w:szCs w:val="36"/>
          <w:lang w:val="en-GB"/>
        </w:rPr>
      </w:pPr>
      <w:r w:rsidRPr="5C7957D8" w:rsidR="1355AB5D">
        <w:rPr>
          <w:rFonts w:ascii="Aptos" w:hAnsi="Aptos" w:eastAsia="Aptos" w:cs="Aptos"/>
          <w:b w:val="1"/>
          <w:bCs w:val="1"/>
          <w:noProof w:val="0"/>
          <w:color w:val="auto"/>
          <w:sz w:val="36"/>
          <w:szCs w:val="36"/>
          <w:lang w:val="en-GB"/>
        </w:rPr>
        <w:t>Classification and Diagnosis</w:t>
      </w:r>
    </w:p>
    <w:p w:rsidR="1355AB5D" w:rsidP="5C7957D8" w:rsidRDefault="1355AB5D" w14:paraId="6D5EDDA1" w14:textId="50A0CE5D">
      <w:pPr>
        <w:spacing w:before="240" w:beforeAutospacing="off" w:after="240" w:afterAutospacing="off"/>
      </w:pPr>
      <w:r w:rsidRPr="5C7957D8" w:rsidR="1355AB5D">
        <w:rPr>
          <w:rFonts w:ascii="Aptos" w:hAnsi="Aptos" w:eastAsia="Aptos" w:cs="Aptos"/>
          <w:noProof w:val="0"/>
          <w:sz w:val="28"/>
          <w:szCs w:val="28"/>
          <w:lang w:val="en-GB"/>
        </w:rPr>
        <w:t xml:space="preserve">In ICD-11, autism is classified as </w:t>
      </w:r>
      <w:r w:rsidRPr="5C7957D8" w:rsidR="1355AB5D">
        <w:rPr>
          <w:rFonts w:ascii="Aptos" w:hAnsi="Aptos" w:eastAsia="Aptos" w:cs="Aptos"/>
          <w:b w:val="1"/>
          <w:bCs w:val="1"/>
          <w:noProof w:val="0"/>
          <w:sz w:val="28"/>
          <w:szCs w:val="28"/>
          <w:lang w:val="en-GB"/>
        </w:rPr>
        <w:t>Autism Spectrum Disorder (6A02)</w:t>
      </w:r>
      <w:r w:rsidRPr="5C7957D8" w:rsidR="1355AB5D">
        <w:rPr>
          <w:rFonts w:ascii="Aptos" w:hAnsi="Aptos" w:eastAsia="Aptos" w:cs="Aptos"/>
          <w:noProof w:val="0"/>
          <w:sz w:val="28"/>
          <w:szCs w:val="28"/>
          <w:lang w:val="en-GB"/>
        </w:rPr>
        <w:t xml:space="preserve"> within the chapter on mental, behavioural and neurodevelopmental disorders. The WHO's Clinical Descriptions and Diagnostic Requirements (CDDR) identifies two core domains required for diagnosis. The first concerns persistent difficulties in initiating and sustaining social communication and reciprocal social interaction. The second concerns restricted, repetitive and inflexible patterns of behaviour, interests or activities (World Health Organization, 2024). These characteristics must be outside the expected range for the person's developmental level and must result in significant difficulties in important areas of functioning.</w:t>
      </w:r>
    </w:p>
    <w:p w:rsidR="1355AB5D" w:rsidP="5C7957D8" w:rsidRDefault="1355AB5D" w14:paraId="187E9B26" w14:textId="70B984D3">
      <w:pPr>
        <w:spacing w:before="240" w:beforeAutospacing="off" w:after="240" w:afterAutospacing="off"/>
      </w:pPr>
      <w:r w:rsidRPr="5C7957D8" w:rsidR="1355AB5D">
        <w:rPr>
          <w:rFonts w:ascii="Aptos" w:hAnsi="Aptos" w:eastAsia="Aptos" w:cs="Aptos"/>
          <w:noProof w:val="0"/>
          <w:sz w:val="28"/>
          <w:szCs w:val="28"/>
          <w:lang w:val="en-GB"/>
        </w:rPr>
        <w:t xml:space="preserve">One important development in ICD-11 is its move away from several separate autism-related diagnoses towards a broader spectrum classification. Earlier classifications distinguished conditions such as childhood autism, atypical </w:t>
      </w:r>
      <w:r w:rsidRPr="5C7957D8" w:rsidR="1355AB5D">
        <w:rPr>
          <w:rFonts w:ascii="Aptos" w:hAnsi="Aptos" w:eastAsia="Aptos" w:cs="Aptos"/>
          <w:noProof w:val="0"/>
          <w:sz w:val="28"/>
          <w:szCs w:val="28"/>
          <w:lang w:val="en-GB"/>
        </w:rPr>
        <w:t>autism</w:t>
      </w:r>
      <w:r w:rsidRPr="5C7957D8" w:rsidR="1355AB5D">
        <w:rPr>
          <w:rFonts w:ascii="Aptos" w:hAnsi="Aptos" w:eastAsia="Aptos" w:cs="Aptos"/>
          <w:noProof w:val="0"/>
          <w:sz w:val="28"/>
          <w:szCs w:val="28"/>
          <w:lang w:val="en-GB"/>
        </w:rPr>
        <w:t xml:space="preserve"> and Asperger syndrome. ICD-11 instead places these presentations within the autism spectrum and uses </w:t>
      </w:r>
      <w:r w:rsidRPr="5C7957D8" w:rsidR="1355AB5D">
        <w:rPr>
          <w:rFonts w:ascii="Aptos" w:hAnsi="Aptos" w:eastAsia="Aptos" w:cs="Aptos"/>
          <w:noProof w:val="0"/>
          <w:sz w:val="28"/>
          <w:szCs w:val="28"/>
          <w:lang w:val="en-GB"/>
        </w:rPr>
        <w:t>additional</w:t>
      </w:r>
      <w:r w:rsidRPr="5C7957D8" w:rsidR="1355AB5D">
        <w:rPr>
          <w:rFonts w:ascii="Aptos" w:hAnsi="Aptos" w:eastAsia="Aptos" w:cs="Aptos"/>
          <w:noProof w:val="0"/>
          <w:sz w:val="28"/>
          <w:szCs w:val="28"/>
          <w:lang w:val="en-GB"/>
        </w:rPr>
        <w:t xml:space="preserve"> specifications to describe differences in intellectual development and functional language. The principal categories include autism without a disorder of </w:t>
      </w:r>
      <w:r w:rsidRPr="5C7957D8" w:rsidR="1355AB5D">
        <w:rPr>
          <w:rFonts w:ascii="Aptos" w:hAnsi="Aptos" w:eastAsia="Aptos" w:cs="Aptos"/>
          <w:noProof w:val="0"/>
          <w:sz w:val="28"/>
          <w:szCs w:val="28"/>
          <w:lang w:val="en-GB"/>
        </w:rPr>
        <w:t>intellectual development with mild or no impairment of functional language, autism with a disorder of intellectual development, and categories involving impaired or absent functional language (World Health Organization, 2024). This approach recognises that autism cannot be adequately represented by a single level of severity.</w:t>
      </w:r>
    </w:p>
    <w:p w:rsidR="1355AB5D" w:rsidP="5C7957D8" w:rsidRDefault="1355AB5D" w14:paraId="4C557316" w14:textId="07648997">
      <w:pPr>
        <w:spacing w:before="240" w:beforeAutospacing="off" w:after="240" w:afterAutospacing="off"/>
      </w:pPr>
      <w:r w:rsidRPr="5C7957D8" w:rsidR="1355AB5D">
        <w:rPr>
          <w:rFonts w:ascii="Aptos" w:hAnsi="Aptos" w:eastAsia="Aptos" w:cs="Aptos"/>
          <w:noProof w:val="0"/>
          <w:sz w:val="28"/>
          <w:szCs w:val="28"/>
          <w:lang w:val="en-GB"/>
        </w:rPr>
        <w:t xml:space="preserve">The use of the term </w:t>
      </w:r>
      <w:r w:rsidRPr="5C7957D8" w:rsidR="1355AB5D">
        <w:rPr>
          <w:rFonts w:ascii="Aptos" w:hAnsi="Aptos" w:eastAsia="Aptos" w:cs="Aptos"/>
          <w:b w:val="1"/>
          <w:bCs w:val="1"/>
          <w:noProof w:val="0"/>
          <w:sz w:val="28"/>
          <w:szCs w:val="28"/>
          <w:lang w:val="en-GB"/>
        </w:rPr>
        <w:t>“disorder”</w:t>
      </w:r>
      <w:r w:rsidRPr="5C7957D8" w:rsidR="1355AB5D">
        <w:rPr>
          <w:rFonts w:ascii="Aptos" w:hAnsi="Aptos" w:eastAsia="Aptos" w:cs="Aptos"/>
          <w:noProof w:val="0"/>
          <w:sz w:val="28"/>
          <w:szCs w:val="28"/>
          <w:lang w:val="en-GB"/>
        </w:rPr>
        <w:t xml:space="preserve"> is significant. ICD-11 </w:t>
      </w:r>
      <w:r w:rsidRPr="5C7957D8" w:rsidR="1355AB5D">
        <w:rPr>
          <w:rFonts w:ascii="Aptos" w:hAnsi="Aptos" w:eastAsia="Aptos" w:cs="Aptos"/>
          <w:noProof w:val="0"/>
          <w:sz w:val="28"/>
          <w:szCs w:val="28"/>
          <w:lang w:val="en-GB"/>
        </w:rPr>
        <w:t>remains</w:t>
      </w:r>
      <w:r w:rsidRPr="5C7957D8" w:rsidR="1355AB5D">
        <w:rPr>
          <w:rFonts w:ascii="Aptos" w:hAnsi="Aptos" w:eastAsia="Aptos" w:cs="Aptos"/>
          <w:noProof w:val="0"/>
          <w:sz w:val="28"/>
          <w:szCs w:val="28"/>
          <w:lang w:val="en-GB"/>
        </w:rPr>
        <w:t xml:space="preserve"> a medical classification system and therefore conceptualises autism as a neurodevelopmental disorder rather than solely as a form of human neurological variation. However, the classification also recognises substantial heterogeneity. The use of the term “spectrum” acknowledges that autistic characteristics and support requirements vary </w:t>
      </w:r>
      <w:r w:rsidRPr="5C7957D8" w:rsidR="1355AB5D">
        <w:rPr>
          <w:rFonts w:ascii="Aptos" w:hAnsi="Aptos" w:eastAsia="Aptos" w:cs="Aptos"/>
          <w:noProof w:val="0"/>
          <w:sz w:val="28"/>
          <w:szCs w:val="28"/>
          <w:lang w:val="en-GB"/>
        </w:rPr>
        <w:t>considerably between</w:t>
      </w:r>
      <w:r w:rsidRPr="5C7957D8" w:rsidR="1355AB5D">
        <w:rPr>
          <w:rFonts w:ascii="Aptos" w:hAnsi="Aptos" w:eastAsia="Aptos" w:cs="Aptos"/>
          <w:noProof w:val="0"/>
          <w:sz w:val="28"/>
          <w:szCs w:val="28"/>
          <w:lang w:val="en-GB"/>
        </w:rPr>
        <w:t xml:space="preserve"> individuals. Kamp-Becker (2024) argues that ICD-11 </w:t>
      </w:r>
      <w:r w:rsidRPr="5C7957D8" w:rsidR="1355AB5D">
        <w:rPr>
          <w:rFonts w:ascii="Aptos" w:hAnsi="Aptos" w:eastAsia="Aptos" w:cs="Aptos"/>
          <w:noProof w:val="0"/>
          <w:sz w:val="28"/>
          <w:szCs w:val="28"/>
          <w:lang w:val="en-GB"/>
        </w:rPr>
        <w:t>permits</w:t>
      </w:r>
      <w:r w:rsidRPr="5C7957D8" w:rsidR="1355AB5D">
        <w:rPr>
          <w:rFonts w:ascii="Aptos" w:hAnsi="Aptos" w:eastAsia="Aptos" w:cs="Aptos"/>
          <w:noProof w:val="0"/>
          <w:sz w:val="28"/>
          <w:szCs w:val="28"/>
          <w:lang w:val="en-GB"/>
        </w:rPr>
        <w:t xml:space="preserve"> a particularly diverse range of symptom combinations, which may better reflect the complexity of autism but potentially reduces diagnostic precision. This illustrates an important tension within classification: a system needs sufficient flexibility to </w:t>
      </w:r>
      <w:r w:rsidRPr="5C7957D8" w:rsidR="1355AB5D">
        <w:rPr>
          <w:rFonts w:ascii="Aptos" w:hAnsi="Aptos" w:eastAsia="Aptos" w:cs="Aptos"/>
          <w:noProof w:val="0"/>
          <w:sz w:val="28"/>
          <w:szCs w:val="28"/>
          <w:lang w:val="en-GB"/>
        </w:rPr>
        <w:t>represent</w:t>
      </w:r>
      <w:r w:rsidRPr="5C7957D8" w:rsidR="1355AB5D">
        <w:rPr>
          <w:rFonts w:ascii="Aptos" w:hAnsi="Aptos" w:eastAsia="Aptos" w:cs="Aptos"/>
          <w:noProof w:val="0"/>
          <w:sz w:val="28"/>
          <w:szCs w:val="28"/>
          <w:lang w:val="en-GB"/>
        </w:rPr>
        <w:t xml:space="preserve"> individual differences while </w:t>
      </w:r>
      <w:r w:rsidRPr="5C7957D8" w:rsidR="1355AB5D">
        <w:rPr>
          <w:rFonts w:ascii="Aptos" w:hAnsi="Aptos" w:eastAsia="Aptos" w:cs="Aptos"/>
          <w:noProof w:val="0"/>
          <w:sz w:val="28"/>
          <w:szCs w:val="28"/>
          <w:lang w:val="en-GB"/>
        </w:rPr>
        <w:t>retaining</w:t>
      </w:r>
      <w:r w:rsidRPr="5C7957D8" w:rsidR="1355AB5D">
        <w:rPr>
          <w:rFonts w:ascii="Aptos" w:hAnsi="Aptos" w:eastAsia="Aptos" w:cs="Aptos"/>
          <w:noProof w:val="0"/>
          <w:sz w:val="28"/>
          <w:szCs w:val="28"/>
          <w:lang w:val="en-GB"/>
        </w:rPr>
        <w:t xml:space="preserve"> sufficient reliability to distinguish autism from other developmental or psychiatric conditions. </w:t>
      </w:r>
    </w:p>
    <w:p w:rsidR="1355AB5D" w:rsidP="5C7957D8" w:rsidRDefault="1355AB5D" w14:paraId="0C6678E2" w14:textId="0882DA02">
      <w:pPr>
        <w:spacing w:before="240" w:beforeAutospacing="off" w:after="240" w:afterAutospacing="off"/>
      </w:pPr>
      <w:r w:rsidRPr="5C7957D8" w:rsidR="1355AB5D">
        <w:rPr>
          <w:rFonts w:ascii="Aptos" w:hAnsi="Aptos" w:eastAsia="Aptos" w:cs="Aptos"/>
          <w:noProof w:val="0"/>
          <w:sz w:val="28"/>
          <w:szCs w:val="28"/>
          <w:lang w:val="en-GB"/>
        </w:rPr>
        <w:t>Diagnosis should therefore not be based on a single questionnaire or behavioural observation. NICE (2021a) recommends a comprehensive assessment for adults suspected of being autistic. Screening instruments such as the Autism-Spectrum Quotient-10 may contribute to identification, but a positive screening result does not itself establish a diagnosis. Assessment should consider developmental history, current functioning, social communication, restricted or repetitive behaviours and relevant differential diagnoses (NICE, 2021a). Information from family members or other people who know the individual may also be valuable, particularly where developmental information is difficult for the individual to provide.</w:t>
      </w:r>
    </w:p>
    <w:p w:rsidR="1355AB5D" w:rsidP="5C7957D8" w:rsidRDefault="1355AB5D" w14:paraId="67011F6D" w14:textId="0E973311">
      <w:pPr>
        <w:spacing w:before="240" w:beforeAutospacing="off" w:after="240" w:afterAutospacing="off"/>
      </w:pPr>
      <w:r w:rsidRPr="5C7957D8" w:rsidR="1355AB5D">
        <w:rPr>
          <w:rFonts w:ascii="Aptos" w:hAnsi="Aptos" w:eastAsia="Aptos" w:cs="Aptos"/>
          <w:noProof w:val="0"/>
          <w:sz w:val="28"/>
          <w:szCs w:val="28"/>
          <w:lang w:val="en-GB"/>
        </w:rPr>
        <w:t>A major strength of this approach is that autism is understood developmentally and contextually rather than being reduced to a numerical test score. Nevertheless, diagnosis can remain subjective because clinicians must interpret behaviour against developmental and cultural expectations. Differences in communication style, gender presentation, intellectual ability and social environment may influence whether autistic characteristics are recognised. NICE (2021a) acknowledges that autism can be expressed differently across the lifespan and that access to diagnostic assessment remains problematic for some adults.</w:t>
      </w:r>
    </w:p>
    <w:p w:rsidR="1355AB5D" w:rsidP="5C7957D8" w:rsidRDefault="1355AB5D" w14:paraId="03E87BC9" w14:textId="08B14058">
      <w:pPr>
        <w:spacing w:before="240" w:beforeAutospacing="off" w:after="240" w:afterAutospacing="off"/>
      </w:pPr>
      <w:r w:rsidRPr="5C7957D8" w:rsidR="1355AB5D">
        <w:rPr>
          <w:rFonts w:ascii="Aptos" w:hAnsi="Aptos" w:eastAsia="Aptos" w:cs="Aptos"/>
          <w:noProof w:val="0"/>
          <w:sz w:val="28"/>
          <w:szCs w:val="28"/>
          <w:lang w:val="en-GB"/>
        </w:rPr>
        <w:t xml:space="preserve">The issue of </w:t>
      </w:r>
      <w:r w:rsidRPr="5C7957D8" w:rsidR="1355AB5D">
        <w:rPr>
          <w:rFonts w:ascii="Aptos" w:hAnsi="Aptos" w:eastAsia="Aptos" w:cs="Aptos"/>
          <w:b w:val="1"/>
          <w:bCs w:val="1"/>
          <w:noProof w:val="0"/>
          <w:sz w:val="28"/>
          <w:szCs w:val="28"/>
          <w:lang w:val="en-GB"/>
        </w:rPr>
        <w:t>camouflaging</w:t>
      </w:r>
      <w:r w:rsidRPr="5C7957D8" w:rsidR="1355AB5D">
        <w:rPr>
          <w:rFonts w:ascii="Aptos" w:hAnsi="Aptos" w:eastAsia="Aptos" w:cs="Aptos"/>
          <w:noProof w:val="0"/>
          <w:sz w:val="28"/>
          <w:szCs w:val="28"/>
          <w:lang w:val="en-GB"/>
        </w:rPr>
        <w:t xml:space="preserve"> further complicates diagnosis. Camouflaging refers to strategies through which autistic individuals consciously or unconsciously suppress or compensate for autistic characteristics in social situations. Research indicates that camouflaging can contribute to discrepancies between external behaviour and internal experience and may be particularly relevant to later diagnosis (Cook et al., 2021). McQuaid, Lee and Wallace (2022) found that autistic females reported greater camouflaging than males and that adults diagnosed later showed greater levels of some forms of camouflaging. Consequently, diagnostic systems that rely heavily on observable behaviour may fail to identify some individuals whose autistic characteristics are less visible.</w:t>
      </w:r>
    </w:p>
    <w:p w:rsidR="1355AB5D" w:rsidP="5C7957D8" w:rsidRDefault="1355AB5D" w14:paraId="60D4F1FE" w14:textId="277D1E30">
      <w:pPr>
        <w:pStyle w:val="Heading2"/>
        <w:spacing w:before="299" w:beforeAutospacing="off" w:after="299" w:afterAutospacing="off"/>
        <w:rPr>
          <w:rFonts w:ascii="Aptos" w:hAnsi="Aptos" w:eastAsia="Aptos" w:cs="Aptos"/>
          <w:b w:val="1"/>
          <w:bCs w:val="1"/>
          <w:noProof w:val="0"/>
          <w:color w:val="auto"/>
          <w:sz w:val="36"/>
          <w:szCs w:val="36"/>
          <w:lang w:val="en-GB"/>
        </w:rPr>
      </w:pPr>
      <w:r w:rsidRPr="5C7957D8" w:rsidR="1355AB5D">
        <w:rPr>
          <w:rFonts w:ascii="Aptos" w:hAnsi="Aptos" w:eastAsia="Aptos" w:cs="Aptos"/>
          <w:b w:val="1"/>
          <w:bCs w:val="1"/>
          <w:noProof w:val="0"/>
          <w:sz w:val="36"/>
          <w:szCs w:val="36"/>
          <w:lang w:val="en-GB"/>
        </w:rPr>
        <w:t xml:space="preserve"> </w:t>
      </w:r>
      <w:r w:rsidRPr="5C7957D8" w:rsidR="1355AB5D">
        <w:rPr>
          <w:rFonts w:ascii="Aptos" w:hAnsi="Aptos" w:eastAsia="Aptos" w:cs="Aptos"/>
          <w:b w:val="1"/>
          <w:bCs w:val="1"/>
          <w:noProof w:val="0"/>
          <w:color w:val="auto"/>
          <w:sz w:val="36"/>
          <w:szCs w:val="36"/>
          <w:lang w:val="en-GB"/>
        </w:rPr>
        <w:t>Treatment and Rehabilitation</w:t>
      </w:r>
    </w:p>
    <w:p w:rsidR="1355AB5D" w:rsidP="5C7957D8" w:rsidRDefault="1355AB5D" w14:paraId="1DE53F1F" w14:textId="66C80D7B">
      <w:pPr>
        <w:spacing w:before="240" w:beforeAutospacing="off" w:after="240" w:afterAutospacing="off"/>
      </w:pPr>
      <w:r w:rsidRPr="5C7957D8" w:rsidR="1355AB5D">
        <w:rPr>
          <w:rFonts w:ascii="Aptos" w:hAnsi="Aptos" w:eastAsia="Aptos" w:cs="Aptos"/>
          <w:noProof w:val="0"/>
          <w:sz w:val="28"/>
          <w:szCs w:val="28"/>
          <w:lang w:val="en-GB"/>
        </w:rPr>
        <w:t xml:space="preserve">There is no treatment that removes autism, and describing autism as something that requires a “cure” can be problematic. NICE (2013) explicitly notes that claims of a cure for autism are unfounded. Instead, intervention should focus on improving quality of life, communication, adaptive </w:t>
      </w:r>
      <w:r w:rsidRPr="5C7957D8" w:rsidR="1355AB5D">
        <w:rPr>
          <w:rFonts w:ascii="Aptos" w:hAnsi="Aptos" w:eastAsia="Aptos" w:cs="Aptos"/>
          <w:noProof w:val="0"/>
          <w:sz w:val="28"/>
          <w:szCs w:val="28"/>
          <w:lang w:val="en-GB"/>
        </w:rPr>
        <w:t>functioning</w:t>
      </w:r>
      <w:r w:rsidRPr="5C7957D8" w:rsidR="1355AB5D">
        <w:rPr>
          <w:rFonts w:ascii="Aptos" w:hAnsi="Aptos" w:eastAsia="Aptos" w:cs="Aptos"/>
          <w:noProof w:val="0"/>
          <w:sz w:val="28"/>
          <w:szCs w:val="28"/>
          <w:lang w:val="en-GB"/>
        </w:rPr>
        <w:t xml:space="preserve"> and participation, while addressing co-occurring conditions and individual </w:t>
      </w:r>
      <w:r w:rsidRPr="5C7957D8" w:rsidR="35AC491B">
        <w:rPr>
          <w:rFonts w:ascii="Aptos" w:hAnsi="Aptos" w:eastAsia="Aptos" w:cs="Aptos"/>
          <w:noProof w:val="0"/>
          <w:sz w:val="28"/>
          <w:szCs w:val="28"/>
          <w:lang w:val="en-GB"/>
        </w:rPr>
        <w:t>support needs.</w:t>
      </w:r>
    </w:p>
    <w:p w:rsidR="4E39CFE2" w:rsidP="5C7957D8" w:rsidRDefault="4E39CFE2" w14:paraId="42DBC75C" w14:textId="2A9EB0ED">
      <w:pPr>
        <w:spacing w:before="240" w:beforeAutospacing="off" w:after="240" w:afterAutospacing="off"/>
      </w:pPr>
      <w:r w:rsidRPr="5C7957D8" w:rsidR="4E39CFE2">
        <w:rPr>
          <w:rFonts w:ascii="Aptos" w:hAnsi="Aptos" w:eastAsia="Aptos" w:cs="Aptos"/>
          <w:noProof w:val="0"/>
          <w:sz w:val="28"/>
          <w:szCs w:val="28"/>
          <w:lang w:val="en-GB"/>
        </w:rPr>
        <w:t>For children and young people, NICE (2021b) recommends appropriately adapted psychosocial interventions addressing social communication. These may involve play-based approaches, parents, carers, teachers and peers. The emphasis is on increasing communication and reciprocal interaction while adapting interventions to developmental level. This is preferable to assuming that one intervention can be applied uniformly to all autistic people.</w:t>
      </w:r>
    </w:p>
    <w:p w:rsidR="4E39CFE2" w:rsidP="5C7957D8" w:rsidRDefault="4E39CFE2" w14:paraId="14FF6005" w14:textId="3AD70CE1">
      <w:pPr>
        <w:spacing w:before="240" w:beforeAutospacing="off" w:after="240" w:afterAutospacing="off"/>
      </w:pPr>
      <w:r w:rsidRPr="5C7957D8" w:rsidR="4E39CFE2">
        <w:rPr>
          <w:rFonts w:ascii="Aptos" w:hAnsi="Aptos" w:eastAsia="Aptos" w:cs="Aptos"/>
          <w:noProof w:val="0"/>
          <w:sz w:val="28"/>
          <w:szCs w:val="28"/>
          <w:lang w:val="en-GB"/>
        </w:rPr>
        <w:t>Evidence concerning early interventions is nevertheless mixed. Sandbank et al. (2023), in an updated systematic review and meta-analysis of early childhood autism interventions, found evidence of benefits for some developmental outcomes, but also highlighted limitations within the evidence base. Differences in intervention models, outcome measures, participant characteristics and methodological quality make it difficult to conclude that one intervention is universally superior. Consequently, treatment effectiveness should be evaluated in relation to individual goals rather than assuming that changes in autism characteristics necessarily represent improvements in wellbeing.</w:t>
      </w:r>
    </w:p>
    <w:p w:rsidR="4E39CFE2" w:rsidP="5C7957D8" w:rsidRDefault="4E39CFE2" w14:paraId="6AC7BFB2" w14:textId="6801890C">
      <w:pPr>
        <w:spacing w:before="240" w:beforeAutospacing="off" w:after="240" w:afterAutospacing="off"/>
      </w:pPr>
      <w:r w:rsidRPr="5C7957D8" w:rsidR="4E39CFE2">
        <w:rPr>
          <w:rFonts w:ascii="Aptos" w:hAnsi="Aptos" w:eastAsia="Aptos" w:cs="Aptos"/>
          <w:noProof w:val="0"/>
          <w:sz w:val="28"/>
          <w:szCs w:val="28"/>
          <w:lang w:val="en-GB"/>
        </w:rPr>
        <w:t>For adults, NICE (2021a) recommends that interventions should be based on individual needs and may include support for social functioning, employment, relationships and mental health. Psychological therapies may require adaptation to accommodate autistic communication and cognitive styles. Treatment of co-occurring conditions such as anxiety or depression is particularly important because these can substantially affect quality of life.</w:t>
      </w:r>
    </w:p>
    <w:p w:rsidR="4E39CFE2" w:rsidP="5C7957D8" w:rsidRDefault="4E39CFE2" w14:paraId="000BAD17" w14:textId="379A24FD">
      <w:pPr>
        <w:spacing w:before="240" w:beforeAutospacing="off" w:after="240" w:afterAutospacing="off"/>
      </w:pPr>
      <w:r w:rsidRPr="5C7957D8" w:rsidR="4E39CFE2">
        <w:rPr>
          <w:rFonts w:ascii="Aptos" w:hAnsi="Aptos" w:eastAsia="Aptos" w:cs="Aptos"/>
          <w:noProof w:val="0"/>
          <w:sz w:val="28"/>
          <w:szCs w:val="28"/>
          <w:lang w:val="en-GB"/>
        </w:rPr>
        <w:t>Medication does not treat the core features of autism. Instead, pharmacological treatment may be appropriate for some associated problems, such as severe anxiety, depression, sleep difficulties or behaviour that challenges, depending on the circumstances. NICE (2021b) recommends against using antipsychotics, antidepressants or anticonvulsants specifically to manage the core features of autism in children and young people. This distinction is important because treating autism itself and treating difficulties experienced by an autistic person are not necessarily the same objective.</w:t>
      </w:r>
    </w:p>
    <w:p w:rsidR="4E39CFE2" w:rsidP="5C7957D8" w:rsidRDefault="4E39CFE2" w14:paraId="51AE00CF" w14:textId="66215105">
      <w:pPr>
        <w:spacing w:before="240" w:beforeAutospacing="off" w:after="240" w:afterAutospacing="off"/>
      </w:pPr>
      <w:r w:rsidRPr="5C7957D8" w:rsidR="4E39CFE2">
        <w:rPr>
          <w:rFonts w:ascii="Aptos" w:hAnsi="Aptos" w:eastAsia="Aptos" w:cs="Aptos"/>
          <w:noProof w:val="0"/>
          <w:sz w:val="28"/>
          <w:szCs w:val="28"/>
          <w:lang w:val="en-GB"/>
        </w:rPr>
        <w:t xml:space="preserve">Rehabilitation should therefore be understood broadly. It can include development of communication and daily living skills, educational support, occupational support, employment </w:t>
      </w:r>
      <w:r w:rsidRPr="5C7957D8" w:rsidR="4E39CFE2">
        <w:rPr>
          <w:rFonts w:ascii="Aptos" w:hAnsi="Aptos" w:eastAsia="Aptos" w:cs="Aptos"/>
          <w:noProof w:val="0"/>
          <w:sz w:val="28"/>
          <w:szCs w:val="28"/>
          <w:lang w:val="en-GB"/>
        </w:rPr>
        <w:t>assistance</w:t>
      </w:r>
      <w:r w:rsidRPr="5C7957D8" w:rsidR="4E39CFE2">
        <w:rPr>
          <w:rFonts w:ascii="Aptos" w:hAnsi="Aptos" w:eastAsia="Aptos" w:cs="Aptos"/>
          <w:noProof w:val="0"/>
          <w:sz w:val="28"/>
          <w:szCs w:val="28"/>
          <w:lang w:val="en-GB"/>
        </w:rPr>
        <w:t xml:space="preserve">, environmental </w:t>
      </w:r>
      <w:r w:rsidRPr="5C7957D8" w:rsidR="4E39CFE2">
        <w:rPr>
          <w:rFonts w:ascii="Aptos" w:hAnsi="Aptos" w:eastAsia="Aptos" w:cs="Aptos"/>
          <w:noProof w:val="0"/>
          <w:sz w:val="28"/>
          <w:szCs w:val="28"/>
          <w:lang w:val="en-GB"/>
        </w:rPr>
        <w:t>adaptations</w:t>
      </w:r>
      <w:r w:rsidRPr="5C7957D8" w:rsidR="4E39CFE2">
        <w:rPr>
          <w:rFonts w:ascii="Aptos" w:hAnsi="Aptos" w:eastAsia="Aptos" w:cs="Aptos"/>
          <w:noProof w:val="0"/>
          <w:sz w:val="28"/>
          <w:szCs w:val="28"/>
          <w:lang w:val="en-GB"/>
        </w:rPr>
        <w:t xml:space="preserve"> and </w:t>
      </w:r>
      <w:r w:rsidRPr="5C7957D8" w:rsidR="4E39CFE2">
        <w:rPr>
          <w:rFonts w:ascii="Aptos" w:hAnsi="Aptos" w:eastAsia="Aptos" w:cs="Aptos"/>
          <w:noProof w:val="0"/>
          <w:sz w:val="28"/>
          <w:szCs w:val="28"/>
          <w:lang w:val="en-GB"/>
        </w:rPr>
        <w:t>assistance</w:t>
      </w:r>
      <w:r w:rsidRPr="5C7957D8" w:rsidR="4E39CFE2">
        <w:rPr>
          <w:rFonts w:ascii="Aptos" w:hAnsi="Aptos" w:eastAsia="Aptos" w:cs="Aptos"/>
          <w:noProof w:val="0"/>
          <w:sz w:val="28"/>
          <w:szCs w:val="28"/>
          <w:lang w:val="en-GB"/>
        </w:rPr>
        <w:t xml:space="preserve"> with community participation. NICE (2021b) recommends support for adaptive skills, access to </w:t>
      </w:r>
      <w:r w:rsidRPr="5C7957D8" w:rsidR="4E39CFE2">
        <w:rPr>
          <w:rFonts w:ascii="Aptos" w:hAnsi="Aptos" w:eastAsia="Aptos" w:cs="Aptos"/>
          <w:noProof w:val="0"/>
          <w:sz w:val="28"/>
          <w:szCs w:val="28"/>
          <w:lang w:val="en-GB"/>
        </w:rPr>
        <w:t>education and employment, and preparation for transition between child and adult services. Such approaches recognise that disability may arise not only from individual characteristics but also from barriers within the environment.</w:t>
      </w:r>
    </w:p>
    <w:p w:rsidR="4E39CFE2" w:rsidP="5C7957D8" w:rsidRDefault="4E39CFE2" w14:paraId="17788543" w14:textId="7822B2EE">
      <w:pPr>
        <w:spacing w:before="240" w:beforeAutospacing="off" w:after="240" w:afterAutospacing="off"/>
      </w:pPr>
      <w:r w:rsidRPr="5C7957D8" w:rsidR="4E39CFE2">
        <w:rPr>
          <w:rFonts w:ascii="Aptos" w:hAnsi="Aptos" w:eastAsia="Aptos" w:cs="Aptos"/>
          <w:noProof w:val="0"/>
          <w:sz w:val="28"/>
          <w:szCs w:val="28"/>
          <w:lang w:val="en-GB"/>
        </w:rPr>
        <w:t>However, rehabilitation can become problematic if its primary purpose is to make autistic people appear less autistic. Interventions that focus excessively on conformity may encourage camouflaging and potentially undermine wellbeing. The effectiveness of rehabilitation should consequently be measured using outcomes such as autonomy, participation, communication, relationships and quality of life, rather than solely measuring reductions in behaviours considered atypical.</w:t>
      </w:r>
    </w:p>
    <w:p w:rsidR="06A7D3DF" w:rsidP="5C7957D8" w:rsidRDefault="06A7D3DF" w14:paraId="35F49E61" w14:textId="123F891E">
      <w:pPr>
        <w:pStyle w:val="Heading2"/>
        <w:spacing w:before="299" w:beforeAutospacing="off" w:after="299" w:afterAutospacing="off"/>
        <w:rPr>
          <w:rFonts w:ascii="Aptos" w:hAnsi="Aptos" w:eastAsia="Aptos" w:cs="Aptos"/>
          <w:b w:val="1"/>
          <w:bCs w:val="1"/>
          <w:noProof w:val="0"/>
          <w:color w:val="auto"/>
          <w:sz w:val="36"/>
          <w:szCs w:val="36"/>
          <w:lang w:val="en-GB"/>
        </w:rPr>
      </w:pPr>
      <w:r w:rsidRPr="5C7957D8" w:rsidR="06A7D3DF">
        <w:rPr>
          <w:rFonts w:ascii="Aptos" w:hAnsi="Aptos" w:eastAsia="Aptos" w:cs="Aptos"/>
          <w:b w:val="1"/>
          <w:bCs w:val="1"/>
          <w:noProof w:val="0"/>
          <w:sz w:val="36"/>
          <w:szCs w:val="36"/>
          <w:lang w:val="en-GB"/>
        </w:rPr>
        <w:t xml:space="preserve"> </w:t>
      </w:r>
      <w:r w:rsidRPr="5C7957D8" w:rsidR="06A7D3DF">
        <w:rPr>
          <w:rFonts w:ascii="Aptos" w:hAnsi="Aptos" w:eastAsia="Aptos" w:cs="Aptos"/>
          <w:b w:val="1"/>
          <w:bCs w:val="1"/>
          <w:noProof w:val="0"/>
          <w:color w:val="auto"/>
          <w:sz w:val="36"/>
          <w:szCs w:val="36"/>
          <w:lang w:val="en-GB"/>
        </w:rPr>
        <w:t>Current Debates and Emerging Issues</w:t>
      </w:r>
    </w:p>
    <w:p w:rsidR="06A7D3DF" w:rsidP="5C7957D8" w:rsidRDefault="06A7D3DF" w14:paraId="1E35AD6F" w14:textId="7D2D2EA4">
      <w:pPr>
        <w:spacing w:before="240" w:beforeAutospacing="off" w:after="240" w:afterAutospacing="off"/>
      </w:pPr>
      <w:r w:rsidRPr="5C7957D8" w:rsidR="06A7D3DF">
        <w:rPr>
          <w:rFonts w:ascii="Aptos" w:hAnsi="Aptos" w:eastAsia="Aptos" w:cs="Aptos"/>
          <w:noProof w:val="0"/>
          <w:sz w:val="28"/>
          <w:szCs w:val="28"/>
          <w:lang w:val="en-GB"/>
        </w:rPr>
        <w:t xml:space="preserve">One of the most important contemporary debates concerns the </w:t>
      </w:r>
      <w:r w:rsidRPr="5C7957D8" w:rsidR="06A7D3DF">
        <w:rPr>
          <w:rFonts w:ascii="Aptos" w:hAnsi="Aptos" w:eastAsia="Aptos" w:cs="Aptos"/>
          <w:b w:val="1"/>
          <w:bCs w:val="1"/>
          <w:noProof w:val="0"/>
          <w:sz w:val="28"/>
          <w:szCs w:val="28"/>
          <w:lang w:val="en-GB"/>
        </w:rPr>
        <w:t>neurodiversity paradigm</w:t>
      </w:r>
      <w:r w:rsidRPr="5C7957D8" w:rsidR="06A7D3DF">
        <w:rPr>
          <w:rFonts w:ascii="Aptos" w:hAnsi="Aptos" w:eastAsia="Aptos" w:cs="Aptos"/>
          <w:noProof w:val="0"/>
          <w:sz w:val="28"/>
          <w:szCs w:val="28"/>
          <w:lang w:val="en-GB"/>
        </w:rPr>
        <w:t>. Neurodiversity challenges the assumption that neurological differences should automatically be conceptualised as pathological. From this perspective, autism can be understood partly as a natural variation in human neurocognitive functioning, while disability may be intensified by social, environmental and attitudinal barriers.</w:t>
      </w:r>
    </w:p>
    <w:p w:rsidR="06A7D3DF" w:rsidP="5C7957D8" w:rsidRDefault="06A7D3DF" w14:paraId="22AB0BB9" w14:textId="3BF5BBDE">
      <w:pPr>
        <w:spacing w:before="240" w:beforeAutospacing="off" w:after="240" w:afterAutospacing="off"/>
      </w:pPr>
      <w:r w:rsidRPr="5C7957D8" w:rsidR="06A7D3DF">
        <w:rPr>
          <w:rFonts w:ascii="Aptos" w:hAnsi="Aptos" w:eastAsia="Aptos" w:cs="Aptos"/>
          <w:noProof w:val="0"/>
          <w:sz w:val="28"/>
          <w:szCs w:val="28"/>
          <w:lang w:val="en-GB"/>
        </w:rPr>
        <w:t>The neurodiversity perspective has important implications for classification. It questions whether describing autism as a “disorder” adequately captures autistic identity and strengths. However, rejecting the medical model entirely can also create difficulties. Chapman (2020) argues that autism is highly heterogeneous and that some autistic experiences can involve significant impairment that cannot be explained solely by social discrimination. Therefore, a purely social or identity-based conceptualisation may fail to recognise individuals who require substantial clinical, educational or social support.</w:t>
      </w:r>
    </w:p>
    <w:p w:rsidR="06A7D3DF" w:rsidP="5C7957D8" w:rsidRDefault="06A7D3DF" w14:paraId="44467D27" w14:textId="6DA97E3E">
      <w:pPr>
        <w:spacing w:before="240" w:beforeAutospacing="off" w:after="240" w:afterAutospacing="off"/>
      </w:pPr>
      <w:r w:rsidRPr="5C7957D8" w:rsidR="06A7D3DF">
        <w:rPr>
          <w:rFonts w:ascii="Aptos" w:hAnsi="Aptos" w:eastAsia="Aptos" w:cs="Aptos"/>
          <w:noProof w:val="0"/>
          <w:sz w:val="28"/>
          <w:szCs w:val="28"/>
          <w:lang w:val="en-GB"/>
        </w:rPr>
        <w:t>A more appropriate approach may therefore involve combining medical, biopsychosocial and neurodiversity perspectives. ICD-11 can provide a framework for identifying clinically significant support needs while practitioners can simultaneously recognise autistic identity, strengths and preferences. Classification should describe a person's support requirements rather than defining the person's value or potential.</w:t>
      </w:r>
    </w:p>
    <w:p w:rsidR="06A7D3DF" w:rsidP="5C7957D8" w:rsidRDefault="06A7D3DF" w14:paraId="53596C8C" w14:textId="1C8D3D8C">
      <w:pPr>
        <w:spacing w:before="240" w:beforeAutospacing="off" w:after="240" w:afterAutospacing="off"/>
      </w:pPr>
      <w:r w:rsidRPr="5C7957D8" w:rsidR="06A7D3DF">
        <w:rPr>
          <w:rFonts w:ascii="Aptos" w:hAnsi="Aptos" w:eastAsia="Aptos" w:cs="Aptos"/>
          <w:noProof w:val="0"/>
          <w:sz w:val="28"/>
          <w:szCs w:val="28"/>
          <w:lang w:val="en-GB"/>
        </w:rPr>
        <w:t xml:space="preserve">Another significant debate concerns </w:t>
      </w:r>
      <w:r w:rsidRPr="5C7957D8" w:rsidR="06A7D3DF">
        <w:rPr>
          <w:rFonts w:ascii="Aptos" w:hAnsi="Aptos" w:eastAsia="Aptos" w:cs="Aptos"/>
          <w:b w:val="1"/>
          <w:bCs w:val="1"/>
          <w:noProof w:val="0"/>
          <w:sz w:val="28"/>
          <w:szCs w:val="28"/>
          <w:lang w:val="en-GB"/>
        </w:rPr>
        <w:t>gender and diagnostic inequality</w:t>
      </w:r>
      <w:r w:rsidRPr="5C7957D8" w:rsidR="06A7D3DF">
        <w:rPr>
          <w:rFonts w:ascii="Aptos" w:hAnsi="Aptos" w:eastAsia="Aptos" w:cs="Aptos"/>
          <w:noProof w:val="0"/>
          <w:sz w:val="28"/>
          <w:szCs w:val="28"/>
          <w:lang w:val="en-GB"/>
        </w:rPr>
        <w:t>. Autism has historically been associated with male presentations, potentially contributing to under-recognition among girls and women. Research suggests that autistic females may camouflage social and communication differences more frequently than males (Tubío-Fungueiriño et al., 2021). Camouflaging can make autistic characteristics less visible during assessment. Cook et al. (2021) found that greater self-reported camouflaging was associated with poorer mental health outcomes across the literature, although they also highlighted limitations in the evidence base.</w:t>
      </w:r>
    </w:p>
    <w:p w:rsidR="06A7D3DF" w:rsidP="5C7957D8" w:rsidRDefault="06A7D3DF" w14:paraId="195A521C" w14:textId="173BDA0C">
      <w:pPr>
        <w:spacing w:before="240" w:beforeAutospacing="off" w:after="240" w:afterAutospacing="off"/>
      </w:pPr>
      <w:r w:rsidRPr="5C7957D8" w:rsidR="06A7D3DF">
        <w:rPr>
          <w:rFonts w:ascii="Aptos" w:hAnsi="Aptos" w:eastAsia="Aptos" w:cs="Aptos"/>
          <w:noProof w:val="0"/>
          <w:sz w:val="28"/>
          <w:szCs w:val="28"/>
          <w:lang w:val="en-GB"/>
        </w:rPr>
        <w:t>This raises questions about whether existing diagnostic processes adequately recognise the diversity of autistic presentation. A diagnostic assessment that focuses too heavily on stereotypical behavioural characteristics may disadvantage individuals who have developed effective compensatory strategies. The challenge is therefore not necessarily to create separate diagnostic criteria for every demographic group but to improve clinicians' understanding of different presentations.</w:t>
      </w:r>
    </w:p>
    <w:p w:rsidR="0265E842" w:rsidP="5C7957D8" w:rsidRDefault="0265E842" w14:paraId="4D09F0CB" w14:textId="5526BAF5">
      <w:pPr>
        <w:spacing w:before="240" w:beforeAutospacing="off" w:after="240" w:afterAutospacing="off"/>
      </w:pPr>
      <w:r w:rsidRPr="5C7957D8" w:rsidR="0265E842">
        <w:rPr>
          <w:rFonts w:ascii="Aptos" w:hAnsi="Aptos" w:eastAsia="Aptos" w:cs="Aptos"/>
          <w:noProof w:val="0"/>
          <w:sz w:val="28"/>
          <w:szCs w:val="28"/>
          <w:lang w:val="en-GB"/>
        </w:rPr>
        <w:t>ICD-11's spectrum approach is potentially helpful because it allows greater variation than older categorical models. However, Kamp-Becker (2024) cautions that this flexibility may come at the expense of diagnostic precision. If the spectrum becomes too broad, there is a risk that the boundaries between autism and other neurodevelopmental or mental health conditions become unclear. Conversely, if diagnostic boundaries are too restrictive, individuals with genuine support needs may be excluded.</w:t>
      </w:r>
    </w:p>
    <w:p w:rsidR="0265E842" w:rsidP="5C7957D8" w:rsidRDefault="0265E842" w14:paraId="364E5CE2" w14:textId="3F587AAC">
      <w:pPr>
        <w:spacing w:before="240" w:beforeAutospacing="off" w:after="240" w:afterAutospacing="off"/>
      </w:pPr>
      <w:r w:rsidRPr="5C7957D8" w:rsidR="0265E842">
        <w:rPr>
          <w:rFonts w:ascii="Aptos" w:hAnsi="Aptos" w:eastAsia="Aptos" w:cs="Aptos"/>
          <w:noProof w:val="0"/>
          <w:sz w:val="28"/>
          <w:szCs w:val="28"/>
          <w:lang w:val="en-GB"/>
        </w:rPr>
        <w:t>There are also important policy implications. NICE (2021b) recommends coordinated multidisciplinary services, individualised support and transition planning. Nevertheless, diagnosis does not automatically guarantee access to appropriate support. NICE (2021a) identifies difficulties accessing assessment and the absence of suitable follow-up services as important challenges. This demonstrates that classification has consequences beyond clinical terminology: it can influence eligibility for services, educational adjustments, employment support and social care.</w:t>
      </w:r>
    </w:p>
    <w:p w:rsidR="0265E842" w:rsidP="5C7957D8" w:rsidRDefault="0265E842" w14:paraId="17F93325" w14:textId="55DFF06A">
      <w:pPr>
        <w:pStyle w:val="Normal"/>
        <w:spacing w:before="240" w:beforeAutospacing="off" w:after="240" w:afterAutospacing="off"/>
      </w:pPr>
      <w:r w:rsidRPr="5C7957D8" w:rsidR="0265E842">
        <w:rPr>
          <w:rFonts w:ascii="Aptos" w:hAnsi="Aptos" w:eastAsia="Aptos" w:cs="Aptos"/>
          <w:noProof w:val="0"/>
          <w:sz w:val="28"/>
          <w:szCs w:val="28"/>
          <w:lang w:val="en-GB"/>
        </w:rPr>
        <w:t xml:space="preserve">The increasing emphasis on lived experience should therefore influence future classification and service development. Autistic people should be involved in research, guideline </w:t>
      </w:r>
      <w:r w:rsidRPr="5C7957D8" w:rsidR="0265E842">
        <w:rPr>
          <w:rFonts w:ascii="Aptos" w:hAnsi="Aptos" w:eastAsia="Aptos" w:cs="Aptos"/>
          <w:noProof w:val="0"/>
          <w:sz w:val="28"/>
          <w:szCs w:val="28"/>
          <w:lang w:val="en-GB"/>
        </w:rPr>
        <w:t>development</w:t>
      </w:r>
      <w:r w:rsidRPr="5C7957D8" w:rsidR="0265E842">
        <w:rPr>
          <w:rFonts w:ascii="Aptos" w:hAnsi="Aptos" w:eastAsia="Aptos" w:cs="Aptos"/>
          <w:noProof w:val="0"/>
          <w:sz w:val="28"/>
          <w:szCs w:val="28"/>
          <w:lang w:val="en-GB"/>
        </w:rPr>
        <w:t xml:space="preserve"> and service design. Their perspectives can help distinguish interventions that genuinely improve quality of life from interventions that primarily seek behavioural conformity.</w:t>
      </w:r>
    </w:p>
    <w:p w:rsidR="2791D78E" w:rsidP="5C7957D8" w:rsidRDefault="2791D78E" w14:paraId="51E27B8F" w14:textId="1CB1F3F3">
      <w:pPr>
        <w:pStyle w:val="Heading2"/>
        <w:spacing w:before="299" w:beforeAutospacing="off" w:after="299" w:afterAutospacing="off"/>
      </w:pPr>
      <w:r w:rsidRPr="5C7957D8" w:rsidR="2791D78E">
        <w:rPr>
          <w:rFonts w:ascii="Aptos" w:hAnsi="Aptos" w:eastAsia="Aptos" w:cs="Aptos"/>
          <w:b w:val="1"/>
          <w:bCs w:val="1"/>
          <w:noProof w:val="0"/>
          <w:sz w:val="36"/>
          <w:szCs w:val="36"/>
          <w:lang w:val="en-GB"/>
        </w:rPr>
        <w:t xml:space="preserve"> </w:t>
      </w:r>
      <w:r w:rsidRPr="5C7957D8" w:rsidR="2791D78E">
        <w:rPr>
          <w:rFonts w:ascii="Aptos" w:hAnsi="Aptos" w:eastAsia="Aptos" w:cs="Aptos"/>
          <w:b w:val="1"/>
          <w:bCs w:val="1"/>
          <w:noProof w:val="0"/>
          <w:color w:val="auto"/>
          <w:sz w:val="36"/>
          <w:szCs w:val="36"/>
          <w:lang w:val="en-GB"/>
        </w:rPr>
        <w:t>Recommendations</w:t>
      </w:r>
    </w:p>
    <w:p w:rsidR="2791D78E" w:rsidP="5C7957D8" w:rsidRDefault="2791D78E" w14:paraId="4CF555FD" w14:textId="36182710">
      <w:pPr>
        <w:spacing w:before="240" w:beforeAutospacing="off" w:after="240" w:afterAutospacing="off"/>
      </w:pPr>
      <w:r w:rsidRPr="5C7957D8" w:rsidR="2791D78E">
        <w:rPr>
          <w:rFonts w:ascii="Aptos" w:hAnsi="Aptos" w:eastAsia="Aptos" w:cs="Aptos"/>
          <w:noProof w:val="0"/>
          <w:sz w:val="28"/>
          <w:szCs w:val="28"/>
          <w:lang w:val="en-GB"/>
        </w:rPr>
        <w:t xml:space="preserve">First, diagnostic practice should become more </w:t>
      </w:r>
      <w:r w:rsidRPr="5C7957D8" w:rsidR="2791D78E">
        <w:rPr>
          <w:rFonts w:ascii="Aptos" w:hAnsi="Aptos" w:eastAsia="Aptos" w:cs="Aptos"/>
          <w:b w:val="1"/>
          <w:bCs w:val="1"/>
          <w:noProof w:val="0"/>
          <w:sz w:val="28"/>
          <w:szCs w:val="28"/>
          <w:lang w:val="en-GB"/>
        </w:rPr>
        <w:t>individualised and developmentally informed</w:t>
      </w:r>
      <w:r w:rsidRPr="5C7957D8" w:rsidR="2791D78E">
        <w:rPr>
          <w:rFonts w:ascii="Aptos" w:hAnsi="Aptos" w:eastAsia="Aptos" w:cs="Aptos"/>
          <w:noProof w:val="0"/>
          <w:sz w:val="28"/>
          <w:szCs w:val="28"/>
          <w:lang w:val="en-GB"/>
        </w:rPr>
        <w:t>. Clinicians should consider developmental history, current functioning, cultural context, gender differences, camouflaging and environmental demands rather than relying primarily on observable stereotypical behaviours.</w:t>
      </w:r>
    </w:p>
    <w:p w:rsidR="2791D78E" w:rsidP="5C7957D8" w:rsidRDefault="2791D78E" w14:paraId="4CC58BA0" w14:textId="3BE1CBE1">
      <w:pPr>
        <w:spacing w:before="240" w:beforeAutospacing="off" w:after="240" w:afterAutospacing="off"/>
      </w:pPr>
      <w:r w:rsidRPr="5C7957D8" w:rsidR="2791D78E">
        <w:rPr>
          <w:rFonts w:ascii="Aptos" w:hAnsi="Aptos" w:eastAsia="Aptos" w:cs="Aptos"/>
          <w:noProof w:val="0"/>
          <w:sz w:val="28"/>
          <w:szCs w:val="28"/>
          <w:lang w:val="en-GB"/>
        </w:rPr>
        <w:t xml:space="preserve">Second, autism services should adopt a </w:t>
      </w:r>
      <w:r w:rsidRPr="5C7957D8" w:rsidR="2791D78E">
        <w:rPr>
          <w:rFonts w:ascii="Aptos" w:hAnsi="Aptos" w:eastAsia="Aptos" w:cs="Aptos"/>
          <w:b w:val="1"/>
          <w:bCs w:val="1"/>
          <w:noProof w:val="0"/>
          <w:sz w:val="28"/>
          <w:szCs w:val="28"/>
          <w:lang w:val="en-GB"/>
        </w:rPr>
        <w:t>strengths-based and neurodiversity-informed approach</w:t>
      </w:r>
      <w:r w:rsidRPr="5C7957D8" w:rsidR="2791D78E">
        <w:rPr>
          <w:rFonts w:ascii="Aptos" w:hAnsi="Aptos" w:eastAsia="Aptos" w:cs="Aptos"/>
          <w:noProof w:val="0"/>
          <w:sz w:val="28"/>
          <w:szCs w:val="28"/>
          <w:lang w:val="en-GB"/>
        </w:rPr>
        <w:t>. Recognising autism as a disorder within ICD-11 should not prevent professionals from acknowledging autistic identity and strengths. Support should focus on improving autonomy, participation and quality of life rather than attempting to eliminate harmless autistic characteristics.</w:t>
      </w:r>
    </w:p>
    <w:p w:rsidR="2791D78E" w:rsidP="5C7957D8" w:rsidRDefault="2791D78E" w14:paraId="4B104A9A" w14:textId="1BD9B139">
      <w:pPr>
        <w:spacing w:before="240" w:beforeAutospacing="off" w:after="240" w:afterAutospacing="off"/>
      </w:pPr>
      <w:r w:rsidRPr="5C7957D8" w:rsidR="2791D78E">
        <w:rPr>
          <w:rFonts w:ascii="Aptos" w:hAnsi="Aptos" w:eastAsia="Aptos" w:cs="Aptos"/>
          <w:noProof w:val="0"/>
          <w:sz w:val="28"/>
          <w:szCs w:val="28"/>
          <w:lang w:val="en-GB"/>
        </w:rPr>
        <w:t xml:space="preserve">Third, policy should improve </w:t>
      </w:r>
      <w:r w:rsidRPr="5C7957D8" w:rsidR="2791D78E">
        <w:rPr>
          <w:rFonts w:ascii="Aptos" w:hAnsi="Aptos" w:eastAsia="Aptos" w:cs="Aptos"/>
          <w:b w:val="1"/>
          <w:bCs w:val="1"/>
          <w:noProof w:val="0"/>
          <w:sz w:val="28"/>
          <w:szCs w:val="28"/>
          <w:lang w:val="en-GB"/>
        </w:rPr>
        <w:t>post-diagnostic support</w:t>
      </w:r>
      <w:r w:rsidRPr="5C7957D8" w:rsidR="2791D78E">
        <w:rPr>
          <w:rFonts w:ascii="Aptos" w:hAnsi="Aptos" w:eastAsia="Aptos" w:cs="Aptos"/>
          <w:noProof w:val="0"/>
          <w:sz w:val="28"/>
          <w:szCs w:val="28"/>
          <w:lang w:val="en-GB"/>
        </w:rPr>
        <w:t>. Diagnosis should function as an entry point to appropriate information and support rather than the end of the clinical pathway. Services should provide clearer routes to psychological support, education, employment assistance and social care.</w:t>
      </w:r>
    </w:p>
    <w:p w:rsidR="2791D78E" w:rsidP="5C7957D8" w:rsidRDefault="2791D78E" w14:paraId="7DEDD39A" w14:textId="48D67CD4">
      <w:pPr>
        <w:pStyle w:val="Normal"/>
        <w:spacing w:before="240" w:beforeAutospacing="off" w:after="240" w:afterAutospacing="off"/>
      </w:pPr>
      <w:r w:rsidRPr="5C7957D8" w:rsidR="2791D78E">
        <w:rPr>
          <w:rFonts w:ascii="Aptos" w:hAnsi="Aptos" w:eastAsia="Aptos" w:cs="Aptos"/>
          <w:noProof w:val="0"/>
          <w:sz w:val="28"/>
          <w:szCs w:val="28"/>
          <w:lang w:val="en-GB"/>
        </w:rPr>
        <w:t xml:space="preserve">Finally, further research should examine the effectiveness of interventions using outcomes valued by autistic people, including quality of life, </w:t>
      </w:r>
      <w:r w:rsidRPr="5C7957D8" w:rsidR="2791D78E">
        <w:rPr>
          <w:rFonts w:ascii="Aptos" w:hAnsi="Aptos" w:eastAsia="Aptos" w:cs="Aptos"/>
          <w:noProof w:val="0"/>
          <w:sz w:val="28"/>
          <w:szCs w:val="28"/>
          <w:lang w:val="en-GB"/>
        </w:rPr>
        <w:t>independence</w:t>
      </w:r>
      <w:r w:rsidRPr="5C7957D8" w:rsidR="2791D78E">
        <w:rPr>
          <w:rFonts w:ascii="Aptos" w:hAnsi="Aptos" w:eastAsia="Aptos" w:cs="Aptos"/>
          <w:noProof w:val="0"/>
          <w:sz w:val="28"/>
          <w:szCs w:val="28"/>
          <w:lang w:val="en-GB"/>
        </w:rPr>
        <w:t xml:space="preserve"> and wellbeing. Research should also improve understanding of under-recognised</w:t>
      </w:r>
      <w:r w:rsidRPr="5C7957D8" w:rsidR="24EE2DD7">
        <w:rPr>
          <w:rFonts w:ascii="Aptos" w:hAnsi="Aptos" w:eastAsia="Aptos" w:cs="Aptos"/>
          <w:noProof w:val="0"/>
          <w:sz w:val="28"/>
          <w:szCs w:val="28"/>
          <w:lang w:val="en-GB"/>
        </w:rPr>
        <w:t xml:space="preserve"> presentations and ensure that autistic people are meaningfully involved in research design.</w:t>
      </w:r>
    </w:p>
    <w:p w:rsidR="5C7957D8" w:rsidP="5C7957D8" w:rsidRDefault="5C7957D8" w14:paraId="2C033446" w14:textId="1D08FEF2">
      <w:pPr>
        <w:pStyle w:val="Heading2"/>
        <w:spacing w:before="299" w:beforeAutospacing="off" w:after="299" w:afterAutospacing="off"/>
        <w:rPr>
          <w:rFonts w:ascii="Aptos" w:hAnsi="Aptos" w:eastAsia="Aptos" w:cs="Aptos"/>
          <w:b w:val="1"/>
          <w:bCs w:val="1"/>
          <w:noProof w:val="0"/>
          <w:color w:val="auto"/>
          <w:sz w:val="36"/>
          <w:szCs w:val="36"/>
          <w:lang w:val="en-GB"/>
        </w:rPr>
      </w:pPr>
    </w:p>
    <w:p w:rsidR="24EE2DD7" w:rsidP="5C7957D8" w:rsidRDefault="24EE2DD7" w14:paraId="1271CC39" w14:textId="0C8DC470">
      <w:pPr>
        <w:pStyle w:val="Heading2"/>
        <w:spacing w:before="299" w:beforeAutospacing="off" w:after="299" w:afterAutospacing="off"/>
      </w:pPr>
      <w:r w:rsidRPr="5C7957D8" w:rsidR="24EE2DD7">
        <w:rPr>
          <w:rFonts w:ascii="Aptos" w:hAnsi="Aptos" w:eastAsia="Aptos" w:cs="Aptos"/>
          <w:b w:val="1"/>
          <w:bCs w:val="1"/>
          <w:noProof w:val="0"/>
          <w:color w:val="auto"/>
          <w:sz w:val="36"/>
          <w:szCs w:val="36"/>
          <w:lang w:val="en-GB"/>
        </w:rPr>
        <w:t>Conclusion</w:t>
      </w:r>
    </w:p>
    <w:p w:rsidR="24EE2DD7" w:rsidP="5C7957D8" w:rsidRDefault="24EE2DD7" w14:paraId="2E2C71D5" w14:textId="1A6D13EC">
      <w:pPr>
        <w:spacing w:before="240" w:beforeAutospacing="off" w:after="240" w:afterAutospacing="off"/>
      </w:pPr>
      <w:r w:rsidRPr="5C7957D8" w:rsidR="24EE2DD7">
        <w:rPr>
          <w:rFonts w:ascii="Aptos" w:hAnsi="Aptos" w:eastAsia="Aptos" w:cs="Aptos"/>
          <w:noProof w:val="0"/>
          <w:sz w:val="28"/>
          <w:szCs w:val="28"/>
          <w:lang w:val="en-GB"/>
        </w:rPr>
        <w:t>ICD-11 represents an important development in the classification of autism because it consolidates diverse presentations within a spectrum framework and allows specification according to intellectual development and functional language. This approach better acknowledges heterogeneity than earlier categorical systems, although increased flexibility may create challenges concerning diagnostic precision. Diagnosis also remains complicated by differences in presentation, gender, developmental history and camouflaging.</w:t>
      </w:r>
    </w:p>
    <w:p w:rsidR="24EE2DD7" w:rsidP="5C7957D8" w:rsidRDefault="24EE2DD7" w14:paraId="279611A4" w14:textId="109A7B17">
      <w:pPr>
        <w:spacing w:before="240" w:beforeAutospacing="off" w:after="240" w:afterAutospacing="off"/>
      </w:pPr>
      <w:r w:rsidRPr="5C7957D8" w:rsidR="24EE2DD7">
        <w:rPr>
          <w:rFonts w:ascii="Aptos" w:hAnsi="Aptos" w:eastAsia="Aptos" w:cs="Aptos"/>
          <w:noProof w:val="0"/>
          <w:sz w:val="28"/>
          <w:szCs w:val="28"/>
          <w:lang w:val="en-GB"/>
        </w:rPr>
        <w:t>Treatment and rehabilitation should not aim to “cure” autism but should address individual support needs, co-occurring conditions, communication, adaptive functioning and participation. The growing influence of neurodiversity further challenges professionals to reconsider whether reducing autistic behaviours should always be the primary outcome of intervention. A balanced approach is therefore required: ICD-11 provides a necessary clinical classification, while neurodiversity and biopsychosocial perspectives can ensure that classification does not become a reductionist description of the individual.</w:t>
      </w:r>
    </w:p>
    <w:p w:rsidR="3538063F" w:rsidP="5C7957D8" w:rsidRDefault="3538063F" w14:paraId="12F9DA1E" w14:textId="565AD8F8">
      <w:pPr>
        <w:pStyle w:val="Normal"/>
        <w:spacing w:before="240" w:beforeAutospacing="off" w:after="240" w:afterAutospacing="off"/>
      </w:pPr>
      <w:r w:rsidRPr="5C7957D8" w:rsidR="3538063F">
        <w:rPr>
          <w:rFonts w:ascii="Aptos" w:hAnsi="Aptos" w:eastAsia="Aptos" w:cs="Aptos"/>
          <w:noProof w:val="0"/>
          <w:sz w:val="28"/>
          <w:szCs w:val="28"/>
          <w:lang w:val="en-GB"/>
        </w:rPr>
        <w:t>Ultimately, effective autism practice should move beyond diagnosis alone towards personalised, collaborative and strengths-based support. Greater involvement of autistic people in clinical practice, policy and research would help ensure that classification and rehabilitation contribute to meaningful improvements in quality of life rather than simply conformity to neurotypical expectations.</w:t>
      </w:r>
    </w:p>
    <w:p w:rsidR="5C7957D8" w:rsidP="5C7957D8" w:rsidRDefault="5C7957D8" w14:paraId="3225FCC6" w14:textId="367D4966">
      <w:pPr>
        <w:pStyle w:val="Normal"/>
        <w:spacing w:before="240" w:beforeAutospacing="off" w:after="240" w:afterAutospacing="off"/>
        <w:rPr>
          <w:rFonts w:ascii="Aptos" w:hAnsi="Aptos" w:eastAsia="Aptos" w:cs="Aptos"/>
          <w:noProof w:val="0"/>
          <w:sz w:val="28"/>
          <w:szCs w:val="28"/>
          <w:lang w:val="en-GB"/>
        </w:rPr>
      </w:pPr>
    </w:p>
    <w:p w:rsidR="5C7957D8" w:rsidP="5C7957D8" w:rsidRDefault="5C7957D8" w14:paraId="2404F6F3" w14:textId="52CA1B6B">
      <w:pPr>
        <w:spacing w:before="240" w:beforeAutospacing="off" w:after="240" w:afterAutospacing="off"/>
        <w:rPr>
          <w:rFonts w:ascii="Aptos" w:hAnsi="Aptos" w:eastAsia="Aptos" w:cs="Aptos"/>
          <w:noProof w:val="0"/>
          <w:sz w:val="28"/>
          <w:szCs w:val="28"/>
          <w:lang w:val="en-GB"/>
        </w:rPr>
      </w:pPr>
    </w:p>
    <w:p w:rsidR="5C7957D8" w:rsidP="5C7957D8" w:rsidRDefault="5C7957D8" w14:paraId="0C76B3EB" w14:textId="079B2A0C">
      <w:pPr>
        <w:spacing w:before="240" w:beforeAutospacing="off" w:after="240" w:afterAutospacing="off"/>
        <w:rPr>
          <w:rFonts w:ascii="Aptos" w:hAnsi="Aptos" w:eastAsia="Aptos" w:cs="Aptos"/>
          <w:noProof w:val="0"/>
          <w:sz w:val="28"/>
          <w:szCs w:val="28"/>
          <w:lang w:val="en-GB"/>
        </w:rPr>
      </w:pPr>
    </w:p>
    <w:p w:rsidR="5C7957D8" w:rsidP="5C7957D8" w:rsidRDefault="5C7957D8" w14:paraId="7CD4F814" w14:textId="48C665B1">
      <w:pPr>
        <w:spacing w:before="240" w:beforeAutospacing="off" w:after="240" w:afterAutospacing="off"/>
        <w:rPr>
          <w:rFonts w:ascii="Aptos" w:hAnsi="Aptos" w:eastAsia="Aptos" w:cs="Aptos"/>
          <w:noProof w:val="0"/>
          <w:sz w:val="28"/>
          <w:szCs w:val="28"/>
          <w:lang w:val="en-GB"/>
        </w:rPr>
      </w:pPr>
    </w:p>
    <w:p w:rsidR="5C7957D8" w:rsidP="5C7957D8" w:rsidRDefault="5C7957D8" w14:paraId="63DF1B1A" w14:textId="7E4CB628">
      <w:pPr>
        <w:spacing w:before="240" w:beforeAutospacing="off" w:after="240" w:afterAutospacing="off"/>
        <w:rPr>
          <w:rFonts w:ascii="Aptos" w:hAnsi="Aptos" w:eastAsia="Aptos" w:cs="Aptos"/>
          <w:noProof w:val="0"/>
          <w:sz w:val="28"/>
          <w:szCs w:val="28"/>
          <w:lang w:val="en-GB"/>
        </w:rPr>
      </w:pPr>
    </w:p>
    <w:p w:rsidR="5C7957D8" w:rsidP="5C7957D8" w:rsidRDefault="5C7957D8" w14:paraId="78AE3265" w14:textId="317B1515">
      <w:pPr>
        <w:spacing w:before="240" w:beforeAutospacing="off" w:after="240" w:afterAutospacing="off"/>
        <w:rPr>
          <w:rFonts w:ascii="Aptos" w:hAnsi="Aptos" w:eastAsia="Aptos" w:cs="Aptos"/>
          <w:noProof w:val="0"/>
          <w:sz w:val="28"/>
          <w:szCs w:val="28"/>
          <w:lang w:val="en-GB"/>
        </w:rPr>
      </w:pPr>
    </w:p>
    <w:p w:rsidR="37C379F0" w:rsidP="5C7957D8" w:rsidRDefault="37C379F0" w14:paraId="28BC094A" w14:textId="45AB6BF9">
      <w:pPr>
        <w:pStyle w:val="Heading2"/>
      </w:pPr>
      <w:r w:rsidRPr="5C7957D8" w:rsidR="37C379F0">
        <w:rPr>
          <w:rFonts w:ascii="Aptos" w:hAnsi="Aptos" w:eastAsia="Aptos" w:cs="Aptos"/>
          <w:b w:val="1"/>
          <w:bCs w:val="1"/>
          <w:noProof w:val="0"/>
          <w:color w:val="auto"/>
          <w:sz w:val="36"/>
          <w:szCs w:val="36"/>
          <w:lang w:val="en-GB"/>
        </w:rPr>
        <w:t>References</w:t>
      </w:r>
    </w:p>
    <w:p w:rsidR="37C379F0" w:rsidP="5C7957D8" w:rsidRDefault="37C379F0" w14:paraId="387AB1DB" w14:textId="26762B42">
      <w:pPr>
        <w:spacing w:before="240" w:beforeAutospacing="off" w:after="240" w:afterAutospacing="off"/>
      </w:pPr>
      <w:r w:rsidRPr="5C7957D8" w:rsidR="37C379F0">
        <w:rPr>
          <w:rFonts w:ascii="Aptos" w:hAnsi="Aptos" w:eastAsia="Aptos" w:cs="Aptos"/>
          <w:noProof w:val="0"/>
          <w:sz w:val="28"/>
          <w:szCs w:val="28"/>
          <w:lang w:val="en-GB"/>
        </w:rPr>
        <w:t xml:space="preserve">Chapman, R. (2020) ‘Does the heterogeneity of autism undermine the neurodiversity paradigm?’, </w:t>
      </w:r>
      <w:r w:rsidRPr="5C7957D8" w:rsidR="37C379F0">
        <w:rPr>
          <w:rFonts w:ascii="Aptos" w:hAnsi="Aptos" w:eastAsia="Aptos" w:cs="Aptos"/>
          <w:i w:val="1"/>
          <w:iCs w:val="1"/>
          <w:noProof w:val="0"/>
          <w:sz w:val="28"/>
          <w:szCs w:val="28"/>
          <w:lang w:val="en-GB"/>
        </w:rPr>
        <w:t>Bioethics</w:t>
      </w:r>
      <w:r w:rsidRPr="5C7957D8" w:rsidR="37C379F0">
        <w:rPr>
          <w:rFonts w:ascii="Aptos" w:hAnsi="Aptos" w:eastAsia="Aptos" w:cs="Aptos"/>
          <w:noProof w:val="0"/>
          <w:sz w:val="28"/>
          <w:szCs w:val="28"/>
          <w:lang w:val="en-GB"/>
        </w:rPr>
        <w:t>, 34(7), pp. 700–709. doi: 10.1111/bioe.12717.</w:t>
      </w:r>
    </w:p>
    <w:p w:rsidR="37C379F0" w:rsidP="5C7957D8" w:rsidRDefault="37C379F0" w14:paraId="4452B297" w14:textId="0BFB7E5C">
      <w:pPr>
        <w:spacing w:before="240" w:beforeAutospacing="off" w:after="240" w:afterAutospacing="off"/>
      </w:pPr>
      <w:r w:rsidRPr="5C7957D8" w:rsidR="37C379F0">
        <w:rPr>
          <w:rFonts w:ascii="Aptos" w:hAnsi="Aptos" w:eastAsia="Aptos" w:cs="Aptos"/>
          <w:noProof w:val="0"/>
          <w:sz w:val="28"/>
          <w:szCs w:val="28"/>
          <w:lang w:val="en-GB"/>
        </w:rPr>
        <w:t xml:space="preserve">Cook, J., Hull, L., Crane, L. and Mandy, W. (2021) ‘Camouflaging in autism: A systematic review’, </w:t>
      </w:r>
      <w:r w:rsidRPr="5C7957D8" w:rsidR="37C379F0">
        <w:rPr>
          <w:rFonts w:ascii="Aptos" w:hAnsi="Aptos" w:eastAsia="Aptos" w:cs="Aptos"/>
          <w:i w:val="1"/>
          <w:iCs w:val="1"/>
          <w:noProof w:val="0"/>
          <w:sz w:val="28"/>
          <w:szCs w:val="28"/>
          <w:lang w:val="en-GB"/>
        </w:rPr>
        <w:t>Clinical Psychology Review</w:t>
      </w:r>
      <w:r w:rsidRPr="5C7957D8" w:rsidR="37C379F0">
        <w:rPr>
          <w:rFonts w:ascii="Aptos" w:hAnsi="Aptos" w:eastAsia="Aptos" w:cs="Aptos"/>
          <w:noProof w:val="0"/>
          <w:sz w:val="28"/>
          <w:szCs w:val="28"/>
          <w:lang w:val="en-GB"/>
        </w:rPr>
        <w:t>, 89, 102080. doi: 10.1016/j.cpr.2021.102080.</w:t>
      </w:r>
    </w:p>
    <w:p w:rsidR="37C379F0" w:rsidP="5C7957D8" w:rsidRDefault="37C379F0" w14:paraId="63461D02" w14:textId="09D0FAB1">
      <w:pPr>
        <w:spacing w:before="240" w:beforeAutospacing="off" w:after="240" w:afterAutospacing="off"/>
      </w:pPr>
      <w:r w:rsidRPr="5C7957D8" w:rsidR="37C379F0">
        <w:rPr>
          <w:rFonts w:ascii="Aptos" w:hAnsi="Aptos" w:eastAsia="Aptos" w:cs="Aptos"/>
          <w:noProof w:val="0"/>
          <w:sz w:val="28"/>
          <w:szCs w:val="28"/>
          <w:lang w:val="en-GB"/>
        </w:rPr>
        <w:t>Kamp-Becker, I. (2024) ‘</w:t>
      </w:r>
      <w:r w:rsidRPr="5C7957D8" w:rsidR="37C379F0">
        <w:rPr>
          <w:rFonts w:ascii="Aptos" w:hAnsi="Aptos" w:eastAsia="Aptos" w:cs="Aptos"/>
          <w:noProof w:val="0"/>
          <w:sz w:val="28"/>
          <w:szCs w:val="28"/>
          <w:lang w:val="en-GB"/>
        </w:rPr>
        <w:t>Autism spectrum disorder</w:t>
      </w:r>
      <w:r w:rsidRPr="5C7957D8" w:rsidR="37C379F0">
        <w:rPr>
          <w:rFonts w:ascii="Aptos" w:hAnsi="Aptos" w:eastAsia="Aptos" w:cs="Aptos"/>
          <w:noProof w:val="0"/>
          <w:sz w:val="28"/>
          <w:szCs w:val="28"/>
          <w:lang w:val="en-GB"/>
        </w:rPr>
        <w:t xml:space="preserve"> in ICD-11a critical reflection of its possible impact on clinical practice and research’, </w:t>
      </w:r>
      <w:r w:rsidRPr="5C7957D8" w:rsidR="37C379F0">
        <w:rPr>
          <w:rFonts w:ascii="Aptos" w:hAnsi="Aptos" w:eastAsia="Aptos" w:cs="Aptos"/>
          <w:i w:val="1"/>
          <w:iCs w:val="1"/>
          <w:noProof w:val="0"/>
          <w:sz w:val="28"/>
          <w:szCs w:val="28"/>
          <w:lang w:val="en-GB"/>
        </w:rPr>
        <w:t>Molecular Psychiatry</w:t>
      </w:r>
      <w:r w:rsidRPr="5C7957D8" w:rsidR="37C379F0">
        <w:rPr>
          <w:rFonts w:ascii="Aptos" w:hAnsi="Aptos" w:eastAsia="Aptos" w:cs="Aptos"/>
          <w:noProof w:val="0"/>
          <w:sz w:val="28"/>
          <w:szCs w:val="28"/>
          <w:lang w:val="en-GB"/>
        </w:rPr>
        <w:t xml:space="preserve">, 29, pp. 633–638. </w:t>
      </w:r>
      <w:r w:rsidRPr="5C7957D8" w:rsidR="37C379F0">
        <w:rPr>
          <w:rFonts w:ascii="Aptos" w:hAnsi="Aptos" w:eastAsia="Aptos" w:cs="Aptos"/>
          <w:noProof w:val="0"/>
          <w:sz w:val="28"/>
          <w:szCs w:val="28"/>
          <w:lang w:val="en-GB"/>
        </w:rPr>
        <w:t>doi</w:t>
      </w:r>
      <w:r w:rsidRPr="5C7957D8" w:rsidR="37C379F0">
        <w:rPr>
          <w:rFonts w:ascii="Aptos" w:hAnsi="Aptos" w:eastAsia="Aptos" w:cs="Aptos"/>
          <w:noProof w:val="0"/>
          <w:sz w:val="28"/>
          <w:szCs w:val="28"/>
          <w:lang w:val="en-GB"/>
        </w:rPr>
        <w:t>: 10.1038/s41380-023-02354-y.</w:t>
      </w:r>
    </w:p>
    <w:p w:rsidR="37C379F0" w:rsidP="5C7957D8" w:rsidRDefault="37C379F0" w14:paraId="6596D6C0" w14:textId="02FBB205">
      <w:pPr>
        <w:spacing w:before="240" w:beforeAutospacing="off" w:after="240" w:afterAutospacing="off"/>
      </w:pPr>
      <w:r w:rsidRPr="5C7957D8" w:rsidR="37C379F0">
        <w:rPr>
          <w:rFonts w:ascii="Aptos" w:hAnsi="Aptos" w:eastAsia="Aptos" w:cs="Aptos"/>
          <w:noProof w:val="0"/>
          <w:sz w:val="28"/>
          <w:szCs w:val="28"/>
          <w:lang w:val="en-GB"/>
        </w:rPr>
        <w:t xml:space="preserve">McQuaid, G.A., Lee, N.R. and Wallace, G.L. (2022) ‘Camouflaging in autism spectrum disorder: Examining the roles of sex, gender identity, and diagnostic timing’, </w:t>
      </w:r>
      <w:r w:rsidRPr="5C7957D8" w:rsidR="37C379F0">
        <w:rPr>
          <w:rFonts w:ascii="Aptos" w:hAnsi="Aptos" w:eastAsia="Aptos" w:cs="Aptos"/>
          <w:i w:val="1"/>
          <w:iCs w:val="1"/>
          <w:noProof w:val="0"/>
          <w:sz w:val="28"/>
          <w:szCs w:val="28"/>
          <w:lang w:val="en-GB"/>
        </w:rPr>
        <w:t>Autism</w:t>
      </w:r>
      <w:r w:rsidRPr="5C7957D8" w:rsidR="37C379F0">
        <w:rPr>
          <w:rFonts w:ascii="Aptos" w:hAnsi="Aptos" w:eastAsia="Aptos" w:cs="Aptos"/>
          <w:noProof w:val="0"/>
          <w:sz w:val="28"/>
          <w:szCs w:val="28"/>
          <w:lang w:val="en-GB"/>
        </w:rPr>
        <w:t>, 26(6), pp. 1345–1357. doi: 10.1177/13623613211045947.</w:t>
      </w:r>
    </w:p>
    <w:p w:rsidR="37C379F0" w:rsidP="5C7957D8" w:rsidRDefault="37C379F0" w14:paraId="4A39A1B5" w14:textId="45FCF8BE">
      <w:pPr>
        <w:spacing w:before="240" w:beforeAutospacing="off" w:after="240" w:afterAutospacing="off"/>
      </w:pPr>
      <w:r w:rsidRPr="5C7957D8" w:rsidR="37C379F0">
        <w:rPr>
          <w:rFonts w:ascii="Aptos" w:hAnsi="Aptos" w:eastAsia="Aptos" w:cs="Aptos"/>
          <w:noProof w:val="0"/>
          <w:sz w:val="28"/>
          <w:szCs w:val="28"/>
          <w:lang w:val="en-GB"/>
        </w:rPr>
        <w:t xml:space="preserve">National Institute for Health and Care Excellence (NICE) (2013) </w:t>
      </w:r>
      <w:r w:rsidRPr="5C7957D8" w:rsidR="37C379F0">
        <w:rPr>
          <w:rFonts w:ascii="Aptos" w:hAnsi="Aptos" w:eastAsia="Aptos" w:cs="Aptos"/>
          <w:i w:val="1"/>
          <w:iCs w:val="1"/>
          <w:noProof w:val="0"/>
          <w:sz w:val="28"/>
          <w:szCs w:val="28"/>
          <w:lang w:val="en-GB"/>
        </w:rPr>
        <w:t>Autism spectrum disorder in under 19s: support and management (CG170)</w:t>
      </w:r>
      <w:r w:rsidRPr="5C7957D8" w:rsidR="37C379F0">
        <w:rPr>
          <w:rFonts w:ascii="Aptos" w:hAnsi="Aptos" w:eastAsia="Aptos" w:cs="Aptos"/>
          <w:noProof w:val="0"/>
          <w:sz w:val="28"/>
          <w:szCs w:val="28"/>
          <w:lang w:val="en-GB"/>
        </w:rPr>
        <w:t>. London: NICE.</w:t>
      </w:r>
    </w:p>
    <w:p w:rsidR="37C379F0" w:rsidP="5C7957D8" w:rsidRDefault="37C379F0" w14:paraId="1A833881" w14:textId="638A7135">
      <w:pPr>
        <w:spacing w:before="240" w:beforeAutospacing="off" w:after="240" w:afterAutospacing="off"/>
      </w:pPr>
      <w:r w:rsidRPr="5C7957D8" w:rsidR="37C379F0">
        <w:rPr>
          <w:rFonts w:ascii="Aptos" w:hAnsi="Aptos" w:eastAsia="Aptos" w:cs="Aptos"/>
          <w:noProof w:val="0"/>
          <w:sz w:val="28"/>
          <w:szCs w:val="28"/>
          <w:lang w:val="en-GB"/>
        </w:rPr>
        <w:t xml:space="preserve">National Institute for Health and Care Excellence (NICE) (2021a) </w:t>
      </w:r>
      <w:r w:rsidRPr="5C7957D8" w:rsidR="37C379F0">
        <w:rPr>
          <w:rFonts w:ascii="Aptos" w:hAnsi="Aptos" w:eastAsia="Aptos" w:cs="Aptos"/>
          <w:i w:val="1"/>
          <w:iCs w:val="1"/>
          <w:noProof w:val="0"/>
          <w:sz w:val="28"/>
          <w:szCs w:val="28"/>
          <w:lang w:val="en-GB"/>
        </w:rPr>
        <w:t>Autism spectrum disorder in adults: diagnosis and management (CG142)</w:t>
      </w:r>
      <w:r w:rsidRPr="5C7957D8" w:rsidR="37C379F0">
        <w:rPr>
          <w:rFonts w:ascii="Aptos" w:hAnsi="Aptos" w:eastAsia="Aptos" w:cs="Aptos"/>
          <w:noProof w:val="0"/>
          <w:sz w:val="28"/>
          <w:szCs w:val="28"/>
          <w:lang w:val="en-GB"/>
        </w:rPr>
        <w:t>. London: NICE.</w:t>
      </w:r>
    </w:p>
    <w:p w:rsidR="37C379F0" w:rsidP="5C7957D8" w:rsidRDefault="37C379F0" w14:paraId="342C142F" w14:textId="48BC13DB">
      <w:pPr>
        <w:spacing w:before="240" w:beforeAutospacing="off" w:after="240" w:afterAutospacing="off"/>
      </w:pPr>
      <w:r w:rsidRPr="5C7957D8" w:rsidR="37C379F0">
        <w:rPr>
          <w:rFonts w:ascii="Aptos" w:hAnsi="Aptos" w:eastAsia="Aptos" w:cs="Aptos"/>
          <w:noProof w:val="0"/>
          <w:sz w:val="28"/>
          <w:szCs w:val="28"/>
          <w:lang w:val="en-GB"/>
        </w:rPr>
        <w:t xml:space="preserve">National Institute for Health and Care Excellence (NICE) (2021b) </w:t>
      </w:r>
      <w:r w:rsidRPr="5C7957D8" w:rsidR="37C379F0">
        <w:rPr>
          <w:rFonts w:ascii="Aptos" w:hAnsi="Aptos" w:eastAsia="Aptos" w:cs="Aptos"/>
          <w:i w:val="1"/>
          <w:iCs w:val="1"/>
          <w:noProof w:val="0"/>
          <w:sz w:val="28"/>
          <w:szCs w:val="28"/>
          <w:lang w:val="en-GB"/>
        </w:rPr>
        <w:t>Autism spectrum disorder in under 19s: support and management (CG170)</w:t>
      </w:r>
      <w:r w:rsidRPr="5C7957D8" w:rsidR="37C379F0">
        <w:rPr>
          <w:rFonts w:ascii="Aptos" w:hAnsi="Aptos" w:eastAsia="Aptos" w:cs="Aptos"/>
          <w:noProof w:val="0"/>
          <w:sz w:val="28"/>
          <w:szCs w:val="28"/>
          <w:lang w:val="en-GB"/>
        </w:rPr>
        <w:t>. London: NICE.</w:t>
      </w:r>
    </w:p>
    <w:p w:rsidR="37C379F0" w:rsidP="5C7957D8" w:rsidRDefault="37C379F0" w14:paraId="7657ECA0" w14:textId="5D556A8F">
      <w:pPr>
        <w:spacing w:before="240" w:beforeAutospacing="off" w:after="240" w:afterAutospacing="off"/>
      </w:pPr>
      <w:r w:rsidRPr="5C7957D8" w:rsidR="37C379F0">
        <w:rPr>
          <w:rFonts w:ascii="Aptos" w:hAnsi="Aptos" w:eastAsia="Aptos" w:cs="Aptos"/>
          <w:noProof w:val="0"/>
          <w:sz w:val="28"/>
          <w:szCs w:val="28"/>
          <w:lang w:val="en-GB"/>
        </w:rPr>
        <w:t xml:space="preserve">Sandbank, M., Bottema-Beutel, K., Crowley LaPoint, S., Feldman, J.I., Barrett, D.J., Caldwell, N., Dunham, K., Crank, J., Albarran, S. and Woynaroski, T.G. (2023) ‘Autism intervention meta-analysis of early childhood studies (Project AIM): updated systematic review and secondary analysis’, </w:t>
      </w:r>
      <w:r w:rsidRPr="5C7957D8" w:rsidR="37C379F0">
        <w:rPr>
          <w:rFonts w:ascii="Aptos" w:hAnsi="Aptos" w:eastAsia="Aptos" w:cs="Aptos"/>
          <w:i w:val="1"/>
          <w:iCs w:val="1"/>
          <w:noProof w:val="0"/>
          <w:sz w:val="28"/>
          <w:szCs w:val="28"/>
          <w:lang w:val="en-GB"/>
        </w:rPr>
        <w:t>BMJ</w:t>
      </w:r>
      <w:r w:rsidRPr="5C7957D8" w:rsidR="37C379F0">
        <w:rPr>
          <w:rFonts w:ascii="Aptos" w:hAnsi="Aptos" w:eastAsia="Aptos" w:cs="Aptos"/>
          <w:noProof w:val="0"/>
          <w:sz w:val="28"/>
          <w:szCs w:val="28"/>
          <w:lang w:val="en-GB"/>
        </w:rPr>
        <w:t>, 383, e076733. doi: 10.1136/bmj-2023-076733.</w:t>
      </w:r>
    </w:p>
    <w:p w:rsidR="37C379F0" w:rsidP="5C7957D8" w:rsidRDefault="37C379F0" w14:paraId="13FF489B" w14:textId="498BC0C6">
      <w:pPr>
        <w:pStyle w:val="Normal"/>
        <w:spacing w:before="240" w:beforeAutospacing="off" w:after="240" w:afterAutospacing="off"/>
      </w:pPr>
      <w:r w:rsidRPr="5C7957D8" w:rsidR="37C379F0">
        <w:rPr>
          <w:rFonts w:ascii="Aptos" w:hAnsi="Aptos" w:eastAsia="Aptos" w:cs="Aptos"/>
          <w:noProof w:val="0"/>
          <w:sz w:val="28"/>
          <w:szCs w:val="28"/>
          <w:lang w:val="en-GB"/>
        </w:rPr>
        <w:t>Tubío-Fungueiriño</w:t>
      </w:r>
      <w:r w:rsidRPr="5C7957D8" w:rsidR="37C379F0">
        <w:rPr>
          <w:rFonts w:ascii="Aptos" w:hAnsi="Aptos" w:eastAsia="Aptos" w:cs="Aptos"/>
          <w:noProof w:val="0"/>
          <w:sz w:val="28"/>
          <w:szCs w:val="28"/>
          <w:lang w:val="en-GB"/>
        </w:rPr>
        <w:t xml:space="preserve">, M., Cruz, S., Sampaio, A., Carracedo, </w:t>
      </w:r>
      <w:r w:rsidRPr="5C7957D8" w:rsidR="37C379F0">
        <w:rPr>
          <w:rFonts w:ascii="Aptos" w:hAnsi="Aptos" w:eastAsia="Aptos" w:cs="Aptos"/>
          <w:noProof w:val="0"/>
          <w:sz w:val="28"/>
          <w:szCs w:val="28"/>
          <w:lang w:val="en-GB"/>
        </w:rPr>
        <w:t>A.</w:t>
      </w:r>
      <w:r w:rsidRPr="5C7957D8" w:rsidR="37C379F0">
        <w:rPr>
          <w:rFonts w:ascii="Aptos" w:hAnsi="Aptos" w:eastAsia="Aptos" w:cs="Aptos"/>
          <w:noProof w:val="0"/>
          <w:sz w:val="28"/>
          <w:szCs w:val="28"/>
          <w:lang w:val="en-GB"/>
        </w:rPr>
        <w:t xml:space="preserve"> and Fernández-Prieto, M. (2021) ‘Social camouflaging in females with autism spectrum disorder: A systematic review’, </w:t>
      </w:r>
      <w:r w:rsidRPr="5C7957D8" w:rsidR="37C379F0">
        <w:rPr>
          <w:rFonts w:ascii="Aptos" w:hAnsi="Aptos" w:eastAsia="Aptos" w:cs="Aptos"/>
          <w:i w:val="1"/>
          <w:iCs w:val="1"/>
          <w:noProof w:val="0"/>
          <w:sz w:val="28"/>
          <w:szCs w:val="28"/>
          <w:lang w:val="en-GB"/>
        </w:rPr>
        <w:t>Journal of Autism and Developmental Disorders</w:t>
      </w:r>
      <w:r w:rsidRPr="5C7957D8" w:rsidR="37C379F0">
        <w:rPr>
          <w:rFonts w:ascii="Aptos" w:hAnsi="Aptos" w:eastAsia="Aptos" w:cs="Aptos"/>
          <w:noProof w:val="0"/>
          <w:sz w:val="28"/>
          <w:szCs w:val="28"/>
          <w:lang w:val="en-GB"/>
        </w:rPr>
        <w:t>, 51(7), pp. 2190–2199. doi: 10.1007/s10803-020-04695-x.</w:t>
      </w:r>
    </w:p>
    <w:p w:rsidR="440C553F" w:rsidP="5C7957D8" w:rsidRDefault="440C553F" w14:paraId="0478B955" w14:textId="4A06E392">
      <w:pPr>
        <w:spacing w:before="240" w:beforeAutospacing="off" w:after="240" w:afterAutospacing="off"/>
      </w:pPr>
      <w:r w:rsidRPr="5C7957D8" w:rsidR="440C553F">
        <w:rPr>
          <w:rFonts w:ascii="Aptos" w:hAnsi="Aptos" w:eastAsia="Aptos" w:cs="Aptos"/>
          <w:noProof w:val="0"/>
          <w:sz w:val="28"/>
          <w:szCs w:val="28"/>
          <w:lang w:val="en-GB"/>
        </w:rPr>
        <w:t xml:space="preserve">World Health Organization (2019) </w:t>
      </w:r>
      <w:r w:rsidRPr="5C7957D8" w:rsidR="440C553F">
        <w:rPr>
          <w:rFonts w:ascii="Aptos" w:hAnsi="Aptos" w:eastAsia="Aptos" w:cs="Aptos"/>
          <w:i w:val="1"/>
          <w:iCs w:val="1"/>
          <w:noProof w:val="0"/>
          <w:sz w:val="28"/>
          <w:szCs w:val="28"/>
          <w:lang w:val="en-GB"/>
        </w:rPr>
        <w:t>International statistical classification of diseases and related health problems (11th Revision)</w:t>
      </w:r>
      <w:r w:rsidRPr="5C7957D8" w:rsidR="440C553F">
        <w:rPr>
          <w:rFonts w:ascii="Aptos" w:hAnsi="Aptos" w:eastAsia="Aptos" w:cs="Aptos"/>
          <w:noProof w:val="0"/>
          <w:sz w:val="28"/>
          <w:szCs w:val="28"/>
          <w:lang w:val="en-GB"/>
        </w:rPr>
        <w:t>. Geneva: World Health Organization.</w:t>
      </w:r>
    </w:p>
    <w:p w:rsidR="440C553F" w:rsidP="5C7957D8" w:rsidRDefault="440C553F" w14:paraId="7640EE2B" w14:textId="258879B4">
      <w:pPr>
        <w:spacing w:before="240" w:beforeAutospacing="off" w:after="240" w:afterAutospacing="off"/>
      </w:pPr>
      <w:r w:rsidRPr="5C7957D8" w:rsidR="440C553F">
        <w:rPr>
          <w:rFonts w:ascii="Aptos" w:hAnsi="Aptos" w:eastAsia="Aptos" w:cs="Aptos"/>
          <w:noProof w:val="0"/>
          <w:sz w:val="28"/>
          <w:szCs w:val="28"/>
          <w:lang w:val="en-GB"/>
        </w:rPr>
        <w:t xml:space="preserve">World Health Organization (2024) </w:t>
      </w:r>
      <w:r w:rsidRPr="5C7957D8" w:rsidR="440C553F">
        <w:rPr>
          <w:rFonts w:ascii="Aptos" w:hAnsi="Aptos" w:eastAsia="Aptos" w:cs="Aptos"/>
          <w:i w:val="1"/>
          <w:iCs w:val="1"/>
          <w:noProof w:val="0"/>
          <w:sz w:val="28"/>
          <w:szCs w:val="28"/>
          <w:lang w:val="en-GB"/>
        </w:rPr>
        <w:t>Clinical descriptions and diagnostic requirements for ICD-11 mental, behavioural and neurodevelopmental disorders</w:t>
      </w:r>
      <w:r w:rsidRPr="5C7957D8" w:rsidR="440C553F">
        <w:rPr>
          <w:rFonts w:ascii="Aptos" w:hAnsi="Aptos" w:eastAsia="Aptos" w:cs="Aptos"/>
          <w:noProof w:val="0"/>
          <w:sz w:val="28"/>
          <w:szCs w:val="28"/>
          <w:lang w:val="en-GB"/>
        </w:rPr>
        <w:t>. Geneva: World Health Organization.</w:t>
      </w:r>
    </w:p>
    <w:p w:rsidR="440C553F" w:rsidP="5C7957D8" w:rsidRDefault="440C553F" w14:paraId="41F9A8A3" w14:textId="7D126F9F">
      <w:pPr>
        <w:spacing w:before="240" w:beforeAutospacing="off" w:after="240" w:afterAutospacing="off"/>
      </w:pPr>
      <w:r w:rsidRPr="5C7957D8" w:rsidR="440C553F">
        <w:rPr>
          <w:rFonts w:ascii="Aptos" w:hAnsi="Aptos" w:eastAsia="Aptos" w:cs="Aptos"/>
          <w:noProof w:val="0"/>
          <w:sz w:val="28"/>
          <w:szCs w:val="28"/>
          <w:lang w:val="en-GB"/>
        </w:rPr>
        <w:t xml:space="preserve">Zeidan, J., Fombonne, E., Scorah, J., Ibrahim, A., Durkin, M.S., Saxena, S., Yusuf, A., Shih, A. and Elsabbagh, M. (2022) ‘Global prevalence of autism: A systematic review update’, </w:t>
      </w:r>
      <w:r w:rsidRPr="5C7957D8" w:rsidR="440C553F">
        <w:rPr>
          <w:rFonts w:ascii="Aptos" w:hAnsi="Aptos" w:eastAsia="Aptos" w:cs="Aptos"/>
          <w:i w:val="1"/>
          <w:iCs w:val="1"/>
          <w:noProof w:val="0"/>
          <w:sz w:val="28"/>
          <w:szCs w:val="28"/>
          <w:lang w:val="en-GB"/>
        </w:rPr>
        <w:t>Autism Research</w:t>
      </w:r>
      <w:r w:rsidRPr="5C7957D8" w:rsidR="440C553F">
        <w:rPr>
          <w:rFonts w:ascii="Aptos" w:hAnsi="Aptos" w:eastAsia="Aptos" w:cs="Aptos"/>
          <w:noProof w:val="0"/>
          <w:sz w:val="28"/>
          <w:szCs w:val="28"/>
          <w:lang w:val="en-GB"/>
        </w:rPr>
        <w:t>, 15(5), pp. 778–790. doi: 10.1002/aur.2696.</w:t>
      </w:r>
    </w:p>
    <w:p w:rsidR="440C553F" w:rsidP="5C7957D8" w:rsidRDefault="440C553F" w14:paraId="513413BE" w14:textId="7E39B9B4">
      <w:pPr>
        <w:spacing w:before="240" w:beforeAutospacing="off" w:after="240" w:afterAutospacing="off"/>
      </w:pPr>
      <w:r w:rsidRPr="5C7957D8" w:rsidR="440C553F">
        <w:rPr>
          <w:rFonts w:ascii="Aptos" w:hAnsi="Aptos" w:eastAsia="Aptos" w:cs="Aptos"/>
          <w:noProof w:val="0"/>
          <w:sz w:val="28"/>
          <w:szCs w:val="28"/>
          <w:lang w:val="en-GB"/>
        </w:rPr>
        <w:t xml:space="preserve">World Health Organization (2019) </w:t>
      </w:r>
      <w:r w:rsidRPr="5C7957D8" w:rsidR="440C553F">
        <w:rPr>
          <w:rFonts w:ascii="Aptos" w:hAnsi="Aptos" w:eastAsia="Aptos" w:cs="Aptos"/>
          <w:i w:val="1"/>
          <w:iCs w:val="1"/>
          <w:noProof w:val="0"/>
          <w:sz w:val="28"/>
          <w:szCs w:val="28"/>
          <w:lang w:val="en-GB"/>
        </w:rPr>
        <w:t>International statistical classification of diseases and related health problems (11th Revision)</w:t>
      </w:r>
      <w:r w:rsidRPr="5C7957D8" w:rsidR="440C553F">
        <w:rPr>
          <w:rFonts w:ascii="Aptos" w:hAnsi="Aptos" w:eastAsia="Aptos" w:cs="Aptos"/>
          <w:noProof w:val="0"/>
          <w:sz w:val="28"/>
          <w:szCs w:val="28"/>
          <w:lang w:val="en-GB"/>
        </w:rPr>
        <w:t>. Geneva: World Health Organization.</w:t>
      </w:r>
    </w:p>
    <w:p w:rsidR="440C553F" w:rsidP="5C7957D8" w:rsidRDefault="440C553F" w14:paraId="74C3E849" w14:textId="3D4CE33F">
      <w:pPr>
        <w:spacing w:before="240" w:beforeAutospacing="off" w:after="240" w:afterAutospacing="off"/>
      </w:pPr>
      <w:r w:rsidRPr="5C7957D8" w:rsidR="440C553F">
        <w:rPr>
          <w:rFonts w:ascii="Aptos" w:hAnsi="Aptos" w:eastAsia="Aptos" w:cs="Aptos"/>
          <w:noProof w:val="0"/>
          <w:sz w:val="28"/>
          <w:szCs w:val="28"/>
          <w:lang w:val="en-GB"/>
        </w:rPr>
        <w:t xml:space="preserve">World Health Organization (2024) </w:t>
      </w:r>
      <w:r w:rsidRPr="5C7957D8" w:rsidR="440C553F">
        <w:rPr>
          <w:rFonts w:ascii="Aptos" w:hAnsi="Aptos" w:eastAsia="Aptos" w:cs="Aptos"/>
          <w:i w:val="1"/>
          <w:iCs w:val="1"/>
          <w:noProof w:val="0"/>
          <w:sz w:val="28"/>
          <w:szCs w:val="28"/>
          <w:lang w:val="en-GB"/>
        </w:rPr>
        <w:t>Clinical descriptions and diagnostic requirements for ICD-11 mental, behavioural and neurodevelopmental disorders</w:t>
      </w:r>
      <w:r w:rsidRPr="5C7957D8" w:rsidR="440C553F">
        <w:rPr>
          <w:rFonts w:ascii="Aptos" w:hAnsi="Aptos" w:eastAsia="Aptos" w:cs="Aptos"/>
          <w:noProof w:val="0"/>
          <w:sz w:val="28"/>
          <w:szCs w:val="28"/>
          <w:lang w:val="en-GB"/>
        </w:rPr>
        <w:t>. Geneva: World Health Organization.</w:t>
      </w:r>
    </w:p>
    <w:p w:rsidR="440C553F" w:rsidP="5C7957D8" w:rsidRDefault="440C553F" w14:paraId="03C135B2" w14:textId="32BE72D0">
      <w:pPr>
        <w:spacing w:before="240" w:beforeAutospacing="off" w:after="240" w:afterAutospacing="off"/>
      </w:pPr>
      <w:r w:rsidRPr="5C7957D8" w:rsidR="440C553F">
        <w:rPr>
          <w:rFonts w:ascii="Aptos" w:hAnsi="Aptos" w:eastAsia="Aptos" w:cs="Aptos"/>
          <w:noProof w:val="0"/>
          <w:sz w:val="28"/>
          <w:szCs w:val="28"/>
          <w:lang w:val="en-GB"/>
        </w:rPr>
        <w:t xml:space="preserve">Zeidan, J., Fombonne, E., Scorah, J., Ibrahim, A., Durkin, M.S., Saxena, S., Yusuf, A., Shih, A. and Elsabbagh, M. (2022) ‘Global prevalence of autism: A systematic review update’, </w:t>
      </w:r>
      <w:r w:rsidRPr="5C7957D8" w:rsidR="440C553F">
        <w:rPr>
          <w:rFonts w:ascii="Aptos" w:hAnsi="Aptos" w:eastAsia="Aptos" w:cs="Aptos"/>
          <w:i w:val="1"/>
          <w:iCs w:val="1"/>
          <w:noProof w:val="0"/>
          <w:sz w:val="28"/>
          <w:szCs w:val="28"/>
          <w:lang w:val="en-GB"/>
        </w:rPr>
        <w:t>Autism Research</w:t>
      </w:r>
      <w:r w:rsidRPr="5C7957D8" w:rsidR="440C553F">
        <w:rPr>
          <w:rFonts w:ascii="Aptos" w:hAnsi="Aptos" w:eastAsia="Aptos" w:cs="Aptos"/>
          <w:noProof w:val="0"/>
          <w:sz w:val="28"/>
          <w:szCs w:val="28"/>
          <w:lang w:val="en-GB"/>
        </w:rPr>
        <w:t>, 15(5), pp. 778–790. doi: 10.1002/aur.2696.</w:t>
      </w:r>
    </w:p>
    <w:p w:rsidR="5C7957D8" w:rsidP="5C7957D8" w:rsidRDefault="5C7957D8" w14:paraId="19033667" w14:textId="73064C43">
      <w:pPr>
        <w:pStyle w:val="Normal"/>
        <w:spacing w:before="240" w:beforeAutospacing="off" w:after="240" w:afterAutospacing="off"/>
        <w:rPr>
          <w:rFonts w:ascii="Aptos" w:hAnsi="Aptos" w:eastAsia="Aptos" w:cs="Aptos"/>
          <w:noProof w:val="0"/>
          <w:sz w:val="28"/>
          <w:szCs w:val="28"/>
          <w:lang w:val="en-GB"/>
        </w:rPr>
      </w:pPr>
    </w:p>
    <w:p w:rsidR="5C7957D8" w:rsidP="5C7957D8" w:rsidRDefault="5C7957D8" w14:paraId="3BC0DA0C" w14:textId="5304B89D">
      <w:pPr>
        <w:pStyle w:val="Normal"/>
        <w:rPr>
          <w:b w:val="0"/>
          <w:bCs w:val="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889AF1"/>
    <w:rsid w:val="00BC741B"/>
    <w:rsid w:val="0265E842"/>
    <w:rsid w:val="06A7D3DF"/>
    <w:rsid w:val="06B26C89"/>
    <w:rsid w:val="06C25D2D"/>
    <w:rsid w:val="0B24920B"/>
    <w:rsid w:val="0DE10829"/>
    <w:rsid w:val="0DE10829"/>
    <w:rsid w:val="0E74D813"/>
    <w:rsid w:val="1143E534"/>
    <w:rsid w:val="1143E534"/>
    <w:rsid w:val="11BFA8FB"/>
    <w:rsid w:val="120A44B9"/>
    <w:rsid w:val="1355AB5D"/>
    <w:rsid w:val="15899CE9"/>
    <w:rsid w:val="18670D96"/>
    <w:rsid w:val="1A4CD5BC"/>
    <w:rsid w:val="1B842B08"/>
    <w:rsid w:val="1FB3D987"/>
    <w:rsid w:val="2290D031"/>
    <w:rsid w:val="24EE2DD7"/>
    <w:rsid w:val="2791D78E"/>
    <w:rsid w:val="2A563934"/>
    <w:rsid w:val="2ED2B6EA"/>
    <w:rsid w:val="2ED2B6EA"/>
    <w:rsid w:val="2F25AB5C"/>
    <w:rsid w:val="2F25AB5C"/>
    <w:rsid w:val="2FF21F24"/>
    <w:rsid w:val="319C6AEB"/>
    <w:rsid w:val="319C6AEB"/>
    <w:rsid w:val="327C3417"/>
    <w:rsid w:val="3538063F"/>
    <w:rsid w:val="35AC491B"/>
    <w:rsid w:val="3602FE58"/>
    <w:rsid w:val="37C379F0"/>
    <w:rsid w:val="3AE042BD"/>
    <w:rsid w:val="3B503CDA"/>
    <w:rsid w:val="3F439235"/>
    <w:rsid w:val="43BE6DB2"/>
    <w:rsid w:val="440C553F"/>
    <w:rsid w:val="44D9D869"/>
    <w:rsid w:val="45F0BFF4"/>
    <w:rsid w:val="4C438025"/>
    <w:rsid w:val="4C8C0A3C"/>
    <w:rsid w:val="4E39CFE2"/>
    <w:rsid w:val="51ED184B"/>
    <w:rsid w:val="562D6F7D"/>
    <w:rsid w:val="562D6F7D"/>
    <w:rsid w:val="563321A7"/>
    <w:rsid w:val="5A6D22C2"/>
    <w:rsid w:val="5B67AC47"/>
    <w:rsid w:val="5C7957D8"/>
    <w:rsid w:val="5D98F6A4"/>
    <w:rsid w:val="613EEF72"/>
    <w:rsid w:val="62D5D471"/>
    <w:rsid w:val="62E09FCE"/>
    <w:rsid w:val="63239411"/>
    <w:rsid w:val="63D84E29"/>
    <w:rsid w:val="664AC6EE"/>
    <w:rsid w:val="664AC6EE"/>
    <w:rsid w:val="69199B4F"/>
    <w:rsid w:val="6AA66CE6"/>
    <w:rsid w:val="6BFD5A43"/>
    <w:rsid w:val="6F127184"/>
    <w:rsid w:val="6F127184"/>
    <w:rsid w:val="7243E4A2"/>
    <w:rsid w:val="72889AF1"/>
    <w:rsid w:val="77240226"/>
    <w:rsid w:val="777B4B6D"/>
    <w:rsid w:val="7B67CEE8"/>
    <w:rsid w:val="7B7AF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62348"/>
  <w15:chartTrackingRefBased/>
  <w15:docId w15:val="{0442D925-AEDF-4155-8EF8-B04CB518CA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C7957D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577459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Bernarda Candido (2335282)</dc:creator>
  <keywords/>
  <dc:description/>
  <lastModifiedBy>Bernarda Candido (2335282)</lastModifiedBy>
  <revision>2</revision>
  <dcterms:created xsi:type="dcterms:W3CDTF">2026-08-14T09:15:17.4534225Z</dcterms:created>
  <dcterms:modified xsi:type="dcterms:W3CDTF">2026-08-14T10:48:31.7587408Z</dcterms:modified>
</coreProperties>
</file>