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71BC5F" w14:textId="0BEA4734" w:rsidR="00603AE8" w:rsidRPr="00603AE8" w:rsidRDefault="00603AE8" w:rsidP="00DC09CD">
      <w:pPr>
        <w:spacing w:line="360" w:lineRule="auto"/>
        <w:rPr>
          <w:rFonts w:asciiTheme="majorBidi" w:hAnsiTheme="majorBidi" w:cstheme="majorBidi"/>
          <w:sz w:val="24"/>
          <w:szCs w:val="24"/>
        </w:rPr>
      </w:pPr>
      <w:r w:rsidRPr="00603AE8">
        <w:rPr>
          <w:rFonts w:asciiTheme="majorBidi" w:hAnsiTheme="majorBidi" w:cstheme="majorBidi"/>
          <w:sz w:val="24"/>
          <w:szCs w:val="24"/>
        </w:rPr>
        <w:t>Abstract:</w:t>
      </w:r>
    </w:p>
    <w:p w14:paraId="2E54DE64" w14:textId="7F6093A3" w:rsidR="00627794" w:rsidRDefault="00603AE8" w:rsidP="00DC09CD">
      <w:pPr>
        <w:spacing w:line="360" w:lineRule="auto"/>
        <w:rPr>
          <w:rFonts w:asciiTheme="majorBidi" w:hAnsiTheme="majorBidi" w:cstheme="majorBidi"/>
          <w:sz w:val="24"/>
          <w:szCs w:val="24"/>
        </w:rPr>
      </w:pPr>
      <w:r w:rsidRPr="00603AE8">
        <w:rPr>
          <w:rFonts w:asciiTheme="majorBidi" w:hAnsiTheme="majorBidi" w:cstheme="majorBidi"/>
          <w:sz w:val="24"/>
          <w:szCs w:val="24"/>
        </w:rPr>
        <w:t>Whilst female athletes are restricted to compete in six weight categories, the fear in which this may exploit certain physiological difficulties and enhance the risk of disorders such as Relative Energy Deficiency in Sport (RED-S) and The Female Athlete Triad Syndrome (FATS). Additionally, it has been hypothesised that the weight-cutting phase for competitive preparation may affect athletes' psychological health. In previous research, particular weight reduction strategies used by female athletes have been found to include, calorie restriction, fluid manipulation, increased training intensity, and sauna use. However, limited research has been conducted with female athletes who compete in combat sports, exposing a gap in the knowledge of the possible dangers of sustained reduced body mass  (Hillier, 2019).</w:t>
      </w:r>
      <w:r>
        <w:rPr>
          <w:rFonts w:asciiTheme="majorBidi" w:hAnsiTheme="majorBidi" w:cstheme="majorBidi"/>
          <w:sz w:val="24"/>
          <w:szCs w:val="24"/>
        </w:rPr>
        <w:t xml:space="preserve"> </w:t>
      </w:r>
      <w:r w:rsidRPr="00603AE8">
        <w:rPr>
          <w:rFonts w:asciiTheme="majorBidi" w:hAnsiTheme="majorBidi" w:cstheme="majorBidi"/>
          <w:sz w:val="24"/>
          <w:szCs w:val="24"/>
        </w:rPr>
        <w:t>Sports science has become interested in RED-S and FATS, which have appeared to have an impact on the physiological and psychological characteristics of athlete performance in both genders. Due to the links between menstruation abnormalities, an inadequate supply of energy, and a decrease in bone mineral density, FATS has traditionally been linked to females. In contrast, RED-S affects both genders and is characterised by low energy availability, which also causes irregular menstruation and decreased bone mineral density and much more (Nazem and Ackerman, 2012; Burke et al., 2018).</w:t>
      </w:r>
      <w:r>
        <w:rPr>
          <w:rFonts w:asciiTheme="majorBidi" w:hAnsiTheme="majorBidi" w:cstheme="majorBidi"/>
          <w:sz w:val="24"/>
          <w:szCs w:val="24"/>
        </w:rPr>
        <w:t xml:space="preserve"> </w:t>
      </w:r>
      <w:r w:rsidR="00A54DD6">
        <w:rPr>
          <w:rFonts w:ascii="Times New Roman" w:hAnsi="Times New Roman" w:cs="Times New Roman"/>
          <w:sz w:val="24"/>
          <w:szCs w:val="24"/>
        </w:rPr>
        <w:t xml:space="preserve">The overall aim of this study was to understand and identify if female Mixed Martial Arts (MMA) athletes were at risk of RED-S (Relative energy deficiency in Sport) and/or FAT-S (Female Athlete Triad Syndrome), whilst in the cutting weight phase of their fight camp before combative competition. </w:t>
      </w:r>
      <w:r w:rsidR="00131203" w:rsidRPr="00131203">
        <w:rPr>
          <w:rFonts w:asciiTheme="majorBidi" w:hAnsiTheme="majorBidi" w:cstheme="majorBidi"/>
          <w:sz w:val="24"/>
          <w:szCs w:val="24"/>
        </w:rPr>
        <w:t>The current study used a mixed-method approach to fill the research gap, utilising the validated screening tool RWL-Q (</w:t>
      </w:r>
      <w:proofErr w:type="spellStart"/>
      <w:r w:rsidR="00131203" w:rsidRPr="00131203">
        <w:rPr>
          <w:rFonts w:asciiTheme="majorBidi" w:hAnsiTheme="majorBidi" w:cstheme="majorBidi"/>
          <w:sz w:val="24"/>
          <w:szCs w:val="24"/>
        </w:rPr>
        <w:t>Artioli</w:t>
      </w:r>
      <w:proofErr w:type="spellEnd"/>
      <w:r w:rsidR="00131203" w:rsidRPr="00131203">
        <w:rPr>
          <w:rFonts w:asciiTheme="majorBidi" w:hAnsiTheme="majorBidi" w:cstheme="majorBidi"/>
          <w:sz w:val="24"/>
          <w:szCs w:val="24"/>
        </w:rPr>
        <w:t xml:space="preserve"> et al., 2010) in addition to questions specially designed for female athletes in combat sports. The investigated psychological aspects include changes of mood and confidence levels, as well as physiological changes related to weight, weight-cutting routines, and menstrual cycles. </w:t>
      </w:r>
      <w:r w:rsidR="003304D1" w:rsidRPr="003304D1">
        <w:rPr>
          <w:rFonts w:asciiTheme="majorBidi" w:hAnsiTheme="majorBidi" w:cstheme="majorBidi"/>
          <w:sz w:val="24"/>
          <w:szCs w:val="24"/>
        </w:rPr>
        <w:t xml:space="preserve">The study included a total of 20 female participants with ages ranging from 19 to 41 (mean 29 + 7 years). All of the athletes were active in combat sports and had engaged in a weight-cut previous to competition. </w:t>
      </w:r>
      <w:r w:rsidR="00E17515">
        <w:rPr>
          <w:rFonts w:asciiTheme="majorBidi" w:hAnsiTheme="majorBidi" w:cstheme="majorBidi"/>
          <w:sz w:val="24"/>
          <w:szCs w:val="24"/>
        </w:rPr>
        <w:t xml:space="preserve">Participants </w:t>
      </w:r>
      <w:r w:rsidR="003304D1" w:rsidRPr="003304D1">
        <w:rPr>
          <w:rFonts w:asciiTheme="majorBidi" w:hAnsiTheme="majorBidi" w:cstheme="majorBidi"/>
          <w:sz w:val="24"/>
          <w:szCs w:val="24"/>
        </w:rPr>
        <w:t>were also divided into the heavy (65.8kg+) and light (-61.2kg) weight categories</w:t>
      </w:r>
      <w:r w:rsidR="00E17515">
        <w:rPr>
          <w:rFonts w:asciiTheme="majorBidi" w:hAnsiTheme="majorBidi" w:cstheme="majorBidi"/>
          <w:sz w:val="24"/>
          <w:szCs w:val="24"/>
        </w:rPr>
        <w:t xml:space="preserve"> based on their typical competition division</w:t>
      </w:r>
      <w:r w:rsidR="003304D1" w:rsidRPr="003304D1">
        <w:rPr>
          <w:rFonts w:asciiTheme="majorBidi" w:hAnsiTheme="majorBidi" w:cstheme="majorBidi"/>
          <w:sz w:val="24"/>
          <w:szCs w:val="24"/>
        </w:rPr>
        <w:t>. The main conclusions centred on how much weight participants typically lost during the weight-cutting procedure</w:t>
      </w:r>
      <w:r w:rsidR="00B74DF4">
        <w:rPr>
          <w:rFonts w:asciiTheme="majorBidi" w:hAnsiTheme="majorBidi" w:cstheme="majorBidi"/>
          <w:sz w:val="24"/>
          <w:szCs w:val="24"/>
        </w:rPr>
        <w:t>. 63% of the participant total lost between 1-5kgs, 37% lost between 6-8kg and 5% lost more than 8kg.</w:t>
      </w:r>
      <w:r w:rsidR="003304D1" w:rsidRPr="003304D1">
        <w:rPr>
          <w:rFonts w:asciiTheme="majorBidi" w:hAnsiTheme="majorBidi" w:cstheme="majorBidi"/>
          <w:sz w:val="24"/>
          <w:szCs w:val="24"/>
        </w:rPr>
        <w:t xml:space="preserve"> </w:t>
      </w:r>
      <w:r w:rsidR="00B74DF4">
        <w:rPr>
          <w:rFonts w:asciiTheme="majorBidi" w:hAnsiTheme="majorBidi" w:cstheme="majorBidi"/>
          <w:sz w:val="24"/>
          <w:szCs w:val="24"/>
        </w:rPr>
        <w:t xml:space="preserve">The amount of </w:t>
      </w:r>
      <w:r w:rsidR="003304D1" w:rsidRPr="003304D1">
        <w:rPr>
          <w:rFonts w:asciiTheme="majorBidi" w:hAnsiTheme="majorBidi" w:cstheme="majorBidi"/>
          <w:sz w:val="24"/>
          <w:szCs w:val="24"/>
        </w:rPr>
        <w:t xml:space="preserve">weight </w:t>
      </w:r>
      <w:r w:rsidR="00B74DF4">
        <w:rPr>
          <w:rFonts w:asciiTheme="majorBidi" w:hAnsiTheme="majorBidi" w:cstheme="majorBidi"/>
          <w:sz w:val="24"/>
          <w:szCs w:val="24"/>
        </w:rPr>
        <w:t>participants</w:t>
      </w:r>
      <w:r w:rsidR="003304D1" w:rsidRPr="003304D1">
        <w:rPr>
          <w:rFonts w:asciiTheme="majorBidi" w:hAnsiTheme="majorBidi" w:cstheme="majorBidi"/>
          <w:sz w:val="24"/>
          <w:szCs w:val="24"/>
        </w:rPr>
        <w:t xml:space="preserve"> typically gain</w:t>
      </w:r>
      <w:r w:rsidR="00B74DF4">
        <w:rPr>
          <w:rFonts w:asciiTheme="majorBidi" w:hAnsiTheme="majorBidi" w:cstheme="majorBidi"/>
          <w:sz w:val="24"/>
          <w:szCs w:val="24"/>
        </w:rPr>
        <w:t>ed</w:t>
      </w:r>
      <w:r w:rsidR="003304D1" w:rsidRPr="003304D1">
        <w:rPr>
          <w:rFonts w:asciiTheme="majorBidi" w:hAnsiTheme="majorBidi" w:cstheme="majorBidi"/>
          <w:sz w:val="24"/>
          <w:szCs w:val="24"/>
        </w:rPr>
        <w:t xml:space="preserve"> one week after the competition</w:t>
      </w:r>
      <w:r w:rsidR="00B74DF4">
        <w:rPr>
          <w:rFonts w:asciiTheme="majorBidi" w:hAnsiTheme="majorBidi" w:cstheme="majorBidi"/>
          <w:sz w:val="24"/>
          <w:szCs w:val="24"/>
        </w:rPr>
        <w:t>. 68% of the total group regained between 1-5kg, 26% regained between 6-10kg and 5% regained more than 10kg</w:t>
      </w:r>
      <w:r w:rsidR="003304D1" w:rsidRPr="003304D1">
        <w:rPr>
          <w:rFonts w:asciiTheme="majorBidi" w:hAnsiTheme="majorBidi" w:cstheme="majorBidi"/>
          <w:sz w:val="24"/>
          <w:szCs w:val="24"/>
        </w:rPr>
        <w:t xml:space="preserve">. </w:t>
      </w:r>
      <w:r w:rsidR="003304D1">
        <w:rPr>
          <w:rFonts w:asciiTheme="majorBidi" w:hAnsiTheme="majorBidi" w:cstheme="majorBidi"/>
          <w:sz w:val="24"/>
          <w:szCs w:val="24"/>
        </w:rPr>
        <w:lastRenderedPageBreak/>
        <w:t>P</w:t>
      </w:r>
      <w:r w:rsidR="003304D1" w:rsidRPr="003304D1">
        <w:rPr>
          <w:rFonts w:asciiTheme="majorBidi" w:hAnsiTheme="majorBidi" w:cstheme="majorBidi"/>
          <w:sz w:val="24"/>
          <w:szCs w:val="24"/>
        </w:rPr>
        <w:t>sychological influences and physiological effects on menstrual periods,</w:t>
      </w:r>
      <w:r w:rsidR="003304D1" w:rsidRPr="003304D1">
        <w:t xml:space="preserve"> </w:t>
      </w:r>
      <w:r w:rsidR="003304D1" w:rsidRPr="003304D1">
        <w:rPr>
          <w:rFonts w:asciiTheme="majorBidi" w:hAnsiTheme="majorBidi" w:cstheme="majorBidi"/>
          <w:sz w:val="24"/>
          <w:szCs w:val="24"/>
        </w:rPr>
        <w:t>such as, changes in mood and confidence that occurred during the weight reduction period were investigated</w:t>
      </w:r>
      <w:r w:rsidR="00A54DD6">
        <w:rPr>
          <w:rFonts w:asciiTheme="majorBidi" w:hAnsiTheme="majorBidi" w:cstheme="majorBidi"/>
          <w:sz w:val="24"/>
          <w:szCs w:val="24"/>
        </w:rPr>
        <w:t xml:space="preserve">. </w:t>
      </w:r>
      <w:r w:rsidR="00A54DD6" w:rsidRPr="00A54DD6">
        <w:rPr>
          <w:rFonts w:asciiTheme="majorBidi" w:hAnsiTheme="majorBidi" w:cstheme="majorBidi"/>
          <w:sz w:val="24"/>
          <w:szCs w:val="24"/>
        </w:rPr>
        <w:t xml:space="preserve">The results of the study provided an insight on the physiological and psychological effects of weight cutting on female combat athletes. </w:t>
      </w:r>
      <w:r w:rsidR="00627794">
        <w:rPr>
          <w:rFonts w:asciiTheme="majorBidi" w:hAnsiTheme="majorBidi" w:cstheme="majorBidi"/>
          <w:sz w:val="24"/>
          <w:szCs w:val="24"/>
        </w:rPr>
        <w:t xml:space="preserve">The </w:t>
      </w:r>
      <w:r w:rsidR="0039276C">
        <w:rPr>
          <w:rFonts w:asciiTheme="majorBidi" w:hAnsiTheme="majorBidi" w:cstheme="majorBidi"/>
          <w:sz w:val="24"/>
          <w:szCs w:val="24"/>
        </w:rPr>
        <w:t xml:space="preserve">have shown a similarity to current studies such as </w:t>
      </w:r>
      <w:r w:rsidR="00203E9D" w:rsidRPr="00603AE8">
        <w:rPr>
          <w:rFonts w:asciiTheme="majorBidi" w:hAnsiTheme="majorBidi" w:cstheme="majorBidi"/>
          <w:sz w:val="24"/>
          <w:szCs w:val="24"/>
        </w:rPr>
        <w:t>Nazem and Ackerman, 2012</w:t>
      </w:r>
      <w:r w:rsidR="00203E9D">
        <w:rPr>
          <w:rFonts w:asciiTheme="majorBidi" w:hAnsiTheme="majorBidi" w:cstheme="majorBidi"/>
          <w:sz w:val="24"/>
          <w:szCs w:val="24"/>
        </w:rPr>
        <w:t xml:space="preserve">; </w:t>
      </w:r>
      <w:r w:rsidR="00203E9D" w:rsidRPr="00603AE8">
        <w:rPr>
          <w:rFonts w:asciiTheme="majorBidi" w:hAnsiTheme="majorBidi" w:cstheme="majorBidi"/>
          <w:sz w:val="24"/>
          <w:szCs w:val="24"/>
        </w:rPr>
        <w:t xml:space="preserve">Burke </w:t>
      </w:r>
      <w:r w:rsidR="00203E9D" w:rsidRPr="00567C3D">
        <w:rPr>
          <w:rFonts w:asciiTheme="majorBidi" w:hAnsiTheme="majorBidi" w:cstheme="majorBidi"/>
          <w:i/>
          <w:iCs/>
          <w:sz w:val="24"/>
          <w:szCs w:val="24"/>
        </w:rPr>
        <w:t>et al</w:t>
      </w:r>
      <w:r w:rsidR="00203E9D" w:rsidRPr="00603AE8">
        <w:rPr>
          <w:rFonts w:asciiTheme="majorBidi" w:hAnsiTheme="majorBidi" w:cstheme="majorBidi"/>
          <w:sz w:val="24"/>
          <w:szCs w:val="24"/>
        </w:rPr>
        <w:t>., 2018</w:t>
      </w:r>
      <w:r w:rsidR="00203E9D">
        <w:rPr>
          <w:rFonts w:asciiTheme="majorBidi" w:hAnsiTheme="majorBidi" w:cstheme="majorBidi"/>
          <w:sz w:val="24"/>
          <w:szCs w:val="24"/>
        </w:rPr>
        <w:t xml:space="preserve"> and Thomas </w:t>
      </w:r>
      <w:r w:rsidR="00567C3D" w:rsidRPr="00567C3D">
        <w:rPr>
          <w:rFonts w:asciiTheme="majorBidi" w:hAnsiTheme="majorBidi" w:cstheme="majorBidi"/>
          <w:i/>
          <w:iCs/>
          <w:sz w:val="24"/>
          <w:szCs w:val="24"/>
        </w:rPr>
        <w:t>et al</w:t>
      </w:r>
      <w:r w:rsidR="00567C3D">
        <w:rPr>
          <w:rFonts w:asciiTheme="majorBidi" w:hAnsiTheme="majorBidi" w:cstheme="majorBidi"/>
          <w:sz w:val="24"/>
          <w:szCs w:val="24"/>
        </w:rPr>
        <w:t>., 2021.</w:t>
      </w:r>
    </w:p>
    <w:p w14:paraId="66AF19D9" w14:textId="4BD7BC05" w:rsidR="00603AE8" w:rsidRDefault="00A54DD6" w:rsidP="00DC09CD">
      <w:pPr>
        <w:spacing w:line="360" w:lineRule="auto"/>
        <w:rPr>
          <w:rFonts w:asciiTheme="majorBidi" w:hAnsiTheme="majorBidi" w:cstheme="majorBidi"/>
          <w:sz w:val="24"/>
          <w:szCs w:val="24"/>
        </w:rPr>
      </w:pPr>
      <w:r w:rsidRPr="00A54DD6">
        <w:rPr>
          <w:rFonts w:asciiTheme="majorBidi" w:hAnsiTheme="majorBidi" w:cstheme="majorBidi"/>
          <w:sz w:val="24"/>
          <w:szCs w:val="24"/>
        </w:rPr>
        <w:t>Establishing methods to reduce the risks connected with weight cut practises, requires an understanding of these consequences. To create evidence-based recommendations and protect the safety of female athletes participating in combat sports and weight-cut techniques, more study in this area is required.</w:t>
      </w:r>
    </w:p>
    <w:p w14:paraId="0CDC588C" w14:textId="77777777" w:rsidR="006E5034" w:rsidRDefault="006E5034" w:rsidP="00603AE8">
      <w:pPr>
        <w:spacing w:line="360" w:lineRule="auto"/>
        <w:rPr>
          <w:rFonts w:asciiTheme="majorBidi" w:hAnsiTheme="majorBidi" w:cstheme="majorBidi"/>
          <w:sz w:val="24"/>
          <w:szCs w:val="24"/>
        </w:rPr>
      </w:pPr>
    </w:p>
    <w:p w14:paraId="6A3F72A3" w14:textId="77777777" w:rsidR="005530E9" w:rsidRDefault="005530E9" w:rsidP="00603AE8">
      <w:pPr>
        <w:spacing w:line="360" w:lineRule="auto"/>
        <w:rPr>
          <w:rFonts w:asciiTheme="majorBidi" w:hAnsiTheme="majorBidi" w:cstheme="majorBidi"/>
          <w:sz w:val="24"/>
          <w:szCs w:val="24"/>
        </w:rPr>
      </w:pPr>
    </w:p>
    <w:p w14:paraId="53268059" w14:textId="77777777" w:rsidR="005530E9" w:rsidRDefault="005530E9" w:rsidP="00603AE8">
      <w:pPr>
        <w:spacing w:line="360" w:lineRule="auto"/>
        <w:rPr>
          <w:rFonts w:asciiTheme="majorBidi" w:hAnsiTheme="majorBidi" w:cstheme="majorBidi"/>
          <w:sz w:val="24"/>
          <w:szCs w:val="24"/>
        </w:rPr>
      </w:pPr>
    </w:p>
    <w:p w14:paraId="0F935594" w14:textId="77777777" w:rsidR="005530E9" w:rsidRDefault="005530E9" w:rsidP="00603AE8">
      <w:pPr>
        <w:spacing w:line="360" w:lineRule="auto"/>
        <w:rPr>
          <w:rFonts w:asciiTheme="majorBidi" w:hAnsiTheme="majorBidi" w:cstheme="majorBidi"/>
          <w:sz w:val="24"/>
          <w:szCs w:val="24"/>
        </w:rPr>
      </w:pPr>
    </w:p>
    <w:p w14:paraId="0FB07509" w14:textId="77777777" w:rsidR="005530E9" w:rsidRDefault="005530E9" w:rsidP="00603AE8">
      <w:pPr>
        <w:spacing w:line="360" w:lineRule="auto"/>
        <w:rPr>
          <w:rFonts w:asciiTheme="majorBidi" w:hAnsiTheme="majorBidi" w:cstheme="majorBidi"/>
          <w:sz w:val="24"/>
          <w:szCs w:val="24"/>
        </w:rPr>
      </w:pPr>
    </w:p>
    <w:p w14:paraId="681848A2" w14:textId="77777777" w:rsidR="005530E9" w:rsidRDefault="005530E9" w:rsidP="00603AE8">
      <w:pPr>
        <w:spacing w:line="360" w:lineRule="auto"/>
        <w:rPr>
          <w:rFonts w:asciiTheme="majorBidi" w:hAnsiTheme="majorBidi" w:cstheme="majorBidi"/>
          <w:sz w:val="24"/>
          <w:szCs w:val="24"/>
        </w:rPr>
      </w:pPr>
    </w:p>
    <w:p w14:paraId="5F428A6E" w14:textId="77777777" w:rsidR="005530E9" w:rsidRDefault="005530E9" w:rsidP="00603AE8">
      <w:pPr>
        <w:spacing w:line="360" w:lineRule="auto"/>
        <w:rPr>
          <w:rFonts w:asciiTheme="majorBidi" w:hAnsiTheme="majorBidi" w:cstheme="majorBidi"/>
          <w:sz w:val="24"/>
          <w:szCs w:val="24"/>
        </w:rPr>
      </w:pPr>
    </w:p>
    <w:p w14:paraId="3388A301" w14:textId="77777777" w:rsidR="005530E9" w:rsidRDefault="005530E9" w:rsidP="00603AE8">
      <w:pPr>
        <w:spacing w:line="360" w:lineRule="auto"/>
        <w:rPr>
          <w:rFonts w:asciiTheme="majorBidi" w:hAnsiTheme="majorBidi" w:cstheme="majorBidi"/>
          <w:sz w:val="24"/>
          <w:szCs w:val="24"/>
        </w:rPr>
      </w:pPr>
    </w:p>
    <w:p w14:paraId="4E4A7022" w14:textId="77777777" w:rsidR="005530E9" w:rsidRDefault="005530E9" w:rsidP="00603AE8">
      <w:pPr>
        <w:spacing w:line="360" w:lineRule="auto"/>
        <w:rPr>
          <w:rFonts w:asciiTheme="majorBidi" w:hAnsiTheme="majorBidi" w:cstheme="majorBidi"/>
          <w:sz w:val="24"/>
          <w:szCs w:val="24"/>
        </w:rPr>
      </w:pPr>
    </w:p>
    <w:p w14:paraId="19F16918" w14:textId="77777777" w:rsidR="005530E9" w:rsidRDefault="005530E9" w:rsidP="00603AE8">
      <w:pPr>
        <w:spacing w:line="360" w:lineRule="auto"/>
        <w:rPr>
          <w:rFonts w:asciiTheme="majorBidi" w:hAnsiTheme="majorBidi" w:cstheme="majorBidi"/>
          <w:sz w:val="24"/>
          <w:szCs w:val="24"/>
        </w:rPr>
      </w:pPr>
    </w:p>
    <w:p w14:paraId="4BC597EC" w14:textId="77777777" w:rsidR="005530E9" w:rsidRDefault="005530E9" w:rsidP="00603AE8">
      <w:pPr>
        <w:spacing w:line="360" w:lineRule="auto"/>
        <w:rPr>
          <w:rFonts w:asciiTheme="majorBidi" w:hAnsiTheme="majorBidi" w:cstheme="majorBidi"/>
          <w:sz w:val="24"/>
          <w:szCs w:val="24"/>
        </w:rPr>
      </w:pPr>
    </w:p>
    <w:p w14:paraId="2AE56949" w14:textId="77777777" w:rsidR="005530E9" w:rsidRDefault="005530E9" w:rsidP="00603AE8">
      <w:pPr>
        <w:spacing w:line="360" w:lineRule="auto"/>
        <w:rPr>
          <w:rFonts w:asciiTheme="majorBidi" w:hAnsiTheme="majorBidi" w:cstheme="majorBidi"/>
          <w:sz w:val="24"/>
          <w:szCs w:val="24"/>
        </w:rPr>
      </w:pPr>
    </w:p>
    <w:p w14:paraId="597A267B" w14:textId="77777777" w:rsidR="005530E9" w:rsidRDefault="005530E9" w:rsidP="00603AE8">
      <w:pPr>
        <w:spacing w:line="360" w:lineRule="auto"/>
        <w:rPr>
          <w:rFonts w:asciiTheme="majorBidi" w:hAnsiTheme="majorBidi" w:cstheme="majorBidi"/>
          <w:sz w:val="24"/>
          <w:szCs w:val="24"/>
        </w:rPr>
      </w:pPr>
    </w:p>
    <w:p w14:paraId="62212FFD" w14:textId="77777777" w:rsidR="005530E9" w:rsidRDefault="005530E9" w:rsidP="00603AE8">
      <w:pPr>
        <w:spacing w:line="360" w:lineRule="auto"/>
        <w:rPr>
          <w:rFonts w:asciiTheme="majorBidi" w:hAnsiTheme="majorBidi" w:cstheme="majorBidi"/>
          <w:sz w:val="24"/>
          <w:szCs w:val="24"/>
        </w:rPr>
      </w:pPr>
    </w:p>
    <w:p w14:paraId="261329F8" w14:textId="77777777" w:rsidR="005530E9" w:rsidRDefault="005530E9" w:rsidP="00603AE8">
      <w:pPr>
        <w:spacing w:line="360" w:lineRule="auto"/>
        <w:rPr>
          <w:rFonts w:asciiTheme="majorBidi" w:hAnsiTheme="majorBidi" w:cstheme="majorBidi"/>
          <w:sz w:val="24"/>
          <w:szCs w:val="24"/>
        </w:rPr>
      </w:pPr>
    </w:p>
    <w:p w14:paraId="0982B17C" w14:textId="77777777" w:rsidR="005530E9" w:rsidRDefault="005530E9" w:rsidP="00603AE8">
      <w:pPr>
        <w:spacing w:line="360" w:lineRule="auto"/>
        <w:rPr>
          <w:rFonts w:asciiTheme="majorBidi" w:hAnsiTheme="majorBidi" w:cstheme="majorBidi"/>
          <w:sz w:val="24"/>
          <w:szCs w:val="24"/>
        </w:rPr>
      </w:pPr>
    </w:p>
    <w:p w14:paraId="1C419552" w14:textId="77777777" w:rsidR="005530E9" w:rsidRDefault="005530E9" w:rsidP="00603AE8">
      <w:pPr>
        <w:spacing w:line="360" w:lineRule="auto"/>
        <w:rPr>
          <w:rFonts w:asciiTheme="majorBidi" w:hAnsiTheme="majorBidi" w:cstheme="majorBidi"/>
          <w:sz w:val="24"/>
          <w:szCs w:val="24"/>
        </w:rPr>
      </w:pPr>
    </w:p>
    <w:p w14:paraId="71A1C10F" w14:textId="77777777" w:rsidR="005530E9" w:rsidRDefault="005530E9" w:rsidP="00603AE8">
      <w:pPr>
        <w:spacing w:line="360" w:lineRule="auto"/>
        <w:rPr>
          <w:rFonts w:asciiTheme="majorBidi" w:hAnsiTheme="majorBidi" w:cstheme="majorBidi"/>
          <w:sz w:val="24"/>
          <w:szCs w:val="24"/>
        </w:rPr>
      </w:pPr>
    </w:p>
    <w:p w14:paraId="51B030A5" w14:textId="77777777" w:rsidR="005530E9" w:rsidRDefault="005530E9" w:rsidP="00603AE8">
      <w:pPr>
        <w:spacing w:line="360" w:lineRule="auto"/>
        <w:rPr>
          <w:rFonts w:asciiTheme="majorBidi" w:hAnsiTheme="majorBidi" w:cstheme="majorBidi"/>
          <w:sz w:val="24"/>
          <w:szCs w:val="24"/>
        </w:rPr>
      </w:pPr>
    </w:p>
    <w:p w14:paraId="6414A38F" w14:textId="65784306" w:rsidR="006E5034" w:rsidRDefault="005530E9" w:rsidP="00603AE8">
      <w:pPr>
        <w:spacing w:line="360" w:lineRule="auto"/>
        <w:rPr>
          <w:rFonts w:asciiTheme="majorBidi" w:hAnsiTheme="majorBidi" w:cstheme="majorBidi"/>
          <w:sz w:val="24"/>
          <w:szCs w:val="24"/>
        </w:rPr>
      </w:pPr>
      <w:r>
        <w:rPr>
          <w:rFonts w:asciiTheme="majorBidi" w:hAnsiTheme="majorBidi" w:cstheme="majorBidi"/>
          <w:sz w:val="24"/>
          <w:szCs w:val="24"/>
        </w:rPr>
        <w:t xml:space="preserve">References: </w:t>
      </w:r>
    </w:p>
    <w:p w14:paraId="57725DD5" w14:textId="77777777" w:rsidR="00DC09CD" w:rsidRDefault="00DC09CD" w:rsidP="006E5034">
      <w:pPr>
        <w:spacing w:line="360" w:lineRule="auto"/>
        <w:jc w:val="both"/>
        <w:rPr>
          <w:rFonts w:ascii="Times New Roman" w:hAnsi="Times New Roman" w:cs="Times New Roman"/>
          <w:kern w:val="0"/>
          <w:sz w:val="24"/>
          <w:szCs w:val="24"/>
          <w14:ligatures w14:val="none"/>
        </w:rPr>
      </w:pPr>
      <w:proofErr w:type="spellStart"/>
      <w:r w:rsidRPr="006E5034">
        <w:rPr>
          <w:rFonts w:ascii="Times New Roman" w:hAnsi="Times New Roman" w:cs="Times New Roman"/>
          <w:kern w:val="0"/>
          <w:sz w:val="24"/>
          <w:szCs w:val="24"/>
          <w14:ligatures w14:val="none"/>
        </w:rPr>
        <w:t>Artioli</w:t>
      </w:r>
      <w:proofErr w:type="spellEnd"/>
      <w:r w:rsidRPr="006E5034">
        <w:rPr>
          <w:rFonts w:ascii="Times New Roman" w:hAnsi="Times New Roman" w:cs="Times New Roman"/>
          <w:kern w:val="0"/>
          <w:sz w:val="24"/>
          <w:szCs w:val="24"/>
          <w14:ligatures w14:val="none"/>
        </w:rPr>
        <w:t xml:space="preserve">, G.G., </w:t>
      </w:r>
      <w:proofErr w:type="spellStart"/>
      <w:r w:rsidRPr="006E5034">
        <w:rPr>
          <w:rFonts w:ascii="Times New Roman" w:hAnsi="Times New Roman" w:cs="Times New Roman"/>
          <w:kern w:val="0"/>
          <w:sz w:val="24"/>
          <w:szCs w:val="24"/>
          <w14:ligatures w14:val="none"/>
        </w:rPr>
        <w:t>Gualano</w:t>
      </w:r>
      <w:proofErr w:type="spellEnd"/>
      <w:r w:rsidRPr="006E5034">
        <w:rPr>
          <w:rFonts w:ascii="Times New Roman" w:hAnsi="Times New Roman" w:cs="Times New Roman"/>
          <w:kern w:val="0"/>
          <w:sz w:val="24"/>
          <w:szCs w:val="24"/>
          <w14:ligatures w14:val="none"/>
        </w:rPr>
        <w:t xml:space="preserve">, B., </w:t>
      </w:r>
      <w:proofErr w:type="spellStart"/>
      <w:r w:rsidRPr="006E5034">
        <w:rPr>
          <w:rFonts w:ascii="Times New Roman" w:hAnsi="Times New Roman" w:cs="Times New Roman"/>
          <w:kern w:val="0"/>
          <w:sz w:val="24"/>
          <w:szCs w:val="24"/>
          <w14:ligatures w14:val="none"/>
        </w:rPr>
        <w:t>Franchini</w:t>
      </w:r>
      <w:proofErr w:type="spellEnd"/>
      <w:r w:rsidRPr="006E5034">
        <w:rPr>
          <w:rFonts w:ascii="Times New Roman" w:hAnsi="Times New Roman" w:cs="Times New Roman"/>
          <w:kern w:val="0"/>
          <w:sz w:val="24"/>
          <w:szCs w:val="24"/>
          <w14:ligatures w14:val="none"/>
        </w:rPr>
        <w:t xml:space="preserve">, E., </w:t>
      </w:r>
      <w:proofErr w:type="spellStart"/>
      <w:r w:rsidRPr="006E5034">
        <w:rPr>
          <w:rFonts w:ascii="Times New Roman" w:hAnsi="Times New Roman" w:cs="Times New Roman"/>
          <w:kern w:val="0"/>
          <w:sz w:val="24"/>
          <w:szCs w:val="24"/>
          <w14:ligatures w14:val="none"/>
        </w:rPr>
        <w:t>Scagliusi</w:t>
      </w:r>
      <w:proofErr w:type="spellEnd"/>
      <w:r w:rsidRPr="006E5034">
        <w:rPr>
          <w:rFonts w:ascii="Times New Roman" w:hAnsi="Times New Roman" w:cs="Times New Roman"/>
          <w:kern w:val="0"/>
          <w:sz w:val="24"/>
          <w:szCs w:val="24"/>
          <w14:ligatures w14:val="none"/>
        </w:rPr>
        <w:t xml:space="preserve">, F.B., </w:t>
      </w:r>
      <w:proofErr w:type="spellStart"/>
      <w:r w:rsidRPr="006E5034">
        <w:rPr>
          <w:rFonts w:ascii="Times New Roman" w:hAnsi="Times New Roman" w:cs="Times New Roman"/>
          <w:kern w:val="0"/>
          <w:sz w:val="24"/>
          <w:szCs w:val="24"/>
          <w14:ligatures w14:val="none"/>
        </w:rPr>
        <w:t>Takesian</w:t>
      </w:r>
      <w:proofErr w:type="spellEnd"/>
      <w:r w:rsidRPr="006E5034">
        <w:rPr>
          <w:rFonts w:ascii="Times New Roman" w:hAnsi="Times New Roman" w:cs="Times New Roman"/>
          <w:kern w:val="0"/>
          <w:sz w:val="24"/>
          <w:szCs w:val="24"/>
          <w14:ligatures w14:val="none"/>
        </w:rPr>
        <w:t xml:space="preserve">, M., Fuchs, M., and Lancha Jr, A.H, (2010). Prevalence, magnitude, and methods of rapid weight loss among judo competitors. Medicine and Science in sports and exercise, 42(3), 436-442. Available at: </w:t>
      </w:r>
      <w:hyperlink r:id="rId4" w:history="1">
        <w:r w:rsidRPr="006E5034">
          <w:rPr>
            <w:rFonts w:ascii="Times New Roman" w:hAnsi="Times New Roman" w:cs="Times New Roman"/>
            <w:kern w:val="0"/>
            <w:sz w:val="24"/>
            <w:szCs w:val="24"/>
            <w:u w:val="single"/>
            <w14:ligatures w14:val="none"/>
          </w:rPr>
          <w:t>https://doi.org/10.1249/mss.0b013e3181ba8055</w:t>
        </w:r>
      </w:hyperlink>
      <w:r w:rsidRPr="006E5034">
        <w:rPr>
          <w:rFonts w:ascii="Times New Roman" w:hAnsi="Times New Roman" w:cs="Times New Roman"/>
          <w:kern w:val="0"/>
          <w:sz w:val="24"/>
          <w:szCs w:val="24"/>
          <w14:ligatures w14:val="none"/>
        </w:rPr>
        <w:t xml:space="preserve"> Accessed: 24</w:t>
      </w:r>
      <w:r w:rsidRPr="006E5034">
        <w:rPr>
          <w:rFonts w:ascii="Times New Roman" w:hAnsi="Times New Roman" w:cs="Times New Roman"/>
          <w:kern w:val="0"/>
          <w:sz w:val="24"/>
          <w:szCs w:val="24"/>
          <w:vertAlign w:val="superscript"/>
          <w14:ligatures w14:val="none"/>
        </w:rPr>
        <w:t>th</w:t>
      </w:r>
      <w:r w:rsidRPr="006E5034">
        <w:rPr>
          <w:rFonts w:ascii="Times New Roman" w:hAnsi="Times New Roman" w:cs="Times New Roman"/>
          <w:kern w:val="0"/>
          <w:sz w:val="24"/>
          <w:szCs w:val="24"/>
          <w14:ligatures w14:val="none"/>
        </w:rPr>
        <w:t xml:space="preserve"> October 2022</w:t>
      </w:r>
    </w:p>
    <w:p w14:paraId="59869F73" w14:textId="77777777" w:rsidR="00DC09CD" w:rsidRDefault="00DC09CD" w:rsidP="006E5034">
      <w:pPr>
        <w:spacing w:line="360" w:lineRule="auto"/>
        <w:jc w:val="both"/>
        <w:rPr>
          <w:rFonts w:ascii="Times New Roman" w:hAnsi="Times New Roman" w:cs="Times New Roman"/>
          <w:kern w:val="0"/>
          <w:sz w:val="24"/>
          <w:szCs w:val="24"/>
          <w:shd w:val="clear" w:color="auto" w:fill="FFFFFF"/>
          <w14:ligatures w14:val="none"/>
        </w:rPr>
      </w:pPr>
      <w:r w:rsidRPr="006E5034">
        <w:rPr>
          <w:rFonts w:ascii="Times New Roman" w:hAnsi="Times New Roman" w:cs="Times New Roman"/>
          <w:kern w:val="0"/>
          <w:sz w:val="24"/>
          <w:szCs w:val="24"/>
          <w:shd w:val="clear" w:color="auto" w:fill="FFFFFF"/>
          <w14:ligatures w14:val="none"/>
        </w:rPr>
        <w:t xml:space="preserve">Burke, L.M., Close, G.L., Lundy, B., Mooses, M., Morton, J.P. and </w:t>
      </w:r>
      <w:proofErr w:type="spellStart"/>
      <w:r w:rsidRPr="006E5034">
        <w:rPr>
          <w:rFonts w:ascii="Times New Roman" w:hAnsi="Times New Roman" w:cs="Times New Roman"/>
          <w:kern w:val="0"/>
          <w:sz w:val="24"/>
          <w:szCs w:val="24"/>
          <w:shd w:val="clear" w:color="auto" w:fill="FFFFFF"/>
          <w14:ligatures w14:val="none"/>
        </w:rPr>
        <w:t>Tenforde</w:t>
      </w:r>
      <w:proofErr w:type="spellEnd"/>
      <w:r w:rsidRPr="006E5034">
        <w:rPr>
          <w:rFonts w:ascii="Times New Roman" w:hAnsi="Times New Roman" w:cs="Times New Roman"/>
          <w:kern w:val="0"/>
          <w:sz w:val="24"/>
          <w:szCs w:val="24"/>
          <w:shd w:val="clear" w:color="auto" w:fill="FFFFFF"/>
          <w14:ligatures w14:val="none"/>
        </w:rPr>
        <w:t>, A.S., 2018. Relative energy deficiency in sport in male athletes: a commentary on its presentation among selected groups of male athletes. </w:t>
      </w:r>
      <w:r w:rsidRPr="006E5034">
        <w:rPr>
          <w:rFonts w:ascii="Times New Roman" w:hAnsi="Times New Roman" w:cs="Times New Roman"/>
          <w:i/>
          <w:iCs/>
          <w:kern w:val="0"/>
          <w:sz w:val="24"/>
          <w:szCs w:val="24"/>
          <w:shd w:val="clear" w:color="auto" w:fill="FFFFFF"/>
          <w14:ligatures w14:val="none"/>
        </w:rPr>
        <w:t>International journal of sport nutrition and exercise metabolism</w:t>
      </w:r>
      <w:r w:rsidRPr="006E5034">
        <w:rPr>
          <w:rFonts w:ascii="Times New Roman" w:hAnsi="Times New Roman" w:cs="Times New Roman"/>
          <w:kern w:val="0"/>
          <w:sz w:val="24"/>
          <w:szCs w:val="24"/>
          <w:shd w:val="clear" w:color="auto" w:fill="FFFFFF"/>
          <w14:ligatures w14:val="none"/>
        </w:rPr>
        <w:t>, </w:t>
      </w:r>
      <w:r w:rsidRPr="006E5034">
        <w:rPr>
          <w:rFonts w:ascii="Times New Roman" w:hAnsi="Times New Roman" w:cs="Times New Roman"/>
          <w:i/>
          <w:iCs/>
          <w:kern w:val="0"/>
          <w:sz w:val="24"/>
          <w:szCs w:val="24"/>
          <w:shd w:val="clear" w:color="auto" w:fill="FFFFFF"/>
          <w14:ligatures w14:val="none"/>
        </w:rPr>
        <w:t>28</w:t>
      </w:r>
      <w:r w:rsidRPr="006E5034">
        <w:rPr>
          <w:rFonts w:ascii="Times New Roman" w:hAnsi="Times New Roman" w:cs="Times New Roman"/>
          <w:kern w:val="0"/>
          <w:sz w:val="24"/>
          <w:szCs w:val="24"/>
          <w:shd w:val="clear" w:color="auto" w:fill="FFFFFF"/>
          <w14:ligatures w14:val="none"/>
        </w:rPr>
        <w:t xml:space="preserve">(4), pp.364-374. </w:t>
      </w:r>
      <w:hyperlink r:id="rId5" w:history="1">
        <w:r w:rsidRPr="006E5034">
          <w:rPr>
            <w:rStyle w:val="Hyperlink"/>
            <w:rFonts w:ascii="Times New Roman" w:hAnsi="Times New Roman" w:cs="Times New Roman"/>
            <w:kern w:val="0"/>
            <w:sz w:val="24"/>
            <w:szCs w:val="24"/>
            <w:shd w:val="clear" w:color="auto" w:fill="FFFFFF"/>
            <w14:ligatures w14:val="none"/>
          </w:rPr>
          <w:t>https://doi.org/10.1123/ijsnem.2018-0182</w:t>
        </w:r>
      </w:hyperlink>
    </w:p>
    <w:p w14:paraId="1C9FEE46" w14:textId="77777777" w:rsidR="00DC09CD" w:rsidRDefault="00DC09CD" w:rsidP="00603AE8">
      <w:pPr>
        <w:spacing w:line="360" w:lineRule="auto"/>
        <w:rPr>
          <w:rFonts w:asciiTheme="majorBidi" w:hAnsiTheme="majorBidi" w:cstheme="majorBidi"/>
          <w:sz w:val="24"/>
          <w:szCs w:val="24"/>
        </w:rPr>
      </w:pPr>
      <w:r w:rsidRPr="006E5034">
        <w:rPr>
          <w:rFonts w:asciiTheme="majorBidi" w:hAnsiTheme="majorBidi" w:cstheme="majorBidi"/>
          <w:sz w:val="24"/>
          <w:szCs w:val="24"/>
        </w:rPr>
        <w:t xml:space="preserve">Hillier, M., Sutton, L., James, L., </w:t>
      </w:r>
      <w:proofErr w:type="spellStart"/>
      <w:r w:rsidRPr="006E5034">
        <w:rPr>
          <w:rFonts w:asciiTheme="majorBidi" w:hAnsiTheme="majorBidi" w:cstheme="majorBidi"/>
          <w:sz w:val="24"/>
          <w:szCs w:val="24"/>
        </w:rPr>
        <w:t>Mojtahedi</w:t>
      </w:r>
      <w:proofErr w:type="spellEnd"/>
      <w:r w:rsidRPr="006E5034">
        <w:rPr>
          <w:rFonts w:asciiTheme="majorBidi" w:hAnsiTheme="majorBidi" w:cstheme="majorBidi"/>
          <w:sz w:val="24"/>
          <w:szCs w:val="24"/>
        </w:rPr>
        <w:t xml:space="preserve">, D., </w:t>
      </w:r>
      <w:proofErr w:type="spellStart"/>
      <w:r w:rsidRPr="006E5034">
        <w:rPr>
          <w:rFonts w:asciiTheme="majorBidi" w:hAnsiTheme="majorBidi" w:cstheme="majorBidi"/>
          <w:sz w:val="24"/>
          <w:szCs w:val="24"/>
        </w:rPr>
        <w:t>Keay</w:t>
      </w:r>
      <w:proofErr w:type="spellEnd"/>
      <w:r w:rsidRPr="006E5034">
        <w:rPr>
          <w:rFonts w:asciiTheme="majorBidi" w:hAnsiTheme="majorBidi" w:cstheme="majorBidi"/>
          <w:sz w:val="24"/>
          <w:szCs w:val="24"/>
        </w:rPr>
        <w:t>, N. and Hind, K., 2019. High prevalence and magnitude of rapid weight loss in mixed martial arts athletes. International journal of sport nutrition and exercise metabolism, 29(5), pp.512-517. Available at: High Prevalence and Magnitude of Rapid Weight Loss in Mixed Martial Arts Athletes in: International Journal of Sport Nutrition and Exercise Metabolism Volume 29 Issue 5 (2019) (humankinetics.com) Accessed on: 10th July 2022</w:t>
      </w:r>
    </w:p>
    <w:p w14:paraId="3E84B1B2" w14:textId="77777777" w:rsidR="00DC09CD" w:rsidRPr="006E5034" w:rsidRDefault="00DC09CD" w:rsidP="006E5034">
      <w:pPr>
        <w:spacing w:line="360" w:lineRule="auto"/>
        <w:jc w:val="both"/>
        <w:rPr>
          <w:rFonts w:ascii="Times New Roman" w:hAnsi="Times New Roman" w:cs="Times New Roman"/>
          <w:sz w:val="24"/>
          <w:szCs w:val="24"/>
        </w:rPr>
      </w:pPr>
      <w:r w:rsidRPr="006E5034">
        <w:rPr>
          <w:rFonts w:ascii="Times New Roman" w:hAnsi="Times New Roman" w:cs="Times New Roman"/>
          <w:sz w:val="24"/>
          <w:szCs w:val="24"/>
        </w:rPr>
        <w:t xml:space="preserve">Nazem, T.G. and Ackerman, K.E., 2012. The female athlete triad. Sports health, 4(4), pp.302-311. Available on: </w:t>
      </w:r>
      <w:hyperlink r:id="rId6" w:history="1">
        <w:r w:rsidRPr="006E5034">
          <w:rPr>
            <w:rFonts w:ascii="Times New Roman" w:hAnsi="Times New Roman" w:cs="Times New Roman"/>
            <w:color w:val="0000FF"/>
            <w:sz w:val="24"/>
            <w:szCs w:val="24"/>
            <w:u w:val="single"/>
          </w:rPr>
          <w:t>https://journals.sagepub.com/doi/pdf/10.1177/1941738112439685</w:t>
        </w:r>
      </w:hyperlink>
      <w:r w:rsidRPr="006E5034">
        <w:rPr>
          <w:rFonts w:ascii="Times New Roman" w:hAnsi="Times New Roman" w:cs="Times New Roman"/>
          <w:sz w:val="24"/>
          <w:szCs w:val="24"/>
        </w:rPr>
        <w:t xml:space="preserve"> Accessed on: 26</w:t>
      </w:r>
      <w:r w:rsidRPr="006E5034">
        <w:rPr>
          <w:rFonts w:ascii="Times New Roman" w:hAnsi="Times New Roman" w:cs="Times New Roman"/>
          <w:sz w:val="24"/>
          <w:szCs w:val="24"/>
          <w:vertAlign w:val="superscript"/>
        </w:rPr>
        <w:t>th</w:t>
      </w:r>
      <w:r w:rsidRPr="006E5034">
        <w:rPr>
          <w:rFonts w:ascii="Times New Roman" w:hAnsi="Times New Roman" w:cs="Times New Roman"/>
          <w:sz w:val="24"/>
          <w:szCs w:val="24"/>
        </w:rPr>
        <w:t xml:space="preserve"> October 2022</w:t>
      </w:r>
    </w:p>
    <w:p w14:paraId="03A1D156" w14:textId="77777777" w:rsidR="00DC09CD" w:rsidRPr="00DC09CD" w:rsidRDefault="00DC09CD" w:rsidP="00DC09CD">
      <w:pPr>
        <w:spacing w:line="360" w:lineRule="auto"/>
        <w:rPr>
          <w:rFonts w:ascii="Times New Roman" w:hAnsi="Times New Roman" w:cs="Times New Roman"/>
          <w:kern w:val="0"/>
          <w:sz w:val="24"/>
          <w:szCs w:val="24"/>
          <w:shd w:val="clear" w:color="auto" w:fill="FFFFFF"/>
          <w14:ligatures w14:val="none"/>
        </w:rPr>
      </w:pPr>
      <w:r w:rsidRPr="00DC09CD">
        <w:rPr>
          <w:rFonts w:ascii="Times New Roman" w:hAnsi="Times New Roman" w:cs="Times New Roman"/>
          <w:kern w:val="0"/>
          <w:sz w:val="24"/>
          <w:szCs w:val="24"/>
          <w:shd w:val="clear" w:color="auto" w:fill="FFFFFF"/>
          <w14:ligatures w14:val="none"/>
        </w:rPr>
        <w:t xml:space="preserve">Thomas, S., Gonzalez, A.M. and </w:t>
      </w:r>
      <w:proofErr w:type="spellStart"/>
      <w:r w:rsidRPr="00DC09CD">
        <w:rPr>
          <w:rFonts w:ascii="Times New Roman" w:hAnsi="Times New Roman" w:cs="Times New Roman"/>
          <w:kern w:val="0"/>
          <w:sz w:val="24"/>
          <w:szCs w:val="24"/>
          <w:shd w:val="clear" w:color="auto" w:fill="FFFFFF"/>
          <w14:ligatures w14:val="none"/>
        </w:rPr>
        <w:t>Ghigiarelli</w:t>
      </w:r>
      <w:proofErr w:type="spellEnd"/>
      <w:r w:rsidRPr="00DC09CD">
        <w:rPr>
          <w:rFonts w:ascii="Times New Roman" w:hAnsi="Times New Roman" w:cs="Times New Roman"/>
          <w:kern w:val="0"/>
          <w:sz w:val="24"/>
          <w:szCs w:val="24"/>
          <w:shd w:val="clear" w:color="auto" w:fill="FFFFFF"/>
          <w14:ligatures w14:val="none"/>
        </w:rPr>
        <w:t>, J.J., 2021. The relationship between weight cutting and the female athlete triad in combat sport athletes. </w:t>
      </w:r>
      <w:r w:rsidRPr="00DC09CD">
        <w:rPr>
          <w:rFonts w:ascii="Times New Roman" w:hAnsi="Times New Roman" w:cs="Times New Roman"/>
          <w:i/>
          <w:iCs/>
          <w:kern w:val="0"/>
          <w:sz w:val="24"/>
          <w:szCs w:val="24"/>
          <w:shd w:val="clear" w:color="auto" w:fill="FFFFFF"/>
          <w14:ligatures w14:val="none"/>
        </w:rPr>
        <w:t>International Journal of Kinesiology and Sports Science</w:t>
      </w:r>
      <w:r w:rsidRPr="00DC09CD">
        <w:rPr>
          <w:rFonts w:ascii="Times New Roman" w:hAnsi="Times New Roman" w:cs="Times New Roman"/>
          <w:kern w:val="0"/>
          <w:sz w:val="24"/>
          <w:szCs w:val="24"/>
          <w:shd w:val="clear" w:color="auto" w:fill="FFFFFF"/>
          <w14:ligatures w14:val="none"/>
        </w:rPr>
        <w:t>, </w:t>
      </w:r>
      <w:r w:rsidRPr="00DC09CD">
        <w:rPr>
          <w:rFonts w:ascii="Times New Roman" w:hAnsi="Times New Roman" w:cs="Times New Roman"/>
          <w:i/>
          <w:iCs/>
          <w:kern w:val="0"/>
          <w:sz w:val="24"/>
          <w:szCs w:val="24"/>
          <w:shd w:val="clear" w:color="auto" w:fill="FFFFFF"/>
          <w14:ligatures w14:val="none"/>
        </w:rPr>
        <w:t>9</w:t>
      </w:r>
      <w:r w:rsidRPr="00DC09CD">
        <w:rPr>
          <w:rFonts w:ascii="Times New Roman" w:hAnsi="Times New Roman" w:cs="Times New Roman"/>
          <w:kern w:val="0"/>
          <w:sz w:val="24"/>
          <w:szCs w:val="24"/>
          <w:shd w:val="clear" w:color="auto" w:fill="FFFFFF"/>
          <w14:ligatures w14:val="none"/>
        </w:rPr>
        <w:t xml:space="preserve">(1), pp.9-14. Available at: </w:t>
      </w:r>
      <w:hyperlink r:id="rId7" w:history="1">
        <w:r w:rsidRPr="00DC09CD">
          <w:rPr>
            <w:rFonts w:ascii="Times New Roman" w:hAnsi="Times New Roman" w:cs="Times New Roman"/>
            <w:color w:val="0000FF"/>
            <w:kern w:val="0"/>
            <w:sz w:val="24"/>
            <w:szCs w:val="24"/>
            <w:u w:val="single"/>
            <w:shd w:val="clear" w:color="auto" w:fill="FFFFFF"/>
            <w14:ligatures w14:val="none"/>
          </w:rPr>
          <w:t>The Relationship between Weight Cutting and the Female Athlete Triad in Combat Sport Athletes - ProQuest</w:t>
        </w:r>
      </w:hyperlink>
      <w:r w:rsidRPr="00DC09CD">
        <w:rPr>
          <w:rFonts w:ascii="Times New Roman" w:hAnsi="Times New Roman" w:cs="Times New Roman"/>
          <w:kern w:val="0"/>
          <w:sz w:val="24"/>
          <w:szCs w:val="24"/>
          <w:shd w:val="clear" w:color="auto" w:fill="FFFFFF"/>
          <w14:ligatures w14:val="none"/>
        </w:rPr>
        <w:t>. Accessed on: 10</w:t>
      </w:r>
      <w:r w:rsidRPr="00DC09CD">
        <w:rPr>
          <w:rFonts w:ascii="Times New Roman" w:hAnsi="Times New Roman" w:cs="Times New Roman"/>
          <w:kern w:val="0"/>
          <w:sz w:val="24"/>
          <w:szCs w:val="24"/>
          <w:shd w:val="clear" w:color="auto" w:fill="FFFFFF"/>
          <w:vertAlign w:val="superscript"/>
          <w14:ligatures w14:val="none"/>
        </w:rPr>
        <w:t>th</w:t>
      </w:r>
      <w:r w:rsidRPr="00DC09CD">
        <w:rPr>
          <w:rFonts w:ascii="Times New Roman" w:hAnsi="Times New Roman" w:cs="Times New Roman"/>
          <w:kern w:val="0"/>
          <w:sz w:val="24"/>
          <w:szCs w:val="24"/>
          <w:shd w:val="clear" w:color="auto" w:fill="FFFFFF"/>
          <w14:ligatures w14:val="none"/>
        </w:rPr>
        <w:t xml:space="preserve"> May 2022</w:t>
      </w:r>
    </w:p>
    <w:p w14:paraId="323A4792" w14:textId="77777777" w:rsidR="00DC09CD" w:rsidRPr="006E5034" w:rsidRDefault="00DC09CD" w:rsidP="006E5034">
      <w:pPr>
        <w:spacing w:line="360" w:lineRule="auto"/>
        <w:jc w:val="both"/>
        <w:rPr>
          <w:rFonts w:ascii="Times New Roman" w:hAnsi="Times New Roman" w:cs="Times New Roman"/>
          <w:kern w:val="0"/>
          <w:sz w:val="24"/>
          <w:szCs w:val="24"/>
          <w14:ligatures w14:val="none"/>
        </w:rPr>
      </w:pPr>
    </w:p>
    <w:p w14:paraId="20AE4E4C" w14:textId="77777777" w:rsidR="006E5034" w:rsidRPr="006E5034" w:rsidRDefault="006E5034" w:rsidP="006E5034">
      <w:pPr>
        <w:spacing w:line="360" w:lineRule="auto"/>
        <w:jc w:val="both"/>
        <w:rPr>
          <w:rFonts w:ascii="Times New Roman" w:hAnsi="Times New Roman" w:cs="Times New Roman"/>
          <w:kern w:val="0"/>
          <w:sz w:val="24"/>
          <w:szCs w:val="24"/>
          <w:shd w:val="clear" w:color="auto" w:fill="FFFFFF"/>
          <w14:ligatures w14:val="none"/>
        </w:rPr>
      </w:pPr>
    </w:p>
    <w:p w14:paraId="14412FEE" w14:textId="77777777" w:rsidR="006E5034" w:rsidRPr="00131203" w:rsidRDefault="006E5034" w:rsidP="00603AE8">
      <w:pPr>
        <w:spacing w:line="360" w:lineRule="auto"/>
        <w:rPr>
          <w:rFonts w:asciiTheme="majorBidi" w:hAnsiTheme="majorBidi" w:cstheme="majorBidi"/>
          <w:sz w:val="24"/>
          <w:szCs w:val="24"/>
        </w:rPr>
      </w:pPr>
    </w:p>
    <w:p w14:paraId="47464F75" w14:textId="77777777" w:rsidR="00603AE8" w:rsidRPr="00603AE8" w:rsidRDefault="00603AE8" w:rsidP="00603AE8">
      <w:pPr>
        <w:spacing w:line="360" w:lineRule="auto"/>
        <w:rPr>
          <w:rFonts w:asciiTheme="majorBidi" w:hAnsiTheme="majorBidi" w:cstheme="majorBidi"/>
          <w:sz w:val="24"/>
          <w:szCs w:val="24"/>
        </w:rPr>
      </w:pPr>
    </w:p>
    <w:sectPr w:rsidR="00603AE8" w:rsidRPr="00603A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3AE8"/>
    <w:rsid w:val="00131203"/>
    <w:rsid w:val="00203E9D"/>
    <w:rsid w:val="003304D1"/>
    <w:rsid w:val="0039276C"/>
    <w:rsid w:val="005530E9"/>
    <w:rsid w:val="00567C3D"/>
    <w:rsid w:val="00603AE8"/>
    <w:rsid w:val="00627794"/>
    <w:rsid w:val="006E5034"/>
    <w:rsid w:val="00A54DD6"/>
    <w:rsid w:val="00B74DF4"/>
    <w:rsid w:val="00DC09CD"/>
    <w:rsid w:val="00E1751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11B64A"/>
  <w15:chartTrackingRefBased/>
  <w15:docId w15:val="{D0EDE8E6-06D1-46DA-BA16-28F74731FB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E5034"/>
    <w:rPr>
      <w:color w:val="0563C1" w:themeColor="hyperlink"/>
      <w:u w:val="single"/>
    </w:rPr>
  </w:style>
  <w:style w:type="character" w:styleId="UnresolvedMention">
    <w:name w:val="Unresolved Mention"/>
    <w:basedOn w:val="DefaultParagraphFont"/>
    <w:uiPriority w:val="99"/>
    <w:semiHidden/>
    <w:unhideWhenUsed/>
    <w:rsid w:val="006E503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proquest.com/docview/2541754249?accountid=130472&amp;parentSessionId=KuZOb4MEvIhXU4o8LJ4SkQ7N2atRx3uxzpFkRnPEVcU%3D&amp;pq-origsite=primo"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journals.sagepub.com/doi/pdf/10.1177/1941738112439685" TargetMode="External"/><Relationship Id="rId5" Type="http://schemas.openxmlformats.org/officeDocument/2006/relationships/hyperlink" Target="https://doi.org/10.1123/ijsnem.2018-0182" TargetMode="External"/><Relationship Id="rId4" Type="http://schemas.openxmlformats.org/officeDocument/2006/relationships/hyperlink" Target="https://doi.org/10.1249/mss.0b013e3181ba8055"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858</Words>
  <Characters>4891</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Kaycee Blake (2015645)</dc:creator>
  <cp:keywords/>
  <dc:description/>
  <cp:lastModifiedBy>Kaycee Blake (2015645)</cp:lastModifiedBy>
  <cp:revision>8</cp:revision>
  <dcterms:created xsi:type="dcterms:W3CDTF">2023-05-25T22:01:00Z</dcterms:created>
  <dcterms:modified xsi:type="dcterms:W3CDTF">2023-05-26T08:52:00Z</dcterms:modified>
</cp:coreProperties>
</file>