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04D3B" w:rsidRDefault="00020942" w:rsidP="00020942">
      <w:pPr>
        <w:pStyle w:val="Title"/>
        <w:jc w:val="center"/>
      </w:pPr>
      <w:r>
        <w:t xml:space="preserve">CORPORATE FINACIAL ANALYSIS AND </w:t>
      </w:r>
    </w:p>
    <w:p w:rsidR="00960C94" w:rsidRDefault="00020942" w:rsidP="00020942">
      <w:pPr>
        <w:pStyle w:val="Title"/>
        <w:jc w:val="center"/>
      </w:pPr>
      <w:r>
        <w:t>COMPARISON</w:t>
      </w:r>
    </w:p>
    <w:tbl>
      <w:tblPr>
        <w:tblStyle w:val="TableGrid"/>
        <w:tblW w:w="10484" w:type="dxa"/>
        <w:tblLook w:val="04A0"/>
      </w:tblPr>
      <w:tblGrid>
        <w:gridCol w:w="10700"/>
        <w:gridCol w:w="222"/>
      </w:tblGrid>
      <w:tr w:rsidR="00B04D3B" w:rsidRPr="00BF6BA8" w:rsidTr="00DD0F8E">
        <w:trPr>
          <w:trHeight w:val="444"/>
        </w:trPr>
        <w:tc>
          <w:tcPr>
            <w:tcW w:w="3666" w:type="dxa"/>
            <w:tcBorders>
              <w:top w:val="nil"/>
              <w:left w:val="nil"/>
              <w:bottom w:val="nil"/>
              <w:right w:val="nil"/>
            </w:tcBorders>
          </w:tcPr>
          <w:tbl>
            <w:tblPr>
              <w:tblStyle w:val="TableGrid"/>
              <w:tblW w:w="10484" w:type="dxa"/>
              <w:tblLook w:val="04A0"/>
            </w:tblPr>
            <w:tblGrid>
              <w:gridCol w:w="3666"/>
              <w:gridCol w:w="6818"/>
            </w:tblGrid>
            <w:tr w:rsidR="00B04D3B" w:rsidRPr="00BF6BA8" w:rsidTr="00DD0F8E">
              <w:trPr>
                <w:trHeight w:val="444"/>
              </w:trPr>
              <w:tc>
                <w:tcPr>
                  <w:tcW w:w="3666" w:type="dxa"/>
                  <w:tcBorders>
                    <w:top w:val="nil"/>
                    <w:left w:val="nil"/>
                    <w:bottom w:val="nil"/>
                    <w:right w:val="nil"/>
                  </w:tcBorders>
                </w:tcPr>
                <w:p w:rsidR="00B04D3B" w:rsidRPr="00BF6BA8" w:rsidRDefault="00B04D3B" w:rsidP="00DD0F8E">
                  <w:pPr>
                    <w:rPr>
                      <w:rFonts w:cs="Times New Roman"/>
                      <w:sz w:val="36"/>
                      <w:szCs w:val="36"/>
                    </w:rPr>
                  </w:pPr>
                  <w:r w:rsidRPr="00BF6BA8">
                    <w:rPr>
                      <w:rFonts w:cs="Times New Roman"/>
                      <w:sz w:val="36"/>
                      <w:szCs w:val="36"/>
                    </w:rPr>
                    <w:t xml:space="preserve">Student Name    </w:t>
                  </w:r>
                  <w:r>
                    <w:rPr>
                      <w:rFonts w:cs="Times New Roman"/>
                      <w:sz w:val="36"/>
                      <w:szCs w:val="36"/>
                    </w:rPr>
                    <w:t xml:space="preserve"> </w:t>
                  </w:r>
                  <w:r w:rsidRPr="00BF6BA8">
                    <w:rPr>
                      <w:rFonts w:cs="Times New Roman"/>
                      <w:sz w:val="36"/>
                      <w:szCs w:val="36"/>
                    </w:rPr>
                    <w:t xml:space="preserve"> :-</w:t>
                  </w:r>
                </w:p>
              </w:tc>
              <w:tc>
                <w:tcPr>
                  <w:tcW w:w="6818" w:type="dxa"/>
                  <w:tcBorders>
                    <w:top w:val="nil"/>
                    <w:left w:val="nil"/>
                    <w:bottom w:val="nil"/>
                    <w:right w:val="nil"/>
                  </w:tcBorders>
                </w:tcPr>
                <w:p w:rsidR="00B04D3B" w:rsidRPr="00BF6BA8" w:rsidRDefault="00B04D3B" w:rsidP="00DD0F8E">
                  <w:pPr>
                    <w:rPr>
                      <w:rFonts w:cs="Times New Roman"/>
                      <w:sz w:val="36"/>
                      <w:szCs w:val="36"/>
                    </w:rPr>
                  </w:pPr>
                  <w:proofErr w:type="spellStart"/>
                  <w:r>
                    <w:rPr>
                      <w:rFonts w:cs="Times New Roman"/>
                      <w:sz w:val="36"/>
                      <w:szCs w:val="36"/>
                    </w:rPr>
                    <w:t>Farhan</w:t>
                  </w:r>
                  <w:proofErr w:type="spellEnd"/>
                  <w:r>
                    <w:rPr>
                      <w:rFonts w:cs="Times New Roman"/>
                      <w:sz w:val="36"/>
                      <w:szCs w:val="36"/>
                    </w:rPr>
                    <w:t xml:space="preserve"> Patel</w:t>
                  </w:r>
                </w:p>
              </w:tc>
            </w:tr>
            <w:tr w:rsidR="00B04D3B" w:rsidRPr="00BF6BA8" w:rsidTr="00DD0F8E">
              <w:trPr>
                <w:trHeight w:val="444"/>
              </w:trPr>
              <w:tc>
                <w:tcPr>
                  <w:tcW w:w="3666" w:type="dxa"/>
                  <w:tcBorders>
                    <w:top w:val="nil"/>
                    <w:left w:val="nil"/>
                    <w:bottom w:val="nil"/>
                    <w:right w:val="nil"/>
                  </w:tcBorders>
                </w:tcPr>
                <w:p w:rsidR="00B04D3B" w:rsidRPr="00BF6BA8" w:rsidRDefault="00B04D3B" w:rsidP="00DD0F8E">
                  <w:pPr>
                    <w:rPr>
                      <w:rFonts w:cs="Times New Roman"/>
                      <w:sz w:val="36"/>
                      <w:szCs w:val="36"/>
                    </w:rPr>
                  </w:pPr>
                  <w:r w:rsidRPr="00BF6BA8">
                    <w:rPr>
                      <w:rFonts w:cs="Times New Roman"/>
                      <w:sz w:val="36"/>
                      <w:szCs w:val="36"/>
                    </w:rPr>
                    <w:t xml:space="preserve">Student  id          </w:t>
                  </w:r>
                  <w:r>
                    <w:rPr>
                      <w:rFonts w:cs="Times New Roman"/>
                      <w:sz w:val="36"/>
                      <w:szCs w:val="36"/>
                    </w:rPr>
                    <w:t xml:space="preserve"> </w:t>
                  </w:r>
                  <w:r w:rsidRPr="00BF6BA8">
                    <w:rPr>
                      <w:rFonts w:cs="Times New Roman"/>
                      <w:sz w:val="36"/>
                      <w:szCs w:val="36"/>
                    </w:rPr>
                    <w:t xml:space="preserve"> :-</w:t>
                  </w:r>
                </w:p>
              </w:tc>
              <w:tc>
                <w:tcPr>
                  <w:tcW w:w="6818" w:type="dxa"/>
                  <w:tcBorders>
                    <w:top w:val="nil"/>
                    <w:left w:val="nil"/>
                    <w:bottom w:val="nil"/>
                    <w:right w:val="nil"/>
                  </w:tcBorders>
                </w:tcPr>
                <w:p w:rsidR="00B04D3B" w:rsidRPr="00BF6BA8" w:rsidRDefault="00B04D3B" w:rsidP="00DD0F8E">
                  <w:pPr>
                    <w:rPr>
                      <w:rFonts w:cs="Times New Roman"/>
                      <w:sz w:val="36"/>
                      <w:szCs w:val="36"/>
                    </w:rPr>
                  </w:pPr>
                  <w:r w:rsidRPr="00BF6BA8">
                    <w:rPr>
                      <w:rFonts w:cs="Times New Roman"/>
                      <w:sz w:val="36"/>
                      <w:szCs w:val="36"/>
                    </w:rPr>
                    <w:t>170</w:t>
                  </w:r>
                  <w:r>
                    <w:rPr>
                      <w:rFonts w:cs="Times New Roman"/>
                      <w:sz w:val="36"/>
                      <w:szCs w:val="36"/>
                    </w:rPr>
                    <w:t>6368</w:t>
                  </w:r>
                </w:p>
              </w:tc>
            </w:tr>
            <w:tr w:rsidR="00B04D3B" w:rsidRPr="00BF6BA8" w:rsidTr="00DD0F8E">
              <w:trPr>
                <w:trHeight w:val="444"/>
              </w:trPr>
              <w:tc>
                <w:tcPr>
                  <w:tcW w:w="3666" w:type="dxa"/>
                  <w:tcBorders>
                    <w:top w:val="nil"/>
                    <w:left w:val="nil"/>
                    <w:bottom w:val="nil"/>
                    <w:right w:val="nil"/>
                  </w:tcBorders>
                </w:tcPr>
                <w:p w:rsidR="00B04D3B" w:rsidRPr="00BF6BA8" w:rsidRDefault="00B04D3B" w:rsidP="00DD0F8E">
                  <w:pPr>
                    <w:rPr>
                      <w:rFonts w:cs="Times New Roman"/>
                      <w:sz w:val="36"/>
                      <w:szCs w:val="36"/>
                    </w:rPr>
                  </w:pPr>
                  <w:r w:rsidRPr="00BF6BA8">
                    <w:rPr>
                      <w:rFonts w:cs="Times New Roman"/>
                      <w:sz w:val="36"/>
                      <w:szCs w:val="36"/>
                    </w:rPr>
                    <w:t xml:space="preserve">Module Title      </w:t>
                  </w:r>
                  <w:r>
                    <w:rPr>
                      <w:rFonts w:cs="Times New Roman"/>
                      <w:sz w:val="36"/>
                      <w:szCs w:val="36"/>
                    </w:rPr>
                    <w:t xml:space="preserve"> </w:t>
                  </w:r>
                  <w:r w:rsidRPr="00BF6BA8">
                    <w:rPr>
                      <w:rFonts w:cs="Times New Roman"/>
                      <w:sz w:val="36"/>
                      <w:szCs w:val="36"/>
                    </w:rPr>
                    <w:t xml:space="preserve"> :-</w:t>
                  </w:r>
                </w:p>
              </w:tc>
              <w:tc>
                <w:tcPr>
                  <w:tcW w:w="6818" w:type="dxa"/>
                  <w:tcBorders>
                    <w:top w:val="nil"/>
                    <w:left w:val="nil"/>
                    <w:bottom w:val="nil"/>
                    <w:right w:val="nil"/>
                  </w:tcBorders>
                </w:tcPr>
                <w:p w:rsidR="00B04D3B" w:rsidRPr="00BF6BA8" w:rsidRDefault="00B04D3B" w:rsidP="00DD0F8E">
                  <w:pPr>
                    <w:rPr>
                      <w:rFonts w:cs="Times New Roman"/>
                      <w:sz w:val="36"/>
                      <w:szCs w:val="36"/>
                    </w:rPr>
                  </w:pPr>
                  <w:r>
                    <w:rPr>
                      <w:rFonts w:cs="Times New Roman"/>
                      <w:sz w:val="36"/>
                      <w:szCs w:val="36"/>
                    </w:rPr>
                    <w:t>Corporate Financial Analysis CW</w:t>
                  </w:r>
                </w:p>
              </w:tc>
            </w:tr>
            <w:tr w:rsidR="00B04D3B" w:rsidRPr="00BF6BA8" w:rsidTr="00DD0F8E">
              <w:trPr>
                <w:trHeight w:val="531"/>
              </w:trPr>
              <w:tc>
                <w:tcPr>
                  <w:tcW w:w="3666" w:type="dxa"/>
                  <w:tcBorders>
                    <w:top w:val="nil"/>
                    <w:left w:val="nil"/>
                    <w:bottom w:val="nil"/>
                    <w:right w:val="nil"/>
                  </w:tcBorders>
                </w:tcPr>
                <w:p w:rsidR="00B04D3B" w:rsidRPr="00BF6BA8" w:rsidRDefault="00B04D3B" w:rsidP="00DD0F8E">
                  <w:pPr>
                    <w:rPr>
                      <w:rFonts w:cs="Times New Roman"/>
                      <w:sz w:val="36"/>
                      <w:szCs w:val="36"/>
                    </w:rPr>
                  </w:pPr>
                  <w:r w:rsidRPr="00BF6BA8">
                    <w:rPr>
                      <w:rFonts w:cs="Times New Roman"/>
                      <w:sz w:val="36"/>
                      <w:szCs w:val="36"/>
                    </w:rPr>
                    <w:t>Assignment Title :-</w:t>
                  </w:r>
                </w:p>
              </w:tc>
              <w:tc>
                <w:tcPr>
                  <w:tcW w:w="6818" w:type="dxa"/>
                  <w:tcBorders>
                    <w:top w:val="nil"/>
                    <w:left w:val="nil"/>
                    <w:bottom w:val="nil"/>
                    <w:right w:val="nil"/>
                  </w:tcBorders>
                </w:tcPr>
                <w:p w:rsidR="00B04D3B" w:rsidRPr="00BF6BA8" w:rsidRDefault="00B04D3B" w:rsidP="00DD0F8E">
                  <w:pPr>
                    <w:rPr>
                      <w:rFonts w:cs="Times New Roman"/>
                      <w:sz w:val="36"/>
                      <w:szCs w:val="36"/>
                    </w:rPr>
                  </w:pPr>
                  <w:r>
                    <w:rPr>
                      <w:rFonts w:cs="Times New Roman"/>
                      <w:sz w:val="36"/>
                      <w:szCs w:val="36"/>
                    </w:rPr>
                    <w:t xml:space="preserve">Financial Management </w:t>
                  </w:r>
                </w:p>
              </w:tc>
            </w:tr>
            <w:tr w:rsidR="00B04D3B" w:rsidRPr="00BF6BA8" w:rsidTr="00DD0F8E">
              <w:trPr>
                <w:trHeight w:val="444"/>
              </w:trPr>
              <w:tc>
                <w:tcPr>
                  <w:tcW w:w="3666" w:type="dxa"/>
                  <w:tcBorders>
                    <w:top w:val="nil"/>
                    <w:left w:val="nil"/>
                    <w:bottom w:val="nil"/>
                    <w:right w:val="nil"/>
                  </w:tcBorders>
                </w:tcPr>
                <w:p w:rsidR="00B04D3B" w:rsidRPr="00BF6BA8" w:rsidRDefault="00B04D3B" w:rsidP="00DD0F8E">
                  <w:pPr>
                    <w:rPr>
                      <w:rFonts w:cs="Times New Roman"/>
                      <w:sz w:val="36"/>
                      <w:szCs w:val="36"/>
                    </w:rPr>
                  </w:pPr>
                  <w:r w:rsidRPr="00BF6BA8">
                    <w:rPr>
                      <w:rFonts w:cs="Times New Roman"/>
                      <w:sz w:val="36"/>
                      <w:szCs w:val="36"/>
                    </w:rPr>
                    <w:t xml:space="preserve">Lecture Name      :-  </w:t>
                  </w:r>
                </w:p>
              </w:tc>
              <w:tc>
                <w:tcPr>
                  <w:tcW w:w="6818" w:type="dxa"/>
                  <w:tcBorders>
                    <w:top w:val="nil"/>
                    <w:left w:val="nil"/>
                    <w:bottom w:val="nil"/>
                    <w:right w:val="nil"/>
                  </w:tcBorders>
                </w:tcPr>
                <w:p w:rsidR="00B04D3B" w:rsidRPr="00BF6BA8" w:rsidRDefault="00B04D3B" w:rsidP="00DD0F8E">
                  <w:pPr>
                    <w:rPr>
                      <w:rFonts w:cs="Times New Roman"/>
                      <w:sz w:val="36"/>
                      <w:szCs w:val="36"/>
                    </w:rPr>
                  </w:pPr>
                  <w:proofErr w:type="spellStart"/>
                  <w:r>
                    <w:rPr>
                      <w:rFonts w:cs="Times New Roman"/>
                      <w:sz w:val="36"/>
                      <w:szCs w:val="36"/>
                    </w:rPr>
                    <w:t>Jio</w:t>
                  </w:r>
                  <w:proofErr w:type="spellEnd"/>
                  <w:r>
                    <w:rPr>
                      <w:rFonts w:cs="Times New Roman"/>
                      <w:sz w:val="36"/>
                      <w:szCs w:val="36"/>
                    </w:rPr>
                    <w:t xml:space="preserve"> Miao</w:t>
                  </w:r>
                </w:p>
              </w:tc>
            </w:tr>
            <w:tr w:rsidR="00B04D3B" w:rsidRPr="00BF6BA8" w:rsidTr="00DD0F8E">
              <w:trPr>
                <w:trHeight w:val="444"/>
              </w:trPr>
              <w:tc>
                <w:tcPr>
                  <w:tcW w:w="3666" w:type="dxa"/>
                  <w:tcBorders>
                    <w:top w:val="nil"/>
                    <w:left w:val="nil"/>
                    <w:bottom w:val="nil"/>
                    <w:right w:val="nil"/>
                  </w:tcBorders>
                </w:tcPr>
                <w:p w:rsidR="00B04D3B" w:rsidRPr="00BF6BA8" w:rsidRDefault="00B04D3B" w:rsidP="00DD0F8E">
                  <w:pPr>
                    <w:rPr>
                      <w:rFonts w:cs="Times New Roman"/>
                      <w:sz w:val="36"/>
                      <w:szCs w:val="36"/>
                    </w:rPr>
                  </w:pPr>
                  <w:r>
                    <w:rPr>
                      <w:rFonts w:cs="Times New Roman"/>
                      <w:sz w:val="36"/>
                      <w:szCs w:val="36"/>
                    </w:rPr>
                    <w:t>Subject Code        :-</w:t>
                  </w:r>
                </w:p>
              </w:tc>
              <w:tc>
                <w:tcPr>
                  <w:tcW w:w="6818" w:type="dxa"/>
                  <w:tcBorders>
                    <w:top w:val="nil"/>
                    <w:left w:val="nil"/>
                    <w:bottom w:val="nil"/>
                    <w:right w:val="nil"/>
                  </w:tcBorders>
                </w:tcPr>
                <w:p w:rsidR="00B04D3B" w:rsidRPr="00BF6BA8" w:rsidRDefault="00B04D3B" w:rsidP="00DD0F8E">
                  <w:pPr>
                    <w:rPr>
                      <w:rFonts w:cs="Times New Roman"/>
                      <w:sz w:val="36"/>
                      <w:szCs w:val="36"/>
                    </w:rPr>
                  </w:pPr>
                  <w:r>
                    <w:rPr>
                      <w:rFonts w:cs="Times New Roman"/>
                      <w:sz w:val="36"/>
                      <w:szCs w:val="36"/>
                    </w:rPr>
                    <w:t>SBMA7100</w:t>
                  </w:r>
                </w:p>
              </w:tc>
            </w:tr>
          </w:tbl>
          <w:p w:rsidR="00B04D3B" w:rsidRPr="00BF6BA8" w:rsidRDefault="00B04D3B" w:rsidP="00DD0F8E">
            <w:pPr>
              <w:rPr>
                <w:rFonts w:cs="Times New Roman"/>
                <w:sz w:val="36"/>
                <w:szCs w:val="36"/>
              </w:rPr>
            </w:pPr>
          </w:p>
        </w:tc>
        <w:tc>
          <w:tcPr>
            <w:tcW w:w="6818" w:type="dxa"/>
            <w:tcBorders>
              <w:top w:val="nil"/>
              <w:left w:val="nil"/>
              <w:bottom w:val="nil"/>
              <w:right w:val="nil"/>
            </w:tcBorders>
          </w:tcPr>
          <w:p w:rsidR="00B04D3B" w:rsidRPr="00BF6BA8" w:rsidRDefault="00B04D3B" w:rsidP="00DD0F8E">
            <w:pPr>
              <w:rPr>
                <w:rFonts w:cs="Times New Roman"/>
                <w:sz w:val="36"/>
                <w:szCs w:val="36"/>
              </w:rPr>
            </w:pPr>
          </w:p>
        </w:tc>
      </w:tr>
      <w:tr w:rsidR="00B04D3B" w:rsidRPr="00BF6BA8" w:rsidTr="00DD0F8E">
        <w:trPr>
          <w:trHeight w:val="444"/>
        </w:trPr>
        <w:tc>
          <w:tcPr>
            <w:tcW w:w="3666" w:type="dxa"/>
            <w:tcBorders>
              <w:top w:val="nil"/>
              <w:left w:val="nil"/>
              <w:bottom w:val="nil"/>
              <w:right w:val="nil"/>
            </w:tcBorders>
          </w:tcPr>
          <w:p w:rsidR="00B04D3B" w:rsidRPr="00BF6BA8" w:rsidRDefault="00B04D3B" w:rsidP="00DD0F8E">
            <w:pPr>
              <w:rPr>
                <w:rFonts w:cs="Times New Roman"/>
                <w:sz w:val="36"/>
                <w:szCs w:val="36"/>
              </w:rPr>
            </w:pPr>
          </w:p>
        </w:tc>
        <w:tc>
          <w:tcPr>
            <w:tcW w:w="6818" w:type="dxa"/>
            <w:tcBorders>
              <w:top w:val="nil"/>
              <w:left w:val="nil"/>
              <w:bottom w:val="nil"/>
              <w:right w:val="nil"/>
            </w:tcBorders>
          </w:tcPr>
          <w:p w:rsidR="00B04D3B" w:rsidRPr="00BF6BA8" w:rsidRDefault="00B04D3B" w:rsidP="00DD0F8E">
            <w:pPr>
              <w:rPr>
                <w:rFonts w:cs="Times New Roman"/>
                <w:sz w:val="36"/>
                <w:szCs w:val="36"/>
              </w:rPr>
            </w:pPr>
          </w:p>
        </w:tc>
      </w:tr>
      <w:tr w:rsidR="00B04D3B" w:rsidRPr="00BF6BA8" w:rsidTr="00DD0F8E">
        <w:trPr>
          <w:trHeight w:val="444"/>
        </w:trPr>
        <w:tc>
          <w:tcPr>
            <w:tcW w:w="3666" w:type="dxa"/>
            <w:tcBorders>
              <w:top w:val="nil"/>
              <w:left w:val="nil"/>
              <w:bottom w:val="nil"/>
              <w:right w:val="nil"/>
            </w:tcBorders>
          </w:tcPr>
          <w:p w:rsidR="00B04D3B" w:rsidRPr="00BF6BA8" w:rsidRDefault="00B04D3B" w:rsidP="00DD0F8E">
            <w:pPr>
              <w:rPr>
                <w:rFonts w:cs="Times New Roman"/>
                <w:sz w:val="36"/>
                <w:szCs w:val="36"/>
              </w:rPr>
            </w:pPr>
          </w:p>
        </w:tc>
        <w:tc>
          <w:tcPr>
            <w:tcW w:w="6818" w:type="dxa"/>
            <w:tcBorders>
              <w:top w:val="nil"/>
              <w:left w:val="nil"/>
              <w:bottom w:val="nil"/>
              <w:right w:val="nil"/>
            </w:tcBorders>
          </w:tcPr>
          <w:p w:rsidR="00B04D3B" w:rsidRPr="00BF6BA8" w:rsidRDefault="00B04D3B" w:rsidP="00DD0F8E">
            <w:pPr>
              <w:rPr>
                <w:rFonts w:cs="Times New Roman"/>
                <w:sz w:val="36"/>
                <w:szCs w:val="36"/>
              </w:rPr>
            </w:pPr>
          </w:p>
        </w:tc>
      </w:tr>
      <w:tr w:rsidR="00B04D3B" w:rsidRPr="00BF6BA8" w:rsidTr="00DD0F8E">
        <w:trPr>
          <w:trHeight w:val="531"/>
        </w:trPr>
        <w:tc>
          <w:tcPr>
            <w:tcW w:w="3666" w:type="dxa"/>
            <w:tcBorders>
              <w:top w:val="nil"/>
              <w:left w:val="nil"/>
              <w:bottom w:val="nil"/>
              <w:right w:val="nil"/>
            </w:tcBorders>
          </w:tcPr>
          <w:p w:rsidR="00B04D3B" w:rsidRPr="00BF6BA8" w:rsidRDefault="00B04D3B" w:rsidP="00DD0F8E">
            <w:pPr>
              <w:rPr>
                <w:rFonts w:cs="Times New Roman"/>
                <w:sz w:val="36"/>
                <w:szCs w:val="36"/>
              </w:rPr>
            </w:pPr>
          </w:p>
        </w:tc>
        <w:tc>
          <w:tcPr>
            <w:tcW w:w="6818" w:type="dxa"/>
            <w:tcBorders>
              <w:top w:val="nil"/>
              <w:left w:val="nil"/>
              <w:bottom w:val="nil"/>
              <w:right w:val="nil"/>
            </w:tcBorders>
          </w:tcPr>
          <w:p w:rsidR="00B04D3B" w:rsidRPr="00BF6BA8" w:rsidRDefault="00B04D3B" w:rsidP="00DD0F8E">
            <w:pPr>
              <w:rPr>
                <w:rFonts w:cs="Times New Roman"/>
                <w:sz w:val="36"/>
                <w:szCs w:val="36"/>
              </w:rPr>
            </w:pPr>
          </w:p>
        </w:tc>
      </w:tr>
      <w:tr w:rsidR="00B04D3B" w:rsidRPr="00BF6BA8" w:rsidTr="00DD0F8E">
        <w:trPr>
          <w:trHeight w:val="444"/>
        </w:trPr>
        <w:tc>
          <w:tcPr>
            <w:tcW w:w="3666" w:type="dxa"/>
            <w:tcBorders>
              <w:top w:val="nil"/>
              <w:left w:val="nil"/>
              <w:bottom w:val="nil"/>
              <w:right w:val="nil"/>
            </w:tcBorders>
          </w:tcPr>
          <w:p w:rsidR="00B04D3B" w:rsidRDefault="00B04D3B" w:rsidP="00DD0F8E">
            <w:pPr>
              <w:rPr>
                <w:rFonts w:cs="Times New Roman"/>
                <w:sz w:val="36"/>
                <w:szCs w:val="36"/>
              </w:rPr>
            </w:pPr>
          </w:p>
          <w:p w:rsidR="00B04D3B" w:rsidRDefault="00B04D3B" w:rsidP="00DD0F8E">
            <w:pPr>
              <w:rPr>
                <w:rFonts w:cs="Times New Roman"/>
                <w:sz w:val="36"/>
                <w:szCs w:val="36"/>
              </w:rPr>
            </w:pPr>
          </w:p>
          <w:p w:rsidR="00B04D3B" w:rsidRDefault="00B04D3B" w:rsidP="00DD0F8E">
            <w:pPr>
              <w:rPr>
                <w:rFonts w:cs="Times New Roman"/>
                <w:sz w:val="36"/>
                <w:szCs w:val="36"/>
              </w:rPr>
            </w:pPr>
          </w:p>
          <w:p w:rsidR="00B04D3B" w:rsidRDefault="00B04D3B" w:rsidP="00DD0F8E">
            <w:pPr>
              <w:rPr>
                <w:rFonts w:cs="Times New Roman"/>
                <w:sz w:val="36"/>
                <w:szCs w:val="36"/>
              </w:rPr>
            </w:pPr>
          </w:p>
          <w:p w:rsidR="00B04D3B" w:rsidRDefault="00B04D3B" w:rsidP="00DD0F8E">
            <w:pPr>
              <w:rPr>
                <w:rFonts w:cs="Times New Roman"/>
                <w:sz w:val="36"/>
                <w:szCs w:val="36"/>
              </w:rPr>
            </w:pPr>
          </w:p>
          <w:p w:rsidR="00B04D3B" w:rsidRDefault="00B04D3B" w:rsidP="00DD0F8E">
            <w:pPr>
              <w:rPr>
                <w:rFonts w:cs="Times New Roman"/>
                <w:sz w:val="36"/>
                <w:szCs w:val="36"/>
              </w:rPr>
            </w:pPr>
          </w:p>
          <w:p w:rsidR="00B04D3B" w:rsidRPr="00BF6BA8" w:rsidRDefault="00B04D3B" w:rsidP="00DD0F8E">
            <w:pPr>
              <w:rPr>
                <w:rFonts w:cs="Times New Roman"/>
                <w:sz w:val="36"/>
                <w:szCs w:val="36"/>
              </w:rPr>
            </w:pPr>
          </w:p>
        </w:tc>
        <w:tc>
          <w:tcPr>
            <w:tcW w:w="6818" w:type="dxa"/>
            <w:tcBorders>
              <w:top w:val="nil"/>
              <w:left w:val="nil"/>
              <w:bottom w:val="nil"/>
              <w:right w:val="nil"/>
            </w:tcBorders>
          </w:tcPr>
          <w:p w:rsidR="00B04D3B" w:rsidRPr="00BF6BA8" w:rsidRDefault="00B04D3B" w:rsidP="00DD0F8E">
            <w:pPr>
              <w:rPr>
                <w:rFonts w:cs="Times New Roman"/>
                <w:sz w:val="36"/>
                <w:szCs w:val="36"/>
              </w:rPr>
            </w:pPr>
          </w:p>
        </w:tc>
      </w:tr>
      <w:tr w:rsidR="00B04D3B" w:rsidRPr="00BF6BA8" w:rsidTr="00DD0F8E">
        <w:trPr>
          <w:trHeight w:val="444"/>
        </w:trPr>
        <w:tc>
          <w:tcPr>
            <w:tcW w:w="3666" w:type="dxa"/>
            <w:tcBorders>
              <w:top w:val="nil"/>
              <w:left w:val="nil"/>
              <w:bottom w:val="nil"/>
              <w:right w:val="nil"/>
            </w:tcBorders>
          </w:tcPr>
          <w:p w:rsidR="00B04D3B" w:rsidRPr="00BF6BA8" w:rsidRDefault="00B04D3B" w:rsidP="00DD0F8E">
            <w:pPr>
              <w:rPr>
                <w:rFonts w:cs="Times New Roman"/>
                <w:sz w:val="36"/>
                <w:szCs w:val="36"/>
              </w:rPr>
            </w:pPr>
          </w:p>
        </w:tc>
        <w:tc>
          <w:tcPr>
            <w:tcW w:w="6818" w:type="dxa"/>
            <w:tcBorders>
              <w:top w:val="nil"/>
              <w:left w:val="nil"/>
              <w:bottom w:val="nil"/>
              <w:right w:val="nil"/>
            </w:tcBorders>
          </w:tcPr>
          <w:p w:rsidR="00B04D3B" w:rsidRPr="00BF6BA8" w:rsidRDefault="00B04D3B" w:rsidP="00DD0F8E">
            <w:pPr>
              <w:rPr>
                <w:rFonts w:cs="Times New Roman"/>
                <w:sz w:val="36"/>
                <w:szCs w:val="36"/>
              </w:rPr>
            </w:pPr>
          </w:p>
        </w:tc>
      </w:tr>
    </w:tbl>
    <w:sdt>
      <w:sdtPr>
        <w:rPr>
          <w:rFonts w:ascii="Times New Roman" w:eastAsiaTheme="minorHAnsi" w:hAnsi="Times New Roman" w:cstheme="minorBidi"/>
          <w:b w:val="0"/>
          <w:bCs w:val="0"/>
          <w:color w:val="auto"/>
          <w:sz w:val="24"/>
          <w:szCs w:val="22"/>
          <w:lang w:val="en-GB"/>
        </w:rPr>
        <w:id w:val="19609454"/>
        <w:docPartObj>
          <w:docPartGallery w:val="Table of Contents"/>
          <w:docPartUnique/>
        </w:docPartObj>
      </w:sdtPr>
      <w:sdtContent>
        <w:p w:rsidR="006A3900" w:rsidRDefault="006A3900">
          <w:pPr>
            <w:pStyle w:val="TOCHeading"/>
          </w:pPr>
          <w:r>
            <w:t>Table of Contents</w:t>
          </w:r>
        </w:p>
        <w:p w:rsidR="006A3900" w:rsidRDefault="00CA7CBA">
          <w:pPr>
            <w:pStyle w:val="TOC1"/>
            <w:tabs>
              <w:tab w:val="right" w:leader="dot" w:pos="9350"/>
            </w:tabs>
            <w:rPr>
              <w:noProof/>
            </w:rPr>
          </w:pPr>
          <w:r>
            <w:fldChar w:fldCharType="begin"/>
          </w:r>
          <w:r w:rsidR="006A3900">
            <w:instrText xml:space="preserve"> TOC \o "1-3" \h \z \u </w:instrText>
          </w:r>
          <w:r>
            <w:fldChar w:fldCharType="separate"/>
          </w:r>
          <w:hyperlink w:anchor="_Toc502329654" w:history="1">
            <w:r w:rsidR="006A3900" w:rsidRPr="00B1367B">
              <w:rPr>
                <w:rStyle w:val="Hyperlink"/>
                <w:noProof/>
              </w:rPr>
              <w:t>Part-A</w:t>
            </w:r>
            <w:r w:rsidR="006A3900">
              <w:rPr>
                <w:noProof/>
                <w:webHidden/>
              </w:rPr>
              <w:tab/>
            </w:r>
            <w:r>
              <w:rPr>
                <w:noProof/>
                <w:webHidden/>
              </w:rPr>
              <w:fldChar w:fldCharType="begin"/>
            </w:r>
            <w:r w:rsidR="006A3900">
              <w:rPr>
                <w:noProof/>
                <w:webHidden/>
              </w:rPr>
              <w:instrText xml:space="preserve"> PAGEREF _Toc502329654 \h </w:instrText>
            </w:r>
            <w:r>
              <w:rPr>
                <w:noProof/>
                <w:webHidden/>
              </w:rPr>
            </w:r>
            <w:r>
              <w:rPr>
                <w:noProof/>
                <w:webHidden/>
              </w:rPr>
              <w:fldChar w:fldCharType="separate"/>
            </w:r>
            <w:r w:rsidR="006A3900">
              <w:rPr>
                <w:noProof/>
                <w:webHidden/>
              </w:rPr>
              <w:t>3</w:t>
            </w:r>
            <w:r>
              <w:rPr>
                <w:noProof/>
                <w:webHidden/>
              </w:rPr>
              <w:fldChar w:fldCharType="end"/>
            </w:r>
          </w:hyperlink>
        </w:p>
        <w:p w:rsidR="006A3900" w:rsidRDefault="00CA7CBA">
          <w:pPr>
            <w:pStyle w:val="TOC1"/>
            <w:tabs>
              <w:tab w:val="right" w:leader="dot" w:pos="9350"/>
            </w:tabs>
            <w:rPr>
              <w:noProof/>
            </w:rPr>
          </w:pPr>
          <w:hyperlink w:anchor="_Toc502329655" w:history="1">
            <w:r w:rsidR="006A3900" w:rsidRPr="00B1367B">
              <w:rPr>
                <w:rStyle w:val="Hyperlink"/>
                <w:noProof/>
              </w:rPr>
              <w:t>Brief History of Glaxo SmithKline:</w:t>
            </w:r>
            <w:r w:rsidR="006A3900">
              <w:rPr>
                <w:noProof/>
                <w:webHidden/>
              </w:rPr>
              <w:tab/>
            </w:r>
            <w:r>
              <w:rPr>
                <w:noProof/>
                <w:webHidden/>
              </w:rPr>
              <w:fldChar w:fldCharType="begin"/>
            </w:r>
            <w:r w:rsidR="006A3900">
              <w:rPr>
                <w:noProof/>
                <w:webHidden/>
              </w:rPr>
              <w:instrText xml:space="preserve"> PAGEREF _Toc502329655 \h </w:instrText>
            </w:r>
            <w:r>
              <w:rPr>
                <w:noProof/>
                <w:webHidden/>
              </w:rPr>
            </w:r>
            <w:r>
              <w:rPr>
                <w:noProof/>
                <w:webHidden/>
              </w:rPr>
              <w:fldChar w:fldCharType="separate"/>
            </w:r>
            <w:r w:rsidR="006A3900">
              <w:rPr>
                <w:noProof/>
                <w:webHidden/>
              </w:rPr>
              <w:t>3</w:t>
            </w:r>
            <w:r>
              <w:rPr>
                <w:noProof/>
                <w:webHidden/>
              </w:rPr>
              <w:fldChar w:fldCharType="end"/>
            </w:r>
          </w:hyperlink>
        </w:p>
        <w:p w:rsidR="006A3900" w:rsidRDefault="00CA7CBA">
          <w:pPr>
            <w:pStyle w:val="TOC1"/>
            <w:tabs>
              <w:tab w:val="right" w:leader="dot" w:pos="9350"/>
            </w:tabs>
            <w:rPr>
              <w:noProof/>
            </w:rPr>
          </w:pPr>
          <w:hyperlink w:anchor="_Toc502329656" w:history="1">
            <w:r w:rsidR="006A3900" w:rsidRPr="00B1367B">
              <w:rPr>
                <w:rStyle w:val="Hyperlink"/>
                <w:noProof/>
              </w:rPr>
              <w:t>Part-B</w:t>
            </w:r>
            <w:r w:rsidR="006A3900">
              <w:rPr>
                <w:noProof/>
                <w:webHidden/>
              </w:rPr>
              <w:tab/>
            </w:r>
            <w:r>
              <w:rPr>
                <w:noProof/>
                <w:webHidden/>
              </w:rPr>
              <w:fldChar w:fldCharType="begin"/>
            </w:r>
            <w:r w:rsidR="006A3900">
              <w:rPr>
                <w:noProof/>
                <w:webHidden/>
              </w:rPr>
              <w:instrText xml:space="preserve"> PAGEREF _Toc502329656 \h </w:instrText>
            </w:r>
            <w:r>
              <w:rPr>
                <w:noProof/>
                <w:webHidden/>
              </w:rPr>
            </w:r>
            <w:r>
              <w:rPr>
                <w:noProof/>
                <w:webHidden/>
              </w:rPr>
              <w:fldChar w:fldCharType="separate"/>
            </w:r>
            <w:r w:rsidR="006A3900">
              <w:rPr>
                <w:noProof/>
                <w:webHidden/>
              </w:rPr>
              <w:t>5</w:t>
            </w:r>
            <w:r>
              <w:rPr>
                <w:noProof/>
                <w:webHidden/>
              </w:rPr>
              <w:fldChar w:fldCharType="end"/>
            </w:r>
          </w:hyperlink>
        </w:p>
        <w:p w:rsidR="006A3900" w:rsidRDefault="00CA7CBA">
          <w:pPr>
            <w:pStyle w:val="TOC1"/>
            <w:tabs>
              <w:tab w:val="right" w:leader="dot" w:pos="9350"/>
            </w:tabs>
            <w:rPr>
              <w:noProof/>
            </w:rPr>
          </w:pPr>
          <w:hyperlink w:anchor="_Toc502329657" w:history="1">
            <w:r w:rsidR="006A3900" w:rsidRPr="00B1367B">
              <w:rPr>
                <w:rStyle w:val="Hyperlink"/>
                <w:noProof/>
              </w:rPr>
              <w:t>Review of the financial performance of Glaxo SmithKline through ratio Analysis:</w:t>
            </w:r>
            <w:r w:rsidR="006A3900">
              <w:rPr>
                <w:noProof/>
                <w:webHidden/>
              </w:rPr>
              <w:tab/>
            </w:r>
            <w:r>
              <w:rPr>
                <w:noProof/>
                <w:webHidden/>
              </w:rPr>
              <w:fldChar w:fldCharType="begin"/>
            </w:r>
            <w:r w:rsidR="006A3900">
              <w:rPr>
                <w:noProof/>
                <w:webHidden/>
              </w:rPr>
              <w:instrText xml:space="preserve"> PAGEREF _Toc502329657 \h </w:instrText>
            </w:r>
            <w:r>
              <w:rPr>
                <w:noProof/>
                <w:webHidden/>
              </w:rPr>
            </w:r>
            <w:r>
              <w:rPr>
                <w:noProof/>
                <w:webHidden/>
              </w:rPr>
              <w:fldChar w:fldCharType="separate"/>
            </w:r>
            <w:r w:rsidR="006A3900">
              <w:rPr>
                <w:noProof/>
                <w:webHidden/>
              </w:rPr>
              <w:t>5</w:t>
            </w:r>
            <w:r>
              <w:rPr>
                <w:noProof/>
                <w:webHidden/>
              </w:rPr>
              <w:fldChar w:fldCharType="end"/>
            </w:r>
          </w:hyperlink>
        </w:p>
        <w:p w:rsidR="006A3900" w:rsidRDefault="00CA7CBA">
          <w:pPr>
            <w:pStyle w:val="TOC2"/>
            <w:tabs>
              <w:tab w:val="right" w:leader="dot" w:pos="9350"/>
            </w:tabs>
            <w:rPr>
              <w:noProof/>
            </w:rPr>
          </w:pPr>
          <w:hyperlink w:anchor="_Toc502329658" w:history="1">
            <w:r w:rsidR="006A3900" w:rsidRPr="00B1367B">
              <w:rPr>
                <w:rStyle w:val="Hyperlink"/>
                <w:noProof/>
              </w:rPr>
              <w:t>Analysis of the key financial performance of the chosen organization for a period of 5 years (2016-2012) :</w:t>
            </w:r>
            <w:r w:rsidR="006A3900">
              <w:rPr>
                <w:noProof/>
                <w:webHidden/>
              </w:rPr>
              <w:tab/>
            </w:r>
            <w:r>
              <w:rPr>
                <w:noProof/>
                <w:webHidden/>
              </w:rPr>
              <w:fldChar w:fldCharType="begin"/>
            </w:r>
            <w:r w:rsidR="006A3900">
              <w:rPr>
                <w:noProof/>
                <w:webHidden/>
              </w:rPr>
              <w:instrText xml:space="preserve"> PAGEREF _Toc502329658 \h </w:instrText>
            </w:r>
            <w:r>
              <w:rPr>
                <w:noProof/>
                <w:webHidden/>
              </w:rPr>
            </w:r>
            <w:r>
              <w:rPr>
                <w:noProof/>
                <w:webHidden/>
              </w:rPr>
              <w:fldChar w:fldCharType="separate"/>
            </w:r>
            <w:r w:rsidR="006A3900">
              <w:rPr>
                <w:noProof/>
                <w:webHidden/>
              </w:rPr>
              <w:t>5</w:t>
            </w:r>
            <w:r>
              <w:rPr>
                <w:noProof/>
                <w:webHidden/>
              </w:rPr>
              <w:fldChar w:fldCharType="end"/>
            </w:r>
          </w:hyperlink>
        </w:p>
        <w:p w:rsidR="006A3900" w:rsidRDefault="00CA7CBA">
          <w:pPr>
            <w:pStyle w:val="TOC2"/>
            <w:tabs>
              <w:tab w:val="right" w:leader="dot" w:pos="9350"/>
            </w:tabs>
            <w:rPr>
              <w:noProof/>
            </w:rPr>
          </w:pPr>
          <w:hyperlink w:anchor="_Toc502329659" w:history="1">
            <w:r w:rsidR="006A3900" w:rsidRPr="00B1367B">
              <w:rPr>
                <w:rStyle w:val="Hyperlink"/>
                <w:noProof/>
              </w:rPr>
              <w:t>Profitability Ratios:</w:t>
            </w:r>
            <w:r w:rsidR="006A3900">
              <w:rPr>
                <w:noProof/>
                <w:webHidden/>
              </w:rPr>
              <w:tab/>
            </w:r>
            <w:r>
              <w:rPr>
                <w:noProof/>
                <w:webHidden/>
              </w:rPr>
              <w:fldChar w:fldCharType="begin"/>
            </w:r>
            <w:r w:rsidR="006A3900">
              <w:rPr>
                <w:noProof/>
                <w:webHidden/>
              </w:rPr>
              <w:instrText xml:space="preserve"> PAGEREF _Toc502329659 \h </w:instrText>
            </w:r>
            <w:r>
              <w:rPr>
                <w:noProof/>
                <w:webHidden/>
              </w:rPr>
            </w:r>
            <w:r>
              <w:rPr>
                <w:noProof/>
                <w:webHidden/>
              </w:rPr>
              <w:fldChar w:fldCharType="separate"/>
            </w:r>
            <w:r w:rsidR="006A3900">
              <w:rPr>
                <w:noProof/>
                <w:webHidden/>
              </w:rPr>
              <w:t>6</w:t>
            </w:r>
            <w:r>
              <w:rPr>
                <w:noProof/>
                <w:webHidden/>
              </w:rPr>
              <w:fldChar w:fldCharType="end"/>
            </w:r>
          </w:hyperlink>
        </w:p>
        <w:p w:rsidR="006A3900" w:rsidRDefault="00CA7CBA">
          <w:pPr>
            <w:pStyle w:val="TOC1"/>
            <w:tabs>
              <w:tab w:val="right" w:leader="dot" w:pos="9350"/>
            </w:tabs>
            <w:rPr>
              <w:noProof/>
            </w:rPr>
          </w:pPr>
          <w:hyperlink w:anchor="_Toc502329660" w:history="1">
            <w:r w:rsidR="006A3900" w:rsidRPr="00B1367B">
              <w:rPr>
                <w:rStyle w:val="Hyperlink"/>
                <w:noProof/>
              </w:rPr>
              <w:t>Liquidity ratios:</w:t>
            </w:r>
            <w:r w:rsidR="006A3900">
              <w:rPr>
                <w:noProof/>
                <w:webHidden/>
              </w:rPr>
              <w:tab/>
            </w:r>
            <w:r>
              <w:rPr>
                <w:noProof/>
                <w:webHidden/>
              </w:rPr>
              <w:fldChar w:fldCharType="begin"/>
            </w:r>
            <w:r w:rsidR="006A3900">
              <w:rPr>
                <w:noProof/>
                <w:webHidden/>
              </w:rPr>
              <w:instrText xml:space="preserve"> PAGEREF _Toc502329660 \h </w:instrText>
            </w:r>
            <w:r>
              <w:rPr>
                <w:noProof/>
                <w:webHidden/>
              </w:rPr>
            </w:r>
            <w:r>
              <w:rPr>
                <w:noProof/>
                <w:webHidden/>
              </w:rPr>
              <w:fldChar w:fldCharType="separate"/>
            </w:r>
            <w:r w:rsidR="006A3900">
              <w:rPr>
                <w:noProof/>
                <w:webHidden/>
              </w:rPr>
              <w:t>8</w:t>
            </w:r>
            <w:r>
              <w:rPr>
                <w:noProof/>
                <w:webHidden/>
              </w:rPr>
              <w:fldChar w:fldCharType="end"/>
            </w:r>
          </w:hyperlink>
        </w:p>
        <w:p w:rsidR="006A3900" w:rsidRDefault="00CA7CBA">
          <w:pPr>
            <w:pStyle w:val="TOC2"/>
            <w:tabs>
              <w:tab w:val="right" w:leader="dot" w:pos="9350"/>
            </w:tabs>
            <w:rPr>
              <w:noProof/>
            </w:rPr>
          </w:pPr>
          <w:hyperlink w:anchor="_Toc502329661" w:history="1">
            <w:r w:rsidR="006A3900" w:rsidRPr="00B1367B">
              <w:rPr>
                <w:rStyle w:val="Hyperlink"/>
                <w:noProof/>
              </w:rPr>
              <w:t>Efficiency ratios:</w:t>
            </w:r>
            <w:r w:rsidR="006A3900">
              <w:rPr>
                <w:noProof/>
                <w:webHidden/>
              </w:rPr>
              <w:tab/>
            </w:r>
            <w:r>
              <w:rPr>
                <w:noProof/>
                <w:webHidden/>
              </w:rPr>
              <w:fldChar w:fldCharType="begin"/>
            </w:r>
            <w:r w:rsidR="006A3900">
              <w:rPr>
                <w:noProof/>
                <w:webHidden/>
              </w:rPr>
              <w:instrText xml:space="preserve"> PAGEREF _Toc502329661 \h </w:instrText>
            </w:r>
            <w:r>
              <w:rPr>
                <w:noProof/>
                <w:webHidden/>
              </w:rPr>
            </w:r>
            <w:r>
              <w:rPr>
                <w:noProof/>
                <w:webHidden/>
              </w:rPr>
              <w:fldChar w:fldCharType="separate"/>
            </w:r>
            <w:r w:rsidR="006A3900">
              <w:rPr>
                <w:noProof/>
                <w:webHidden/>
              </w:rPr>
              <w:t>10</w:t>
            </w:r>
            <w:r>
              <w:rPr>
                <w:noProof/>
                <w:webHidden/>
              </w:rPr>
              <w:fldChar w:fldCharType="end"/>
            </w:r>
          </w:hyperlink>
        </w:p>
        <w:p w:rsidR="006A3900" w:rsidRDefault="00CA7CBA">
          <w:pPr>
            <w:pStyle w:val="TOC1"/>
            <w:tabs>
              <w:tab w:val="right" w:leader="dot" w:pos="9350"/>
            </w:tabs>
            <w:rPr>
              <w:noProof/>
            </w:rPr>
          </w:pPr>
          <w:hyperlink w:anchor="_Toc502329662" w:history="1">
            <w:r w:rsidR="006A3900" w:rsidRPr="00B1367B">
              <w:rPr>
                <w:rStyle w:val="Hyperlink"/>
                <w:noProof/>
              </w:rPr>
              <w:t>Gearing Ratio:</w:t>
            </w:r>
            <w:r w:rsidR="006A3900">
              <w:rPr>
                <w:noProof/>
                <w:webHidden/>
              </w:rPr>
              <w:tab/>
            </w:r>
            <w:r>
              <w:rPr>
                <w:noProof/>
                <w:webHidden/>
              </w:rPr>
              <w:fldChar w:fldCharType="begin"/>
            </w:r>
            <w:r w:rsidR="006A3900">
              <w:rPr>
                <w:noProof/>
                <w:webHidden/>
              </w:rPr>
              <w:instrText xml:space="preserve"> PAGEREF _Toc502329662 \h </w:instrText>
            </w:r>
            <w:r>
              <w:rPr>
                <w:noProof/>
                <w:webHidden/>
              </w:rPr>
            </w:r>
            <w:r>
              <w:rPr>
                <w:noProof/>
                <w:webHidden/>
              </w:rPr>
              <w:fldChar w:fldCharType="separate"/>
            </w:r>
            <w:r w:rsidR="006A3900">
              <w:rPr>
                <w:noProof/>
                <w:webHidden/>
              </w:rPr>
              <w:t>12</w:t>
            </w:r>
            <w:r>
              <w:rPr>
                <w:noProof/>
                <w:webHidden/>
              </w:rPr>
              <w:fldChar w:fldCharType="end"/>
            </w:r>
          </w:hyperlink>
        </w:p>
        <w:p w:rsidR="006A3900" w:rsidRDefault="00CA7CBA">
          <w:pPr>
            <w:pStyle w:val="TOC2"/>
            <w:tabs>
              <w:tab w:val="right" w:leader="dot" w:pos="9350"/>
            </w:tabs>
            <w:rPr>
              <w:noProof/>
            </w:rPr>
          </w:pPr>
          <w:hyperlink w:anchor="_Toc502329663" w:history="1">
            <w:r w:rsidR="006A3900" w:rsidRPr="00B1367B">
              <w:rPr>
                <w:rStyle w:val="Hyperlink"/>
                <w:noProof/>
              </w:rPr>
              <w:t>Possible explanation of the changes of ratios over years:</w:t>
            </w:r>
            <w:r w:rsidR="006A3900">
              <w:rPr>
                <w:noProof/>
                <w:webHidden/>
              </w:rPr>
              <w:tab/>
            </w:r>
            <w:r>
              <w:rPr>
                <w:noProof/>
                <w:webHidden/>
              </w:rPr>
              <w:fldChar w:fldCharType="begin"/>
            </w:r>
            <w:r w:rsidR="006A3900">
              <w:rPr>
                <w:noProof/>
                <w:webHidden/>
              </w:rPr>
              <w:instrText xml:space="preserve"> PAGEREF _Toc502329663 \h </w:instrText>
            </w:r>
            <w:r>
              <w:rPr>
                <w:noProof/>
                <w:webHidden/>
              </w:rPr>
            </w:r>
            <w:r>
              <w:rPr>
                <w:noProof/>
                <w:webHidden/>
              </w:rPr>
              <w:fldChar w:fldCharType="separate"/>
            </w:r>
            <w:r w:rsidR="006A3900">
              <w:rPr>
                <w:noProof/>
                <w:webHidden/>
              </w:rPr>
              <w:t>13</w:t>
            </w:r>
            <w:r>
              <w:rPr>
                <w:noProof/>
                <w:webHidden/>
              </w:rPr>
              <w:fldChar w:fldCharType="end"/>
            </w:r>
          </w:hyperlink>
        </w:p>
        <w:p w:rsidR="006A3900" w:rsidRDefault="00CA7CBA">
          <w:pPr>
            <w:pStyle w:val="TOC2"/>
            <w:tabs>
              <w:tab w:val="right" w:leader="dot" w:pos="9350"/>
            </w:tabs>
            <w:rPr>
              <w:noProof/>
            </w:rPr>
          </w:pPr>
          <w:hyperlink w:anchor="_Toc502329664" w:history="1">
            <w:r w:rsidR="006A3900" w:rsidRPr="00B1367B">
              <w:rPr>
                <w:rStyle w:val="Hyperlink"/>
                <w:noProof/>
              </w:rPr>
              <w:t>Performance comparison between Glaxo SmithKline &amp; Pfizer through ratio analysis:</w:t>
            </w:r>
            <w:r w:rsidR="006A3900">
              <w:rPr>
                <w:noProof/>
                <w:webHidden/>
              </w:rPr>
              <w:tab/>
            </w:r>
            <w:r>
              <w:rPr>
                <w:noProof/>
                <w:webHidden/>
              </w:rPr>
              <w:fldChar w:fldCharType="begin"/>
            </w:r>
            <w:r w:rsidR="006A3900">
              <w:rPr>
                <w:noProof/>
                <w:webHidden/>
              </w:rPr>
              <w:instrText xml:space="preserve"> PAGEREF _Toc502329664 \h </w:instrText>
            </w:r>
            <w:r>
              <w:rPr>
                <w:noProof/>
                <w:webHidden/>
              </w:rPr>
            </w:r>
            <w:r>
              <w:rPr>
                <w:noProof/>
                <w:webHidden/>
              </w:rPr>
              <w:fldChar w:fldCharType="separate"/>
            </w:r>
            <w:r w:rsidR="006A3900">
              <w:rPr>
                <w:noProof/>
                <w:webHidden/>
              </w:rPr>
              <w:t>16</w:t>
            </w:r>
            <w:r>
              <w:rPr>
                <w:noProof/>
                <w:webHidden/>
              </w:rPr>
              <w:fldChar w:fldCharType="end"/>
            </w:r>
          </w:hyperlink>
        </w:p>
        <w:p w:rsidR="006A3900" w:rsidRDefault="00CA7CBA">
          <w:pPr>
            <w:pStyle w:val="TOC3"/>
            <w:tabs>
              <w:tab w:val="right" w:leader="dot" w:pos="9350"/>
            </w:tabs>
            <w:rPr>
              <w:noProof/>
            </w:rPr>
          </w:pPr>
          <w:hyperlink w:anchor="_Toc502329665" w:history="1">
            <w:r w:rsidR="006A3900" w:rsidRPr="00B1367B">
              <w:rPr>
                <w:rStyle w:val="Hyperlink"/>
                <w:noProof/>
              </w:rPr>
              <w:t>Comparison with respect to Gross Profit margin:</w:t>
            </w:r>
            <w:r w:rsidR="006A3900">
              <w:rPr>
                <w:noProof/>
                <w:webHidden/>
              </w:rPr>
              <w:tab/>
            </w:r>
            <w:r>
              <w:rPr>
                <w:noProof/>
                <w:webHidden/>
              </w:rPr>
              <w:fldChar w:fldCharType="begin"/>
            </w:r>
            <w:r w:rsidR="006A3900">
              <w:rPr>
                <w:noProof/>
                <w:webHidden/>
              </w:rPr>
              <w:instrText xml:space="preserve"> PAGEREF _Toc502329665 \h </w:instrText>
            </w:r>
            <w:r>
              <w:rPr>
                <w:noProof/>
                <w:webHidden/>
              </w:rPr>
            </w:r>
            <w:r>
              <w:rPr>
                <w:noProof/>
                <w:webHidden/>
              </w:rPr>
              <w:fldChar w:fldCharType="separate"/>
            </w:r>
            <w:r w:rsidR="006A3900">
              <w:rPr>
                <w:noProof/>
                <w:webHidden/>
              </w:rPr>
              <w:t>17</w:t>
            </w:r>
            <w:r>
              <w:rPr>
                <w:noProof/>
                <w:webHidden/>
              </w:rPr>
              <w:fldChar w:fldCharType="end"/>
            </w:r>
          </w:hyperlink>
        </w:p>
        <w:p w:rsidR="006A3900" w:rsidRDefault="00CA7CBA">
          <w:pPr>
            <w:pStyle w:val="TOC3"/>
            <w:tabs>
              <w:tab w:val="right" w:leader="dot" w:pos="9350"/>
            </w:tabs>
            <w:rPr>
              <w:noProof/>
            </w:rPr>
          </w:pPr>
          <w:hyperlink w:anchor="_Toc502329666" w:history="1">
            <w:r w:rsidR="006A3900" w:rsidRPr="00B1367B">
              <w:rPr>
                <w:rStyle w:val="Hyperlink"/>
                <w:noProof/>
              </w:rPr>
              <w:t>Comparison with respect to Net Profit margin:</w:t>
            </w:r>
            <w:r w:rsidR="006A3900">
              <w:rPr>
                <w:noProof/>
                <w:webHidden/>
              </w:rPr>
              <w:tab/>
            </w:r>
            <w:r>
              <w:rPr>
                <w:noProof/>
                <w:webHidden/>
              </w:rPr>
              <w:fldChar w:fldCharType="begin"/>
            </w:r>
            <w:r w:rsidR="006A3900">
              <w:rPr>
                <w:noProof/>
                <w:webHidden/>
              </w:rPr>
              <w:instrText xml:space="preserve"> PAGEREF _Toc502329666 \h </w:instrText>
            </w:r>
            <w:r>
              <w:rPr>
                <w:noProof/>
                <w:webHidden/>
              </w:rPr>
            </w:r>
            <w:r>
              <w:rPr>
                <w:noProof/>
                <w:webHidden/>
              </w:rPr>
              <w:fldChar w:fldCharType="separate"/>
            </w:r>
            <w:r w:rsidR="006A3900">
              <w:rPr>
                <w:noProof/>
                <w:webHidden/>
              </w:rPr>
              <w:t>18</w:t>
            </w:r>
            <w:r>
              <w:rPr>
                <w:noProof/>
                <w:webHidden/>
              </w:rPr>
              <w:fldChar w:fldCharType="end"/>
            </w:r>
          </w:hyperlink>
        </w:p>
        <w:p w:rsidR="006A3900" w:rsidRDefault="00CA7CBA">
          <w:pPr>
            <w:pStyle w:val="TOC3"/>
            <w:tabs>
              <w:tab w:val="right" w:leader="dot" w:pos="9350"/>
            </w:tabs>
            <w:rPr>
              <w:noProof/>
            </w:rPr>
          </w:pPr>
          <w:hyperlink w:anchor="_Toc502329667" w:history="1">
            <w:r w:rsidR="006A3900" w:rsidRPr="00B1367B">
              <w:rPr>
                <w:rStyle w:val="Hyperlink"/>
                <w:noProof/>
              </w:rPr>
              <w:t>Comparison with respect to Current ratio:</w:t>
            </w:r>
            <w:r w:rsidR="006A3900">
              <w:rPr>
                <w:noProof/>
                <w:webHidden/>
              </w:rPr>
              <w:tab/>
            </w:r>
            <w:r>
              <w:rPr>
                <w:noProof/>
                <w:webHidden/>
              </w:rPr>
              <w:fldChar w:fldCharType="begin"/>
            </w:r>
            <w:r w:rsidR="006A3900">
              <w:rPr>
                <w:noProof/>
                <w:webHidden/>
              </w:rPr>
              <w:instrText xml:space="preserve"> PAGEREF _Toc502329667 \h </w:instrText>
            </w:r>
            <w:r>
              <w:rPr>
                <w:noProof/>
                <w:webHidden/>
              </w:rPr>
            </w:r>
            <w:r>
              <w:rPr>
                <w:noProof/>
                <w:webHidden/>
              </w:rPr>
              <w:fldChar w:fldCharType="separate"/>
            </w:r>
            <w:r w:rsidR="006A3900">
              <w:rPr>
                <w:noProof/>
                <w:webHidden/>
              </w:rPr>
              <w:t>19</w:t>
            </w:r>
            <w:r>
              <w:rPr>
                <w:noProof/>
                <w:webHidden/>
              </w:rPr>
              <w:fldChar w:fldCharType="end"/>
            </w:r>
          </w:hyperlink>
        </w:p>
        <w:p w:rsidR="006A3900" w:rsidRDefault="00CA7CBA">
          <w:pPr>
            <w:pStyle w:val="TOC3"/>
            <w:tabs>
              <w:tab w:val="right" w:leader="dot" w:pos="9350"/>
            </w:tabs>
            <w:rPr>
              <w:noProof/>
            </w:rPr>
          </w:pPr>
          <w:hyperlink w:anchor="_Toc502329668" w:history="1">
            <w:r w:rsidR="006A3900" w:rsidRPr="00B1367B">
              <w:rPr>
                <w:rStyle w:val="Hyperlink"/>
                <w:noProof/>
              </w:rPr>
              <w:t>Comparison with respect to Quick ratio:</w:t>
            </w:r>
            <w:r w:rsidR="006A3900">
              <w:rPr>
                <w:noProof/>
                <w:webHidden/>
              </w:rPr>
              <w:tab/>
            </w:r>
            <w:r>
              <w:rPr>
                <w:noProof/>
                <w:webHidden/>
              </w:rPr>
              <w:fldChar w:fldCharType="begin"/>
            </w:r>
            <w:r w:rsidR="006A3900">
              <w:rPr>
                <w:noProof/>
                <w:webHidden/>
              </w:rPr>
              <w:instrText xml:space="preserve"> PAGEREF _Toc502329668 \h </w:instrText>
            </w:r>
            <w:r>
              <w:rPr>
                <w:noProof/>
                <w:webHidden/>
              </w:rPr>
            </w:r>
            <w:r>
              <w:rPr>
                <w:noProof/>
                <w:webHidden/>
              </w:rPr>
              <w:fldChar w:fldCharType="separate"/>
            </w:r>
            <w:r w:rsidR="006A3900">
              <w:rPr>
                <w:noProof/>
                <w:webHidden/>
              </w:rPr>
              <w:t>19</w:t>
            </w:r>
            <w:r>
              <w:rPr>
                <w:noProof/>
                <w:webHidden/>
              </w:rPr>
              <w:fldChar w:fldCharType="end"/>
            </w:r>
          </w:hyperlink>
        </w:p>
        <w:p w:rsidR="006A3900" w:rsidRDefault="00CA7CBA">
          <w:pPr>
            <w:pStyle w:val="TOC3"/>
            <w:tabs>
              <w:tab w:val="right" w:leader="dot" w:pos="9350"/>
            </w:tabs>
            <w:rPr>
              <w:noProof/>
            </w:rPr>
          </w:pPr>
          <w:hyperlink w:anchor="_Toc502329669" w:history="1">
            <w:r w:rsidR="006A3900" w:rsidRPr="00B1367B">
              <w:rPr>
                <w:rStyle w:val="Hyperlink"/>
                <w:noProof/>
              </w:rPr>
              <w:t>Comparison with respect to Return on capital employed (ROCE) ratio:</w:t>
            </w:r>
            <w:r w:rsidR="006A3900">
              <w:rPr>
                <w:noProof/>
                <w:webHidden/>
              </w:rPr>
              <w:tab/>
            </w:r>
            <w:r>
              <w:rPr>
                <w:noProof/>
                <w:webHidden/>
              </w:rPr>
              <w:fldChar w:fldCharType="begin"/>
            </w:r>
            <w:r w:rsidR="006A3900">
              <w:rPr>
                <w:noProof/>
                <w:webHidden/>
              </w:rPr>
              <w:instrText xml:space="preserve"> PAGEREF _Toc502329669 \h </w:instrText>
            </w:r>
            <w:r>
              <w:rPr>
                <w:noProof/>
                <w:webHidden/>
              </w:rPr>
            </w:r>
            <w:r>
              <w:rPr>
                <w:noProof/>
                <w:webHidden/>
              </w:rPr>
              <w:fldChar w:fldCharType="separate"/>
            </w:r>
            <w:r w:rsidR="006A3900">
              <w:rPr>
                <w:noProof/>
                <w:webHidden/>
              </w:rPr>
              <w:t>20</w:t>
            </w:r>
            <w:r>
              <w:rPr>
                <w:noProof/>
                <w:webHidden/>
              </w:rPr>
              <w:fldChar w:fldCharType="end"/>
            </w:r>
          </w:hyperlink>
        </w:p>
        <w:p w:rsidR="006A3900" w:rsidRDefault="00CA7CBA">
          <w:pPr>
            <w:pStyle w:val="TOC3"/>
            <w:tabs>
              <w:tab w:val="right" w:leader="dot" w:pos="9350"/>
            </w:tabs>
            <w:rPr>
              <w:noProof/>
            </w:rPr>
          </w:pPr>
          <w:hyperlink w:anchor="_Toc502329670" w:history="1">
            <w:r w:rsidR="006A3900" w:rsidRPr="00B1367B">
              <w:rPr>
                <w:rStyle w:val="Hyperlink"/>
                <w:noProof/>
              </w:rPr>
              <w:t>Comparison with respect to Total asset turnover ratio:</w:t>
            </w:r>
            <w:r w:rsidR="006A3900">
              <w:rPr>
                <w:noProof/>
                <w:webHidden/>
              </w:rPr>
              <w:tab/>
            </w:r>
            <w:r>
              <w:rPr>
                <w:noProof/>
                <w:webHidden/>
              </w:rPr>
              <w:fldChar w:fldCharType="begin"/>
            </w:r>
            <w:r w:rsidR="006A3900">
              <w:rPr>
                <w:noProof/>
                <w:webHidden/>
              </w:rPr>
              <w:instrText xml:space="preserve"> PAGEREF _Toc502329670 \h </w:instrText>
            </w:r>
            <w:r>
              <w:rPr>
                <w:noProof/>
                <w:webHidden/>
              </w:rPr>
            </w:r>
            <w:r>
              <w:rPr>
                <w:noProof/>
                <w:webHidden/>
              </w:rPr>
              <w:fldChar w:fldCharType="separate"/>
            </w:r>
            <w:r w:rsidR="006A3900">
              <w:rPr>
                <w:noProof/>
                <w:webHidden/>
              </w:rPr>
              <w:t>21</w:t>
            </w:r>
            <w:r>
              <w:rPr>
                <w:noProof/>
                <w:webHidden/>
              </w:rPr>
              <w:fldChar w:fldCharType="end"/>
            </w:r>
          </w:hyperlink>
        </w:p>
        <w:p w:rsidR="006A3900" w:rsidRDefault="00CA7CBA">
          <w:pPr>
            <w:pStyle w:val="TOC3"/>
            <w:tabs>
              <w:tab w:val="right" w:leader="dot" w:pos="9350"/>
            </w:tabs>
            <w:rPr>
              <w:noProof/>
            </w:rPr>
          </w:pPr>
          <w:hyperlink w:anchor="_Toc502329671" w:history="1">
            <w:r w:rsidR="006A3900" w:rsidRPr="00B1367B">
              <w:rPr>
                <w:rStyle w:val="Hyperlink"/>
                <w:noProof/>
              </w:rPr>
              <w:t>Comparison with respect to gearing ratio:</w:t>
            </w:r>
            <w:r w:rsidR="006A3900">
              <w:rPr>
                <w:noProof/>
                <w:webHidden/>
              </w:rPr>
              <w:tab/>
            </w:r>
            <w:r>
              <w:rPr>
                <w:noProof/>
                <w:webHidden/>
              </w:rPr>
              <w:fldChar w:fldCharType="begin"/>
            </w:r>
            <w:r w:rsidR="006A3900">
              <w:rPr>
                <w:noProof/>
                <w:webHidden/>
              </w:rPr>
              <w:instrText xml:space="preserve"> PAGEREF _Toc502329671 \h </w:instrText>
            </w:r>
            <w:r>
              <w:rPr>
                <w:noProof/>
                <w:webHidden/>
              </w:rPr>
            </w:r>
            <w:r>
              <w:rPr>
                <w:noProof/>
                <w:webHidden/>
              </w:rPr>
              <w:fldChar w:fldCharType="separate"/>
            </w:r>
            <w:r w:rsidR="006A3900">
              <w:rPr>
                <w:noProof/>
                <w:webHidden/>
              </w:rPr>
              <w:t>22</w:t>
            </w:r>
            <w:r>
              <w:rPr>
                <w:noProof/>
                <w:webHidden/>
              </w:rPr>
              <w:fldChar w:fldCharType="end"/>
            </w:r>
          </w:hyperlink>
        </w:p>
        <w:p w:rsidR="006A3900" w:rsidRDefault="00CA7CBA">
          <w:pPr>
            <w:pStyle w:val="TOC2"/>
            <w:tabs>
              <w:tab w:val="right" w:leader="dot" w:pos="9350"/>
            </w:tabs>
            <w:rPr>
              <w:noProof/>
            </w:rPr>
          </w:pPr>
          <w:hyperlink w:anchor="_Toc502329672" w:history="1">
            <w:r w:rsidR="006A3900" w:rsidRPr="00B1367B">
              <w:rPr>
                <w:rStyle w:val="Hyperlink"/>
                <w:noProof/>
              </w:rPr>
              <w:t>Future Performance potential with respect to the major competitor:</w:t>
            </w:r>
            <w:r w:rsidR="006A3900">
              <w:rPr>
                <w:noProof/>
                <w:webHidden/>
              </w:rPr>
              <w:tab/>
            </w:r>
            <w:r>
              <w:rPr>
                <w:noProof/>
                <w:webHidden/>
              </w:rPr>
              <w:fldChar w:fldCharType="begin"/>
            </w:r>
            <w:r w:rsidR="006A3900">
              <w:rPr>
                <w:noProof/>
                <w:webHidden/>
              </w:rPr>
              <w:instrText xml:space="preserve"> PAGEREF _Toc502329672 \h </w:instrText>
            </w:r>
            <w:r>
              <w:rPr>
                <w:noProof/>
                <w:webHidden/>
              </w:rPr>
            </w:r>
            <w:r>
              <w:rPr>
                <w:noProof/>
                <w:webHidden/>
              </w:rPr>
              <w:fldChar w:fldCharType="separate"/>
            </w:r>
            <w:r w:rsidR="006A3900">
              <w:rPr>
                <w:noProof/>
                <w:webHidden/>
              </w:rPr>
              <w:t>22</w:t>
            </w:r>
            <w:r>
              <w:rPr>
                <w:noProof/>
                <w:webHidden/>
              </w:rPr>
              <w:fldChar w:fldCharType="end"/>
            </w:r>
          </w:hyperlink>
        </w:p>
        <w:p w:rsidR="006A3900" w:rsidRDefault="00CA7CBA">
          <w:pPr>
            <w:pStyle w:val="TOC2"/>
            <w:tabs>
              <w:tab w:val="right" w:leader="dot" w:pos="9350"/>
            </w:tabs>
            <w:rPr>
              <w:noProof/>
            </w:rPr>
          </w:pPr>
          <w:hyperlink w:anchor="_Toc502329673" w:history="1">
            <w:r w:rsidR="006A3900" w:rsidRPr="00B1367B">
              <w:rPr>
                <w:rStyle w:val="Hyperlink"/>
                <w:noProof/>
              </w:rPr>
              <w:t>Pros and cons of Ratio analysis:</w:t>
            </w:r>
            <w:r w:rsidR="006A3900">
              <w:rPr>
                <w:noProof/>
                <w:webHidden/>
              </w:rPr>
              <w:tab/>
            </w:r>
            <w:r>
              <w:rPr>
                <w:noProof/>
                <w:webHidden/>
              </w:rPr>
              <w:fldChar w:fldCharType="begin"/>
            </w:r>
            <w:r w:rsidR="006A3900">
              <w:rPr>
                <w:noProof/>
                <w:webHidden/>
              </w:rPr>
              <w:instrText xml:space="preserve"> PAGEREF _Toc502329673 \h </w:instrText>
            </w:r>
            <w:r>
              <w:rPr>
                <w:noProof/>
                <w:webHidden/>
              </w:rPr>
            </w:r>
            <w:r>
              <w:rPr>
                <w:noProof/>
                <w:webHidden/>
              </w:rPr>
              <w:fldChar w:fldCharType="separate"/>
            </w:r>
            <w:r w:rsidR="006A3900">
              <w:rPr>
                <w:noProof/>
                <w:webHidden/>
              </w:rPr>
              <w:t>23</w:t>
            </w:r>
            <w:r>
              <w:rPr>
                <w:noProof/>
                <w:webHidden/>
              </w:rPr>
              <w:fldChar w:fldCharType="end"/>
            </w:r>
          </w:hyperlink>
        </w:p>
        <w:p w:rsidR="006A3900" w:rsidRDefault="00CA7CBA">
          <w:pPr>
            <w:pStyle w:val="TOC1"/>
            <w:tabs>
              <w:tab w:val="right" w:leader="dot" w:pos="9350"/>
            </w:tabs>
            <w:rPr>
              <w:noProof/>
            </w:rPr>
          </w:pPr>
          <w:hyperlink w:anchor="_Toc502329674" w:history="1">
            <w:r w:rsidR="006A3900" w:rsidRPr="00B1367B">
              <w:rPr>
                <w:rStyle w:val="Hyperlink"/>
                <w:noProof/>
              </w:rPr>
              <w:t>Reference:</w:t>
            </w:r>
            <w:r w:rsidR="006A3900">
              <w:rPr>
                <w:noProof/>
                <w:webHidden/>
              </w:rPr>
              <w:tab/>
            </w:r>
            <w:r>
              <w:rPr>
                <w:noProof/>
                <w:webHidden/>
              </w:rPr>
              <w:fldChar w:fldCharType="begin"/>
            </w:r>
            <w:r w:rsidR="006A3900">
              <w:rPr>
                <w:noProof/>
                <w:webHidden/>
              </w:rPr>
              <w:instrText xml:space="preserve"> PAGEREF _Toc502329674 \h </w:instrText>
            </w:r>
            <w:r>
              <w:rPr>
                <w:noProof/>
                <w:webHidden/>
              </w:rPr>
            </w:r>
            <w:r>
              <w:rPr>
                <w:noProof/>
                <w:webHidden/>
              </w:rPr>
              <w:fldChar w:fldCharType="separate"/>
            </w:r>
            <w:r w:rsidR="006A3900">
              <w:rPr>
                <w:noProof/>
                <w:webHidden/>
              </w:rPr>
              <w:t>25</w:t>
            </w:r>
            <w:r>
              <w:rPr>
                <w:noProof/>
                <w:webHidden/>
              </w:rPr>
              <w:fldChar w:fldCharType="end"/>
            </w:r>
          </w:hyperlink>
        </w:p>
        <w:p w:rsidR="006A3900" w:rsidRDefault="00CA7CBA">
          <w:pPr>
            <w:pStyle w:val="TOC1"/>
            <w:tabs>
              <w:tab w:val="right" w:leader="dot" w:pos="9350"/>
            </w:tabs>
            <w:rPr>
              <w:noProof/>
            </w:rPr>
          </w:pPr>
          <w:hyperlink w:anchor="_Toc502329675" w:history="1">
            <w:r w:rsidR="006A3900" w:rsidRPr="00B1367B">
              <w:rPr>
                <w:rStyle w:val="Hyperlink"/>
                <w:noProof/>
              </w:rPr>
              <w:t>Appendix:</w:t>
            </w:r>
            <w:r w:rsidR="006A3900">
              <w:rPr>
                <w:noProof/>
                <w:webHidden/>
              </w:rPr>
              <w:tab/>
            </w:r>
            <w:r>
              <w:rPr>
                <w:noProof/>
                <w:webHidden/>
              </w:rPr>
              <w:fldChar w:fldCharType="begin"/>
            </w:r>
            <w:r w:rsidR="006A3900">
              <w:rPr>
                <w:noProof/>
                <w:webHidden/>
              </w:rPr>
              <w:instrText xml:space="preserve"> PAGEREF _Toc502329675 \h </w:instrText>
            </w:r>
            <w:r>
              <w:rPr>
                <w:noProof/>
                <w:webHidden/>
              </w:rPr>
            </w:r>
            <w:r>
              <w:rPr>
                <w:noProof/>
                <w:webHidden/>
              </w:rPr>
              <w:fldChar w:fldCharType="separate"/>
            </w:r>
            <w:r w:rsidR="006A3900">
              <w:rPr>
                <w:noProof/>
                <w:webHidden/>
              </w:rPr>
              <w:t>29</w:t>
            </w:r>
            <w:r>
              <w:rPr>
                <w:noProof/>
                <w:webHidden/>
              </w:rPr>
              <w:fldChar w:fldCharType="end"/>
            </w:r>
          </w:hyperlink>
        </w:p>
        <w:p w:rsidR="006A3900" w:rsidRDefault="00CA7CBA">
          <w:r>
            <w:fldChar w:fldCharType="end"/>
          </w:r>
        </w:p>
      </w:sdtContent>
    </w:sdt>
    <w:p w:rsidR="006A3900" w:rsidRDefault="006A3900">
      <w:pPr>
        <w:spacing w:line="276" w:lineRule="auto"/>
        <w:jc w:val="left"/>
        <w:rPr>
          <w:rFonts w:asciiTheme="majorHAnsi" w:eastAsiaTheme="majorEastAsia" w:hAnsiTheme="majorHAnsi" w:cstheme="majorBidi"/>
          <w:b/>
          <w:bCs/>
          <w:color w:val="365F91" w:themeColor="accent1" w:themeShade="BF"/>
          <w:sz w:val="28"/>
          <w:szCs w:val="28"/>
        </w:rPr>
      </w:pPr>
    </w:p>
    <w:p w:rsidR="000E5309" w:rsidRDefault="000E5309" w:rsidP="000E5309">
      <w:pPr>
        <w:pStyle w:val="Heading1"/>
      </w:pPr>
      <w:bookmarkStart w:id="0" w:name="_Toc502329654"/>
      <w:r>
        <w:t>Part-A</w:t>
      </w:r>
      <w:bookmarkEnd w:id="0"/>
    </w:p>
    <w:p w:rsidR="00B77E0B" w:rsidRDefault="00B77E0B" w:rsidP="000E5309">
      <w:pPr>
        <w:pStyle w:val="Heading1"/>
      </w:pPr>
      <w:bookmarkStart w:id="1" w:name="_Toc502329655"/>
      <w:r>
        <w:t xml:space="preserve">Brief History </w:t>
      </w:r>
      <w:r w:rsidR="00D1287A">
        <w:t>of</w:t>
      </w:r>
      <w:r>
        <w:t xml:space="preserve"> </w:t>
      </w:r>
      <w:r w:rsidRPr="00B77E0B">
        <w:t>Glaxo SmithKline</w:t>
      </w:r>
      <w:r w:rsidR="000E5309">
        <w:t>:</w:t>
      </w:r>
      <w:bookmarkEnd w:id="1"/>
    </w:p>
    <w:p w:rsidR="00404155" w:rsidRDefault="00404155" w:rsidP="00404155">
      <w:r>
        <w:t xml:space="preserve">The GlaxoSmithKline is one of the leading </w:t>
      </w:r>
      <w:r w:rsidRPr="00404155">
        <w:t>pharmaceutica</w:t>
      </w:r>
      <w:r>
        <w:t xml:space="preserve">l companies of UK and a well known name in the global </w:t>
      </w:r>
      <w:r w:rsidR="001D219F" w:rsidRPr="00404155">
        <w:t>pharmaceutica</w:t>
      </w:r>
      <w:r w:rsidR="001D219F">
        <w:t xml:space="preserve">l industry. The organization was established in the year 2000 through a merger of the organizations of </w:t>
      </w:r>
      <w:r w:rsidR="001D219F" w:rsidRPr="001D219F">
        <w:t xml:space="preserve">SmithKline Beecham and </w:t>
      </w:r>
      <w:proofErr w:type="spellStart"/>
      <w:r w:rsidR="001D219F" w:rsidRPr="001D219F">
        <w:t>Glaxo</w:t>
      </w:r>
      <w:proofErr w:type="spellEnd"/>
      <w:r w:rsidR="001D219F" w:rsidRPr="001D219F">
        <w:t xml:space="preserve"> </w:t>
      </w:r>
      <w:proofErr w:type="spellStart"/>
      <w:r w:rsidR="001D219F" w:rsidRPr="001D219F">
        <w:t>Wellcome</w:t>
      </w:r>
      <w:proofErr w:type="spellEnd"/>
      <w:r w:rsidR="00953A24">
        <w:t xml:space="preserve">. The main products of the organization are </w:t>
      </w:r>
      <w:r w:rsidR="00BC1213" w:rsidRPr="00BC1213">
        <w:t>medicines, vaccines and healthcare products</w:t>
      </w:r>
      <w:r w:rsidR="00BC1213">
        <w:t xml:space="preserve"> all that are needed to provide a healthy</w:t>
      </w:r>
      <w:r w:rsidR="00DC48A1">
        <w:t xml:space="preserve"> life to </w:t>
      </w:r>
      <w:r w:rsidR="00BC1213">
        <w:t xml:space="preserve">the people across the </w:t>
      </w:r>
      <w:r w:rsidR="00DC48A1">
        <w:t>world.</w:t>
      </w:r>
      <w:r w:rsidR="00293474">
        <w:t xml:space="preserve"> </w:t>
      </w:r>
      <w:r w:rsidR="00DC48A1">
        <w:t>After mergin</w:t>
      </w:r>
      <w:r w:rsidR="00293474">
        <w:t>g</w:t>
      </w:r>
      <w:r w:rsidR="00DC48A1">
        <w:t xml:space="preserve"> in 2001 the</w:t>
      </w:r>
      <w:r w:rsidR="00293474">
        <w:t xml:space="preserve"> o</w:t>
      </w:r>
      <w:r w:rsidR="00DC48A1">
        <w:t xml:space="preserve">rganization </w:t>
      </w:r>
      <w:r w:rsidR="00293474">
        <w:t xml:space="preserve">acquired a size of $75.7 billion. The merging of the two organization has been done so that a bigger </w:t>
      </w:r>
      <w:r w:rsidR="00293474" w:rsidRPr="00404155">
        <w:t>pharmaceutica</w:t>
      </w:r>
      <w:r w:rsidR="00293474">
        <w:t xml:space="preserve">l can be formed that </w:t>
      </w:r>
      <w:r w:rsidR="00BE760C">
        <w:t>can bear the huge cost of research and marketing</w:t>
      </w:r>
      <w:r w:rsidR="00677B14" w:rsidRPr="00677B14">
        <w:t xml:space="preserve"> (Pharmainfo.net, 2014)</w:t>
      </w:r>
      <w:r w:rsidR="00BE760C">
        <w:t>.</w:t>
      </w:r>
    </w:p>
    <w:p w:rsidR="00BE760C" w:rsidRDefault="00BE760C" w:rsidP="0030365E">
      <w:r>
        <w:t>Before the merger that took place in 21</w:t>
      </w:r>
      <w:r w:rsidRPr="00BE760C">
        <w:rPr>
          <w:vertAlign w:val="superscript"/>
        </w:rPr>
        <w:t>St</w:t>
      </w:r>
      <w:r>
        <w:t xml:space="preserve"> century the origin of this </w:t>
      </w:r>
      <w:r w:rsidRPr="00404155">
        <w:t>pharmaceutica</w:t>
      </w:r>
      <w:r>
        <w:t xml:space="preserve">l giant can be traced in 1715 as </w:t>
      </w:r>
      <w:r w:rsidR="00EC65AE">
        <w:t>“</w:t>
      </w:r>
      <w:r w:rsidR="00EC65AE" w:rsidRPr="00EC65AE">
        <w:rPr>
          <w:b/>
          <w:i/>
        </w:rPr>
        <w:t>Plough Court Pharmacy</w:t>
      </w:r>
      <w:r w:rsidR="00EC65AE">
        <w:t xml:space="preserve">” that was opened by </w:t>
      </w:r>
      <w:r w:rsidR="00EC65AE" w:rsidRPr="00EC65AE">
        <w:t>Silvanus Bevan</w:t>
      </w:r>
      <w:r w:rsidR="00EC65AE">
        <w:t xml:space="preserve"> in London. Later this </w:t>
      </w:r>
      <w:r w:rsidR="00427015" w:rsidRPr="00EC65AE">
        <w:t>Pharmacy</w:t>
      </w:r>
      <w:r w:rsidR="00427015">
        <w:t xml:space="preserve"> became</w:t>
      </w:r>
      <w:r w:rsidR="00EC65AE">
        <w:t xml:space="preserve"> familiar in the name of </w:t>
      </w:r>
      <w:r w:rsidR="00427015">
        <w:t>“</w:t>
      </w:r>
      <w:r w:rsidR="00427015" w:rsidRPr="00427015">
        <w:rPr>
          <w:b/>
          <w:i/>
        </w:rPr>
        <w:t>A</w:t>
      </w:r>
      <w:r w:rsidR="00EC65AE" w:rsidRPr="00427015">
        <w:rPr>
          <w:b/>
          <w:i/>
        </w:rPr>
        <w:t xml:space="preserve">llen and </w:t>
      </w:r>
      <w:proofErr w:type="spellStart"/>
      <w:r w:rsidR="00EC65AE" w:rsidRPr="00427015">
        <w:rPr>
          <w:b/>
          <w:i/>
        </w:rPr>
        <w:t>Hanburys</w:t>
      </w:r>
      <w:proofErr w:type="spellEnd"/>
      <w:r w:rsidR="00427015">
        <w:t>”</w:t>
      </w:r>
      <w:r w:rsidR="00EC65AE" w:rsidRPr="00EC65AE">
        <w:t>.</w:t>
      </w:r>
      <w:r w:rsidR="0030365E">
        <w:t xml:space="preserve"> </w:t>
      </w:r>
      <w:r w:rsidR="009679CD">
        <w:t xml:space="preserve">In the year 1830 a drugstore was opened in </w:t>
      </w:r>
      <w:r w:rsidR="009679CD" w:rsidRPr="009679CD">
        <w:t>Philadelphia</w:t>
      </w:r>
      <w:r w:rsidR="009679CD">
        <w:t xml:space="preserve"> by MR.</w:t>
      </w:r>
      <w:r w:rsidR="009679CD" w:rsidRPr="009679CD">
        <w:t xml:space="preserve"> John K. Smith</w:t>
      </w:r>
      <w:r w:rsidR="009679CD">
        <w:t>. And the company got the name of “</w:t>
      </w:r>
      <w:r w:rsidR="009679CD" w:rsidRPr="00D56073">
        <w:rPr>
          <w:b/>
          <w:i/>
        </w:rPr>
        <w:t>John K. Smith &amp; Co</w:t>
      </w:r>
      <w:r w:rsidR="009679CD">
        <w:t>”</w:t>
      </w:r>
      <w:r w:rsidR="00D56073">
        <w:t xml:space="preserve"> in 1716 when the younger brother of MR.</w:t>
      </w:r>
      <w:r w:rsidR="00D56073" w:rsidRPr="009679CD">
        <w:t xml:space="preserve"> John K. Smith</w:t>
      </w:r>
      <w:r w:rsidR="00D56073">
        <w:t>, MR George joined to the company</w:t>
      </w:r>
      <w:r w:rsidR="00911070" w:rsidRPr="00911070">
        <w:t xml:space="preserve"> (</w:t>
      </w:r>
      <w:proofErr w:type="spellStart"/>
      <w:r w:rsidR="00911070" w:rsidRPr="00911070">
        <w:t>Silvestrini</w:t>
      </w:r>
      <w:proofErr w:type="spellEnd"/>
      <w:r w:rsidR="00911070" w:rsidRPr="00911070">
        <w:t xml:space="preserve"> and Connolly, 2017)</w:t>
      </w:r>
      <w:r w:rsidR="00D56073">
        <w:t xml:space="preserve">. </w:t>
      </w:r>
      <w:r w:rsidR="0030365E">
        <w:t>Later Marlon Kline joined in the</w:t>
      </w:r>
      <w:r w:rsidR="00D56073">
        <w:t xml:space="preserve"> organization “</w:t>
      </w:r>
      <w:r w:rsidR="00D56073" w:rsidRPr="00D56073">
        <w:rPr>
          <w:b/>
          <w:i/>
        </w:rPr>
        <w:t>John K. Smith &amp; Co</w:t>
      </w:r>
      <w:r w:rsidR="00D56073">
        <w:rPr>
          <w:b/>
          <w:i/>
        </w:rPr>
        <w:t>”</w:t>
      </w:r>
      <w:r w:rsidR="00863099">
        <w:rPr>
          <w:b/>
          <w:i/>
        </w:rPr>
        <w:t xml:space="preserve"> and the organization started to become </w:t>
      </w:r>
      <w:r w:rsidR="00BF4C0B">
        <w:rPr>
          <w:b/>
          <w:i/>
        </w:rPr>
        <w:t xml:space="preserve">familiar </w:t>
      </w:r>
      <w:r w:rsidR="00863099">
        <w:rPr>
          <w:b/>
          <w:i/>
        </w:rPr>
        <w:t xml:space="preserve">in the name of </w:t>
      </w:r>
      <w:r w:rsidR="00BF4C0B" w:rsidRPr="00BF4C0B">
        <w:rPr>
          <w:b/>
          <w:i/>
        </w:rPr>
        <w:t>SmithKline</w:t>
      </w:r>
      <w:r w:rsidR="00BF4C0B">
        <w:rPr>
          <w:b/>
          <w:i/>
        </w:rPr>
        <w:t xml:space="preserve"> group.</w:t>
      </w:r>
    </w:p>
    <w:p w:rsidR="00EE6BC7" w:rsidRDefault="007C4EBE" w:rsidP="0030365E">
      <w:r w:rsidRPr="00B741CE">
        <w:rPr>
          <w:b/>
        </w:rPr>
        <w:t xml:space="preserve">In </w:t>
      </w:r>
      <w:r w:rsidR="0020651F" w:rsidRPr="00B741CE">
        <w:rPr>
          <w:b/>
        </w:rPr>
        <w:t>1842 Beecham’s</w:t>
      </w:r>
      <w:r w:rsidR="00E376E0" w:rsidRPr="00B741CE">
        <w:rPr>
          <w:b/>
        </w:rPr>
        <w:t xml:space="preserve"> Pills was started by Thomas Beecham for selling the laxative products</w:t>
      </w:r>
      <w:r w:rsidR="00B741CE" w:rsidRPr="00B741CE">
        <w:rPr>
          <w:b/>
        </w:rPr>
        <w:t xml:space="preserve"> </w:t>
      </w:r>
      <w:proofErr w:type="spellStart"/>
      <w:r w:rsidR="00B741CE" w:rsidRPr="00B741CE">
        <w:rPr>
          <w:b/>
        </w:rPr>
        <w:t>nand</w:t>
      </w:r>
      <w:proofErr w:type="spellEnd"/>
      <w:r w:rsidR="00B741CE" w:rsidRPr="00B741CE">
        <w:rPr>
          <w:b/>
        </w:rPr>
        <w:t xml:space="preserve"> the organization was then became familiar as Beecham Group</w:t>
      </w:r>
      <w:r w:rsidR="00B741CE" w:rsidRPr="00B741CE">
        <w:t>.</w:t>
      </w:r>
      <w:r w:rsidR="00E376E0">
        <w:t xml:space="preserve"> On the other</w:t>
      </w:r>
      <w:r w:rsidR="0020651F">
        <w:t xml:space="preserve"> hand the</w:t>
      </w:r>
      <w:r w:rsidR="00E376E0">
        <w:t xml:space="preserve"> </w:t>
      </w:r>
      <w:r w:rsidR="0020651F">
        <w:t>“</w:t>
      </w:r>
      <w:proofErr w:type="spellStart"/>
      <w:r w:rsidR="0020651F" w:rsidRPr="0020651F">
        <w:t>Borroughs</w:t>
      </w:r>
      <w:proofErr w:type="spellEnd"/>
      <w:r w:rsidR="0020651F">
        <w:t xml:space="preserve"> </w:t>
      </w:r>
      <w:r w:rsidR="0020651F" w:rsidRPr="00E376E0">
        <w:t>Welcome</w:t>
      </w:r>
      <w:r w:rsidR="00E376E0" w:rsidRPr="00E376E0">
        <w:t xml:space="preserve"> &amp; Company</w:t>
      </w:r>
      <w:r w:rsidR="0020651F">
        <w:t>”</w:t>
      </w:r>
      <w:r w:rsidR="00702887">
        <w:t xml:space="preserve"> was opened in England together by </w:t>
      </w:r>
      <w:r w:rsidR="00702887" w:rsidRPr="00702887">
        <w:t xml:space="preserve">Henry </w:t>
      </w:r>
      <w:proofErr w:type="spellStart"/>
      <w:r w:rsidR="00702887" w:rsidRPr="00702887">
        <w:t>Wellcome</w:t>
      </w:r>
      <w:proofErr w:type="spellEnd"/>
      <w:r w:rsidR="00702887" w:rsidRPr="00702887">
        <w:t xml:space="preserve"> and Silas </w:t>
      </w:r>
      <w:proofErr w:type="spellStart"/>
      <w:r w:rsidR="00702887" w:rsidRPr="00702887">
        <w:t>Borroughs</w:t>
      </w:r>
      <w:proofErr w:type="spellEnd"/>
      <w:r w:rsidR="00702887">
        <w:t>.</w:t>
      </w:r>
      <w:r w:rsidR="00F7067C">
        <w:t xml:space="preserve"> </w:t>
      </w:r>
      <w:r w:rsidR="00702887">
        <w:t xml:space="preserve">Mr </w:t>
      </w:r>
      <w:r w:rsidR="00702887" w:rsidRPr="00702887">
        <w:t xml:space="preserve">Henry </w:t>
      </w:r>
      <w:proofErr w:type="spellStart"/>
      <w:r w:rsidR="00702887" w:rsidRPr="00702887">
        <w:t>Wellcome</w:t>
      </w:r>
      <w:proofErr w:type="spellEnd"/>
      <w:r w:rsidR="00702887">
        <w:t xml:space="preserve"> was an American pharmacist and they together open the </w:t>
      </w:r>
      <w:r w:rsidR="00F7067C">
        <w:t>company</w:t>
      </w:r>
      <w:r w:rsidR="00702887">
        <w:t xml:space="preserve"> for selling pharmaceutical products</w:t>
      </w:r>
      <w:r w:rsidR="00F7067C">
        <w:t>.</w:t>
      </w:r>
      <w:r w:rsidR="00C93C5A">
        <w:t xml:space="preserve"> The organization </w:t>
      </w:r>
      <w:r w:rsidR="00C93C5A" w:rsidRPr="00C93C5A">
        <w:t>SmithKline Beecham</w:t>
      </w:r>
      <w:r w:rsidR="00C93C5A">
        <w:t xml:space="preserve"> was forms in 1995 from the merger of the three groups namely the </w:t>
      </w:r>
      <w:r w:rsidR="00C93C5A" w:rsidRPr="00C93C5A">
        <w:t>SmithKline</w:t>
      </w:r>
      <w:r w:rsidR="00C93C5A">
        <w:t xml:space="preserve"> group</w:t>
      </w:r>
      <w:r w:rsidR="00C93C5A" w:rsidRPr="00C93C5A">
        <w:t xml:space="preserve"> Beckman </w:t>
      </w:r>
      <w:r w:rsidR="00C93C5A">
        <w:t xml:space="preserve">group </w:t>
      </w:r>
      <w:r w:rsidR="00C93C5A" w:rsidRPr="00C93C5A">
        <w:t>and the Beecham Group</w:t>
      </w:r>
      <w:r w:rsidR="00C93C5A">
        <w:t>.</w:t>
      </w:r>
      <w:r w:rsidR="004D4C78">
        <w:t xml:space="preserve"> Finally</w:t>
      </w:r>
      <w:r w:rsidR="00C93C5A">
        <w:t xml:space="preserve"> in 2000 the merger between the Glaxo and </w:t>
      </w:r>
      <w:r w:rsidR="00C93C5A" w:rsidRPr="00C93C5A">
        <w:t>Beecham Group</w:t>
      </w:r>
      <w:r w:rsidR="00C93C5A">
        <w:t xml:space="preserve"> developed the company named as </w:t>
      </w:r>
      <w:r w:rsidR="004D4C78" w:rsidRPr="00F22D68">
        <w:rPr>
          <w:b/>
        </w:rPr>
        <w:t xml:space="preserve">Glaxo </w:t>
      </w:r>
      <w:r w:rsidR="00F22D68" w:rsidRPr="00F22D68">
        <w:rPr>
          <w:b/>
        </w:rPr>
        <w:t>SmithKline (GSK</w:t>
      </w:r>
      <w:r w:rsidR="00A74B85" w:rsidRPr="00F22D68">
        <w:rPr>
          <w:b/>
        </w:rPr>
        <w:t>)</w:t>
      </w:r>
      <w:r w:rsidR="00EE6BC7" w:rsidRPr="00F22D68">
        <w:rPr>
          <w:b/>
        </w:rPr>
        <w:t>.</w:t>
      </w:r>
      <w:r w:rsidR="00A74B85">
        <w:t xml:space="preserve"> </w:t>
      </w:r>
      <w:r w:rsidR="00EE6BC7">
        <w:t xml:space="preserve">Thus the organization </w:t>
      </w:r>
      <w:r w:rsidR="00EE6BC7" w:rsidRPr="00B77E0B">
        <w:t xml:space="preserve">Glaxo </w:t>
      </w:r>
      <w:r w:rsidR="00EE6BC7" w:rsidRPr="00B77E0B">
        <w:lastRenderedPageBreak/>
        <w:t>SmithKline</w:t>
      </w:r>
      <w:r w:rsidR="00EE6BC7">
        <w:t xml:space="preserve"> formed </w:t>
      </w:r>
      <w:r w:rsidR="00A74B85">
        <w:t>from</w:t>
      </w:r>
      <w:r w:rsidR="00EE6BC7">
        <w:t xml:space="preserve"> a series of mergers between different </w:t>
      </w:r>
      <w:r w:rsidR="00A74B85">
        <w:t>pharmaceutical and drug producing companies</w:t>
      </w:r>
      <w:r w:rsidR="00911070" w:rsidRPr="00911070">
        <w:t xml:space="preserve"> (Gsk.com, 2010)</w:t>
      </w:r>
      <w:r w:rsidR="00911070">
        <w:t>.</w:t>
      </w:r>
    </w:p>
    <w:p w:rsidR="007C4EBE" w:rsidRDefault="009474BE" w:rsidP="0030365E">
      <w:pPr>
        <w:rPr>
          <w:b/>
          <w:bCs/>
        </w:rPr>
      </w:pPr>
      <w:r>
        <w:t xml:space="preserve">The head quarter of the company </w:t>
      </w:r>
      <w:r w:rsidR="00161DB3">
        <w:t>which is known as the GSK house was opened in Bedford London and the inauguration of the offic</w:t>
      </w:r>
      <w:r w:rsidR="00C81CE4">
        <w:t>e was then done by the then prime min</w:t>
      </w:r>
      <w:r w:rsidR="00161DB3">
        <w:t>ister MR. Tony Blair</w:t>
      </w:r>
      <w:r w:rsidR="00C81CE4">
        <w:t xml:space="preserve"> and the offic</w:t>
      </w:r>
      <w:r w:rsidR="00F560F0">
        <w:t>e officially started to work from the year 2002</w:t>
      </w:r>
      <w:r w:rsidR="003D3815">
        <w:t>.At that time the h</w:t>
      </w:r>
      <w:r w:rsidR="00F560F0">
        <w:t xml:space="preserve">uge </w:t>
      </w:r>
      <w:r w:rsidR="003D3815">
        <w:t>building</w:t>
      </w:r>
      <w:r w:rsidR="00F560F0">
        <w:t xml:space="preserve"> of headquarter o</w:t>
      </w:r>
      <w:r w:rsidR="003D3815">
        <w:t xml:space="preserve">f the organization was built at the cost of 3000 million pound and that time </w:t>
      </w:r>
      <w:r w:rsidR="001739CE">
        <w:t>3000 administrative staffs were working at that</w:t>
      </w:r>
      <w:r w:rsidR="001D35F3">
        <w:t xml:space="preserve"> building. In 2001 the organization </w:t>
      </w:r>
      <w:r w:rsidR="001D35F3" w:rsidRPr="00B77E0B">
        <w:t>Glaxo SmithKline</w:t>
      </w:r>
      <w:r w:rsidR="001D35F3">
        <w:t xml:space="preserve"> went for </w:t>
      </w:r>
      <w:r w:rsidR="00105419">
        <w:t>an acquisition</w:t>
      </w:r>
      <w:r w:rsidR="00D770C8">
        <w:t xml:space="preserve"> of the company </w:t>
      </w:r>
      <w:r w:rsidR="00105419">
        <w:t xml:space="preserve">named </w:t>
      </w:r>
      <w:r w:rsidR="00105419" w:rsidRPr="00105419">
        <w:rPr>
          <w:b/>
          <w:bCs/>
        </w:rPr>
        <w:t>Block Drug</w:t>
      </w:r>
      <w:r w:rsidR="00105419">
        <w:rPr>
          <w:b/>
          <w:bCs/>
        </w:rPr>
        <w:t xml:space="preserve"> at a cost of </w:t>
      </w:r>
      <w:r w:rsidR="00105419" w:rsidRPr="00105419">
        <w:rPr>
          <w:b/>
          <w:bCs/>
        </w:rPr>
        <w:t>US$1.24 billion</w:t>
      </w:r>
      <w:r w:rsidR="00105419">
        <w:rPr>
          <w:b/>
          <w:bCs/>
        </w:rPr>
        <w:t>.</w:t>
      </w:r>
      <w:r w:rsidR="00EE6BC7" w:rsidRPr="00EE6BC7">
        <w:rPr>
          <w:b/>
          <w:bCs/>
        </w:rPr>
        <w:t xml:space="preserve"> </w:t>
      </w:r>
      <w:r w:rsidR="00EE6BC7" w:rsidRPr="00105419">
        <w:rPr>
          <w:b/>
          <w:bCs/>
        </w:rPr>
        <w:t>Block Drug</w:t>
      </w:r>
      <w:r w:rsidR="00EE6BC7">
        <w:rPr>
          <w:b/>
          <w:bCs/>
        </w:rPr>
        <w:t xml:space="preserve"> was a new jersey based company and was specialized in the production of the dental care </w:t>
      </w:r>
      <w:r w:rsidR="00A003BA">
        <w:rPr>
          <w:b/>
          <w:bCs/>
        </w:rPr>
        <w:t>products (</w:t>
      </w:r>
      <w:r w:rsidR="00A003BA" w:rsidRPr="00D43090">
        <w:rPr>
          <w:rFonts w:cs="Times New Roman"/>
          <w:szCs w:val="24"/>
        </w:rPr>
        <w:t>Johnson</w:t>
      </w:r>
      <w:r w:rsidR="00A003BA">
        <w:rPr>
          <w:rFonts w:cs="Times New Roman"/>
          <w:szCs w:val="24"/>
        </w:rPr>
        <w:t xml:space="preserve"> </w:t>
      </w:r>
      <w:r w:rsidR="00A003BA" w:rsidRPr="00A003BA">
        <w:rPr>
          <w:rFonts w:cs="Times New Roman"/>
          <w:i/>
          <w:szCs w:val="24"/>
        </w:rPr>
        <w:t>et al.</w:t>
      </w:r>
      <w:proofErr w:type="gramStart"/>
      <w:r w:rsidR="00A003BA" w:rsidRPr="00A003BA">
        <w:rPr>
          <w:rFonts w:cs="Times New Roman"/>
          <w:i/>
          <w:szCs w:val="24"/>
        </w:rPr>
        <w:t>,</w:t>
      </w:r>
      <w:r w:rsidR="00A003BA">
        <w:rPr>
          <w:rFonts w:cs="Times New Roman"/>
          <w:szCs w:val="24"/>
        </w:rPr>
        <w:t>2009</w:t>
      </w:r>
      <w:proofErr w:type="gramEnd"/>
      <w:r w:rsidR="00A003BA">
        <w:rPr>
          <w:b/>
          <w:bCs/>
        </w:rPr>
        <w:t>)</w:t>
      </w:r>
      <w:r w:rsidR="00A74B85">
        <w:rPr>
          <w:b/>
          <w:bCs/>
        </w:rPr>
        <w:t>.</w:t>
      </w:r>
    </w:p>
    <w:p w:rsidR="00A74B85" w:rsidRDefault="00A74B85" w:rsidP="0030365E">
      <w:pPr>
        <w:rPr>
          <w:bCs/>
        </w:rPr>
      </w:pPr>
      <w:r>
        <w:rPr>
          <w:b/>
          <w:bCs/>
        </w:rPr>
        <w:t>In 2006 the</w:t>
      </w:r>
      <w:r w:rsidR="00F22D68">
        <w:rPr>
          <w:b/>
          <w:bCs/>
        </w:rPr>
        <w:t xml:space="preserve"> organization GSK went for another big acquisition and acquired the </w:t>
      </w:r>
      <w:r w:rsidR="00F22D68" w:rsidRPr="00F22D68">
        <w:rPr>
          <w:b/>
          <w:bCs/>
        </w:rPr>
        <w:t>consumer healthcare company CNS Inc</w:t>
      </w:r>
      <w:r w:rsidR="00FB20C9">
        <w:rPr>
          <w:b/>
          <w:bCs/>
        </w:rPr>
        <w:t xml:space="preserve"> that is originally based in USA.</w:t>
      </w:r>
      <w:r w:rsidR="00DC039A">
        <w:rPr>
          <w:b/>
          <w:bCs/>
        </w:rPr>
        <w:t xml:space="preserve"> </w:t>
      </w:r>
      <w:r w:rsidR="00DC039A" w:rsidRPr="00DC039A">
        <w:rPr>
          <w:bCs/>
        </w:rPr>
        <w:t>The company</w:t>
      </w:r>
      <w:r w:rsidR="00FB20C9" w:rsidRPr="00DC039A">
        <w:rPr>
          <w:bCs/>
        </w:rPr>
        <w:t xml:space="preserve"> CNS Inc was popular for their products like </w:t>
      </w:r>
      <w:r w:rsidR="0084725F" w:rsidRPr="00DC039A">
        <w:rPr>
          <w:bCs/>
        </w:rPr>
        <w:t xml:space="preserve">Breathe Right nasal strips and </w:t>
      </w:r>
      <w:r w:rsidR="00DC039A" w:rsidRPr="00DC039A">
        <w:rPr>
          <w:bCs/>
        </w:rPr>
        <w:t xml:space="preserve">Fibre </w:t>
      </w:r>
      <w:r w:rsidR="0084725F" w:rsidRPr="00DC039A">
        <w:rPr>
          <w:bCs/>
        </w:rPr>
        <w:t xml:space="preserve">Choice dietary supplements. This acquisition cost the GSK an amount of US$566 million and the </w:t>
      </w:r>
      <w:r w:rsidR="00DC039A" w:rsidRPr="00DC039A">
        <w:rPr>
          <w:bCs/>
        </w:rPr>
        <w:t>whole</w:t>
      </w:r>
      <w:r w:rsidR="0084725F" w:rsidRPr="00DC039A">
        <w:rPr>
          <w:bCs/>
        </w:rPr>
        <w:t xml:space="preserve"> transaction was completed in cash</w:t>
      </w:r>
    </w:p>
    <w:p w:rsidR="00DC039A" w:rsidRDefault="00DC039A" w:rsidP="0030365E">
      <w:pPr>
        <w:rPr>
          <w:bCs/>
        </w:rPr>
      </w:pPr>
      <w:r>
        <w:rPr>
          <w:bCs/>
        </w:rPr>
        <w:t xml:space="preserve">In 2005 the organizat6ion GSK got a new </w:t>
      </w:r>
      <w:r w:rsidR="00E744E4">
        <w:rPr>
          <w:bCs/>
        </w:rPr>
        <w:t xml:space="preserve">CEO Chris </w:t>
      </w:r>
      <w:r w:rsidR="00A772FB">
        <w:rPr>
          <w:bCs/>
        </w:rPr>
        <w:t>Gent (</w:t>
      </w:r>
      <w:r w:rsidR="00E744E4">
        <w:rPr>
          <w:bCs/>
        </w:rPr>
        <w:t xml:space="preserve">former CEO of Vodafone) and the </w:t>
      </w:r>
      <w:r w:rsidR="00A772FB">
        <w:rPr>
          <w:bCs/>
        </w:rPr>
        <w:t>organization started to grow under the strong leadership of MR Gent.</w:t>
      </w:r>
      <w:r w:rsidR="00F2755B">
        <w:rPr>
          <w:bCs/>
        </w:rPr>
        <w:t xml:space="preserve"> In 2007 the first research and development segment of the organization was being opened in China with an </w:t>
      </w:r>
      <w:r w:rsidR="00FF007D">
        <w:rPr>
          <w:bCs/>
        </w:rPr>
        <w:t>objective</w:t>
      </w:r>
      <w:r w:rsidR="00F2755B">
        <w:rPr>
          <w:bCs/>
        </w:rPr>
        <w:t xml:space="preserve"> of developing some path breaking medicines for </w:t>
      </w:r>
      <w:r w:rsidR="004F4AD7">
        <w:rPr>
          <w:bCs/>
        </w:rPr>
        <w:t xml:space="preserve">the </w:t>
      </w:r>
      <w:r w:rsidR="00FF007D">
        <w:rPr>
          <w:bCs/>
        </w:rPr>
        <w:t xml:space="preserve">diseases </w:t>
      </w:r>
      <w:r w:rsidR="004F4AD7">
        <w:rPr>
          <w:bCs/>
        </w:rPr>
        <w:t xml:space="preserve">that are related to the </w:t>
      </w:r>
      <w:r w:rsidR="00FF007D">
        <w:rPr>
          <w:bCs/>
        </w:rPr>
        <w:t>denegation</w:t>
      </w:r>
      <w:r w:rsidR="004F4AD7">
        <w:rPr>
          <w:bCs/>
        </w:rPr>
        <w:t xml:space="preserve"> of </w:t>
      </w:r>
      <w:r w:rsidR="00FF007D">
        <w:rPr>
          <w:bCs/>
        </w:rPr>
        <w:t>neurons among the human being.</w:t>
      </w:r>
    </w:p>
    <w:p w:rsidR="00FF007D" w:rsidRDefault="00FF007D" w:rsidP="0030365E">
      <w:pPr>
        <w:rPr>
          <w:bCs/>
        </w:rPr>
      </w:pPr>
      <w:r>
        <w:rPr>
          <w:bCs/>
        </w:rPr>
        <w:t xml:space="preserve">The next </w:t>
      </w:r>
      <w:r w:rsidR="009D0193">
        <w:rPr>
          <w:bCs/>
        </w:rPr>
        <w:t>prominent</w:t>
      </w:r>
      <w:r>
        <w:rPr>
          <w:bCs/>
        </w:rPr>
        <w:t xml:space="preserve"> </w:t>
      </w:r>
      <w:r w:rsidR="009D0193">
        <w:rPr>
          <w:bCs/>
        </w:rPr>
        <w:t>c</w:t>
      </w:r>
      <w:r w:rsidR="009D0193" w:rsidRPr="009D0193">
        <w:rPr>
          <w:bCs/>
        </w:rPr>
        <w:t>hief executive officer </w:t>
      </w:r>
      <w:r w:rsidR="009D0193">
        <w:rPr>
          <w:bCs/>
        </w:rPr>
        <w:t xml:space="preserve">of the organization was </w:t>
      </w:r>
      <w:r w:rsidR="009D0193" w:rsidRPr="009D0193">
        <w:rPr>
          <w:bCs/>
        </w:rPr>
        <w:t>Andrew Witty</w:t>
      </w:r>
      <w:r w:rsidR="009D0193">
        <w:rPr>
          <w:bCs/>
        </w:rPr>
        <w:t xml:space="preserve"> </w:t>
      </w:r>
      <w:r w:rsidR="00BC750D">
        <w:rPr>
          <w:bCs/>
        </w:rPr>
        <w:t xml:space="preserve">who served the organization </w:t>
      </w:r>
      <w:r w:rsidR="00826B04">
        <w:rPr>
          <w:bCs/>
        </w:rPr>
        <w:t>between May</w:t>
      </w:r>
      <w:r w:rsidR="00BC750D">
        <w:rPr>
          <w:bCs/>
        </w:rPr>
        <w:t xml:space="preserve"> 2008 to April </w:t>
      </w:r>
      <w:r w:rsidR="00516CAA">
        <w:rPr>
          <w:bCs/>
        </w:rPr>
        <w:t>2007 and</w:t>
      </w:r>
      <w:r w:rsidR="00826B04">
        <w:rPr>
          <w:bCs/>
        </w:rPr>
        <w:t xml:space="preserve"> he was also the earlier president of the organization </w:t>
      </w:r>
      <w:r w:rsidR="00516CAA">
        <w:rPr>
          <w:bCs/>
        </w:rPr>
        <w:t>for the European operation during 2003</w:t>
      </w:r>
      <w:r w:rsidR="004619AE">
        <w:rPr>
          <w:bCs/>
        </w:rPr>
        <w:t>(</w:t>
      </w:r>
      <w:r w:rsidR="004619AE" w:rsidRPr="00D43090">
        <w:rPr>
          <w:rFonts w:cs="Times New Roman"/>
          <w:szCs w:val="24"/>
        </w:rPr>
        <w:t>Watts</w:t>
      </w:r>
      <w:r w:rsidR="004619AE">
        <w:rPr>
          <w:rFonts w:cs="Times New Roman"/>
          <w:szCs w:val="24"/>
        </w:rPr>
        <w:t xml:space="preserve"> </w:t>
      </w:r>
      <w:r w:rsidR="004619AE" w:rsidRPr="004619AE">
        <w:rPr>
          <w:rFonts w:cs="Times New Roman"/>
          <w:i/>
          <w:szCs w:val="24"/>
        </w:rPr>
        <w:t>et al</w:t>
      </w:r>
      <w:r w:rsidR="004619AE">
        <w:rPr>
          <w:rFonts w:cs="Times New Roman"/>
          <w:szCs w:val="24"/>
        </w:rPr>
        <w:t>.,2010</w:t>
      </w:r>
      <w:r w:rsidR="004619AE">
        <w:rPr>
          <w:bCs/>
        </w:rPr>
        <w:t>)</w:t>
      </w:r>
      <w:r w:rsidR="00516CAA">
        <w:rPr>
          <w:bCs/>
        </w:rPr>
        <w:t>.</w:t>
      </w:r>
    </w:p>
    <w:p w:rsidR="00516CAA" w:rsidRDefault="00516CAA" w:rsidP="0030365E">
      <w:pPr>
        <w:rPr>
          <w:bCs/>
        </w:rPr>
      </w:pPr>
      <w:r>
        <w:rPr>
          <w:bCs/>
        </w:rPr>
        <w:t>Und</w:t>
      </w:r>
      <w:r w:rsidR="00C27F7A">
        <w:rPr>
          <w:bCs/>
        </w:rPr>
        <w:t xml:space="preserve">er the strong leadership of MR Witty the organization went for several other </w:t>
      </w:r>
      <w:r w:rsidR="009F5A72">
        <w:rPr>
          <w:bCs/>
        </w:rPr>
        <w:t xml:space="preserve">acquisition that </w:t>
      </w:r>
      <w:r w:rsidR="00B40124">
        <w:rPr>
          <w:bCs/>
        </w:rPr>
        <w:t>definitely</w:t>
      </w:r>
      <w:r w:rsidR="009F5A72">
        <w:rPr>
          <w:bCs/>
        </w:rPr>
        <w:t xml:space="preserve"> gave</w:t>
      </w:r>
      <w:r w:rsidR="00B40124">
        <w:rPr>
          <w:bCs/>
        </w:rPr>
        <w:t xml:space="preserve"> </w:t>
      </w:r>
      <w:r w:rsidR="009F5A72">
        <w:rPr>
          <w:bCs/>
        </w:rPr>
        <w:t>some competitive edge to the organization in different other segments.</w:t>
      </w:r>
    </w:p>
    <w:p w:rsidR="000E5309" w:rsidRDefault="00EC15A6" w:rsidP="000E5309">
      <w:r>
        <w:rPr>
          <w:bCs/>
        </w:rPr>
        <w:t xml:space="preserve">One of the major acquisition that made by the company was the acquisition of the </w:t>
      </w:r>
      <w:proofErr w:type="spellStart"/>
      <w:r w:rsidR="002E5C2B" w:rsidRPr="002E5C2B">
        <w:rPr>
          <w:bCs/>
        </w:rPr>
        <w:t>Stiefel</w:t>
      </w:r>
      <w:proofErr w:type="spellEnd"/>
      <w:r w:rsidR="002E5C2B" w:rsidRPr="002E5C2B">
        <w:rPr>
          <w:bCs/>
        </w:rPr>
        <w:t xml:space="preserve"> Laboratories</w:t>
      </w:r>
      <w:r w:rsidR="002E5C2B">
        <w:rPr>
          <w:bCs/>
        </w:rPr>
        <w:t xml:space="preserve"> </w:t>
      </w:r>
      <w:r w:rsidR="00C1184B">
        <w:rPr>
          <w:bCs/>
        </w:rPr>
        <w:t xml:space="preserve">in 2009 for getting some grab over the </w:t>
      </w:r>
      <w:r w:rsidR="00C1184B" w:rsidRPr="00C1184B">
        <w:rPr>
          <w:bCs/>
        </w:rPr>
        <w:t>dermatology drug</w:t>
      </w:r>
      <w:r w:rsidR="00C1184B">
        <w:rPr>
          <w:bCs/>
        </w:rPr>
        <w:t xml:space="preserve"> sector and the </w:t>
      </w:r>
      <w:proofErr w:type="spellStart"/>
      <w:r w:rsidR="00C1184B" w:rsidRPr="002E5C2B">
        <w:rPr>
          <w:bCs/>
        </w:rPr>
        <w:t>Stiefel</w:t>
      </w:r>
      <w:proofErr w:type="spellEnd"/>
      <w:r w:rsidR="00C1184B" w:rsidRPr="002E5C2B">
        <w:rPr>
          <w:bCs/>
        </w:rPr>
        <w:t xml:space="preserve"> Laboratories</w:t>
      </w:r>
      <w:r w:rsidR="00C1184B">
        <w:rPr>
          <w:bCs/>
        </w:rPr>
        <w:t xml:space="preserve"> was then </w:t>
      </w:r>
      <w:r w:rsidR="00E5700B">
        <w:rPr>
          <w:bCs/>
        </w:rPr>
        <w:t xml:space="preserve">one of the largest independent </w:t>
      </w:r>
      <w:r w:rsidR="00E5700B" w:rsidRPr="00C1184B">
        <w:rPr>
          <w:bCs/>
        </w:rPr>
        <w:t>dermatology drug</w:t>
      </w:r>
      <w:r w:rsidR="00E5700B">
        <w:rPr>
          <w:bCs/>
        </w:rPr>
        <w:t xml:space="preserve"> company of the world </w:t>
      </w:r>
      <w:r w:rsidR="00E5700B">
        <w:rPr>
          <w:bCs/>
        </w:rPr>
        <w:lastRenderedPageBreak/>
        <w:t>This acquisition made the company to incur a cost of 3.6 billion dollars. In</w:t>
      </w:r>
      <w:r w:rsidR="00DF589E">
        <w:rPr>
          <w:bCs/>
        </w:rPr>
        <w:t xml:space="preserve"> 2009 the organization go</w:t>
      </w:r>
      <w:r w:rsidR="00E5700B">
        <w:rPr>
          <w:bCs/>
        </w:rPr>
        <w:t xml:space="preserve">t the recognition of approval from </w:t>
      </w:r>
      <w:r w:rsidR="00C649C2">
        <w:rPr>
          <w:bCs/>
        </w:rPr>
        <w:t>FDA (</w:t>
      </w:r>
      <w:r w:rsidR="00962B8D" w:rsidRPr="00962B8D">
        <w:rPr>
          <w:bCs/>
        </w:rPr>
        <w:t>Food and Drug Administration</w:t>
      </w:r>
      <w:r w:rsidR="00962B8D">
        <w:rPr>
          <w:bCs/>
        </w:rPr>
        <w:t>,</w:t>
      </w:r>
      <w:r w:rsidR="00C649C2">
        <w:rPr>
          <w:bCs/>
        </w:rPr>
        <w:t xml:space="preserve"> </w:t>
      </w:r>
      <w:r w:rsidR="00962B8D">
        <w:rPr>
          <w:bCs/>
        </w:rPr>
        <w:t>USA</w:t>
      </w:r>
      <w:r w:rsidR="00C268B4">
        <w:rPr>
          <w:bCs/>
        </w:rPr>
        <w:t xml:space="preserve">) for the vaccine released by the organization as a </w:t>
      </w:r>
      <w:r w:rsidR="002C18BB">
        <w:rPr>
          <w:bCs/>
        </w:rPr>
        <w:t xml:space="preserve">protection against the </w:t>
      </w:r>
      <w:r w:rsidR="002C18BB" w:rsidRPr="002C18BB">
        <w:rPr>
          <w:bCs/>
        </w:rPr>
        <w:t>H1N1 influenza</w:t>
      </w:r>
      <w:r w:rsidR="002C18BB">
        <w:rPr>
          <w:bCs/>
        </w:rPr>
        <w:t>.</w:t>
      </w:r>
      <w:r w:rsidR="00C649C2">
        <w:rPr>
          <w:bCs/>
        </w:rPr>
        <w:t xml:space="preserve"> In 2009 the GSK worked jointly with its closest rival “</w:t>
      </w:r>
      <w:r w:rsidR="00C649C2" w:rsidRPr="00C649C2">
        <w:rPr>
          <w:bCs/>
        </w:rPr>
        <w:t>Pfizer</w:t>
      </w:r>
      <w:r w:rsidR="00C649C2">
        <w:rPr>
          <w:bCs/>
        </w:rPr>
        <w:t>”</w:t>
      </w:r>
      <w:r w:rsidR="00FC5903">
        <w:t xml:space="preserve"> for holding research and analysis for developing some drugs for sighting the disease of HIV.</w:t>
      </w:r>
      <w:r w:rsidR="00DC0293">
        <w:t xml:space="preserve"> The other important acquisitions </w:t>
      </w:r>
      <w:r w:rsidR="00CA7784">
        <w:t>that was</w:t>
      </w:r>
      <w:r w:rsidR="00DC0293">
        <w:t xml:space="preserve"> being made by the organization </w:t>
      </w:r>
      <w:r w:rsidR="00CA7784">
        <w:t>is</w:t>
      </w:r>
      <w:r w:rsidR="00DC0293">
        <w:t xml:space="preserve"> the acquisition of the </w:t>
      </w:r>
      <w:r w:rsidR="008D1F97">
        <w:t>pharmaceutical company named as Laboratories</w:t>
      </w:r>
      <w:r w:rsidR="001E4370">
        <w:t xml:space="preserve"> Phoenix </w:t>
      </w:r>
      <w:r w:rsidR="00AB5491">
        <w:t>that was a leading</w:t>
      </w:r>
      <w:r w:rsidR="00BA65CC">
        <w:t xml:space="preserve"> a</w:t>
      </w:r>
      <w:r w:rsidR="00BA65CC" w:rsidRPr="00BA65CC">
        <w:t>rgentine pharmaceutical business</w:t>
      </w:r>
      <w:r w:rsidR="00AB5491">
        <w:t xml:space="preserve"> </w:t>
      </w:r>
      <w:r w:rsidR="00BA65CC">
        <w:t xml:space="preserve"> </w:t>
      </w:r>
      <w:r w:rsidR="00CA7784">
        <w:t xml:space="preserve">and the acquisition was made by GSK for the cash consideration of </w:t>
      </w:r>
      <w:r w:rsidR="00CA7784" w:rsidRPr="00CA7784">
        <w:t xml:space="preserve">$253 </w:t>
      </w:r>
      <w:r w:rsidR="0036380C" w:rsidRPr="00CA7784">
        <w:t>million</w:t>
      </w:r>
      <w:r w:rsidR="0036380C">
        <w:t xml:space="preserve">. Besides the acquisition of the </w:t>
      </w:r>
      <w:r w:rsidR="00B01CA7">
        <w:t xml:space="preserve">UK based sports </w:t>
      </w:r>
      <w:r w:rsidR="00CD5D6D">
        <w:t>Nutrition Company</w:t>
      </w:r>
      <w:r w:rsidR="006821E2">
        <w:t xml:space="preserve"> named “</w:t>
      </w:r>
      <w:proofErr w:type="spellStart"/>
      <w:r w:rsidR="006821E2" w:rsidRPr="006821E2">
        <w:t>Maxinutrition</w:t>
      </w:r>
      <w:proofErr w:type="spellEnd"/>
      <w:r w:rsidR="006821E2">
        <w:t xml:space="preserve">” has also helped the organization to get </w:t>
      </w:r>
      <w:r w:rsidR="00CD5D6D">
        <w:t>an</w:t>
      </w:r>
      <w:r w:rsidR="005D0050">
        <w:t xml:space="preserve"> edge in the sports </w:t>
      </w:r>
      <w:r w:rsidR="00CD5D6D">
        <w:t xml:space="preserve">nutrition </w:t>
      </w:r>
      <w:r w:rsidR="006366C9">
        <w:t>segment.</w:t>
      </w:r>
      <w:r w:rsidR="005D0050">
        <w:t xml:space="preserve"> </w:t>
      </w:r>
      <w:r w:rsidR="006366C9">
        <w:t xml:space="preserve">In 2011 GSK brand </w:t>
      </w:r>
      <w:r w:rsidR="00B96699">
        <w:t>sold</w:t>
      </w:r>
      <w:r w:rsidR="006366C9">
        <w:t xml:space="preserve"> their </w:t>
      </w:r>
      <w:r w:rsidR="00B96699">
        <w:t>1</w:t>
      </w:r>
      <w:r w:rsidR="00ED0C2E">
        <w:t>7 unprofitable brands to “</w:t>
      </w:r>
      <w:r w:rsidR="00ED0C2E" w:rsidRPr="00ED0C2E">
        <w:rPr>
          <w:b/>
        </w:rPr>
        <w:t>Prestige Brands Holdings</w:t>
      </w:r>
      <w:r w:rsidR="00ED0C2E">
        <w:t>”</w:t>
      </w:r>
    </w:p>
    <w:p w:rsidR="00491114" w:rsidRDefault="00491114" w:rsidP="000E5309">
      <w:r>
        <w:t>In 2014 as a part of focusing and penetrating in the emerging market</w:t>
      </w:r>
      <w:r w:rsidR="007E13ED">
        <w:t>,</w:t>
      </w:r>
      <w:r>
        <w:t xml:space="preserve"> GSK </w:t>
      </w:r>
      <w:r w:rsidR="007E13ED">
        <w:t>bought a stake of 1 billion dollar for its pharmaceutical units in India</w:t>
      </w:r>
    </w:p>
    <w:p w:rsidR="007E13ED" w:rsidRDefault="007E13ED" w:rsidP="000E5309">
      <w:r>
        <w:t>In 2014 the</w:t>
      </w:r>
      <w:r w:rsidR="00B96699">
        <w:t xml:space="preserve"> </w:t>
      </w:r>
      <w:r>
        <w:t xml:space="preserve">organization GSK made </w:t>
      </w:r>
      <w:r w:rsidR="00B96699">
        <w:t>a dea</w:t>
      </w:r>
      <w:r>
        <w:t>l</w:t>
      </w:r>
      <w:r w:rsidR="00B96699">
        <w:t xml:space="preserve"> </w:t>
      </w:r>
      <w:r w:rsidR="006B358B">
        <w:t>of, 20</w:t>
      </w:r>
      <w:r w:rsidR="00B96699">
        <w:t xml:space="preserve"> billion dollar </w:t>
      </w:r>
      <w:r>
        <w:t xml:space="preserve">with </w:t>
      </w:r>
      <w:r w:rsidR="006B358B" w:rsidRPr="00B96699">
        <w:t>Novartis</w:t>
      </w:r>
      <w:r w:rsidR="006B358B">
        <w:t xml:space="preserve"> (</w:t>
      </w:r>
      <w:r w:rsidR="001A7515">
        <w:t xml:space="preserve">The organization is specialized in using </w:t>
      </w:r>
      <w:r w:rsidR="001A7515" w:rsidRPr="001A7515">
        <w:t>science-based innovation to address some of most challenging</w:t>
      </w:r>
      <w:r w:rsidR="008550E8">
        <w:t xml:space="preserve"> diseases of the world like cancer</w:t>
      </w:r>
      <w:r w:rsidR="006B358B">
        <w:t>) for mutually hel</w:t>
      </w:r>
      <w:r w:rsidR="00B96699">
        <w:t xml:space="preserve">ping the </w:t>
      </w:r>
      <w:r w:rsidR="006B358B">
        <w:t xml:space="preserve">each other in selling and distribution of their products. According to this deal the organization </w:t>
      </w:r>
      <w:r w:rsidR="005F4751">
        <w:t xml:space="preserve">GSK that has more expertise in handling the Vaccine business will buy the </w:t>
      </w:r>
      <w:r w:rsidR="00CA6B1F">
        <w:t xml:space="preserve">Vaccine business of </w:t>
      </w:r>
      <w:r w:rsidR="00CA6B1F" w:rsidRPr="00B96699">
        <w:t>Novartis</w:t>
      </w:r>
      <w:r w:rsidR="00CA6B1F">
        <w:t xml:space="preserve"> and GSK will sell the business of making drugs for cancer to</w:t>
      </w:r>
      <w:r w:rsidR="007D4AB6">
        <w:t xml:space="preserve"> </w:t>
      </w:r>
      <w:r w:rsidR="007D4AB6" w:rsidRPr="00B96699">
        <w:t>Novartis</w:t>
      </w:r>
      <w:r w:rsidR="007D4AB6">
        <w:t xml:space="preserve"> that have grater capability in handling this </w:t>
      </w:r>
      <w:r w:rsidR="007F261F">
        <w:t>business. Most</w:t>
      </w:r>
      <w:r w:rsidR="008550E8">
        <w:t xml:space="preserve"> recently</w:t>
      </w:r>
      <w:r w:rsidR="009E5C29">
        <w:t>,</w:t>
      </w:r>
      <w:r w:rsidR="008550E8">
        <w:t xml:space="preserve"> in December 2017 as per the </w:t>
      </w:r>
      <w:r w:rsidR="0012492D">
        <w:t>latest report</w:t>
      </w:r>
      <w:r w:rsidR="00AF74FA">
        <w:t xml:space="preserve"> of </w:t>
      </w:r>
      <w:r w:rsidR="00AF74FA" w:rsidRPr="00AF74FA">
        <w:t>Reuters</w:t>
      </w:r>
      <w:r w:rsidR="002D1885">
        <w:t>,</w:t>
      </w:r>
      <w:r w:rsidR="007F261F">
        <w:t xml:space="preserve"> the organization GSK </w:t>
      </w:r>
      <w:r w:rsidR="00BE6B56">
        <w:t xml:space="preserve">has increased its </w:t>
      </w:r>
      <w:r w:rsidR="00AF74FA">
        <w:t>penetration in</w:t>
      </w:r>
      <w:r w:rsidR="00BE6B56">
        <w:t xml:space="preserve"> </w:t>
      </w:r>
      <w:r w:rsidR="002D1885">
        <w:t>the Saudi Arabian Pharmaceutical</w:t>
      </w:r>
      <w:r w:rsidR="00BE6B56">
        <w:t xml:space="preserve"> industry</w:t>
      </w:r>
      <w:r w:rsidR="009E5C29">
        <w:t xml:space="preserve"> by </w:t>
      </w:r>
      <w:r w:rsidR="002D1885">
        <w:t>enhancing</w:t>
      </w:r>
      <w:r w:rsidR="009E5C29">
        <w:t xml:space="preserve"> </w:t>
      </w:r>
      <w:r w:rsidR="002D1885">
        <w:t>control</w:t>
      </w:r>
      <w:r w:rsidR="009E5C29">
        <w:t xml:space="preserve"> over the </w:t>
      </w:r>
      <w:proofErr w:type="spellStart"/>
      <w:r w:rsidR="009E5C29" w:rsidRPr="009E5C29">
        <w:t>Banaja</w:t>
      </w:r>
      <w:proofErr w:type="spellEnd"/>
      <w:r w:rsidR="009E5C29" w:rsidRPr="009E5C29">
        <w:t xml:space="preserve"> KSA Holding </w:t>
      </w:r>
      <w:r w:rsidR="002D1885" w:rsidRPr="009E5C29">
        <w:t>Company</w:t>
      </w:r>
      <w:r w:rsidR="002D1885">
        <w:t xml:space="preserve"> which</w:t>
      </w:r>
      <w:r w:rsidR="009E5C29">
        <w:t xml:space="preserve"> is the Saudi Partner of </w:t>
      </w:r>
      <w:proofErr w:type="gramStart"/>
      <w:r w:rsidR="009E5C29">
        <w:t>GSK</w:t>
      </w:r>
      <w:r w:rsidR="00BE6B56">
        <w:t xml:space="preserve"> </w:t>
      </w:r>
      <w:r w:rsidR="002D1885">
        <w:t>.</w:t>
      </w:r>
      <w:proofErr w:type="gramEnd"/>
    </w:p>
    <w:p w:rsidR="000E5309" w:rsidRDefault="000E5309" w:rsidP="000E5309">
      <w:pPr>
        <w:pStyle w:val="Heading1"/>
      </w:pPr>
      <w:bookmarkStart w:id="2" w:name="_Toc502329656"/>
      <w:r>
        <w:t>Part-B</w:t>
      </w:r>
      <w:bookmarkEnd w:id="2"/>
    </w:p>
    <w:p w:rsidR="000E5309" w:rsidRDefault="000E5309" w:rsidP="000E5309"/>
    <w:p w:rsidR="000E5309" w:rsidRDefault="000E5309" w:rsidP="00CD5A47">
      <w:pPr>
        <w:pStyle w:val="Heading1"/>
      </w:pPr>
      <w:bookmarkStart w:id="3" w:name="_Toc502329657"/>
      <w:r>
        <w:t xml:space="preserve">Review of the </w:t>
      </w:r>
      <w:r w:rsidR="00CD5A47">
        <w:t>financial</w:t>
      </w:r>
      <w:r>
        <w:t xml:space="preserve"> performance of </w:t>
      </w:r>
      <w:r w:rsidR="00885809">
        <w:t>G</w:t>
      </w:r>
      <w:r w:rsidR="00427DD9" w:rsidRPr="00B77E0B">
        <w:t>lax</w:t>
      </w:r>
      <w:r w:rsidR="00885809">
        <w:t>o</w:t>
      </w:r>
      <w:r w:rsidRPr="00B77E0B">
        <w:t xml:space="preserve"> SmithKline</w:t>
      </w:r>
      <w:r>
        <w:t xml:space="preserve"> </w:t>
      </w:r>
      <w:r w:rsidR="00CD5A47">
        <w:t>through ratio Analysis:</w:t>
      </w:r>
      <w:bookmarkEnd w:id="3"/>
    </w:p>
    <w:p w:rsidR="00CD5A47" w:rsidRDefault="00CD5A47" w:rsidP="00CD5A47"/>
    <w:p w:rsidR="00CD5A47" w:rsidRDefault="00CD5A47" w:rsidP="00CD5A47">
      <w:pPr>
        <w:pStyle w:val="Heading2"/>
      </w:pPr>
      <w:bookmarkStart w:id="4" w:name="_Toc502329658"/>
      <w:r>
        <w:lastRenderedPageBreak/>
        <w:t xml:space="preserve">Analysis of the key financial performance </w:t>
      </w:r>
      <w:r w:rsidR="00427DD9">
        <w:t xml:space="preserve">of the chosen organization </w:t>
      </w:r>
      <w:r>
        <w:t>for a period of 5 years (2016-2012</w:t>
      </w:r>
      <w:proofErr w:type="gramStart"/>
      <w:r>
        <w:t>)</w:t>
      </w:r>
      <w:r w:rsidR="00427DD9">
        <w:t xml:space="preserve"> </w:t>
      </w:r>
      <w:r w:rsidR="001E7DF9">
        <w:t>:</w:t>
      </w:r>
      <w:bookmarkEnd w:id="4"/>
      <w:proofErr w:type="gramEnd"/>
    </w:p>
    <w:p w:rsidR="00CD5A47" w:rsidRDefault="00CD5A47" w:rsidP="00CD5A47"/>
    <w:p w:rsidR="00951685" w:rsidRDefault="00951685" w:rsidP="00951685">
      <w:pPr>
        <w:pStyle w:val="Heading2"/>
      </w:pPr>
      <w:bookmarkStart w:id="5" w:name="_Toc502329659"/>
      <w:r>
        <w:t>Profitability Ratios:</w:t>
      </w:r>
      <w:bookmarkEnd w:id="5"/>
    </w:p>
    <w:p w:rsidR="00203426" w:rsidRDefault="00203426" w:rsidP="00951685"/>
    <w:p w:rsidR="00951685" w:rsidRPr="00951685" w:rsidRDefault="00951685" w:rsidP="00951685">
      <w:r>
        <w:t xml:space="preserve">The profitability ratios are calculated in order to </w:t>
      </w:r>
      <w:r w:rsidR="0063774F">
        <w:t>assess</w:t>
      </w:r>
      <w:r>
        <w:t xml:space="preserve"> the capability of a firm to generate </w:t>
      </w:r>
      <w:r w:rsidR="00144627">
        <w:t xml:space="preserve">earnings in proportion to the cost that has been incurred for generating those earnings. The ratio also describes the capability </w:t>
      </w:r>
      <w:r w:rsidR="00C61BDA">
        <w:t xml:space="preserve">in greeting return for the inventors who have invested in the </w:t>
      </w:r>
      <w:proofErr w:type="gramStart"/>
      <w:r w:rsidR="00C61BDA">
        <w:t>company</w:t>
      </w:r>
      <w:r w:rsidR="004619AE">
        <w:t>(</w:t>
      </w:r>
      <w:proofErr w:type="spellStart"/>
      <w:proofErr w:type="gramEnd"/>
      <w:r w:rsidR="004619AE">
        <w:rPr>
          <w:rFonts w:cs="Times New Roman"/>
          <w:szCs w:val="24"/>
        </w:rPr>
        <w:t>Saleem</w:t>
      </w:r>
      <w:proofErr w:type="spellEnd"/>
      <w:r w:rsidR="004619AE">
        <w:rPr>
          <w:rFonts w:cs="Times New Roman"/>
          <w:szCs w:val="24"/>
        </w:rPr>
        <w:t xml:space="preserve">, and </w:t>
      </w:r>
      <w:proofErr w:type="spellStart"/>
      <w:r w:rsidR="004619AE">
        <w:rPr>
          <w:rFonts w:cs="Times New Roman"/>
          <w:szCs w:val="24"/>
        </w:rPr>
        <w:t>Rehman</w:t>
      </w:r>
      <w:proofErr w:type="spellEnd"/>
      <w:r w:rsidR="004619AE">
        <w:rPr>
          <w:rFonts w:cs="Times New Roman"/>
          <w:szCs w:val="24"/>
        </w:rPr>
        <w:t xml:space="preserve">, </w:t>
      </w:r>
      <w:r w:rsidR="004619AE" w:rsidRPr="00D43090">
        <w:rPr>
          <w:rFonts w:cs="Times New Roman"/>
          <w:szCs w:val="24"/>
        </w:rPr>
        <w:t>2011</w:t>
      </w:r>
      <w:r w:rsidR="004619AE">
        <w:t>)</w:t>
      </w:r>
      <w:r w:rsidR="00C61BDA">
        <w:t xml:space="preserve">. The profitability ratios that are expressed in </w:t>
      </w:r>
      <w:r w:rsidR="009A1906">
        <w:t xml:space="preserve">terms of </w:t>
      </w:r>
      <w:r w:rsidR="00C61BDA">
        <w:t xml:space="preserve">margin </w:t>
      </w:r>
      <w:r w:rsidR="00D1287A">
        <w:t>define</w:t>
      </w:r>
      <w:r w:rsidR="00203426">
        <w:t xml:space="preserve"> the </w:t>
      </w:r>
      <w:r w:rsidR="0078614D">
        <w:t>efficiency of</w:t>
      </w:r>
      <w:r w:rsidR="009A1906">
        <w:t xml:space="preserve"> the firm to </w:t>
      </w:r>
      <w:r w:rsidR="00203426">
        <w:t xml:space="preserve">transform the sales revenue earned in to profit at the various stages of </w:t>
      </w:r>
      <w:r w:rsidR="0078614D">
        <w:t>the business</w:t>
      </w:r>
      <w:r w:rsidR="00203426">
        <w:t xml:space="preserve"> operations</w:t>
      </w:r>
      <w:r w:rsidR="0078614D">
        <w:t>.</w:t>
      </w:r>
    </w:p>
    <w:p w:rsidR="00951685" w:rsidRPr="0078614D" w:rsidRDefault="0078614D" w:rsidP="00CD5A47">
      <w:pPr>
        <w:rPr>
          <w:b/>
        </w:rPr>
      </w:pPr>
      <w:r w:rsidRPr="0078614D">
        <w:rPr>
          <w:b/>
        </w:rPr>
        <w:t>Gross profit margin:</w:t>
      </w:r>
    </w:p>
    <w:p w:rsidR="00951685" w:rsidRDefault="0078614D" w:rsidP="00CD5A47">
      <w:r>
        <w:t xml:space="preserve">The Gross profit margin actually describes the </w:t>
      </w:r>
      <w:r w:rsidR="00115D5F">
        <w:t xml:space="preserve">proportion of the gross sales turnover that business has managed to save after deducting the cost directly associated with the </w:t>
      </w:r>
      <w:r w:rsidR="00A83971">
        <w:t xml:space="preserve">operation of </w:t>
      </w:r>
      <w:r w:rsidR="00E062EC">
        <w:t>sales. Thus</w:t>
      </w:r>
      <w:r w:rsidR="00A83971">
        <w:t xml:space="preserve"> the gross profit margin </w:t>
      </w:r>
      <w:r w:rsidR="00E062EC">
        <w:t xml:space="preserve">defines the efficiency of the company in controlling the cost of manufacturing and inventory and how well the organization has passed the </w:t>
      </w:r>
      <w:r w:rsidR="00751142">
        <w:t xml:space="preserve">associated cost to the consumers in the form of selling price of the products. Because, higher will be the price of the product to be sold higher will be the </w:t>
      </w:r>
      <w:r w:rsidR="000C4689">
        <w:t xml:space="preserve">coverage of the cost of sales that is incurred by the </w:t>
      </w:r>
      <w:r w:rsidR="00D86571">
        <w:t>business (</w:t>
      </w:r>
      <w:r w:rsidR="00D86571" w:rsidRPr="00D43090">
        <w:rPr>
          <w:rFonts w:cs="Times New Roman"/>
          <w:szCs w:val="24"/>
        </w:rPr>
        <w:t>Stahl</w:t>
      </w:r>
      <w:r w:rsidR="00D86571">
        <w:rPr>
          <w:rFonts w:cs="Times New Roman"/>
          <w:szCs w:val="24"/>
        </w:rPr>
        <w:t xml:space="preserve"> </w:t>
      </w:r>
      <w:r w:rsidR="00D86571" w:rsidRPr="00D86571">
        <w:rPr>
          <w:rFonts w:cs="Times New Roman"/>
          <w:i/>
          <w:szCs w:val="24"/>
        </w:rPr>
        <w:t>et al</w:t>
      </w:r>
      <w:r w:rsidR="00D86571">
        <w:rPr>
          <w:rFonts w:cs="Times New Roman"/>
          <w:szCs w:val="24"/>
        </w:rPr>
        <w:t>.</w:t>
      </w:r>
      <w:proofErr w:type="gramStart"/>
      <w:r w:rsidR="00D86571">
        <w:rPr>
          <w:rFonts w:cs="Times New Roman"/>
          <w:szCs w:val="24"/>
        </w:rPr>
        <w:t>,2012</w:t>
      </w:r>
      <w:proofErr w:type="gramEnd"/>
      <w:r w:rsidR="00D86571">
        <w:t>)</w:t>
      </w:r>
      <w:r w:rsidR="000C4689">
        <w:t xml:space="preserve">. Therefore a higher value of gross profit margin is always preferable for the </w:t>
      </w:r>
      <w:r w:rsidR="00D1287A">
        <w:t xml:space="preserve">organization. A higher value of the gross profit margin always reflect the fact that the </w:t>
      </w:r>
      <w:r w:rsidR="00AC44CA">
        <w:t xml:space="preserve">products or services sold by the business is high on demand and </w:t>
      </w:r>
      <w:r w:rsidR="00D1287A">
        <w:t xml:space="preserve">business </w:t>
      </w:r>
      <w:r w:rsidR="00AC44CA">
        <w:t>has managed to pass a substantial portion of the cost of sales to the consumers in the form of high sel</w:t>
      </w:r>
      <w:r w:rsidR="00F7791F">
        <w:t>ling price and that is why the volume of the gross profit of the organization will be quiet high</w:t>
      </w:r>
      <w:r w:rsidR="00A865ED">
        <w:t>.</w:t>
      </w:r>
    </w:p>
    <w:p w:rsidR="00A865ED" w:rsidRDefault="00A865ED" w:rsidP="00CD5A47"/>
    <w:tbl>
      <w:tblPr>
        <w:tblStyle w:val="LightGrid1"/>
        <w:tblW w:w="8580" w:type="dxa"/>
        <w:shd w:val="clear" w:color="auto" w:fill="F2DBDB" w:themeFill="accent2" w:themeFillTint="33"/>
        <w:tblLook w:val="04A0"/>
      </w:tblPr>
      <w:tblGrid>
        <w:gridCol w:w="3069"/>
        <w:gridCol w:w="1103"/>
        <w:gridCol w:w="1102"/>
        <w:gridCol w:w="1102"/>
        <w:gridCol w:w="1102"/>
        <w:gridCol w:w="1102"/>
      </w:tblGrid>
      <w:tr w:rsidR="00670C74" w:rsidRPr="00670C74" w:rsidTr="00CB551E">
        <w:trPr>
          <w:cnfStyle w:val="100000000000"/>
          <w:trHeight w:val="315"/>
        </w:trPr>
        <w:tc>
          <w:tcPr>
            <w:cnfStyle w:val="001000000000"/>
            <w:tcW w:w="8580" w:type="dxa"/>
            <w:gridSpan w:val="6"/>
            <w:shd w:val="clear" w:color="auto" w:fill="F2DBDB" w:themeFill="accent2" w:themeFillTint="33"/>
            <w:noWrap/>
            <w:hideMark/>
          </w:tcPr>
          <w:p w:rsidR="00670C74" w:rsidRPr="00670C74" w:rsidRDefault="00670C74" w:rsidP="00670C74">
            <w:pPr>
              <w:spacing w:line="240" w:lineRule="auto"/>
              <w:jc w:val="center"/>
              <w:rPr>
                <w:rFonts w:eastAsia="Times New Roman" w:cs="Times New Roman"/>
                <w:color w:val="000000"/>
                <w:sz w:val="24"/>
                <w:lang w:val="en-US"/>
              </w:rPr>
            </w:pPr>
            <w:r w:rsidRPr="00670C74">
              <w:rPr>
                <w:rFonts w:eastAsia="Times New Roman" w:cs="Times New Roman"/>
                <w:color w:val="000000"/>
                <w:sz w:val="24"/>
                <w:lang w:val="en-US"/>
              </w:rPr>
              <w:t>Glaxo SmithKline(GSK) Ratio Analysis</w:t>
            </w:r>
          </w:p>
        </w:tc>
      </w:tr>
      <w:tr w:rsidR="00670C74" w:rsidRPr="00670C74" w:rsidTr="00CB551E">
        <w:trPr>
          <w:cnfStyle w:val="000000100000"/>
          <w:trHeight w:val="300"/>
        </w:trPr>
        <w:tc>
          <w:tcPr>
            <w:cnfStyle w:val="001000000000"/>
            <w:tcW w:w="3069" w:type="dxa"/>
            <w:shd w:val="clear" w:color="auto" w:fill="F2DBDB" w:themeFill="accent2" w:themeFillTint="33"/>
            <w:noWrap/>
            <w:hideMark/>
          </w:tcPr>
          <w:p w:rsidR="00670C74" w:rsidRPr="00670C74" w:rsidRDefault="00670C74" w:rsidP="00670C74">
            <w:pPr>
              <w:spacing w:line="240" w:lineRule="auto"/>
              <w:jc w:val="left"/>
              <w:rPr>
                <w:rFonts w:eastAsia="Times New Roman" w:cs="Times New Roman"/>
                <w:color w:val="000000"/>
                <w:sz w:val="24"/>
                <w:lang w:val="en-US"/>
              </w:rPr>
            </w:pPr>
            <w:r w:rsidRPr="00CB551E">
              <w:rPr>
                <w:rFonts w:eastAsia="Times New Roman" w:cs="Times New Roman"/>
                <w:color w:val="000000"/>
                <w:sz w:val="24"/>
                <w:lang w:val="en-US"/>
              </w:rPr>
              <w:t>financial</w:t>
            </w:r>
            <w:r w:rsidRPr="00670C74">
              <w:rPr>
                <w:rFonts w:eastAsia="Times New Roman" w:cs="Times New Roman"/>
                <w:color w:val="000000"/>
                <w:sz w:val="24"/>
                <w:lang w:val="en-US"/>
              </w:rPr>
              <w:t xml:space="preserve"> statement  items</w:t>
            </w:r>
          </w:p>
        </w:tc>
        <w:tc>
          <w:tcPr>
            <w:tcW w:w="1103" w:type="dxa"/>
            <w:shd w:val="clear" w:color="auto" w:fill="F2DBDB" w:themeFill="accent2" w:themeFillTint="33"/>
            <w:noWrap/>
            <w:hideMark/>
          </w:tcPr>
          <w:p w:rsidR="00670C74" w:rsidRPr="00670C74" w:rsidRDefault="00670C74" w:rsidP="00670C74">
            <w:pPr>
              <w:spacing w:line="240" w:lineRule="auto"/>
              <w:jc w:val="left"/>
              <w:cnfStyle w:val="000000100000"/>
              <w:rPr>
                <w:rFonts w:eastAsia="Times New Roman" w:cs="Times New Roman"/>
                <w:color w:val="000000"/>
                <w:sz w:val="24"/>
                <w:lang w:val="en-US"/>
              </w:rPr>
            </w:pPr>
            <w:r w:rsidRPr="00670C74">
              <w:rPr>
                <w:rFonts w:eastAsia="Times New Roman" w:cs="Times New Roman"/>
                <w:color w:val="000000"/>
                <w:sz w:val="24"/>
                <w:lang w:val="en-US"/>
              </w:rPr>
              <w:t>£,million</w:t>
            </w:r>
          </w:p>
        </w:tc>
        <w:tc>
          <w:tcPr>
            <w:tcW w:w="1102" w:type="dxa"/>
            <w:shd w:val="clear" w:color="auto" w:fill="F2DBDB" w:themeFill="accent2" w:themeFillTint="33"/>
            <w:noWrap/>
            <w:hideMark/>
          </w:tcPr>
          <w:p w:rsidR="00670C74" w:rsidRPr="00670C74" w:rsidRDefault="00670C74" w:rsidP="00670C74">
            <w:pPr>
              <w:spacing w:line="240" w:lineRule="auto"/>
              <w:jc w:val="left"/>
              <w:cnfStyle w:val="000000100000"/>
              <w:rPr>
                <w:rFonts w:eastAsia="Times New Roman" w:cs="Times New Roman"/>
                <w:color w:val="000000"/>
                <w:sz w:val="24"/>
                <w:lang w:val="en-US"/>
              </w:rPr>
            </w:pPr>
            <w:r w:rsidRPr="00670C74">
              <w:rPr>
                <w:rFonts w:eastAsia="Times New Roman" w:cs="Times New Roman"/>
                <w:color w:val="000000"/>
                <w:sz w:val="24"/>
                <w:lang w:val="en-US"/>
              </w:rPr>
              <w:t>£,million</w:t>
            </w:r>
          </w:p>
        </w:tc>
        <w:tc>
          <w:tcPr>
            <w:tcW w:w="1102" w:type="dxa"/>
            <w:shd w:val="clear" w:color="auto" w:fill="F2DBDB" w:themeFill="accent2" w:themeFillTint="33"/>
            <w:noWrap/>
            <w:hideMark/>
          </w:tcPr>
          <w:p w:rsidR="00670C74" w:rsidRPr="00670C74" w:rsidRDefault="00670C74" w:rsidP="00670C74">
            <w:pPr>
              <w:spacing w:line="240" w:lineRule="auto"/>
              <w:jc w:val="left"/>
              <w:cnfStyle w:val="000000100000"/>
              <w:rPr>
                <w:rFonts w:eastAsia="Times New Roman" w:cs="Times New Roman"/>
                <w:color w:val="000000"/>
                <w:sz w:val="24"/>
                <w:lang w:val="en-US"/>
              </w:rPr>
            </w:pPr>
            <w:r w:rsidRPr="00670C74">
              <w:rPr>
                <w:rFonts w:eastAsia="Times New Roman" w:cs="Times New Roman"/>
                <w:color w:val="000000"/>
                <w:sz w:val="24"/>
                <w:lang w:val="en-US"/>
              </w:rPr>
              <w:t>£,million</w:t>
            </w:r>
          </w:p>
        </w:tc>
        <w:tc>
          <w:tcPr>
            <w:tcW w:w="1102" w:type="dxa"/>
            <w:shd w:val="clear" w:color="auto" w:fill="F2DBDB" w:themeFill="accent2" w:themeFillTint="33"/>
            <w:noWrap/>
            <w:hideMark/>
          </w:tcPr>
          <w:p w:rsidR="00670C74" w:rsidRPr="00670C74" w:rsidRDefault="00670C74" w:rsidP="00670C74">
            <w:pPr>
              <w:spacing w:line="240" w:lineRule="auto"/>
              <w:jc w:val="left"/>
              <w:cnfStyle w:val="000000100000"/>
              <w:rPr>
                <w:rFonts w:eastAsia="Times New Roman" w:cs="Times New Roman"/>
                <w:color w:val="000000"/>
                <w:sz w:val="24"/>
                <w:lang w:val="en-US"/>
              </w:rPr>
            </w:pPr>
            <w:r w:rsidRPr="00670C74">
              <w:rPr>
                <w:rFonts w:eastAsia="Times New Roman" w:cs="Times New Roman"/>
                <w:color w:val="000000"/>
                <w:sz w:val="24"/>
                <w:lang w:val="en-US"/>
              </w:rPr>
              <w:t>£,million</w:t>
            </w:r>
          </w:p>
        </w:tc>
        <w:tc>
          <w:tcPr>
            <w:tcW w:w="1102" w:type="dxa"/>
            <w:shd w:val="clear" w:color="auto" w:fill="F2DBDB" w:themeFill="accent2" w:themeFillTint="33"/>
            <w:noWrap/>
            <w:hideMark/>
          </w:tcPr>
          <w:p w:rsidR="00670C74" w:rsidRPr="00670C74" w:rsidRDefault="00670C74" w:rsidP="00670C74">
            <w:pPr>
              <w:spacing w:line="240" w:lineRule="auto"/>
              <w:jc w:val="left"/>
              <w:cnfStyle w:val="000000100000"/>
              <w:rPr>
                <w:rFonts w:eastAsia="Times New Roman" w:cs="Times New Roman"/>
                <w:color w:val="000000"/>
                <w:sz w:val="24"/>
                <w:lang w:val="en-US"/>
              </w:rPr>
            </w:pPr>
            <w:r w:rsidRPr="00670C74">
              <w:rPr>
                <w:rFonts w:eastAsia="Times New Roman" w:cs="Times New Roman"/>
                <w:color w:val="000000"/>
                <w:sz w:val="24"/>
                <w:lang w:val="en-US"/>
              </w:rPr>
              <w:t>£,million</w:t>
            </w:r>
          </w:p>
        </w:tc>
      </w:tr>
      <w:tr w:rsidR="00670C74" w:rsidRPr="00670C74" w:rsidTr="00CB551E">
        <w:trPr>
          <w:cnfStyle w:val="000000010000"/>
          <w:trHeight w:val="300"/>
        </w:trPr>
        <w:tc>
          <w:tcPr>
            <w:cnfStyle w:val="001000000000"/>
            <w:tcW w:w="3069" w:type="dxa"/>
            <w:shd w:val="clear" w:color="auto" w:fill="F2DBDB" w:themeFill="accent2" w:themeFillTint="33"/>
            <w:noWrap/>
            <w:hideMark/>
          </w:tcPr>
          <w:p w:rsidR="00670C74" w:rsidRPr="00670C74" w:rsidRDefault="00670C74" w:rsidP="00670C74">
            <w:pPr>
              <w:spacing w:line="240" w:lineRule="auto"/>
              <w:jc w:val="left"/>
              <w:rPr>
                <w:rFonts w:eastAsia="Times New Roman" w:cs="Times New Roman"/>
                <w:color w:val="000000"/>
                <w:sz w:val="24"/>
                <w:lang w:val="en-US"/>
              </w:rPr>
            </w:pPr>
            <w:r w:rsidRPr="00670C74">
              <w:rPr>
                <w:rFonts w:eastAsia="Times New Roman" w:cs="Times New Roman"/>
                <w:color w:val="000000"/>
                <w:sz w:val="24"/>
                <w:lang w:val="en-US"/>
              </w:rPr>
              <w:t> </w:t>
            </w:r>
          </w:p>
        </w:tc>
        <w:tc>
          <w:tcPr>
            <w:tcW w:w="1103" w:type="dxa"/>
            <w:shd w:val="clear" w:color="auto" w:fill="F2DBDB" w:themeFill="accent2" w:themeFillTint="33"/>
            <w:noWrap/>
            <w:hideMark/>
          </w:tcPr>
          <w:p w:rsidR="00670C74" w:rsidRPr="00670C74" w:rsidRDefault="00670C74" w:rsidP="00670C74">
            <w:pPr>
              <w:spacing w:line="240" w:lineRule="auto"/>
              <w:jc w:val="right"/>
              <w:cnfStyle w:val="000000010000"/>
              <w:rPr>
                <w:rFonts w:eastAsia="Times New Roman" w:cs="Times New Roman"/>
                <w:color w:val="000000"/>
                <w:sz w:val="24"/>
                <w:lang w:val="en-US"/>
              </w:rPr>
            </w:pPr>
            <w:r w:rsidRPr="00670C74">
              <w:rPr>
                <w:rFonts w:eastAsia="Times New Roman" w:cs="Times New Roman"/>
                <w:color w:val="000000"/>
                <w:sz w:val="24"/>
                <w:lang w:val="en-US"/>
              </w:rPr>
              <w:t>2012</w:t>
            </w:r>
          </w:p>
        </w:tc>
        <w:tc>
          <w:tcPr>
            <w:tcW w:w="1102" w:type="dxa"/>
            <w:shd w:val="clear" w:color="auto" w:fill="F2DBDB" w:themeFill="accent2" w:themeFillTint="33"/>
            <w:noWrap/>
            <w:hideMark/>
          </w:tcPr>
          <w:p w:rsidR="00670C74" w:rsidRPr="00670C74" w:rsidRDefault="00670C74" w:rsidP="00670C74">
            <w:pPr>
              <w:spacing w:line="240" w:lineRule="auto"/>
              <w:jc w:val="right"/>
              <w:cnfStyle w:val="000000010000"/>
              <w:rPr>
                <w:rFonts w:eastAsia="Times New Roman" w:cs="Times New Roman"/>
                <w:color w:val="000000"/>
                <w:sz w:val="24"/>
                <w:lang w:val="en-US"/>
              </w:rPr>
            </w:pPr>
            <w:r w:rsidRPr="00670C74">
              <w:rPr>
                <w:rFonts w:eastAsia="Times New Roman" w:cs="Times New Roman"/>
                <w:color w:val="000000"/>
                <w:sz w:val="24"/>
                <w:lang w:val="en-US"/>
              </w:rPr>
              <w:t>2013</w:t>
            </w:r>
          </w:p>
        </w:tc>
        <w:tc>
          <w:tcPr>
            <w:tcW w:w="1102" w:type="dxa"/>
            <w:shd w:val="clear" w:color="auto" w:fill="F2DBDB" w:themeFill="accent2" w:themeFillTint="33"/>
            <w:noWrap/>
            <w:hideMark/>
          </w:tcPr>
          <w:p w:rsidR="00670C74" w:rsidRPr="00670C74" w:rsidRDefault="00670C74" w:rsidP="00670C74">
            <w:pPr>
              <w:spacing w:line="240" w:lineRule="auto"/>
              <w:jc w:val="right"/>
              <w:cnfStyle w:val="000000010000"/>
              <w:rPr>
                <w:rFonts w:eastAsia="Times New Roman" w:cs="Times New Roman"/>
                <w:color w:val="000000"/>
                <w:sz w:val="24"/>
                <w:lang w:val="en-US"/>
              </w:rPr>
            </w:pPr>
            <w:r w:rsidRPr="00670C74">
              <w:rPr>
                <w:rFonts w:eastAsia="Times New Roman" w:cs="Times New Roman"/>
                <w:color w:val="000000"/>
                <w:sz w:val="24"/>
                <w:lang w:val="en-US"/>
              </w:rPr>
              <w:t>2014</w:t>
            </w:r>
          </w:p>
        </w:tc>
        <w:tc>
          <w:tcPr>
            <w:tcW w:w="1102" w:type="dxa"/>
            <w:shd w:val="clear" w:color="auto" w:fill="F2DBDB" w:themeFill="accent2" w:themeFillTint="33"/>
            <w:noWrap/>
            <w:hideMark/>
          </w:tcPr>
          <w:p w:rsidR="00670C74" w:rsidRPr="00670C74" w:rsidRDefault="00670C74" w:rsidP="00670C74">
            <w:pPr>
              <w:spacing w:line="240" w:lineRule="auto"/>
              <w:jc w:val="right"/>
              <w:cnfStyle w:val="000000010000"/>
              <w:rPr>
                <w:rFonts w:eastAsia="Times New Roman" w:cs="Times New Roman"/>
                <w:color w:val="000000"/>
                <w:sz w:val="24"/>
                <w:lang w:val="en-US"/>
              </w:rPr>
            </w:pPr>
            <w:r w:rsidRPr="00670C74">
              <w:rPr>
                <w:rFonts w:eastAsia="Times New Roman" w:cs="Times New Roman"/>
                <w:color w:val="000000"/>
                <w:sz w:val="24"/>
                <w:lang w:val="en-US"/>
              </w:rPr>
              <w:t>2015</w:t>
            </w:r>
          </w:p>
        </w:tc>
        <w:tc>
          <w:tcPr>
            <w:tcW w:w="1102" w:type="dxa"/>
            <w:shd w:val="clear" w:color="auto" w:fill="F2DBDB" w:themeFill="accent2" w:themeFillTint="33"/>
            <w:noWrap/>
            <w:hideMark/>
          </w:tcPr>
          <w:p w:rsidR="00670C74" w:rsidRPr="00670C74" w:rsidRDefault="00670C74" w:rsidP="00670C74">
            <w:pPr>
              <w:spacing w:line="240" w:lineRule="auto"/>
              <w:jc w:val="right"/>
              <w:cnfStyle w:val="000000010000"/>
              <w:rPr>
                <w:rFonts w:eastAsia="Times New Roman" w:cs="Times New Roman"/>
                <w:color w:val="000000"/>
                <w:sz w:val="24"/>
                <w:lang w:val="en-US"/>
              </w:rPr>
            </w:pPr>
            <w:r w:rsidRPr="00670C74">
              <w:rPr>
                <w:rFonts w:eastAsia="Times New Roman" w:cs="Times New Roman"/>
                <w:color w:val="000000"/>
                <w:sz w:val="24"/>
                <w:lang w:val="en-US"/>
              </w:rPr>
              <w:t>2016</w:t>
            </w:r>
          </w:p>
        </w:tc>
      </w:tr>
      <w:tr w:rsidR="00670C74" w:rsidRPr="00670C74" w:rsidTr="00CB551E">
        <w:trPr>
          <w:cnfStyle w:val="000000100000"/>
          <w:trHeight w:val="300"/>
        </w:trPr>
        <w:tc>
          <w:tcPr>
            <w:cnfStyle w:val="001000000000"/>
            <w:tcW w:w="3069" w:type="dxa"/>
            <w:shd w:val="clear" w:color="auto" w:fill="F2DBDB" w:themeFill="accent2" w:themeFillTint="33"/>
            <w:noWrap/>
            <w:hideMark/>
          </w:tcPr>
          <w:p w:rsidR="00670C74" w:rsidRPr="00670C74" w:rsidRDefault="00670C74" w:rsidP="00670C74">
            <w:pPr>
              <w:spacing w:line="240" w:lineRule="auto"/>
              <w:jc w:val="left"/>
              <w:rPr>
                <w:rFonts w:eastAsia="Times New Roman" w:cs="Times New Roman"/>
                <w:color w:val="000000"/>
                <w:sz w:val="24"/>
                <w:lang w:val="en-US"/>
              </w:rPr>
            </w:pPr>
            <w:r w:rsidRPr="00670C74">
              <w:rPr>
                <w:rFonts w:eastAsia="Times New Roman" w:cs="Times New Roman"/>
                <w:color w:val="000000"/>
                <w:sz w:val="24"/>
                <w:lang w:val="en-US"/>
              </w:rPr>
              <w:t xml:space="preserve">Gross profit </w:t>
            </w:r>
          </w:p>
        </w:tc>
        <w:tc>
          <w:tcPr>
            <w:tcW w:w="1103" w:type="dxa"/>
            <w:shd w:val="clear" w:color="auto" w:fill="F2DBDB" w:themeFill="accent2" w:themeFillTint="33"/>
            <w:noWrap/>
            <w:hideMark/>
          </w:tcPr>
          <w:p w:rsidR="00670C74" w:rsidRPr="00670C74" w:rsidRDefault="00670C74" w:rsidP="00670C74">
            <w:pPr>
              <w:spacing w:line="240" w:lineRule="auto"/>
              <w:jc w:val="right"/>
              <w:cnfStyle w:val="000000100000"/>
              <w:rPr>
                <w:rFonts w:eastAsia="Times New Roman" w:cs="Times New Roman"/>
                <w:sz w:val="24"/>
                <w:lang w:val="en-US"/>
              </w:rPr>
            </w:pPr>
            <w:r w:rsidRPr="00670C74">
              <w:rPr>
                <w:rFonts w:eastAsia="Times New Roman" w:cs="Times New Roman"/>
                <w:sz w:val="24"/>
                <w:lang w:val="en-US"/>
              </w:rPr>
              <w:t>18506</w:t>
            </w:r>
          </w:p>
        </w:tc>
        <w:tc>
          <w:tcPr>
            <w:tcW w:w="1102" w:type="dxa"/>
            <w:shd w:val="clear" w:color="auto" w:fill="F2DBDB" w:themeFill="accent2" w:themeFillTint="33"/>
            <w:noWrap/>
            <w:hideMark/>
          </w:tcPr>
          <w:p w:rsidR="00670C74" w:rsidRPr="00670C74" w:rsidRDefault="00670C74" w:rsidP="00670C74">
            <w:pPr>
              <w:spacing w:line="240" w:lineRule="auto"/>
              <w:jc w:val="right"/>
              <w:cnfStyle w:val="000000100000"/>
              <w:rPr>
                <w:rFonts w:eastAsia="Times New Roman" w:cs="Times New Roman"/>
                <w:sz w:val="24"/>
                <w:lang w:val="en-US"/>
              </w:rPr>
            </w:pPr>
            <w:r w:rsidRPr="00670C74">
              <w:rPr>
                <w:rFonts w:eastAsia="Times New Roman" w:cs="Times New Roman"/>
                <w:sz w:val="24"/>
                <w:lang w:val="en-US"/>
              </w:rPr>
              <w:t>17,920</w:t>
            </w:r>
          </w:p>
        </w:tc>
        <w:tc>
          <w:tcPr>
            <w:tcW w:w="1102" w:type="dxa"/>
            <w:shd w:val="clear" w:color="auto" w:fill="F2DBDB" w:themeFill="accent2" w:themeFillTint="33"/>
            <w:noWrap/>
            <w:hideMark/>
          </w:tcPr>
          <w:p w:rsidR="00670C74" w:rsidRPr="00670C74" w:rsidRDefault="00670C74" w:rsidP="00670C74">
            <w:pPr>
              <w:spacing w:line="240" w:lineRule="auto"/>
              <w:jc w:val="right"/>
              <w:cnfStyle w:val="000000100000"/>
              <w:rPr>
                <w:rFonts w:eastAsia="Times New Roman" w:cs="Times New Roman"/>
                <w:color w:val="000000"/>
                <w:sz w:val="24"/>
                <w:lang w:val="en-US"/>
              </w:rPr>
            </w:pPr>
            <w:r w:rsidRPr="00670C74">
              <w:rPr>
                <w:rFonts w:eastAsia="Times New Roman" w:cs="Times New Roman"/>
                <w:color w:val="000000"/>
                <w:sz w:val="24"/>
                <w:lang w:val="en-US"/>
              </w:rPr>
              <w:t>15,683</w:t>
            </w:r>
          </w:p>
        </w:tc>
        <w:tc>
          <w:tcPr>
            <w:tcW w:w="1102" w:type="dxa"/>
            <w:shd w:val="clear" w:color="auto" w:fill="F2DBDB" w:themeFill="accent2" w:themeFillTint="33"/>
            <w:noWrap/>
            <w:hideMark/>
          </w:tcPr>
          <w:p w:rsidR="00670C74" w:rsidRPr="00670C74" w:rsidRDefault="00670C74" w:rsidP="00670C74">
            <w:pPr>
              <w:spacing w:line="240" w:lineRule="auto"/>
              <w:jc w:val="right"/>
              <w:cnfStyle w:val="000000100000"/>
              <w:rPr>
                <w:rFonts w:eastAsia="Times New Roman" w:cs="Times New Roman"/>
                <w:color w:val="000000"/>
                <w:sz w:val="24"/>
                <w:lang w:val="en-US"/>
              </w:rPr>
            </w:pPr>
            <w:r w:rsidRPr="00670C74">
              <w:rPr>
                <w:rFonts w:eastAsia="Times New Roman" w:cs="Times New Roman"/>
                <w:color w:val="000000"/>
                <w:sz w:val="24"/>
                <w:lang w:val="en-US"/>
              </w:rPr>
              <w:t>15,070</w:t>
            </w:r>
          </w:p>
        </w:tc>
        <w:tc>
          <w:tcPr>
            <w:tcW w:w="1102" w:type="dxa"/>
            <w:shd w:val="clear" w:color="auto" w:fill="F2DBDB" w:themeFill="accent2" w:themeFillTint="33"/>
            <w:noWrap/>
            <w:hideMark/>
          </w:tcPr>
          <w:p w:rsidR="00670C74" w:rsidRPr="00670C74" w:rsidRDefault="00670C74" w:rsidP="00670C74">
            <w:pPr>
              <w:spacing w:line="240" w:lineRule="auto"/>
              <w:jc w:val="right"/>
              <w:cnfStyle w:val="000000100000"/>
              <w:rPr>
                <w:rFonts w:eastAsia="Times New Roman" w:cs="Times New Roman"/>
                <w:color w:val="000000"/>
                <w:sz w:val="24"/>
                <w:lang w:val="en-US"/>
              </w:rPr>
            </w:pPr>
            <w:r w:rsidRPr="00670C74">
              <w:rPr>
                <w:rFonts w:eastAsia="Times New Roman" w:cs="Times New Roman"/>
                <w:color w:val="000000"/>
                <w:sz w:val="24"/>
                <w:lang w:val="en-US"/>
              </w:rPr>
              <w:t>18,599</w:t>
            </w:r>
          </w:p>
        </w:tc>
      </w:tr>
      <w:tr w:rsidR="00670C74" w:rsidRPr="00670C74" w:rsidTr="00CB551E">
        <w:trPr>
          <w:cnfStyle w:val="000000010000"/>
          <w:trHeight w:val="300"/>
        </w:trPr>
        <w:tc>
          <w:tcPr>
            <w:cnfStyle w:val="001000000000"/>
            <w:tcW w:w="3069" w:type="dxa"/>
            <w:shd w:val="clear" w:color="auto" w:fill="F2DBDB" w:themeFill="accent2" w:themeFillTint="33"/>
            <w:noWrap/>
            <w:hideMark/>
          </w:tcPr>
          <w:p w:rsidR="00670C74" w:rsidRPr="00670C74" w:rsidRDefault="00670C74" w:rsidP="00670C74">
            <w:pPr>
              <w:spacing w:line="240" w:lineRule="auto"/>
              <w:jc w:val="left"/>
              <w:rPr>
                <w:rFonts w:eastAsia="Times New Roman" w:cs="Times New Roman"/>
                <w:color w:val="000000"/>
                <w:sz w:val="24"/>
                <w:lang w:val="en-US"/>
              </w:rPr>
            </w:pPr>
            <w:r w:rsidRPr="00670C74">
              <w:rPr>
                <w:rFonts w:eastAsia="Times New Roman" w:cs="Times New Roman"/>
                <w:color w:val="000000"/>
                <w:sz w:val="24"/>
                <w:lang w:val="en-US"/>
              </w:rPr>
              <w:t>Total revenue earned</w:t>
            </w:r>
          </w:p>
        </w:tc>
        <w:tc>
          <w:tcPr>
            <w:tcW w:w="1103" w:type="dxa"/>
            <w:shd w:val="clear" w:color="auto" w:fill="F2DBDB" w:themeFill="accent2" w:themeFillTint="33"/>
            <w:noWrap/>
            <w:hideMark/>
          </w:tcPr>
          <w:p w:rsidR="00670C74" w:rsidRPr="00670C74" w:rsidRDefault="00670C74" w:rsidP="00670C74">
            <w:pPr>
              <w:spacing w:line="240" w:lineRule="auto"/>
              <w:jc w:val="right"/>
              <w:cnfStyle w:val="000000010000"/>
              <w:rPr>
                <w:rFonts w:eastAsia="Times New Roman" w:cs="Times New Roman"/>
                <w:sz w:val="24"/>
                <w:lang w:val="en-US"/>
              </w:rPr>
            </w:pPr>
            <w:r w:rsidRPr="00670C74">
              <w:rPr>
                <w:rFonts w:eastAsia="Times New Roman" w:cs="Times New Roman"/>
                <w:sz w:val="24"/>
                <w:lang w:val="en-US"/>
              </w:rPr>
              <w:t>26,431</w:t>
            </w:r>
          </w:p>
        </w:tc>
        <w:tc>
          <w:tcPr>
            <w:tcW w:w="1102" w:type="dxa"/>
            <w:shd w:val="clear" w:color="auto" w:fill="F2DBDB" w:themeFill="accent2" w:themeFillTint="33"/>
            <w:noWrap/>
            <w:hideMark/>
          </w:tcPr>
          <w:p w:rsidR="00670C74" w:rsidRPr="00670C74" w:rsidRDefault="00670C74" w:rsidP="00670C74">
            <w:pPr>
              <w:spacing w:line="240" w:lineRule="auto"/>
              <w:jc w:val="right"/>
              <w:cnfStyle w:val="000000010000"/>
              <w:rPr>
                <w:rFonts w:eastAsia="Times New Roman" w:cs="Times New Roman"/>
                <w:sz w:val="24"/>
                <w:lang w:val="en-US"/>
              </w:rPr>
            </w:pPr>
            <w:r w:rsidRPr="00670C74">
              <w:rPr>
                <w:rFonts w:eastAsia="Times New Roman" w:cs="Times New Roman"/>
                <w:sz w:val="24"/>
                <w:lang w:val="en-US"/>
              </w:rPr>
              <w:t>26,505</w:t>
            </w:r>
          </w:p>
        </w:tc>
        <w:tc>
          <w:tcPr>
            <w:tcW w:w="1102" w:type="dxa"/>
            <w:shd w:val="clear" w:color="auto" w:fill="F2DBDB" w:themeFill="accent2" w:themeFillTint="33"/>
            <w:noWrap/>
            <w:hideMark/>
          </w:tcPr>
          <w:p w:rsidR="00670C74" w:rsidRPr="00670C74" w:rsidRDefault="00670C74" w:rsidP="00670C74">
            <w:pPr>
              <w:spacing w:line="240" w:lineRule="auto"/>
              <w:jc w:val="right"/>
              <w:cnfStyle w:val="000000010000"/>
              <w:rPr>
                <w:rFonts w:eastAsia="Times New Roman" w:cs="Times New Roman"/>
                <w:sz w:val="24"/>
                <w:lang w:val="en-US"/>
              </w:rPr>
            </w:pPr>
            <w:r w:rsidRPr="00670C74">
              <w:rPr>
                <w:rFonts w:eastAsia="Times New Roman" w:cs="Times New Roman"/>
                <w:sz w:val="24"/>
                <w:lang w:val="en-US"/>
              </w:rPr>
              <w:t>23,006</w:t>
            </w:r>
          </w:p>
        </w:tc>
        <w:tc>
          <w:tcPr>
            <w:tcW w:w="1102" w:type="dxa"/>
            <w:shd w:val="clear" w:color="auto" w:fill="F2DBDB" w:themeFill="accent2" w:themeFillTint="33"/>
            <w:noWrap/>
            <w:hideMark/>
          </w:tcPr>
          <w:p w:rsidR="00670C74" w:rsidRPr="00670C74" w:rsidRDefault="00670C74" w:rsidP="00670C74">
            <w:pPr>
              <w:spacing w:line="240" w:lineRule="auto"/>
              <w:jc w:val="right"/>
              <w:cnfStyle w:val="000000010000"/>
              <w:rPr>
                <w:rFonts w:eastAsia="Times New Roman" w:cs="Times New Roman"/>
                <w:sz w:val="24"/>
                <w:lang w:val="en-US"/>
              </w:rPr>
            </w:pPr>
            <w:r w:rsidRPr="00670C74">
              <w:rPr>
                <w:rFonts w:eastAsia="Times New Roman" w:cs="Times New Roman"/>
                <w:sz w:val="24"/>
                <w:lang w:val="en-US"/>
              </w:rPr>
              <w:t>23923</w:t>
            </w:r>
          </w:p>
        </w:tc>
        <w:tc>
          <w:tcPr>
            <w:tcW w:w="1102" w:type="dxa"/>
            <w:shd w:val="clear" w:color="auto" w:fill="F2DBDB" w:themeFill="accent2" w:themeFillTint="33"/>
            <w:noWrap/>
            <w:hideMark/>
          </w:tcPr>
          <w:p w:rsidR="00670C74" w:rsidRPr="00670C74" w:rsidRDefault="00670C74" w:rsidP="00670C74">
            <w:pPr>
              <w:spacing w:line="240" w:lineRule="auto"/>
              <w:jc w:val="right"/>
              <w:cnfStyle w:val="000000010000"/>
              <w:rPr>
                <w:rFonts w:eastAsia="Times New Roman" w:cs="Times New Roman"/>
                <w:sz w:val="24"/>
                <w:lang w:val="en-US"/>
              </w:rPr>
            </w:pPr>
            <w:r w:rsidRPr="00670C74">
              <w:rPr>
                <w:rFonts w:eastAsia="Times New Roman" w:cs="Times New Roman"/>
                <w:sz w:val="24"/>
                <w:lang w:val="en-US"/>
              </w:rPr>
              <w:t>27889</w:t>
            </w:r>
          </w:p>
        </w:tc>
      </w:tr>
      <w:tr w:rsidR="00CB551E" w:rsidRPr="00CB551E" w:rsidTr="00CB551E">
        <w:trPr>
          <w:cnfStyle w:val="000000100000"/>
          <w:trHeight w:val="300"/>
        </w:trPr>
        <w:tc>
          <w:tcPr>
            <w:cnfStyle w:val="001000000000"/>
            <w:tcW w:w="3069" w:type="dxa"/>
            <w:shd w:val="clear" w:color="auto" w:fill="F2DBDB" w:themeFill="accent2" w:themeFillTint="33"/>
            <w:noWrap/>
            <w:hideMark/>
          </w:tcPr>
          <w:p w:rsidR="00CB551E" w:rsidRPr="00CB551E" w:rsidRDefault="00CB551E" w:rsidP="00CB551E">
            <w:pPr>
              <w:spacing w:line="240" w:lineRule="auto"/>
              <w:jc w:val="left"/>
              <w:rPr>
                <w:rFonts w:eastAsia="Times New Roman" w:cs="Times New Roman"/>
                <w:b w:val="0"/>
                <w:bCs w:val="0"/>
                <w:color w:val="000000"/>
                <w:sz w:val="24"/>
                <w:lang w:val="en-US"/>
              </w:rPr>
            </w:pPr>
            <w:r w:rsidRPr="00CB551E">
              <w:rPr>
                <w:rFonts w:eastAsia="Times New Roman" w:cs="Times New Roman"/>
                <w:b w:val="0"/>
                <w:bCs w:val="0"/>
                <w:color w:val="000000"/>
                <w:sz w:val="24"/>
                <w:lang w:val="en-US"/>
              </w:rPr>
              <w:lastRenderedPageBreak/>
              <w:t>Gross profit margin</w:t>
            </w:r>
            <w:r w:rsidRPr="00CB551E">
              <w:rPr>
                <w:rFonts w:eastAsia="Times New Roman" w:cs="Times New Roman"/>
                <w:color w:val="000000"/>
                <w:sz w:val="24"/>
                <w:lang w:val="en-US"/>
              </w:rPr>
              <w:t xml:space="preserve"> ([Gross profit /Net sales]*100) </w:t>
            </w:r>
          </w:p>
        </w:tc>
        <w:tc>
          <w:tcPr>
            <w:tcW w:w="1103" w:type="dxa"/>
            <w:shd w:val="clear" w:color="auto" w:fill="F2DBDB" w:themeFill="accent2" w:themeFillTint="33"/>
            <w:noWrap/>
            <w:hideMark/>
          </w:tcPr>
          <w:p w:rsidR="00CB551E" w:rsidRPr="00CB551E" w:rsidRDefault="00CB551E" w:rsidP="00CB551E">
            <w:pPr>
              <w:spacing w:line="240" w:lineRule="auto"/>
              <w:jc w:val="right"/>
              <w:cnfStyle w:val="000000100000"/>
              <w:rPr>
                <w:rFonts w:eastAsia="Times New Roman" w:cs="Times New Roman"/>
                <w:sz w:val="24"/>
                <w:lang w:val="en-US"/>
              </w:rPr>
            </w:pPr>
            <w:r w:rsidRPr="00CB551E">
              <w:rPr>
                <w:rFonts w:eastAsia="Times New Roman" w:cs="Times New Roman"/>
                <w:sz w:val="24"/>
                <w:lang w:val="en-US"/>
              </w:rPr>
              <w:t>70%</w:t>
            </w:r>
          </w:p>
        </w:tc>
        <w:tc>
          <w:tcPr>
            <w:tcW w:w="1102" w:type="dxa"/>
            <w:shd w:val="clear" w:color="auto" w:fill="F2DBDB" w:themeFill="accent2" w:themeFillTint="33"/>
            <w:noWrap/>
            <w:hideMark/>
          </w:tcPr>
          <w:p w:rsidR="00CB551E" w:rsidRPr="00CB551E" w:rsidRDefault="00CB551E" w:rsidP="00CB551E">
            <w:pPr>
              <w:spacing w:line="240" w:lineRule="auto"/>
              <w:jc w:val="right"/>
              <w:cnfStyle w:val="000000100000"/>
              <w:rPr>
                <w:rFonts w:eastAsia="Times New Roman" w:cs="Times New Roman"/>
                <w:sz w:val="24"/>
                <w:lang w:val="en-US"/>
              </w:rPr>
            </w:pPr>
            <w:r w:rsidRPr="00CB551E">
              <w:rPr>
                <w:rFonts w:eastAsia="Times New Roman" w:cs="Times New Roman"/>
                <w:sz w:val="24"/>
                <w:lang w:val="en-US"/>
              </w:rPr>
              <w:t>68%</w:t>
            </w:r>
          </w:p>
        </w:tc>
        <w:tc>
          <w:tcPr>
            <w:tcW w:w="1102" w:type="dxa"/>
            <w:shd w:val="clear" w:color="auto" w:fill="F2DBDB" w:themeFill="accent2" w:themeFillTint="33"/>
            <w:noWrap/>
            <w:hideMark/>
          </w:tcPr>
          <w:p w:rsidR="00CB551E" w:rsidRPr="00CB551E" w:rsidRDefault="00CB551E" w:rsidP="00CB551E">
            <w:pPr>
              <w:spacing w:line="240" w:lineRule="auto"/>
              <w:jc w:val="right"/>
              <w:cnfStyle w:val="000000100000"/>
              <w:rPr>
                <w:rFonts w:eastAsia="Times New Roman" w:cs="Times New Roman"/>
                <w:sz w:val="24"/>
                <w:lang w:val="en-US"/>
              </w:rPr>
            </w:pPr>
            <w:r w:rsidRPr="00CB551E">
              <w:rPr>
                <w:rFonts w:eastAsia="Times New Roman" w:cs="Times New Roman"/>
                <w:sz w:val="24"/>
                <w:lang w:val="en-US"/>
              </w:rPr>
              <w:t>68%</w:t>
            </w:r>
          </w:p>
        </w:tc>
        <w:tc>
          <w:tcPr>
            <w:tcW w:w="1102" w:type="dxa"/>
            <w:shd w:val="clear" w:color="auto" w:fill="F2DBDB" w:themeFill="accent2" w:themeFillTint="33"/>
            <w:noWrap/>
            <w:hideMark/>
          </w:tcPr>
          <w:p w:rsidR="00CB551E" w:rsidRPr="00CB551E" w:rsidRDefault="00CB551E" w:rsidP="00CB551E">
            <w:pPr>
              <w:spacing w:line="240" w:lineRule="auto"/>
              <w:jc w:val="right"/>
              <w:cnfStyle w:val="000000100000"/>
              <w:rPr>
                <w:rFonts w:eastAsia="Times New Roman" w:cs="Times New Roman"/>
                <w:sz w:val="24"/>
                <w:lang w:val="en-US"/>
              </w:rPr>
            </w:pPr>
            <w:r w:rsidRPr="00CB551E">
              <w:rPr>
                <w:rFonts w:eastAsia="Times New Roman" w:cs="Times New Roman"/>
                <w:sz w:val="24"/>
                <w:lang w:val="en-US"/>
              </w:rPr>
              <w:t>63%</w:t>
            </w:r>
          </w:p>
        </w:tc>
        <w:tc>
          <w:tcPr>
            <w:tcW w:w="1102" w:type="dxa"/>
            <w:shd w:val="clear" w:color="auto" w:fill="F2DBDB" w:themeFill="accent2" w:themeFillTint="33"/>
            <w:noWrap/>
            <w:hideMark/>
          </w:tcPr>
          <w:p w:rsidR="00CB551E" w:rsidRPr="00CB551E" w:rsidRDefault="00CB551E" w:rsidP="00CB551E">
            <w:pPr>
              <w:spacing w:line="240" w:lineRule="auto"/>
              <w:jc w:val="right"/>
              <w:cnfStyle w:val="000000100000"/>
              <w:rPr>
                <w:rFonts w:eastAsia="Times New Roman" w:cs="Times New Roman"/>
                <w:sz w:val="24"/>
                <w:lang w:val="en-US"/>
              </w:rPr>
            </w:pPr>
            <w:r w:rsidRPr="00CB551E">
              <w:rPr>
                <w:rFonts w:eastAsia="Times New Roman" w:cs="Times New Roman"/>
                <w:sz w:val="24"/>
                <w:lang w:val="en-US"/>
              </w:rPr>
              <w:t>67%</w:t>
            </w:r>
          </w:p>
        </w:tc>
      </w:tr>
    </w:tbl>
    <w:p w:rsidR="00B1623E" w:rsidRDefault="00B1623E" w:rsidP="00CD5A47"/>
    <w:p w:rsidR="00B1623E" w:rsidRPr="009A7FE3" w:rsidRDefault="009A7FE3" w:rsidP="00B1623E">
      <w:r w:rsidRPr="009A7FE3">
        <w:t xml:space="preserve">The gross profit </w:t>
      </w:r>
      <w:r w:rsidR="00C10F58" w:rsidRPr="009A7FE3">
        <w:t>margin of the chosen organization has</w:t>
      </w:r>
      <w:r w:rsidRPr="009A7FE3">
        <w:t xml:space="preserve"> registered a declining trend from 2012 </w:t>
      </w:r>
      <w:r w:rsidR="00C10F58" w:rsidRPr="009A7FE3">
        <w:t>onwards</w:t>
      </w:r>
      <w:r w:rsidR="00C10F58">
        <w:t>. In</w:t>
      </w:r>
      <w:r>
        <w:t xml:space="preserve"> 2012 the ratio was around 70% and after </w:t>
      </w:r>
      <w:r w:rsidR="00045CE8">
        <w:t xml:space="preserve">that it declined </w:t>
      </w:r>
      <w:r w:rsidR="00B21C16">
        <w:t>to 63</w:t>
      </w:r>
      <w:r w:rsidR="00C10F58">
        <w:t xml:space="preserve">% </w:t>
      </w:r>
      <w:r w:rsidR="00461EBC">
        <w:t xml:space="preserve">in 2015 </w:t>
      </w:r>
      <w:r w:rsidR="00C10F58">
        <w:t xml:space="preserve">and then the organization has managed to </w:t>
      </w:r>
      <w:r w:rsidR="00862DCC">
        <w:t>recover</w:t>
      </w:r>
      <w:r w:rsidR="002903DE">
        <w:tab/>
      </w:r>
      <w:r w:rsidR="00C10F58">
        <w:t xml:space="preserve"> the ratio </w:t>
      </w:r>
      <w:r w:rsidR="00862DCC">
        <w:t>slightly in 2016 when the ratio has increased to 67%</w:t>
      </w:r>
      <w:r w:rsidR="007711CD" w:rsidRPr="007711CD">
        <w:t xml:space="preserve"> (Momentum</w:t>
      </w:r>
      <w:r w:rsidR="007711CD" w:rsidRPr="002B32CC">
        <w:rPr>
          <w:i/>
        </w:rPr>
        <w:t xml:space="preserve"> et al</w:t>
      </w:r>
      <w:r w:rsidR="007711CD" w:rsidRPr="007711CD">
        <w:t>., 2017)</w:t>
      </w:r>
      <w:r w:rsidR="00B21C16">
        <w:t>.</w:t>
      </w:r>
      <w:r w:rsidR="00F33DE2">
        <w:t xml:space="preserve"> </w:t>
      </w:r>
      <w:r w:rsidR="00B21C16">
        <w:t>Looking a</w:t>
      </w:r>
      <w:r w:rsidR="00F33DE2">
        <w:t xml:space="preserve">t the ratio it can be seen that in 2012 &amp; 2013 the </w:t>
      </w:r>
      <w:r w:rsidR="00BF4994">
        <w:t>revenue earning of the organization has increased slightly and in 201</w:t>
      </w:r>
      <w:r w:rsidR="00782F45">
        <w:t>4</w:t>
      </w:r>
      <w:r w:rsidR="00BF4994">
        <w:t>,</w:t>
      </w:r>
      <w:r w:rsidR="00782F45">
        <w:t xml:space="preserve"> </w:t>
      </w:r>
      <w:r w:rsidR="00BF4994">
        <w:t>201</w:t>
      </w:r>
      <w:r w:rsidR="00782F45">
        <w:t>5</w:t>
      </w:r>
      <w:r w:rsidR="00BF4994">
        <w:t xml:space="preserve"> the revenue earning of the organization </w:t>
      </w:r>
      <w:r w:rsidR="00782F45">
        <w:t xml:space="preserve">has declined further but the gross profit </w:t>
      </w:r>
      <w:r w:rsidR="00BE72EE">
        <w:t xml:space="preserve">earning of the organization have registered a continuous decline from 2012 onwards and has slightly recovered in 2016 due to </w:t>
      </w:r>
      <w:r w:rsidR="008F653F">
        <w:t>the increase</w:t>
      </w:r>
      <w:r w:rsidR="00461EBC">
        <w:t xml:space="preserve"> in the </w:t>
      </w:r>
      <w:r w:rsidR="008C1DD8">
        <w:t xml:space="preserve">sales </w:t>
      </w:r>
      <w:proofErr w:type="gramStart"/>
      <w:r w:rsidR="008C1DD8">
        <w:t>turnover</w:t>
      </w:r>
      <w:r w:rsidR="003061B5">
        <w:t>(</w:t>
      </w:r>
      <w:proofErr w:type="spellStart"/>
      <w:proofErr w:type="gramEnd"/>
      <w:r w:rsidR="003061B5">
        <w:rPr>
          <w:rFonts w:cs="Times New Roman"/>
          <w:szCs w:val="24"/>
        </w:rPr>
        <w:t>Laudon</w:t>
      </w:r>
      <w:proofErr w:type="spellEnd"/>
      <w:r w:rsidR="003061B5">
        <w:rPr>
          <w:rFonts w:cs="Times New Roman"/>
          <w:szCs w:val="24"/>
        </w:rPr>
        <w:t xml:space="preserve">, and </w:t>
      </w:r>
      <w:proofErr w:type="spellStart"/>
      <w:r w:rsidR="003061B5">
        <w:rPr>
          <w:rFonts w:cs="Times New Roman"/>
          <w:szCs w:val="24"/>
        </w:rPr>
        <w:t>Traver</w:t>
      </w:r>
      <w:proofErr w:type="spellEnd"/>
      <w:r w:rsidR="003061B5">
        <w:rPr>
          <w:rFonts w:cs="Times New Roman"/>
          <w:szCs w:val="24"/>
        </w:rPr>
        <w:t>,</w:t>
      </w:r>
      <w:r w:rsidR="003061B5" w:rsidRPr="00D43090">
        <w:rPr>
          <w:rFonts w:cs="Times New Roman"/>
          <w:szCs w:val="24"/>
        </w:rPr>
        <w:t xml:space="preserve"> 2013. </w:t>
      </w:r>
      <w:r w:rsidR="003061B5">
        <w:t>)</w:t>
      </w:r>
      <w:r w:rsidR="008F653F">
        <w:t xml:space="preserve">. </w:t>
      </w:r>
      <w:r w:rsidR="00BA47C1">
        <w:t xml:space="preserve">Thus it can be seen that inefficiency in controlling the cost of sales is the main underlying reason responsible for decline in the gross profit over year as due to this inefficiency the business has managed to save </w:t>
      </w:r>
      <w:r w:rsidR="00FE5625">
        <w:t xml:space="preserve">smaller proportion of the sales turnover as gross profit and that is why the gross profit margin is declining over </w:t>
      </w:r>
      <w:r w:rsidR="007B1143">
        <w:t>years starting from 2012.However the ratio recovered slightly due to the increase in sales revenue earnings slightly.</w:t>
      </w:r>
    </w:p>
    <w:p w:rsidR="00B1623E" w:rsidRDefault="00B1623E" w:rsidP="00B1623E">
      <w:pPr>
        <w:rPr>
          <w:b/>
        </w:rPr>
      </w:pPr>
      <w:r>
        <w:rPr>
          <w:b/>
        </w:rPr>
        <w:t>Net</w:t>
      </w:r>
      <w:r w:rsidRPr="0078614D">
        <w:rPr>
          <w:b/>
        </w:rPr>
        <w:t xml:space="preserve"> profit margin:</w:t>
      </w:r>
    </w:p>
    <w:p w:rsidR="00B1623E" w:rsidRDefault="00B1623E" w:rsidP="00B1623E">
      <w:r w:rsidRPr="00031A74">
        <w:t xml:space="preserve">The net profit margin is </w:t>
      </w:r>
      <w:r w:rsidR="00031A74" w:rsidRPr="00031A74">
        <w:t xml:space="preserve">calculated </w:t>
      </w:r>
      <w:r w:rsidR="00031A74">
        <w:t xml:space="preserve">after deducting the all the operational expenses and </w:t>
      </w:r>
      <w:r w:rsidR="00CD38EE">
        <w:t>overhead</w:t>
      </w:r>
      <w:r w:rsidR="00031A74">
        <w:t xml:space="preserve"> expenses as well a</w:t>
      </w:r>
      <w:r w:rsidR="00CD38EE">
        <w:t>s tax related expenditure from the gross profit. So</w:t>
      </w:r>
      <w:r w:rsidR="00083EBB">
        <w:t xml:space="preserve"> this ratio defines that how </w:t>
      </w:r>
      <w:r w:rsidR="00CD38EE">
        <w:t xml:space="preserve">much proportion of each sales revenue earned </w:t>
      </w:r>
      <w:r w:rsidR="00083EBB">
        <w:t xml:space="preserve">is saved as net </w:t>
      </w:r>
      <w:r w:rsidR="00617040">
        <w:t>profit. That</w:t>
      </w:r>
      <w:r w:rsidR="00083EBB">
        <w:t xml:space="preserve"> is higher will be the margin</w:t>
      </w:r>
      <w:r w:rsidR="00617040">
        <w:t>,</w:t>
      </w:r>
      <w:r w:rsidR="00083EBB">
        <w:t xml:space="preserve"> grater will be the efficiency of the company in </w:t>
      </w:r>
      <w:r w:rsidR="00617040">
        <w:t>controlling the operational as well as overhead and other  expenses</w:t>
      </w:r>
      <w:r w:rsidR="00B96CCF">
        <w:t xml:space="preserve"> like tax interest and deprecation that are commonly incurred by a business</w:t>
      </w:r>
      <w:r w:rsidR="003061B5">
        <w:t>(</w:t>
      </w:r>
      <w:proofErr w:type="spellStart"/>
      <w:r w:rsidR="003061B5">
        <w:rPr>
          <w:rFonts w:cs="Times New Roman"/>
          <w:szCs w:val="24"/>
        </w:rPr>
        <w:t>Bikker</w:t>
      </w:r>
      <w:proofErr w:type="spellEnd"/>
      <w:r w:rsidR="003061B5">
        <w:rPr>
          <w:rFonts w:cs="Times New Roman"/>
          <w:szCs w:val="24"/>
        </w:rPr>
        <w:t xml:space="preserve">  and Hu,</w:t>
      </w:r>
      <w:r w:rsidR="003061B5" w:rsidRPr="00E820EE">
        <w:rPr>
          <w:rFonts w:cs="Times New Roman"/>
          <w:szCs w:val="24"/>
        </w:rPr>
        <w:t>2012</w:t>
      </w:r>
      <w:r w:rsidR="003061B5">
        <w:t>)</w:t>
      </w:r>
      <w:r w:rsidR="00617040">
        <w:t>.</w:t>
      </w:r>
    </w:p>
    <w:p w:rsidR="00A865ED" w:rsidRDefault="00A865ED" w:rsidP="00B1623E"/>
    <w:tbl>
      <w:tblPr>
        <w:tblStyle w:val="LightGrid1"/>
        <w:tblW w:w="8580" w:type="dxa"/>
        <w:shd w:val="clear" w:color="auto" w:fill="DBE5F1" w:themeFill="accent1" w:themeFillTint="33"/>
        <w:tblLook w:val="04A0"/>
      </w:tblPr>
      <w:tblGrid>
        <w:gridCol w:w="3169"/>
        <w:gridCol w:w="1090"/>
        <w:gridCol w:w="1090"/>
        <w:gridCol w:w="1090"/>
        <w:gridCol w:w="1090"/>
        <w:gridCol w:w="1090"/>
      </w:tblGrid>
      <w:tr w:rsidR="006222C3" w:rsidRPr="006222C3" w:rsidTr="00EB7190">
        <w:trPr>
          <w:cnfStyle w:val="100000000000"/>
          <w:trHeight w:val="315"/>
        </w:trPr>
        <w:tc>
          <w:tcPr>
            <w:cnfStyle w:val="001000000000"/>
            <w:tcW w:w="8580" w:type="dxa"/>
            <w:gridSpan w:val="6"/>
            <w:shd w:val="clear" w:color="auto" w:fill="DBE5F1" w:themeFill="accent1" w:themeFillTint="33"/>
            <w:noWrap/>
            <w:hideMark/>
          </w:tcPr>
          <w:p w:rsidR="006222C3" w:rsidRPr="006222C3" w:rsidRDefault="006222C3" w:rsidP="006222C3">
            <w:pPr>
              <w:spacing w:line="240" w:lineRule="auto"/>
              <w:jc w:val="center"/>
              <w:rPr>
                <w:rFonts w:eastAsia="Times New Roman" w:cs="Times New Roman"/>
                <w:color w:val="000000"/>
                <w:sz w:val="24"/>
                <w:lang w:val="en-US"/>
              </w:rPr>
            </w:pPr>
            <w:r w:rsidRPr="006222C3">
              <w:rPr>
                <w:rFonts w:eastAsia="Times New Roman" w:cs="Times New Roman"/>
                <w:color w:val="000000"/>
                <w:sz w:val="24"/>
                <w:lang w:val="en-US"/>
              </w:rPr>
              <w:t>Glaxo SmithKline(GSK) Ratio Analysis</w:t>
            </w:r>
          </w:p>
        </w:tc>
      </w:tr>
      <w:tr w:rsidR="006222C3" w:rsidRPr="006222C3" w:rsidTr="00EB7190">
        <w:trPr>
          <w:cnfStyle w:val="000000100000"/>
          <w:trHeight w:val="300"/>
        </w:trPr>
        <w:tc>
          <w:tcPr>
            <w:cnfStyle w:val="001000000000"/>
            <w:tcW w:w="3169" w:type="dxa"/>
            <w:shd w:val="clear" w:color="auto" w:fill="DBE5F1" w:themeFill="accent1" w:themeFillTint="33"/>
            <w:noWrap/>
            <w:hideMark/>
          </w:tcPr>
          <w:p w:rsidR="006222C3" w:rsidRPr="006222C3" w:rsidRDefault="006222C3" w:rsidP="006222C3">
            <w:pPr>
              <w:spacing w:line="240" w:lineRule="auto"/>
              <w:jc w:val="left"/>
              <w:rPr>
                <w:rFonts w:eastAsia="Times New Roman" w:cs="Times New Roman"/>
                <w:color w:val="000000"/>
                <w:sz w:val="24"/>
                <w:lang w:val="en-US"/>
              </w:rPr>
            </w:pPr>
            <w:r w:rsidRPr="006222C3">
              <w:rPr>
                <w:rFonts w:eastAsia="Times New Roman" w:cs="Times New Roman"/>
                <w:color w:val="000000"/>
                <w:sz w:val="24"/>
                <w:lang w:val="en-US"/>
              </w:rPr>
              <w:t>financial statement  items</w:t>
            </w:r>
          </w:p>
        </w:tc>
        <w:tc>
          <w:tcPr>
            <w:tcW w:w="1083" w:type="dxa"/>
            <w:shd w:val="clear" w:color="auto" w:fill="DBE5F1" w:themeFill="accent1" w:themeFillTint="33"/>
            <w:noWrap/>
            <w:hideMark/>
          </w:tcPr>
          <w:p w:rsidR="006222C3" w:rsidRPr="006222C3" w:rsidRDefault="006222C3" w:rsidP="006222C3">
            <w:pPr>
              <w:spacing w:line="240" w:lineRule="auto"/>
              <w:jc w:val="left"/>
              <w:cnfStyle w:val="000000100000"/>
              <w:rPr>
                <w:rFonts w:eastAsia="Times New Roman" w:cs="Times New Roman"/>
                <w:color w:val="000000"/>
                <w:sz w:val="24"/>
                <w:lang w:val="en-US"/>
              </w:rPr>
            </w:pPr>
            <w:r w:rsidRPr="006222C3">
              <w:rPr>
                <w:rFonts w:eastAsia="Times New Roman" w:cs="Times New Roman"/>
                <w:color w:val="000000"/>
                <w:sz w:val="24"/>
                <w:lang w:val="en-US"/>
              </w:rPr>
              <w:t>£,million</w:t>
            </w:r>
          </w:p>
        </w:tc>
        <w:tc>
          <w:tcPr>
            <w:tcW w:w="1082" w:type="dxa"/>
            <w:shd w:val="clear" w:color="auto" w:fill="DBE5F1" w:themeFill="accent1" w:themeFillTint="33"/>
            <w:noWrap/>
            <w:hideMark/>
          </w:tcPr>
          <w:p w:rsidR="006222C3" w:rsidRPr="006222C3" w:rsidRDefault="006222C3" w:rsidP="006222C3">
            <w:pPr>
              <w:spacing w:line="240" w:lineRule="auto"/>
              <w:jc w:val="left"/>
              <w:cnfStyle w:val="000000100000"/>
              <w:rPr>
                <w:rFonts w:eastAsia="Times New Roman" w:cs="Times New Roman"/>
                <w:color w:val="000000"/>
                <w:sz w:val="24"/>
                <w:lang w:val="en-US"/>
              </w:rPr>
            </w:pPr>
            <w:r w:rsidRPr="006222C3">
              <w:rPr>
                <w:rFonts w:eastAsia="Times New Roman" w:cs="Times New Roman"/>
                <w:color w:val="000000"/>
                <w:sz w:val="24"/>
                <w:lang w:val="en-US"/>
              </w:rPr>
              <w:t>£,million</w:t>
            </w:r>
          </w:p>
        </w:tc>
        <w:tc>
          <w:tcPr>
            <w:tcW w:w="1082" w:type="dxa"/>
            <w:shd w:val="clear" w:color="auto" w:fill="DBE5F1" w:themeFill="accent1" w:themeFillTint="33"/>
            <w:noWrap/>
            <w:hideMark/>
          </w:tcPr>
          <w:p w:rsidR="006222C3" w:rsidRPr="006222C3" w:rsidRDefault="006222C3" w:rsidP="006222C3">
            <w:pPr>
              <w:spacing w:line="240" w:lineRule="auto"/>
              <w:jc w:val="left"/>
              <w:cnfStyle w:val="000000100000"/>
              <w:rPr>
                <w:rFonts w:eastAsia="Times New Roman" w:cs="Times New Roman"/>
                <w:color w:val="000000"/>
                <w:sz w:val="24"/>
                <w:lang w:val="en-US"/>
              </w:rPr>
            </w:pPr>
            <w:r w:rsidRPr="006222C3">
              <w:rPr>
                <w:rFonts w:eastAsia="Times New Roman" w:cs="Times New Roman"/>
                <w:color w:val="000000"/>
                <w:sz w:val="24"/>
                <w:lang w:val="en-US"/>
              </w:rPr>
              <w:t>£,million</w:t>
            </w:r>
          </w:p>
        </w:tc>
        <w:tc>
          <w:tcPr>
            <w:tcW w:w="1082" w:type="dxa"/>
            <w:shd w:val="clear" w:color="auto" w:fill="DBE5F1" w:themeFill="accent1" w:themeFillTint="33"/>
            <w:noWrap/>
            <w:hideMark/>
          </w:tcPr>
          <w:p w:rsidR="006222C3" w:rsidRPr="006222C3" w:rsidRDefault="006222C3" w:rsidP="006222C3">
            <w:pPr>
              <w:spacing w:line="240" w:lineRule="auto"/>
              <w:jc w:val="left"/>
              <w:cnfStyle w:val="000000100000"/>
              <w:rPr>
                <w:rFonts w:eastAsia="Times New Roman" w:cs="Times New Roman"/>
                <w:color w:val="000000"/>
                <w:sz w:val="24"/>
                <w:lang w:val="en-US"/>
              </w:rPr>
            </w:pPr>
            <w:r w:rsidRPr="006222C3">
              <w:rPr>
                <w:rFonts w:eastAsia="Times New Roman" w:cs="Times New Roman"/>
                <w:color w:val="000000"/>
                <w:sz w:val="24"/>
                <w:lang w:val="en-US"/>
              </w:rPr>
              <w:t>£,million</w:t>
            </w:r>
          </w:p>
        </w:tc>
        <w:tc>
          <w:tcPr>
            <w:tcW w:w="1082" w:type="dxa"/>
            <w:shd w:val="clear" w:color="auto" w:fill="DBE5F1" w:themeFill="accent1" w:themeFillTint="33"/>
            <w:noWrap/>
            <w:hideMark/>
          </w:tcPr>
          <w:p w:rsidR="006222C3" w:rsidRPr="006222C3" w:rsidRDefault="006222C3" w:rsidP="006222C3">
            <w:pPr>
              <w:spacing w:line="240" w:lineRule="auto"/>
              <w:jc w:val="left"/>
              <w:cnfStyle w:val="000000100000"/>
              <w:rPr>
                <w:rFonts w:eastAsia="Times New Roman" w:cs="Times New Roman"/>
                <w:color w:val="000000"/>
                <w:sz w:val="24"/>
                <w:lang w:val="en-US"/>
              </w:rPr>
            </w:pPr>
            <w:r w:rsidRPr="006222C3">
              <w:rPr>
                <w:rFonts w:eastAsia="Times New Roman" w:cs="Times New Roman"/>
                <w:color w:val="000000"/>
                <w:sz w:val="24"/>
                <w:lang w:val="en-US"/>
              </w:rPr>
              <w:t>£,million</w:t>
            </w:r>
          </w:p>
        </w:tc>
      </w:tr>
      <w:tr w:rsidR="006222C3" w:rsidRPr="006222C3" w:rsidTr="00EB7190">
        <w:trPr>
          <w:cnfStyle w:val="000000010000"/>
          <w:trHeight w:val="300"/>
        </w:trPr>
        <w:tc>
          <w:tcPr>
            <w:cnfStyle w:val="001000000000"/>
            <w:tcW w:w="3169" w:type="dxa"/>
            <w:shd w:val="clear" w:color="auto" w:fill="DBE5F1" w:themeFill="accent1" w:themeFillTint="33"/>
            <w:noWrap/>
            <w:hideMark/>
          </w:tcPr>
          <w:p w:rsidR="006222C3" w:rsidRPr="006222C3" w:rsidRDefault="006222C3" w:rsidP="006222C3">
            <w:pPr>
              <w:spacing w:line="240" w:lineRule="auto"/>
              <w:jc w:val="left"/>
              <w:rPr>
                <w:rFonts w:eastAsia="Times New Roman" w:cs="Times New Roman"/>
                <w:color w:val="000000"/>
                <w:sz w:val="24"/>
                <w:lang w:val="en-US"/>
              </w:rPr>
            </w:pPr>
            <w:r w:rsidRPr="006222C3">
              <w:rPr>
                <w:rFonts w:eastAsia="Times New Roman" w:cs="Times New Roman"/>
                <w:color w:val="000000"/>
                <w:sz w:val="24"/>
                <w:lang w:val="en-US"/>
              </w:rPr>
              <w:t> </w:t>
            </w:r>
          </w:p>
        </w:tc>
        <w:tc>
          <w:tcPr>
            <w:tcW w:w="1083" w:type="dxa"/>
            <w:shd w:val="clear" w:color="auto" w:fill="DBE5F1" w:themeFill="accent1" w:themeFillTint="33"/>
            <w:noWrap/>
            <w:hideMark/>
          </w:tcPr>
          <w:p w:rsidR="006222C3" w:rsidRPr="006222C3" w:rsidRDefault="006222C3" w:rsidP="006222C3">
            <w:pPr>
              <w:spacing w:line="240" w:lineRule="auto"/>
              <w:jc w:val="right"/>
              <w:cnfStyle w:val="000000010000"/>
              <w:rPr>
                <w:rFonts w:eastAsia="Times New Roman" w:cs="Times New Roman"/>
                <w:color w:val="000000"/>
                <w:sz w:val="24"/>
                <w:lang w:val="en-US"/>
              </w:rPr>
            </w:pPr>
            <w:r w:rsidRPr="006222C3">
              <w:rPr>
                <w:rFonts w:eastAsia="Times New Roman" w:cs="Times New Roman"/>
                <w:color w:val="000000"/>
                <w:sz w:val="24"/>
                <w:lang w:val="en-US"/>
              </w:rPr>
              <w:t>2012</w:t>
            </w:r>
          </w:p>
        </w:tc>
        <w:tc>
          <w:tcPr>
            <w:tcW w:w="1082" w:type="dxa"/>
            <w:shd w:val="clear" w:color="auto" w:fill="DBE5F1" w:themeFill="accent1" w:themeFillTint="33"/>
            <w:noWrap/>
            <w:hideMark/>
          </w:tcPr>
          <w:p w:rsidR="006222C3" w:rsidRPr="006222C3" w:rsidRDefault="006222C3" w:rsidP="006222C3">
            <w:pPr>
              <w:spacing w:line="240" w:lineRule="auto"/>
              <w:jc w:val="right"/>
              <w:cnfStyle w:val="000000010000"/>
              <w:rPr>
                <w:rFonts w:eastAsia="Times New Roman" w:cs="Times New Roman"/>
                <w:color w:val="000000"/>
                <w:sz w:val="24"/>
                <w:lang w:val="en-US"/>
              </w:rPr>
            </w:pPr>
            <w:r w:rsidRPr="006222C3">
              <w:rPr>
                <w:rFonts w:eastAsia="Times New Roman" w:cs="Times New Roman"/>
                <w:color w:val="000000"/>
                <w:sz w:val="24"/>
                <w:lang w:val="en-US"/>
              </w:rPr>
              <w:t>2013</w:t>
            </w:r>
          </w:p>
        </w:tc>
        <w:tc>
          <w:tcPr>
            <w:tcW w:w="1082" w:type="dxa"/>
            <w:shd w:val="clear" w:color="auto" w:fill="DBE5F1" w:themeFill="accent1" w:themeFillTint="33"/>
            <w:noWrap/>
            <w:hideMark/>
          </w:tcPr>
          <w:p w:rsidR="006222C3" w:rsidRPr="006222C3" w:rsidRDefault="006222C3" w:rsidP="006222C3">
            <w:pPr>
              <w:spacing w:line="240" w:lineRule="auto"/>
              <w:jc w:val="right"/>
              <w:cnfStyle w:val="000000010000"/>
              <w:rPr>
                <w:rFonts w:eastAsia="Times New Roman" w:cs="Times New Roman"/>
                <w:color w:val="000000"/>
                <w:sz w:val="24"/>
                <w:lang w:val="en-US"/>
              </w:rPr>
            </w:pPr>
            <w:r w:rsidRPr="006222C3">
              <w:rPr>
                <w:rFonts w:eastAsia="Times New Roman" w:cs="Times New Roman"/>
                <w:color w:val="000000"/>
                <w:sz w:val="24"/>
                <w:lang w:val="en-US"/>
              </w:rPr>
              <w:t>2014</w:t>
            </w:r>
          </w:p>
        </w:tc>
        <w:tc>
          <w:tcPr>
            <w:tcW w:w="1082" w:type="dxa"/>
            <w:shd w:val="clear" w:color="auto" w:fill="DBE5F1" w:themeFill="accent1" w:themeFillTint="33"/>
            <w:noWrap/>
            <w:hideMark/>
          </w:tcPr>
          <w:p w:rsidR="006222C3" w:rsidRPr="006222C3" w:rsidRDefault="006222C3" w:rsidP="006222C3">
            <w:pPr>
              <w:spacing w:line="240" w:lineRule="auto"/>
              <w:jc w:val="right"/>
              <w:cnfStyle w:val="000000010000"/>
              <w:rPr>
                <w:rFonts w:eastAsia="Times New Roman" w:cs="Times New Roman"/>
                <w:color w:val="000000"/>
                <w:sz w:val="24"/>
                <w:lang w:val="en-US"/>
              </w:rPr>
            </w:pPr>
            <w:r w:rsidRPr="006222C3">
              <w:rPr>
                <w:rFonts w:eastAsia="Times New Roman" w:cs="Times New Roman"/>
                <w:color w:val="000000"/>
                <w:sz w:val="24"/>
                <w:lang w:val="en-US"/>
              </w:rPr>
              <w:t>2015</w:t>
            </w:r>
          </w:p>
        </w:tc>
        <w:tc>
          <w:tcPr>
            <w:tcW w:w="1082" w:type="dxa"/>
            <w:shd w:val="clear" w:color="auto" w:fill="DBE5F1" w:themeFill="accent1" w:themeFillTint="33"/>
            <w:noWrap/>
            <w:hideMark/>
          </w:tcPr>
          <w:p w:rsidR="006222C3" w:rsidRPr="006222C3" w:rsidRDefault="006222C3" w:rsidP="006222C3">
            <w:pPr>
              <w:spacing w:line="240" w:lineRule="auto"/>
              <w:jc w:val="right"/>
              <w:cnfStyle w:val="000000010000"/>
              <w:rPr>
                <w:rFonts w:eastAsia="Times New Roman" w:cs="Times New Roman"/>
                <w:color w:val="000000"/>
                <w:sz w:val="24"/>
                <w:lang w:val="en-US"/>
              </w:rPr>
            </w:pPr>
            <w:r w:rsidRPr="006222C3">
              <w:rPr>
                <w:rFonts w:eastAsia="Times New Roman" w:cs="Times New Roman"/>
                <w:color w:val="000000"/>
                <w:sz w:val="24"/>
                <w:lang w:val="en-US"/>
              </w:rPr>
              <w:t>2016</w:t>
            </w:r>
          </w:p>
        </w:tc>
      </w:tr>
      <w:tr w:rsidR="006222C3" w:rsidRPr="006222C3" w:rsidTr="00EB7190">
        <w:trPr>
          <w:cnfStyle w:val="000000100000"/>
          <w:trHeight w:val="300"/>
        </w:trPr>
        <w:tc>
          <w:tcPr>
            <w:cnfStyle w:val="001000000000"/>
            <w:tcW w:w="3169" w:type="dxa"/>
            <w:shd w:val="clear" w:color="auto" w:fill="DBE5F1" w:themeFill="accent1" w:themeFillTint="33"/>
            <w:noWrap/>
            <w:hideMark/>
          </w:tcPr>
          <w:p w:rsidR="006222C3" w:rsidRPr="006222C3" w:rsidRDefault="006222C3" w:rsidP="006222C3">
            <w:pPr>
              <w:spacing w:line="240" w:lineRule="auto"/>
              <w:jc w:val="left"/>
              <w:rPr>
                <w:rFonts w:eastAsia="Times New Roman" w:cs="Times New Roman"/>
                <w:color w:val="000000"/>
                <w:sz w:val="24"/>
                <w:lang w:val="en-US"/>
              </w:rPr>
            </w:pPr>
            <w:r w:rsidRPr="006222C3">
              <w:rPr>
                <w:rFonts w:eastAsia="Times New Roman" w:cs="Times New Roman"/>
                <w:color w:val="000000"/>
                <w:sz w:val="24"/>
                <w:lang w:val="en-US"/>
              </w:rPr>
              <w:t>Total revenue earned</w:t>
            </w:r>
          </w:p>
        </w:tc>
        <w:tc>
          <w:tcPr>
            <w:tcW w:w="1083" w:type="dxa"/>
            <w:shd w:val="clear" w:color="auto" w:fill="DBE5F1" w:themeFill="accent1" w:themeFillTint="33"/>
            <w:noWrap/>
            <w:hideMark/>
          </w:tcPr>
          <w:p w:rsidR="006222C3" w:rsidRPr="006222C3" w:rsidRDefault="006222C3" w:rsidP="006222C3">
            <w:pPr>
              <w:spacing w:line="240" w:lineRule="auto"/>
              <w:jc w:val="right"/>
              <w:cnfStyle w:val="000000100000"/>
              <w:rPr>
                <w:rFonts w:eastAsia="Times New Roman" w:cs="Times New Roman"/>
                <w:sz w:val="24"/>
                <w:lang w:val="en-US"/>
              </w:rPr>
            </w:pPr>
            <w:r w:rsidRPr="006222C3">
              <w:rPr>
                <w:rFonts w:eastAsia="Times New Roman" w:cs="Times New Roman"/>
                <w:sz w:val="24"/>
                <w:lang w:val="en-US"/>
              </w:rPr>
              <w:t>26,431</w:t>
            </w:r>
          </w:p>
        </w:tc>
        <w:tc>
          <w:tcPr>
            <w:tcW w:w="1082" w:type="dxa"/>
            <w:shd w:val="clear" w:color="auto" w:fill="DBE5F1" w:themeFill="accent1" w:themeFillTint="33"/>
            <w:noWrap/>
            <w:hideMark/>
          </w:tcPr>
          <w:p w:rsidR="006222C3" w:rsidRPr="006222C3" w:rsidRDefault="006222C3" w:rsidP="006222C3">
            <w:pPr>
              <w:spacing w:line="240" w:lineRule="auto"/>
              <w:jc w:val="right"/>
              <w:cnfStyle w:val="000000100000"/>
              <w:rPr>
                <w:rFonts w:eastAsia="Times New Roman" w:cs="Times New Roman"/>
                <w:sz w:val="24"/>
                <w:lang w:val="en-US"/>
              </w:rPr>
            </w:pPr>
            <w:r w:rsidRPr="006222C3">
              <w:rPr>
                <w:rFonts w:eastAsia="Times New Roman" w:cs="Times New Roman"/>
                <w:sz w:val="24"/>
                <w:lang w:val="en-US"/>
              </w:rPr>
              <w:t>26,505</w:t>
            </w:r>
          </w:p>
        </w:tc>
        <w:tc>
          <w:tcPr>
            <w:tcW w:w="1082" w:type="dxa"/>
            <w:shd w:val="clear" w:color="auto" w:fill="DBE5F1" w:themeFill="accent1" w:themeFillTint="33"/>
            <w:noWrap/>
            <w:hideMark/>
          </w:tcPr>
          <w:p w:rsidR="006222C3" w:rsidRPr="006222C3" w:rsidRDefault="006222C3" w:rsidP="006222C3">
            <w:pPr>
              <w:spacing w:line="240" w:lineRule="auto"/>
              <w:jc w:val="right"/>
              <w:cnfStyle w:val="000000100000"/>
              <w:rPr>
                <w:rFonts w:eastAsia="Times New Roman" w:cs="Times New Roman"/>
                <w:sz w:val="24"/>
                <w:lang w:val="en-US"/>
              </w:rPr>
            </w:pPr>
            <w:r w:rsidRPr="006222C3">
              <w:rPr>
                <w:rFonts w:eastAsia="Times New Roman" w:cs="Times New Roman"/>
                <w:sz w:val="24"/>
                <w:lang w:val="en-US"/>
              </w:rPr>
              <w:t>23,006</w:t>
            </w:r>
          </w:p>
        </w:tc>
        <w:tc>
          <w:tcPr>
            <w:tcW w:w="1082" w:type="dxa"/>
            <w:shd w:val="clear" w:color="auto" w:fill="DBE5F1" w:themeFill="accent1" w:themeFillTint="33"/>
            <w:noWrap/>
            <w:hideMark/>
          </w:tcPr>
          <w:p w:rsidR="006222C3" w:rsidRPr="006222C3" w:rsidRDefault="006222C3" w:rsidP="006222C3">
            <w:pPr>
              <w:spacing w:line="240" w:lineRule="auto"/>
              <w:jc w:val="right"/>
              <w:cnfStyle w:val="000000100000"/>
              <w:rPr>
                <w:rFonts w:eastAsia="Times New Roman" w:cs="Times New Roman"/>
                <w:sz w:val="24"/>
                <w:lang w:val="en-US"/>
              </w:rPr>
            </w:pPr>
            <w:r w:rsidRPr="006222C3">
              <w:rPr>
                <w:rFonts w:eastAsia="Times New Roman" w:cs="Times New Roman"/>
                <w:sz w:val="24"/>
                <w:lang w:val="en-US"/>
              </w:rPr>
              <w:t>23923</w:t>
            </w:r>
          </w:p>
        </w:tc>
        <w:tc>
          <w:tcPr>
            <w:tcW w:w="1082" w:type="dxa"/>
            <w:shd w:val="clear" w:color="auto" w:fill="DBE5F1" w:themeFill="accent1" w:themeFillTint="33"/>
            <w:noWrap/>
            <w:hideMark/>
          </w:tcPr>
          <w:p w:rsidR="006222C3" w:rsidRPr="006222C3" w:rsidRDefault="006222C3" w:rsidP="006222C3">
            <w:pPr>
              <w:spacing w:line="240" w:lineRule="auto"/>
              <w:jc w:val="right"/>
              <w:cnfStyle w:val="000000100000"/>
              <w:rPr>
                <w:rFonts w:eastAsia="Times New Roman" w:cs="Times New Roman"/>
                <w:sz w:val="24"/>
                <w:lang w:val="en-US"/>
              </w:rPr>
            </w:pPr>
            <w:r w:rsidRPr="006222C3">
              <w:rPr>
                <w:rFonts w:eastAsia="Times New Roman" w:cs="Times New Roman"/>
                <w:sz w:val="24"/>
                <w:lang w:val="en-US"/>
              </w:rPr>
              <w:t>27889</w:t>
            </w:r>
          </w:p>
        </w:tc>
      </w:tr>
      <w:tr w:rsidR="006222C3" w:rsidRPr="006222C3" w:rsidTr="00EB7190">
        <w:trPr>
          <w:cnfStyle w:val="000000010000"/>
          <w:trHeight w:val="300"/>
        </w:trPr>
        <w:tc>
          <w:tcPr>
            <w:cnfStyle w:val="001000000000"/>
            <w:tcW w:w="3169" w:type="dxa"/>
            <w:shd w:val="clear" w:color="auto" w:fill="DBE5F1" w:themeFill="accent1" w:themeFillTint="33"/>
            <w:noWrap/>
            <w:hideMark/>
          </w:tcPr>
          <w:p w:rsidR="006222C3" w:rsidRPr="006222C3" w:rsidRDefault="006222C3" w:rsidP="006222C3">
            <w:pPr>
              <w:spacing w:line="240" w:lineRule="auto"/>
              <w:jc w:val="left"/>
              <w:rPr>
                <w:rFonts w:eastAsia="Times New Roman" w:cs="Times New Roman"/>
                <w:color w:val="000000"/>
                <w:sz w:val="24"/>
                <w:lang w:val="en-US"/>
              </w:rPr>
            </w:pPr>
            <w:r w:rsidRPr="006222C3">
              <w:rPr>
                <w:rFonts w:eastAsia="Times New Roman" w:cs="Times New Roman"/>
                <w:color w:val="000000"/>
                <w:sz w:val="24"/>
                <w:lang w:val="en-US"/>
              </w:rPr>
              <w:t xml:space="preserve">Net </w:t>
            </w:r>
            <w:r w:rsidR="00EB7190" w:rsidRPr="00EB7190">
              <w:rPr>
                <w:rFonts w:eastAsia="Times New Roman" w:cs="Times New Roman"/>
                <w:color w:val="000000"/>
                <w:sz w:val="24"/>
                <w:lang w:val="en-US"/>
              </w:rPr>
              <w:t>profit, PAT</w:t>
            </w:r>
          </w:p>
        </w:tc>
        <w:tc>
          <w:tcPr>
            <w:tcW w:w="1083" w:type="dxa"/>
            <w:shd w:val="clear" w:color="auto" w:fill="DBE5F1" w:themeFill="accent1" w:themeFillTint="33"/>
            <w:noWrap/>
            <w:hideMark/>
          </w:tcPr>
          <w:p w:rsidR="006222C3" w:rsidRPr="006222C3" w:rsidRDefault="006222C3" w:rsidP="006222C3">
            <w:pPr>
              <w:spacing w:line="240" w:lineRule="auto"/>
              <w:jc w:val="right"/>
              <w:cnfStyle w:val="000000010000"/>
              <w:rPr>
                <w:rFonts w:eastAsia="Times New Roman" w:cs="Times New Roman"/>
                <w:sz w:val="24"/>
                <w:lang w:val="en-US"/>
              </w:rPr>
            </w:pPr>
            <w:r w:rsidRPr="006222C3">
              <w:rPr>
                <w:rFonts w:eastAsia="Times New Roman" w:cs="Times New Roman"/>
                <w:sz w:val="24"/>
                <w:lang w:val="en-US"/>
              </w:rPr>
              <w:t>4678</w:t>
            </w:r>
          </w:p>
        </w:tc>
        <w:tc>
          <w:tcPr>
            <w:tcW w:w="1082" w:type="dxa"/>
            <w:shd w:val="clear" w:color="auto" w:fill="DBE5F1" w:themeFill="accent1" w:themeFillTint="33"/>
            <w:noWrap/>
            <w:hideMark/>
          </w:tcPr>
          <w:p w:rsidR="006222C3" w:rsidRPr="006222C3" w:rsidRDefault="006222C3" w:rsidP="006222C3">
            <w:pPr>
              <w:spacing w:line="240" w:lineRule="auto"/>
              <w:jc w:val="right"/>
              <w:cnfStyle w:val="000000010000"/>
              <w:rPr>
                <w:rFonts w:eastAsia="Times New Roman" w:cs="Times New Roman"/>
                <w:sz w:val="24"/>
                <w:lang w:val="en-US"/>
              </w:rPr>
            </w:pPr>
            <w:r w:rsidRPr="006222C3">
              <w:rPr>
                <w:rFonts w:eastAsia="Times New Roman" w:cs="Times New Roman"/>
                <w:sz w:val="24"/>
                <w:lang w:val="en-US"/>
              </w:rPr>
              <w:t>5638</w:t>
            </w:r>
          </w:p>
        </w:tc>
        <w:tc>
          <w:tcPr>
            <w:tcW w:w="1082" w:type="dxa"/>
            <w:shd w:val="clear" w:color="auto" w:fill="DBE5F1" w:themeFill="accent1" w:themeFillTint="33"/>
            <w:noWrap/>
            <w:hideMark/>
          </w:tcPr>
          <w:p w:rsidR="006222C3" w:rsidRPr="006222C3" w:rsidRDefault="006222C3" w:rsidP="006222C3">
            <w:pPr>
              <w:spacing w:line="240" w:lineRule="auto"/>
              <w:jc w:val="right"/>
              <w:cnfStyle w:val="000000010000"/>
              <w:rPr>
                <w:rFonts w:eastAsia="Times New Roman" w:cs="Times New Roman"/>
                <w:sz w:val="24"/>
                <w:lang w:val="en-US"/>
              </w:rPr>
            </w:pPr>
            <w:r w:rsidRPr="006222C3">
              <w:rPr>
                <w:rFonts w:eastAsia="Times New Roman" w:cs="Times New Roman"/>
                <w:sz w:val="24"/>
                <w:lang w:val="en-US"/>
              </w:rPr>
              <w:t>2,831</w:t>
            </w:r>
          </w:p>
        </w:tc>
        <w:tc>
          <w:tcPr>
            <w:tcW w:w="1082" w:type="dxa"/>
            <w:shd w:val="clear" w:color="auto" w:fill="DBE5F1" w:themeFill="accent1" w:themeFillTint="33"/>
            <w:noWrap/>
            <w:hideMark/>
          </w:tcPr>
          <w:p w:rsidR="006222C3" w:rsidRPr="006222C3" w:rsidRDefault="006222C3" w:rsidP="006222C3">
            <w:pPr>
              <w:spacing w:line="240" w:lineRule="auto"/>
              <w:jc w:val="right"/>
              <w:cnfStyle w:val="000000010000"/>
              <w:rPr>
                <w:rFonts w:eastAsia="Times New Roman" w:cs="Times New Roman"/>
                <w:sz w:val="24"/>
                <w:lang w:val="en-US"/>
              </w:rPr>
            </w:pPr>
            <w:r w:rsidRPr="006222C3">
              <w:rPr>
                <w:rFonts w:eastAsia="Times New Roman" w:cs="Times New Roman"/>
                <w:sz w:val="24"/>
                <w:lang w:val="en-US"/>
              </w:rPr>
              <w:t>8,372</w:t>
            </w:r>
          </w:p>
        </w:tc>
        <w:tc>
          <w:tcPr>
            <w:tcW w:w="1082" w:type="dxa"/>
            <w:shd w:val="clear" w:color="auto" w:fill="DBE5F1" w:themeFill="accent1" w:themeFillTint="33"/>
            <w:noWrap/>
            <w:hideMark/>
          </w:tcPr>
          <w:p w:rsidR="006222C3" w:rsidRPr="006222C3" w:rsidRDefault="006222C3" w:rsidP="006222C3">
            <w:pPr>
              <w:spacing w:line="240" w:lineRule="auto"/>
              <w:jc w:val="right"/>
              <w:cnfStyle w:val="000000010000"/>
              <w:rPr>
                <w:rFonts w:eastAsia="Times New Roman" w:cs="Times New Roman"/>
                <w:sz w:val="24"/>
                <w:lang w:val="en-US"/>
              </w:rPr>
            </w:pPr>
            <w:r w:rsidRPr="006222C3">
              <w:rPr>
                <w:rFonts w:eastAsia="Times New Roman" w:cs="Times New Roman"/>
                <w:sz w:val="24"/>
                <w:lang w:val="en-US"/>
              </w:rPr>
              <w:t>1,062</w:t>
            </w:r>
          </w:p>
        </w:tc>
      </w:tr>
      <w:tr w:rsidR="00EB7190" w:rsidRPr="00EB7190" w:rsidTr="00EB7190">
        <w:trPr>
          <w:cnfStyle w:val="000000100000"/>
          <w:trHeight w:val="300"/>
        </w:trPr>
        <w:tc>
          <w:tcPr>
            <w:cnfStyle w:val="001000000000"/>
            <w:tcW w:w="3169" w:type="dxa"/>
            <w:shd w:val="clear" w:color="auto" w:fill="DBE5F1" w:themeFill="accent1" w:themeFillTint="33"/>
            <w:noWrap/>
            <w:hideMark/>
          </w:tcPr>
          <w:p w:rsidR="00EB7190" w:rsidRPr="00EB7190" w:rsidRDefault="00EB7190" w:rsidP="00EB7190">
            <w:pPr>
              <w:spacing w:line="240" w:lineRule="auto"/>
              <w:jc w:val="left"/>
              <w:rPr>
                <w:rFonts w:eastAsia="Times New Roman" w:cs="Times New Roman"/>
                <w:color w:val="000000"/>
                <w:sz w:val="24"/>
                <w:lang w:val="en-US"/>
              </w:rPr>
            </w:pPr>
            <w:r w:rsidRPr="00EB7190">
              <w:rPr>
                <w:rFonts w:eastAsia="Times New Roman" w:cs="Times New Roman"/>
                <w:b w:val="0"/>
                <w:bCs w:val="0"/>
                <w:color w:val="000000"/>
                <w:sz w:val="24"/>
                <w:lang w:val="en-US"/>
              </w:rPr>
              <w:t>Net Profit margin</w:t>
            </w:r>
            <w:r w:rsidRPr="00EB7190">
              <w:rPr>
                <w:rFonts w:eastAsia="Times New Roman" w:cs="Times New Roman"/>
                <w:color w:val="000000"/>
                <w:sz w:val="24"/>
                <w:lang w:val="en-US"/>
              </w:rPr>
              <w:t xml:space="preserve"> (Net profit or PAT/Net sales): </w:t>
            </w:r>
          </w:p>
        </w:tc>
        <w:tc>
          <w:tcPr>
            <w:tcW w:w="1083" w:type="dxa"/>
            <w:shd w:val="clear" w:color="auto" w:fill="DBE5F1" w:themeFill="accent1" w:themeFillTint="33"/>
            <w:noWrap/>
            <w:hideMark/>
          </w:tcPr>
          <w:p w:rsidR="00EB7190" w:rsidRPr="00EB7190" w:rsidRDefault="00EB7190" w:rsidP="00EB7190">
            <w:pPr>
              <w:spacing w:line="240" w:lineRule="auto"/>
              <w:jc w:val="right"/>
              <w:cnfStyle w:val="000000100000"/>
              <w:rPr>
                <w:rFonts w:eastAsia="Times New Roman" w:cs="Times New Roman"/>
                <w:sz w:val="24"/>
                <w:lang w:val="en-US"/>
              </w:rPr>
            </w:pPr>
            <w:r w:rsidRPr="00EB7190">
              <w:rPr>
                <w:rFonts w:eastAsia="Times New Roman" w:cs="Times New Roman"/>
                <w:sz w:val="24"/>
                <w:lang w:val="en-US"/>
              </w:rPr>
              <w:t>17.70%</w:t>
            </w:r>
          </w:p>
        </w:tc>
        <w:tc>
          <w:tcPr>
            <w:tcW w:w="1082" w:type="dxa"/>
            <w:shd w:val="clear" w:color="auto" w:fill="DBE5F1" w:themeFill="accent1" w:themeFillTint="33"/>
            <w:noWrap/>
            <w:hideMark/>
          </w:tcPr>
          <w:p w:rsidR="00EB7190" w:rsidRPr="00EB7190" w:rsidRDefault="00EB7190" w:rsidP="00EB7190">
            <w:pPr>
              <w:spacing w:line="240" w:lineRule="auto"/>
              <w:jc w:val="right"/>
              <w:cnfStyle w:val="000000100000"/>
              <w:rPr>
                <w:rFonts w:eastAsia="Times New Roman" w:cs="Times New Roman"/>
                <w:sz w:val="24"/>
                <w:lang w:val="en-US"/>
              </w:rPr>
            </w:pPr>
            <w:r w:rsidRPr="00EB7190">
              <w:rPr>
                <w:rFonts w:eastAsia="Times New Roman" w:cs="Times New Roman"/>
                <w:sz w:val="24"/>
                <w:lang w:val="en-US"/>
              </w:rPr>
              <w:t>21.27%</w:t>
            </w:r>
          </w:p>
        </w:tc>
        <w:tc>
          <w:tcPr>
            <w:tcW w:w="1082" w:type="dxa"/>
            <w:shd w:val="clear" w:color="auto" w:fill="DBE5F1" w:themeFill="accent1" w:themeFillTint="33"/>
            <w:noWrap/>
            <w:hideMark/>
          </w:tcPr>
          <w:p w:rsidR="00EB7190" w:rsidRPr="00EB7190" w:rsidRDefault="00EB7190" w:rsidP="00EB7190">
            <w:pPr>
              <w:spacing w:line="240" w:lineRule="auto"/>
              <w:jc w:val="right"/>
              <w:cnfStyle w:val="000000100000"/>
              <w:rPr>
                <w:rFonts w:eastAsia="Times New Roman" w:cs="Times New Roman"/>
                <w:sz w:val="24"/>
                <w:lang w:val="en-US"/>
              </w:rPr>
            </w:pPr>
            <w:r w:rsidRPr="00EB7190">
              <w:rPr>
                <w:rFonts w:eastAsia="Times New Roman" w:cs="Times New Roman"/>
                <w:sz w:val="24"/>
                <w:lang w:val="en-US"/>
              </w:rPr>
              <w:t>12.31%</w:t>
            </w:r>
          </w:p>
        </w:tc>
        <w:tc>
          <w:tcPr>
            <w:tcW w:w="1082" w:type="dxa"/>
            <w:shd w:val="clear" w:color="auto" w:fill="DBE5F1" w:themeFill="accent1" w:themeFillTint="33"/>
            <w:noWrap/>
            <w:hideMark/>
          </w:tcPr>
          <w:p w:rsidR="00EB7190" w:rsidRPr="00EB7190" w:rsidRDefault="00EB7190" w:rsidP="00EB7190">
            <w:pPr>
              <w:spacing w:line="240" w:lineRule="auto"/>
              <w:jc w:val="right"/>
              <w:cnfStyle w:val="000000100000"/>
              <w:rPr>
                <w:rFonts w:eastAsia="Times New Roman" w:cs="Times New Roman"/>
                <w:sz w:val="24"/>
                <w:lang w:val="en-US"/>
              </w:rPr>
            </w:pPr>
            <w:r w:rsidRPr="00EB7190">
              <w:rPr>
                <w:rFonts w:eastAsia="Times New Roman" w:cs="Times New Roman"/>
                <w:sz w:val="24"/>
                <w:lang w:val="en-US"/>
              </w:rPr>
              <w:t>35.00%</w:t>
            </w:r>
          </w:p>
        </w:tc>
        <w:tc>
          <w:tcPr>
            <w:tcW w:w="1082" w:type="dxa"/>
            <w:shd w:val="clear" w:color="auto" w:fill="DBE5F1" w:themeFill="accent1" w:themeFillTint="33"/>
            <w:noWrap/>
            <w:hideMark/>
          </w:tcPr>
          <w:p w:rsidR="00EB7190" w:rsidRPr="00EB7190" w:rsidRDefault="00EB7190" w:rsidP="00EB7190">
            <w:pPr>
              <w:spacing w:line="240" w:lineRule="auto"/>
              <w:jc w:val="right"/>
              <w:cnfStyle w:val="000000100000"/>
              <w:rPr>
                <w:rFonts w:eastAsia="Times New Roman" w:cs="Times New Roman"/>
                <w:sz w:val="24"/>
                <w:lang w:val="en-US"/>
              </w:rPr>
            </w:pPr>
            <w:r w:rsidRPr="00EB7190">
              <w:rPr>
                <w:rFonts w:eastAsia="Times New Roman" w:cs="Times New Roman"/>
                <w:sz w:val="24"/>
                <w:lang w:val="en-US"/>
              </w:rPr>
              <w:t>3.81%</w:t>
            </w:r>
          </w:p>
        </w:tc>
      </w:tr>
    </w:tbl>
    <w:p w:rsidR="006222C3" w:rsidRDefault="006222C3" w:rsidP="00B1623E"/>
    <w:p w:rsidR="0005574B" w:rsidRDefault="0005574B" w:rsidP="00B1623E">
      <w:r>
        <w:t xml:space="preserve">The net profit </w:t>
      </w:r>
      <w:r w:rsidR="001D7305">
        <w:t>margins of the organization GSK have</w:t>
      </w:r>
      <w:r>
        <w:t xml:space="preserve"> registere</w:t>
      </w:r>
      <w:r w:rsidR="001D7305">
        <w:t>d a very erratic trend with some sharp increase and decline in the value of the ratios. The ratio has increased to 21.27% in 2013 over that of 2012</w:t>
      </w:r>
      <w:r w:rsidR="00365531">
        <w:t xml:space="preserve">(17.70%) which indicates a control over the operational expenses of the organization. </w:t>
      </w:r>
      <w:proofErr w:type="gramStart"/>
      <w:r w:rsidR="00365531">
        <w:t xml:space="preserve">But in 2014 the ratio has registered a further decline to 12.31% to </w:t>
      </w:r>
      <w:r w:rsidR="00D6069C">
        <w:t xml:space="preserve">a recovery of 35% in 2015 and again the </w:t>
      </w:r>
      <w:r w:rsidR="004E2F87">
        <w:t>ratio became</w:t>
      </w:r>
      <w:r w:rsidR="00D6069C">
        <w:t xml:space="preserve"> as low as 3.81% in 2016</w:t>
      </w:r>
      <w:r w:rsidR="00BA2851">
        <w:t>(</w:t>
      </w:r>
      <w:proofErr w:type="spellStart"/>
      <w:r w:rsidR="00BA2851">
        <w:rPr>
          <w:rFonts w:cs="Times New Roman"/>
          <w:szCs w:val="24"/>
        </w:rPr>
        <w:t>Martani</w:t>
      </w:r>
      <w:proofErr w:type="spellEnd"/>
      <w:r w:rsidR="00BA2851">
        <w:rPr>
          <w:rFonts w:cs="Times New Roman"/>
          <w:szCs w:val="24"/>
        </w:rPr>
        <w:t xml:space="preserve"> and </w:t>
      </w:r>
      <w:proofErr w:type="spellStart"/>
      <w:r w:rsidR="00BA2851">
        <w:rPr>
          <w:rFonts w:cs="Times New Roman"/>
          <w:szCs w:val="24"/>
        </w:rPr>
        <w:t>Khairurizka</w:t>
      </w:r>
      <w:proofErr w:type="spellEnd"/>
      <w:r w:rsidR="00BA2851">
        <w:rPr>
          <w:rFonts w:cs="Times New Roman"/>
          <w:szCs w:val="24"/>
        </w:rPr>
        <w:t xml:space="preserve">, </w:t>
      </w:r>
      <w:r w:rsidR="00BA2851" w:rsidRPr="00C300A0">
        <w:rPr>
          <w:rFonts w:cs="Times New Roman"/>
          <w:szCs w:val="24"/>
        </w:rPr>
        <w:t>2009.</w:t>
      </w:r>
      <w:r w:rsidR="00BA2851">
        <w:t>)</w:t>
      </w:r>
      <w:r w:rsidR="00D6069C">
        <w:t>.</w:t>
      </w:r>
      <w:proofErr w:type="gramEnd"/>
      <w:r w:rsidR="00D6069C">
        <w:t xml:space="preserve">The underlying reason that can be </w:t>
      </w:r>
      <w:r w:rsidR="00C25ECD">
        <w:t>identified is the rapid increase in the operational cost of</w:t>
      </w:r>
      <w:r w:rsidR="004772AE">
        <w:t xml:space="preserve"> the organization due to the investment in the infrastructural development for enhancing the </w:t>
      </w:r>
      <w:r w:rsidR="004119C9">
        <w:t>productivity</w:t>
      </w:r>
      <w:r w:rsidR="004772AE">
        <w:t xml:space="preserve"> of the segments of vaccine production and the </w:t>
      </w:r>
      <w:r w:rsidR="004119C9">
        <w:t>segment of consumer health care products</w:t>
      </w:r>
      <w:r w:rsidR="004E2F87">
        <w:t xml:space="preserve"> in 2016.That is why the net profit of the 2016 is proportionately much lower than that of 2015 as much of the gross profit of the organization has </w:t>
      </w:r>
      <w:r w:rsidR="005B64C4">
        <w:t>been absorb in the operational expense of the organization</w:t>
      </w:r>
      <w:r w:rsidR="00596B18" w:rsidRPr="00596B18">
        <w:t xml:space="preserve"> (Gsk.com, 2014)</w:t>
      </w:r>
      <w:r w:rsidR="005B64C4">
        <w:t>.</w:t>
      </w:r>
    </w:p>
    <w:p w:rsidR="00A865ED" w:rsidRDefault="00A865ED" w:rsidP="00B1623E"/>
    <w:p w:rsidR="002A5FD3" w:rsidRDefault="002A5FD3" w:rsidP="002A5FD3">
      <w:pPr>
        <w:pStyle w:val="Heading1"/>
      </w:pPr>
      <w:bookmarkStart w:id="6" w:name="_Toc502329660"/>
      <w:r>
        <w:t>Liquidity ratios:</w:t>
      </w:r>
      <w:bookmarkEnd w:id="6"/>
    </w:p>
    <w:p w:rsidR="00EB7190" w:rsidRDefault="00183924" w:rsidP="00B1623E">
      <w:r>
        <w:t>The liquidity ratios desc</w:t>
      </w:r>
      <w:r w:rsidR="00EB039B">
        <w:t xml:space="preserve">ribes the availability of cash within an organization that can be used for paying the </w:t>
      </w:r>
      <w:r w:rsidR="00386D07">
        <w:t>current</w:t>
      </w:r>
      <w:r w:rsidR="00EB039B">
        <w:t xml:space="preserve"> liabilities </w:t>
      </w:r>
      <w:r w:rsidR="003B61E7">
        <w:t xml:space="preserve">or say </w:t>
      </w:r>
      <w:r w:rsidR="00EB039B">
        <w:t xml:space="preserve">the liabilities that are to be paid by the organization </w:t>
      </w:r>
      <w:r w:rsidR="003B61E7">
        <w:t>with</w:t>
      </w:r>
      <w:r w:rsidR="00910C7F">
        <w:t xml:space="preserve"> in </w:t>
      </w:r>
      <w:r w:rsidR="003B61E7">
        <w:t xml:space="preserve"> a period of </w:t>
      </w:r>
      <w:r w:rsidR="00910C7F">
        <w:t xml:space="preserve"> less than </w:t>
      </w:r>
      <w:r w:rsidR="003B61E7">
        <w:t xml:space="preserve">1 </w:t>
      </w:r>
      <w:r w:rsidR="00582CCB">
        <w:t>year. The</w:t>
      </w:r>
      <w:r w:rsidR="002243A9">
        <w:t xml:space="preserve"> liquidity ratios also describes that whether the available current </w:t>
      </w:r>
      <w:r w:rsidR="00582CCB">
        <w:t>assets</w:t>
      </w:r>
      <w:r w:rsidR="002243A9">
        <w:t xml:space="preserve"> of the organization are sufficient eno</w:t>
      </w:r>
      <w:r w:rsidR="00582CCB">
        <w:t xml:space="preserve">ugh to meet the current liabilities of the organization when they will become </w:t>
      </w:r>
      <w:r w:rsidR="00B333CE">
        <w:t>due. The liquidity ratios for an organisati</w:t>
      </w:r>
      <w:r w:rsidR="00111317">
        <w:t xml:space="preserve">on are also the reflect the </w:t>
      </w:r>
      <w:r w:rsidR="00432B45">
        <w:t>availability</w:t>
      </w:r>
      <w:r w:rsidR="00111317">
        <w:t xml:space="preserve"> of the cash and marketable securities that can be quickly </w:t>
      </w:r>
      <w:r w:rsidR="00432B45">
        <w:t>converted in to the cash with respect to the outstanding debts of the organization that are to paid within a short period of time</w:t>
      </w:r>
      <w:r w:rsidR="00BA2851">
        <w:t>(</w:t>
      </w:r>
      <w:proofErr w:type="spellStart"/>
      <w:r w:rsidR="00BA2851">
        <w:rPr>
          <w:rFonts w:cs="Times New Roman"/>
          <w:szCs w:val="24"/>
        </w:rPr>
        <w:t>Saleem</w:t>
      </w:r>
      <w:proofErr w:type="spellEnd"/>
      <w:r w:rsidR="00BA2851">
        <w:rPr>
          <w:rFonts w:cs="Times New Roman"/>
          <w:szCs w:val="24"/>
        </w:rPr>
        <w:t xml:space="preserve"> and </w:t>
      </w:r>
      <w:proofErr w:type="spellStart"/>
      <w:r w:rsidR="00BA2851">
        <w:rPr>
          <w:rFonts w:cs="Times New Roman"/>
          <w:szCs w:val="24"/>
        </w:rPr>
        <w:t>Rehman</w:t>
      </w:r>
      <w:proofErr w:type="spellEnd"/>
      <w:r w:rsidR="00BA2851">
        <w:rPr>
          <w:rFonts w:cs="Times New Roman"/>
          <w:szCs w:val="24"/>
        </w:rPr>
        <w:t xml:space="preserve">, </w:t>
      </w:r>
      <w:r w:rsidR="00BA2851" w:rsidRPr="00693E2E">
        <w:rPr>
          <w:rFonts w:cs="Times New Roman"/>
          <w:szCs w:val="24"/>
        </w:rPr>
        <w:t xml:space="preserve"> 2011</w:t>
      </w:r>
      <w:r w:rsidR="00BA2851">
        <w:t>)</w:t>
      </w:r>
      <w:r w:rsidR="00432B45">
        <w:t>.</w:t>
      </w:r>
      <w:r w:rsidR="00830E10">
        <w:t xml:space="preserve"> Therefore a high liquidity ratio is always </w:t>
      </w:r>
      <w:r w:rsidR="005239B1">
        <w:t>preferred</w:t>
      </w:r>
      <w:r w:rsidR="00830E10">
        <w:t xml:space="preserve"> as high liquidity </w:t>
      </w:r>
      <w:r w:rsidR="005239B1">
        <w:t>ratio will</w:t>
      </w:r>
      <w:r w:rsidR="00830E10">
        <w:t xml:space="preserve"> reflect strong </w:t>
      </w:r>
      <w:r w:rsidR="005239B1">
        <w:t>financial</w:t>
      </w:r>
      <w:r w:rsidR="00830E10">
        <w:t xml:space="preserve"> position of </w:t>
      </w:r>
      <w:r w:rsidR="00D539C9">
        <w:t xml:space="preserve">the organization and a high ratio reflects low loan default </w:t>
      </w:r>
      <w:r w:rsidR="00F40207">
        <w:t>risk with respect to the organization.</w:t>
      </w:r>
    </w:p>
    <w:p w:rsidR="00F40207" w:rsidRPr="00F40207" w:rsidRDefault="00F40207" w:rsidP="00B1623E">
      <w:pPr>
        <w:rPr>
          <w:b/>
        </w:rPr>
      </w:pPr>
      <w:r w:rsidRPr="00F40207">
        <w:rPr>
          <w:b/>
        </w:rPr>
        <w:t>Current Ratio:</w:t>
      </w:r>
    </w:p>
    <w:p w:rsidR="00F40207" w:rsidRDefault="006F6F72" w:rsidP="00B1623E">
      <w:r>
        <w:t xml:space="preserve">The current ratio describes the ability of an organization to pay current liabilities and debt out of the current assets of the organization which are mostly cash or those </w:t>
      </w:r>
      <w:r w:rsidR="00B635CB">
        <w:t>marketable securities</w:t>
      </w:r>
      <w:r>
        <w:t xml:space="preserve"> that can be quickly </w:t>
      </w:r>
      <w:r w:rsidR="00B635CB">
        <w:t xml:space="preserve">converted in to cash and can be used for paying the current </w:t>
      </w:r>
      <w:r w:rsidR="009B3ABA">
        <w:t>liabilities. The</w:t>
      </w:r>
      <w:r w:rsidR="00993076">
        <w:t xml:space="preserve"> </w:t>
      </w:r>
      <w:r w:rsidR="00993076">
        <w:lastRenderedPageBreak/>
        <w:t xml:space="preserve">investors always prefer to </w:t>
      </w:r>
      <w:r w:rsidR="009B3ABA">
        <w:t>invest</w:t>
      </w:r>
      <w:r w:rsidR="00993076">
        <w:t xml:space="preserve"> in </w:t>
      </w:r>
      <w:r w:rsidR="000A5B36">
        <w:t>organiza</w:t>
      </w:r>
      <w:r w:rsidR="005A2EF0">
        <w:t>tions that have a high current</w:t>
      </w:r>
      <w:r w:rsidR="000A5B36">
        <w:t xml:space="preserve"> ratio compared to the company that have a low </w:t>
      </w:r>
      <w:r w:rsidR="005A2EF0">
        <w:t xml:space="preserve">current </w:t>
      </w:r>
      <w:r w:rsidR="000A5B36">
        <w:t>ratio</w:t>
      </w:r>
      <w:r w:rsidR="005A2EF0">
        <w:t>,</w:t>
      </w:r>
      <w:r w:rsidR="001C522E">
        <w:t xml:space="preserve"> as the organi</w:t>
      </w:r>
      <w:r w:rsidR="005A2EF0">
        <w:t>zation with high current ratio</w:t>
      </w:r>
      <w:r w:rsidR="00B94043">
        <w:t xml:space="preserve"> is more likely to pay back to the investors and creditors</w:t>
      </w:r>
      <w:r w:rsidR="00596B18" w:rsidRPr="00596B18">
        <w:t>(Gsk.com, 2013)</w:t>
      </w:r>
      <w:r w:rsidR="00B94043">
        <w:t>.</w:t>
      </w:r>
    </w:p>
    <w:p w:rsidR="00B94043" w:rsidRDefault="00B94043" w:rsidP="00B1623E">
      <w:r>
        <w:t>However a too high current ratio</w:t>
      </w:r>
      <w:r w:rsidR="00AC700C">
        <w:t xml:space="preserve"> is not good for the organization as it may indicate that the organization is</w:t>
      </w:r>
      <w:r w:rsidR="00A96783">
        <w:t xml:space="preserve"> </w:t>
      </w:r>
      <w:r w:rsidR="00B36472">
        <w:t>not efficiently</w:t>
      </w:r>
      <w:r w:rsidR="00AC700C">
        <w:t xml:space="preserve"> </w:t>
      </w:r>
      <w:r w:rsidR="003556E7">
        <w:t xml:space="preserve">using their current assets for servicing the current </w:t>
      </w:r>
      <w:r w:rsidR="00B36472">
        <w:t>liabilities. The</w:t>
      </w:r>
      <w:r w:rsidR="003556E7">
        <w:t xml:space="preserve"> standard </w:t>
      </w:r>
      <w:r w:rsidR="004370ED">
        <w:t xml:space="preserve">current ratio varies from one industry to </w:t>
      </w:r>
      <w:r w:rsidR="00A25F1F">
        <w:t>another (</w:t>
      </w:r>
      <w:proofErr w:type="spellStart"/>
      <w:r w:rsidR="00A25F1F" w:rsidRPr="00693E2E">
        <w:rPr>
          <w:rFonts w:cs="Times New Roman"/>
          <w:szCs w:val="24"/>
        </w:rPr>
        <w:t>Heikal</w:t>
      </w:r>
      <w:proofErr w:type="spellEnd"/>
      <w:r w:rsidR="00A25F1F">
        <w:rPr>
          <w:rFonts w:cs="Times New Roman"/>
          <w:szCs w:val="24"/>
        </w:rPr>
        <w:t xml:space="preserve"> </w:t>
      </w:r>
      <w:r w:rsidR="00A25F1F" w:rsidRPr="00A25F1F">
        <w:rPr>
          <w:rFonts w:cs="Times New Roman"/>
          <w:i/>
          <w:szCs w:val="24"/>
        </w:rPr>
        <w:t>et al.</w:t>
      </w:r>
      <w:proofErr w:type="gramStart"/>
      <w:r w:rsidR="00A25F1F" w:rsidRPr="00A25F1F">
        <w:rPr>
          <w:rFonts w:cs="Times New Roman"/>
          <w:i/>
          <w:szCs w:val="24"/>
        </w:rPr>
        <w:t>,</w:t>
      </w:r>
      <w:r w:rsidR="00A25F1F">
        <w:rPr>
          <w:rFonts w:cs="Times New Roman"/>
          <w:szCs w:val="24"/>
        </w:rPr>
        <w:t>2014</w:t>
      </w:r>
      <w:proofErr w:type="gramEnd"/>
      <w:r w:rsidR="00A25F1F">
        <w:t>)</w:t>
      </w:r>
      <w:r w:rsidR="004370ED">
        <w:t xml:space="preserve">. Generally if the </w:t>
      </w:r>
      <w:r w:rsidR="00D235EF">
        <w:t xml:space="preserve">volume of </w:t>
      </w:r>
      <w:r w:rsidR="004370ED">
        <w:t xml:space="preserve">current asset of the organization </w:t>
      </w:r>
      <w:r w:rsidR="00D235EF">
        <w:t xml:space="preserve">exceeds the volume of the current liabilities of the </w:t>
      </w:r>
      <w:r w:rsidR="00CF7633">
        <w:t xml:space="preserve">organization the current ratio of the organization </w:t>
      </w:r>
      <w:r w:rsidR="008A6307">
        <w:t xml:space="preserve">is more than </w:t>
      </w:r>
      <w:r w:rsidR="00B608EE">
        <w:t>1 and</w:t>
      </w:r>
      <w:r w:rsidR="008A6307">
        <w:t xml:space="preserve"> a current ratio more than 1 is considered </w:t>
      </w:r>
      <w:r w:rsidR="001A3E08">
        <w:t>to be a good ratio for the organization.</w:t>
      </w:r>
    </w:p>
    <w:tbl>
      <w:tblPr>
        <w:tblStyle w:val="TableGrid"/>
        <w:tblW w:w="8580" w:type="dxa"/>
        <w:jc w:val="center"/>
        <w:shd w:val="clear" w:color="auto" w:fill="E5DFEC" w:themeFill="accent4" w:themeFillTint="33"/>
        <w:tblLook w:val="04A0"/>
      </w:tblPr>
      <w:tblGrid>
        <w:gridCol w:w="3169"/>
        <w:gridCol w:w="1090"/>
        <w:gridCol w:w="1090"/>
        <w:gridCol w:w="1090"/>
        <w:gridCol w:w="1090"/>
        <w:gridCol w:w="1090"/>
      </w:tblGrid>
      <w:tr w:rsidR="001A3E08" w:rsidRPr="001A3E08" w:rsidTr="00CF0D56">
        <w:trPr>
          <w:trHeight w:val="315"/>
          <w:jc w:val="center"/>
        </w:trPr>
        <w:tc>
          <w:tcPr>
            <w:tcW w:w="8580" w:type="dxa"/>
            <w:gridSpan w:val="6"/>
            <w:shd w:val="clear" w:color="auto" w:fill="E5DFEC" w:themeFill="accent4" w:themeFillTint="33"/>
            <w:noWrap/>
            <w:hideMark/>
          </w:tcPr>
          <w:p w:rsidR="001A3E08" w:rsidRPr="001A3E08" w:rsidRDefault="001A3E08" w:rsidP="001A3E08">
            <w:pPr>
              <w:spacing w:line="240" w:lineRule="auto"/>
              <w:jc w:val="center"/>
              <w:rPr>
                <w:rFonts w:eastAsia="Times New Roman" w:cs="Times New Roman"/>
                <w:color w:val="000000"/>
                <w:sz w:val="24"/>
                <w:lang w:val="en-US"/>
              </w:rPr>
            </w:pPr>
            <w:r w:rsidRPr="001A3E08">
              <w:rPr>
                <w:rFonts w:eastAsia="Times New Roman" w:cs="Times New Roman"/>
                <w:color w:val="000000"/>
                <w:sz w:val="24"/>
                <w:lang w:val="en-US"/>
              </w:rPr>
              <w:t>Glaxo SmithKline(GSK) Ratio Analysis</w:t>
            </w:r>
          </w:p>
        </w:tc>
      </w:tr>
      <w:tr w:rsidR="001A3E08" w:rsidRPr="001A3E08" w:rsidTr="00CF0D56">
        <w:trPr>
          <w:trHeight w:val="300"/>
          <w:jc w:val="center"/>
        </w:trPr>
        <w:tc>
          <w:tcPr>
            <w:tcW w:w="3169" w:type="dxa"/>
            <w:shd w:val="clear" w:color="auto" w:fill="E5DFEC" w:themeFill="accent4" w:themeFillTint="33"/>
            <w:noWrap/>
            <w:hideMark/>
          </w:tcPr>
          <w:p w:rsidR="001A3E08" w:rsidRPr="001A3E08" w:rsidRDefault="001A3E08" w:rsidP="001A3E08">
            <w:pPr>
              <w:spacing w:line="240" w:lineRule="auto"/>
              <w:jc w:val="left"/>
              <w:rPr>
                <w:rFonts w:eastAsia="Times New Roman" w:cs="Times New Roman"/>
                <w:color w:val="000000"/>
                <w:sz w:val="24"/>
                <w:lang w:val="en-US"/>
              </w:rPr>
            </w:pPr>
            <w:r w:rsidRPr="001A3E08">
              <w:rPr>
                <w:rFonts w:eastAsia="Times New Roman" w:cs="Times New Roman"/>
                <w:color w:val="000000"/>
                <w:sz w:val="24"/>
                <w:lang w:val="en-US"/>
              </w:rPr>
              <w:t>financial statement  items</w:t>
            </w:r>
          </w:p>
        </w:tc>
        <w:tc>
          <w:tcPr>
            <w:tcW w:w="1083" w:type="dxa"/>
            <w:shd w:val="clear" w:color="auto" w:fill="E5DFEC" w:themeFill="accent4" w:themeFillTint="33"/>
            <w:noWrap/>
            <w:hideMark/>
          </w:tcPr>
          <w:p w:rsidR="001A3E08" w:rsidRPr="001A3E08" w:rsidRDefault="001A3E08" w:rsidP="001A3E08">
            <w:pPr>
              <w:spacing w:line="240" w:lineRule="auto"/>
              <w:jc w:val="left"/>
              <w:rPr>
                <w:rFonts w:eastAsia="Times New Roman" w:cs="Times New Roman"/>
                <w:color w:val="000000"/>
                <w:sz w:val="24"/>
                <w:lang w:val="en-US"/>
              </w:rPr>
            </w:pPr>
            <w:r w:rsidRPr="001A3E08">
              <w:rPr>
                <w:rFonts w:eastAsia="Times New Roman" w:cs="Times New Roman"/>
                <w:color w:val="000000"/>
                <w:sz w:val="24"/>
                <w:lang w:val="en-US"/>
              </w:rPr>
              <w:t>£,million</w:t>
            </w:r>
          </w:p>
        </w:tc>
        <w:tc>
          <w:tcPr>
            <w:tcW w:w="1082" w:type="dxa"/>
            <w:shd w:val="clear" w:color="auto" w:fill="E5DFEC" w:themeFill="accent4" w:themeFillTint="33"/>
            <w:noWrap/>
            <w:hideMark/>
          </w:tcPr>
          <w:p w:rsidR="001A3E08" w:rsidRPr="001A3E08" w:rsidRDefault="001A3E08" w:rsidP="001A3E08">
            <w:pPr>
              <w:spacing w:line="240" w:lineRule="auto"/>
              <w:jc w:val="left"/>
              <w:rPr>
                <w:rFonts w:eastAsia="Times New Roman" w:cs="Times New Roman"/>
                <w:color w:val="000000"/>
                <w:sz w:val="24"/>
                <w:lang w:val="en-US"/>
              </w:rPr>
            </w:pPr>
            <w:r w:rsidRPr="001A3E08">
              <w:rPr>
                <w:rFonts w:eastAsia="Times New Roman" w:cs="Times New Roman"/>
                <w:color w:val="000000"/>
                <w:sz w:val="24"/>
                <w:lang w:val="en-US"/>
              </w:rPr>
              <w:t>£,million</w:t>
            </w:r>
          </w:p>
        </w:tc>
        <w:tc>
          <w:tcPr>
            <w:tcW w:w="1082" w:type="dxa"/>
            <w:shd w:val="clear" w:color="auto" w:fill="E5DFEC" w:themeFill="accent4" w:themeFillTint="33"/>
            <w:noWrap/>
            <w:hideMark/>
          </w:tcPr>
          <w:p w:rsidR="001A3E08" w:rsidRPr="001A3E08" w:rsidRDefault="001A3E08" w:rsidP="001A3E08">
            <w:pPr>
              <w:spacing w:line="240" w:lineRule="auto"/>
              <w:jc w:val="left"/>
              <w:rPr>
                <w:rFonts w:eastAsia="Times New Roman" w:cs="Times New Roman"/>
                <w:color w:val="000000"/>
                <w:sz w:val="24"/>
                <w:lang w:val="en-US"/>
              </w:rPr>
            </w:pPr>
            <w:r w:rsidRPr="001A3E08">
              <w:rPr>
                <w:rFonts w:eastAsia="Times New Roman" w:cs="Times New Roman"/>
                <w:color w:val="000000"/>
                <w:sz w:val="24"/>
                <w:lang w:val="en-US"/>
              </w:rPr>
              <w:t>£,million</w:t>
            </w:r>
          </w:p>
        </w:tc>
        <w:tc>
          <w:tcPr>
            <w:tcW w:w="1082" w:type="dxa"/>
            <w:shd w:val="clear" w:color="auto" w:fill="E5DFEC" w:themeFill="accent4" w:themeFillTint="33"/>
            <w:noWrap/>
            <w:hideMark/>
          </w:tcPr>
          <w:p w:rsidR="001A3E08" w:rsidRPr="001A3E08" w:rsidRDefault="001A3E08" w:rsidP="001A3E08">
            <w:pPr>
              <w:spacing w:line="240" w:lineRule="auto"/>
              <w:jc w:val="left"/>
              <w:rPr>
                <w:rFonts w:eastAsia="Times New Roman" w:cs="Times New Roman"/>
                <w:color w:val="000000"/>
                <w:sz w:val="24"/>
                <w:lang w:val="en-US"/>
              </w:rPr>
            </w:pPr>
            <w:r w:rsidRPr="001A3E08">
              <w:rPr>
                <w:rFonts w:eastAsia="Times New Roman" w:cs="Times New Roman"/>
                <w:color w:val="000000"/>
                <w:sz w:val="24"/>
                <w:lang w:val="en-US"/>
              </w:rPr>
              <w:t>£,million</w:t>
            </w:r>
          </w:p>
        </w:tc>
        <w:tc>
          <w:tcPr>
            <w:tcW w:w="1082" w:type="dxa"/>
            <w:shd w:val="clear" w:color="auto" w:fill="E5DFEC" w:themeFill="accent4" w:themeFillTint="33"/>
            <w:noWrap/>
            <w:hideMark/>
          </w:tcPr>
          <w:p w:rsidR="001A3E08" w:rsidRPr="001A3E08" w:rsidRDefault="001A3E08" w:rsidP="001A3E08">
            <w:pPr>
              <w:spacing w:line="240" w:lineRule="auto"/>
              <w:jc w:val="left"/>
              <w:rPr>
                <w:rFonts w:eastAsia="Times New Roman" w:cs="Times New Roman"/>
                <w:color w:val="000000"/>
                <w:sz w:val="24"/>
                <w:lang w:val="en-US"/>
              </w:rPr>
            </w:pPr>
            <w:r w:rsidRPr="001A3E08">
              <w:rPr>
                <w:rFonts w:eastAsia="Times New Roman" w:cs="Times New Roman"/>
                <w:color w:val="000000"/>
                <w:sz w:val="24"/>
                <w:lang w:val="en-US"/>
              </w:rPr>
              <w:t>£,million</w:t>
            </w:r>
          </w:p>
        </w:tc>
      </w:tr>
      <w:tr w:rsidR="001A3E08" w:rsidRPr="001A3E08" w:rsidTr="00CF0D56">
        <w:trPr>
          <w:trHeight w:val="300"/>
          <w:jc w:val="center"/>
        </w:trPr>
        <w:tc>
          <w:tcPr>
            <w:tcW w:w="3169" w:type="dxa"/>
            <w:shd w:val="clear" w:color="auto" w:fill="E5DFEC" w:themeFill="accent4" w:themeFillTint="33"/>
            <w:noWrap/>
            <w:hideMark/>
          </w:tcPr>
          <w:p w:rsidR="001A3E08" w:rsidRPr="001A3E08" w:rsidRDefault="001A3E08" w:rsidP="001A3E08">
            <w:pPr>
              <w:spacing w:line="240" w:lineRule="auto"/>
              <w:jc w:val="left"/>
              <w:rPr>
                <w:rFonts w:eastAsia="Times New Roman" w:cs="Times New Roman"/>
                <w:color w:val="000000"/>
                <w:sz w:val="24"/>
                <w:lang w:val="en-US"/>
              </w:rPr>
            </w:pPr>
            <w:r w:rsidRPr="001A3E08">
              <w:rPr>
                <w:rFonts w:eastAsia="Times New Roman" w:cs="Times New Roman"/>
                <w:color w:val="000000"/>
                <w:sz w:val="24"/>
                <w:lang w:val="en-US"/>
              </w:rPr>
              <w:t> </w:t>
            </w:r>
          </w:p>
        </w:tc>
        <w:tc>
          <w:tcPr>
            <w:tcW w:w="1083" w:type="dxa"/>
            <w:shd w:val="clear" w:color="auto" w:fill="E5DFEC" w:themeFill="accent4" w:themeFillTint="33"/>
            <w:noWrap/>
            <w:hideMark/>
          </w:tcPr>
          <w:p w:rsidR="001A3E08" w:rsidRPr="001A3E08" w:rsidRDefault="001A3E08" w:rsidP="001A3E08">
            <w:pPr>
              <w:spacing w:line="240" w:lineRule="auto"/>
              <w:jc w:val="right"/>
              <w:rPr>
                <w:rFonts w:eastAsia="Times New Roman" w:cs="Times New Roman"/>
                <w:color w:val="000000"/>
                <w:sz w:val="24"/>
                <w:lang w:val="en-US"/>
              </w:rPr>
            </w:pPr>
            <w:r w:rsidRPr="001A3E08">
              <w:rPr>
                <w:rFonts w:eastAsia="Times New Roman" w:cs="Times New Roman"/>
                <w:color w:val="000000"/>
                <w:sz w:val="24"/>
                <w:lang w:val="en-US"/>
              </w:rPr>
              <w:t>2012</w:t>
            </w:r>
          </w:p>
        </w:tc>
        <w:tc>
          <w:tcPr>
            <w:tcW w:w="1082" w:type="dxa"/>
            <w:shd w:val="clear" w:color="auto" w:fill="E5DFEC" w:themeFill="accent4" w:themeFillTint="33"/>
            <w:noWrap/>
            <w:hideMark/>
          </w:tcPr>
          <w:p w:rsidR="001A3E08" w:rsidRPr="001A3E08" w:rsidRDefault="001A3E08" w:rsidP="001A3E08">
            <w:pPr>
              <w:spacing w:line="240" w:lineRule="auto"/>
              <w:jc w:val="right"/>
              <w:rPr>
                <w:rFonts w:eastAsia="Times New Roman" w:cs="Times New Roman"/>
                <w:color w:val="000000"/>
                <w:sz w:val="24"/>
                <w:lang w:val="en-US"/>
              </w:rPr>
            </w:pPr>
            <w:r w:rsidRPr="001A3E08">
              <w:rPr>
                <w:rFonts w:eastAsia="Times New Roman" w:cs="Times New Roman"/>
                <w:color w:val="000000"/>
                <w:sz w:val="24"/>
                <w:lang w:val="en-US"/>
              </w:rPr>
              <w:t>2013</w:t>
            </w:r>
          </w:p>
        </w:tc>
        <w:tc>
          <w:tcPr>
            <w:tcW w:w="1082" w:type="dxa"/>
            <w:shd w:val="clear" w:color="auto" w:fill="E5DFEC" w:themeFill="accent4" w:themeFillTint="33"/>
            <w:noWrap/>
            <w:hideMark/>
          </w:tcPr>
          <w:p w:rsidR="001A3E08" w:rsidRPr="001A3E08" w:rsidRDefault="001A3E08" w:rsidP="001A3E08">
            <w:pPr>
              <w:spacing w:line="240" w:lineRule="auto"/>
              <w:jc w:val="right"/>
              <w:rPr>
                <w:rFonts w:eastAsia="Times New Roman" w:cs="Times New Roman"/>
                <w:color w:val="000000"/>
                <w:sz w:val="24"/>
                <w:lang w:val="en-US"/>
              </w:rPr>
            </w:pPr>
            <w:r w:rsidRPr="001A3E08">
              <w:rPr>
                <w:rFonts w:eastAsia="Times New Roman" w:cs="Times New Roman"/>
                <w:color w:val="000000"/>
                <w:sz w:val="24"/>
                <w:lang w:val="en-US"/>
              </w:rPr>
              <w:t>2014</w:t>
            </w:r>
          </w:p>
        </w:tc>
        <w:tc>
          <w:tcPr>
            <w:tcW w:w="1082" w:type="dxa"/>
            <w:shd w:val="clear" w:color="auto" w:fill="E5DFEC" w:themeFill="accent4" w:themeFillTint="33"/>
            <w:noWrap/>
            <w:hideMark/>
          </w:tcPr>
          <w:p w:rsidR="001A3E08" w:rsidRPr="001A3E08" w:rsidRDefault="001A3E08" w:rsidP="001A3E08">
            <w:pPr>
              <w:spacing w:line="240" w:lineRule="auto"/>
              <w:jc w:val="right"/>
              <w:rPr>
                <w:rFonts w:eastAsia="Times New Roman" w:cs="Times New Roman"/>
                <w:color w:val="000000"/>
                <w:sz w:val="24"/>
                <w:lang w:val="en-US"/>
              </w:rPr>
            </w:pPr>
            <w:r w:rsidRPr="001A3E08">
              <w:rPr>
                <w:rFonts w:eastAsia="Times New Roman" w:cs="Times New Roman"/>
                <w:color w:val="000000"/>
                <w:sz w:val="24"/>
                <w:lang w:val="en-US"/>
              </w:rPr>
              <w:t>2015</w:t>
            </w:r>
          </w:p>
        </w:tc>
        <w:tc>
          <w:tcPr>
            <w:tcW w:w="1082" w:type="dxa"/>
            <w:shd w:val="clear" w:color="auto" w:fill="E5DFEC" w:themeFill="accent4" w:themeFillTint="33"/>
            <w:noWrap/>
            <w:hideMark/>
          </w:tcPr>
          <w:p w:rsidR="001A3E08" w:rsidRPr="001A3E08" w:rsidRDefault="001A3E08" w:rsidP="001A3E08">
            <w:pPr>
              <w:spacing w:line="240" w:lineRule="auto"/>
              <w:jc w:val="right"/>
              <w:rPr>
                <w:rFonts w:eastAsia="Times New Roman" w:cs="Times New Roman"/>
                <w:color w:val="000000"/>
                <w:sz w:val="24"/>
                <w:lang w:val="en-US"/>
              </w:rPr>
            </w:pPr>
            <w:r w:rsidRPr="001A3E08">
              <w:rPr>
                <w:rFonts w:eastAsia="Times New Roman" w:cs="Times New Roman"/>
                <w:color w:val="000000"/>
                <w:sz w:val="24"/>
                <w:lang w:val="en-US"/>
              </w:rPr>
              <w:t>2016</w:t>
            </w:r>
          </w:p>
        </w:tc>
      </w:tr>
      <w:tr w:rsidR="001A3E08" w:rsidRPr="001A3E08" w:rsidTr="00CF0D56">
        <w:trPr>
          <w:trHeight w:val="300"/>
          <w:jc w:val="center"/>
        </w:trPr>
        <w:tc>
          <w:tcPr>
            <w:tcW w:w="3169" w:type="dxa"/>
            <w:shd w:val="clear" w:color="auto" w:fill="E5DFEC" w:themeFill="accent4" w:themeFillTint="33"/>
            <w:noWrap/>
            <w:hideMark/>
          </w:tcPr>
          <w:p w:rsidR="001A3E08" w:rsidRPr="001A3E08" w:rsidRDefault="001A3E08" w:rsidP="001A3E08">
            <w:pPr>
              <w:spacing w:line="240" w:lineRule="auto"/>
              <w:jc w:val="left"/>
              <w:rPr>
                <w:rFonts w:eastAsia="Times New Roman" w:cs="Times New Roman"/>
                <w:color w:val="000000"/>
                <w:sz w:val="24"/>
                <w:lang w:val="en-US"/>
              </w:rPr>
            </w:pPr>
            <w:r w:rsidRPr="001A3E08">
              <w:rPr>
                <w:rFonts w:eastAsia="Times New Roman" w:cs="Times New Roman"/>
                <w:color w:val="000000"/>
                <w:sz w:val="24"/>
                <w:lang w:val="en-US"/>
              </w:rPr>
              <w:t>Current asset</w:t>
            </w:r>
          </w:p>
        </w:tc>
        <w:tc>
          <w:tcPr>
            <w:tcW w:w="1083" w:type="dxa"/>
            <w:shd w:val="clear" w:color="auto" w:fill="E5DFEC" w:themeFill="accent4" w:themeFillTint="33"/>
            <w:noWrap/>
            <w:hideMark/>
          </w:tcPr>
          <w:p w:rsidR="001A3E08" w:rsidRPr="001A3E08" w:rsidRDefault="001A3E08" w:rsidP="001A3E08">
            <w:pPr>
              <w:spacing w:line="240" w:lineRule="auto"/>
              <w:jc w:val="right"/>
              <w:rPr>
                <w:rFonts w:eastAsia="Times New Roman" w:cs="Times New Roman"/>
                <w:sz w:val="24"/>
                <w:lang w:val="en-US"/>
              </w:rPr>
            </w:pPr>
            <w:r w:rsidRPr="001A3E08">
              <w:rPr>
                <w:rFonts w:eastAsia="Times New Roman" w:cs="Times New Roman"/>
                <w:sz w:val="24"/>
                <w:lang w:val="en-US"/>
              </w:rPr>
              <w:t>13,692</w:t>
            </w:r>
          </w:p>
        </w:tc>
        <w:tc>
          <w:tcPr>
            <w:tcW w:w="1082" w:type="dxa"/>
            <w:shd w:val="clear" w:color="auto" w:fill="E5DFEC" w:themeFill="accent4" w:themeFillTint="33"/>
            <w:noWrap/>
            <w:hideMark/>
          </w:tcPr>
          <w:p w:rsidR="001A3E08" w:rsidRPr="001A3E08" w:rsidRDefault="001A3E08" w:rsidP="001A3E08">
            <w:pPr>
              <w:spacing w:line="240" w:lineRule="auto"/>
              <w:jc w:val="right"/>
              <w:rPr>
                <w:rFonts w:eastAsia="Times New Roman" w:cs="Times New Roman"/>
                <w:sz w:val="24"/>
                <w:lang w:val="en-US"/>
              </w:rPr>
            </w:pPr>
            <w:r w:rsidRPr="001A3E08">
              <w:rPr>
                <w:rFonts w:eastAsia="Times New Roman" w:cs="Times New Roman"/>
                <w:sz w:val="24"/>
                <w:lang w:val="en-US"/>
              </w:rPr>
              <w:t>15,227</w:t>
            </w:r>
          </w:p>
        </w:tc>
        <w:tc>
          <w:tcPr>
            <w:tcW w:w="1082" w:type="dxa"/>
            <w:shd w:val="clear" w:color="auto" w:fill="E5DFEC" w:themeFill="accent4" w:themeFillTint="33"/>
            <w:noWrap/>
            <w:hideMark/>
          </w:tcPr>
          <w:p w:rsidR="001A3E08" w:rsidRPr="001A3E08" w:rsidRDefault="001A3E08" w:rsidP="001A3E08">
            <w:pPr>
              <w:spacing w:line="240" w:lineRule="auto"/>
              <w:jc w:val="right"/>
              <w:rPr>
                <w:rFonts w:eastAsia="Times New Roman" w:cs="Times New Roman"/>
                <w:sz w:val="24"/>
                <w:lang w:val="en-US"/>
              </w:rPr>
            </w:pPr>
            <w:r w:rsidRPr="001A3E08">
              <w:rPr>
                <w:rFonts w:eastAsia="Times New Roman" w:cs="Times New Roman"/>
                <w:sz w:val="24"/>
                <w:lang w:val="en-US"/>
              </w:rPr>
              <w:t>14,678</w:t>
            </w:r>
          </w:p>
        </w:tc>
        <w:tc>
          <w:tcPr>
            <w:tcW w:w="1082" w:type="dxa"/>
            <w:shd w:val="clear" w:color="auto" w:fill="E5DFEC" w:themeFill="accent4" w:themeFillTint="33"/>
            <w:noWrap/>
            <w:hideMark/>
          </w:tcPr>
          <w:p w:rsidR="001A3E08" w:rsidRPr="001A3E08" w:rsidRDefault="001A3E08" w:rsidP="001A3E08">
            <w:pPr>
              <w:spacing w:line="240" w:lineRule="auto"/>
              <w:jc w:val="right"/>
              <w:rPr>
                <w:rFonts w:eastAsia="Times New Roman" w:cs="Times New Roman"/>
                <w:color w:val="000000"/>
                <w:sz w:val="24"/>
                <w:lang w:val="en-US"/>
              </w:rPr>
            </w:pPr>
            <w:r w:rsidRPr="001A3E08">
              <w:rPr>
                <w:rFonts w:eastAsia="Times New Roman" w:cs="Times New Roman"/>
                <w:color w:val="000000"/>
                <w:sz w:val="24"/>
                <w:lang w:val="en-US"/>
              </w:rPr>
              <w:t>16,587</w:t>
            </w:r>
          </w:p>
        </w:tc>
        <w:tc>
          <w:tcPr>
            <w:tcW w:w="1082" w:type="dxa"/>
            <w:shd w:val="clear" w:color="auto" w:fill="E5DFEC" w:themeFill="accent4" w:themeFillTint="33"/>
            <w:noWrap/>
            <w:hideMark/>
          </w:tcPr>
          <w:p w:rsidR="001A3E08" w:rsidRPr="001A3E08" w:rsidRDefault="001A3E08" w:rsidP="001A3E08">
            <w:pPr>
              <w:spacing w:line="240" w:lineRule="auto"/>
              <w:jc w:val="right"/>
              <w:rPr>
                <w:rFonts w:eastAsia="Times New Roman" w:cs="Times New Roman"/>
                <w:sz w:val="24"/>
                <w:lang w:val="en-US"/>
              </w:rPr>
            </w:pPr>
            <w:r w:rsidRPr="001A3E08">
              <w:rPr>
                <w:rFonts w:eastAsia="Times New Roman" w:cs="Times New Roman"/>
                <w:sz w:val="24"/>
                <w:lang w:val="en-US"/>
              </w:rPr>
              <w:t>16,711</w:t>
            </w:r>
          </w:p>
        </w:tc>
      </w:tr>
      <w:tr w:rsidR="001A3E08" w:rsidRPr="001A3E08" w:rsidTr="00CF0D56">
        <w:trPr>
          <w:trHeight w:val="300"/>
          <w:jc w:val="center"/>
        </w:trPr>
        <w:tc>
          <w:tcPr>
            <w:tcW w:w="3169" w:type="dxa"/>
            <w:shd w:val="clear" w:color="auto" w:fill="E5DFEC" w:themeFill="accent4" w:themeFillTint="33"/>
            <w:noWrap/>
            <w:hideMark/>
          </w:tcPr>
          <w:p w:rsidR="001A3E08" w:rsidRPr="001A3E08" w:rsidRDefault="001A3E08" w:rsidP="001A3E08">
            <w:pPr>
              <w:spacing w:line="240" w:lineRule="auto"/>
              <w:jc w:val="left"/>
              <w:rPr>
                <w:rFonts w:eastAsia="Times New Roman" w:cs="Times New Roman"/>
                <w:color w:val="000000"/>
                <w:sz w:val="24"/>
                <w:lang w:val="en-US"/>
              </w:rPr>
            </w:pPr>
            <w:r w:rsidRPr="001A3E08">
              <w:rPr>
                <w:rFonts w:eastAsia="Times New Roman" w:cs="Times New Roman"/>
                <w:color w:val="000000"/>
                <w:sz w:val="24"/>
                <w:lang w:val="en-US"/>
              </w:rPr>
              <w:t>Current liability</w:t>
            </w:r>
          </w:p>
        </w:tc>
        <w:tc>
          <w:tcPr>
            <w:tcW w:w="1083" w:type="dxa"/>
            <w:shd w:val="clear" w:color="auto" w:fill="E5DFEC" w:themeFill="accent4" w:themeFillTint="33"/>
            <w:noWrap/>
            <w:hideMark/>
          </w:tcPr>
          <w:p w:rsidR="001A3E08" w:rsidRPr="001A3E08" w:rsidRDefault="001A3E08" w:rsidP="001A3E08">
            <w:pPr>
              <w:spacing w:line="240" w:lineRule="auto"/>
              <w:jc w:val="right"/>
              <w:rPr>
                <w:rFonts w:eastAsia="Times New Roman" w:cs="Times New Roman"/>
                <w:sz w:val="24"/>
                <w:lang w:val="en-US"/>
              </w:rPr>
            </w:pPr>
            <w:r w:rsidRPr="001A3E08">
              <w:rPr>
                <w:rFonts w:eastAsia="Times New Roman" w:cs="Times New Roman"/>
                <w:sz w:val="24"/>
                <w:lang w:val="en-US"/>
              </w:rPr>
              <w:t>13,815</w:t>
            </w:r>
          </w:p>
        </w:tc>
        <w:tc>
          <w:tcPr>
            <w:tcW w:w="1082" w:type="dxa"/>
            <w:shd w:val="clear" w:color="auto" w:fill="E5DFEC" w:themeFill="accent4" w:themeFillTint="33"/>
            <w:noWrap/>
            <w:hideMark/>
          </w:tcPr>
          <w:p w:rsidR="001A3E08" w:rsidRPr="001A3E08" w:rsidRDefault="001A3E08" w:rsidP="001A3E08">
            <w:pPr>
              <w:spacing w:line="240" w:lineRule="auto"/>
              <w:jc w:val="right"/>
              <w:rPr>
                <w:rFonts w:eastAsia="Times New Roman" w:cs="Times New Roman"/>
                <w:sz w:val="24"/>
                <w:lang w:val="en-US"/>
              </w:rPr>
            </w:pPr>
            <w:r w:rsidRPr="001A3E08">
              <w:rPr>
                <w:rFonts w:eastAsia="Times New Roman" w:cs="Times New Roman"/>
                <w:sz w:val="24"/>
                <w:lang w:val="en-US"/>
              </w:rPr>
              <w:t>13,677</w:t>
            </w:r>
          </w:p>
        </w:tc>
        <w:tc>
          <w:tcPr>
            <w:tcW w:w="1082" w:type="dxa"/>
            <w:shd w:val="clear" w:color="auto" w:fill="E5DFEC" w:themeFill="accent4" w:themeFillTint="33"/>
            <w:noWrap/>
            <w:hideMark/>
          </w:tcPr>
          <w:p w:rsidR="001A3E08" w:rsidRPr="001A3E08" w:rsidRDefault="001A3E08" w:rsidP="001A3E08">
            <w:pPr>
              <w:spacing w:line="240" w:lineRule="auto"/>
              <w:jc w:val="right"/>
              <w:rPr>
                <w:rFonts w:eastAsia="Times New Roman" w:cs="Times New Roman"/>
                <w:sz w:val="24"/>
                <w:lang w:val="en-US"/>
              </w:rPr>
            </w:pPr>
            <w:r w:rsidRPr="001A3E08">
              <w:rPr>
                <w:rFonts w:eastAsia="Times New Roman" w:cs="Times New Roman"/>
                <w:sz w:val="24"/>
                <w:lang w:val="en-US"/>
              </w:rPr>
              <w:t>13,295</w:t>
            </w:r>
          </w:p>
        </w:tc>
        <w:tc>
          <w:tcPr>
            <w:tcW w:w="1082" w:type="dxa"/>
            <w:shd w:val="clear" w:color="auto" w:fill="E5DFEC" w:themeFill="accent4" w:themeFillTint="33"/>
            <w:noWrap/>
            <w:hideMark/>
          </w:tcPr>
          <w:p w:rsidR="001A3E08" w:rsidRPr="001A3E08" w:rsidRDefault="001A3E08" w:rsidP="001A3E08">
            <w:pPr>
              <w:spacing w:line="240" w:lineRule="auto"/>
              <w:jc w:val="right"/>
              <w:rPr>
                <w:rFonts w:eastAsia="Times New Roman" w:cs="Times New Roman"/>
                <w:sz w:val="24"/>
                <w:lang w:val="en-US"/>
              </w:rPr>
            </w:pPr>
            <w:r w:rsidRPr="001A3E08">
              <w:rPr>
                <w:rFonts w:eastAsia="Times New Roman" w:cs="Times New Roman"/>
                <w:sz w:val="24"/>
                <w:lang w:val="en-US"/>
              </w:rPr>
              <w:t>13417</w:t>
            </w:r>
          </w:p>
        </w:tc>
        <w:tc>
          <w:tcPr>
            <w:tcW w:w="1082" w:type="dxa"/>
            <w:shd w:val="clear" w:color="auto" w:fill="E5DFEC" w:themeFill="accent4" w:themeFillTint="33"/>
            <w:noWrap/>
            <w:hideMark/>
          </w:tcPr>
          <w:p w:rsidR="001A3E08" w:rsidRPr="001A3E08" w:rsidRDefault="001A3E08" w:rsidP="001A3E08">
            <w:pPr>
              <w:spacing w:line="240" w:lineRule="auto"/>
              <w:jc w:val="right"/>
              <w:rPr>
                <w:rFonts w:eastAsia="Times New Roman" w:cs="Times New Roman"/>
                <w:color w:val="000000"/>
                <w:sz w:val="24"/>
                <w:lang w:val="en-US"/>
              </w:rPr>
            </w:pPr>
            <w:r w:rsidRPr="001A3E08">
              <w:rPr>
                <w:rFonts w:eastAsia="Times New Roman" w:cs="Times New Roman"/>
                <w:color w:val="000000"/>
                <w:sz w:val="24"/>
                <w:lang w:val="en-US"/>
              </w:rPr>
              <w:t>19,001</w:t>
            </w:r>
          </w:p>
        </w:tc>
      </w:tr>
      <w:tr w:rsidR="00935FA0" w:rsidRPr="00935FA0" w:rsidTr="00CF0D56">
        <w:trPr>
          <w:trHeight w:val="300"/>
          <w:jc w:val="center"/>
        </w:trPr>
        <w:tc>
          <w:tcPr>
            <w:tcW w:w="3169" w:type="dxa"/>
            <w:shd w:val="clear" w:color="auto" w:fill="E5DFEC" w:themeFill="accent4" w:themeFillTint="33"/>
            <w:noWrap/>
            <w:hideMark/>
          </w:tcPr>
          <w:p w:rsidR="00935FA0" w:rsidRPr="00935FA0" w:rsidRDefault="00935FA0" w:rsidP="00935FA0">
            <w:pPr>
              <w:spacing w:line="240" w:lineRule="auto"/>
              <w:jc w:val="left"/>
              <w:rPr>
                <w:rFonts w:eastAsia="Times New Roman" w:cs="Times New Roman"/>
                <w:color w:val="000000"/>
                <w:sz w:val="24"/>
                <w:lang w:val="en-US"/>
              </w:rPr>
            </w:pPr>
            <w:r w:rsidRPr="00935FA0">
              <w:rPr>
                <w:rFonts w:eastAsia="Times New Roman" w:cs="Times New Roman"/>
                <w:color w:val="000000"/>
                <w:sz w:val="24"/>
                <w:lang w:val="en-US"/>
              </w:rPr>
              <w:t xml:space="preserve">Current Ratio ([Current asset/Current liability]*100): </w:t>
            </w:r>
          </w:p>
        </w:tc>
        <w:tc>
          <w:tcPr>
            <w:tcW w:w="1083" w:type="dxa"/>
            <w:shd w:val="clear" w:color="auto" w:fill="E5DFEC" w:themeFill="accent4" w:themeFillTint="33"/>
            <w:noWrap/>
            <w:hideMark/>
          </w:tcPr>
          <w:p w:rsidR="00935FA0" w:rsidRPr="00935FA0" w:rsidRDefault="00935FA0" w:rsidP="00935FA0">
            <w:pPr>
              <w:spacing w:line="240" w:lineRule="auto"/>
              <w:jc w:val="right"/>
              <w:rPr>
                <w:rFonts w:eastAsia="Times New Roman" w:cs="Times New Roman"/>
                <w:sz w:val="24"/>
                <w:lang w:val="en-US"/>
              </w:rPr>
            </w:pPr>
            <w:r w:rsidRPr="00935FA0">
              <w:rPr>
                <w:rFonts w:eastAsia="Times New Roman" w:cs="Times New Roman"/>
                <w:sz w:val="24"/>
                <w:lang w:val="en-US"/>
              </w:rPr>
              <w:t>0.99</w:t>
            </w:r>
          </w:p>
        </w:tc>
        <w:tc>
          <w:tcPr>
            <w:tcW w:w="1082" w:type="dxa"/>
            <w:shd w:val="clear" w:color="auto" w:fill="E5DFEC" w:themeFill="accent4" w:themeFillTint="33"/>
            <w:noWrap/>
            <w:hideMark/>
          </w:tcPr>
          <w:p w:rsidR="00935FA0" w:rsidRPr="00935FA0" w:rsidRDefault="00935FA0" w:rsidP="00935FA0">
            <w:pPr>
              <w:spacing w:line="240" w:lineRule="auto"/>
              <w:jc w:val="right"/>
              <w:rPr>
                <w:rFonts w:eastAsia="Times New Roman" w:cs="Times New Roman"/>
                <w:sz w:val="24"/>
                <w:lang w:val="en-US"/>
              </w:rPr>
            </w:pPr>
            <w:r w:rsidRPr="00935FA0">
              <w:rPr>
                <w:rFonts w:eastAsia="Times New Roman" w:cs="Times New Roman"/>
                <w:sz w:val="24"/>
                <w:lang w:val="en-US"/>
              </w:rPr>
              <w:t>1.11</w:t>
            </w:r>
          </w:p>
        </w:tc>
        <w:tc>
          <w:tcPr>
            <w:tcW w:w="1082" w:type="dxa"/>
            <w:shd w:val="clear" w:color="auto" w:fill="E5DFEC" w:themeFill="accent4" w:themeFillTint="33"/>
            <w:noWrap/>
            <w:hideMark/>
          </w:tcPr>
          <w:p w:rsidR="00935FA0" w:rsidRPr="00935FA0" w:rsidRDefault="00935FA0" w:rsidP="00935FA0">
            <w:pPr>
              <w:spacing w:line="240" w:lineRule="auto"/>
              <w:jc w:val="right"/>
              <w:rPr>
                <w:rFonts w:eastAsia="Times New Roman" w:cs="Times New Roman"/>
                <w:sz w:val="24"/>
                <w:lang w:val="en-US"/>
              </w:rPr>
            </w:pPr>
            <w:r w:rsidRPr="00935FA0">
              <w:rPr>
                <w:rFonts w:eastAsia="Times New Roman" w:cs="Times New Roman"/>
                <w:sz w:val="24"/>
                <w:lang w:val="en-US"/>
              </w:rPr>
              <w:t>1.10</w:t>
            </w:r>
          </w:p>
        </w:tc>
        <w:tc>
          <w:tcPr>
            <w:tcW w:w="1082" w:type="dxa"/>
            <w:shd w:val="clear" w:color="auto" w:fill="E5DFEC" w:themeFill="accent4" w:themeFillTint="33"/>
            <w:noWrap/>
            <w:hideMark/>
          </w:tcPr>
          <w:p w:rsidR="00935FA0" w:rsidRPr="00935FA0" w:rsidRDefault="00935FA0" w:rsidP="00935FA0">
            <w:pPr>
              <w:spacing w:line="240" w:lineRule="auto"/>
              <w:jc w:val="right"/>
              <w:rPr>
                <w:rFonts w:eastAsia="Times New Roman" w:cs="Times New Roman"/>
                <w:sz w:val="24"/>
                <w:lang w:val="en-US"/>
              </w:rPr>
            </w:pPr>
            <w:r w:rsidRPr="00935FA0">
              <w:rPr>
                <w:rFonts w:eastAsia="Times New Roman" w:cs="Times New Roman"/>
                <w:sz w:val="24"/>
                <w:lang w:val="en-US"/>
              </w:rPr>
              <w:t>1.24</w:t>
            </w:r>
          </w:p>
        </w:tc>
        <w:tc>
          <w:tcPr>
            <w:tcW w:w="1082" w:type="dxa"/>
            <w:shd w:val="clear" w:color="auto" w:fill="E5DFEC" w:themeFill="accent4" w:themeFillTint="33"/>
            <w:noWrap/>
            <w:hideMark/>
          </w:tcPr>
          <w:p w:rsidR="00935FA0" w:rsidRPr="00935FA0" w:rsidRDefault="00935FA0" w:rsidP="00935FA0">
            <w:pPr>
              <w:spacing w:line="240" w:lineRule="auto"/>
              <w:jc w:val="right"/>
              <w:rPr>
                <w:rFonts w:eastAsia="Times New Roman" w:cs="Times New Roman"/>
                <w:color w:val="000000"/>
                <w:sz w:val="24"/>
                <w:lang w:val="en-US"/>
              </w:rPr>
            </w:pPr>
            <w:r w:rsidRPr="00935FA0">
              <w:rPr>
                <w:rFonts w:eastAsia="Times New Roman" w:cs="Times New Roman"/>
                <w:color w:val="000000"/>
                <w:sz w:val="24"/>
                <w:lang w:val="en-US"/>
              </w:rPr>
              <w:t>0.88</w:t>
            </w:r>
          </w:p>
        </w:tc>
      </w:tr>
    </w:tbl>
    <w:p w:rsidR="00FB7BD5" w:rsidRDefault="00FB7BD5" w:rsidP="00B1623E"/>
    <w:p w:rsidR="001A3E08" w:rsidRPr="00031A74" w:rsidRDefault="00B441AA" w:rsidP="00B1623E">
      <w:r>
        <w:t>The current ratio</w:t>
      </w:r>
      <w:r w:rsidR="00AA3B55">
        <w:t xml:space="preserve"> of the organization has registered a rising and stable trend </w:t>
      </w:r>
      <w:r w:rsidR="00416367">
        <w:t>fro</w:t>
      </w:r>
      <w:r w:rsidR="00374C81">
        <w:t>m 2012 onwards u</w:t>
      </w:r>
      <w:r w:rsidR="000112A2">
        <w:t xml:space="preserve">p to 2015.The reason behind this is that the organization has well </w:t>
      </w:r>
      <w:r w:rsidR="008779EA">
        <w:t>controlled the growth of</w:t>
      </w:r>
      <w:r w:rsidR="00DF5B10">
        <w:t xml:space="preserve"> the current liability with a steady gradual growth of the cu</w:t>
      </w:r>
      <w:r w:rsidR="00061F36">
        <w:t xml:space="preserve">rrent asset of the organization during 2012-2015.That is why it can be seen that during </w:t>
      </w:r>
      <w:r w:rsidR="00301EDF">
        <w:t>the period</w:t>
      </w:r>
      <w:r w:rsidR="00061F36">
        <w:t xml:space="preserve"> the organization </w:t>
      </w:r>
      <w:r w:rsidR="00301EDF">
        <w:t>achieved a steady and healthy ration which is above 1 and indicates</w:t>
      </w:r>
      <w:r w:rsidR="005438A0">
        <w:t xml:space="preserve"> </w:t>
      </w:r>
      <w:r w:rsidR="00301EDF">
        <w:t xml:space="preserve">that during 2013-2015 the volume of current asset of the organization exceeded the volume of current liability of the </w:t>
      </w:r>
      <w:r w:rsidR="005438A0">
        <w:t>organization</w:t>
      </w:r>
      <w:r w:rsidR="00A25F1F">
        <w:t>(</w:t>
      </w:r>
      <w:proofErr w:type="spellStart"/>
      <w:r w:rsidR="00A25F1F">
        <w:rPr>
          <w:rFonts w:cs="Times New Roman"/>
          <w:szCs w:val="24"/>
        </w:rPr>
        <w:t>Babalola</w:t>
      </w:r>
      <w:proofErr w:type="spellEnd"/>
      <w:r w:rsidR="00A25F1F">
        <w:rPr>
          <w:rFonts w:cs="Times New Roman"/>
          <w:szCs w:val="24"/>
        </w:rPr>
        <w:t xml:space="preserve"> and </w:t>
      </w:r>
      <w:proofErr w:type="spellStart"/>
      <w:r w:rsidR="00A25F1F">
        <w:rPr>
          <w:rFonts w:cs="Times New Roman"/>
          <w:szCs w:val="24"/>
        </w:rPr>
        <w:t>Abiola</w:t>
      </w:r>
      <w:proofErr w:type="spellEnd"/>
      <w:r w:rsidR="00A25F1F">
        <w:rPr>
          <w:rFonts w:cs="Times New Roman"/>
          <w:szCs w:val="24"/>
        </w:rPr>
        <w:t xml:space="preserve">, </w:t>
      </w:r>
      <w:r w:rsidR="00A25F1F" w:rsidRPr="000747F6">
        <w:rPr>
          <w:rFonts w:cs="Times New Roman"/>
          <w:szCs w:val="24"/>
        </w:rPr>
        <w:t xml:space="preserve"> 2013</w:t>
      </w:r>
      <w:r w:rsidR="00A25F1F">
        <w:t>)</w:t>
      </w:r>
      <w:r w:rsidR="005438A0">
        <w:t xml:space="preserve">. However the increase in investment for the expansion of the </w:t>
      </w:r>
      <w:r w:rsidR="00937D52">
        <w:t xml:space="preserve">different segment of the organization have reduced the volume of current asset in proportion to the current liability holding of the organization which has led to the </w:t>
      </w:r>
      <w:r w:rsidR="00A43165">
        <w:t>decline in the ratio.</w:t>
      </w:r>
    </w:p>
    <w:p w:rsidR="00B1623E" w:rsidRPr="00935FA0" w:rsidRDefault="00935FA0" w:rsidP="00CD5A47">
      <w:pPr>
        <w:rPr>
          <w:b/>
        </w:rPr>
      </w:pPr>
      <w:r w:rsidRPr="00935FA0">
        <w:rPr>
          <w:b/>
        </w:rPr>
        <w:t>Quick Ratio:</w:t>
      </w:r>
    </w:p>
    <w:p w:rsidR="00951685" w:rsidRDefault="000E5D79" w:rsidP="00CD5A47">
      <w:r>
        <w:t xml:space="preserve">The quick ratio or the </w:t>
      </w:r>
      <w:r w:rsidR="0020539E">
        <w:t>acid test</w:t>
      </w:r>
      <w:r>
        <w:t xml:space="preserve"> ratio defines the </w:t>
      </w:r>
      <w:r w:rsidR="00064E1B">
        <w:t xml:space="preserve">capability of the organization </w:t>
      </w:r>
      <w:r w:rsidR="0020539E">
        <w:t xml:space="preserve">to service the current liability of the organization only by using the </w:t>
      </w:r>
      <w:r w:rsidR="002C5BC7">
        <w:t xml:space="preserve">quick assets or the near cash </w:t>
      </w:r>
      <w:r w:rsidR="00A77ABB">
        <w:t>assets. The quick assets are those assets that can be quickly converted in to cash that is close to their book value</w:t>
      </w:r>
      <w:r w:rsidR="002C5BC7">
        <w:t xml:space="preserve"> </w:t>
      </w:r>
      <w:r w:rsidR="00BC0F81">
        <w:t>.So generally high quick ratio is preferred for the organization</w:t>
      </w:r>
      <w:r w:rsidR="00F5554B">
        <w:t xml:space="preserve">, but this ratio does not </w:t>
      </w:r>
      <w:r w:rsidR="00F5554B">
        <w:lastRenderedPageBreak/>
        <w:t xml:space="preserve">reflect the full </w:t>
      </w:r>
      <w:r w:rsidR="00F208B1">
        <w:t>financial</w:t>
      </w:r>
      <w:r w:rsidR="00F5554B">
        <w:t xml:space="preserve"> health of the </w:t>
      </w:r>
      <w:r w:rsidR="002D1364">
        <w:t>organization</w:t>
      </w:r>
      <w:r w:rsidR="00DB4F77">
        <w:t>(</w:t>
      </w:r>
      <w:proofErr w:type="spellStart"/>
      <w:r w:rsidR="00DB4F77">
        <w:rPr>
          <w:rFonts w:cs="Times New Roman"/>
          <w:szCs w:val="24"/>
        </w:rPr>
        <w:t>Niresh</w:t>
      </w:r>
      <w:proofErr w:type="spellEnd"/>
      <w:r w:rsidR="00DB4F77">
        <w:rPr>
          <w:rFonts w:cs="Times New Roman"/>
          <w:szCs w:val="24"/>
        </w:rPr>
        <w:t xml:space="preserve">, </w:t>
      </w:r>
      <w:r w:rsidR="00DB4F77" w:rsidRPr="000747F6">
        <w:rPr>
          <w:rFonts w:cs="Times New Roman"/>
          <w:szCs w:val="24"/>
        </w:rPr>
        <w:t xml:space="preserve"> 2012</w:t>
      </w:r>
      <w:r w:rsidR="00DB4F77">
        <w:t>)</w:t>
      </w:r>
      <w:r w:rsidR="002D1364">
        <w:t>. Because,</w:t>
      </w:r>
      <w:r w:rsidR="00F208B1">
        <w:t xml:space="preserve"> if an organization has a very small</w:t>
      </w:r>
      <w:r w:rsidR="002D1364">
        <w:t xml:space="preserve"> debtor period and very lo</w:t>
      </w:r>
      <w:r w:rsidR="00F208B1">
        <w:t xml:space="preserve">ng creditor period then the </w:t>
      </w:r>
      <w:r w:rsidR="00ED54BF">
        <w:t>organization have a low quick ratio</w:t>
      </w:r>
      <w:r w:rsidR="006A66EC">
        <w:t xml:space="preserve"> as the liability or the denominator of the current liability of the organization wi</w:t>
      </w:r>
      <w:r w:rsidR="00D00C29">
        <w:t xml:space="preserve">ll be large enough compared to the numerator but still the organization has a healthy </w:t>
      </w:r>
      <w:r w:rsidR="000F735B">
        <w:t>financial position.</w:t>
      </w:r>
    </w:p>
    <w:tbl>
      <w:tblPr>
        <w:tblStyle w:val="TableGrid"/>
        <w:tblW w:w="8581" w:type="dxa"/>
        <w:jc w:val="center"/>
        <w:shd w:val="clear" w:color="auto" w:fill="D6E3BC" w:themeFill="accent3" w:themeFillTint="66"/>
        <w:tblLook w:val="04A0"/>
      </w:tblPr>
      <w:tblGrid>
        <w:gridCol w:w="3201"/>
        <w:gridCol w:w="1090"/>
        <w:gridCol w:w="1090"/>
        <w:gridCol w:w="1090"/>
        <w:gridCol w:w="1090"/>
        <w:gridCol w:w="1090"/>
      </w:tblGrid>
      <w:tr w:rsidR="000F735B" w:rsidRPr="000F735B" w:rsidTr="00416367">
        <w:trPr>
          <w:trHeight w:val="315"/>
          <w:jc w:val="center"/>
        </w:trPr>
        <w:tc>
          <w:tcPr>
            <w:tcW w:w="8581" w:type="dxa"/>
            <w:gridSpan w:val="6"/>
            <w:shd w:val="clear" w:color="auto" w:fill="D6E3BC" w:themeFill="accent3" w:themeFillTint="66"/>
            <w:noWrap/>
            <w:hideMark/>
          </w:tcPr>
          <w:p w:rsidR="000F735B" w:rsidRPr="000F735B" w:rsidRDefault="000F735B" w:rsidP="000F735B">
            <w:pPr>
              <w:spacing w:line="240" w:lineRule="auto"/>
              <w:jc w:val="center"/>
              <w:rPr>
                <w:rFonts w:eastAsia="Times New Roman" w:cs="Times New Roman"/>
                <w:color w:val="000000"/>
                <w:sz w:val="24"/>
                <w:szCs w:val="24"/>
                <w:lang w:val="en-US"/>
              </w:rPr>
            </w:pPr>
            <w:r w:rsidRPr="000F735B">
              <w:rPr>
                <w:rFonts w:eastAsia="Times New Roman" w:cs="Times New Roman"/>
                <w:color w:val="000000"/>
                <w:sz w:val="24"/>
                <w:szCs w:val="24"/>
                <w:lang w:val="en-US"/>
              </w:rPr>
              <w:t>Glaxo SmithKline(GSK) Ratio Analysis</w:t>
            </w:r>
          </w:p>
        </w:tc>
      </w:tr>
      <w:tr w:rsidR="000F735B" w:rsidRPr="000F735B" w:rsidTr="00416367">
        <w:trPr>
          <w:trHeight w:val="300"/>
          <w:jc w:val="center"/>
        </w:trPr>
        <w:tc>
          <w:tcPr>
            <w:tcW w:w="3201" w:type="dxa"/>
            <w:shd w:val="clear" w:color="auto" w:fill="D6E3BC" w:themeFill="accent3" w:themeFillTint="66"/>
            <w:noWrap/>
            <w:hideMark/>
          </w:tcPr>
          <w:p w:rsidR="000F735B" w:rsidRPr="000F735B" w:rsidRDefault="000F735B" w:rsidP="000F735B">
            <w:pPr>
              <w:spacing w:line="240" w:lineRule="auto"/>
              <w:jc w:val="left"/>
              <w:rPr>
                <w:rFonts w:eastAsia="Times New Roman" w:cs="Times New Roman"/>
                <w:color w:val="000000"/>
                <w:sz w:val="24"/>
                <w:szCs w:val="24"/>
                <w:lang w:val="en-US"/>
              </w:rPr>
            </w:pPr>
            <w:r w:rsidRPr="000F735B">
              <w:rPr>
                <w:rFonts w:eastAsia="Times New Roman" w:cs="Times New Roman"/>
                <w:color w:val="000000"/>
                <w:sz w:val="24"/>
                <w:szCs w:val="24"/>
                <w:lang w:val="en-US"/>
              </w:rPr>
              <w:t>financial statement  items</w:t>
            </w:r>
          </w:p>
        </w:tc>
        <w:tc>
          <w:tcPr>
            <w:tcW w:w="1076" w:type="dxa"/>
            <w:shd w:val="clear" w:color="auto" w:fill="D6E3BC" w:themeFill="accent3" w:themeFillTint="66"/>
            <w:noWrap/>
            <w:hideMark/>
          </w:tcPr>
          <w:p w:rsidR="000F735B" w:rsidRPr="000F735B" w:rsidRDefault="000F735B" w:rsidP="000F735B">
            <w:pPr>
              <w:spacing w:line="240" w:lineRule="auto"/>
              <w:jc w:val="left"/>
              <w:rPr>
                <w:rFonts w:eastAsia="Times New Roman" w:cs="Times New Roman"/>
                <w:color w:val="000000"/>
                <w:sz w:val="24"/>
                <w:szCs w:val="24"/>
                <w:lang w:val="en-US"/>
              </w:rPr>
            </w:pPr>
            <w:r w:rsidRPr="000F735B">
              <w:rPr>
                <w:rFonts w:eastAsia="Times New Roman" w:cs="Times New Roman"/>
                <w:color w:val="000000"/>
                <w:sz w:val="24"/>
                <w:szCs w:val="24"/>
                <w:lang w:val="en-US"/>
              </w:rPr>
              <w:t>£,million</w:t>
            </w:r>
          </w:p>
        </w:tc>
        <w:tc>
          <w:tcPr>
            <w:tcW w:w="1076" w:type="dxa"/>
            <w:shd w:val="clear" w:color="auto" w:fill="D6E3BC" w:themeFill="accent3" w:themeFillTint="66"/>
            <w:noWrap/>
            <w:hideMark/>
          </w:tcPr>
          <w:p w:rsidR="000F735B" w:rsidRPr="000F735B" w:rsidRDefault="000F735B" w:rsidP="000F735B">
            <w:pPr>
              <w:spacing w:line="240" w:lineRule="auto"/>
              <w:jc w:val="left"/>
              <w:rPr>
                <w:rFonts w:eastAsia="Times New Roman" w:cs="Times New Roman"/>
                <w:color w:val="000000"/>
                <w:sz w:val="24"/>
                <w:szCs w:val="24"/>
                <w:lang w:val="en-US"/>
              </w:rPr>
            </w:pPr>
            <w:r w:rsidRPr="000F735B">
              <w:rPr>
                <w:rFonts w:eastAsia="Times New Roman" w:cs="Times New Roman"/>
                <w:color w:val="000000"/>
                <w:sz w:val="24"/>
                <w:szCs w:val="24"/>
                <w:lang w:val="en-US"/>
              </w:rPr>
              <w:t>£,million</w:t>
            </w:r>
          </w:p>
        </w:tc>
        <w:tc>
          <w:tcPr>
            <w:tcW w:w="1076" w:type="dxa"/>
            <w:shd w:val="clear" w:color="auto" w:fill="D6E3BC" w:themeFill="accent3" w:themeFillTint="66"/>
            <w:noWrap/>
            <w:hideMark/>
          </w:tcPr>
          <w:p w:rsidR="000F735B" w:rsidRPr="000F735B" w:rsidRDefault="000F735B" w:rsidP="000F735B">
            <w:pPr>
              <w:spacing w:line="240" w:lineRule="auto"/>
              <w:jc w:val="left"/>
              <w:rPr>
                <w:rFonts w:eastAsia="Times New Roman" w:cs="Times New Roman"/>
                <w:color w:val="000000"/>
                <w:sz w:val="24"/>
                <w:szCs w:val="24"/>
                <w:lang w:val="en-US"/>
              </w:rPr>
            </w:pPr>
            <w:r w:rsidRPr="000F735B">
              <w:rPr>
                <w:rFonts w:eastAsia="Times New Roman" w:cs="Times New Roman"/>
                <w:color w:val="000000"/>
                <w:sz w:val="24"/>
                <w:szCs w:val="24"/>
                <w:lang w:val="en-US"/>
              </w:rPr>
              <w:t>£,million</w:t>
            </w:r>
          </w:p>
        </w:tc>
        <w:tc>
          <w:tcPr>
            <w:tcW w:w="1076" w:type="dxa"/>
            <w:shd w:val="clear" w:color="auto" w:fill="D6E3BC" w:themeFill="accent3" w:themeFillTint="66"/>
            <w:noWrap/>
            <w:hideMark/>
          </w:tcPr>
          <w:p w:rsidR="000F735B" w:rsidRPr="000F735B" w:rsidRDefault="000F735B" w:rsidP="000F735B">
            <w:pPr>
              <w:spacing w:line="240" w:lineRule="auto"/>
              <w:jc w:val="left"/>
              <w:rPr>
                <w:rFonts w:eastAsia="Times New Roman" w:cs="Times New Roman"/>
                <w:color w:val="000000"/>
                <w:sz w:val="24"/>
                <w:szCs w:val="24"/>
                <w:lang w:val="en-US"/>
              </w:rPr>
            </w:pPr>
            <w:r w:rsidRPr="000F735B">
              <w:rPr>
                <w:rFonts w:eastAsia="Times New Roman" w:cs="Times New Roman"/>
                <w:color w:val="000000"/>
                <w:sz w:val="24"/>
                <w:szCs w:val="24"/>
                <w:lang w:val="en-US"/>
              </w:rPr>
              <w:t>£,million</w:t>
            </w:r>
          </w:p>
        </w:tc>
        <w:tc>
          <w:tcPr>
            <w:tcW w:w="1076" w:type="dxa"/>
            <w:shd w:val="clear" w:color="auto" w:fill="D6E3BC" w:themeFill="accent3" w:themeFillTint="66"/>
            <w:noWrap/>
            <w:hideMark/>
          </w:tcPr>
          <w:p w:rsidR="000F735B" w:rsidRPr="000F735B" w:rsidRDefault="000F735B" w:rsidP="000F735B">
            <w:pPr>
              <w:spacing w:line="240" w:lineRule="auto"/>
              <w:jc w:val="left"/>
              <w:rPr>
                <w:rFonts w:eastAsia="Times New Roman" w:cs="Times New Roman"/>
                <w:color w:val="000000"/>
                <w:sz w:val="24"/>
                <w:szCs w:val="24"/>
                <w:lang w:val="en-US"/>
              </w:rPr>
            </w:pPr>
            <w:r w:rsidRPr="000F735B">
              <w:rPr>
                <w:rFonts w:eastAsia="Times New Roman" w:cs="Times New Roman"/>
                <w:color w:val="000000"/>
                <w:sz w:val="24"/>
                <w:szCs w:val="24"/>
                <w:lang w:val="en-US"/>
              </w:rPr>
              <w:t>£,million</w:t>
            </w:r>
          </w:p>
        </w:tc>
      </w:tr>
      <w:tr w:rsidR="000F735B" w:rsidRPr="000F735B" w:rsidTr="00416367">
        <w:trPr>
          <w:trHeight w:val="300"/>
          <w:jc w:val="center"/>
        </w:trPr>
        <w:tc>
          <w:tcPr>
            <w:tcW w:w="3201" w:type="dxa"/>
            <w:shd w:val="clear" w:color="auto" w:fill="D6E3BC" w:themeFill="accent3" w:themeFillTint="66"/>
            <w:noWrap/>
            <w:hideMark/>
          </w:tcPr>
          <w:p w:rsidR="000F735B" w:rsidRPr="000F735B" w:rsidRDefault="000F735B" w:rsidP="000F735B">
            <w:pPr>
              <w:spacing w:line="240" w:lineRule="auto"/>
              <w:jc w:val="left"/>
              <w:rPr>
                <w:rFonts w:eastAsia="Times New Roman" w:cs="Times New Roman"/>
                <w:color w:val="000000"/>
                <w:sz w:val="24"/>
                <w:szCs w:val="24"/>
                <w:lang w:val="en-US"/>
              </w:rPr>
            </w:pPr>
            <w:r w:rsidRPr="000F735B">
              <w:rPr>
                <w:rFonts w:eastAsia="Times New Roman" w:cs="Times New Roman"/>
                <w:color w:val="000000"/>
                <w:sz w:val="24"/>
                <w:szCs w:val="24"/>
                <w:lang w:val="en-US"/>
              </w:rPr>
              <w:t> </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color w:val="000000"/>
                <w:sz w:val="24"/>
                <w:szCs w:val="24"/>
                <w:lang w:val="en-US"/>
              </w:rPr>
            </w:pPr>
            <w:r w:rsidRPr="000F735B">
              <w:rPr>
                <w:rFonts w:eastAsia="Times New Roman" w:cs="Times New Roman"/>
                <w:color w:val="000000"/>
                <w:sz w:val="24"/>
                <w:szCs w:val="24"/>
                <w:lang w:val="en-US"/>
              </w:rPr>
              <w:t>2012</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color w:val="000000"/>
                <w:sz w:val="24"/>
                <w:szCs w:val="24"/>
                <w:lang w:val="en-US"/>
              </w:rPr>
            </w:pPr>
            <w:r w:rsidRPr="000F735B">
              <w:rPr>
                <w:rFonts w:eastAsia="Times New Roman" w:cs="Times New Roman"/>
                <w:color w:val="000000"/>
                <w:sz w:val="24"/>
                <w:szCs w:val="24"/>
                <w:lang w:val="en-US"/>
              </w:rPr>
              <w:t>2013</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color w:val="000000"/>
                <w:sz w:val="24"/>
                <w:szCs w:val="24"/>
                <w:lang w:val="en-US"/>
              </w:rPr>
            </w:pPr>
            <w:r w:rsidRPr="000F735B">
              <w:rPr>
                <w:rFonts w:eastAsia="Times New Roman" w:cs="Times New Roman"/>
                <w:color w:val="000000"/>
                <w:sz w:val="24"/>
                <w:szCs w:val="24"/>
                <w:lang w:val="en-US"/>
              </w:rPr>
              <w:t>2014</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color w:val="000000"/>
                <w:sz w:val="24"/>
                <w:szCs w:val="24"/>
                <w:lang w:val="en-US"/>
              </w:rPr>
            </w:pPr>
            <w:r w:rsidRPr="000F735B">
              <w:rPr>
                <w:rFonts w:eastAsia="Times New Roman" w:cs="Times New Roman"/>
                <w:color w:val="000000"/>
                <w:sz w:val="24"/>
                <w:szCs w:val="24"/>
                <w:lang w:val="en-US"/>
              </w:rPr>
              <w:t>2015</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color w:val="000000"/>
                <w:sz w:val="24"/>
                <w:szCs w:val="24"/>
                <w:lang w:val="en-US"/>
              </w:rPr>
            </w:pPr>
            <w:r w:rsidRPr="000F735B">
              <w:rPr>
                <w:rFonts w:eastAsia="Times New Roman" w:cs="Times New Roman"/>
                <w:color w:val="000000"/>
                <w:sz w:val="24"/>
                <w:szCs w:val="24"/>
                <w:lang w:val="en-US"/>
              </w:rPr>
              <w:t>2016</w:t>
            </w:r>
          </w:p>
        </w:tc>
      </w:tr>
      <w:tr w:rsidR="000F735B" w:rsidRPr="000F735B" w:rsidTr="00416367">
        <w:trPr>
          <w:trHeight w:val="300"/>
          <w:jc w:val="center"/>
        </w:trPr>
        <w:tc>
          <w:tcPr>
            <w:tcW w:w="3201" w:type="dxa"/>
            <w:shd w:val="clear" w:color="auto" w:fill="D6E3BC" w:themeFill="accent3" w:themeFillTint="66"/>
            <w:noWrap/>
            <w:hideMark/>
          </w:tcPr>
          <w:p w:rsidR="000F735B" w:rsidRPr="000F735B" w:rsidRDefault="000F735B" w:rsidP="000F735B">
            <w:pPr>
              <w:spacing w:line="240" w:lineRule="auto"/>
              <w:jc w:val="left"/>
              <w:rPr>
                <w:rFonts w:eastAsia="Times New Roman" w:cs="Times New Roman"/>
                <w:color w:val="000000"/>
                <w:sz w:val="24"/>
                <w:szCs w:val="24"/>
                <w:lang w:val="en-US"/>
              </w:rPr>
            </w:pPr>
            <w:r w:rsidRPr="000F735B">
              <w:rPr>
                <w:rFonts w:eastAsia="Times New Roman" w:cs="Times New Roman"/>
                <w:color w:val="000000"/>
                <w:sz w:val="24"/>
                <w:szCs w:val="24"/>
                <w:lang w:val="en-US"/>
              </w:rPr>
              <w:t>Current asset</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sz w:val="24"/>
                <w:szCs w:val="24"/>
                <w:lang w:val="en-US"/>
              </w:rPr>
            </w:pPr>
            <w:r w:rsidRPr="000F735B">
              <w:rPr>
                <w:rFonts w:eastAsia="Times New Roman" w:cs="Times New Roman"/>
                <w:sz w:val="24"/>
                <w:szCs w:val="24"/>
                <w:lang w:val="en-US"/>
              </w:rPr>
              <w:t>13,692</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sz w:val="24"/>
                <w:szCs w:val="24"/>
                <w:lang w:val="en-US"/>
              </w:rPr>
            </w:pPr>
            <w:r w:rsidRPr="000F735B">
              <w:rPr>
                <w:rFonts w:eastAsia="Times New Roman" w:cs="Times New Roman"/>
                <w:sz w:val="24"/>
                <w:szCs w:val="24"/>
                <w:lang w:val="en-US"/>
              </w:rPr>
              <w:t>15,227</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sz w:val="24"/>
                <w:szCs w:val="24"/>
                <w:lang w:val="en-US"/>
              </w:rPr>
            </w:pPr>
            <w:r w:rsidRPr="000F735B">
              <w:rPr>
                <w:rFonts w:eastAsia="Times New Roman" w:cs="Times New Roman"/>
                <w:sz w:val="24"/>
                <w:szCs w:val="24"/>
                <w:lang w:val="en-US"/>
              </w:rPr>
              <w:t>14,678</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color w:val="000000"/>
                <w:sz w:val="24"/>
                <w:szCs w:val="24"/>
                <w:lang w:val="en-US"/>
              </w:rPr>
            </w:pPr>
            <w:r w:rsidRPr="000F735B">
              <w:rPr>
                <w:rFonts w:eastAsia="Times New Roman" w:cs="Times New Roman"/>
                <w:color w:val="000000"/>
                <w:sz w:val="24"/>
                <w:szCs w:val="24"/>
                <w:lang w:val="en-US"/>
              </w:rPr>
              <w:t>16,587</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sz w:val="24"/>
                <w:szCs w:val="24"/>
                <w:lang w:val="en-US"/>
              </w:rPr>
            </w:pPr>
            <w:r w:rsidRPr="000F735B">
              <w:rPr>
                <w:rFonts w:eastAsia="Times New Roman" w:cs="Times New Roman"/>
                <w:sz w:val="24"/>
                <w:szCs w:val="24"/>
                <w:lang w:val="en-US"/>
              </w:rPr>
              <w:t>16,711</w:t>
            </w:r>
          </w:p>
        </w:tc>
      </w:tr>
      <w:tr w:rsidR="000F735B" w:rsidRPr="000F735B" w:rsidTr="00416367">
        <w:trPr>
          <w:trHeight w:val="300"/>
          <w:jc w:val="center"/>
        </w:trPr>
        <w:tc>
          <w:tcPr>
            <w:tcW w:w="3201" w:type="dxa"/>
            <w:shd w:val="clear" w:color="auto" w:fill="D6E3BC" w:themeFill="accent3" w:themeFillTint="66"/>
            <w:noWrap/>
            <w:hideMark/>
          </w:tcPr>
          <w:p w:rsidR="000F735B" w:rsidRPr="000F735B" w:rsidRDefault="000F735B" w:rsidP="000F735B">
            <w:pPr>
              <w:spacing w:line="240" w:lineRule="auto"/>
              <w:jc w:val="left"/>
              <w:rPr>
                <w:rFonts w:eastAsia="Times New Roman" w:cs="Times New Roman"/>
                <w:color w:val="000000"/>
                <w:sz w:val="24"/>
                <w:szCs w:val="24"/>
                <w:lang w:val="en-US"/>
              </w:rPr>
            </w:pPr>
            <w:r w:rsidRPr="000F735B">
              <w:rPr>
                <w:rFonts w:eastAsia="Times New Roman" w:cs="Times New Roman"/>
                <w:color w:val="000000"/>
                <w:sz w:val="24"/>
                <w:szCs w:val="24"/>
                <w:lang w:val="en-US"/>
              </w:rPr>
              <w:t>Current liability</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sz w:val="24"/>
                <w:szCs w:val="24"/>
                <w:lang w:val="en-US"/>
              </w:rPr>
            </w:pPr>
            <w:r w:rsidRPr="000F735B">
              <w:rPr>
                <w:rFonts w:eastAsia="Times New Roman" w:cs="Times New Roman"/>
                <w:sz w:val="24"/>
                <w:szCs w:val="24"/>
                <w:lang w:val="en-US"/>
              </w:rPr>
              <w:t>13,815</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sz w:val="24"/>
                <w:szCs w:val="24"/>
                <w:lang w:val="en-US"/>
              </w:rPr>
            </w:pPr>
            <w:r w:rsidRPr="000F735B">
              <w:rPr>
                <w:rFonts w:eastAsia="Times New Roman" w:cs="Times New Roman"/>
                <w:sz w:val="24"/>
                <w:szCs w:val="24"/>
                <w:lang w:val="en-US"/>
              </w:rPr>
              <w:t>13,677</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sz w:val="24"/>
                <w:szCs w:val="24"/>
                <w:lang w:val="en-US"/>
              </w:rPr>
            </w:pPr>
            <w:r w:rsidRPr="000F735B">
              <w:rPr>
                <w:rFonts w:eastAsia="Times New Roman" w:cs="Times New Roman"/>
                <w:sz w:val="24"/>
                <w:szCs w:val="24"/>
                <w:lang w:val="en-US"/>
              </w:rPr>
              <w:t>13,295</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sz w:val="24"/>
                <w:szCs w:val="24"/>
                <w:lang w:val="en-US"/>
              </w:rPr>
            </w:pPr>
            <w:r w:rsidRPr="000F735B">
              <w:rPr>
                <w:rFonts w:eastAsia="Times New Roman" w:cs="Times New Roman"/>
                <w:sz w:val="24"/>
                <w:szCs w:val="24"/>
                <w:lang w:val="en-US"/>
              </w:rPr>
              <w:t>13417</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color w:val="000000"/>
                <w:sz w:val="24"/>
                <w:szCs w:val="24"/>
                <w:lang w:val="en-US"/>
              </w:rPr>
            </w:pPr>
            <w:r w:rsidRPr="000F735B">
              <w:rPr>
                <w:rFonts w:eastAsia="Times New Roman" w:cs="Times New Roman"/>
                <w:color w:val="000000"/>
                <w:sz w:val="24"/>
                <w:szCs w:val="24"/>
                <w:lang w:val="en-US"/>
              </w:rPr>
              <w:t>19,001</w:t>
            </w:r>
          </w:p>
        </w:tc>
      </w:tr>
      <w:tr w:rsidR="000F735B" w:rsidRPr="000F735B" w:rsidTr="00416367">
        <w:trPr>
          <w:trHeight w:val="300"/>
          <w:jc w:val="center"/>
        </w:trPr>
        <w:tc>
          <w:tcPr>
            <w:tcW w:w="3201" w:type="dxa"/>
            <w:shd w:val="clear" w:color="auto" w:fill="D6E3BC" w:themeFill="accent3" w:themeFillTint="66"/>
            <w:noWrap/>
            <w:hideMark/>
          </w:tcPr>
          <w:p w:rsidR="000F735B" w:rsidRPr="000F735B" w:rsidRDefault="000F735B" w:rsidP="000F735B">
            <w:pPr>
              <w:spacing w:line="240" w:lineRule="auto"/>
              <w:jc w:val="left"/>
              <w:rPr>
                <w:rFonts w:eastAsia="Times New Roman" w:cs="Times New Roman"/>
                <w:color w:val="000000"/>
                <w:sz w:val="24"/>
                <w:szCs w:val="24"/>
                <w:lang w:val="en-US"/>
              </w:rPr>
            </w:pPr>
            <w:r w:rsidRPr="000F735B">
              <w:rPr>
                <w:rFonts w:eastAsia="Times New Roman" w:cs="Times New Roman"/>
                <w:color w:val="000000"/>
                <w:sz w:val="24"/>
                <w:szCs w:val="24"/>
                <w:lang w:val="en-US"/>
              </w:rPr>
              <w:t>Average Inventory holding</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sz w:val="24"/>
                <w:szCs w:val="24"/>
                <w:lang w:val="en-US"/>
              </w:rPr>
            </w:pPr>
            <w:r w:rsidRPr="000F735B">
              <w:rPr>
                <w:rFonts w:eastAsia="Times New Roman" w:cs="Times New Roman"/>
                <w:sz w:val="24"/>
                <w:szCs w:val="24"/>
                <w:lang w:val="en-US"/>
              </w:rPr>
              <w:t>3969</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sz w:val="24"/>
                <w:szCs w:val="24"/>
                <w:lang w:val="en-US"/>
              </w:rPr>
            </w:pPr>
            <w:r w:rsidRPr="000F735B">
              <w:rPr>
                <w:rFonts w:eastAsia="Times New Roman" w:cs="Times New Roman"/>
                <w:sz w:val="24"/>
                <w:szCs w:val="24"/>
                <w:lang w:val="en-US"/>
              </w:rPr>
              <w:t>3,900</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sz w:val="24"/>
                <w:szCs w:val="24"/>
                <w:lang w:val="en-US"/>
              </w:rPr>
            </w:pPr>
            <w:r w:rsidRPr="000F735B">
              <w:rPr>
                <w:rFonts w:eastAsia="Times New Roman" w:cs="Times New Roman"/>
                <w:sz w:val="24"/>
                <w:szCs w:val="24"/>
                <w:lang w:val="en-US"/>
              </w:rPr>
              <w:t>4,231</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sz w:val="24"/>
                <w:szCs w:val="24"/>
                <w:lang w:val="en-US"/>
              </w:rPr>
            </w:pPr>
            <w:r w:rsidRPr="000F735B">
              <w:rPr>
                <w:rFonts w:eastAsia="Times New Roman" w:cs="Times New Roman"/>
                <w:sz w:val="24"/>
                <w:szCs w:val="24"/>
                <w:lang w:val="en-US"/>
              </w:rPr>
              <w:t>4716</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sz w:val="24"/>
                <w:szCs w:val="24"/>
                <w:lang w:val="en-US"/>
              </w:rPr>
            </w:pPr>
            <w:r w:rsidRPr="000F735B">
              <w:rPr>
                <w:rFonts w:eastAsia="Times New Roman" w:cs="Times New Roman"/>
                <w:sz w:val="24"/>
                <w:szCs w:val="24"/>
                <w:lang w:val="en-US"/>
              </w:rPr>
              <w:t>5102</w:t>
            </w:r>
          </w:p>
        </w:tc>
      </w:tr>
      <w:tr w:rsidR="000F735B" w:rsidRPr="000F735B" w:rsidTr="00416367">
        <w:trPr>
          <w:trHeight w:val="300"/>
          <w:jc w:val="center"/>
        </w:trPr>
        <w:tc>
          <w:tcPr>
            <w:tcW w:w="3201" w:type="dxa"/>
            <w:shd w:val="clear" w:color="auto" w:fill="D6E3BC" w:themeFill="accent3" w:themeFillTint="66"/>
            <w:noWrap/>
            <w:hideMark/>
          </w:tcPr>
          <w:p w:rsidR="000F735B" w:rsidRPr="000F735B" w:rsidRDefault="000F735B" w:rsidP="000F735B">
            <w:pPr>
              <w:spacing w:line="240" w:lineRule="auto"/>
              <w:jc w:val="left"/>
              <w:rPr>
                <w:rFonts w:eastAsia="Times New Roman" w:cs="Times New Roman"/>
                <w:color w:val="000000"/>
                <w:sz w:val="24"/>
                <w:szCs w:val="24"/>
                <w:lang w:val="en-US"/>
              </w:rPr>
            </w:pPr>
            <w:r w:rsidRPr="000F735B">
              <w:rPr>
                <w:rFonts w:eastAsia="Times New Roman" w:cs="Times New Roman"/>
                <w:color w:val="000000"/>
                <w:sz w:val="24"/>
                <w:szCs w:val="24"/>
                <w:lang w:val="en-US"/>
              </w:rPr>
              <w:t xml:space="preserve">Quick Ratio ([Current asset-Inventories]/ Current liability*100) </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sz w:val="24"/>
                <w:szCs w:val="24"/>
                <w:lang w:val="en-US"/>
              </w:rPr>
            </w:pPr>
            <w:r w:rsidRPr="000F735B">
              <w:rPr>
                <w:rFonts w:eastAsia="Times New Roman" w:cs="Times New Roman"/>
                <w:sz w:val="24"/>
                <w:szCs w:val="24"/>
                <w:lang w:val="en-US"/>
              </w:rPr>
              <w:t>0.70</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sz w:val="24"/>
                <w:szCs w:val="24"/>
                <w:lang w:val="en-US"/>
              </w:rPr>
            </w:pPr>
            <w:r w:rsidRPr="000F735B">
              <w:rPr>
                <w:rFonts w:eastAsia="Times New Roman" w:cs="Times New Roman"/>
                <w:sz w:val="24"/>
                <w:szCs w:val="24"/>
                <w:lang w:val="en-US"/>
              </w:rPr>
              <w:t>0.83</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sz w:val="24"/>
                <w:szCs w:val="24"/>
                <w:lang w:val="en-US"/>
              </w:rPr>
            </w:pPr>
            <w:r w:rsidRPr="000F735B">
              <w:rPr>
                <w:rFonts w:eastAsia="Times New Roman" w:cs="Times New Roman"/>
                <w:sz w:val="24"/>
                <w:szCs w:val="24"/>
                <w:lang w:val="en-US"/>
              </w:rPr>
              <w:t>0.79</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sz w:val="24"/>
                <w:szCs w:val="24"/>
                <w:lang w:val="en-US"/>
              </w:rPr>
            </w:pPr>
            <w:r w:rsidRPr="000F735B">
              <w:rPr>
                <w:rFonts w:eastAsia="Times New Roman" w:cs="Times New Roman"/>
                <w:sz w:val="24"/>
                <w:szCs w:val="24"/>
                <w:lang w:val="en-US"/>
              </w:rPr>
              <w:t>0.88</w:t>
            </w:r>
          </w:p>
        </w:tc>
        <w:tc>
          <w:tcPr>
            <w:tcW w:w="1076" w:type="dxa"/>
            <w:shd w:val="clear" w:color="auto" w:fill="D6E3BC" w:themeFill="accent3" w:themeFillTint="66"/>
            <w:noWrap/>
            <w:hideMark/>
          </w:tcPr>
          <w:p w:rsidR="000F735B" w:rsidRPr="000F735B" w:rsidRDefault="000F735B" w:rsidP="000F735B">
            <w:pPr>
              <w:spacing w:line="240" w:lineRule="auto"/>
              <w:jc w:val="right"/>
              <w:rPr>
                <w:rFonts w:eastAsia="Times New Roman" w:cs="Times New Roman"/>
                <w:sz w:val="24"/>
                <w:szCs w:val="24"/>
                <w:lang w:val="en-US"/>
              </w:rPr>
            </w:pPr>
            <w:r w:rsidRPr="000F735B">
              <w:rPr>
                <w:rFonts w:eastAsia="Times New Roman" w:cs="Times New Roman"/>
                <w:sz w:val="24"/>
                <w:szCs w:val="24"/>
                <w:lang w:val="en-US"/>
              </w:rPr>
              <w:t>0.61</w:t>
            </w:r>
          </w:p>
        </w:tc>
      </w:tr>
    </w:tbl>
    <w:p w:rsidR="00951685" w:rsidRDefault="00951685" w:rsidP="00CD5A47"/>
    <w:p w:rsidR="00A072E8" w:rsidRDefault="00A072E8" w:rsidP="00CD5A47">
      <w:r>
        <w:t>The quick ratio of the organization is reflecting the same trend as the cu</w:t>
      </w:r>
      <w:r w:rsidR="00B729DB">
        <w:t xml:space="preserve">rrent ratio of the organization. The quick </w:t>
      </w:r>
      <w:proofErr w:type="gramStart"/>
      <w:r w:rsidR="00B729DB">
        <w:t xml:space="preserve">ratio </w:t>
      </w:r>
      <w:r w:rsidR="00E710EC">
        <w:t xml:space="preserve"> were</w:t>
      </w:r>
      <w:proofErr w:type="gramEnd"/>
      <w:r w:rsidR="00E710EC">
        <w:t xml:space="preserve"> on an avera</w:t>
      </w:r>
      <w:r w:rsidR="004359D8">
        <w:t xml:space="preserve">ge over </w:t>
      </w:r>
      <w:r w:rsidR="00E710EC">
        <w:t>70% during the period 2012-2015 and has registered a decline to 61% in 2016</w:t>
      </w:r>
      <w:r w:rsidR="00DB4F77">
        <w:t>(</w:t>
      </w:r>
      <w:r w:rsidR="00DB4F77">
        <w:rPr>
          <w:rFonts w:cs="Times New Roman"/>
          <w:szCs w:val="24"/>
        </w:rPr>
        <w:t xml:space="preserve">Kirkham, </w:t>
      </w:r>
      <w:r w:rsidR="00DB4F77" w:rsidRPr="008F4B29">
        <w:rPr>
          <w:rFonts w:cs="Times New Roman"/>
          <w:szCs w:val="24"/>
        </w:rPr>
        <w:t>2012</w:t>
      </w:r>
      <w:r w:rsidR="00DB4F77">
        <w:t>)</w:t>
      </w:r>
      <w:r w:rsidR="00E710EC">
        <w:t>.</w:t>
      </w:r>
      <w:r w:rsidR="00B729DB">
        <w:t>That is during 2012-2015 the quick asset of the organization was more than 70% of the current liabilities of the organization  and in 2016 the quick asset has become 61% of the curren</w:t>
      </w:r>
      <w:r w:rsidR="00C62DDF">
        <w:t xml:space="preserve">t liability of the organization with the increase in current liability and decline in </w:t>
      </w:r>
      <w:r w:rsidR="00B54AED">
        <w:t>quick assets that can be quickly converted in to cash.</w:t>
      </w:r>
    </w:p>
    <w:p w:rsidR="000F735B" w:rsidRDefault="00D16585" w:rsidP="00BA5633">
      <w:pPr>
        <w:pStyle w:val="Heading2"/>
      </w:pPr>
      <w:bookmarkStart w:id="7" w:name="_Toc502329661"/>
      <w:r>
        <w:t>Efficiency ratios:</w:t>
      </w:r>
      <w:bookmarkEnd w:id="7"/>
    </w:p>
    <w:p w:rsidR="00D16585" w:rsidRDefault="00BA5633" w:rsidP="00CD5A47">
      <w:r>
        <w:t xml:space="preserve">The </w:t>
      </w:r>
      <w:r w:rsidR="00E05A3F">
        <w:t xml:space="preserve">efficiency </w:t>
      </w:r>
      <w:r w:rsidR="00D73011">
        <w:t>ratio of a business organization reflects</w:t>
      </w:r>
      <w:r w:rsidR="00642C98">
        <w:t xml:space="preserve"> the capabi</w:t>
      </w:r>
      <w:r w:rsidR="009333E4">
        <w:t>li</w:t>
      </w:r>
      <w:r w:rsidR="00642C98">
        <w:t xml:space="preserve">ty of the organization in efficient usage of </w:t>
      </w:r>
      <w:r w:rsidR="005E75A3">
        <w:t>assets</w:t>
      </w:r>
      <w:r w:rsidR="009333E4">
        <w:t xml:space="preserve"> and liabilities that can be used for </w:t>
      </w:r>
      <w:r w:rsidR="00D73011">
        <w:t xml:space="preserve">generating the sales turnover. Higher will be the efficiency of the </w:t>
      </w:r>
      <w:r w:rsidR="0098052B">
        <w:t xml:space="preserve">organization, more the organization will be capable in minimizing the net investment </w:t>
      </w:r>
      <w:r w:rsidR="00C553D9">
        <w:t>in the assets of the organization as the organization have to borrow less for running their day to day business operations</w:t>
      </w:r>
      <w:r w:rsidR="00DA5847">
        <w:t>(</w:t>
      </w:r>
      <w:r w:rsidR="00DA5847" w:rsidRPr="008F4B29">
        <w:rPr>
          <w:rFonts w:cs="Times New Roman"/>
          <w:szCs w:val="24"/>
        </w:rPr>
        <w:t>Biddle</w:t>
      </w:r>
      <w:r w:rsidR="00DA5847">
        <w:rPr>
          <w:rFonts w:cs="Times New Roman"/>
          <w:szCs w:val="24"/>
        </w:rPr>
        <w:t xml:space="preserve"> </w:t>
      </w:r>
      <w:r w:rsidR="00DA5847" w:rsidRPr="00DA5847">
        <w:rPr>
          <w:rFonts w:cs="Times New Roman"/>
          <w:i/>
          <w:szCs w:val="24"/>
        </w:rPr>
        <w:t>et al</w:t>
      </w:r>
      <w:r w:rsidR="00DA5847">
        <w:rPr>
          <w:rFonts w:cs="Times New Roman"/>
          <w:szCs w:val="24"/>
        </w:rPr>
        <w:t>.,2009</w:t>
      </w:r>
      <w:r w:rsidR="00DA5847">
        <w:t>)</w:t>
      </w:r>
      <w:r w:rsidR="008877BA">
        <w:t xml:space="preserve">. The efficiency ratios are </w:t>
      </w:r>
      <w:r w:rsidR="004A7301">
        <w:t>used to assess</w:t>
      </w:r>
      <w:r w:rsidR="008877BA">
        <w:t xml:space="preserve"> the capability of the management of the organization as if </w:t>
      </w:r>
      <w:r w:rsidR="004A7301">
        <w:t>the</w:t>
      </w:r>
      <w:r w:rsidR="008877BA">
        <w:t xml:space="preserve"> </w:t>
      </w:r>
      <w:r w:rsidR="004A7301">
        <w:t>asset</w:t>
      </w:r>
      <w:r w:rsidR="008877BA">
        <w:t xml:space="preserve"> related efficiency or the turnover ratio</w:t>
      </w:r>
      <w:r w:rsidR="004A7301">
        <w:t>s</w:t>
      </w:r>
      <w:r w:rsidR="008877BA">
        <w:t xml:space="preserve"> are </w:t>
      </w:r>
      <w:r w:rsidR="004A7301">
        <w:t xml:space="preserve">high then it indicates that the management of the organization is capable in </w:t>
      </w:r>
      <w:r w:rsidR="002726B0">
        <w:t>generat</w:t>
      </w:r>
      <w:r w:rsidR="004A7301">
        <w:t>ing maximum sales from the usage of the minimum assets</w:t>
      </w:r>
    </w:p>
    <w:p w:rsidR="000F735B" w:rsidRDefault="008877BA" w:rsidP="00CD5A47">
      <w:pPr>
        <w:rPr>
          <w:b/>
        </w:rPr>
      </w:pPr>
      <w:r w:rsidRPr="008877BA">
        <w:rPr>
          <w:b/>
        </w:rPr>
        <w:t>Return on capital employed</w:t>
      </w:r>
      <w:r>
        <w:rPr>
          <w:b/>
        </w:rPr>
        <w:t>:</w:t>
      </w:r>
    </w:p>
    <w:p w:rsidR="004F7607" w:rsidRDefault="00AB4894" w:rsidP="00CD5A47">
      <w:r w:rsidRPr="00AB4894">
        <w:lastRenderedPageBreak/>
        <w:t xml:space="preserve">This ratio defines the amount of </w:t>
      </w:r>
      <w:r w:rsidR="00D974D5">
        <w:t xml:space="preserve">excess value created over and above the weighted average cost </w:t>
      </w:r>
      <w:r w:rsidR="00EE51C3">
        <w:t xml:space="preserve">that has been incurred </w:t>
      </w:r>
      <w:r w:rsidR="006A154F">
        <w:t>for acquiring</w:t>
      </w:r>
      <w:r w:rsidR="00D974D5">
        <w:t xml:space="preserve"> the capital</w:t>
      </w:r>
      <w:r w:rsidR="006A154F">
        <w:t>. In other words In other words the ratio of the return on capital employed reflects</w:t>
      </w:r>
      <w:r w:rsidR="006A154F" w:rsidRPr="006A154F">
        <w:t xml:space="preserve"> how many dollars in </w:t>
      </w:r>
      <w:r w:rsidR="000B72EE">
        <w:t xml:space="preserve">the profit that is earned by an investor is generated </w:t>
      </w:r>
      <w:r w:rsidR="00962855">
        <w:t xml:space="preserve">by </w:t>
      </w:r>
      <w:r w:rsidR="00962855" w:rsidRPr="006A154F">
        <w:t>each</w:t>
      </w:r>
      <w:r w:rsidR="006A154F" w:rsidRPr="006A154F">
        <w:t xml:space="preserve"> dollar of capital employed </w:t>
      </w:r>
      <w:r w:rsidR="000B72EE">
        <w:t xml:space="preserve">by the </w:t>
      </w:r>
      <w:r w:rsidR="00962855">
        <w:t xml:space="preserve">organization. Grater will be the amount of dollars generated per unit dollar of capital </w:t>
      </w:r>
      <w:r w:rsidR="005F4017">
        <w:t>employed;</w:t>
      </w:r>
      <w:r w:rsidR="00962855">
        <w:t xml:space="preserve"> more will be the efficiency of the </w:t>
      </w:r>
      <w:proofErr w:type="gramStart"/>
      <w:r w:rsidR="005F4017">
        <w:t>company</w:t>
      </w:r>
      <w:r w:rsidR="004A4638">
        <w:t>(</w:t>
      </w:r>
      <w:proofErr w:type="gramEnd"/>
      <w:r w:rsidR="004A4638" w:rsidRPr="00B922AA">
        <w:rPr>
          <w:rFonts w:cs="Times New Roman"/>
          <w:szCs w:val="24"/>
        </w:rPr>
        <w:t>Muham</w:t>
      </w:r>
      <w:r w:rsidR="004A4638">
        <w:rPr>
          <w:rFonts w:cs="Times New Roman"/>
          <w:szCs w:val="24"/>
        </w:rPr>
        <w:t xml:space="preserve">mad and Ismail, </w:t>
      </w:r>
      <w:r w:rsidR="004A4638" w:rsidRPr="00B922AA">
        <w:rPr>
          <w:rFonts w:cs="Times New Roman"/>
          <w:szCs w:val="24"/>
        </w:rPr>
        <w:t>2009</w:t>
      </w:r>
      <w:r w:rsidR="004A4638">
        <w:t>)</w:t>
      </w:r>
      <w:r w:rsidR="005F4017">
        <w:t>. This ratio also describes the financial health of the organization from the perspective of the long run as the ratio reflects that how the assets are performing in generating sales turnover while taking in to consideration the long term finances taken by the organization. A value of 0.3 of the return on capital employed ratio describes that an organization has managed to earn a profit 30 cents out of every dollar of capital employed.</w:t>
      </w:r>
      <w:r w:rsidR="004F7607">
        <w:t xml:space="preserve"> </w:t>
      </w:r>
    </w:p>
    <w:p w:rsidR="00AB4894" w:rsidRDefault="004F7607" w:rsidP="00CD5A47">
      <w:r>
        <w:t xml:space="preserve">Investors always </w:t>
      </w:r>
      <w:r w:rsidR="00186180">
        <w:t>prefer</w:t>
      </w:r>
      <w:r w:rsidR="00770201">
        <w:t xml:space="preserve"> to study the ratio of </w:t>
      </w:r>
      <w:r w:rsidR="000118FD">
        <w:t xml:space="preserve">return on </w:t>
      </w:r>
      <w:r w:rsidR="00770201">
        <w:t>capital employed of an organization as the value of the ratio describes the efficiency of a business organization</w:t>
      </w:r>
      <w:r w:rsidR="000118FD">
        <w:t xml:space="preserve"> in employing capital and </w:t>
      </w:r>
      <w:r w:rsidR="007749E0">
        <w:t xml:space="preserve">applying the financing </w:t>
      </w:r>
      <w:r w:rsidR="004A4638">
        <w:t>strategies (</w:t>
      </w:r>
      <w:proofErr w:type="spellStart"/>
      <w:r w:rsidR="004A4638" w:rsidRPr="00444ECF">
        <w:rPr>
          <w:rFonts w:cs="Times New Roman"/>
          <w:szCs w:val="24"/>
        </w:rPr>
        <w:t>Yunus</w:t>
      </w:r>
      <w:proofErr w:type="spellEnd"/>
      <w:r w:rsidR="004A4638">
        <w:rPr>
          <w:rFonts w:cs="Times New Roman"/>
          <w:szCs w:val="24"/>
        </w:rPr>
        <w:t xml:space="preserve"> </w:t>
      </w:r>
      <w:r w:rsidR="004A4638" w:rsidRPr="004A4638">
        <w:rPr>
          <w:rFonts w:cs="Times New Roman"/>
          <w:i/>
          <w:szCs w:val="24"/>
        </w:rPr>
        <w:t>et al</w:t>
      </w:r>
      <w:r w:rsidR="004A4638">
        <w:rPr>
          <w:rFonts w:cs="Times New Roman"/>
          <w:szCs w:val="24"/>
        </w:rPr>
        <w:t>., 2010</w:t>
      </w:r>
      <w:r w:rsidR="004A4638">
        <w:t>)</w:t>
      </w:r>
      <w:r w:rsidR="007749E0">
        <w:t>.</w:t>
      </w:r>
    </w:p>
    <w:tbl>
      <w:tblPr>
        <w:tblStyle w:val="TableGrid"/>
        <w:tblW w:w="8940" w:type="dxa"/>
        <w:jc w:val="center"/>
        <w:shd w:val="clear" w:color="auto" w:fill="C4BC96" w:themeFill="background2" w:themeFillShade="BF"/>
        <w:tblLook w:val="04A0"/>
      </w:tblPr>
      <w:tblGrid>
        <w:gridCol w:w="3339"/>
        <w:gridCol w:w="1121"/>
        <w:gridCol w:w="1120"/>
        <w:gridCol w:w="1120"/>
        <w:gridCol w:w="1120"/>
        <w:gridCol w:w="1120"/>
      </w:tblGrid>
      <w:tr w:rsidR="007749E0" w:rsidRPr="007749E0" w:rsidTr="00986367">
        <w:trPr>
          <w:trHeight w:val="315"/>
          <w:jc w:val="center"/>
        </w:trPr>
        <w:tc>
          <w:tcPr>
            <w:tcW w:w="8940" w:type="dxa"/>
            <w:gridSpan w:val="6"/>
            <w:shd w:val="clear" w:color="auto" w:fill="C4BC96" w:themeFill="background2" w:themeFillShade="BF"/>
            <w:noWrap/>
            <w:hideMark/>
          </w:tcPr>
          <w:p w:rsidR="007749E0" w:rsidRPr="007749E0" w:rsidRDefault="007749E0" w:rsidP="007749E0">
            <w:pPr>
              <w:spacing w:line="240" w:lineRule="auto"/>
              <w:jc w:val="center"/>
              <w:rPr>
                <w:rFonts w:eastAsia="Times New Roman" w:cs="Times New Roman"/>
                <w:color w:val="000000"/>
                <w:sz w:val="24"/>
                <w:lang w:val="en-US"/>
              </w:rPr>
            </w:pPr>
            <w:r w:rsidRPr="007749E0">
              <w:rPr>
                <w:rFonts w:eastAsia="Times New Roman" w:cs="Times New Roman"/>
                <w:color w:val="000000"/>
                <w:sz w:val="24"/>
                <w:lang w:val="en-US"/>
              </w:rPr>
              <w:t>Glaxo SmithKline(GSK) Ratio Analysis</w:t>
            </w:r>
          </w:p>
        </w:tc>
      </w:tr>
      <w:tr w:rsidR="007749E0" w:rsidRPr="007749E0" w:rsidTr="00986367">
        <w:trPr>
          <w:trHeight w:val="300"/>
          <w:jc w:val="center"/>
        </w:trPr>
        <w:tc>
          <w:tcPr>
            <w:tcW w:w="3339" w:type="dxa"/>
            <w:shd w:val="clear" w:color="auto" w:fill="C4BC96" w:themeFill="background2" w:themeFillShade="BF"/>
            <w:noWrap/>
            <w:hideMark/>
          </w:tcPr>
          <w:p w:rsidR="007749E0" w:rsidRPr="007749E0" w:rsidRDefault="007749E0" w:rsidP="007749E0">
            <w:pPr>
              <w:spacing w:line="240" w:lineRule="auto"/>
              <w:jc w:val="left"/>
              <w:rPr>
                <w:rFonts w:eastAsia="Times New Roman" w:cs="Times New Roman"/>
                <w:color w:val="000000"/>
                <w:sz w:val="24"/>
                <w:lang w:val="en-US"/>
              </w:rPr>
            </w:pPr>
            <w:r w:rsidRPr="007749E0">
              <w:rPr>
                <w:rFonts w:eastAsia="Times New Roman" w:cs="Times New Roman"/>
                <w:color w:val="000000"/>
                <w:sz w:val="24"/>
                <w:lang w:val="en-US"/>
              </w:rPr>
              <w:t>financial statement  items</w:t>
            </w:r>
          </w:p>
        </w:tc>
        <w:tc>
          <w:tcPr>
            <w:tcW w:w="1121" w:type="dxa"/>
            <w:shd w:val="clear" w:color="auto" w:fill="C4BC96" w:themeFill="background2" w:themeFillShade="BF"/>
            <w:noWrap/>
            <w:hideMark/>
          </w:tcPr>
          <w:p w:rsidR="007749E0" w:rsidRPr="007749E0" w:rsidRDefault="007749E0" w:rsidP="007749E0">
            <w:pPr>
              <w:spacing w:line="240" w:lineRule="auto"/>
              <w:jc w:val="left"/>
              <w:rPr>
                <w:rFonts w:eastAsia="Times New Roman" w:cs="Times New Roman"/>
                <w:color w:val="000000"/>
                <w:sz w:val="24"/>
                <w:lang w:val="en-US"/>
              </w:rPr>
            </w:pPr>
            <w:r w:rsidRPr="007749E0">
              <w:rPr>
                <w:rFonts w:eastAsia="Times New Roman" w:cs="Times New Roman"/>
                <w:color w:val="000000"/>
                <w:sz w:val="24"/>
                <w:lang w:val="en-US"/>
              </w:rPr>
              <w:t>£,million</w:t>
            </w:r>
          </w:p>
        </w:tc>
        <w:tc>
          <w:tcPr>
            <w:tcW w:w="1120" w:type="dxa"/>
            <w:shd w:val="clear" w:color="auto" w:fill="C4BC96" w:themeFill="background2" w:themeFillShade="BF"/>
            <w:noWrap/>
            <w:hideMark/>
          </w:tcPr>
          <w:p w:rsidR="007749E0" w:rsidRPr="007749E0" w:rsidRDefault="007749E0" w:rsidP="007749E0">
            <w:pPr>
              <w:spacing w:line="240" w:lineRule="auto"/>
              <w:jc w:val="left"/>
              <w:rPr>
                <w:rFonts w:eastAsia="Times New Roman" w:cs="Times New Roman"/>
                <w:color w:val="000000"/>
                <w:sz w:val="24"/>
                <w:lang w:val="en-US"/>
              </w:rPr>
            </w:pPr>
            <w:r w:rsidRPr="007749E0">
              <w:rPr>
                <w:rFonts w:eastAsia="Times New Roman" w:cs="Times New Roman"/>
                <w:color w:val="000000"/>
                <w:sz w:val="24"/>
                <w:lang w:val="en-US"/>
              </w:rPr>
              <w:t>£,million</w:t>
            </w:r>
          </w:p>
        </w:tc>
        <w:tc>
          <w:tcPr>
            <w:tcW w:w="1120" w:type="dxa"/>
            <w:shd w:val="clear" w:color="auto" w:fill="C4BC96" w:themeFill="background2" w:themeFillShade="BF"/>
            <w:noWrap/>
            <w:hideMark/>
          </w:tcPr>
          <w:p w:rsidR="007749E0" w:rsidRPr="007749E0" w:rsidRDefault="007749E0" w:rsidP="007749E0">
            <w:pPr>
              <w:spacing w:line="240" w:lineRule="auto"/>
              <w:jc w:val="left"/>
              <w:rPr>
                <w:rFonts w:eastAsia="Times New Roman" w:cs="Times New Roman"/>
                <w:color w:val="000000"/>
                <w:sz w:val="24"/>
                <w:lang w:val="en-US"/>
              </w:rPr>
            </w:pPr>
            <w:r w:rsidRPr="007749E0">
              <w:rPr>
                <w:rFonts w:eastAsia="Times New Roman" w:cs="Times New Roman"/>
                <w:color w:val="000000"/>
                <w:sz w:val="24"/>
                <w:lang w:val="en-US"/>
              </w:rPr>
              <w:t>£,million</w:t>
            </w:r>
          </w:p>
        </w:tc>
        <w:tc>
          <w:tcPr>
            <w:tcW w:w="1120" w:type="dxa"/>
            <w:shd w:val="clear" w:color="auto" w:fill="C4BC96" w:themeFill="background2" w:themeFillShade="BF"/>
            <w:noWrap/>
            <w:hideMark/>
          </w:tcPr>
          <w:p w:rsidR="007749E0" w:rsidRPr="007749E0" w:rsidRDefault="007749E0" w:rsidP="007749E0">
            <w:pPr>
              <w:spacing w:line="240" w:lineRule="auto"/>
              <w:jc w:val="left"/>
              <w:rPr>
                <w:rFonts w:eastAsia="Times New Roman" w:cs="Times New Roman"/>
                <w:color w:val="000000"/>
                <w:sz w:val="24"/>
                <w:lang w:val="en-US"/>
              </w:rPr>
            </w:pPr>
            <w:r w:rsidRPr="007749E0">
              <w:rPr>
                <w:rFonts w:eastAsia="Times New Roman" w:cs="Times New Roman"/>
                <w:color w:val="000000"/>
                <w:sz w:val="24"/>
                <w:lang w:val="en-US"/>
              </w:rPr>
              <w:t>£,million</w:t>
            </w:r>
          </w:p>
        </w:tc>
        <w:tc>
          <w:tcPr>
            <w:tcW w:w="1120" w:type="dxa"/>
            <w:shd w:val="clear" w:color="auto" w:fill="C4BC96" w:themeFill="background2" w:themeFillShade="BF"/>
            <w:noWrap/>
            <w:hideMark/>
          </w:tcPr>
          <w:p w:rsidR="007749E0" w:rsidRPr="007749E0" w:rsidRDefault="007749E0" w:rsidP="007749E0">
            <w:pPr>
              <w:spacing w:line="240" w:lineRule="auto"/>
              <w:jc w:val="left"/>
              <w:rPr>
                <w:rFonts w:eastAsia="Times New Roman" w:cs="Times New Roman"/>
                <w:color w:val="000000"/>
                <w:sz w:val="24"/>
                <w:lang w:val="en-US"/>
              </w:rPr>
            </w:pPr>
            <w:r w:rsidRPr="007749E0">
              <w:rPr>
                <w:rFonts w:eastAsia="Times New Roman" w:cs="Times New Roman"/>
                <w:color w:val="000000"/>
                <w:sz w:val="24"/>
                <w:lang w:val="en-US"/>
              </w:rPr>
              <w:t>£,million</w:t>
            </w:r>
          </w:p>
        </w:tc>
      </w:tr>
      <w:tr w:rsidR="007749E0" w:rsidRPr="007749E0" w:rsidTr="00986367">
        <w:trPr>
          <w:trHeight w:val="300"/>
          <w:jc w:val="center"/>
        </w:trPr>
        <w:tc>
          <w:tcPr>
            <w:tcW w:w="3339" w:type="dxa"/>
            <w:shd w:val="clear" w:color="auto" w:fill="C4BC96" w:themeFill="background2" w:themeFillShade="BF"/>
            <w:noWrap/>
            <w:hideMark/>
          </w:tcPr>
          <w:p w:rsidR="007749E0" w:rsidRPr="007749E0" w:rsidRDefault="007749E0" w:rsidP="007749E0">
            <w:pPr>
              <w:spacing w:line="240" w:lineRule="auto"/>
              <w:jc w:val="left"/>
              <w:rPr>
                <w:rFonts w:eastAsia="Times New Roman" w:cs="Times New Roman"/>
                <w:color w:val="000000"/>
                <w:sz w:val="24"/>
                <w:lang w:val="en-US"/>
              </w:rPr>
            </w:pPr>
            <w:r w:rsidRPr="007749E0">
              <w:rPr>
                <w:rFonts w:eastAsia="Times New Roman" w:cs="Times New Roman"/>
                <w:color w:val="000000"/>
                <w:sz w:val="24"/>
                <w:lang w:val="en-US"/>
              </w:rPr>
              <w:t> </w:t>
            </w:r>
          </w:p>
        </w:tc>
        <w:tc>
          <w:tcPr>
            <w:tcW w:w="1121" w:type="dxa"/>
            <w:shd w:val="clear" w:color="auto" w:fill="C4BC96" w:themeFill="background2" w:themeFillShade="BF"/>
            <w:noWrap/>
            <w:hideMark/>
          </w:tcPr>
          <w:p w:rsidR="007749E0" w:rsidRPr="007749E0" w:rsidRDefault="007749E0" w:rsidP="007749E0">
            <w:pPr>
              <w:spacing w:line="240" w:lineRule="auto"/>
              <w:jc w:val="right"/>
              <w:rPr>
                <w:rFonts w:eastAsia="Times New Roman" w:cs="Times New Roman"/>
                <w:color w:val="000000"/>
                <w:sz w:val="24"/>
                <w:lang w:val="en-US"/>
              </w:rPr>
            </w:pPr>
            <w:r w:rsidRPr="007749E0">
              <w:rPr>
                <w:rFonts w:eastAsia="Times New Roman" w:cs="Times New Roman"/>
                <w:color w:val="000000"/>
                <w:sz w:val="24"/>
                <w:lang w:val="en-US"/>
              </w:rPr>
              <w:t>2012</w:t>
            </w:r>
          </w:p>
        </w:tc>
        <w:tc>
          <w:tcPr>
            <w:tcW w:w="1120" w:type="dxa"/>
            <w:shd w:val="clear" w:color="auto" w:fill="C4BC96" w:themeFill="background2" w:themeFillShade="BF"/>
            <w:noWrap/>
            <w:hideMark/>
          </w:tcPr>
          <w:p w:rsidR="007749E0" w:rsidRPr="007749E0" w:rsidRDefault="007749E0" w:rsidP="007749E0">
            <w:pPr>
              <w:spacing w:line="240" w:lineRule="auto"/>
              <w:jc w:val="right"/>
              <w:rPr>
                <w:rFonts w:eastAsia="Times New Roman" w:cs="Times New Roman"/>
                <w:color w:val="000000"/>
                <w:sz w:val="24"/>
                <w:lang w:val="en-US"/>
              </w:rPr>
            </w:pPr>
            <w:r w:rsidRPr="007749E0">
              <w:rPr>
                <w:rFonts w:eastAsia="Times New Roman" w:cs="Times New Roman"/>
                <w:color w:val="000000"/>
                <w:sz w:val="24"/>
                <w:lang w:val="en-US"/>
              </w:rPr>
              <w:t>2013</w:t>
            </w:r>
          </w:p>
        </w:tc>
        <w:tc>
          <w:tcPr>
            <w:tcW w:w="1120" w:type="dxa"/>
            <w:shd w:val="clear" w:color="auto" w:fill="C4BC96" w:themeFill="background2" w:themeFillShade="BF"/>
            <w:noWrap/>
            <w:hideMark/>
          </w:tcPr>
          <w:p w:rsidR="007749E0" w:rsidRPr="007749E0" w:rsidRDefault="007749E0" w:rsidP="007749E0">
            <w:pPr>
              <w:spacing w:line="240" w:lineRule="auto"/>
              <w:jc w:val="right"/>
              <w:rPr>
                <w:rFonts w:eastAsia="Times New Roman" w:cs="Times New Roman"/>
                <w:color w:val="000000"/>
                <w:sz w:val="24"/>
                <w:lang w:val="en-US"/>
              </w:rPr>
            </w:pPr>
            <w:r w:rsidRPr="007749E0">
              <w:rPr>
                <w:rFonts w:eastAsia="Times New Roman" w:cs="Times New Roman"/>
                <w:color w:val="000000"/>
                <w:sz w:val="24"/>
                <w:lang w:val="en-US"/>
              </w:rPr>
              <w:t>2014</w:t>
            </w:r>
          </w:p>
        </w:tc>
        <w:tc>
          <w:tcPr>
            <w:tcW w:w="1120" w:type="dxa"/>
            <w:shd w:val="clear" w:color="auto" w:fill="C4BC96" w:themeFill="background2" w:themeFillShade="BF"/>
            <w:noWrap/>
            <w:hideMark/>
          </w:tcPr>
          <w:p w:rsidR="007749E0" w:rsidRPr="007749E0" w:rsidRDefault="007749E0" w:rsidP="007749E0">
            <w:pPr>
              <w:spacing w:line="240" w:lineRule="auto"/>
              <w:jc w:val="right"/>
              <w:rPr>
                <w:rFonts w:eastAsia="Times New Roman" w:cs="Times New Roman"/>
                <w:color w:val="000000"/>
                <w:sz w:val="24"/>
                <w:lang w:val="en-US"/>
              </w:rPr>
            </w:pPr>
            <w:r w:rsidRPr="007749E0">
              <w:rPr>
                <w:rFonts w:eastAsia="Times New Roman" w:cs="Times New Roman"/>
                <w:color w:val="000000"/>
                <w:sz w:val="24"/>
                <w:lang w:val="en-US"/>
              </w:rPr>
              <w:t>2015</w:t>
            </w:r>
          </w:p>
        </w:tc>
        <w:tc>
          <w:tcPr>
            <w:tcW w:w="1120" w:type="dxa"/>
            <w:shd w:val="clear" w:color="auto" w:fill="C4BC96" w:themeFill="background2" w:themeFillShade="BF"/>
            <w:noWrap/>
            <w:hideMark/>
          </w:tcPr>
          <w:p w:rsidR="007749E0" w:rsidRPr="007749E0" w:rsidRDefault="007749E0" w:rsidP="007749E0">
            <w:pPr>
              <w:spacing w:line="240" w:lineRule="auto"/>
              <w:jc w:val="right"/>
              <w:rPr>
                <w:rFonts w:eastAsia="Times New Roman" w:cs="Times New Roman"/>
                <w:color w:val="000000"/>
                <w:sz w:val="24"/>
                <w:lang w:val="en-US"/>
              </w:rPr>
            </w:pPr>
            <w:r w:rsidRPr="007749E0">
              <w:rPr>
                <w:rFonts w:eastAsia="Times New Roman" w:cs="Times New Roman"/>
                <w:color w:val="000000"/>
                <w:sz w:val="24"/>
                <w:lang w:val="en-US"/>
              </w:rPr>
              <w:t>2016</w:t>
            </w:r>
          </w:p>
        </w:tc>
      </w:tr>
      <w:tr w:rsidR="007749E0" w:rsidRPr="007749E0" w:rsidTr="00986367">
        <w:trPr>
          <w:trHeight w:val="300"/>
          <w:jc w:val="center"/>
        </w:trPr>
        <w:tc>
          <w:tcPr>
            <w:tcW w:w="3339" w:type="dxa"/>
            <w:shd w:val="clear" w:color="auto" w:fill="C4BC96" w:themeFill="background2" w:themeFillShade="BF"/>
            <w:noWrap/>
            <w:hideMark/>
          </w:tcPr>
          <w:p w:rsidR="007749E0" w:rsidRPr="007749E0" w:rsidRDefault="007749E0" w:rsidP="007749E0">
            <w:pPr>
              <w:spacing w:line="240" w:lineRule="auto"/>
              <w:jc w:val="left"/>
              <w:rPr>
                <w:rFonts w:eastAsia="Times New Roman" w:cs="Times New Roman"/>
                <w:color w:val="000000"/>
                <w:sz w:val="24"/>
                <w:lang w:val="en-US"/>
              </w:rPr>
            </w:pPr>
            <w:r w:rsidRPr="007749E0">
              <w:rPr>
                <w:rFonts w:eastAsia="Times New Roman" w:cs="Times New Roman"/>
                <w:color w:val="000000"/>
                <w:sz w:val="24"/>
                <w:lang w:val="en-US"/>
              </w:rPr>
              <w:t>capital employed</w:t>
            </w:r>
          </w:p>
        </w:tc>
        <w:tc>
          <w:tcPr>
            <w:tcW w:w="1121" w:type="dxa"/>
            <w:shd w:val="clear" w:color="auto" w:fill="C4BC96" w:themeFill="background2" w:themeFillShade="BF"/>
            <w:noWrap/>
            <w:hideMark/>
          </w:tcPr>
          <w:p w:rsidR="007749E0" w:rsidRPr="007749E0" w:rsidRDefault="007749E0" w:rsidP="007749E0">
            <w:pPr>
              <w:spacing w:line="240" w:lineRule="auto"/>
              <w:jc w:val="right"/>
              <w:rPr>
                <w:rFonts w:eastAsia="Times New Roman" w:cs="Times New Roman"/>
                <w:sz w:val="24"/>
                <w:lang w:val="en-US"/>
              </w:rPr>
            </w:pPr>
            <w:r w:rsidRPr="007749E0">
              <w:rPr>
                <w:rFonts w:eastAsia="Times New Roman" w:cs="Times New Roman"/>
                <w:sz w:val="24"/>
                <w:lang w:val="en-US"/>
              </w:rPr>
              <w:t>26,777</w:t>
            </w:r>
          </w:p>
        </w:tc>
        <w:tc>
          <w:tcPr>
            <w:tcW w:w="1120" w:type="dxa"/>
            <w:shd w:val="clear" w:color="auto" w:fill="C4BC96" w:themeFill="background2" w:themeFillShade="BF"/>
            <w:noWrap/>
            <w:hideMark/>
          </w:tcPr>
          <w:p w:rsidR="007749E0" w:rsidRPr="007749E0" w:rsidRDefault="007749E0" w:rsidP="007749E0">
            <w:pPr>
              <w:spacing w:line="240" w:lineRule="auto"/>
              <w:jc w:val="right"/>
              <w:rPr>
                <w:rFonts w:eastAsia="Times New Roman" w:cs="Times New Roman"/>
                <w:sz w:val="24"/>
                <w:lang w:val="en-US"/>
              </w:rPr>
            </w:pPr>
            <w:r w:rsidRPr="007749E0">
              <w:rPr>
                <w:rFonts w:eastAsia="Times New Roman" w:cs="Times New Roman"/>
                <w:sz w:val="24"/>
                <w:lang w:val="en-US"/>
              </w:rPr>
              <w:t>27,369</w:t>
            </w:r>
          </w:p>
        </w:tc>
        <w:tc>
          <w:tcPr>
            <w:tcW w:w="1120" w:type="dxa"/>
            <w:shd w:val="clear" w:color="auto" w:fill="C4BC96" w:themeFill="background2" w:themeFillShade="BF"/>
            <w:noWrap/>
            <w:hideMark/>
          </w:tcPr>
          <w:p w:rsidR="007749E0" w:rsidRPr="007749E0" w:rsidRDefault="007749E0" w:rsidP="007749E0">
            <w:pPr>
              <w:spacing w:line="240" w:lineRule="auto"/>
              <w:jc w:val="right"/>
              <w:rPr>
                <w:rFonts w:eastAsia="Times New Roman" w:cs="Times New Roman"/>
                <w:sz w:val="24"/>
                <w:lang w:val="en-US"/>
              </w:rPr>
            </w:pPr>
            <w:r w:rsidRPr="007749E0">
              <w:rPr>
                <w:rFonts w:eastAsia="Times New Roman" w:cs="Times New Roman"/>
                <w:sz w:val="24"/>
                <w:lang w:val="en-US"/>
              </w:rPr>
              <w:t>26,515</w:t>
            </w:r>
          </w:p>
        </w:tc>
        <w:tc>
          <w:tcPr>
            <w:tcW w:w="1120" w:type="dxa"/>
            <w:shd w:val="clear" w:color="auto" w:fill="C4BC96" w:themeFill="background2" w:themeFillShade="BF"/>
            <w:noWrap/>
            <w:hideMark/>
          </w:tcPr>
          <w:p w:rsidR="007749E0" w:rsidRPr="007749E0" w:rsidRDefault="007749E0" w:rsidP="007749E0">
            <w:pPr>
              <w:spacing w:line="240" w:lineRule="auto"/>
              <w:jc w:val="right"/>
              <w:rPr>
                <w:rFonts w:eastAsia="Times New Roman" w:cs="Times New Roman"/>
                <w:sz w:val="24"/>
                <w:lang w:val="en-US"/>
              </w:rPr>
            </w:pPr>
            <w:r w:rsidRPr="007749E0">
              <w:rPr>
                <w:rFonts w:eastAsia="Times New Roman" w:cs="Times New Roman"/>
                <w:sz w:val="24"/>
                <w:lang w:val="en-US"/>
              </w:rPr>
              <w:t>40,913</w:t>
            </w:r>
          </w:p>
        </w:tc>
        <w:tc>
          <w:tcPr>
            <w:tcW w:w="1120" w:type="dxa"/>
            <w:shd w:val="clear" w:color="auto" w:fill="C4BC96" w:themeFill="background2" w:themeFillShade="BF"/>
            <w:noWrap/>
            <w:hideMark/>
          </w:tcPr>
          <w:p w:rsidR="007749E0" w:rsidRPr="007749E0" w:rsidRDefault="007749E0" w:rsidP="007749E0">
            <w:pPr>
              <w:spacing w:line="240" w:lineRule="auto"/>
              <w:jc w:val="right"/>
              <w:rPr>
                <w:rFonts w:eastAsia="Times New Roman" w:cs="Times New Roman"/>
                <w:sz w:val="24"/>
                <w:lang w:val="en-US"/>
              </w:rPr>
            </w:pPr>
            <w:r w:rsidRPr="007749E0">
              <w:rPr>
                <w:rFonts w:eastAsia="Times New Roman" w:cs="Times New Roman"/>
                <w:sz w:val="24"/>
                <w:lang w:val="en-US"/>
              </w:rPr>
              <w:t>37,371</w:t>
            </w:r>
          </w:p>
        </w:tc>
      </w:tr>
      <w:tr w:rsidR="007749E0" w:rsidRPr="007749E0" w:rsidTr="00986367">
        <w:trPr>
          <w:trHeight w:val="300"/>
          <w:jc w:val="center"/>
        </w:trPr>
        <w:tc>
          <w:tcPr>
            <w:tcW w:w="3339" w:type="dxa"/>
            <w:shd w:val="clear" w:color="auto" w:fill="C4BC96" w:themeFill="background2" w:themeFillShade="BF"/>
            <w:noWrap/>
            <w:hideMark/>
          </w:tcPr>
          <w:p w:rsidR="007749E0" w:rsidRPr="007749E0" w:rsidRDefault="007749E0" w:rsidP="007749E0">
            <w:pPr>
              <w:spacing w:line="240" w:lineRule="auto"/>
              <w:jc w:val="left"/>
              <w:rPr>
                <w:rFonts w:eastAsia="Times New Roman" w:cs="Times New Roman"/>
                <w:color w:val="000000"/>
                <w:sz w:val="24"/>
                <w:lang w:val="en-US"/>
              </w:rPr>
            </w:pPr>
            <w:r w:rsidRPr="007749E0">
              <w:rPr>
                <w:rFonts w:eastAsia="Times New Roman" w:cs="Times New Roman"/>
                <w:color w:val="000000"/>
                <w:sz w:val="24"/>
                <w:lang w:val="en-US"/>
              </w:rPr>
              <w:t>EBIT</w:t>
            </w:r>
          </w:p>
        </w:tc>
        <w:tc>
          <w:tcPr>
            <w:tcW w:w="1121" w:type="dxa"/>
            <w:shd w:val="clear" w:color="auto" w:fill="C4BC96" w:themeFill="background2" w:themeFillShade="BF"/>
            <w:noWrap/>
            <w:hideMark/>
          </w:tcPr>
          <w:p w:rsidR="007749E0" w:rsidRPr="007749E0" w:rsidRDefault="007749E0" w:rsidP="007749E0">
            <w:pPr>
              <w:spacing w:line="240" w:lineRule="auto"/>
              <w:jc w:val="right"/>
              <w:rPr>
                <w:rFonts w:eastAsia="Times New Roman" w:cs="Times New Roman"/>
                <w:sz w:val="24"/>
                <w:lang w:val="en-US"/>
              </w:rPr>
            </w:pPr>
            <w:r w:rsidRPr="007749E0">
              <w:rPr>
                <w:rFonts w:eastAsia="Times New Roman" w:cs="Times New Roman"/>
                <w:sz w:val="24"/>
                <w:lang w:val="en-US"/>
              </w:rPr>
              <w:t>7300</w:t>
            </w:r>
          </w:p>
        </w:tc>
        <w:tc>
          <w:tcPr>
            <w:tcW w:w="1120" w:type="dxa"/>
            <w:shd w:val="clear" w:color="auto" w:fill="C4BC96" w:themeFill="background2" w:themeFillShade="BF"/>
            <w:noWrap/>
            <w:hideMark/>
          </w:tcPr>
          <w:p w:rsidR="007749E0" w:rsidRPr="007749E0" w:rsidRDefault="007749E0" w:rsidP="007749E0">
            <w:pPr>
              <w:spacing w:line="240" w:lineRule="auto"/>
              <w:jc w:val="right"/>
              <w:rPr>
                <w:rFonts w:eastAsia="Times New Roman" w:cs="Times New Roman"/>
                <w:sz w:val="24"/>
                <w:lang w:val="en-US"/>
              </w:rPr>
            </w:pPr>
            <w:r w:rsidRPr="007749E0">
              <w:rPr>
                <w:rFonts w:eastAsia="Times New Roman" w:cs="Times New Roman"/>
                <w:sz w:val="24"/>
                <w:lang w:val="en-US"/>
              </w:rPr>
              <w:t>7,028</w:t>
            </w:r>
          </w:p>
        </w:tc>
        <w:tc>
          <w:tcPr>
            <w:tcW w:w="1120" w:type="dxa"/>
            <w:shd w:val="clear" w:color="auto" w:fill="C4BC96" w:themeFill="background2" w:themeFillShade="BF"/>
            <w:noWrap/>
            <w:hideMark/>
          </w:tcPr>
          <w:p w:rsidR="007749E0" w:rsidRPr="007749E0" w:rsidRDefault="007749E0" w:rsidP="007749E0">
            <w:pPr>
              <w:spacing w:line="240" w:lineRule="auto"/>
              <w:jc w:val="right"/>
              <w:rPr>
                <w:rFonts w:eastAsia="Times New Roman" w:cs="Times New Roman"/>
                <w:color w:val="000000"/>
                <w:sz w:val="24"/>
                <w:lang w:val="en-US"/>
              </w:rPr>
            </w:pPr>
            <w:r w:rsidRPr="007749E0">
              <w:rPr>
                <w:rFonts w:eastAsia="Times New Roman" w:cs="Times New Roman"/>
                <w:color w:val="000000"/>
                <w:sz w:val="24"/>
                <w:lang w:val="en-US"/>
              </w:rPr>
              <w:t>3,597</w:t>
            </w:r>
          </w:p>
        </w:tc>
        <w:tc>
          <w:tcPr>
            <w:tcW w:w="1120" w:type="dxa"/>
            <w:shd w:val="clear" w:color="auto" w:fill="C4BC96" w:themeFill="background2" w:themeFillShade="BF"/>
            <w:noWrap/>
            <w:hideMark/>
          </w:tcPr>
          <w:p w:rsidR="007749E0" w:rsidRPr="007749E0" w:rsidRDefault="007749E0" w:rsidP="007749E0">
            <w:pPr>
              <w:spacing w:line="240" w:lineRule="auto"/>
              <w:jc w:val="right"/>
              <w:rPr>
                <w:rFonts w:eastAsia="Times New Roman" w:cs="Times New Roman"/>
                <w:sz w:val="24"/>
                <w:lang w:val="en-US"/>
              </w:rPr>
            </w:pPr>
            <w:r w:rsidRPr="007749E0">
              <w:rPr>
                <w:rFonts w:eastAsia="Times New Roman" w:cs="Times New Roman"/>
                <w:sz w:val="24"/>
                <w:lang w:val="en-US"/>
              </w:rPr>
              <w:t>10,322</w:t>
            </w:r>
          </w:p>
        </w:tc>
        <w:tc>
          <w:tcPr>
            <w:tcW w:w="1120" w:type="dxa"/>
            <w:shd w:val="clear" w:color="auto" w:fill="C4BC96" w:themeFill="background2" w:themeFillShade="BF"/>
            <w:noWrap/>
            <w:hideMark/>
          </w:tcPr>
          <w:p w:rsidR="007749E0" w:rsidRPr="007749E0" w:rsidRDefault="007749E0" w:rsidP="007749E0">
            <w:pPr>
              <w:spacing w:line="240" w:lineRule="auto"/>
              <w:jc w:val="right"/>
              <w:rPr>
                <w:rFonts w:eastAsia="Times New Roman" w:cs="Times New Roman"/>
                <w:color w:val="000000"/>
                <w:sz w:val="24"/>
                <w:lang w:val="en-US"/>
              </w:rPr>
            </w:pPr>
            <w:r w:rsidRPr="007749E0">
              <w:rPr>
                <w:rFonts w:eastAsia="Times New Roman" w:cs="Times New Roman"/>
                <w:color w:val="000000"/>
                <w:sz w:val="24"/>
                <w:lang w:val="en-US"/>
              </w:rPr>
              <w:t>2,598</w:t>
            </w:r>
          </w:p>
        </w:tc>
      </w:tr>
      <w:tr w:rsidR="00986367" w:rsidRPr="00986367" w:rsidTr="00986367">
        <w:trPr>
          <w:trHeight w:val="300"/>
          <w:jc w:val="center"/>
        </w:trPr>
        <w:tc>
          <w:tcPr>
            <w:tcW w:w="3339" w:type="dxa"/>
            <w:shd w:val="clear" w:color="auto" w:fill="C4BC96" w:themeFill="background2" w:themeFillShade="BF"/>
            <w:noWrap/>
            <w:hideMark/>
          </w:tcPr>
          <w:p w:rsidR="00986367" w:rsidRPr="00986367" w:rsidRDefault="00986367" w:rsidP="00986367">
            <w:pPr>
              <w:spacing w:line="240" w:lineRule="auto"/>
              <w:jc w:val="left"/>
              <w:rPr>
                <w:rFonts w:eastAsia="Times New Roman" w:cs="Times New Roman"/>
                <w:color w:val="000000"/>
                <w:sz w:val="24"/>
                <w:lang w:val="en-US"/>
              </w:rPr>
            </w:pPr>
            <w:r w:rsidRPr="00986367">
              <w:rPr>
                <w:rFonts w:eastAsia="Times New Roman" w:cs="Times New Roman"/>
                <w:color w:val="000000"/>
                <w:sz w:val="24"/>
                <w:lang w:val="en-US"/>
              </w:rPr>
              <w:t>Return on capital employed(ROCE)[EBIT/capital employed]</w:t>
            </w:r>
          </w:p>
        </w:tc>
        <w:tc>
          <w:tcPr>
            <w:tcW w:w="1121" w:type="dxa"/>
            <w:shd w:val="clear" w:color="auto" w:fill="C4BC96" w:themeFill="background2" w:themeFillShade="BF"/>
            <w:noWrap/>
            <w:hideMark/>
          </w:tcPr>
          <w:p w:rsidR="00986367" w:rsidRPr="00986367" w:rsidRDefault="00986367" w:rsidP="00986367">
            <w:pPr>
              <w:spacing w:line="240" w:lineRule="auto"/>
              <w:jc w:val="right"/>
              <w:rPr>
                <w:rFonts w:eastAsia="Times New Roman" w:cs="Times New Roman"/>
                <w:sz w:val="24"/>
                <w:lang w:val="en-US"/>
              </w:rPr>
            </w:pPr>
            <w:r w:rsidRPr="00986367">
              <w:rPr>
                <w:rFonts w:eastAsia="Times New Roman" w:cs="Times New Roman"/>
                <w:sz w:val="24"/>
                <w:lang w:val="en-US"/>
              </w:rPr>
              <w:t>0.27</w:t>
            </w:r>
          </w:p>
        </w:tc>
        <w:tc>
          <w:tcPr>
            <w:tcW w:w="1120" w:type="dxa"/>
            <w:shd w:val="clear" w:color="auto" w:fill="C4BC96" w:themeFill="background2" w:themeFillShade="BF"/>
            <w:noWrap/>
            <w:hideMark/>
          </w:tcPr>
          <w:p w:rsidR="00986367" w:rsidRPr="00986367" w:rsidRDefault="00986367" w:rsidP="00986367">
            <w:pPr>
              <w:spacing w:line="240" w:lineRule="auto"/>
              <w:jc w:val="right"/>
              <w:rPr>
                <w:rFonts w:eastAsia="Times New Roman" w:cs="Times New Roman"/>
                <w:sz w:val="24"/>
                <w:lang w:val="en-US"/>
              </w:rPr>
            </w:pPr>
            <w:r w:rsidRPr="00986367">
              <w:rPr>
                <w:rFonts w:eastAsia="Times New Roman" w:cs="Times New Roman"/>
                <w:sz w:val="24"/>
                <w:lang w:val="en-US"/>
              </w:rPr>
              <w:t>0.26</w:t>
            </w:r>
          </w:p>
        </w:tc>
        <w:tc>
          <w:tcPr>
            <w:tcW w:w="1120" w:type="dxa"/>
            <w:shd w:val="clear" w:color="auto" w:fill="C4BC96" w:themeFill="background2" w:themeFillShade="BF"/>
            <w:noWrap/>
            <w:hideMark/>
          </w:tcPr>
          <w:p w:rsidR="00986367" w:rsidRPr="00986367" w:rsidRDefault="00986367" w:rsidP="00986367">
            <w:pPr>
              <w:spacing w:line="240" w:lineRule="auto"/>
              <w:jc w:val="right"/>
              <w:rPr>
                <w:rFonts w:eastAsia="Times New Roman" w:cs="Times New Roman"/>
                <w:color w:val="000000"/>
                <w:sz w:val="24"/>
                <w:lang w:val="en-US"/>
              </w:rPr>
            </w:pPr>
            <w:r w:rsidRPr="00986367">
              <w:rPr>
                <w:rFonts w:eastAsia="Times New Roman" w:cs="Times New Roman"/>
                <w:color w:val="000000"/>
                <w:sz w:val="24"/>
                <w:lang w:val="en-US"/>
              </w:rPr>
              <w:t>0.14</w:t>
            </w:r>
          </w:p>
        </w:tc>
        <w:tc>
          <w:tcPr>
            <w:tcW w:w="1120" w:type="dxa"/>
            <w:shd w:val="clear" w:color="auto" w:fill="C4BC96" w:themeFill="background2" w:themeFillShade="BF"/>
            <w:noWrap/>
            <w:hideMark/>
          </w:tcPr>
          <w:p w:rsidR="00986367" w:rsidRPr="00986367" w:rsidRDefault="00986367" w:rsidP="00986367">
            <w:pPr>
              <w:spacing w:line="240" w:lineRule="auto"/>
              <w:jc w:val="right"/>
              <w:rPr>
                <w:rFonts w:eastAsia="Times New Roman" w:cs="Times New Roman"/>
                <w:sz w:val="24"/>
                <w:lang w:val="en-US"/>
              </w:rPr>
            </w:pPr>
            <w:r w:rsidRPr="00986367">
              <w:rPr>
                <w:rFonts w:eastAsia="Times New Roman" w:cs="Times New Roman"/>
                <w:sz w:val="24"/>
                <w:lang w:val="en-US"/>
              </w:rPr>
              <w:t>0.25</w:t>
            </w:r>
          </w:p>
        </w:tc>
        <w:tc>
          <w:tcPr>
            <w:tcW w:w="1120" w:type="dxa"/>
            <w:shd w:val="clear" w:color="auto" w:fill="C4BC96" w:themeFill="background2" w:themeFillShade="BF"/>
            <w:noWrap/>
            <w:hideMark/>
          </w:tcPr>
          <w:p w:rsidR="00986367" w:rsidRPr="00986367" w:rsidRDefault="00986367" w:rsidP="00986367">
            <w:pPr>
              <w:spacing w:line="240" w:lineRule="auto"/>
              <w:jc w:val="right"/>
              <w:rPr>
                <w:rFonts w:eastAsia="Times New Roman" w:cs="Times New Roman"/>
                <w:color w:val="000000"/>
                <w:sz w:val="24"/>
                <w:lang w:val="en-US"/>
              </w:rPr>
            </w:pPr>
            <w:r w:rsidRPr="00986367">
              <w:rPr>
                <w:rFonts w:eastAsia="Times New Roman" w:cs="Times New Roman"/>
                <w:color w:val="000000"/>
                <w:sz w:val="24"/>
                <w:lang w:val="en-US"/>
              </w:rPr>
              <w:t>0.07</w:t>
            </w:r>
          </w:p>
        </w:tc>
      </w:tr>
    </w:tbl>
    <w:p w:rsidR="00472069" w:rsidRDefault="00472069" w:rsidP="00CD5A47">
      <w:pPr>
        <w:rPr>
          <w:b/>
        </w:rPr>
      </w:pPr>
    </w:p>
    <w:p w:rsidR="00472069" w:rsidRPr="00472069" w:rsidRDefault="00472069" w:rsidP="00CD5A47">
      <w:r w:rsidRPr="00472069">
        <w:t xml:space="preserve">The </w:t>
      </w:r>
      <w:proofErr w:type="gramStart"/>
      <w:r w:rsidRPr="00472069">
        <w:t>return on capital employed have</w:t>
      </w:r>
      <w:proofErr w:type="gramEnd"/>
      <w:r w:rsidRPr="00472069">
        <w:t xml:space="preserve"> registered a steady declining trend from </w:t>
      </w:r>
      <w:r w:rsidR="00B765B7">
        <w:t>2012 onwards with a massive decline in 2016</w:t>
      </w:r>
      <w:r w:rsidR="003D10EE">
        <w:t>(.07)</w:t>
      </w:r>
      <w:r w:rsidR="00B765B7">
        <w:t xml:space="preserve"> as the investment made by the organization for expansion of the different segments of the organization have failed to generate sufficient revenue over years</w:t>
      </w:r>
    </w:p>
    <w:p w:rsidR="007749E0" w:rsidRDefault="00E659FC" w:rsidP="00CD5A47">
      <w:pPr>
        <w:rPr>
          <w:b/>
        </w:rPr>
      </w:pPr>
      <w:r w:rsidRPr="00E659FC">
        <w:rPr>
          <w:b/>
        </w:rPr>
        <w:t>Total asset turnover ratio:</w:t>
      </w:r>
    </w:p>
    <w:p w:rsidR="000403EE" w:rsidRDefault="000403EE" w:rsidP="00CD5A47">
      <w:r w:rsidRPr="000403EE">
        <w:t xml:space="preserve">The asset </w:t>
      </w:r>
      <w:r w:rsidR="0065153F">
        <w:t>turnover ratio is an efficiency ratio</w:t>
      </w:r>
      <w:r w:rsidR="00380157">
        <w:t xml:space="preserve"> that measures the ability o</w:t>
      </w:r>
      <w:r w:rsidR="00C8753E">
        <w:t xml:space="preserve">f the company to generate sales out of the total asset held by the company. Here for calculating the value of the ratio the </w:t>
      </w:r>
      <w:r w:rsidR="004A23DF">
        <w:t xml:space="preserve">net sales of the organization are expressed as a percentage of the total asset that is at the disposal of the </w:t>
      </w:r>
      <w:r w:rsidR="00641F9B">
        <w:t>organization (</w:t>
      </w:r>
      <w:r w:rsidR="00641F9B" w:rsidRPr="00330EBB">
        <w:rPr>
          <w:rFonts w:cs="Times New Roman"/>
          <w:szCs w:val="24"/>
        </w:rPr>
        <w:t>Jansen,</w:t>
      </w:r>
      <w:r w:rsidR="00641F9B">
        <w:rPr>
          <w:rFonts w:cs="Times New Roman"/>
          <w:szCs w:val="24"/>
        </w:rPr>
        <w:t xml:space="preserve"> </w:t>
      </w:r>
      <w:r w:rsidR="00641F9B" w:rsidRPr="00641F9B">
        <w:rPr>
          <w:rFonts w:cs="Times New Roman"/>
          <w:i/>
          <w:szCs w:val="24"/>
        </w:rPr>
        <w:t>et al</w:t>
      </w:r>
      <w:r w:rsidR="00641F9B">
        <w:rPr>
          <w:rFonts w:cs="Times New Roman"/>
          <w:szCs w:val="24"/>
        </w:rPr>
        <w:t>.</w:t>
      </w:r>
      <w:proofErr w:type="gramStart"/>
      <w:r w:rsidR="00641F9B">
        <w:rPr>
          <w:rFonts w:cs="Times New Roman"/>
          <w:szCs w:val="24"/>
        </w:rPr>
        <w:t>,2012</w:t>
      </w:r>
      <w:proofErr w:type="gramEnd"/>
      <w:r w:rsidR="00641F9B">
        <w:t>)</w:t>
      </w:r>
      <w:r w:rsidR="003E3DE3">
        <w:t>. A value of 0.7 of this ratio indicates that the organization has manage d to generate each dollar of asset has generated 70 cents of sales.</w:t>
      </w:r>
      <w:r w:rsidR="000B38F2">
        <w:t xml:space="preserve"> A </w:t>
      </w:r>
      <w:r w:rsidR="000B38F2">
        <w:lastRenderedPageBreak/>
        <w:t xml:space="preserve">higher asset turnover ratio indicates that the business has a higher efficiency </w:t>
      </w:r>
      <w:r w:rsidR="00F53831">
        <w:t xml:space="preserve">in generating sales out of the asset held in comparison to the rivals of the </w:t>
      </w:r>
      <w:r w:rsidR="00B76DE3">
        <w:t>organization. A</w:t>
      </w:r>
      <w:r w:rsidR="00F53831">
        <w:t xml:space="preserve"> low ratio indicates the inefficiency of the management in generating sales out of the asset held and most cases it is seen the underlying cause of such </w:t>
      </w:r>
      <w:r w:rsidR="00B76DE3">
        <w:t>in</w:t>
      </w:r>
      <w:r w:rsidR="00F53831">
        <w:t xml:space="preserve">efficiency </w:t>
      </w:r>
      <w:r w:rsidR="00B76DE3">
        <w:t xml:space="preserve">is the management problem </w:t>
      </w:r>
      <w:r w:rsidR="004649F7">
        <w:t>or problem asso</w:t>
      </w:r>
      <w:r w:rsidR="004551B5">
        <w:t>ciated with the manufacturing process.</w:t>
      </w:r>
    </w:p>
    <w:tbl>
      <w:tblPr>
        <w:tblStyle w:val="TableGrid"/>
        <w:tblW w:w="8940" w:type="dxa"/>
        <w:jc w:val="center"/>
        <w:shd w:val="clear" w:color="auto" w:fill="99CCFF"/>
        <w:tblLook w:val="04A0"/>
      </w:tblPr>
      <w:tblGrid>
        <w:gridCol w:w="3339"/>
        <w:gridCol w:w="1121"/>
        <w:gridCol w:w="1120"/>
        <w:gridCol w:w="1120"/>
        <w:gridCol w:w="1120"/>
        <w:gridCol w:w="1120"/>
      </w:tblGrid>
      <w:tr w:rsidR="00EE7983" w:rsidRPr="00EE7983" w:rsidTr="00462299">
        <w:trPr>
          <w:trHeight w:val="315"/>
          <w:jc w:val="center"/>
        </w:trPr>
        <w:tc>
          <w:tcPr>
            <w:tcW w:w="8940" w:type="dxa"/>
            <w:gridSpan w:val="6"/>
            <w:shd w:val="clear" w:color="auto" w:fill="99CCFF"/>
            <w:noWrap/>
            <w:hideMark/>
          </w:tcPr>
          <w:p w:rsidR="00EE7983" w:rsidRPr="00EE7983" w:rsidRDefault="00EE7983" w:rsidP="00EE7983">
            <w:pPr>
              <w:spacing w:line="240" w:lineRule="auto"/>
              <w:jc w:val="center"/>
              <w:rPr>
                <w:rFonts w:eastAsia="Times New Roman" w:cs="Times New Roman"/>
                <w:color w:val="000000"/>
                <w:sz w:val="24"/>
                <w:szCs w:val="24"/>
                <w:lang w:val="en-US"/>
              </w:rPr>
            </w:pPr>
            <w:r w:rsidRPr="00EE7983">
              <w:rPr>
                <w:rFonts w:eastAsia="Times New Roman" w:cs="Times New Roman"/>
                <w:color w:val="000000"/>
                <w:sz w:val="24"/>
                <w:szCs w:val="24"/>
                <w:lang w:val="en-US"/>
              </w:rPr>
              <w:t>Glaxo SmithKline(GSK) Ratio Analysis</w:t>
            </w:r>
          </w:p>
        </w:tc>
      </w:tr>
      <w:tr w:rsidR="00EE7983" w:rsidRPr="00EE7983" w:rsidTr="00462299">
        <w:trPr>
          <w:trHeight w:val="300"/>
          <w:jc w:val="center"/>
        </w:trPr>
        <w:tc>
          <w:tcPr>
            <w:tcW w:w="3339" w:type="dxa"/>
            <w:shd w:val="clear" w:color="auto" w:fill="99CCFF"/>
            <w:noWrap/>
            <w:hideMark/>
          </w:tcPr>
          <w:p w:rsidR="00EE7983" w:rsidRPr="00EE7983" w:rsidRDefault="00EE7983" w:rsidP="00EE7983">
            <w:pPr>
              <w:spacing w:line="240" w:lineRule="auto"/>
              <w:jc w:val="left"/>
              <w:rPr>
                <w:rFonts w:eastAsia="Times New Roman" w:cs="Times New Roman"/>
                <w:color w:val="000000"/>
                <w:sz w:val="24"/>
                <w:szCs w:val="24"/>
                <w:lang w:val="en-US"/>
              </w:rPr>
            </w:pPr>
            <w:r w:rsidRPr="00EE7983">
              <w:rPr>
                <w:rFonts w:eastAsia="Times New Roman" w:cs="Times New Roman"/>
                <w:color w:val="000000"/>
                <w:sz w:val="24"/>
                <w:szCs w:val="24"/>
                <w:lang w:val="en-US"/>
              </w:rPr>
              <w:t>financial statement  items</w:t>
            </w:r>
          </w:p>
        </w:tc>
        <w:tc>
          <w:tcPr>
            <w:tcW w:w="1121" w:type="dxa"/>
            <w:shd w:val="clear" w:color="auto" w:fill="99CCFF"/>
            <w:noWrap/>
            <w:hideMark/>
          </w:tcPr>
          <w:p w:rsidR="00EE7983" w:rsidRPr="00EE7983" w:rsidRDefault="00EE7983" w:rsidP="00EE7983">
            <w:pPr>
              <w:spacing w:line="240" w:lineRule="auto"/>
              <w:jc w:val="left"/>
              <w:rPr>
                <w:rFonts w:eastAsia="Times New Roman" w:cs="Times New Roman"/>
                <w:color w:val="000000"/>
                <w:sz w:val="24"/>
                <w:szCs w:val="24"/>
                <w:lang w:val="en-US"/>
              </w:rPr>
            </w:pPr>
            <w:r w:rsidRPr="00EE7983">
              <w:rPr>
                <w:rFonts w:eastAsia="Times New Roman" w:cs="Times New Roman"/>
                <w:color w:val="000000"/>
                <w:sz w:val="24"/>
                <w:szCs w:val="24"/>
                <w:lang w:val="en-US"/>
              </w:rPr>
              <w:t>£,million</w:t>
            </w:r>
          </w:p>
        </w:tc>
        <w:tc>
          <w:tcPr>
            <w:tcW w:w="1120" w:type="dxa"/>
            <w:shd w:val="clear" w:color="auto" w:fill="99CCFF"/>
            <w:noWrap/>
            <w:hideMark/>
          </w:tcPr>
          <w:p w:rsidR="00EE7983" w:rsidRPr="00EE7983" w:rsidRDefault="00EE7983" w:rsidP="00EE7983">
            <w:pPr>
              <w:spacing w:line="240" w:lineRule="auto"/>
              <w:jc w:val="left"/>
              <w:rPr>
                <w:rFonts w:eastAsia="Times New Roman" w:cs="Times New Roman"/>
                <w:color w:val="000000"/>
                <w:sz w:val="24"/>
                <w:szCs w:val="24"/>
                <w:lang w:val="en-US"/>
              </w:rPr>
            </w:pPr>
            <w:r w:rsidRPr="00EE7983">
              <w:rPr>
                <w:rFonts w:eastAsia="Times New Roman" w:cs="Times New Roman"/>
                <w:color w:val="000000"/>
                <w:sz w:val="24"/>
                <w:szCs w:val="24"/>
                <w:lang w:val="en-US"/>
              </w:rPr>
              <w:t>£,million</w:t>
            </w:r>
          </w:p>
        </w:tc>
        <w:tc>
          <w:tcPr>
            <w:tcW w:w="1120" w:type="dxa"/>
            <w:shd w:val="clear" w:color="auto" w:fill="99CCFF"/>
            <w:noWrap/>
            <w:hideMark/>
          </w:tcPr>
          <w:p w:rsidR="00EE7983" w:rsidRPr="00EE7983" w:rsidRDefault="00EE7983" w:rsidP="00EE7983">
            <w:pPr>
              <w:spacing w:line="240" w:lineRule="auto"/>
              <w:jc w:val="left"/>
              <w:rPr>
                <w:rFonts w:eastAsia="Times New Roman" w:cs="Times New Roman"/>
                <w:color w:val="000000"/>
                <w:sz w:val="24"/>
                <w:szCs w:val="24"/>
                <w:lang w:val="en-US"/>
              </w:rPr>
            </w:pPr>
            <w:r w:rsidRPr="00EE7983">
              <w:rPr>
                <w:rFonts w:eastAsia="Times New Roman" w:cs="Times New Roman"/>
                <w:color w:val="000000"/>
                <w:sz w:val="24"/>
                <w:szCs w:val="24"/>
                <w:lang w:val="en-US"/>
              </w:rPr>
              <w:t>£,million</w:t>
            </w:r>
          </w:p>
        </w:tc>
        <w:tc>
          <w:tcPr>
            <w:tcW w:w="1120" w:type="dxa"/>
            <w:shd w:val="clear" w:color="auto" w:fill="99CCFF"/>
            <w:noWrap/>
            <w:hideMark/>
          </w:tcPr>
          <w:p w:rsidR="00EE7983" w:rsidRPr="00EE7983" w:rsidRDefault="00EE7983" w:rsidP="00EE7983">
            <w:pPr>
              <w:spacing w:line="240" w:lineRule="auto"/>
              <w:jc w:val="left"/>
              <w:rPr>
                <w:rFonts w:eastAsia="Times New Roman" w:cs="Times New Roman"/>
                <w:color w:val="000000"/>
                <w:sz w:val="24"/>
                <w:szCs w:val="24"/>
                <w:lang w:val="en-US"/>
              </w:rPr>
            </w:pPr>
            <w:r w:rsidRPr="00EE7983">
              <w:rPr>
                <w:rFonts w:eastAsia="Times New Roman" w:cs="Times New Roman"/>
                <w:color w:val="000000"/>
                <w:sz w:val="24"/>
                <w:szCs w:val="24"/>
                <w:lang w:val="en-US"/>
              </w:rPr>
              <w:t>£,million</w:t>
            </w:r>
          </w:p>
        </w:tc>
        <w:tc>
          <w:tcPr>
            <w:tcW w:w="1120" w:type="dxa"/>
            <w:shd w:val="clear" w:color="auto" w:fill="99CCFF"/>
            <w:noWrap/>
            <w:hideMark/>
          </w:tcPr>
          <w:p w:rsidR="00EE7983" w:rsidRPr="00EE7983" w:rsidRDefault="00EE7983" w:rsidP="00EE7983">
            <w:pPr>
              <w:spacing w:line="240" w:lineRule="auto"/>
              <w:jc w:val="left"/>
              <w:rPr>
                <w:rFonts w:eastAsia="Times New Roman" w:cs="Times New Roman"/>
                <w:color w:val="000000"/>
                <w:sz w:val="24"/>
                <w:szCs w:val="24"/>
                <w:lang w:val="en-US"/>
              </w:rPr>
            </w:pPr>
            <w:r w:rsidRPr="00EE7983">
              <w:rPr>
                <w:rFonts w:eastAsia="Times New Roman" w:cs="Times New Roman"/>
                <w:color w:val="000000"/>
                <w:sz w:val="24"/>
                <w:szCs w:val="24"/>
                <w:lang w:val="en-US"/>
              </w:rPr>
              <w:t>£,million</w:t>
            </w:r>
          </w:p>
        </w:tc>
      </w:tr>
      <w:tr w:rsidR="00EE7983" w:rsidRPr="00EE7983" w:rsidTr="00462299">
        <w:trPr>
          <w:trHeight w:val="300"/>
          <w:jc w:val="center"/>
        </w:trPr>
        <w:tc>
          <w:tcPr>
            <w:tcW w:w="3339" w:type="dxa"/>
            <w:shd w:val="clear" w:color="auto" w:fill="99CCFF"/>
            <w:noWrap/>
            <w:hideMark/>
          </w:tcPr>
          <w:p w:rsidR="00EE7983" w:rsidRPr="00EE7983" w:rsidRDefault="00EE7983" w:rsidP="00EE7983">
            <w:pPr>
              <w:spacing w:line="240" w:lineRule="auto"/>
              <w:jc w:val="left"/>
              <w:rPr>
                <w:rFonts w:eastAsia="Times New Roman" w:cs="Times New Roman"/>
                <w:color w:val="000000"/>
                <w:sz w:val="24"/>
                <w:szCs w:val="24"/>
                <w:lang w:val="en-US"/>
              </w:rPr>
            </w:pPr>
            <w:r w:rsidRPr="00EE7983">
              <w:rPr>
                <w:rFonts w:eastAsia="Times New Roman" w:cs="Times New Roman"/>
                <w:color w:val="000000"/>
                <w:sz w:val="24"/>
                <w:szCs w:val="24"/>
                <w:lang w:val="en-US"/>
              </w:rPr>
              <w:t> </w:t>
            </w:r>
          </w:p>
        </w:tc>
        <w:tc>
          <w:tcPr>
            <w:tcW w:w="1121" w:type="dxa"/>
            <w:shd w:val="clear" w:color="auto" w:fill="99CCFF"/>
            <w:noWrap/>
            <w:hideMark/>
          </w:tcPr>
          <w:p w:rsidR="00EE7983" w:rsidRPr="00EE7983" w:rsidRDefault="00EE7983" w:rsidP="00EE7983">
            <w:pPr>
              <w:spacing w:line="240" w:lineRule="auto"/>
              <w:jc w:val="right"/>
              <w:rPr>
                <w:rFonts w:eastAsia="Times New Roman" w:cs="Times New Roman"/>
                <w:color w:val="000000"/>
                <w:sz w:val="24"/>
                <w:szCs w:val="24"/>
                <w:lang w:val="en-US"/>
              </w:rPr>
            </w:pPr>
            <w:r w:rsidRPr="00EE7983">
              <w:rPr>
                <w:rFonts w:eastAsia="Times New Roman" w:cs="Times New Roman"/>
                <w:color w:val="000000"/>
                <w:sz w:val="24"/>
                <w:szCs w:val="24"/>
                <w:lang w:val="en-US"/>
              </w:rPr>
              <w:t>2012</w:t>
            </w:r>
          </w:p>
        </w:tc>
        <w:tc>
          <w:tcPr>
            <w:tcW w:w="1120" w:type="dxa"/>
            <w:shd w:val="clear" w:color="auto" w:fill="99CCFF"/>
            <w:noWrap/>
            <w:hideMark/>
          </w:tcPr>
          <w:p w:rsidR="00EE7983" w:rsidRPr="00EE7983" w:rsidRDefault="00EE7983" w:rsidP="00EE7983">
            <w:pPr>
              <w:spacing w:line="240" w:lineRule="auto"/>
              <w:jc w:val="right"/>
              <w:rPr>
                <w:rFonts w:eastAsia="Times New Roman" w:cs="Times New Roman"/>
                <w:color w:val="000000"/>
                <w:sz w:val="24"/>
                <w:szCs w:val="24"/>
                <w:lang w:val="en-US"/>
              </w:rPr>
            </w:pPr>
            <w:r w:rsidRPr="00EE7983">
              <w:rPr>
                <w:rFonts w:eastAsia="Times New Roman" w:cs="Times New Roman"/>
                <w:color w:val="000000"/>
                <w:sz w:val="24"/>
                <w:szCs w:val="24"/>
                <w:lang w:val="en-US"/>
              </w:rPr>
              <w:t>2013</w:t>
            </w:r>
          </w:p>
        </w:tc>
        <w:tc>
          <w:tcPr>
            <w:tcW w:w="1120" w:type="dxa"/>
            <w:shd w:val="clear" w:color="auto" w:fill="99CCFF"/>
            <w:noWrap/>
            <w:hideMark/>
          </w:tcPr>
          <w:p w:rsidR="00EE7983" w:rsidRPr="00EE7983" w:rsidRDefault="00EE7983" w:rsidP="00EE7983">
            <w:pPr>
              <w:spacing w:line="240" w:lineRule="auto"/>
              <w:jc w:val="right"/>
              <w:rPr>
                <w:rFonts w:eastAsia="Times New Roman" w:cs="Times New Roman"/>
                <w:color w:val="000000"/>
                <w:sz w:val="24"/>
                <w:szCs w:val="24"/>
                <w:lang w:val="en-US"/>
              </w:rPr>
            </w:pPr>
            <w:r w:rsidRPr="00EE7983">
              <w:rPr>
                <w:rFonts w:eastAsia="Times New Roman" w:cs="Times New Roman"/>
                <w:color w:val="000000"/>
                <w:sz w:val="24"/>
                <w:szCs w:val="24"/>
                <w:lang w:val="en-US"/>
              </w:rPr>
              <w:t>2014</w:t>
            </w:r>
          </w:p>
        </w:tc>
        <w:tc>
          <w:tcPr>
            <w:tcW w:w="1120" w:type="dxa"/>
            <w:shd w:val="clear" w:color="auto" w:fill="99CCFF"/>
            <w:noWrap/>
            <w:hideMark/>
          </w:tcPr>
          <w:p w:rsidR="00EE7983" w:rsidRPr="00EE7983" w:rsidRDefault="00EE7983" w:rsidP="00EE7983">
            <w:pPr>
              <w:spacing w:line="240" w:lineRule="auto"/>
              <w:jc w:val="right"/>
              <w:rPr>
                <w:rFonts w:eastAsia="Times New Roman" w:cs="Times New Roman"/>
                <w:color w:val="000000"/>
                <w:sz w:val="24"/>
                <w:szCs w:val="24"/>
                <w:lang w:val="en-US"/>
              </w:rPr>
            </w:pPr>
            <w:r w:rsidRPr="00EE7983">
              <w:rPr>
                <w:rFonts w:eastAsia="Times New Roman" w:cs="Times New Roman"/>
                <w:color w:val="000000"/>
                <w:sz w:val="24"/>
                <w:szCs w:val="24"/>
                <w:lang w:val="en-US"/>
              </w:rPr>
              <w:t>2015</w:t>
            </w:r>
          </w:p>
        </w:tc>
        <w:tc>
          <w:tcPr>
            <w:tcW w:w="1120" w:type="dxa"/>
            <w:shd w:val="clear" w:color="auto" w:fill="99CCFF"/>
            <w:noWrap/>
            <w:hideMark/>
          </w:tcPr>
          <w:p w:rsidR="00EE7983" w:rsidRPr="00EE7983" w:rsidRDefault="00EE7983" w:rsidP="00EE7983">
            <w:pPr>
              <w:spacing w:line="240" w:lineRule="auto"/>
              <w:jc w:val="right"/>
              <w:rPr>
                <w:rFonts w:eastAsia="Times New Roman" w:cs="Times New Roman"/>
                <w:color w:val="000000"/>
                <w:sz w:val="24"/>
                <w:szCs w:val="24"/>
                <w:lang w:val="en-US"/>
              </w:rPr>
            </w:pPr>
            <w:r w:rsidRPr="00EE7983">
              <w:rPr>
                <w:rFonts w:eastAsia="Times New Roman" w:cs="Times New Roman"/>
                <w:color w:val="000000"/>
                <w:sz w:val="24"/>
                <w:szCs w:val="24"/>
                <w:lang w:val="en-US"/>
              </w:rPr>
              <w:t>2016</w:t>
            </w:r>
          </w:p>
        </w:tc>
      </w:tr>
      <w:tr w:rsidR="00EE7983" w:rsidRPr="00EE7983" w:rsidTr="00462299">
        <w:trPr>
          <w:trHeight w:val="300"/>
          <w:jc w:val="center"/>
        </w:trPr>
        <w:tc>
          <w:tcPr>
            <w:tcW w:w="3339" w:type="dxa"/>
            <w:shd w:val="clear" w:color="auto" w:fill="99CCFF"/>
            <w:noWrap/>
            <w:hideMark/>
          </w:tcPr>
          <w:p w:rsidR="00EE7983" w:rsidRPr="00EE7983" w:rsidRDefault="00EE7983" w:rsidP="00EE7983">
            <w:pPr>
              <w:spacing w:line="240" w:lineRule="auto"/>
              <w:jc w:val="left"/>
              <w:rPr>
                <w:rFonts w:eastAsia="Times New Roman" w:cs="Times New Roman"/>
                <w:color w:val="000000"/>
                <w:sz w:val="24"/>
                <w:szCs w:val="24"/>
                <w:lang w:val="en-US"/>
              </w:rPr>
            </w:pPr>
            <w:r w:rsidRPr="00EE7983">
              <w:rPr>
                <w:rFonts w:eastAsia="Times New Roman" w:cs="Times New Roman"/>
                <w:color w:val="000000"/>
                <w:sz w:val="24"/>
                <w:szCs w:val="24"/>
                <w:lang w:val="en-US"/>
              </w:rPr>
              <w:t>Total revenue earned</w:t>
            </w:r>
          </w:p>
        </w:tc>
        <w:tc>
          <w:tcPr>
            <w:tcW w:w="1121" w:type="dxa"/>
            <w:shd w:val="clear" w:color="auto" w:fill="99CCFF"/>
            <w:noWrap/>
            <w:hideMark/>
          </w:tcPr>
          <w:p w:rsidR="00EE7983" w:rsidRPr="00EE7983" w:rsidRDefault="00EE7983" w:rsidP="00EE7983">
            <w:pPr>
              <w:spacing w:line="240" w:lineRule="auto"/>
              <w:jc w:val="right"/>
              <w:rPr>
                <w:rFonts w:eastAsia="Times New Roman" w:cs="Times New Roman"/>
                <w:sz w:val="24"/>
                <w:szCs w:val="24"/>
                <w:lang w:val="en-US"/>
              </w:rPr>
            </w:pPr>
            <w:r w:rsidRPr="00EE7983">
              <w:rPr>
                <w:rFonts w:eastAsia="Times New Roman" w:cs="Times New Roman"/>
                <w:sz w:val="24"/>
                <w:szCs w:val="24"/>
                <w:lang w:val="en-US"/>
              </w:rPr>
              <w:t>26,431</w:t>
            </w:r>
          </w:p>
        </w:tc>
        <w:tc>
          <w:tcPr>
            <w:tcW w:w="1120" w:type="dxa"/>
            <w:shd w:val="clear" w:color="auto" w:fill="99CCFF"/>
            <w:noWrap/>
            <w:hideMark/>
          </w:tcPr>
          <w:p w:rsidR="00EE7983" w:rsidRPr="00EE7983" w:rsidRDefault="00EE7983" w:rsidP="00EE7983">
            <w:pPr>
              <w:spacing w:line="240" w:lineRule="auto"/>
              <w:jc w:val="right"/>
              <w:rPr>
                <w:rFonts w:eastAsia="Times New Roman" w:cs="Times New Roman"/>
                <w:sz w:val="24"/>
                <w:szCs w:val="24"/>
                <w:lang w:val="en-US"/>
              </w:rPr>
            </w:pPr>
            <w:r w:rsidRPr="00EE7983">
              <w:rPr>
                <w:rFonts w:eastAsia="Times New Roman" w:cs="Times New Roman"/>
                <w:sz w:val="24"/>
                <w:szCs w:val="24"/>
                <w:lang w:val="en-US"/>
              </w:rPr>
              <w:t>26,505</w:t>
            </w:r>
          </w:p>
        </w:tc>
        <w:tc>
          <w:tcPr>
            <w:tcW w:w="1120" w:type="dxa"/>
            <w:shd w:val="clear" w:color="auto" w:fill="99CCFF"/>
            <w:noWrap/>
            <w:hideMark/>
          </w:tcPr>
          <w:p w:rsidR="00EE7983" w:rsidRPr="00EE7983" w:rsidRDefault="00EE7983" w:rsidP="00EE7983">
            <w:pPr>
              <w:spacing w:line="240" w:lineRule="auto"/>
              <w:jc w:val="right"/>
              <w:rPr>
                <w:rFonts w:eastAsia="Times New Roman" w:cs="Times New Roman"/>
                <w:sz w:val="24"/>
                <w:szCs w:val="24"/>
                <w:lang w:val="en-US"/>
              </w:rPr>
            </w:pPr>
            <w:r w:rsidRPr="00EE7983">
              <w:rPr>
                <w:rFonts w:eastAsia="Times New Roman" w:cs="Times New Roman"/>
                <w:sz w:val="24"/>
                <w:szCs w:val="24"/>
                <w:lang w:val="en-US"/>
              </w:rPr>
              <w:t>23,006</w:t>
            </w:r>
          </w:p>
        </w:tc>
        <w:tc>
          <w:tcPr>
            <w:tcW w:w="1120" w:type="dxa"/>
            <w:shd w:val="clear" w:color="auto" w:fill="99CCFF"/>
            <w:noWrap/>
            <w:hideMark/>
          </w:tcPr>
          <w:p w:rsidR="00EE7983" w:rsidRPr="00EE7983" w:rsidRDefault="00EE7983" w:rsidP="00EE7983">
            <w:pPr>
              <w:spacing w:line="240" w:lineRule="auto"/>
              <w:jc w:val="right"/>
              <w:rPr>
                <w:rFonts w:eastAsia="Times New Roman" w:cs="Times New Roman"/>
                <w:sz w:val="24"/>
                <w:szCs w:val="24"/>
                <w:lang w:val="en-US"/>
              </w:rPr>
            </w:pPr>
            <w:r w:rsidRPr="00EE7983">
              <w:rPr>
                <w:rFonts w:eastAsia="Times New Roman" w:cs="Times New Roman"/>
                <w:sz w:val="24"/>
                <w:szCs w:val="24"/>
                <w:lang w:val="en-US"/>
              </w:rPr>
              <w:t>23923</w:t>
            </w:r>
          </w:p>
        </w:tc>
        <w:tc>
          <w:tcPr>
            <w:tcW w:w="1120" w:type="dxa"/>
            <w:shd w:val="clear" w:color="auto" w:fill="99CCFF"/>
            <w:noWrap/>
            <w:hideMark/>
          </w:tcPr>
          <w:p w:rsidR="00EE7983" w:rsidRPr="00EE7983" w:rsidRDefault="00EE7983" w:rsidP="00EE7983">
            <w:pPr>
              <w:spacing w:line="240" w:lineRule="auto"/>
              <w:jc w:val="right"/>
              <w:rPr>
                <w:rFonts w:eastAsia="Times New Roman" w:cs="Times New Roman"/>
                <w:sz w:val="24"/>
                <w:szCs w:val="24"/>
                <w:lang w:val="en-US"/>
              </w:rPr>
            </w:pPr>
            <w:r w:rsidRPr="00EE7983">
              <w:rPr>
                <w:rFonts w:eastAsia="Times New Roman" w:cs="Times New Roman"/>
                <w:sz w:val="24"/>
                <w:szCs w:val="24"/>
                <w:lang w:val="en-US"/>
              </w:rPr>
              <w:t>27889</w:t>
            </w:r>
          </w:p>
        </w:tc>
      </w:tr>
      <w:tr w:rsidR="00EE7983" w:rsidRPr="00EE7983" w:rsidTr="00462299">
        <w:trPr>
          <w:trHeight w:val="300"/>
          <w:jc w:val="center"/>
        </w:trPr>
        <w:tc>
          <w:tcPr>
            <w:tcW w:w="3339" w:type="dxa"/>
            <w:shd w:val="clear" w:color="auto" w:fill="99CCFF"/>
            <w:noWrap/>
            <w:hideMark/>
          </w:tcPr>
          <w:p w:rsidR="00EE7983" w:rsidRPr="00EE7983" w:rsidRDefault="00EE7983" w:rsidP="00EE7983">
            <w:pPr>
              <w:spacing w:line="240" w:lineRule="auto"/>
              <w:jc w:val="left"/>
              <w:rPr>
                <w:rFonts w:eastAsia="Times New Roman" w:cs="Times New Roman"/>
                <w:color w:val="000000"/>
                <w:sz w:val="24"/>
                <w:szCs w:val="24"/>
                <w:lang w:val="en-US"/>
              </w:rPr>
            </w:pPr>
            <w:r w:rsidRPr="00EE7983">
              <w:rPr>
                <w:rFonts w:eastAsia="Times New Roman" w:cs="Times New Roman"/>
                <w:color w:val="000000"/>
                <w:sz w:val="24"/>
                <w:szCs w:val="24"/>
                <w:lang w:val="en-US"/>
              </w:rPr>
              <w:t>Total average asset</w:t>
            </w:r>
          </w:p>
        </w:tc>
        <w:tc>
          <w:tcPr>
            <w:tcW w:w="1121" w:type="dxa"/>
            <w:shd w:val="clear" w:color="auto" w:fill="99CCFF"/>
            <w:noWrap/>
            <w:hideMark/>
          </w:tcPr>
          <w:p w:rsidR="00EE7983" w:rsidRPr="00EE7983" w:rsidRDefault="00EE7983" w:rsidP="00EE7983">
            <w:pPr>
              <w:spacing w:line="240" w:lineRule="auto"/>
              <w:jc w:val="right"/>
              <w:rPr>
                <w:rFonts w:eastAsia="Times New Roman" w:cs="Times New Roman"/>
                <w:sz w:val="24"/>
                <w:szCs w:val="24"/>
                <w:lang w:val="en-US"/>
              </w:rPr>
            </w:pPr>
            <w:r w:rsidRPr="00EE7983">
              <w:rPr>
                <w:rFonts w:eastAsia="Times New Roman" w:cs="Times New Roman"/>
                <w:sz w:val="24"/>
                <w:szCs w:val="24"/>
                <w:lang w:val="en-US"/>
              </w:rPr>
              <w:t>41481</w:t>
            </w:r>
          </w:p>
        </w:tc>
        <w:tc>
          <w:tcPr>
            <w:tcW w:w="1120" w:type="dxa"/>
            <w:shd w:val="clear" w:color="auto" w:fill="99CCFF"/>
            <w:noWrap/>
            <w:hideMark/>
          </w:tcPr>
          <w:p w:rsidR="00EE7983" w:rsidRPr="00EE7983" w:rsidRDefault="00EE7983" w:rsidP="00EE7983">
            <w:pPr>
              <w:spacing w:line="240" w:lineRule="auto"/>
              <w:jc w:val="right"/>
              <w:rPr>
                <w:rFonts w:eastAsia="Times New Roman" w:cs="Times New Roman"/>
                <w:sz w:val="24"/>
                <w:szCs w:val="24"/>
                <w:lang w:val="en-US"/>
              </w:rPr>
            </w:pPr>
            <w:r w:rsidRPr="00EE7983">
              <w:rPr>
                <w:rFonts w:eastAsia="Times New Roman" w:cs="Times New Roman"/>
                <w:sz w:val="24"/>
                <w:szCs w:val="24"/>
                <w:lang w:val="en-US"/>
              </w:rPr>
              <w:t>42,086</w:t>
            </w:r>
          </w:p>
        </w:tc>
        <w:tc>
          <w:tcPr>
            <w:tcW w:w="1120" w:type="dxa"/>
            <w:shd w:val="clear" w:color="auto" w:fill="99CCFF"/>
            <w:noWrap/>
            <w:hideMark/>
          </w:tcPr>
          <w:p w:rsidR="00EE7983" w:rsidRPr="00EE7983" w:rsidRDefault="00EE7983" w:rsidP="00EE7983">
            <w:pPr>
              <w:spacing w:line="240" w:lineRule="auto"/>
              <w:jc w:val="right"/>
              <w:rPr>
                <w:rFonts w:eastAsia="Times New Roman" w:cs="Times New Roman"/>
                <w:sz w:val="24"/>
                <w:szCs w:val="24"/>
                <w:lang w:val="en-US"/>
              </w:rPr>
            </w:pPr>
            <w:r w:rsidRPr="00EE7983">
              <w:rPr>
                <w:rFonts w:eastAsia="Times New Roman" w:cs="Times New Roman"/>
                <w:sz w:val="24"/>
                <w:szCs w:val="24"/>
                <w:lang w:val="en-US"/>
              </w:rPr>
              <w:t>40,651</w:t>
            </w:r>
          </w:p>
        </w:tc>
        <w:tc>
          <w:tcPr>
            <w:tcW w:w="1120" w:type="dxa"/>
            <w:shd w:val="clear" w:color="auto" w:fill="99CCFF"/>
            <w:noWrap/>
            <w:hideMark/>
          </w:tcPr>
          <w:p w:rsidR="00EE7983" w:rsidRPr="00EE7983" w:rsidRDefault="00EE7983" w:rsidP="00EE7983">
            <w:pPr>
              <w:spacing w:line="240" w:lineRule="auto"/>
              <w:jc w:val="right"/>
              <w:rPr>
                <w:rFonts w:eastAsia="Times New Roman" w:cs="Times New Roman"/>
                <w:color w:val="000000"/>
                <w:sz w:val="24"/>
                <w:szCs w:val="24"/>
                <w:lang w:val="en-US"/>
              </w:rPr>
            </w:pPr>
            <w:r w:rsidRPr="00EE7983">
              <w:rPr>
                <w:rFonts w:eastAsia="Times New Roman" w:cs="Times New Roman"/>
                <w:color w:val="000000"/>
                <w:sz w:val="24"/>
                <w:szCs w:val="24"/>
                <w:lang w:val="en-US"/>
              </w:rPr>
              <w:t>53,446</w:t>
            </w:r>
          </w:p>
        </w:tc>
        <w:tc>
          <w:tcPr>
            <w:tcW w:w="1120" w:type="dxa"/>
            <w:shd w:val="clear" w:color="auto" w:fill="99CCFF"/>
            <w:noWrap/>
            <w:hideMark/>
          </w:tcPr>
          <w:p w:rsidR="00EE7983" w:rsidRPr="00EE7983" w:rsidRDefault="00EE7983" w:rsidP="00EE7983">
            <w:pPr>
              <w:spacing w:line="240" w:lineRule="auto"/>
              <w:jc w:val="right"/>
              <w:rPr>
                <w:rFonts w:eastAsia="Times New Roman" w:cs="Times New Roman"/>
                <w:color w:val="000000"/>
                <w:sz w:val="24"/>
                <w:szCs w:val="24"/>
                <w:lang w:val="en-US"/>
              </w:rPr>
            </w:pPr>
            <w:r w:rsidRPr="00EE7983">
              <w:rPr>
                <w:rFonts w:eastAsia="Times New Roman" w:cs="Times New Roman"/>
                <w:color w:val="000000"/>
                <w:sz w:val="24"/>
                <w:szCs w:val="24"/>
                <w:lang w:val="en-US"/>
              </w:rPr>
              <w:t>59,081</w:t>
            </w:r>
          </w:p>
        </w:tc>
      </w:tr>
      <w:tr w:rsidR="00462299" w:rsidRPr="00462299" w:rsidTr="00462299">
        <w:trPr>
          <w:trHeight w:val="300"/>
          <w:jc w:val="center"/>
        </w:trPr>
        <w:tc>
          <w:tcPr>
            <w:tcW w:w="3339" w:type="dxa"/>
            <w:shd w:val="clear" w:color="auto" w:fill="99CCFF"/>
            <w:noWrap/>
            <w:hideMark/>
          </w:tcPr>
          <w:p w:rsidR="00462299" w:rsidRPr="00462299" w:rsidRDefault="00462299" w:rsidP="00462299">
            <w:pPr>
              <w:spacing w:line="240" w:lineRule="auto"/>
              <w:jc w:val="left"/>
              <w:rPr>
                <w:rFonts w:eastAsia="Times New Roman" w:cs="Times New Roman"/>
                <w:color w:val="000000"/>
                <w:sz w:val="24"/>
                <w:szCs w:val="24"/>
                <w:lang w:val="en-US"/>
              </w:rPr>
            </w:pPr>
            <w:r w:rsidRPr="00462299">
              <w:rPr>
                <w:rFonts w:eastAsia="Times New Roman" w:cs="Times New Roman"/>
                <w:color w:val="000000"/>
                <w:sz w:val="24"/>
                <w:szCs w:val="24"/>
                <w:lang w:val="en-US"/>
              </w:rPr>
              <w:t>Total asset turnover ratio(net sales or revenue/Total average asset)</w:t>
            </w:r>
          </w:p>
        </w:tc>
        <w:tc>
          <w:tcPr>
            <w:tcW w:w="1121" w:type="dxa"/>
            <w:shd w:val="clear" w:color="auto" w:fill="99CCFF"/>
            <w:noWrap/>
            <w:hideMark/>
          </w:tcPr>
          <w:p w:rsidR="00462299" w:rsidRPr="00462299" w:rsidRDefault="00462299" w:rsidP="00462299">
            <w:pPr>
              <w:spacing w:line="240" w:lineRule="auto"/>
              <w:jc w:val="right"/>
              <w:rPr>
                <w:rFonts w:eastAsia="Times New Roman" w:cs="Times New Roman"/>
                <w:sz w:val="24"/>
                <w:szCs w:val="24"/>
                <w:lang w:val="en-US"/>
              </w:rPr>
            </w:pPr>
            <w:r w:rsidRPr="00462299">
              <w:rPr>
                <w:rFonts w:eastAsia="Times New Roman" w:cs="Times New Roman"/>
                <w:sz w:val="24"/>
                <w:szCs w:val="24"/>
                <w:lang w:val="en-US"/>
              </w:rPr>
              <w:t>0.64</w:t>
            </w:r>
          </w:p>
        </w:tc>
        <w:tc>
          <w:tcPr>
            <w:tcW w:w="1120" w:type="dxa"/>
            <w:shd w:val="clear" w:color="auto" w:fill="99CCFF"/>
            <w:noWrap/>
            <w:hideMark/>
          </w:tcPr>
          <w:p w:rsidR="00462299" w:rsidRPr="00462299" w:rsidRDefault="00462299" w:rsidP="00462299">
            <w:pPr>
              <w:spacing w:line="240" w:lineRule="auto"/>
              <w:jc w:val="right"/>
              <w:rPr>
                <w:rFonts w:eastAsia="Times New Roman" w:cs="Times New Roman"/>
                <w:sz w:val="24"/>
                <w:szCs w:val="24"/>
                <w:lang w:val="en-US"/>
              </w:rPr>
            </w:pPr>
            <w:r w:rsidRPr="00462299">
              <w:rPr>
                <w:rFonts w:eastAsia="Times New Roman" w:cs="Times New Roman"/>
                <w:sz w:val="24"/>
                <w:szCs w:val="24"/>
                <w:lang w:val="en-US"/>
              </w:rPr>
              <w:t>0.63</w:t>
            </w:r>
          </w:p>
        </w:tc>
        <w:tc>
          <w:tcPr>
            <w:tcW w:w="1120" w:type="dxa"/>
            <w:shd w:val="clear" w:color="auto" w:fill="99CCFF"/>
            <w:noWrap/>
            <w:hideMark/>
          </w:tcPr>
          <w:p w:rsidR="00462299" w:rsidRPr="00462299" w:rsidRDefault="00462299" w:rsidP="00462299">
            <w:pPr>
              <w:spacing w:line="240" w:lineRule="auto"/>
              <w:jc w:val="right"/>
              <w:rPr>
                <w:rFonts w:eastAsia="Times New Roman" w:cs="Times New Roman"/>
                <w:sz w:val="24"/>
                <w:szCs w:val="24"/>
                <w:lang w:val="en-US"/>
              </w:rPr>
            </w:pPr>
            <w:r w:rsidRPr="00462299">
              <w:rPr>
                <w:rFonts w:eastAsia="Times New Roman" w:cs="Times New Roman"/>
                <w:sz w:val="24"/>
                <w:szCs w:val="24"/>
                <w:lang w:val="en-US"/>
              </w:rPr>
              <w:t>0.57</w:t>
            </w:r>
          </w:p>
        </w:tc>
        <w:tc>
          <w:tcPr>
            <w:tcW w:w="1120" w:type="dxa"/>
            <w:shd w:val="clear" w:color="auto" w:fill="99CCFF"/>
            <w:noWrap/>
            <w:hideMark/>
          </w:tcPr>
          <w:p w:rsidR="00462299" w:rsidRPr="00462299" w:rsidRDefault="00462299" w:rsidP="00462299">
            <w:pPr>
              <w:spacing w:line="240" w:lineRule="auto"/>
              <w:jc w:val="right"/>
              <w:rPr>
                <w:rFonts w:eastAsia="Times New Roman" w:cs="Times New Roman"/>
                <w:color w:val="000000"/>
                <w:sz w:val="24"/>
                <w:szCs w:val="24"/>
                <w:lang w:val="en-US"/>
              </w:rPr>
            </w:pPr>
            <w:r w:rsidRPr="00462299">
              <w:rPr>
                <w:rFonts w:eastAsia="Times New Roman" w:cs="Times New Roman"/>
                <w:color w:val="000000"/>
                <w:sz w:val="24"/>
                <w:szCs w:val="24"/>
                <w:lang w:val="en-US"/>
              </w:rPr>
              <w:t>0.45</w:t>
            </w:r>
          </w:p>
        </w:tc>
        <w:tc>
          <w:tcPr>
            <w:tcW w:w="1120" w:type="dxa"/>
            <w:shd w:val="clear" w:color="auto" w:fill="99CCFF"/>
            <w:noWrap/>
            <w:hideMark/>
          </w:tcPr>
          <w:p w:rsidR="00462299" w:rsidRPr="00462299" w:rsidRDefault="00462299" w:rsidP="00462299">
            <w:pPr>
              <w:spacing w:line="240" w:lineRule="auto"/>
              <w:jc w:val="right"/>
              <w:rPr>
                <w:rFonts w:eastAsia="Times New Roman" w:cs="Times New Roman"/>
                <w:color w:val="000000"/>
                <w:sz w:val="24"/>
                <w:szCs w:val="24"/>
                <w:lang w:val="en-US"/>
              </w:rPr>
            </w:pPr>
            <w:r w:rsidRPr="00462299">
              <w:rPr>
                <w:rFonts w:eastAsia="Times New Roman" w:cs="Times New Roman"/>
                <w:color w:val="000000"/>
                <w:sz w:val="24"/>
                <w:szCs w:val="24"/>
                <w:lang w:val="en-US"/>
              </w:rPr>
              <w:t>0.47</w:t>
            </w:r>
          </w:p>
        </w:tc>
      </w:tr>
    </w:tbl>
    <w:p w:rsidR="00EE7983" w:rsidRDefault="00EE7983" w:rsidP="00CD5A47"/>
    <w:p w:rsidR="00D553F5" w:rsidRPr="000403EE" w:rsidRDefault="00D553F5" w:rsidP="00CD5A47">
      <w:r>
        <w:t xml:space="preserve">The asset turnover ratio of the organization has registered a steady declining trend from 2012 and has registered the minimum value of 0.47 in 2016.The underlying reason that can be identified is the </w:t>
      </w:r>
      <w:r w:rsidR="00F20513">
        <w:t>continuous decline in generation of sales in proportion of the asset that has been employed.</w:t>
      </w:r>
    </w:p>
    <w:p w:rsidR="000F735B" w:rsidRDefault="004551B5" w:rsidP="004551B5">
      <w:pPr>
        <w:pStyle w:val="Heading1"/>
      </w:pPr>
      <w:bookmarkStart w:id="8" w:name="_Toc502329662"/>
      <w:r>
        <w:t>Gearing Ratio:</w:t>
      </w:r>
      <w:bookmarkEnd w:id="8"/>
    </w:p>
    <w:p w:rsidR="004551B5" w:rsidRPr="004551B5" w:rsidRDefault="00C42D2C" w:rsidP="004551B5">
      <w:r>
        <w:t xml:space="preserve">The gearing ratio is a fundamental ratio that </w:t>
      </w:r>
      <w:r w:rsidR="00B66CF9">
        <w:t xml:space="preserve">describes the capital structure of a business </w:t>
      </w:r>
      <w:r w:rsidR="004649F7">
        <w:t xml:space="preserve">organization. The gearing ratio actually defines the dependency of the business organization </w:t>
      </w:r>
      <w:r w:rsidR="00DC1E60">
        <w:t xml:space="preserve">over long term debt out of the total capital employed by the business. A high gearing ratio indicates a high dependency of the business organization over the </w:t>
      </w:r>
      <w:r w:rsidR="00683629">
        <w:t xml:space="preserve">long term debt and the proportion of the debt is more that n equity out of the total capital employed by the organization. So if the gearing ratio of a business is quite high then the business is a highly levered </w:t>
      </w:r>
      <w:r w:rsidR="00EE7983">
        <w:t>company. If the gearing ratio of the organization is more than 50% then it is considered that the business is highly geared.</w:t>
      </w:r>
    </w:p>
    <w:tbl>
      <w:tblPr>
        <w:tblStyle w:val="TableGrid"/>
        <w:tblW w:w="8940" w:type="dxa"/>
        <w:jc w:val="center"/>
        <w:shd w:val="clear" w:color="auto" w:fill="B6DDE8" w:themeFill="accent5" w:themeFillTint="66"/>
        <w:tblLook w:val="04A0"/>
      </w:tblPr>
      <w:tblGrid>
        <w:gridCol w:w="3339"/>
        <w:gridCol w:w="1121"/>
        <w:gridCol w:w="1120"/>
        <w:gridCol w:w="1120"/>
        <w:gridCol w:w="1120"/>
        <w:gridCol w:w="1120"/>
      </w:tblGrid>
      <w:tr w:rsidR="00931042" w:rsidRPr="00931042" w:rsidTr="009D1336">
        <w:trPr>
          <w:trHeight w:val="315"/>
          <w:jc w:val="center"/>
        </w:trPr>
        <w:tc>
          <w:tcPr>
            <w:tcW w:w="8940" w:type="dxa"/>
            <w:gridSpan w:val="6"/>
            <w:shd w:val="clear" w:color="auto" w:fill="B6DDE8" w:themeFill="accent5" w:themeFillTint="66"/>
            <w:noWrap/>
            <w:hideMark/>
          </w:tcPr>
          <w:p w:rsidR="00931042" w:rsidRPr="00931042" w:rsidRDefault="00931042" w:rsidP="00931042">
            <w:pPr>
              <w:spacing w:line="240" w:lineRule="auto"/>
              <w:jc w:val="center"/>
              <w:rPr>
                <w:rFonts w:eastAsia="Times New Roman" w:cs="Times New Roman"/>
                <w:color w:val="000000"/>
                <w:sz w:val="24"/>
                <w:lang w:val="en-US"/>
              </w:rPr>
            </w:pPr>
            <w:r w:rsidRPr="00931042">
              <w:rPr>
                <w:rFonts w:eastAsia="Times New Roman" w:cs="Times New Roman"/>
                <w:color w:val="000000"/>
                <w:sz w:val="24"/>
                <w:lang w:val="en-US"/>
              </w:rPr>
              <w:t>Glaxo SmithKline(GSK) Ratio Analysis</w:t>
            </w:r>
          </w:p>
        </w:tc>
      </w:tr>
      <w:tr w:rsidR="00931042" w:rsidRPr="00931042" w:rsidTr="009D1336">
        <w:trPr>
          <w:trHeight w:val="300"/>
          <w:jc w:val="center"/>
        </w:trPr>
        <w:tc>
          <w:tcPr>
            <w:tcW w:w="3339" w:type="dxa"/>
            <w:shd w:val="clear" w:color="auto" w:fill="B6DDE8" w:themeFill="accent5" w:themeFillTint="66"/>
            <w:noWrap/>
            <w:hideMark/>
          </w:tcPr>
          <w:p w:rsidR="00931042" w:rsidRPr="00931042" w:rsidRDefault="00931042" w:rsidP="00931042">
            <w:pPr>
              <w:spacing w:line="240" w:lineRule="auto"/>
              <w:jc w:val="left"/>
              <w:rPr>
                <w:rFonts w:eastAsia="Times New Roman" w:cs="Times New Roman"/>
                <w:color w:val="000000"/>
                <w:sz w:val="24"/>
                <w:lang w:val="en-US"/>
              </w:rPr>
            </w:pPr>
            <w:r w:rsidRPr="00931042">
              <w:rPr>
                <w:rFonts w:eastAsia="Times New Roman" w:cs="Times New Roman"/>
                <w:color w:val="000000"/>
                <w:sz w:val="24"/>
                <w:lang w:val="en-US"/>
              </w:rPr>
              <w:t>financial statement  items</w:t>
            </w:r>
          </w:p>
        </w:tc>
        <w:tc>
          <w:tcPr>
            <w:tcW w:w="1121" w:type="dxa"/>
            <w:shd w:val="clear" w:color="auto" w:fill="B6DDE8" w:themeFill="accent5" w:themeFillTint="66"/>
            <w:noWrap/>
            <w:hideMark/>
          </w:tcPr>
          <w:p w:rsidR="00931042" w:rsidRPr="00931042" w:rsidRDefault="00931042" w:rsidP="00931042">
            <w:pPr>
              <w:spacing w:line="240" w:lineRule="auto"/>
              <w:jc w:val="left"/>
              <w:rPr>
                <w:rFonts w:eastAsia="Times New Roman" w:cs="Times New Roman"/>
                <w:color w:val="000000"/>
                <w:sz w:val="24"/>
                <w:lang w:val="en-US"/>
              </w:rPr>
            </w:pPr>
            <w:r w:rsidRPr="00931042">
              <w:rPr>
                <w:rFonts w:eastAsia="Times New Roman" w:cs="Times New Roman"/>
                <w:color w:val="000000"/>
                <w:sz w:val="24"/>
                <w:lang w:val="en-US"/>
              </w:rPr>
              <w:t>£,million</w:t>
            </w:r>
          </w:p>
        </w:tc>
        <w:tc>
          <w:tcPr>
            <w:tcW w:w="1120" w:type="dxa"/>
            <w:shd w:val="clear" w:color="auto" w:fill="B6DDE8" w:themeFill="accent5" w:themeFillTint="66"/>
            <w:noWrap/>
            <w:hideMark/>
          </w:tcPr>
          <w:p w:rsidR="00931042" w:rsidRPr="00931042" w:rsidRDefault="00931042" w:rsidP="00931042">
            <w:pPr>
              <w:spacing w:line="240" w:lineRule="auto"/>
              <w:jc w:val="left"/>
              <w:rPr>
                <w:rFonts w:eastAsia="Times New Roman" w:cs="Times New Roman"/>
                <w:color w:val="000000"/>
                <w:sz w:val="24"/>
                <w:lang w:val="en-US"/>
              </w:rPr>
            </w:pPr>
            <w:r w:rsidRPr="00931042">
              <w:rPr>
                <w:rFonts w:eastAsia="Times New Roman" w:cs="Times New Roman"/>
                <w:color w:val="000000"/>
                <w:sz w:val="24"/>
                <w:lang w:val="en-US"/>
              </w:rPr>
              <w:t>£,million</w:t>
            </w:r>
          </w:p>
        </w:tc>
        <w:tc>
          <w:tcPr>
            <w:tcW w:w="1120" w:type="dxa"/>
            <w:shd w:val="clear" w:color="auto" w:fill="B6DDE8" w:themeFill="accent5" w:themeFillTint="66"/>
            <w:noWrap/>
            <w:hideMark/>
          </w:tcPr>
          <w:p w:rsidR="00931042" w:rsidRPr="00931042" w:rsidRDefault="00931042" w:rsidP="00931042">
            <w:pPr>
              <w:spacing w:line="240" w:lineRule="auto"/>
              <w:jc w:val="left"/>
              <w:rPr>
                <w:rFonts w:eastAsia="Times New Roman" w:cs="Times New Roman"/>
                <w:color w:val="000000"/>
                <w:sz w:val="24"/>
                <w:lang w:val="en-US"/>
              </w:rPr>
            </w:pPr>
            <w:r w:rsidRPr="00931042">
              <w:rPr>
                <w:rFonts w:eastAsia="Times New Roman" w:cs="Times New Roman"/>
                <w:color w:val="000000"/>
                <w:sz w:val="24"/>
                <w:lang w:val="en-US"/>
              </w:rPr>
              <w:t>£,million</w:t>
            </w:r>
          </w:p>
        </w:tc>
        <w:tc>
          <w:tcPr>
            <w:tcW w:w="1120" w:type="dxa"/>
            <w:shd w:val="clear" w:color="auto" w:fill="B6DDE8" w:themeFill="accent5" w:themeFillTint="66"/>
            <w:noWrap/>
            <w:hideMark/>
          </w:tcPr>
          <w:p w:rsidR="00931042" w:rsidRPr="00931042" w:rsidRDefault="00931042" w:rsidP="00931042">
            <w:pPr>
              <w:spacing w:line="240" w:lineRule="auto"/>
              <w:jc w:val="left"/>
              <w:rPr>
                <w:rFonts w:eastAsia="Times New Roman" w:cs="Times New Roman"/>
                <w:color w:val="000000"/>
                <w:sz w:val="24"/>
                <w:lang w:val="en-US"/>
              </w:rPr>
            </w:pPr>
            <w:r w:rsidRPr="00931042">
              <w:rPr>
                <w:rFonts w:eastAsia="Times New Roman" w:cs="Times New Roman"/>
                <w:color w:val="000000"/>
                <w:sz w:val="24"/>
                <w:lang w:val="en-US"/>
              </w:rPr>
              <w:t>£,million</w:t>
            </w:r>
          </w:p>
        </w:tc>
        <w:tc>
          <w:tcPr>
            <w:tcW w:w="1120" w:type="dxa"/>
            <w:shd w:val="clear" w:color="auto" w:fill="B6DDE8" w:themeFill="accent5" w:themeFillTint="66"/>
            <w:noWrap/>
            <w:hideMark/>
          </w:tcPr>
          <w:p w:rsidR="00931042" w:rsidRPr="00931042" w:rsidRDefault="00931042" w:rsidP="00931042">
            <w:pPr>
              <w:spacing w:line="240" w:lineRule="auto"/>
              <w:jc w:val="left"/>
              <w:rPr>
                <w:rFonts w:eastAsia="Times New Roman" w:cs="Times New Roman"/>
                <w:color w:val="000000"/>
                <w:sz w:val="24"/>
                <w:lang w:val="en-US"/>
              </w:rPr>
            </w:pPr>
            <w:r w:rsidRPr="00931042">
              <w:rPr>
                <w:rFonts w:eastAsia="Times New Roman" w:cs="Times New Roman"/>
                <w:color w:val="000000"/>
                <w:sz w:val="24"/>
                <w:lang w:val="en-US"/>
              </w:rPr>
              <w:t>£,million</w:t>
            </w:r>
          </w:p>
        </w:tc>
      </w:tr>
      <w:tr w:rsidR="00931042" w:rsidRPr="00931042" w:rsidTr="009D1336">
        <w:trPr>
          <w:trHeight w:val="300"/>
          <w:jc w:val="center"/>
        </w:trPr>
        <w:tc>
          <w:tcPr>
            <w:tcW w:w="3339" w:type="dxa"/>
            <w:shd w:val="clear" w:color="auto" w:fill="B6DDE8" w:themeFill="accent5" w:themeFillTint="66"/>
            <w:noWrap/>
            <w:hideMark/>
          </w:tcPr>
          <w:p w:rsidR="00931042" w:rsidRPr="00931042" w:rsidRDefault="00931042" w:rsidP="00931042">
            <w:pPr>
              <w:spacing w:line="240" w:lineRule="auto"/>
              <w:jc w:val="left"/>
              <w:rPr>
                <w:rFonts w:eastAsia="Times New Roman" w:cs="Times New Roman"/>
                <w:color w:val="000000"/>
                <w:sz w:val="24"/>
                <w:lang w:val="en-US"/>
              </w:rPr>
            </w:pPr>
            <w:r w:rsidRPr="00931042">
              <w:rPr>
                <w:rFonts w:eastAsia="Times New Roman" w:cs="Times New Roman"/>
                <w:color w:val="000000"/>
                <w:sz w:val="24"/>
                <w:lang w:val="en-US"/>
              </w:rPr>
              <w:t> </w:t>
            </w:r>
          </w:p>
        </w:tc>
        <w:tc>
          <w:tcPr>
            <w:tcW w:w="1121"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color w:val="000000"/>
                <w:sz w:val="24"/>
                <w:lang w:val="en-US"/>
              </w:rPr>
            </w:pPr>
            <w:r w:rsidRPr="00931042">
              <w:rPr>
                <w:rFonts w:eastAsia="Times New Roman" w:cs="Times New Roman"/>
                <w:color w:val="000000"/>
                <w:sz w:val="24"/>
                <w:lang w:val="en-US"/>
              </w:rPr>
              <w:t>2012</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color w:val="000000"/>
                <w:sz w:val="24"/>
                <w:lang w:val="en-US"/>
              </w:rPr>
            </w:pPr>
            <w:r w:rsidRPr="00931042">
              <w:rPr>
                <w:rFonts w:eastAsia="Times New Roman" w:cs="Times New Roman"/>
                <w:color w:val="000000"/>
                <w:sz w:val="24"/>
                <w:lang w:val="en-US"/>
              </w:rPr>
              <w:t>2013</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color w:val="000000"/>
                <w:sz w:val="24"/>
                <w:lang w:val="en-US"/>
              </w:rPr>
            </w:pPr>
            <w:r w:rsidRPr="00931042">
              <w:rPr>
                <w:rFonts w:eastAsia="Times New Roman" w:cs="Times New Roman"/>
                <w:color w:val="000000"/>
                <w:sz w:val="24"/>
                <w:lang w:val="en-US"/>
              </w:rPr>
              <w:t>2014</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color w:val="000000"/>
                <w:sz w:val="24"/>
                <w:lang w:val="en-US"/>
              </w:rPr>
            </w:pPr>
            <w:r w:rsidRPr="00931042">
              <w:rPr>
                <w:rFonts w:eastAsia="Times New Roman" w:cs="Times New Roman"/>
                <w:color w:val="000000"/>
                <w:sz w:val="24"/>
                <w:lang w:val="en-US"/>
              </w:rPr>
              <w:t>2015</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color w:val="000000"/>
                <w:sz w:val="24"/>
                <w:lang w:val="en-US"/>
              </w:rPr>
            </w:pPr>
            <w:r w:rsidRPr="00931042">
              <w:rPr>
                <w:rFonts w:eastAsia="Times New Roman" w:cs="Times New Roman"/>
                <w:color w:val="000000"/>
                <w:sz w:val="24"/>
                <w:lang w:val="en-US"/>
              </w:rPr>
              <w:t>2016</w:t>
            </w:r>
          </w:p>
        </w:tc>
      </w:tr>
      <w:tr w:rsidR="00931042" w:rsidRPr="00931042" w:rsidTr="009D1336">
        <w:trPr>
          <w:trHeight w:val="300"/>
          <w:jc w:val="center"/>
        </w:trPr>
        <w:tc>
          <w:tcPr>
            <w:tcW w:w="3339" w:type="dxa"/>
            <w:shd w:val="clear" w:color="auto" w:fill="B6DDE8" w:themeFill="accent5" w:themeFillTint="66"/>
            <w:noWrap/>
            <w:hideMark/>
          </w:tcPr>
          <w:p w:rsidR="00931042" w:rsidRPr="00931042" w:rsidRDefault="00931042" w:rsidP="00931042">
            <w:pPr>
              <w:spacing w:line="240" w:lineRule="auto"/>
              <w:jc w:val="left"/>
              <w:rPr>
                <w:rFonts w:eastAsia="Times New Roman" w:cs="Times New Roman"/>
                <w:color w:val="000000"/>
                <w:sz w:val="24"/>
                <w:lang w:val="en-US"/>
              </w:rPr>
            </w:pPr>
            <w:r w:rsidRPr="00931042">
              <w:rPr>
                <w:rFonts w:eastAsia="Times New Roman" w:cs="Times New Roman"/>
                <w:color w:val="000000"/>
                <w:sz w:val="24"/>
                <w:lang w:val="en-US"/>
              </w:rPr>
              <w:t>long term liabilities</w:t>
            </w:r>
          </w:p>
        </w:tc>
        <w:tc>
          <w:tcPr>
            <w:tcW w:w="1121"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t>20929</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t>20,597</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t>22,420</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t>31,151</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t>35,117</w:t>
            </w:r>
          </w:p>
        </w:tc>
      </w:tr>
      <w:tr w:rsidR="00931042" w:rsidRPr="00931042" w:rsidTr="009D1336">
        <w:trPr>
          <w:trHeight w:val="300"/>
          <w:jc w:val="center"/>
        </w:trPr>
        <w:tc>
          <w:tcPr>
            <w:tcW w:w="3339" w:type="dxa"/>
            <w:shd w:val="clear" w:color="auto" w:fill="B6DDE8" w:themeFill="accent5" w:themeFillTint="66"/>
            <w:noWrap/>
            <w:hideMark/>
          </w:tcPr>
          <w:p w:rsidR="00931042" w:rsidRPr="00931042" w:rsidRDefault="00931042" w:rsidP="00931042">
            <w:pPr>
              <w:spacing w:line="240" w:lineRule="auto"/>
              <w:jc w:val="left"/>
              <w:rPr>
                <w:rFonts w:eastAsia="Times New Roman" w:cs="Times New Roman"/>
                <w:color w:val="000000"/>
                <w:sz w:val="24"/>
                <w:lang w:val="en-US"/>
              </w:rPr>
            </w:pPr>
            <w:r w:rsidRPr="00931042">
              <w:rPr>
                <w:rFonts w:eastAsia="Times New Roman" w:cs="Times New Roman"/>
                <w:color w:val="000000"/>
                <w:sz w:val="24"/>
                <w:lang w:val="en-US"/>
              </w:rPr>
              <w:t>capital employed</w:t>
            </w:r>
          </w:p>
        </w:tc>
        <w:tc>
          <w:tcPr>
            <w:tcW w:w="1121"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t>26,777</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t>27,369</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t>26,515</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t>40,913</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t>37,371</w:t>
            </w:r>
          </w:p>
        </w:tc>
      </w:tr>
      <w:tr w:rsidR="00931042" w:rsidRPr="00931042" w:rsidTr="009D1336">
        <w:trPr>
          <w:trHeight w:val="300"/>
          <w:jc w:val="center"/>
        </w:trPr>
        <w:tc>
          <w:tcPr>
            <w:tcW w:w="3339" w:type="dxa"/>
            <w:shd w:val="clear" w:color="auto" w:fill="B6DDE8" w:themeFill="accent5" w:themeFillTint="66"/>
            <w:noWrap/>
            <w:hideMark/>
          </w:tcPr>
          <w:p w:rsidR="00931042" w:rsidRPr="00931042" w:rsidRDefault="00931042" w:rsidP="00931042">
            <w:pPr>
              <w:spacing w:line="240" w:lineRule="auto"/>
              <w:jc w:val="left"/>
              <w:rPr>
                <w:rFonts w:eastAsia="Times New Roman" w:cs="Times New Roman"/>
                <w:color w:val="000000"/>
                <w:sz w:val="24"/>
                <w:lang w:val="en-US"/>
              </w:rPr>
            </w:pPr>
            <w:r w:rsidRPr="00931042">
              <w:rPr>
                <w:rFonts w:eastAsia="Times New Roman" w:cs="Times New Roman"/>
                <w:color w:val="000000"/>
                <w:sz w:val="24"/>
                <w:lang w:val="en-US"/>
              </w:rPr>
              <w:t>Gearing Ratio</w:t>
            </w:r>
          </w:p>
        </w:tc>
        <w:tc>
          <w:tcPr>
            <w:tcW w:w="1121"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t> </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t> </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t> </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t> </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t> </w:t>
            </w:r>
          </w:p>
        </w:tc>
      </w:tr>
      <w:tr w:rsidR="00931042" w:rsidRPr="00931042" w:rsidTr="009D1336">
        <w:trPr>
          <w:trHeight w:val="300"/>
          <w:jc w:val="center"/>
        </w:trPr>
        <w:tc>
          <w:tcPr>
            <w:tcW w:w="3339" w:type="dxa"/>
            <w:shd w:val="clear" w:color="auto" w:fill="B6DDE8" w:themeFill="accent5" w:themeFillTint="66"/>
            <w:noWrap/>
            <w:hideMark/>
          </w:tcPr>
          <w:p w:rsidR="00931042" w:rsidRPr="00931042" w:rsidRDefault="00931042" w:rsidP="00931042">
            <w:pPr>
              <w:spacing w:line="240" w:lineRule="auto"/>
              <w:jc w:val="left"/>
              <w:rPr>
                <w:rFonts w:eastAsia="Times New Roman" w:cs="Times New Roman"/>
                <w:color w:val="000000"/>
                <w:sz w:val="24"/>
                <w:lang w:val="en-US"/>
              </w:rPr>
            </w:pPr>
            <w:r w:rsidRPr="00931042">
              <w:rPr>
                <w:rFonts w:eastAsia="Times New Roman" w:cs="Times New Roman"/>
                <w:color w:val="000000"/>
                <w:sz w:val="24"/>
                <w:lang w:val="en-US"/>
              </w:rPr>
              <w:t xml:space="preserve">Gearing Ratio(long term </w:t>
            </w:r>
            <w:r w:rsidRPr="00931042">
              <w:rPr>
                <w:rFonts w:eastAsia="Times New Roman" w:cs="Times New Roman"/>
                <w:color w:val="000000"/>
                <w:sz w:val="24"/>
                <w:lang w:val="en-US"/>
              </w:rPr>
              <w:lastRenderedPageBreak/>
              <w:t>liabilities/capital employed),capital employed=Share capital + retained earnings + long-term liabilities</w:t>
            </w:r>
          </w:p>
        </w:tc>
        <w:tc>
          <w:tcPr>
            <w:tcW w:w="1121"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lastRenderedPageBreak/>
              <w:t>78%</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t>75%</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t>85%</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t>76%</w:t>
            </w:r>
          </w:p>
        </w:tc>
        <w:tc>
          <w:tcPr>
            <w:tcW w:w="1120" w:type="dxa"/>
            <w:shd w:val="clear" w:color="auto" w:fill="B6DDE8" w:themeFill="accent5" w:themeFillTint="66"/>
            <w:noWrap/>
            <w:hideMark/>
          </w:tcPr>
          <w:p w:rsidR="00931042" w:rsidRPr="00931042" w:rsidRDefault="00931042" w:rsidP="00931042">
            <w:pPr>
              <w:spacing w:line="240" w:lineRule="auto"/>
              <w:jc w:val="right"/>
              <w:rPr>
                <w:rFonts w:eastAsia="Times New Roman" w:cs="Times New Roman"/>
                <w:sz w:val="24"/>
                <w:lang w:val="en-US"/>
              </w:rPr>
            </w:pPr>
            <w:r w:rsidRPr="00931042">
              <w:rPr>
                <w:rFonts w:eastAsia="Times New Roman" w:cs="Times New Roman"/>
                <w:sz w:val="24"/>
                <w:lang w:val="en-US"/>
              </w:rPr>
              <w:t>94%</w:t>
            </w:r>
          </w:p>
        </w:tc>
      </w:tr>
    </w:tbl>
    <w:p w:rsidR="000F735B" w:rsidRDefault="000F735B" w:rsidP="00CD5A47"/>
    <w:p w:rsidR="00F63976" w:rsidRDefault="005B123F" w:rsidP="00CD5A47">
      <w:r>
        <w:t xml:space="preserve">The study of the gearing ratio reveals the fact that the </w:t>
      </w:r>
      <w:r w:rsidR="00032F4C">
        <w:t>dependencies of the organization over the long term borrowings were</w:t>
      </w:r>
      <w:r w:rsidR="00D847D8">
        <w:t xml:space="preserve"> more or less stable around 75%</w:t>
      </w:r>
      <w:r w:rsidR="00032F4C">
        <w:t xml:space="preserve"> during 2012-2015</w:t>
      </w:r>
      <w:r w:rsidR="00D847D8">
        <w:t xml:space="preserve">. But in </w:t>
      </w:r>
      <w:r w:rsidR="00032F4C">
        <w:t>2016 the organization has registered a gearing ratio of 94% which reflects the increase in dependency over the long term borrowing of the organization.</w:t>
      </w:r>
    </w:p>
    <w:p w:rsidR="00427DD9" w:rsidRDefault="00427DD9" w:rsidP="00885809">
      <w:pPr>
        <w:pStyle w:val="Heading2"/>
      </w:pPr>
      <w:bookmarkStart w:id="9" w:name="_Toc502329663"/>
      <w:r>
        <w:t>Possible explanation of the changes of ratios over years</w:t>
      </w:r>
      <w:r w:rsidR="00885809">
        <w:t>:</w:t>
      </w:r>
      <w:bookmarkEnd w:id="9"/>
    </w:p>
    <w:p w:rsidR="00637FF8" w:rsidRDefault="00637FF8" w:rsidP="00637FF8">
      <w:pPr>
        <w:rPr>
          <w:b/>
        </w:rPr>
      </w:pPr>
      <w:r w:rsidRPr="00637FF8">
        <w:rPr>
          <w:b/>
        </w:rPr>
        <w:t>Gross Profit margin:</w:t>
      </w:r>
    </w:p>
    <w:p w:rsidR="00E24A4A" w:rsidRPr="00637FF8" w:rsidRDefault="00E24A4A" w:rsidP="00637FF8">
      <w:pPr>
        <w:rPr>
          <w:b/>
        </w:rPr>
      </w:pPr>
    </w:p>
    <w:tbl>
      <w:tblPr>
        <w:tblW w:w="8940" w:type="dxa"/>
        <w:tblInd w:w="96" w:type="dxa"/>
        <w:tblLook w:val="04A0"/>
      </w:tblPr>
      <w:tblGrid>
        <w:gridCol w:w="3860"/>
        <w:gridCol w:w="1100"/>
        <w:gridCol w:w="940"/>
        <w:gridCol w:w="1140"/>
        <w:gridCol w:w="960"/>
        <w:gridCol w:w="940"/>
      </w:tblGrid>
      <w:tr w:rsidR="00137C51" w:rsidRPr="00137C51" w:rsidTr="00137C51">
        <w:trPr>
          <w:trHeight w:val="300"/>
        </w:trPr>
        <w:tc>
          <w:tcPr>
            <w:tcW w:w="3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37C51" w:rsidRPr="00137C51" w:rsidRDefault="00137C51" w:rsidP="00137C51">
            <w:pPr>
              <w:spacing w:after="0" w:line="240" w:lineRule="auto"/>
              <w:jc w:val="left"/>
              <w:rPr>
                <w:rFonts w:eastAsia="Times New Roman" w:cs="Times New Roman"/>
                <w:color w:val="000000"/>
                <w:szCs w:val="24"/>
                <w:lang w:val="en-US"/>
              </w:rPr>
            </w:pPr>
            <w:r w:rsidRPr="00137C51">
              <w:rPr>
                <w:rFonts w:eastAsia="Times New Roman" w:cs="Times New Roman"/>
                <w:color w:val="000000"/>
                <w:szCs w:val="24"/>
                <w:lang w:val="en-US"/>
              </w:rPr>
              <w:t> </w:t>
            </w:r>
            <w:r w:rsidRPr="004E1A92">
              <w:rPr>
                <w:rFonts w:eastAsia="Times New Roman" w:cs="Times New Roman"/>
                <w:color w:val="000000"/>
                <w:szCs w:val="24"/>
                <w:lang w:val="en-US"/>
              </w:rPr>
              <w:t>Year</w:t>
            </w:r>
          </w:p>
        </w:tc>
        <w:tc>
          <w:tcPr>
            <w:tcW w:w="1100" w:type="dxa"/>
            <w:tcBorders>
              <w:top w:val="single" w:sz="4" w:space="0" w:color="auto"/>
              <w:left w:val="nil"/>
              <w:bottom w:val="single" w:sz="4" w:space="0" w:color="auto"/>
              <w:right w:val="single" w:sz="4" w:space="0" w:color="auto"/>
            </w:tcBorders>
            <w:shd w:val="clear" w:color="000000" w:fill="EEECE1"/>
            <w:noWrap/>
            <w:vAlign w:val="bottom"/>
            <w:hideMark/>
          </w:tcPr>
          <w:p w:rsidR="00137C51" w:rsidRPr="00137C51" w:rsidRDefault="00137C51" w:rsidP="00137C51">
            <w:pPr>
              <w:spacing w:after="0" w:line="240" w:lineRule="auto"/>
              <w:jc w:val="right"/>
              <w:rPr>
                <w:rFonts w:eastAsia="Times New Roman" w:cs="Times New Roman"/>
                <w:color w:val="000000"/>
                <w:szCs w:val="24"/>
                <w:lang w:val="en-US"/>
              </w:rPr>
            </w:pPr>
            <w:r w:rsidRPr="00137C51">
              <w:rPr>
                <w:rFonts w:eastAsia="Times New Roman" w:cs="Times New Roman"/>
                <w:color w:val="000000"/>
                <w:szCs w:val="24"/>
                <w:lang w:val="en-US"/>
              </w:rPr>
              <w:t>2012</w:t>
            </w:r>
          </w:p>
        </w:tc>
        <w:tc>
          <w:tcPr>
            <w:tcW w:w="940" w:type="dxa"/>
            <w:tcBorders>
              <w:top w:val="single" w:sz="4" w:space="0" w:color="auto"/>
              <w:left w:val="nil"/>
              <w:bottom w:val="single" w:sz="4" w:space="0" w:color="auto"/>
              <w:right w:val="single" w:sz="4" w:space="0" w:color="auto"/>
            </w:tcBorders>
            <w:shd w:val="clear" w:color="000000" w:fill="EEECE1"/>
            <w:noWrap/>
            <w:vAlign w:val="bottom"/>
            <w:hideMark/>
          </w:tcPr>
          <w:p w:rsidR="00137C51" w:rsidRPr="00137C51" w:rsidRDefault="00137C51" w:rsidP="00137C51">
            <w:pPr>
              <w:spacing w:after="0" w:line="240" w:lineRule="auto"/>
              <w:jc w:val="right"/>
              <w:rPr>
                <w:rFonts w:eastAsia="Times New Roman" w:cs="Times New Roman"/>
                <w:color w:val="000000"/>
                <w:szCs w:val="24"/>
                <w:lang w:val="en-US"/>
              </w:rPr>
            </w:pPr>
            <w:r w:rsidRPr="00137C51">
              <w:rPr>
                <w:rFonts w:eastAsia="Times New Roman" w:cs="Times New Roman"/>
                <w:color w:val="000000"/>
                <w:szCs w:val="24"/>
                <w:lang w:val="en-US"/>
              </w:rPr>
              <w:t>2013</w:t>
            </w:r>
          </w:p>
        </w:tc>
        <w:tc>
          <w:tcPr>
            <w:tcW w:w="1140" w:type="dxa"/>
            <w:tcBorders>
              <w:top w:val="single" w:sz="4" w:space="0" w:color="auto"/>
              <w:left w:val="nil"/>
              <w:bottom w:val="single" w:sz="4" w:space="0" w:color="auto"/>
              <w:right w:val="single" w:sz="4" w:space="0" w:color="auto"/>
            </w:tcBorders>
            <w:shd w:val="clear" w:color="000000" w:fill="EEECE1"/>
            <w:noWrap/>
            <w:vAlign w:val="bottom"/>
            <w:hideMark/>
          </w:tcPr>
          <w:p w:rsidR="00137C51" w:rsidRPr="00137C51" w:rsidRDefault="00137C51" w:rsidP="00137C51">
            <w:pPr>
              <w:spacing w:after="0" w:line="240" w:lineRule="auto"/>
              <w:jc w:val="right"/>
              <w:rPr>
                <w:rFonts w:eastAsia="Times New Roman" w:cs="Times New Roman"/>
                <w:color w:val="000000"/>
                <w:szCs w:val="24"/>
                <w:lang w:val="en-US"/>
              </w:rPr>
            </w:pPr>
            <w:r w:rsidRPr="00137C51">
              <w:rPr>
                <w:rFonts w:eastAsia="Times New Roman" w:cs="Times New Roman"/>
                <w:color w:val="000000"/>
                <w:szCs w:val="24"/>
                <w:lang w:val="en-US"/>
              </w:rPr>
              <w:t>2014</w:t>
            </w:r>
          </w:p>
        </w:tc>
        <w:tc>
          <w:tcPr>
            <w:tcW w:w="960" w:type="dxa"/>
            <w:tcBorders>
              <w:top w:val="single" w:sz="4" w:space="0" w:color="auto"/>
              <w:left w:val="nil"/>
              <w:bottom w:val="single" w:sz="4" w:space="0" w:color="auto"/>
              <w:right w:val="single" w:sz="4" w:space="0" w:color="auto"/>
            </w:tcBorders>
            <w:shd w:val="clear" w:color="000000" w:fill="EEECE1"/>
            <w:noWrap/>
            <w:vAlign w:val="bottom"/>
            <w:hideMark/>
          </w:tcPr>
          <w:p w:rsidR="00137C51" w:rsidRPr="00137C51" w:rsidRDefault="00137C51" w:rsidP="00137C51">
            <w:pPr>
              <w:spacing w:after="0" w:line="240" w:lineRule="auto"/>
              <w:jc w:val="right"/>
              <w:rPr>
                <w:rFonts w:eastAsia="Times New Roman" w:cs="Times New Roman"/>
                <w:color w:val="000000"/>
                <w:szCs w:val="24"/>
                <w:lang w:val="en-US"/>
              </w:rPr>
            </w:pPr>
            <w:r w:rsidRPr="00137C51">
              <w:rPr>
                <w:rFonts w:eastAsia="Times New Roman" w:cs="Times New Roman"/>
                <w:color w:val="000000"/>
                <w:szCs w:val="24"/>
                <w:lang w:val="en-US"/>
              </w:rPr>
              <w:t>2015</w:t>
            </w:r>
          </w:p>
        </w:tc>
        <w:tc>
          <w:tcPr>
            <w:tcW w:w="940" w:type="dxa"/>
            <w:tcBorders>
              <w:top w:val="single" w:sz="4" w:space="0" w:color="auto"/>
              <w:left w:val="nil"/>
              <w:bottom w:val="single" w:sz="4" w:space="0" w:color="auto"/>
              <w:right w:val="single" w:sz="4" w:space="0" w:color="auto"/>
            </w:tcBorders>
            <w:shd w:val="clear" w:color="000000" w:fill="EEECE1"/>
            <w:noWrap/>
            <w:vAlign w:val="bottom"/>
            <w:hideMark/>
          </w:tcPr>
          <w:p w:rsidR="00137C51" w:rsidRPr="00137C51" w:rsidRDefault="00137C51" w:rsidP="00137C51">
            <w:pPr>
              <w:spacing w:after="0" w:line="240" w:lineRule="auto"/>
              <w:jc w:val="right"/>
              <w:rPr>
                <w:rFonts w:eastAsia="Times New Roman" w:cs="Times New Roman"/>
                <w:color w:val="000000"/>
                <w:szCs w:val="24"/>
                <w:lang w:val="en-US"/>
              </w:rPr>
            </w:pPr>
            <w:r w:rsidRPr="00137C51">
              <w:rPr>
                <w:rFonts w:eastAsia="Times New Roman" w:cs="Times New Roman"/>
                <w:color w:val="000000"/>
                <w:szCs w:val="24"/>
                <w:lang w:val="en-US"/>
              </w:rPr>
              <w:t>2016</w:t>
            </w:r>
          </w:p>
        </w:tc>
      </w:tr>
      <w:tr w:rsidR="00137C51" w:rsidRPr="00137C51" w:rsidTr="00137C51">
        <w:trPr>
          <w:trHeight w:val="990"/>
        </w:trPr>
        <w:tc>
          <w:tcPr>
            <w:tcW w:w="3860" w:type="dxa"/>
            <w:tcBorders>
              <w:top w:val="nil"/>
              <w:left w:val="single" w:sz="4" w:space="0" w:color="auto"/>
              <w:bottom w:val="single" w:sz="4" w:space="0" w:color="auto"/>
              <w:right w:val="single" w:sz="4" w:space="0" w:color="auto"/>
            </w:tcBorders>
            <w:shd w:val="clear" w:color="auto" w:fill="auto"/>
            <w:vAlign w:val="bottom"/>
            <w:hideMark/>
          </w:tcPr>
          <w:p w:rsidR="00137C51" w:rsidRPr="00137C51" w:rsidRDefault="00137C51" w:rsidP="00137C51">
            <w:pPr>
              <w:spacing w:after="0" w:line="240" w:lineRule="auto"/>
              <w:jc w:val="left"/>
              <w:rPr>
                <w:rFonts w:eastAsia="Times New Roman" w:cs="Times New Roman"/>
                <w:b/>
                <w:bCs/>
                <w:i/>
                <w:iCs/>
                <w:color w:val="000000"/>
                <w:szCs w:val="24"/>
                <w:lang w:val="en-US"/>
              </w:rPr>
            </w:pPr>
            <w:r w:rsidRPr="00137C51">
              <w:rPr>
                <w:rFonts w:eastAsia="Times New Roman" w:cs="Times New Roman"/>
                <w:b/>
                <w:bCs/>
                <w:i/>
                <w:iCs/>
                <w:color w:val="000000"/>
                <w:szCs w:val="24"/>
                <w:lang w:val="en-US"/>
              </w:rPr>
              <w:t>Gross profit margin</w:t>
            </w:r>
            <w:r w:rsidRPr="00137C51">
              <w:rPr>
                <w:rFonts w:eastAsia="Times New Roman" w:cs="Times New Roman"/>
                <w:color w:val="000000"/>
                <w:szCs w:val="24"/>
                <w:lang w:val="en-US"/>
              </w:rPr>
              <w:t xml:space="preserve"> ([Gross profit /Net sales]*100) </w:t>
            </w:r>
          </w:p>
        </w:tc>
        <w:tc>
          <w:tcPr>
            <w:tcW w:w="1100" w:type="dxa"/>
            <w:tcBorders>
              <w:top w:val="nil"/>
              <w:left w:val="nil"/>
              <w:bottom w:val="single" w:sz="4" w:space="0" w:color="auto"/>
              <w:right w:val="single" w:sz="4" w:space="0" w:color="auto"/>
            </w:tcBorders>
            <w:shd w:val="clear" w:color="auto" w:fill="auto"/>
            <w:noWrap/>
            <w:vAlign w:val="bottom"/>
            <w:hideMark/>
          </w:tcPr>
          <w:p w:rsidR="00137C51" w:rsidRPr="00137C51" w:rsidRDefault="00137C51" w:rsidP="00137C51">
            <w:pPr>
              <w:spacing w:after="0" w:line="240" w:lineRule="auto"/>
              <w:jc w:val="right"/>
              <w:rPr>
                <w:rFonts w:eastAsia="Times New Roman" w:cs="Times New Roman"/>
                <w:color w:val="000000"/>
                <w:szCs w:val="24"/>
                <w:lang w:val="en-US"/>
              </w:rPr>
            </w:pPr>
            <w:r w:rsidRPr="00137C51">
              <w:rPr>
                <w:rFonts w:eastAsia="Times New Roman" w:cs="Times New Roman"/>
                <w:color w:val="000000"/>
                <w:szCs w:val="24"/>
                <w:lang w:val="en-US"/>
              </w:rPr>
              <w:t>70%</w:t>
            </w:r>
          </w:p>
        </w:tc>
        <w:tc>
          <w:tcPr>
            <w:tcW w:w="940" w:type="dxa"/>
            <w:tcBorders>
              <w:top w:val="nil"/>
              <w:left w:val="nil"/>
              <w:bottom w:val="single" w:sz="4" w:space="0" w:color="auto"/>
              <w:right w:val="single" w:sz="4" w:space="0" w:color="auto"/>
            </w:tcBorders>
            <w:shd w:val="clear" w:color="auto" w:fill="auto"/>
            <w:noWrap/>
            <w:vAlign w:val="bottom"/>
            <w:hideMark/>
          </w:tcPr>
          <w:p w:rsidR="00137C51" w:rsidRPr="00137C51" w:rsidRDefault="00137C51" w:rsidP="00137C51">
            <w:pPr>
              <w:spacing w:after="0" w:line="240" w:lineRule="auto"/>
              <w:jc w:val="right"/>
              <w:rPr>
                <w:rFonts w:eastAsia="Times New Roman" w:cs="Times New Roman"/>
                <w:color w:val="000000"/>
                <w:szCs w:val="24"/>
                <w:lang w:val="en-US"/>
              </w:rPr>
            </w:pPr>
            <w:r w:rsidRPr="00137C51">
              <w:rPr>
                <w:rFonts w:eastAsia="Times New Roman" w:cs="Times New Roman"/>
                <w:color w:val="000000"/>
                <w:szCs w:val="24"/>
                <w:lang w:val="en-US"/>
              </w:rPr>
              <w:t>68%</w:t>
            </w:r>
          </w:p>
        </w:tc>
        <w:tc>
          <w:tcPr>
            <w:tcW w:w="1140" w:type="dxa"/>
            <w:tcBorders>
              <w:top w:val="nil"/>
              <w:left w:val="nil"/>
              <w:bottom w:val="single" w:sz="4" w:space="0" w:color="auto"/>
              <w:right w:val="single" w:sz="4" w:space="0" w:color="auto"/>
            </w:tcBorders>
            <w:shd w:val="clear" w:color="auto" w:fill="auto"/>
            <w:noWrap/>
            <w:vAlign w:val="bottom"/>
            <w:hideMark/>
          </w:tcPr>
          <w:p w:rsidR="00137C51" w:rsidRPr="00137C51" w:rsidRDefault="00137C51" w:rsidP="00137C51">
            <w:pPr>
              <w:spacing w:after="0" w:line="240" w:lineRule="auto"/>
              <w:jc w:val="right"/>
              <w:rPr>
                <w:rFonts w:eastAsia="Times New Roman" w:cs="Times New Roman"/>
                <w:color w:val="000000"/>
                <w:szCs w:val="24"/>
                <w:lang w:val="en-US"/>
              </w:rPr>
            </w:pPr>
            <w:r w:rsidRPr="00137C51">
              <w:rPr>
                <w:rFonts w:eastAsia="Times New Roman" w:cs="Times New Roman"/>
                <w:color w:val="000000"/>
                <w:szCs w:val="24"/>
                <w:lang w:val="en-US"/>
              </w:rPr>
              <w:t>68%</w:t>
            </w:r>
          </w:p>
        </w:tc>
        <w:tc>
          <w:tcPr>
            <w:tcW w:w="960" w:type="dxa"/>
            <w:tcBorders>
              <w:top w:val="nil"/>
              <w:left w:val="nil"/>
              <w:bottom w:val="single" w:sz="4" w:space="0" w:color="auto"/>
              <w:right w:val="single" w:sz="4" w:space="0" w:color="auto"/>
            </w:tcBorders>
            <w:shd w:val="clear" w:color="auto" w:fill="auto"/>
            <w:noWrap/>
            <w:vAlign w:val="bottom"/>
            <w:hideMark/>
          </w:tcPr>
          <w:p w:rsidR="00137C51" w:rsidRPr="00137C51" w:rsidRDefault="00137C51" w:rsidP="00137C51">
            <w:pPr>
              <w:spacing w:after="0" w:line="240" w:lineRule="auto"/>
              <w:jc w:val="right"/>
              <w:rPr>
                <w:rFonts w:eastAsia="Times New Roman" w:cs="Times New Roman"/>
                <w:color w:val="000000"/>
                <w:szCs w:val="24"/>
                <w:lang w:val="en-US"/>
              </w:rPr>
            </w:pPr>
            <w:r w:rsidRPr="00137C51">
              <w:rPr>
                <w:rFonts w:eastAsia="Times New Roman" w:cs="Times New Roman"/>
                <w:color w:val="000000"/>
                <w:szCs w:val="24"/>
                <w:lang w:val="en-US"/>
              </w:rPr>
              <w:t>63%</w:t>
            </w:r>
          </w:p>
        </w:tc>
        <w:tc>
          <w:tcPr>
            <w:tcW w:w="940" w:type="dxa"/>
            <w:tcBorders>
              <w:top w:val="nil"/>
              <w:left w:val="nil"/>
              <w:bottom w:val="single" w:sz="4" w:space="0" w:color="auto"/>
              <w:right w:val="single" w:sz="4" w:space="0" w:color="auto"/>
            </w:tcBorders>
            <w:shd w:val="clear" w:color="auto" w:fill="auto"/>
            <w:noWrap/>
            <w:vAlign w:val="bottom"/>
            <w:hideMark/>
          </w:tcPr>
          <w:p w:rsidR="00137C51" w:rsidRPr="00137C51" w:rsidRDefault="00137C51" w:rsidP="00137C51">
            <w:pPr>
              <w:spacing w:after="0" w:line="240" w:lineRule="auto"/>
              <w:jc w:val="right"/>
              <w:rPr>
                <w:rFonts w:eastAsia="Times New Roman" w:cs="Times New Roman"/>
                <w:color w:val="000000"/>
                <w:szCs w:val="24"/>
                <w:lang w:val="en-US"/>
              </w:rPr>
            </w:pPr>
            <w:r w:rsidRPr="00137C51">
              <w:rPr>
                <w:rFonts w:eastAsia="Times New Roman" w:cs="Times New Roman"/>
                <w:color w:val="000000"/>
                <w:szCs w:val="24"/>
                <w:lang w:val="en-US"/>
              </w:rPr>
              <w:t>67%</w:t>
            </w:r>
          </w:p>
        </w:tc>
      </w:tr>
    </w:tbl>
    <w:p w:rsidR="00CD5A47" w:rsidRDefault="00CD5A47" w:rsidP="00CD5A47"/>
    <w:p w:rsidR="00637FF8" w:rsidRDefault="00137C51" w:rsidP="00CD5A47">
      <w:r>
        <w:t>The gross pro</w:t>
      </w:r>
      <w:r w:rsidR="004E1A92">
        <w:t>fit margin of the organization GSK has registered a declining trend from 2012 onwards with a little recovery in 2016.</w:t>
      </w:r>
      <w:r w:rsidR="00FC196D">
        <w:t xml:space="preserve"> The reason behind the declining trend in the ratio is the </w:t>
      </w:r>
      <w:r w:rsidR="000E4950">
        <w:t>decline</w:t>
      </w:r>
      <w:r w:rsidR="00FC196D">
        <w:t xml:space="preserve"> in total sales </w:t>
      </w:r>
      <w:r w:rsidR="000E4950">
        <w:t>revenue</w:t>
      </w:r>
      <w:r w:rsidR="00FC196D">
        <w:t xml:space="preserve"> earning</w:t>
      </w:r>
      <w:r w:rsidR="000E4950">
        <w:t xml:space="preserve"> of the organization as </w:t>
      </w:r>
      <w:r w:rsidR="00CA6E06">
        <w:t>in 2013, 2014 the segment of vaccine production and the segment of consumer health care of the organization failed to make any significant progress</w:t>
      </w:r>
      <w:r w:rsidR="00B93B34">
        <w:t xml:space="preserve"> even if huge investment were made on those segments. During </w:t>
      </w:r>
      <w:r w:rsidR="005C24E0">
        <w:t>these years</w:t>
      </w:r>
      <w:r w:rsidR="00BE33F6">
        <w:t xml:space="preserve"> the organizat</w:t>
      </w:r>
      <w:r w:rsidR="00B93B34">
        <w:t xml:space="preserve">ion </w:t>
      </w:r>
      <w:r w:rsidR="00BE33F6">
        <w:t xml:space="preserve">collected major portion of their revenue earnings from the </w:t>
      </w:r>
      <w:r w:rsidR="005C24E0">
        <w:t xml:space="preserve">pharmaceutical </w:t>
      </w:r>
      <w:r w:rsidR="007543FF">
        <w:t>segments. The</w:t>
      </w:r>
      <w:r w:rsidR="005C24E0">
        <w:t xml:space="preserve"> same trend continued in 2015 </w:t>
      </w:r>
      <w:r w:rsidR="007543FF">
        <w:t>and</w:t>
      </w:r>
      <w:r w:rsidR="005C24E0">
        <w:t xml:space="preserve"> in 2016 with the expansion and growth of the </w:t>
      </w:r>
      <w:r w:rsidR="007543FF">
        <w:t>segment of vaccine production and the segment of consumer health care</w:t>
      </w:r>
      <w:r w:rsidR="009635D6">
        <w:t xml:space="preserve"> which led to the increase</w:t>
      </w:r>
      <w:r w:rsidR="007543FF">
        <w:t xml:space="preserve"> </w:t>
      </w:r>
      <w:r w:rsidR="009635D6">
        <w:t>in</w:t>
      </w:r>
      <w:r w:rsidR="007543FF">
        <w:t xml:space="preserve"> revenue earnings as well as </w:t>
      </w:r>
      <w:r w:rsidR="00AE40F8">
        <w:t>gross profit margin ratio of the organization.</w:t>
      </w:r>
    </w:p>
    <w:p w:rsidR="003E783D" w:rsidRDefault="003E783D" w:rsidP="003E783D">
      <w:pPr>
        <w:rPr>
          <w:b/>
        </w:rPr>
      </w:pPr>
      <w:r>
        <w:rPr>
          <w:b/>
        </w:rPr>
        <w:t>Net</w:t>
      </w:r>
      <w:r w:rsidRPr="00637FF8">
        <w:rPr>
          <w:b/>
        </w:rPr>
        <w:t xml:space="preserve"> Profit margin:</w:t>
      </w:r>
    </w:p>
    <w:tbl>
      <w:tblPr>
        <w:tblStyle w:val="TableGrid"/>
        <w:tblW w:w="8940" w:type="dxa"/>
        <w:jc w:val="center"/>
        <w:tblLook w:val="04A0"/>
      </w:tblPr>
      <w:tblGrid>
        <w:gridCol w:w="3860"/>
        <w:gridCol w:w="1100"/>
        <w:gridCol w:w="956"/>
        <w:gridCol w:w="1140"/>
        <w:gridCol w:w="960"/>
        <w:gridCol w:w="940"/>
      </w:tblGrid>
      <w:tr w:rsidR="003E783D" w:rsidRPr="003E783D" w:rsidTr="00E24A4A">
        <w:trPr>
          <w:trHeight w:val="300"/>
          <w:jc w:val="center"/>
        </w:trPr>
        <w:tc>
          <w:tcPr>
            <w:tcW w:w="3860" w:type="dxa"/>
            <w:noWrap/>
            <w:hideMark/>
          </w:tcPr>
          <w:p w:rsidR="003E783D" w:rsidRPr="003E783D" w:rsidRDefault="003E783D" w:rsidP="003E783D">
            <w:pPr>
              <w:spacing w:line="240" w:lineRule="auto"/>
              <w:jc w:val="left"/>
              <w:rPr>
                <w:rFonts w:eastAsia="Times New Roman" w:cs="Times New Roman"/>
                <w:color w:val="000000"/>
                <w:sz w:val="24"/>
                <w:lang w:val="en-US"/>
              </w:rPr>
            </w:pPr>
            <w:r w:rsidRPr="003E783D">
              <w:rPr>
                <w:rFonts w:eastAsia="Times New Roman" w:cs="Times New Roman"/>
                <w:color w:val="000000"/>
                <w:sz w:val="24"/>
                <w:lang w:val="en-US"/>
              </w:rPr>
              <w:t> </w:t>
            </w:r>
            <w:r w:rsidRPr="00E24A4A">
              <w:rPr>
                <w:rFonts w:eastAsia="Times New Roman" w:cs="Times New Roman"/>
                <w:color w:val="000000"/>
                <w:sz w:val="24"/>
                <w:lang w:val="en-US"/>
              </w:rPr>
              <w:t>Years</w:t>
            </w:r>
          </w:p>
        </w:tc>
        <w:tc>
          <w:tcPr>
            <w:tcW w:w="1100" w:type="dxa"/>
            <w:noWrap/>
            <w:hideMark/>
          </w:tcPr>
          <w:p w:rsidR="003E783D" w:rsidRPr="003E783D" w:rsidRDefault="003E783D" w:rsidP="003E783D">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2012</w:t>
            </w:r>
          </w:p>
        </w:tc>
        <w:tc>
          <w:tcPr>
            <w:tcW w:w="940" w:type="dxa"/>
            <w:noWrap/>
            <w:hideMark/>
          </w:tcPr>
          <w:p w:rsidR="003E783D" w:rsidRPr="003E783D" w:rsidRDefault="003E783D" w:rsidP="003E783D">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2013</w:t>
            </w:r>
          </w:p>
        </w:tc>
        <w:tc>
          <w:tcPr>
            <w:tcW w:w="1140" w:type="dxa"/>
            <w:noWrap/>
            <w:hideMark/>
          </w:tcPr>
          <w:p w:rsidR="003E783D" w:rsidRPr="003E783D" w:rsidRDefault="003E783D" w:rsidP="003E783D">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2014</w:t>
            </w:r>
          </w:p>
        </w:tc>
        <w:tc>
          <w:tcPr>
            <w:tcW w:w="960" w:type="dxa"/>
            <w:noWrap/>
            <w:hideMark/>
          </w:tcPr>
          <w:p w:rsidR="003E783D" w:rsidRPr="003E783D" w:rsidRDefault="003E783D" w:rsidP="003E783D">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2015</w:t>
            </w:r>
          </w:p>
        </w:tc>
        <w:tc>
          <w:tcPr>
            <w:tcW w:w="940" w:type="dxa"/>
            <w:noWrap/>
            <w:hideMark/>
          </w:tcPr>
          <w:p w:rsidR="003E783D" w:rsidRPr="003E783D" w:rsidRDefault="003E783D" w:rsidP="003E783D">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2016</w:t>
            </w:r>
          </w:p>
        </w:tc>
      </w:tr>
      <w:tr w:rsidR="003E783D" w:rsidRPr="003E783D" w:rsidTr="00E24A4A">
        <w:trPr>
          <w:trHeight w:val="600"/>
          <w:jc w:val="center"/>
        </w:trPr>
        <w:tc>
          <w:tcPr>
            <w:tcW w:w="3860" w:type="dxa"/>
            <w:hideMark/>
          </w:tcPr>
          <w:p w:rsidR="003E783D" w:rsidRPr="003E783D" w:rsidRDefault="003E783D" w:rsidP="003E783D">
            <w:pPr>
              <w:spacing w:line="240" w:lineRule="auto"/>
              <w:jc w:val="left"/>
              <w:rPr>
                <w:rFonts w:eastAsia="Times New Roman" w:cs="Times New Roman"/>
                <w:color w:val="000000"/>
                <w:sz w:val="24"/>
                <w:lang w:val="en-US"/>
              </w:rPr>
            </w:pPr>
            <w:r w:rsidRPr="003E783D">
              <w:rPr>
                <w:rFonts w:eastAsia="Times New Roman" w:cs="Times New Roman"/>
                <w:b/>
                <w:bCs/>
                <w:color w:val="000000"/>
                <w:sz w:val="24"/>
                <w:lang w:val="en-US"/>
              </w:rPr>
              <w:t>Net Profit margin</w:t>
            </w:r>
            <w:r w:rsidRPr="003E783D">
              <w:rPr>
                <w:rFonts w:eastAsia="Times New Roman" w:cs="Times New Roman"/>
                <w:color w:val="000000"/>
                <w:sz w:val="24"/>
                <w:lang w:val="en-US"/>
              </w:rPr>
              <w:t xml:space="preserve"> (Net profit or PAT/Net sales): </w:t>
            </w:r>
          </w:p>
        </w:tc>
        <w:tc>
          <w:tcPr>
            <w:tcW w:w="1100" w:type="dxa"/>
            <w:noWrap/>
            <w:hideMark/>
          </w:tcPr>
          <w:p w:rsidR="003E783D" w:rsidRPr="003E783D" w:rsidRDefault="003E783D" w:rsidP="003E783D">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17.70%</w:t>
            </w:r>
          </w:p>
        </w:tc>
        <w:tc>
          <w:tcPr>
            <w:tcW w:w="940" w:type="dxa"/>
            <w:noWrap/>
            <w:hideMark/>
          </w:tcPr>
          <w:p w:rsidR="003E783D" w:rsidRPr="003E783D" w:rsidRDefault="003E783D" w:rsidP="003E783D">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21.27%</w:t>
            </w:r>
          </w:p>
        </w:tc>
        <w:tc>
          <w:tcPr>
            <w:tcW w:w="1140" w:type="dxa"/>
            <w:noWrap/>
            <w:hideMark/>
          </w:tcPr>
          <w:p w:rsidR="003E783D" w:rsidRPr="003E783D" w:rsidRDefault="003E783D" w:rsidP="003E783D">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12.31%</w:t>
            </w:r>
          </w:p>
        </w:tc>
        <w:tc>
          <w:tcPr>
            <w:tcW w:w="960" w:type="dxa"/>
            <w:noWrap/>
            <w:hideMark/>
          </w:tcPr>
          <w:p w:rsidR="003E783D" w:rsidRPr="003E783D" w:rsidRDefault="003E783D" w:rsidP="003E783D">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35.00%</w:t>
            </w:r>
          </w:p>
        </w:tc>
        <w:tc>
          <w:tcPr>
            <w:tcW w:w="940" w:type="dxa"/>
            <w:noWrap/>
            <w:hideMark/>
          </w:tcPr>
          <w:p w:rsidR="003E783D" w:rsidRPr="003E783D" w:rsidRDefault="003E783D" w:rsidP="003E783D">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3.81%</w:t>
            </w:r>
          </w:p>
        </w:tc>
      </w:tr>
    </w:tbl>
    <w:p w:rsidR="003E783D" w:rsidRPr="00637FF8" w:rsidRDefault="003E783D" w:rsidP="003E783D">
      <w:pPr>
        <w:rPr>
          <w:b/>
        </w:rPr>
      </w:pPr>
    </w:p>
    <w:p w:rsidR="003E783D" w:rsidRDefault="00E24A4A" w:rsidP="00CD5A47">
      <w:r>
        <w:t>The net profit margin</w:t>
      </w:r>
      <w:r w:rsidR="003E0F1F">
        <w:t xml:space="preserve"> of the organization GSK has registered a continuous decline from 2014 to 2016 with a spike or sharp rise in </w:t>
      </w:r>
      <w:r w:rsidR="00A55811">
        <w:t>2015.T</w:t>
      </w:r>
      <w:r w:rsidR="00197D13">
        <w:t xml:space="preserve">he underlying reason can be identified as the </w:t>
      </w:r>
      <w:r w:rsidR="00A55811">
        <w:t xml:space="preserve">organization has taken the decision of expanding their vaccine and consumer healthcare segment and made huge infrastructural investments for </w:t>
      </w:r>
      <w:r w:rsidR="007C17BC">
        <w:t xml:space="preserve">this purpose. But with </w:t>
      </w:r>
      <w:r w:rsidR="00BA5A8C">
        <w:t>a very</w:t>
      </w:r>
      <w:r w:rsidR="007C17BC">
        <w:t xml:space="preserve"> little increase in </w:t>
      </w:r>
      <w:r w:rsidR="0033568C">
        <w:t xml:space="preserve">total sales revenue and a </w:t>
      </w:r>
      <w:r w:rsidR="00545A98">
        <w:t>cumulative</w:t>
      </w:r>
      <w:r w:rsidR="0033568C">
        <w:t xml:space="preserve"> growth of the operational cost the </w:t>
      </w:r>
      <w:r w:rsidR="00545A98">
        <w:t xml:space="preserve">effect of rise in total revenue increased </w:t>
      </w:r>
      <w:r w:rsidR="00BA5A8C">
        <w:t xml:space="preserve">has completely gone in 2016 and that is why the ratio has registered a sharp decline </w:t>
      </w:r>
      <w:r w:rsidR="0089669A">
        <w:t xml:space="preserve">in 2016.The sudden spike in the ratio in 2014 can be seen as the operational expense was proportionally low </w:t>
      </w:r>
      <w:r w:rsidR="00B441AA">
        <w:t>compared</w:t>
      </w:r>
      <w:r w:rsidR="0089669A">
        <w:t xml:space="preserve"> to that of 2016 and that is why the organization </w:t>
      </w:r>
      <w:r w:rsidR="00B441AA">
        <w:t>managed</w:t>
      </w:r>
      <w:r w:rsidR="0089669A">
        <w:t xml:space="preserve"> to save </w:t>
      </w:r>
      <w:r w:rsidR="00B441AA">
        <w:t>greater</w:t>
      </w:r>
      <w:r w:rsidR="0089669A">
        <w:t xml:space="preserve"> proportion of </w:t>
      </w:r>
      <w:r w:rsidR="00D54F77">
        <w:t xml:space="preserve">gross revenue as net </w:t>
      </w:r>
      <w:r w:rsidR="00B441AA">
        <w:t>profit.</w:t>
      </w:r>
    </w:p>
    <w:p w:rsidR="00A43165" w:rsidRDefault="00A43165" w:rsidP="00CD5A47">
      <w:pPr>
        <w:rPr>
          <w:b/>
        </w:rPr>
      </w:pPr>
      <w:r w:rsidRPr="00A43165">
        <w:rPr>
          <w:b/>
        </w:rPr>
        <w:t>Current ratio:</w:t>
      </w:r>
    </w:p>
    <w:tbl>
      <w:tblPr>
        <w:tblStyle w:val="TableGrid"/>
        <w:tblW w:w="8940" w:type="dxa"/>
        <w:jc w:val="center"/>
        <w:tblLook w:val="04A0"/>
      </w:tblPr>
      <w:tblGrid>
        <w:gridCol w:w="3860"/>
        <w:gridCol w:w="1100"/>
        <w:gridCol w:w="940"/>
        <w:gridCol w:w="1140"/>
        <w:gridCol w:w="960"/>
        <w:gridCol w:w="940"/>
      </w:tblGrid>
      <w:tr w:rsidR="007A0C2C" w:rsidRPr="00A43165" w:rsidTr="00A43165">
        <w:trPr>
          <w:trHeight w:val="600"/>
          <w:jc w:val="center"/>
        </w:trPr>
        <w:tc>
          <w:tcPr>
            <w:tcW w:w="3860" w:type="dxa"/>
            <w:hideMark/>
          </w:tcPr>
          <w:p w:rsidR="007A0C2C" w:rsidRPr="003E783D" w:rsidRDefault="007A0C2C" w:rsidP="00427015">
            <w:pPr>
              <w:spacing w:line="240" w:lineRule="auto"/>
              <w:jc w:val="left"/>
              <w:rPr>
                <w:rFonts w:eastAsia="Times New Roman" w:cs="Times New Roman"/>
                <w:color w:val="000000"/>
                <w:sz w:val="24"/>
                <w:lang w:val="en-US"/>
              </w:rPr>
            </w:pPr>
            <w:r w:rsidRPr="003E783D">
              <w:rPr>
                <w:rFonts w:eastAsia="Times New Roman" w:cs="Times New Roman"/>
                <w:color w:val="000000"/>
                <w:sz w:val="24"/>
                <w:lang w:val="en-US"/>
              </w:rPr>
              <w:t> </w:t>
            </w:r>
            <w:r w:rsidRPr="00E24A4A">
              <w:rPr>
                <w:rFonts w:eastAsia="Times New Roman" w:cs="Times New Roman"/>
                <w:color w:val="000000"/>
                <w:sz w:val="24"/>
                <w:lang w:val="en-US"/>
              </w:rPr>
              <w:t>Years</w:t>
            </w:r>
          </w:p>
        </w:tc>
        <w:tc>
          <w:tcPr>
            <w:tcW w:w="1100" w:type="dxa"/>
            <w:noWrap/>
            <w:hideMark/>
          </w:tcPr>
          <w:p w:rsidR="007A0C2C" w:rsidRPr="003E783D" w:rsidRDefault="007A0C2C" w:rsidP="00427015">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2012</w:t>
            </w:r>
          </w:p>
        </w:tc>
        <w:tc>
          <w:tcPr>
            <w:tcW w:w="940" w:type="dxa"/>
            <w:noWrap/>
            <w:hideMark/>
          </w:tcPr>
          <w:p w:rsidR="007A0C2C" w:rsidRPr="003E783D" w:rsidRDefault="007A0C2C" w:rsidP="00427015">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2013</w:t>
            </w:r>
          </w:p>
        </w:tc>
        <w:tc>
          <w:tcPr>
            <w:tcW w:w="1140" w:type="dxa"/>
            <w:noWrap/>
            <w:hideMark/>
          </w:tcPr>
          <w:p w:rsidR="007A0C2C" w:rsidRPr="003E783D" w:rsidRDefault="007A0C2C" w:rsidP="00427015">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2014</w:t>
            </w:r>
          </w:p>
        </w:tc>
        <w:tc>
          <w:tcPr>
            <w:tcW w:w="960" w:type="dxa"/>
            <w:noWrap/>
            <w:hideMark/>
          </w:tcPr>
          <w:p w:rsidR="007A0C2C" w:rsidRPr="003E783D" w:rsidRDefault="007A0C2C" w:rsidP="00427015">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2015</w:t>
            </w:r>
          </w:p>
        </w:tc>
        <w:tc>
          <w:tcPr>
            <w:tcW w:w="940" w:type="dxa"/>
            <w:noWrap/>
            <w:hideMark/>
          </w:tcPr>
          <w:p w:rsidR="007A0C2C" w:rsidRPr="003E783D" w:rsidRDefault="007A0C2C" w:rsidP="00427015">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2016</w:t>
            </w:r>
          </w:p>
        </w:tc>
      </w:tr>
      <w:tr w:rsidR="00A43165" w:rsidRPr="00A43165" w:rsidTr="00A43165">
        <w:trPr>
          <w:trHeight w:val="600"/>
          <w:jc w:val="center"/>
        </w:trPr>
        <w:tc>
          <w:tcPr>
            <w:tcW w:w="3860" w:type="dxa"/>
            <w:hideMark/>
          </w:tcPr>
          <w:p w:rsidR="00A43165" w:rsidRPr="00A43165" w:rsidRDefault="00A43165" w:rsidP="00A43165">
            <w:pPr>
              <w:spacing w:line="240" w:lineRule="auto"/>
              <w:jc w:val="left"/>
              <w:rPr>
                <w:rFonts w:eastAsia="Times New Roman" w:cs="Times New Roman"/>
                <w:color w:val="000000"/>
                <w:sz w:val="24"/>
                <w:szCs w:val="24"/>
                <w:lang w:val="en-US"/>
              </w:rPr>
            </w:pPr>
            <w:r w:rsidRPr="00A43165">
              <w:rPr>
                <w:rFonts w:eastAsia="Times New Roman" w:cs="Times New Roman"/>
                <w:b/>
                <w:bCs/>
                <w:color w:val="000000"/>
                <w:sz w:val="24"/>
                <w:szCs w:val="24"/>
                <w:lang w:val="en-US"/>
              </w:rPr>
              <w:t>Current Ratio</w:t>
            </w:r>
            <w:r w:rsidRPr="00A43165">
              <w:rPr>
                <w:rFonts w:eastAsia="Times New Roman" w:cs="Times New Roman"/>
                <w:color w:val="000000"/>
                <w:sz w:val="24"/>
                <w:szCs w:val="24"/>
                <w:lang w:val="en-US"/>
              </w:rPr>
              <w:t xml:space="preserve"> ([Current asset/Current liability]*100): </w:t>
            </w:r>
          </w:p>
        </w:tc>
        <w:tc>
          <w:tcPr>
            <w:tcW w:w="1100" w:type="dxa"/>
            <w:noWrap/>
            <w:hideMark/>
          </w:tcPr>
          <w:p w:rsidR="00A43165" w:rsidRPr="00A43165" w:rsidRDefault="00A43165" w:rsidP="00A43165">
            <w:pPr>
              <w:spacing w:line="240" w:lineRule="auto"/>
              <w:jc w:val="right"/>
              <w:rPr>
                <w:rFonts w:eastAsia="Times New Roman" w:cs="Times New Roman"/>
                <w:color w:val="000000"/>
                <w:sz w:val="24"/>
                <w:szCs w:val="24"/>
                <w:lang w:val="en-US"/>
              </w:rPr>
            </w:pPr>
            <w:r w:rsidRPr="00A43165">
              <w:rPr>
                <w:rFonts w:eastAsia="Times New Roman" w:cs="Times New Roman"/>
                <w:color w:val="000000"/>
                <w:sz w:val="24"/>
                <w:szCs w:val="24"/>
                <w:lang w:val="en-US"/>
              </w:rPr>
              <w:t>0.99</w:t>
            </w:r>
          </w:p>
        </w:tc>
        <w:tc>
          <w:tcPr>
            <w:tcW w:w="940" w:type="dxa"/>
            <w:noWrap/>
            <w:hideMark/>
          </w:tcPr>
          <w:p w:rsidR="00A43165" w:rsidRPr="00A43165" w:rsidRDefault="00A43165" w:rsidP="00A43165">
            <w:pPr>
              <w:spacing w:line="240" w:lineRule="auto"/>
              <w:jc w:val="right"/>
              <w:rPr>
                <w:rFonts w:eastAsia="Times New Roman" w:cs="Times New Roman"/>
                <w:color w:val="000000"/>
                <w:sz w:val="24"/>
                <w:szCs w:val="24"/>
                <w:lang w:val="en-US"/>
              </w:rPr>
            </w:pPr>
            <w:r w:rsidRPr="00A43165">
              <w:rPr>
                <w:rFonts w:eastAsia="Times New Roman" w:cs="Times New Roman"/>
                <w:color w:val="000000"/>
                <w:sz w:val="24"/>
                <w:szCs w:val="24"/>
                <w:lang w:val="en-US"/>
              </w:rPr>
              <w:t>1.11</w:t>
            </w:r>
          </w:p>
        </w:tc>
        <w:tc>
          <w:tcPr>
            <w:tcW w:w="1140" w:type="dxa"/>
            <w:noWrap/>
            <w:hideMark/>
          </w:tcPr>
          <w:p w:rsidR="00A43165" w:rsidRPr="00A43165" w:rsidRDefault="00A43165" w:rsidP="00A43165">
            <w:pPr>
              <w:spacing w:line="240" w:lineRule="auto"/>
              <w:jc w:val="right"/>
              <w:rPr>
                <w:rFonts w:eastAsia="Times New Roman" w:cs="Times New Roman"/>
                <w:color w:val="000000"/>
                <w:sz w:val="24"/>
                <w:szCs w:val="24"/>
                <w:lang w:val="en-US"/>
              </w:rPr>
            </w:pPr>
            <w:r w:rsidRPr="00A43165">
              <w:rPr>
                <w:rFonts w:eastAsia="Times New Roman" w:cs="Times New Roman"/>
                <w:color w:val="000000"/>
                <w:sz w:val="24"/>
                <w:szCs w:val="24"/>
                <w:lang w:val="en-US"/>
              </w:rPr>
              <w:t>1.10</w:t>
            </w:r>
          </w:p>
        </w:tc>
        <w:tc>
          <w:tcPr>
            <w:tcW w:w="960" w:type="dxa"/>
            <w:noWrap/>
            <w:hideMark/>
          </w:tcPr>
          <w:p w:rsidR="00A43165" w:rsidRPr="00A43165" w:rsidRDefault="00A43165" w:rsidP="00A43165">
            <w:pPr>
              <w:spacing w:line="240" w:lineRule="auto"/>
              <w:jc w:val="right"/>
              <w:rPr>
                <w:rFonts w:eastAsia="Times New Roman" w:cs="Times New Roman"/>
                <w:color w:val="000000"/>
                <w:sz w:val="24"/>
                <w:szCs w:val="24"/>
                <w:lang w:val="en-US"/>
              </w:rPr>
            </w:pPr>
            <w:r w:rsidRPr="00A43165">
              <w:rPr>
                <w:rFonts w:eastAsia="Times New Roman" w:cs="Times New Roman"/>
                <w:color w:val="000000"/>
                <w:sz w:val="24"/>
                <w:szCs w:val="24"/>
                <w:lang w:val="en-US"/>
              </w:rPr>
              <w:t>1.24</w:t>
            </w:r>
          </w:p>
        </w:tc>
        <w:tc>
          <w:tcPr>
            <w:tcW w:w="940" w:type="dxa"/>
            <w:noWrap/>
            <w:hideMark/>
          </w:tcPr>
          <w:p w:rsidR="00A43165" w:rsidRPr="00A43165" w:rsidRDefault="00A43165" w:rsidP="00A43165">
            <w:pPr>
              <w:spacing w:line="240" w:lineRule="auto"/>
              <w:jc w:val="right"/>
              <w:rPr>
                <w:rFonts w:eastAsia="Times New Roman" w:cs="Times New Roman"/>
                <w:color w:val="000000"/>
                <w:sz w:val="24"/>
                <w:szCs w:val="24"/>
                <w:lang w:val="en-US"/>
              </w:rPr>
            </w:pPr>
            <w:r w:rsidRPr="00A43165">
              <w:rPr>
                <w:rFonts w:eastAsia="Times New Roman" w:cs="Times New Roman"/>
                <w:color w:val="000000"/>
                <w:sz w:val="24"/>
                <w:szCs w:val="24"/>
                <w:lang w:val="en-US"/>
              </w:rPr>
              <w:t>0.88</w:t>
            </w:r>
          </w:p>
        </w:tc>
      </w:tr>
    </w:tbl>
    <w:p w:rsidR="00A43165" w:rsidRDefault="00A43165" w:rsidP="00CD5A47">
      <w:pPr>
        <w:rPr>
          <w:b/>
        </w:rPr>
      </w:pPr>
    </w:p>
    <w:p w:rsidR="00A43165" w:rsidRDefault="00A43165" w:rsidP="00CD5A47">
      <w:r w:rsidRPr="008A09CC">
        <w:t xml:space="preserve">The study of the current ratios over years of the organization </w:t>
      </w:r>
      <w:r w:rsidR="008A09CC" w:rsidRPr="008A09CC">
        <w:t>indicates</w:t>
      </w:r>
      <w:r w:rsidR="008A09CC">
        <w:t xml:space="preserve"> that the organization GSK </w:t>
      </w:r>
      <w:r w:rsidR="003E5B46">
        <w:t xml:space="preserve">maintains very good liquidity position as from the period 2012-2015 the organization has maintained a current ratio that is </w:t>
      </w:r>
      <w:r w:rsidR="00166F49">
        <w:t xml:space="preserve">either around 1 or more than 1.This </w:t>
      </w:r>
      <w:r w:rsidR="00C5474C">
        <w:t>indicates</w:t>
      </w:r>
      <w:r w:rsidR="00166F49">
        <w:t xml:space="preserve"> that due to strong reve</w:t>
      </w:r>
      <w:r w:rsidR="00C5474C">
        <w:t>nue</w:t>
      </w:r>
      <w:r w:rsidR="00166F49">
        <w:t xml:space="preserve"> generation capacity and strong </w:t>
      </w:r>
      <w:r w:rsidR="00C5474C">
        <w:t xml:space="preserve">liability management capacity the organization has </w:t>
      </w:r>
      <w:r w:rsidR="00946171">
        <w:t>managed</w:t>
      </w:r>
      <w:r w:rsidR="00C5474C">
        <w:t xml:space="preserve"> </w:t>
      </w:r>
      <w:r w:rsidR="00946171">
        <w:t xml:space="preserve">to maintain a higher </w:t>
      </w:r>
      <w:r w:rsidR="00277C79">
        <w:t>volume current</w:t>
      </w:r>
      <w:r w:rsidR="00946171">
        <w:t xml:space="preserve"> asset </w:t>
      </w:r>
      <w:r w:rsidR="007E3B02">
        <w:t>(</w:t>
      </w:r>
      <w:r w:rsidR="00946171">
        <w:t>that are both cash or near cash securities</w:t>
      </w:r>
      <w:r w:rsidR="007E3B02">
        <w:t>)</w:t>
      </w:r>
      <w:r w:rsidR="00946171">
        <w:t xml:space="preserve"> </w:t>
      </w:r>
      <w:r w:rsidR="007E3B02">
        <w:t xml:space="preserve">compared to the liability of the </w:t>
      </w:r>
      <w:r w:rsidR="002E57BB">
        <w:t>organization. From</w:t>
      </w:r>
      <w:r w:rsidR="007E3B02">
        <w:t xml:space="preserve"> 2015 onwards </w:t>
      </w:r>
      <w:r w:rsidR="002E57BB">
        <w:t>the</w:t>
      </w:r>
      <w:r w:rsidR="007E3B02">
        <w:t xml:space="preserve"> organization took the </w:t>
      </w:r>
      <w:r w:rsidR="002E57BB">
        <w:t>initiative for e</w:t>
      </w:r>
      <w:r w:rsidR="00AA36CB">
        <w:t xml:space="preserve">xpansion of the segment of vaccine production and the consumer health care products </w:t>
      </w:r>
      <w:r w:rsidR="00690D9B">
        <w:t xml:space="preserve">so that a substantial portion of revenue can be earned from </w:t>
      </w:r>
      <w:r w:rsidR="000447A3">
        <w:t>these segments</w:t>
      </w:r>
      <w:r w:rsidR="00690D9B">
        <w:t xml:space="preserve"> </w:t>
      </w:r>
      <w:r w:rsidR="000447A3">
        <w:t>just like the pharmaceutical segment of the organization where from the organization gathers</w:t>
      </w:r>
      <w:r w:rsidR="004B0990">
        <w:t xml:space="preserve"> most of its revenue. The increase in operational cost that was incurred for segmental expansion has apportioned a big chunk of </w:t>
      </w:r>
      <w:r w:rsidR="002D1E74">
        <w:t xml:space="preserve">the gross profit which ultimately has reduced the current ratio of the organization in 2016 when the volume of current asset of the organization </w:t>
      </w:r>
      <w:r w:rsidR="00FB3AD2">
        <w:t>has become lower compared to the volume of current liability of the organization and the ratio has become less than 1</w:t>
      </w:r>
    </w:p>
    <w:p w:rsidR="00B54AED" w:rsidRDefault="00B54AED" w:rsidP="00CD5A47">
      <w:pPr>
        <w:rPr>
          <w:b/>
        </w:rPr>
      </w:pPr>
      <w:r w:rsidRPr="00B54AED">
        <w:rPr>
          <w:b/>
        </w:rPr>
        <w:lastRenderedPageBreak/>
        <w:t>Quick Ratio:</w:t>
      </w:r>
    </w:p>
    <w:tbl>
      <w:tblPr>
        <w:tblStyle w:val="TableGrid"/>
        <w:tblW w:w="8940" w:type="dxa"/>
        <w:jc w:val="center"/>
        <w:tblLook w:val="04A0"/>
      </w:tblPr>
      <w:tblGrid>
        <w:gridCol w:w="3860"/>
        <w:gridCol w:w="1100"/>
        <w:gridCol w:w="940"/>
        <w:gridCol w:w="1140"/>
        <w:gridCol w:w="960"/>
        <w:gridCol w:w="940"/>
      </w:tblGrid>
      <w:tr w:rsidR="007A0C2C" w:rsidRPr="00B54AED" w:rsidTr="00B54AED">
        <w:trPr>
          <w:trHeight w:val="615"/>
          <w:jc w:val="center"/>
        </w:trPr>
        <w:tc>
          <w:tcPr>
            <w:tcW w:w="3860" w:type="dxa"/>
            <w:hideMark/>
          </w:tcPr>
          <w:p w:rsidR="007A0C2C" w:rsidRPr="003E783D" w:rsidRDefault="007A0C2C" w:rsidP="00427015">
            <w:pPr>
              <w:spacing w:line="240" w:lineRule="auto"/>
              <w:jc w:val="left"/>
              <w:rPr>
                <w:rFonts w:eastAsia="Times New Roman" w:cs="Times New Roman"/>
                <w:color w:val="000000"/>
                <w:sz w:val="24"/>
                <w:lang w:val="en-US"/>
              </w:rPr>
            </w:pPr>
            <w:r w:rsidRPr="003E783D">
              <w:rPr>
                <w:rFonts w:eastAsia="Times New Roman" w:cs="Times New Roman"/>
                <w:color w:val="000000"/>
                <w:sz w:val="24"/>
                <w:lang w:val="en-US"/>
              </w:rPr>
              <w:t> </w:t>
            </w:r>
            <w:r w:rsidRPr="00E24A4A">
              <w:rPr>
                <w:rFonts w:eastAsia="Times New Roman" w:cs="Times New Roman"/>
                <w:color w:val="000000"/>
                <w:sz w:val="24"/>
                <w:lang w:val="en-US"/>
              </w:rPr>
              <w:t>Years</w:t>
            </w:r>
          </w:p>
        </w:tc>
        <w:tc>
          <w:tcPr>
            <w:tcW w:w="1100" w:type="dxa"/>
            <w:noWrap/>
            <w:hideMark/>
          </w:tcPr>
          <w:p w:rsidR="007A0C2C" w:rsidRPr="003E783D" w:rsidRDefault="007A0C2C" w:rsidP="00427015">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2012</w:t>
            </w:r>
          </w:p>
        </w:tc>
        <w:tc>
          <w:tcPr>
            <w:tcW w:w="940" w:type="dxa"/>
            <w:noWrap/>
            <w:hideMark/>
          </w:tcPr>
          <w:p w:rsidR="007A0C2C" w:rsidRPr="003E783D" w:rsidRDefault="007A0C2C" w:rsidP="00427015">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2013</w:t>
            </w:r>
          </w:p>
        </w:tc>
        <w:tc>
          <w:tcPr>
            <w:tcW w:w="1140" w:type="dxa"/>
            <w:noWrap/>
            <w:hideMark/>
          </w:tcPr>
          <w:p w:rsidR="007A0C2C" w:rsidRPr="003E783D" w:rsidRDefault="007A0C2C" w:rsidP="00427015">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2014</w:t>
            </w:r>
          </w:p>
        </w:tc>
        <w:tc>
          <w:tcPr>
            <w:tcW w:w="960" w:type="dxa"/>
            <w:noWrap/>
            <w:hideMark/>
          </w:tcPr>
          <w:p w:rsidR="007A0C2C" w:rsidRPr="003E783D" w:rsidRDefault="007A0C2C" w:rsidP="00427015">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2015</w:t>
            </w:r>
          </w:p>
        </w:tc>
        <w:tc>
          <w:tcPr>
            <w:tcW w:w="940" w:type="dxa"/>
            <w:noWrap/>
            <w:hideMark/>
          </w:tcPr>
          <w:p w:rsidR="007A0C2C" w:rsidRPr="003E783D" w:rsidRDefault="007A0C2C" w:rsidP="00427015">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2016</w:t>
            </w:r>
          </w:p>
        </w:tc>
      </w:tr>
      <w:tr w:rsidR="00B54AED" w:rsidRPr="00B54AED" w:rsidTr="00B54AED">
        <w:trPr>
          <w:trHeight w:val="615"/>
          <w:jc w:val="center"/>
        </w:trPr>
        <w:tc>
          <w:tcPr>
            <w:tcW w:w="3860" w:type="dxa"/>
            <w:hideMark/>
          </w:tcPr>
          <w:p w:rsidR="00B54AED" w:rsidRPr="00B54AED" w:rsidRDefault="00B54AED" w:rsidP="00B54AED">
            <w:pPr>
              <w:spacing w:line="240" w:lineRule="auto"/>
              <w:jc w:val="left"/>
              <w:rPr>
                <w:rFonts w:eastAsia="Times New Roman" w:cs="Times New Roman"/>
                <w:b/>
                <w:bCs/>
                <w:color w:val="000000"/>
                <w:sz w:val="24"/>
                <w:szCs w:val="24"/>
                <w:lang w:val="en-US"/>
              </w:rPr>
            </w:pPr>
            <w:r w:rsidRPr="00B54AED">
              <w:rPr>
                <w:rFonts w:eastAsia="Times New Roman" w:cs="Times New Roman"/>
                <w:b/>
                <w:bCs/>
                <w:color w:val="000000"/>
                <w:sz w:val="24"/>
                <w:szCs w:val="24"/>
                <w:lang w:val="en-US"/>
              </w:rPr>
              <w:t>Quick Ratio</w:t>
            </w:r>
            <w:r w:rsidRPr="00B54AED">
              <w:rPr>
                <w:rFonts w:eastAsia="Times New Roman" w:cs="Times New Roman"/>
                <w:color w:val="000000"/>
                <w:sz w:val="24"/>
                <w:szCs w:val="24"/>
                <w:lang w:val="en-US"/>
              </w:rPr>
              <w:t xml:space="preserve"> ([Current asset-Inventories]/ Current liability*100) </w:t>
            </w:r>
          </w:p>
        </w:tc>
        <w:tc>
          <w:tcPr>
            <w:tcW w:w="1100" w:type="dxa"/>
            <w:noWrap/>
            <w:hideMark/>
          </w:tcPr>
          <w:p w:rsidR="00B54AED" w:rsidRPr="00B54AED" w:rsidRDefault="00B54AED" w:rsidP="00B54AED">
            <w:pPr>
              <w:spacing w:line="240" w:lineRule="auto"/>
              <w:jc w:val="right"/>
              <w:rPr>
                <w:rFonts w:eastAsia="Times New Roman" w:cs="Times New Roman"/>
                <w:color w:val="000000"/>
                <w:sz w:val="24"/>
                <w:szCs w:val="24"/>
                <w:lang w:val="en-US"/>
              </w:rPr>
            </w:pPr>
            <w:r w:rsidRPr="00B54AED">
              <w:rPr>
                <w:rFonts w:eastAsia="Times New Roman" w:cs="Times New Roman"/>
                <w:color w:val="000000"/>
                <w:sz w:val="24"/>
                <w:szCs w:val="24"/>
                <w:lang w:val="en-US"/>
              </w:rPr>
              <w:t>0.70</w:t>
            </w:r>
          </w:p>
        </w:tc>
        <w:tc>
          <w:tcPr>
            <w:tcW w:w="940" w:type="dxa"/>
            <w:noWrap/>
            <w:hideMark/>
          </w:tcPr>
          <w:p w:rsidR="00B54AED" w:rsidRPr="00B54AED" w:rsidRDefault="00B54AED" w:rsidP="00B54AED">
            <w:pPr>
              <w:spacing w:line="240" w:lineRule="auto"/>
              <w:jc w:val="right"/>
              <w:rPr>
                <w:rFonts w:eastAsia="Times New Roman" w:cs="Times New Roman"/>
                <w:color w:val="000000"/>
                <w:sz w:val="24"/>
                <w:szCs w:val="24"/>
                <w:lang w:val="en-US"/>
              </w:rPr>
            </w:pPr>
            <w:r w:rsidRPr="00B54AED">
              <w:rPr>
                <w:rFonts w:eastAsia="Times New Roman" w:cs="Times New Roman"/>
                <w:color w:val="000000"/>
                <w:sz w:val="24"/>
                <w:szCs w:val="24"/>
                <w:lang w:val="en-US"/>
              </w:rPr>
              <w:t>0.83</w:t>
            </w:r>
          </w:p>
        </w:tc>
        <w:tc>
          <w:tcPr>
            <w:tcW w:w="1140" w:type="dxa"/>
            <w:noWrap/>
            <w:hideMark/>
          </w:tcPr>
          <w:p w:rsidR="00B54AED" w:rsidRPr="00B54AED" w:rsidRDefault="00B54AED" w:rsidP="00B54AED">
            <w:pPr>
              <w:spacing w:line="240" w:lineRule="auto"/>
              <w:jc w:val="right"/>
              <w:rPr>
                <w:rFonts w:eastAsia="Times New Roman" w:cs="Times New Roman"/>
                <w:color w:val="000000"/>
                <w:sz w:val="24"/>
                <w:szCs w:val="24"/>
                <w:lang w:val="en-US"/>
              </w:rPr>
            </w:pPr>
            <w:r w:rsidRPr="00B54AED">
              <w:rPr>
                <w:rFonts w:eastAsia="Times New Roman" w:cs="Times New Roman"/>
                <w:color w:val="000000"/>
                <w:sz w:val="24"/>
                <w:szCs w:val="24"/>
                <w:lang w:val="en-US"/>
              </w:rPr>
              <w:t>0.79</w:t>
            </w:r>
          </w:p>
        </w:tc>
        <w:tc>
          <w:tcPr>
            <w:tcW w:w="960" w:type="dxa"/>
            <w:noWrap/>
            <w:hideMark/>
          </w:tcPr>
          <w:p w:rsidR="00B54AED" w:rsidRPr="00B54AED" w:rsidRDefault="00B54AED" w:rsidP="00B54AED">
            <w:pPr>
              <w:spacing w:line="240" w:lineRule="auto"/>
              <w:jc w:val="right"/>
              <w:rPr>
                <w:rFonts w:eastAsia="Times New Roman" w:cs="Times New Roman"/>
                <w:color w:val="000000"/>
                <w:sz w:val="24"/>
                <w:szCs w:val="24"/>
                <w:lang w:val="en-US"/>
              </w:rPr>
            </w:pPr>
            <w:r w:rsidRPr="00B54AED">
              <w:rPr>
                <w:rFonts w:eastAsia="Times New Roman" w:cs="Times New Roman"/>
                <w:color w:val="000000"/>
                <w:sz w:val="24"/>
                <w:szCs w:val="24"/>
                <w:lang w:val="en-US"/>
              </w:rPr>
              <w:t>0.88</w:t>
            </w:r>
          </w:p>
        </w:tc>
        <w:tc>
          <w:tcPr>
            <w:tcW w:w="940" w:type="dxa"/>
            <w:noWrap/>
            <w:hideMark/>
          </w:tcPr>
          <w:p w:rsidR="00B54AED" w:rsidRPr="00B54AED" w:rsidRDefault="00B54AED" w:rsidP="00B54AED">
            <w:pPr>
              <w:spacing w:line="240" w:lineRule="auto"/>
              <w:jc w:val="right"/>
              <w:rPr>
                <w:rFonts w:eastAsia="Times New Roman" w:cs="Times New Roman"/>
                <w:color w:val="000000"/>
                <w:sz w:val="24"/>
                <w:szCs w:val="24"/>
                <w:lang w:val="en-US"/>
              </w:rPr>
            </w:pPr>
            <w:r w:rsidRPr="00B54AED">
              <w:rPr>
                <w:rFonts w:eastAsia="Times New Roman" w:cs="Times New Roman"/>
                <w:color w:val="000000"/>
                <w:sz w:val="24"/>
                <w:szCs w:val="24"/>
                <w:lang w:val="en-US"/>
              </w:rPr>
              <w:t>0.61</w:t>
            </w:r>
          </w:p>
        </w:tc>
      </w:tr>
    </w:tbl>
    <w:p w:rsidR="00B54AED" w:rsidRDefault="00B54AED" w:rsidP="00CD5A47">
      <w:pPr>
        <w:rPr>
          <w:b/>
        </w:rPr>
      </w:pPr>
    </w:p>
    <w:p w:rsidR="00B54AED" w:rsidRDefault="00B54AED" w:rsidP="00CD5A47">
      <w:r w:rsidRPr="00B54AED">
        <w:t xml:space="preserve">The quick ratio of the organization is more or less satiable around </w:t>
      </w:r>
      <w:r w:rsidR="00CF46E7">
        <w:t xml:space="preserve">70% </w:t>
      </w:r>
      <w:r w:rsidR="00CC6085">
        <w:t>during 2012-2015</w:t>
      </w:r>
      <w:r w:rsidR="00CF46E7">
        <w:t xml:space="preserve"> and showing a sharp decline </w:t>
      </w:r>
      <w:r w:rsidR="00CC6085">
        <w:t xml:space="preserve">to 61% in 2016.The underlying cause of this decline is the </w:t>
      </w:r>
      <w:r w:rsidR="00FB0968">
        <w:t>decrease</w:t>
      </w:r>
      <w:r w:rsidR="00CC6085">
        <w:t xml:space="preserve"> in quick asset and </w:t>
      </w:r>
      <w:r w:rsidR="00FB0968">
        <w:t>increase</w:t>
      </w:r>
      <w:r w:rsidR="00CC6085">
        <w:t xml:space="preserve"> in current liability of the </w:t>
      </w:r>
      <w:r w:rsidR="00FB0968">
        <w:t>organization. The</w:t>
      </w:r>
      <w:r w:rsidR="00CC6085">
        <w:t xml:space="preserve"> </w:t>
      </w:r>
      <w:r w:rsidR="00FB0968">
        <w:t xml:space="preserve">initiative taken by the organization for enhancing the growth of vaccine production segment as well as the </w:t>
      </w:r>
      <w:r w:rsidR="009F5596">
        <w:t>consumer health care production segment has increased the operational expenses</w:t>
      </w:r>
      <w:r w:rsidR="00A90DA1">
        <w:t xml:space="preserve"> </w:t>
      </w:r>
      <w:r w:rsidR="009F5596">
        <w:t xml:space="preserve">of the organization which has led to the cash investments. Such cash </w:t>
      </w:r>
      <w:r w:rsidR="0094085B">
        <w:t>investments in one hand have</w:t>
      </w:r>
      <w:r w:rsidR="009F5596">
        <w:t xml:space="preserve"> reduced the </w:t>
      </w:r>
      <w:r w:rsidR="00A90DA1">
        <w:t xml:space="preserve">quick assets and other hand has increased the current liability of the organization and ultimate impact is the decline in </w:t>
      </w:r>
      <w:r w:rsidR="0094085B">
        <w:t>current ratio of the organization.</w:t>
      </w:r>
    </w:p>
    <w:p w:rsidR="003D10EE" w:rsidRDefault="003D10EE" w:rsidP="00CD5A47">
      <w:pPr>
        <w:rPr>
          <w:b/>
        </w:rPr>
      </w:pPr>
      <w:r w:rsidRPr="003D10EE">
        <w:rPr>
          <w:b/>
        </w:rPr>
        <w:t>Return on capital employed (ROCE)</w:t>
      </w:r>
      <w:r>
        <w:rPr>
          <w:b/>
        </w:rPr>
        <w:t>:</w:t>
      </w:r>
    </w:p>
    <w:tbl>
      <w:tblPr>
        <w:tblStyle w:val="TableGrid"/>
        <w:tblW w:w="8940" w:type="dxa"/>
        <w:jc w:val="center"/>
        <w:tblLook w:val="04A0"/>
      </w:tblPr>
      <w:tblGrid>
        <w:gridCol w:w="3860"/>
        <w:gridCol w:w="1100"/>
        <w:gridCol w:w="940"/>
        <w:gridCol w:w="1140"/>
        <w:gridCol w:w="960"/>
        <w:gridCol w:w="940"/>
      </w:tblGrid>
      <w:tr w:rsidR="007A0C2C" w:rsidRPr="003D10EE" w:rsidTr="007A0C2C">
        <w:trPr>
          <w:trHeight w:val="503"/>
          <w:jc w:val="center"/>
        </w:trPr>
        <w:tc>
          <w:tcPr>
            <w:tcW w:w="3860" w:type="dxa"/>
            <w:hideMark/>
          </w:tcPr>
          <w:p w:rsidR="007A0C2C" w:rsidRPr="003E783D" w:rsidRDefault="007A0C2C" w:rsidP="00427015">
            <w:pPr>
              <w:spacing w:line="240" w:lineRule="auto"/>
              <w:jc w:val="left"/>
              <w:rPr>
                <w:rFonts w:eastAsia="Times New Roman" w:cs="Times New Roman"/>
                <w:color w:val="000000"/>
                <w:sz w:val="24"/>
                <w:lang w:val="en-US"/>
              </w:rPr>
            </w:pPr>
            <w:r w:rsidRPr="003E783D">
              <w:rPr>
                <w:rFonts w:eastAsia="Times New Roman" w:cs="Times New Roman"/>
                <w:color w:val="000000"/>
                <w:sz w:val="24"/>
                <w:lang w:val="en-US"/>
              </w:rPr>
              <w:t> </w:t>
            </w:r>
            <w:r w:rsidRPr="00E24A4A">
              <w:rPr>
                <w:rFonts w:eastAsia="Times New Roman" w:cs="Times New Roman"/>
                <w:color w:val="000000"/>
                <w:sz w:val="24"/>
                <w:lang w:val="en-US"/>
              </w:rPr>
              <w:t>Years</w:t>
            </w:r>
          </w:p>
        </w:tc>
        <w:tc>
          <w:tcPr>
            <w:tcW w:w="1100" w:type="dxa"/>
            <w:noWrap/>
            <w:hideMark/>
          </w:tcPr>
          <w:p w:rsidR="007A0C2C" w:rsidRPr="003E783D" w:rsidRDefault="007A0C2C" w:rsidP="00427015">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2012</w:t>
            </w:r>
          </w:p>
        </w:tc>
        <w:tc>
          <w:tcPr>
            <w:tcW w:w="940" w:type="dxa"/>
            <w:noWrap/>
            <w:hideMark/>
          </w:tcPr>
          <w:p w:rsidR="007A0C2C" w:rsidRPr="003E783D" w:rsidRDefault="007A0C2C" w:rsidP="00427015">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2013</w:t>
            </w:r>
          </w:p>
        </w:tc>
        <w:tc>
          <w:tcPr>
            <w:tcW w:w="1140" w:type="dxa"/>
            <w:noWrap/>
            <w:hideMark/>
          </w:tcPr>
          <w:p w:rsidR="007A0C2C" w:rsidRPr="003E783D" w:rsidRDefault="007A0C2C" w:rsidP="00427015">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2014</w:t>
            </w:r>
          </w:p>
        </w:tc>
        <w:tc>
          <w:tcPr>
            <w:tcW w:w="960" w:type="dxa"/>
            <w:noWrap/>
            <w:hideMark/>
          </w:tcPr>
          <w:p w:rsidR="007A0C2C" w:rsidRPr="003E783D" w:rsidRDefault="007A0C2C" w:rsidP="00427015">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2015</w:t>
            </w:r>
          </w:p>
        </w:tc>
        <w:tc>
          <w:tcPr>
            <w:tcW w:w="940" w:type="dxa"/>
            <w:noWrap/>
            <w:hideMark/>
          </w:tcPr>
          <w:p w:rsidR="007A0C2C" w:rsidRPr="003E783D" w:rsidRDefault="007A0C2C" w:rsidP="00427015">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2016</w:t>
            </w:r>
          </w:p>
        </w:tc>
      </w:tr>
      <w:tr w:rsidR="003D10EE" w:rsidRPr="003D10EE" w:rsidTr="003D10EE">
        <w:trPr>
          <w:trHeight w:val="945"/>
          <w:jc w:val="center"/>
        </w:trPr>
        <w:tc>
          <w:tcPr>
            <w:tcW w:w="3860" w:type="dxa"/>
            <w:hideMark/>
          </w:tcPr>
          <w:p w:rsidR="003D10EE" w:rsidRPr="003D10EE" w:rsidRDefault="003D10EE" w:rsidP="003D10EE">
            <w:pPr>
              <w:spacing w:line="240" w:lineRule="auto"/>
              <w:jc w:val="left"/>
              <w:rPr>
                <w:rFonts w:eastAsia="Times New Roman" w:cs="Times New Roman"/>
                <w:color w:val="000000"/>
                <w:sz w:val="24"/>
                <w:szCs w:val="24"/>
                <w:lang w:val="en-US"/>
              </w:rPr>
            </w:pPr>
            <w:r w:rsidRPr="003D10EE">
              <w:rPr>
                <w:rFonts w:eastAsia="Times New Roman" w:cs="Times New Roman"/>
                <w:color w:val="000000"/>
                <w:sz w:val="24"/>
                <w:szCs w:val="24"/>
                <w:lang w:val="en-US"/>
              </w:rPr>
              <w:t>Return on capital employed(ROCE)[EBIT/capital employed]</w:t>
            </w:r>
          </w:p>
        </w:tc>
        <w:tc>
          <w:tcPr>
            <w:tcW w:w="1100" w:type="dxa"/>
            <w:noWrap/>
            <w:hideMark/>
          </w:tcPr>
          <w:p w:rsidR="003D10EE" w:rsidRPr="003D10EE" w:rsidRDefault="003D10EE" w:rsidP="003D10EE">
            <w:pPr>
              <w:spacing w:line="240" w:lineRule="auto"/>
              <w:jc w:val="right"/>
              <w:rPr>
                <w:rFonts w:eastAsia="Times New Roman" w:cs="Times New Roman"/>
                <w:color w:val="000000"/>
                <w:sz w:val="24"/>
                <w:szCs w:val="24"/>
                <w:lang w:val="en-US"/>
              </w:rPr>
            </w:pPr>
            <w:r w:rsidRPr="003D10EE">
              <w:rPr>
                <w:rFonts w:eastAsia="Times New Roman" w:cs="Times New Roman"/>
                <w:color w:val="000000"/>
                <w:sz w:val="24"/>
                <w:szCs w:val="24"/>
                <w:lang w:val="en-US"/>
              </w:rPr>
              <w:t>0.27</w:t>
            </w:r>
          </w:p>
        </w:tc>
        <w:tc>
          <w:tcPr>
            <w:tcW w:w="940" w:type="dxa"/>
            <w:noWrap/>
            <w:hideMark/>
          </w:tcPr>
          <w:p w:rsidR="003D10EE" w:rsidRPr="003D10EE" w:rsidRDefault="003D10EE" w:rsidP="003D10EE">
            <w:pPr>
              <w:spacing w:line="240" w:lineRule="auto"/>
              <w:jc w:val="right"/>
              <w:rPr>
                <w:rFonts w:eastAsia="Times New Roman" w:cs="Times New Roman"/>
                <w:color w:val="000000"/>
                <w:sz w:val="24"/>
                <w:szCs w:val="24"/>
                <w:lang w:val="en-US"/>
              </w:rPr>
            </w:pPr>
            <w:r w:rsidRPr="003D10EE">
              <w:rPr>
                <w:rFonts w:eastAsia="Times New Roman" w:cs="Times New Roman"/>
                <w:color w:val="000000"/>
                <w:sz w:val="24"/>
                <w:szCs w:val="24"/>
                <w:lang w:val="en-US"/>
              </w:rPr>
              <w:t>0.26</w:t>
            </w:r>
          </w:p>
        </w:tc>
        <w:tc>
          <w:tcPr>
            <w:tcW w:w="1140" w:type="dxa"/>
            <w:noWrap/>
            <w:hideMark/>
          </w:tcPr>
          <w:p w:rsidR="003D10EE" w:rsidRPr="003D10EE" w:rsidRDefault="003D10EE" w:rsidP="003D10EE">
            <w:pPr>
              <w:spacing w:line="240" w:lineRule="auto"/>
              <w:jc w:val="right"/>
              <w:rPr>
                <w:rFonts w:eastAsia="Times New Roman" w:cs="Times New Roman"/>
                <w:color w:val="000000"/>
                <w:sz w:val="24"/>
                <w:szCs w:val="24"/>
                <w:lang w:val="en-US"/>
              </w:rPr>
            </w:pPr>
            <w:r w:rsidRPr="003D10EE">
              <w:rPr>
                <w:rFonts w:eastAsia="Times New Roman" w:cs="Times New Roman"/>
                <w:color w:val="000000"/>
                <w:sz w:val="24"/>
                <w:szCs w:val="24"/>
                <w:lang w:val="en-US"/>
              </w:rPr>
              <w:t>0.14</w:t>
            </w:r>
          </w:p>
        </w:tc>
        <w:tc>
          <w:tcPr>
            <w:tcW w:w="960" w:type="dxa"/>
            <w:noWrap/>
            <w:hideMark/>
          </w:tcPr>
          <w:p w:rsidR="003D10EE" w:rsidRPr="003D10EE" w:rsidRDefault="003D10EE" w:rsidP="003D10EE">
            <w:pPr>
              <w:spacing w:line="240" w:lineRule="auto"/>
              <w:jc w:val="right"/>
              <w:rPr>
                <w:rFonts w:eastAsia="Times New Roman" w:cs="Times New Roman"/>
                <w:color w:val="000000"/>
                <w:sz w:val="24"/>
                <w:szCs w:val="24"/>
                <w:lang w:val="en-US"/>
              </w:rPr>
            </w:pPr>
            <w:r w:rsidRPr="003D10EE">
              <w:rPr>
                <w:rFonts w:eastAsia="Times New Roman" w:cs="Times New Roman"/>
                <w:color w:val="000000"/>
                <w:sz w:val="24"/>
                <w:szCs w:val="24"/>
                <w:lang w:val="en-US"/>
              </w:rPr>
              <w:t>0.25</w:t>
            </w:r>
          </w:p>
        </w:tc>
        <w:tc>
          <w:tcPr>
            <w:tcW w:w="940" w:type="dxa"/>
            <w:noWrap/>
            <w:hideMark/>
          </w:tcPr>
          <w:p w:rsidR="003D10EE" w:rsidRPr="003D10EE" w:rsidRDefault="003D10EE" w:rsidP="003D10EE">
            <w:pPr>
              <w:spacing w:line="240" w:lineRule="auto"/>
              <w:jc w:val="right"/>
              <w:rPr>
                <w:rFonts w:eastAsia="Times New Roman" w:cs="Times New Roman"/>
                <w:color w:val="000000"/>
                <w:sz w:val="24"/>
                <w:szCs w:val="24"/>
                <w:lang w:val="en-US"/>
              </w:rPr>
            </w:pPr>
            <w:r w:rsidRPr="003D10EE">
              <w:rPr>
                <w:rFonts w:eastAsia="Times New Roman" w:cs="Times New Roman"/>
                <w:color w:val="000000"/>
                <w:sz w:val="24"/>
                <w:szCs w:val="24"/>
                <w:lang w:val="en-US"/>
              </w:rPr>
              <w:t>0.07</w:t>
            </w:r>
          </w:p>
        </w:tc>
      </w:tr>
    </w:tbl>
    <w:p w:rsidR="003D10EE" w:rsidRDefault="003D10EE" w:rsidP="00CD5A47">
      <w:pPr>
        <w:rPr>
          <w:b/>
        </w:rPr>
      </w:pPr>
    </w:p>
    <w:p w:rsidR="003D10EE" w:rsidRPr="00BE54D8" w:rsidRDefault="00BE54D8" w:rsidP="00CD5A47">
      <w:r w:rsidRPr="00BE54D8">
        <w:t>The ROCE ratio of the organization has demonst</w:t>
      </w:r>
      <w:r>
        <w:t>r</w:t>
      </w:r>
      <w:r w:rsidRPr="00BE54D8">
        <w:t xml:space="preserve">ated a stable or </w:t>
      </w:r>
      <w:r>
        <w:t>declining</w:t>
      </w:r>
      <w:r w:rsidR="00283FB7">
        <w:t xml:space="preserve"> trend from 2012 onwards and in 2016 the organization has registered a massive decline in the ratio. The underlying reason that can</w:t>
      </w:r>
      <w:r w:rsidR="00D05D77">
        <w:t xml:space="preserve"> be identified is that during the period from 2012-2014 the earnings from all the major segments of the organization became more or less stagnant and that is why </w:t>
      </w:r>
      <w:r w:rsidR="00901D07">
        <w:t xml:space="preserve">the organization took the decision of major infrastructural investment in the </w:t>
      </w:r>
      <w:r w:rsidR="00A154E4">
        <w:t>segments</w:t>
      </w:r>
      <w:r w:rsidR="00901D07">
        <w:t xml:space="preserve"> of </w:t>
      </w:r>
      <w:r w:rsidR="00A154E4">
        <w:t xml:space="preserve">vaccine production and </w:t>
      </w:r>
      <w:r w:rsidR="00417318">
        <w:t xml:space="preserve">production of the consumer health care products and these </w:t>
      </w:r>
      <w:r w:rsidR="00EA23C6">
        <w:t xml:space="preserve">investments have increased the volume of capital employed of the organization and  the </w:t>
      </w:r>
      <w:r w:rsidR="00AB461C">
        <w:t xml:space="preserve">proportionate revenue generation from these segments yet to get some pace. That is why the ratio has suddenly declined in 2016 to a level of </w:t>
      </w:r>
      <w:r w:rsidR="008D6DF0">
        <w:t>7% where in the previous years the ratios where around 25%</w:t>
      </w:r>
    </w:p>
    <w:p w:rsidR="00721D57" w:rsidRDefault="00721D57" w:rsidP="00721D57">
      <w:pPr>
        <w:rPr>
          <w:b/>
        </w:rPr>
      </w:pPr>
      <w:r w:rsidRPr="00E659FC">
        <w:rPr>
          <w:b/>
        </w:rPr>
        <w:t>Total asset turnover ratio:</w:t>
      </w:r>
    </w:p>
    <w:tbl>
      <w:tblPr>
        <w:tblStyle w:val="TableGrid"/>
        <w:tblW w:w="8940" w:type="dxa"/>
        <w:jc w:val="center"/>
        <w:tblLook w:val="04A0"/>
      </w:tblPr>
      <w:tblGrid>
        <w:gridCol w:w="3860"/>
        <w:gridCol w:w="1100"/>
        <w:gridCol w:w="940"/>
        <w:gridCol w:w="1140"/>
        <w:gridCol w:w="960"/>
        <w:gridCol w:w="940"/>
      </w:tblGrid>
      <w:tr w:rsidR="007058E4" w:rsidRPr="00721D57" w:rsidTr="00721D57">
        <w:trPr>
          <w:trHeight w:val="630"/>
          <w:jc w:val="center"/>
        </w:trPr>
        <w:tc>
          <w:tcPr>
            <w:tcW w:w="3860" w:type="dxa"/>
            <w:hideMark/>
          </w:tcPr>
          <w:p w:rsidR="007058E4" w:rsidRPr="003E783D" w:rsidRDefault="007058E4" w:rsidP="00427015">
            <w:pPr>
              <w:spacing w:line="240" w:lineRule="auto"/>
              <w:jc w:val="left"/>
              <w:rPr>
                <w:rFonts w:eastAsia="Times New Roman" w:cs="Times New Roman"/>
                <w:color w:val="000000"/>
                <w:sz w:val="24"/>
                <w:lang w:val="en-US"/>
              </w:rPr>
            </w:pPr>
            <w:r w:rsidRPr="003E783D">
              <w:rPr>
                <w:rFonts w:eastAsia="Times New Roman" w:cs="Times New Roman"/>
                <w:color w:val="000000"/>
                <w:sz w:val="24"/>
                <w:lang w:val="en-US"/>
              </w:rPr>
              <w:lastRenderedPageBreak/>
              <w:t> </w:t>
            </w:r>
            <w:r w:rsidRPr="00E24A4A">
              <w:rPr>
                <w:rFonts w:eastAsia="Times New Roman" w:cs="Times New Roman"/>
                <w:color w:val="000000"/>
                <w:sz w:val="24"/>
                <w:lang w:val="en-US"/>
              </w:rPr>
              <w:t>Years</w:t>
            </w:r>
          </w:p>
        </w:tc>
        <w:tc>
          <w:tcPr>
            <w:tcW w:w="1100" w:type="dxa"/>
            <w:noWrap/>
            <w:hideMark/>
          </w:tcPr>
          <w:p w:rsidR="007058E4" w:rsidRPr="003E783D" w:rsidRDefault="007058E4" w:rsidP="00427015">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2012</w:t>
            </w:r>
          </w:p>
        </w:tc>
        <w:tc>
          <w:tcPr>
            <w:tcW w:w="940" w:type="dxa"/>
            <w:noWrap/>
            <w:hideMark/>
          </w:tcPr>
          <w:p w:rsidR="007058E4" w:rsidRPr="003E783D" w:rsidRDefault="007058E4" w:rsidP="00427015">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2013</w:t>
            </w:r>
          </w:p>
        </w:tc>
        <w:tc>
          <w:tcPr>
            <w:tcW w:w="1140" w:type="dxa"/>
            <w:noWrap/>
            <w:hideMark/>
          </w:tcPr>
          <w:p w:rsidR="007058E4" w:rsidRPr="003E783D" w:rsidRDefault="007058E4" w:rsidP="00427015">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2014</w:t>
            </w:r>
          </w:p>
        </w:tc>
        <w:tc>
          <w:tcPr>
            <w:tcW w:w="960" w:type="dxa"/>
            <w:noWrap/>
            <w:hideMark/>
          </w:tcPr>
          <w:p w:rsidR="007058E4" w:rsidRPr="003E783D" w:rsidRDefault="007058E4" w:rsidP="00427015">
            <w:pPr>
              <w:spacing w:line="240" w:lineRule="auto"/>
              <w:jc w:val="right"/>
              <w:rPr>
                <w:rFonts w:eastAsia="Times New Roman" w:cs="Times New Roman"/>
                <w:color w:val="000000"/>
                <w:sz w:val="24"/>
                <w:lang w:val="en-US"/>
              </w:rPr>
            </w:pPr>
            <w:r w:rsidRPr="003E783D">
              <w:rPr>
                <w:rFonts w:eastAsia="Times New Roman" w:cs="Times New Roman"/>
                <w:color w:val="000000"/>
                <w:sz w:val="24"/>
                <w:lang w:val="en-US"/>
              </w:rPr>
              <w:t>2015</w:t>
            </w:r>
          </w:p>
        </w:tc>
        <w:tc>
          <w:tcPr>
            <w:tcW w:w="940" w:type="dxa"/>
            <w:noWrap/>
            <w:hideMark/>
          </w:tcPr>
          <w:p w:rsidR="007058E4" w:rsidRPr="007058E4" w:rsidRDefault="007058E4" w:rsidP="00721D57">
            <w:pPr>
              <w:spacing w:line="240" w:lineRule="auto"/>
              <w:jc w:val="right"/>
              <w:rPr>
                <w:rFonts w:eastAsia="Times New Roman" w:cs="Times New Roman"/>
                <w:color w:val="000000"/>
                <w:sz w:val="24"/>
                <w:lang w:val="en-US"/>
              </w:rPr>
            </w:pPr>
            <w:r w:rsidRPr="007058E4">
              <w:rPr>
                <w:rFonts w:eastAsia="Times New Roman" w:cs="Times New Roman"/>
                <w:color w:val="000000"/>
                <w:sz w:val="24"/>
                <w:lang w:val="en-US"/>
              </w:rPr>
              <w:t>2016</w:t>
            </w:r>
          </w:p>
        </w:tc>
      </w:tr>
      <w:tr w:rsidR="00721D57" w:rsidRPr="00721D57" w:rsidTr="00721D57">
        <w:trPr>
          <w:trHeight w:val="630"/>
          <w:jc w:val="center"/>
        </w:trPr>
        <w:tc>
          <w:tcPr>
            <w:tcW w:w="3860" w:type="dxa"/>
            <w:hideMark/>
          </w:tcPr>
          <w:p w:rsidR="00721D57" w:rsidRPr="00721D57" w:rsidRDefault="00721D57" w:rsidP="00721D57">
            <w:pPr>
              <w:spacing w:line="240" w:lineRule="auto"/>
              <w:jc w:val="left"/>
              <w:rPr>
                <w:rFonts w:eastAsia="Times New Roman" w:cs="Times New Roman"/>
                <w:color w:val="000000"/>
                <w:sz w:val="24"/>
                <w:szCs w:val="24"/>
                <w:lang w:val="en-US"/>
              </w:rPr>
            </w:pPr>
            <w:r w:rsidRPr="00721D57">
              <w:rPr>
                <w:rFonts w:eastAsia="Times New Roman" w:cs="Times New Roman"/>
                <w:color w:val="000000"/>
                <w:sz w:val="24"/>
                <w:szCs w:val="24"/>
                <w:lang w:val="en-US"/>
              </w:rPr>
              <w:t>Total asset turnover ratio(net sales or revenue/Total average asset)</w:t>
            </w:r>
          </w:p>
        </w:tc>
        <w:tc>
          <w:tcPr>
            <w:tcW w:w="1100" w:type="dxa"/>
            <w:noWrap/>
            <w:hideMark/>
          </w:tcPr>
          <w:p w:rsidR="00721D57" w:rsidRPr="00721D57" w:rsidRDefault="00721D57" w:rsidP="00721D57">
            <w:pPr>
              <w:spacing w:line="240" w:lineRule="auto"/>
              <w:jc w:val="right"/>
              <w:rPr>
                <w:rFonts w:eastAsia="Times New Roman" w:cs="Times New Roman"/>
                <w:color w:val="000000"/>
                <w:sz w:val="24"/>
                <w:szCs w:val="24"/>
                <w:lang w:val="en-US"/>
              </w:rPr>
            </w:pPr>
            <w:r w:rsidRPr="00721D57">
              <w:rPr>
                <w:rFonts w:eastAsia="Times New Roman" w:cs="Times New Roman"/>
                <w:color w:val="000000"/>
                <w:sz w:val="24"/>
                <w:szCs w:val="24"/>
                <w:lang w:val="en-US"/>
              </w:rPr>
              <w:t>0.64</w:t>
            </w:r>
          </w:p>
        </w:tc>
        <w:tc>
          <w:tcPr>
            <w:tcW w:w="940" w:type="dxa"/>
            <w:noWrap/>
            <w:hideMark/>
          </w:tcPr>
          <w:p w:rsidR="00721D57" w:rsidRPr="00721D57" w:rsidRDefault="00721D57" w:rsidP="00721D57">
            <w:pPr>
              <w:spacing w:line="240" w:lineRule="auto"/>
              <w:jc w:val="right"/>
              <w:rPr>
                <w:rFonts w:eastAsia="Times New Roman" w:cs="Times New Roman"/>
                <w:color w:val="000000"/>
                <w:sz w:val="24"/>
                <w:szCs w:val="24"/>
                <w:lang w:val="en-US"/>
              </w:rPr>
            </w:pPr>
            <w:r w:rsidRPr="00721D57">
              <w:rPr>
                <w:rFonts w:eastAsia="Times New Roman" w:cs="Times New Roman"/>
                <w:color w:val="000000"/>
                <w:sz w:val="24"/>
                <w:szCs w:val="24"/>
                <w:lang w:val="en-US"/>
              </w:rPr>
              <w:t>0.63</w:t>
            </w:r>
          </w:p>
        </w:tc>
        <w:tc>
          <w:tcPr>
            <w:tcW w:w="1140" w:type="dxa"/>
            <w:noWrap/>
            <w:hideMark/>
          </w:tcPr>
          <w:p w:rsidR="00721D57" w:rsidRPr="00721D57" w:rsidRDefault="00721D57" w:rsidP="00721D57">
            <w:pPr>
              <w:spacing w:line="240" w:lineRule="auto"/>
              <w:jc w:val="right"/>
              <w:rPr>
                <w:rFonts w:eastAsia="Times New Roman" w:cs="Times New Roman"/>
                <w:color w:val="000000"/>
                <w:sz w:val="24"/>
                <w:szCs w:val="24"/>
                <w:lang w:val="en-US"/>
              </w:rPr>
            </w:pPr>
            <w:r w:rsidRPr="00721D57">
              <w:rPr>
                <w:rFonts w:eastAsia="Times New Roman" w:cs="Times New Roman"/>
                <w:color w:val="000000"/>
                <w:sz w:val="24"/>
                <w:szCs w:val="24"/>
                <w:lang w:val="en-US"/>
              </w:rPr>
              <w:t>0.57</w:t>
            </w:r>
          </w:p>
        </w:tc>
        <w:tc>
          <w:tcPr>
            <w:tcW w:w="960" w:type="dxa"/>
            <w:noWrap/>
            <w:hideMark/>
          </w:tcPr>
          <w:p w:rsidR="00721D57" w:rsidRPr="00721D57" w:rsidRDefault="00721D57" w:rsidP="00721D57">
            <w:pPr>
              <w:spacing w:line="240" w:lineRule="auto"/>
              <w:jc w:val="right"/>
              <w:rPr>
                <w:rFonts w:eastAsia="Times New Roman" w:cs="Times New Roman"/>
                <w:color w:val="000000"/>
                <w:sz w:val="24"/>
                <w:szCs w:val="24"/>
                <w:lang w:val="en-US"/>
              </w:rPr>
            </w:pPr>
            <w:r w:rsidRPr="00721D57">
              <w:rPr>
                <w:rFonts w:eastAsia="Times New Roman" w:cs="Times New Roman"/>
                <w:color w:val="000000"/>
                <w:sz w:val="24"/>
                <w:szCs w:val="24"/>
                <w:lang w:val="en-US"/>
              </w:rPr>
              <w:t>0.45</w:t>
            </w:r>
          </w:p>
        </w:tc>
        <w:tc>
          <w:tcPr>
            <w:tcW w:w="940" w:type="dxa"/>
            <w:noWrap/>
            <w:hideMark/>
          </w:tcPr>
          <w:p w:rsidR="00721D57" w:rsidRPr="00721D57" w:rsidRDefault="00721D57" w:rsidP="00721D57">
            <w:pPr>
              <w:spacing w:line="240" w:lineRule="auto"/>
              <w:jc w:val="right"/>
              <w:rPr>
                <w:rFonts w:eastAsia="Times New Roman" w:cs="Times New Roman"/>
                <w:color w:val="000000"/>
                <w:sz w:val="24"/>
                <w:szCs w:val="24"/>
                <w:lang w:val="en-US"/>
              </w:rPr>
            </w:pPr>
            <w:r w:rsidRPr="00721D57">
              <w:rPr>
                <w:rFonts w:eastAsia="Times New Roman" w:cs="Times New Roman"/>
                <w:color w:val="000000"/>
                <w:sz w:val="24"/>
                <w:szCs w:val="24"/>
                <w:lang w:val="en-US"/>
              </w:rPr>
              <w:t>0.47</w:t>
            </w:r>
          </w:p>
        </w:tc>
      </w:tr>
    </w:tbl>
    <w:p w:rsidR="00472069" w:rsidRDefault="00472069" w:rsidP="00CD5A47"/>
    <w:p w:rsidR="00721D57" w:rsidRDefault="007058E4" w:rsidP="00CD5A47">
      <w:r>
        <w:t xml:space="preserve">The asset turnover ratio of the organization </w:t>
      </w:r>
      <w:r w:rsidR="005E68AE">
        <w:t>has continuously declined from 64% in 2012 to 47% in 2016 as the organizati</w:t>
      </w:r>
      <w:r w:rsidR="002A7CBC">
        <w:t>on has failed to generate suffi</w:t>
      </w:r>
      <w:r w:rsidR="005E68AE">
        <w:t xml:space="preserve">cient sales from the asset due to lack of growth of the exiting </w:t>
      </w:r>
      <w:r w:rsidR="00F84C12">
        <w:t>segments (sales revenue generation of the major segments of pharmaceutical, vaccine production and consumer health care production sections</w:t>
      </w:r>
      <w:r w:rsidR="00F63976">
        <w:t xml:space="preserve"> became stagnant</w:t>
      </w:r>
      <w:r w:rsidR="00F84C12">
        <w:t>)</w:t>
      </w:r>
      <w:r w:rsidR="005E68AE">
        <w:t xml:space="preserve"> and new investments </w:t>
      </w:r>
      <w:r w:rsidR="00F63976">
        <w:t xml:space="preserve">made </w:t>
      </w:r>
      <w:r w:rsidR="00F84C12">
        <w:t>for the</w:t>
      </w:r>
      <w:r w:rsidR="002A7CBC">
        <w:t xml:space="preserve"> expansion of the different sectors that added to the asset side of the balance </w:t>
      </w:r>
      <w:r w:rsidR="00F63976">
        <w:t>sheet.</w:t>
      </w:r>
    </w:p>
    <w:p w:rsidR="00032F4C" w:rsidRPr="00032F4C" w:rsidRDefault="00032F4C" w:rsidP="00032F4C">
      <w:pPr>
        <w:rPr>
          <w:b/>
        </w:rPr>
      </w:pPr>
      <w:r w:rsidRPr="00032F4C">
        <w:rPr>
          <w:b/>
        </w:rPr>
        <w:t>Gearing Ratio:</w:t>
      </w:r>
    </w:p>
    <w:tbl>
      <w:tblPr>
        <w:tblStyle w:val="TableGrid"/>
        <w:tblW w:w="8940" w:type="dxa"/>
        <w:jc w:val="center"/>
        <w:tblLook w:val="04A0"/>
      </w:tblPr>
      <w:tblGrid>
        <w:gridCol w:w="3860"/>
        <w:gridCol w:w="1100"/>
        <w:gridCol w:w="940"/>
        <w:gridCol w:w="1140"/>
        <w:gridCol w:w="960"/>
        <w:gridCol w:w="940"/>
      </w:tblGrid>
      <w:tr w:rsidR="00032F4C" w:rsidRPr="00032F4C" w:rsidTr="00032F4C">
        <w:trPr>
          <w:trHeight w:val="620"/>
          <w:jc w:val="center"/>
        </w:trPr>
        <w:tc>
          <w:tcPr>
            <w:tcW w:w="3860" w:type="dxa"/>
            <w:hideMark/>
          </w:tcPr>
          <w:p w:rsidR="00032F4C" w:rsidRPr="003E783D" w:rsidRDefault="00032F4C" w:rsidP="00427015">
            <w:pPr>
              <w:spacing w:line="240" w:lineRule="auto"/>
              <w:jc w:val="left"/>
              <w:rPr>
                <w:rFonts w:eastAsia="Times New Roman" w:cs="Times New Roman"/>
                <w:color w:val="000000"/>
                <w:sz w:val="24"/>
                <w:szCs w:val="24"/>
                <w:lang w:val="en-US"/>
              </w:rPr>
            </w:pPr>
            <w:r w:rsidRPr="003E783D">
              <w:rPr>
                <w:rFonts w:eastAsia="Times New Roman" w:cs="Times New Roman"/>
                <w:color w:val="000000"/>
                <w:sz w:val="24"/>
                <w:szCs w:val="24"/>
                <w:lang w:val="en-US"/>
              </w:rPr>
              <w:t> </w:t>
            </w:r>
            <w:r w:rsidRPr="00032F4C">
              <w:rPr>
                <w:rFonts w:eastAsia="Times New Roman" w:cs="Times New Roman"/>
                <w:color w:val="000000"/>
                <w:sz w:val="24"/>
                <w:szCs w:val="24"/>
                <w:lang w:val="en-US"/>
              </w:rPr>
              <w:t>Years</w:t>
            </w:r>
          </w:p>
        </w:tc>
        <w:tc>
          <w:tcPr>
            <w:tcW w:w="1100" w:type="dxa"/>
            <w:noWrap/>
            <w:hideMark/>
          </w:tcPr>
          <w:p w:rsidR="00032F4C" w:rsidRPr="003E783D" w:rsidRDefault="00032F4C" w:rsidP="00427015">
            <w:pPr>
              <w:spacing w:line="240" w:lineRule="auto"/>
              <w:jc w:val="right"/>
              <w:rPr>
                <w:rFonts w:eastAsia="Times New Roman" w:cs="Times New Roman"/>
                <w:color w:val="000000"/>
                <w:sz w:val="24"/>
                <w:szCs w:val="24"/>
                <w:lang w:val="en-US"/>
              </w:rPr>
            </w:pPr>
            <w:r w:rsidRPr="003E783D">
              <w:rPr>
                <w:rFonts w:eastAsia="Times New Roman" w:cs="Times New Roman"/>
                <w:color w:val="000000"/>
                <w:sz w:val="24"/>
                <w:szCs w:val="24"/>
                <w:lang w:val="en-US"/>
              </w:rPr>
              <w:t>2012</w:t>
            </w:r>
          </w:p>
        </w:tc>
        <w:tc>
          <w:tcPr>
            <w:tcW w:w="940" w:type="dxa"/>
            <w:noWrap/>
            <w:hideMark/>
          </w:tcPr>
          <w:p w:rsidR="00032F4C" w:rsidRPr="003E783D" w:rsidRDefault="00032F4C" w:rsidP="00427015">
            <w:pPr>
              <w:spacing w:line="240" w:lineRule="auto"/>
              <w:jc w:val="right"/>
              <w:rPr>
                <w:rFonts w:eastAsia="Times New Roman" w:cs="Times New Roman"/>
                <w:color w:val="000000"/>
                <w:sz w:val="24"/>
                <w:szCs w:val="24"/>
                <w:lang w:val="en-US"/>
              </w:rPr>
            </w:pPr>
            <w:r w:rsidRPr="003E783D">
              <w:rPr>
                <w:rFonts w:eastAsia="Times New Roman" w:cs="Times New Roman"/>
                <w:color w:val="000000"/>
                <w:sz w:val="24"/>
                <w:szCs w:val="24"/>
                <w:lang w:val="en-US"/>
              </w:rPr>
              <w:t>2013</w:t>
            </w:r>
          </w:p>
        </w:tc>
        <w:tc>
          <w:tcPr>
            <w:tcW w:w="1140" w:type="dxa"/>
            <w:noWrap/>
            <w:hideMark/>
          </w:tcPr>
          <w:p w:rsidR="00032F4C" w:rsidRPr="003E783D" w:rsidRDefault="00032F4C" w:rsidP="00427015">
            <w:pPr>
              <w:spacing w:line="240" w:lineRule="auto"/>
              <w:jc w:val="right"/>
              <w:rPr>
                <w:rFonts w:eastAsia="Times New Roman" w:cs="Times New Roman"/>
                <w:color w:val="000000"/>
                <w:sz w:val="24"/>
                <w:szCs w:val="24"/>
                <w:lang w:val="en-US"/>
              </w:rPr>
            </w:pPr>
            <w:r w:rsidRPr="003E783D">
              <w:rPr>
                <w:rFonts w:eastAsia="Times New Roman" w:cs="Times New Roman"/>
                <w:color w:val="000000"/>
                <w:sz w:val="24"/>
                <w:szCs w:val="24"/>
                <w:lang w:val="en-US"/>
              </w:rPr>
              <w:t>2014</w:t>
            </w:r>
          </w:p>
        </w:tc>
        <w:tc>
          <w:tcPr>
            <w:tcW w:w="960" w:type="dxa"/>
            <w:noWrap/>
            <w:hideMark/>
          </w:tcPr>
          <w:p w:rsidR="00032F4C" w:rsidRPr="003E783D" w:rsidRDefault="00032F4C" w:rsidP="00427015">
            <w:pPr>
              <w:spacing w:line="240" w:lineRule="auto"/>
              <w:jc w:val="right"/>
              <w:rPr>
                <w:rFonts w:eastAsia="Times New Roman" w:cs="Times New Roman"/>
                <w:color w:val="000000"/>
                <w:sz w:val="24"/>
                <w:szCs w:val="24"/>
                <w:lang w:val="en-US"/>
              </w:rPr>
            </w:pPr>
            <w:r w:rsidRPr="003E783D">
              <w:rPr>
                <w:rFonts w:eastAsia="Times New Roman" w:cs="Times New Roman"/>
                <w:color w:val="000000"/>
                <w:sz w:val="24"/>
                <w:szCs w:val="24"/>
                <w:lang w:val="en-US"/>
              </w:rPr>
              <w:t>2015</w:t>
            </w:r>
          </w:p>
        </w:tc>
        <w:tc>
          <w:tcPr>
            <w:tcW w:w="940" w:type="dxa"/>
            <w:noWrap/>
            <w:hideMark/>
          </w:tcPr>
          <w:p w:rsidR="00032F4C" w:rsidRPr="00032F4C" w:rsidRDefault="00032F4C" w:rsidP="00427015">
            <w:pPr>
              <w:spacing w:line="240" w:lineRule="auto"/>
              <w:jc w:val="right"/>
              <w:rPr>
                <w:rFonts w:eastAsia="Times New Roman" w:cs="Times New Roman"/>
                <w:color w:val="000000"/>
                <w:sz w:val="24"/>
                <w:szCs w:val="24"/>
                <w:lang w:val="en-US"/>
              </w:rPr>
            </w:pPr>
            <w:r w:rsidRPr="00032F4C">
              <w:rPr>
                <w:rFonts w:eastAsia="Times New Roman" w:cs="Times New Roman"/>
                <w:color w:val="000000"/>
                <w:sz w:val="24"/>
                <w:szCs w:val="24"/>
                <w:lang w:val="en-US"/>
              </w:rPr>
              <w:t>2016</w:t>
            </w:r>
          </w:p>
        </w:tc>
      </w:tr>
      <w:tr w:rsidR="00032F4C" w:rsidRPr="00032F4C" w:rsidTr="00032F4C">
        <w:trPr>
          <w:trHeight w:val="1290"/>
          <w:jc w:val="center"/>
        </w:trPr>
        <w:tc>
          <w:tcPr>
            <w:tcW w:w="3860" w:type="dxa"/>
            <w:hideMark/>
          </w:tcPr>
          <w:p w:rsidR="00032F4C" w:rsidRPr="00032F4C" w:rsidRDefault="00032F4C" w:rsidP="00032F4C">
            <w:pPr>
              <w:spacing w:line="240" w:lineRule="auto"/>
              <w:jc w:val="left"/>
              <w:rPr>
                <w:rFonts w:eastAsia="Times New Roman" w:cs="Times New Roman"/>
                <w:color w:val="000000"/>
                <w:sz w:val="24"/>
                <w:szCs w:val="24"/>
                <w:lang w:val="en-US"/>
              </w:rPr>
            </w:pPr>
            <w:r w:rsidRPr="00032F4C">
              <w:rPr>
                <w:rFonts w:eastAsia="Times New Roman" w:cs="Times New Roman"/>
                <w:color w:val="000000"/>
                <w:sz w:val="24"/>
                <w:szCs w:val="24"/>
                <w:lang w:val="en-US"/>
              </w:rPr>
              <w:t>Gearing Ratio(long term liabilities/capital employed),capital employed=Share capital + retained earnings + long-term liabilities</w:t>
            </w:r>
          </w:p>
        </w:tc>
        <w:tc>
          <w:tcPr>
            <w:tcW w:w="1100" w:type="dxa"/>
            <w:noWrap/>
            <w:hideMark/>
          </w:tcPr>
          <w:p w:rsidR="00032F4C" w:rsidRPr="00032F4C" w:rsidRDefault="00032F4C" w:rsidP="00032F4C">
            <w:pPr>
              <w:spacing w:line="240" w:lineRule="auto"/>
              <w:jc w:val="right"/>
              <w:rPr>
                <w:rFonts w:eastAsia="Times New Roman" w:cs="Times New Roman"/>
                <w:color w:val="000000"/>
                <w:sz w:val="24"/>
                <w:szCs w:val="24"/>
                <w:lang w:val="en-US"/>
              </w:rPr>
            </w:pPr>
            <w:r w:rsidRPr="00032F4C">
              <w:rPr>
                <w:rFonts w:eastAsia="Times New Roman" w:cs="Times New Roman"/>
                <w:color w:val="000000"/>
                <w:sz w:val="24"/>
                <w:szCs w:val="24"/>
                <w:lang w:val="en-US"/>
              </w:rPr>
              <w:t>78%</w:t>
            </w:r>
          </w:p>
        </w:tc>
        <w:tc>
          <w:tcPr>
            <w:tcW w:w="940" w:type="dxa"/>
            <w:noWrap/>
            <w:hideMark/>
          </w:tcPr>
          <w:p w:rsidR="00032F4C" w:rsidRPr="00032F4C" w:rsidRDefault="00032F4C" w:rsidP="00032F4C">
            <w:pPr>
              <w:spacing w:line="240" w:lineRule="auto"/>
              <w:jc w:val="right"/>
              <w:rPr>
                <w:rFonts w:eastAsia="Times New Roman" w:cs="Times New Roman"/>
                <w:color w:val="000000"/>
                <w:sz w:val="24"/>
                <w:szCs w:val="24"/>
                <w:lang w:val="en-US"/>
              </w:rPr>
            </w:pPr>
            <w:r w:rsidRPr="00032F4C">
              <w:rPr>
                <w:rFonts w:eastAsia="Times New Roman" w:cs="Times New Roman"/>
                <w:color w:val="000000"/>
                <w:sz w:val="24"/>
                <w:szCs w:val="24"/>
                <w:lang w:val="en-US"/>
              </w:rPr>
              <w:t>75%</w:t>
            </w:r>
          </w:p>
        </w:tc>
        <w:tc>
          <w:tcPr>
            <w:tcW w:w="1140" w:type="dxa"/>
            <w:noWrap/>
            <w:hideMark/>
          </w:tcPr>
          <w:p w:rsidR="00032F4C" w:rsidRPr="00032F4C" w:rsidRDefault="00032F4C" w:rsidP="00032F4C">
            <w:pPr>
              <w:spacing w:line="240" w:lineRule="auto"/>
              <w:jc w:val="right"/>
              <w:rPr>
                <w:rFonts w:eastAsia="Times New Roman" w:cs="Times New Roman"/>
                <w:color w:val="000000"/>
                <w:sz w:val="24"/>
                <w:szCs w:val="24"/>
                <w:lang w:val="en-US"/>
              </w:rPr>
            </w:pPr>
            <w:r w:rsidRPr="00032F4C">
              <w:rPr>
                <w:rFonts w:eastAsia="Times New Roman" w:cs="Times New Roman"/>
                <w:color w:val="000000"/>
                <w:sz w:val="24"/>
                <w:szCs w:val="24"/>
                <w:lang w:val="en-US"/>
              </w:rPr>
              <w:t>85%</w:t>
            </w:r>
          </w:p>
        </w:tc>
        <w:tc>
          <w:tcPr>
            <w:tcW w:w="960" w:type="dxa"/>
            <w:noWrap/>
            <w:hideMark/>
          </w:tcPr>
          <w:p w:rsidR="00032F4C" w:rsidRPr="00032F4C" w:rsidRDefault="00032F4C" w:rsidP="00032F4C">
            <w:pPr>
              <w:spacing w:line="240" w:lineRule="auto"/>
              <w:jc w:val="right"/>
              <w:rPr>
                <w:rFonts w:eastAsia="Times New Roman" w:cs="Times New Roman"/>
                <w:color w:val="000000"/>
                <w:sz w:val="24"/>
                <w:szCs w:val="24"/>
                <w:lang w:val="en-US"/>
              </w:rPr>
            </w:pPr>
            <w:r w:rsidRPr="00032F4C">
              <w:rPr>
                <w:rFonts w:eastAsia="Times New Roman" w:cs="Times New Roman"/>
                <w:color w:val="000000"/>
                <w:sz w:val="24"/>
                <w:szCs w:val="24"/>
                <w:lang w:val="en-US"/>
              </w:rPr>
              <w:t>76%</w:t>
            </w:r>
          </w:p>
        </w:tc>
        <w:tc>
          <w:tcPr>
            <w:tcW w:w="940" w:type="dxa"/>
            <w:noWrap/>
            <w:hideMark/>
          </w:tcPr>
          <w:p w:rsidR="00032F4C" w:rsidRPr="00032F4C" w:rsidRDefault="00032F4C" w:rsidP="00032F4C">
            <w:pPr>
              <w:spacing w:line="240" w:lineRule="auto"/>
              <w:jc w:val="right"/>
              <w:rPr>
                <w:rFonts w:eastAsia="Times New Roman" w:cs="Times New Roman"/>
                <w:color w:val="000000"/>
                <w:sz w:val="24"/>
                <w:szCs w:val="24"/>
                <w:lang w:val="en-US"/>
              </w:rPr>
            </w:pPr>
            <w:r w:rsidRPr="00032F4C">
              <w:rPr>
                <w:rFonts w:eastAsia="Times New Roman" w:cs="Times New Roman"/>
                <w:color w:val="000000"/>
                <w:sz w:val="24"/>
                <w:szCs w:val="24"/>
                <w:lang w:val="en-US"/>
              </w:rPr>
              <w:t>94%</w:t>
            </w:r>
          </w:p>
        </w:tc>
      </w:tr>
    </w:tbl>
    <w:p w:rsidR="00032F4C" w:rsidRDefault="00032F4C" w:rsidP="00CD5A47"/>
    <w:p w:rsidR="00032F4C" w:rsidRPr="00B54AED" w:rsidRDefault="00032F4C" w:rsidP="00CD5A47">
      <w:r>
        <w:t xml:space="preserve">The </w:t>
      </w:r>
      <w:r w:rsidR="000469B6">
        <w:t xml:space="preserve">gearing ratio of the organization was more or less stable </w:t>
      </w:r>
      <w:r w:rsidR="00F32133">
        <w:t>around 75</w:t>
      </w:r>
      <w:r w:rsidR="000469B6">
        <w:t xml:space="preserve">%-80% </w:t>
      </w:r>
      <w:r w:rsidR="00F32133">
        <w:t xml:space="preserve">during 2012-2015 and has registered a sudden increase in the ratio to 94% in 2016.The underlying reason can be described as the </w:t>
      </w:r>
      <w:r w:rsidR="00170DF5">
        <w:t xml:space="preserve">organization has increased </w:t>
      </w:r>
      <w:r w:rsidR="00BF7F80">
        <w:t>its dependen</w:t>
      </w:r>
      <w:r w:rsidR="00170DF5">
        <w:t xml:space="preserve">cy over long term borrowing for </w:t>
      </w:r>
      <w:r w:rsidR="00BF7F80">
        <w:t>financing</w:t>
      </w:r>
      <w:r w:rsidR="00170DF5">
        <w:t xml:space="preserve"> the cost of expansion of the </w:t>
      </w:r>
      <w:r w:rsidR="00BF7F80">
        <w:t>segments</w:t>
      </w:r>
      <w:r w:rsidR="00170DF5">
        <w:t xml:space="preserve"> of vaccine production and the consumer health care </w:t>
      </w:r>
      <w:proofErr w:type="gramStart"/>
      <w:r w:rsidR="00BF7F80">
        <w:t>products</w:t>
      </w:r>
      <w:r w:rsidR="00116C0C">
        <w:t>(</w:t>
      </w:r>
      <w:proofErr w:type="gramEnd"/>
      <w:r w:rsidR="00116C0C" w:rsidRPr="0064519B">
        <w:rPr>
          <w:rFonts w:cs="Times New Roman"/>
          <w:szCs w:val="24"/>
        </w:rPr>
        <w:t>Fl</w:t>
      </w:r>
      <w:r w:rsidR="00116C0C">
        <w:rPr>
          <w:rFonts w:cs="Times New Roman"/>
          <w:szCs w:val="24"/>
        </w:rPr>
        <w:t xml:space="preserve">annery and Hankins, </w:t>
      </w:r>
      <w:r w:rsidR="00116C0C" w:rsidRPr="0064519B">
        <w:rPr>
          <w:rFonts w:cs="Times New Roman"/>
          <w:szCs w:val="24"/>
        </w:rPr>
        <w:t>2013</w:t>
      </w:r>
      <w:r w:rsidR="00116C0C">
        <w:t>)</w:t>
      </w:r>
      <w:r w:rsidR="00BF7F80">
        <w:t>.</w:t>
      </w:r>
    </w:p>
    <w:p w:rsidR="00885809" w:rsidRDefault="00885809" w:rsidP="00555D61">
      <w:pPr>
        <w:pStyle w:val="Heading2"/>
      </w:pPr>
      <w:bookmarkStart w:id="10" w:name="_Toc502329664"/>
      <w:r>
        <w:t>Performance comparison between G</w:t>
      </w:r>
      <w:r w:rsidRPr="00B77E0B">
        <w:t>lax</w:t>
      </w:r>
      <w:r>
        <w:t>o</w:t>
      </w:r>
      <w:r w:rsidRPr="00B77E0B">
        <w:t xml:space="preserve"> SmithKline</w:t>
      </w:r>
      <w:r>
        <w:t xml:space="preserve"> &amp; </w:t>
      </w:r>
      <w:r w:rsidRPr="00885809">
        <w:t>Pfizer</w:t>
      </w:r>
      <w:r w:rsidR="00555D61">
        <w:t xml:space="preserve"> through ratio analysis</w:t>
      </w:r>
      <w:r w:rsidR="001E7DF9">
        <w:t>:</w:t>
      </w:r>
      <w:bookmarkEnd w:id="10"/>
    </w:p>
    <w:p w:rsidR="00D45A7A" w:rsidRPr="00D45A7A" w:rsidRDefault="00D45A7A" w:rsidP="00D45A7A">
      <w:r w:rsidRPr="00885809">
        <w:t>Pfizer</w:t>
      </w:r>
      <w:r>
        <w:t xml:space="preserve"> is pharmaceutical company originally based out of US but in UK they have strong base and working kin 5 locations(Cambridge, Walton Oaks, </w:t>
      </w:r>
      <w:r w:rsidR="008D695E">
        <w:t>Sandwich, Hurley, Havant</w:t>
      </w:r>
      <w:r>
        <w:t>) and with 2500 employees</w:t>
      </w:r>
      <w:r w:rsidR="008D695E">
        <w:t xml:space="preserve"> and is a strong competitor of GSK. The commercial head quarter of </w:t>
      </w:r>
      <w:r w:rsidR="008D695E" w:rsidRPr="008D695E">
        <w:t>Pfizer's UK</w:t>
      </w:r>
      <w:r w:rsidR="008D695E">
        <w:t xml:space="preserve"> is at </w:t>
      </w:r>
      <w:r w:rsidR="008D695E" w:rsidRPr="008D695E">
        <w:t>Walton Oaks in Surrey</w:t>
      </w:r>
      <w:r w:rsidR="00116C0C" w:rsidRPr="00116C0C">
        <w:t xml:space="preserve"> (Pfizer: the world's largest research-based pharmaceutical company, 2017)</w:t>
      </w:r>
      <w:r w:rsidR="00EC0E67">
        <w:t>.</w:t>
      </w:r>
    </w:p>
    <w:p w:rsidR="0035269A" w:rsidRDefault="0035269A" w:rsidP="0035269A">
      <w:pPr>
        <w:pStyle w:val="Heading3"/>
      </w:pPr>
      <w:r>
        <w:lastRenderedPageBreak/>
        <w:t xml:space="preserve"> </w:t>
      </w:r>
      <w:bookmarkStart w:id="11" w:name="_Toc502329665"/>
      <w:r>
        <w:t>Comparison with respect to Gross Profit margin:</w:t>
      </w:r>
      <w:bookmarkEnd w:id="11"/>
    </w:p>
    <w:tbl>
      <w:tblPr>
        <w:tblStyle w:val="LightList-Accent3"/>
        <w:tblW w:w="6480" w:type="dxa"/>
        <w:jc w:val="center"/>
        <w:tblLook w:val="04A0"/>
      </w:tblPr>
      <w:tblGrid>
        <w:gridCol w:w="2104"/>
        <w:gridCol w:w="876"/>
        <w:gridCol w:w="875"/>
        <w:gridCol w:w="875"/>
        <w:gridCol w:w="875"/>
        <w:gridCol w:w="875"/>
      </w:tblGrid>
      <w:tr w:rsidR="000E1886" w:rsidRPr="000E1886" w:rsidTr="00815F0D">
        <w:trPr>
          <w:cnfStyle w:val="100000000000"/>
          <w:trHeight w:val="300"/>
          <w:jc w:val="center"/>
        </w:trPr>
        <w:tc>
          <w:tcPr>
            <w:cnfStyle w:val="001000000000"/>
            <w:tcW w:w="6480" w:type="dxa"/>
            <w:gridSpan w:val="6"/>
            <w:noWrap/>
            <w:hideMark/>
          </w:tcPr>
          <w:p w:rsidR="000E1886" w:rsidRPr="000E1886" w:rsidRDefault="000E1886" w:rsidP="000E1886">
            <w:pPr>
              <w:spacing w:line="240" w:lineRule="auto"/>
              <w:jc w:val="center"/>
              <w:rPr>
                <w:rFonts w:eastAsia="Times New Roman" w:cs="Times New Roman"/>
                <w:color w:val="000000"/>
                <w:sz w:val="24"/>
                <w:lang w:val="en-US"/>
              </w:rPr>
            </w:pPr>
            <w:r w:rsidRPr="000E1886">
              <w:rPr>
                <w:rFonts w:eastAsia="Times New Roman" w:cs="Times New Roman"/>
                <w:color w:val="000000"/>
                <w:sz w:val="24"/>
                <w:lang w:val="en-US"/>
              </w:rPr>
              <w:t>Gross profit margin</w:t>
            </w:r>
          </w:p>
        </w:tc>
      </w:tr>
      <w:tr w:rsidR="000E1886" w:rsidRPr="000E1886" w:rsidTr="00815F0D">
        <w:trPr>
          <w:cnfStyle w:val="000000100000"/>
          <w:trHeight w:val="300"/>
          <w:jc w:val="center"/>
        </w:trPr>
        <w:tc>
          <w:tcPr>
            <w:cnfStyle w:val="001000000000"/>
            <w:tcW w:w="2104" w:type="dxa"/>
            <w:shd w:val="clear" w:color="auto" w:fill="F2DBDB" w:themeFill="accent2" w:themeFillTint="33"/>
            <w:noWrap/>
            <w:hideMark/>
          </w:tcPr>
          <w:p w:rsidR="000E1886" w:rsidRPr="000E1886" w:rsidRDefault="000E1886" w:rsidP="000E1886">
            <w:pPr>
              <w:spacing w:line="240" w:lineRule="auto"/>
              <w:jc w:val="left"/>
              <w:rPr>
                <w:rFonts w:eastAsia="Times New Roman" w:cs="Times New Roman"/>
                <w:color w:val="000000"/>
                <w:sz w:val="24"/>
                <w:lang w:val="en-US"/>
              </w:rPr>
            </w:pPr>
            <w:r w:rsidRPr="000E1886">
              <w:rPr>
                <w:rFonts w:eastAsia="Times New Roman" w:cs="Times New Roman"/>
                <w:color w:val="000000"/>
                <w:sz w:val="24"/>
                <w:lang w:val="en-US"/>
              </w:rPr>
              <w:t> </w:t>
            </w:r>
          </w:p>
        </w:tc>
        <w:tc>
          <w:tcPr>
            <w:tcW w:w="876" w:type="dxa"/>
            <w:shd w:val="clear" w:color="auto" w:fill="F2DBDB" w:themeFill="accent2" w:themeFillTint="33"/>
            <w:noWrap/>
            <w:hideMark/>
          </w:tcPr>
          <w:p w:rsidR="000E1886" w:rsidRPr="000E1886" w:rsidRDefault="000E1886" w:rsidP="000E1886">
            <w:pPr>
              <w:spacing w:line="240" w:lineRule="auto"/>
              <w:jc w:val="right"/>
              <w:cnfStyle w:val="000000100000"/>
              <w:rPr>
                <w:rFonts w:eastAsia="Times New Roman" w:cs="Times New Roman"/>
                <w:color w:val="000000"/>
                <w:sz w:val="24"/>
                <w:lang w:val="en-US"/>
              </w:rPr>
            </w:pPr>
            <w:r w:rsidRPr="000E1886">
              <w:rPr>
                <w:rFonts w:eastAsia="Times New Roman" w:cs="Times New Roman"/>
                <w:color w:val="000000"/>
                <w:sz w:val="24"/>
                <w:lang w:val="en-US"/>
              </w:rPr>
              <w:t>2012</w:t>
            </w:r>
          </w:p>
        </w:tc>
        <w:tc>
          <w:tcPr>
            <w:tcW w:w="875" w:type="dxa"/>
            <w:shd w:val="clear" w:color="auto" w:fill="F2DBDB" w:themeFill="accent2" w:themeFillTint="33"/>
            <w:noWrap/>
            <w:hideMark/>
          </w:tcPr>
          <w:p w:rsidR="000E1886" w:rsidRPr="000E1886" w:rsidRDefault="000E1886" w:rsidP="000E1886">
            <w:pPr>
              <w:spacing w:line="240" w:lineRule="auto"/>
              <w:jc w:val="right"/>
              <w:cnfStyle w:val="000000100000"/>
              <w:rPr>
                <w:rFonts w:eastAsia="Times New Roman" w:cs="Times New Roman"/>
                <w:color w:val="000000"/>
                <w:sz w:val="24"/>
                <w:lang w:val="en-US"/>
              </w:rPr>
            </w:pPr>
            <w:r w:rsidRPr="000E1886">
              <w:rPr>
                <w:rFonts w:eastAsia="Times New Roman" w:cs="Times New Roman"/>
                <w:color w:val="000000"/>
                <w:sz w:val="24"/>
                <w:lang w:val="en-US"/>
              </w:rPr>
              <w:t>2013</w:t>
            </w:r>
          </w:p>
        </w:tc>
        <w:tc>
          <w:tcPr>
            <w:tcW w:w="875" w:type="dxa"/>
            <w:shd w:val="clear" w:color="auto" w:fill="F2DBDB" w:themeFill="accent2" w:themeFillTint="33"/>
            <w:noWrap/>
            <w:hideMark/>
          </w:tcPr>
          <w:p w:rsidR="000E1886" w:rsidRPr="000E1886" w:rsidRDefault="000E1886" w:rsidP="000E1886">
            <w:pPr>
              <w:spacing w:line="240" w:lineRule="auto"/>
              <w:jc w:val="right"/>
              <w:cnfStyle w:val="000000100000"/>
              <w:rPr>
                <w:rFonts w:eastAsia="Times New Roman" w:cs="Times New Roman"/>
                <w:color w:val="000000"/>
                <w:sz w:val="24"/>
                <w:lang w:val="en-US"/>
              </w:rPr>
            </w:pPr>
            <w:r w:rsidRPr="000E1886">
              <w:rPr>
                <w:rFonts w:eastAsia="Times New Roman" w:cs="Times New Roman"/>
                <w:color w:val="000000"/>
                <w:sz w:val="24"/>
                <w:lang w:val="en-US"/>
              </w:rPr>
              <w:t>2014</w:t>
            </w:r>
          </w:p>
        </w:tc>
        <w:tc>
          <w:tcPr>
            <w:tcW w:w="875" w:type="dxa"/>
            <w:shd w:val="clear" w:color="auto" w:fill="F2DBDB" w:themeFill="accent2" w:themeFillTint="33"/>
            <w:noWrap/>
            <w:hideMark/>
          </w:tcPr>
          <w:p w:rsidR="000E1886" w:rsidRPr="000E1886" w:rsidRDefault="000E1886" w:rsidP="000E1886">
            <w:pPr>
              <w:spacing w:line="240" w:lineRule="auto"/>
              <w:jc w:val="right"/>
              <w:cnfStyle w:val="000000100000"/>
              <w:rPr>
                <w:rFonts w:eastAsia="Times New Roman" w:cs="Times New Roman"/>
                <w:color w:val="000000"/>
                <w:sz w:val="24"/>
                <w:lang w:val="en-US"/>
              </w:rPr>
            </w:pPr>
            <w:r w:rsidRPr="000E1886">
              <w:rPr>
                <w:rFonts w:eastAsia="Times New Roman" w:cs="Times New Roman"/>
                <w:color w:val="000000"/>
                <w:sz w:val="24"/>
                <w:lang w:val="en-US"/>
              </w:rPr>
              <w:t>2015</w:t>
            </w:r>
          </w:p>
        </w:tc>
        <w:tc>
          <w:tcPr>
            <w:tcW w:w="875" w:type="dxa"/>
            <w:shd w:val="clear" w:color="auto" w:fill="F2DBDB" w:themeFill="accent2" w:themeFillTint="33"/>
            <w:noWrap/>
            <w:hideMark/>
          </w:tcPr>
          <w:p w:rsidR="000E1886" w:rsidRPr="000E1886" w:rsidRDefault="000E1886" w:rsidP="000E1886">
            <w:pPr>
              <w:spacing w:line="240" w:lineRule="auto"/>
              <w:jc w:val="right"/>
              <w:cnfStyle w:val="000000100000"/>
              <w:rPr>
                <w:rFonts w:eastAsia="Times New Roman" w:cs="Times New Roman"/>
                <w:color w:val="000000"/>
                <w:sz w:val="24"/>
                <w:lang w:val="en-US"/>
              </w:rPr>
            </w:pPr>
            <w:r w:rsidRPr="000E1886">
              <w:rPr>
                <w:rFonts w:eastAsia="Times New Roman" w:cs="Times New Roman"/>
                <w:color w:val="000000"/>
                <w:sz w:val="24"/>
                <w:lang w:val="en-US"/>
              </w:rPr>
              <w:t>2016</w:t>
            </w:r>
          </w:p>
        </w:tc>
      </w:tr>
      <w:tr w:rsidR="000E1886" w:rsidRPr="000E1886" w:rsidTr="00815F0D">
        <w:trPr>
          <w:trHeight w:val="870"/>
          <w:jc w:val="center"/>
        </w:trPr>
        <w:tc>
          <w:tcPr>
            <w:cnfStyle w:val="001000000000"/>
            <w:tcW w:w="2104" w:type="dxa"/>
            <w:shd w:val="clear" w:color="auto" w:fill="F2DBDB" w:themeFill="accent2" w:themeFillTint="33"/>
            <w:hideMark/>
          </w:tcPr>
          <w:p w:rsidR="000E1886" w:rsidRPr="000E1886" w:rsidRDefault="000E1886" w:rsidP="000E1886">
            <w:pPr>
              <w:spacing w:line="240" w:lineRule="auto"/>
              <w:jc w:val="left"/>
              <w:rPr>
                <w:rFonts w:eastAsia="Times New Roman" w:cs="Times New Roman"/>
                <w:color w:val="000000"/>
                <w:sz w:val="24"/>
                <w:lang w:val="en-US"/>
              </w:rPr>
            </w:pPr>
            <w:r w:rsidRPr="000E1886">
              <w:rPr>
                <w:rFonts w:eastAsia="Times New Roman" w:cs="Times New Roman"/>
                <w:color w:val="000000"/>
                <w:sz w:val="24"/>
                <w:lang w:val="en-US"/>
              </w:rPr>
              <w:t>GSK</w:t>
            </w:r>
          </w:p>
        </w:tc>
        <w:tc>
          <w:tcPr>
            <w:tcW w:w="876" w:type="dxa"/>
            <w:shd w:val="clear" w:color="auto" w:fill="F2DBDB" w:themeFill="accent2" w:themeFillTint="33"/>
            <w:noWrap/>
            <w:hideMark/>
          </w:tcPr>
          <w:p w:rsidR="000E1886" w:rsidRPr="000E1886" w:rsidRDefault="000E1886" w:rsidP="000E1886">
            <w:pPr>
              <w:spacing w:line="240" w:lineRule="auto"/>
              <w:jc w:val="right"/>
              <w:cnfStyle w:val="000000000000"/>
              <w:rPr>
                <w:rFonts w:eastAsia="Times New Roman" w:cs="Times New Roman"/>
                <w:color w:val="000000"/>
                <w:sz w:val="24"/>
                <w:lang w:val="en-US"/>
              </w:rPr>
            </w:pPr>
            <w:r w:rsidRPr="000E1886">
              <w:rPr>
                <w:rFonts w:eastAsia="Times New Roman" w:cs="Times New Roman"/>
                <w:color w:val="000000"/>
                <w:sz w:val="24"/>
                <w:lang w:val="en-US"/>
              </w:rPr>
              <w:t>70%</w:t>
            </w:r>
          </w:p>
        </w:tc>
        <w:tc>
          <w:tcPr>
            <w:tcW w:w="875" w:type="dxa"/>
            <w:shd w:val="clear" w:color="auto" w:fill="F2DBDB" w:themeFill="accent2" w:themeFillTint="33"/>
            <w:noWrap/>
            <w:hideMark/>
          </w:tcPr>
          <w:p w:rsidR="000E1886" w:rsidRPr="000E1886" w:rsidRDefault="000E1886" w:rsidP="000E1886">
            <w:pPr>
              <w:spacing w:line="240" w:lineRule="auto"/>
              <w:jc w:val="right"/>
              <w:cnfStyle w:val="000000000000"/>
              <w:rPr>
                <w:rFonts w:eastAsia="Times New Roman" w:cs="Times New Roman"/>
                <w:color w:val="000000"/>
                <w:sz w:val="24"/>
                <w:lang w:val="en-US"/>
              </w:rPr>
            </w:pPr>
            <w:r w:rsidRPr="000E1886">
              <w:rPr>
                <w:rFonts w:eastAsia="Times New Roman" w:cs="Times New Roman"/>
                <w:color w:val="000000"/>
                <w:sz w:val="24"/>
                <w:lang w:val="en-US"/>
              </w:rPr>
              <w:t>68%</w:t>
            </w:r>
          </w:p>
        </w:tc>
        <w:tc>
          <w:tcPr>
            <w:tcW w:w="875" w:type="dxa"/>
            <w:shd w:val="clear" w:color="auto" w:fill="F2DBDB" w:themeFill="accent2" w:themeFillTint="33"/>
            <w:noWrap/>
            <w:hideMark/>
          </w:tcPr>
          <w:p w:rsidR="000E1886" w:rsidRPr="000E1886" w:rsidRDefault="000E1886" w:rsidP="000E1886">
            <w:pPr>
              <w:spacing w:line="240" w:lineRule="auto"/>
              <w:jc w:val="right"/>
              <w:cnfStyle w:val="000000000000"/>
              <w:rPr>
                <w:rFonts w:eastAsia="Times New Roman" w:cs="Times New Roman"/>
                <w:color w:val="000000"/>
                <w:sz w:val="24"/>
                <w:lang w:val="en-US"/>
              </w:rPr>
            </w:pPr>
            <w:r w:rsidRPr="000E1886">
              <w:rPr>
                <w:rFonts w:eastAsia="Times New Roman" w:cs="Times New Roman"/>
                <w:color w:val="000000"/>
                <w:sz w:val="24"/>
                <w:lang w:val="en-US"/>
              </w:rPr>
              <w:t>68%</w:t>
            </w:r>
          </w:p>
        </w:tc>
        <w:tc>
          <w:tcPr>
            <w:tcW w:w="875" w:type="dxa"/>
            <w:shd w:val="clear" w:color="auto" w:fill="F2DBDB" w:themeFill="accent2" w:themeFillTint="33"/>
            <w:noWrap/>
            <w:hideMark/>
          </w:tcPr>
          <w:p w:rsidR="000E1886" w:rsidRPr="000E1886" w:rsidRDefault="000E1886" w:rsidP="000E1886">
            <w:pPr>
              <w:spacing w:line="240" w:lineRule="auto"/>
              <w:jc w:val="right"/>
              <w:cnfStyle w:val="000000000000"/>
              <w:rPr>
                <w:rFonts w:eastAsia="Times New Roman" w:cs="Times New Roman"/>
                <w:color w:val="000000"/>
                <w:sz w:val="24"/>
                <w:lang w:val="en-US"/>
              </w:rPr>
            </w:pPr>
            <w:r w:rsidRPr="000E1886">
              <w:rPr>
                <w:rFonts w:eastAsia="Times New Roman" w:cs="Times New Roman"/>
                <w:color w:val="000000"/>
                <w:sz w:val="24"/>
                <w:lang w:val="en-US"/>
              </w:rPr>
              <w:t>63%</w:t>
            </w:r>
          </w:p>
        </w:tc>
        <w:tc>
          <w:tcPr>
            <w:tcW w:w="875" w:type="dxa"/>
            <w:shd w:val="clear" w:color="auto" w:fill="F2DBDB" w:themeFill="accent2" w:themeFillTint="33"/>
            <w:noWrap/>
            <w:hideMark/>
          </w:tcPr>
          <w:p w:rsidR="000E1886" w:rsidRPr="000E1886" w:rsidRDefault="000E1886" w:rsidP="000E1886">
            <w:pPr>
              <w:spacing w:line="240" w:lineRule="auto"/>
              <w:jc w:val="right"/>
              <w:cnfStyle w:val="000000000000"/>
              <w:rPr>
                <w:rFonts w:eastAsia="Times New Roman" w:cs="Times New Roman"/>
                <w:color w:val="000000"/>
                <w:sz w:val="24"/>
                <w:lang w:val="en-US"/>
              </w:rPr>
            </w:pPr>
            <w:r w:rsidRPr="000E1886">
              <w:rPr>
                <w:rFonts w:eastAsia="Times New Roman" w:cs="Times New Roman"/>
                <w:color w:val="000000"/>
                <w:sz w:val="24"/>
                <w:lang w:val="en-US"/>
              </w:rPr>
              <w:t>67%</w:t>
            </w:r>
          </w:p>
        </w:tc>
      </w:tr>
      <w:tr w:rsidR="000E1886" w:rsidRPr="000E1886" w:rsidTr="00815F0D">
        <w:trPr>
          <w:cnfStyle w:val="000000100000"/>
          <w:trHeight w:val="300"/>
          <w:jc w:val="center"/>
        </w:trPr>
        <w:tc>
          <w:tcPr>
            <w:cnfStyle w:val="001000000000"/>
            <w:tcW w:w="2104" w:type="dxa"/>
            <w:shd w:val="clear" w:color="auto" w:fill="F2DBDB" w:themeFill="accent2" w:themeFillTint="33"/>
            <w:noWrap/>
            <w:hideMark/>
          </w:tcPr>
          <w:p w:rsidR="000E1886" w:rsidRPr="000E1886" w:rsidRDefault="000E1886" w:rsidP="000E1886">
            <w:pPr>
              <w:spacing w:line="240" w:lineRule="auto"/>
              <w:jc w:val="left"/>
              <w:rPr>
                <w:rFonts w:eastAsia="Times New Roman" w:cs="Times New Roman"/>
                <w:color w:val="000000"/>
                <w:sz w:val="24"/>
                <w:lang w:val="en-US"/>
              </w:rPr>
            </w:pPr>
            <w:r w:rsidRPr="000E1886">
              <w:rPr>
                <w:rFonts w:eastAsia="Times New Roman" w:cs="Times New Roman"/>
                <w:color w:val="000000"/>
                <w:sz w:val="24"/>
                <w:lang w:val="en-US"/>
              </w:rPr>
              <w:t>Pfizer</w:t>
            </w:r>
          </w:p>
        </w:tc>
        <w:tc>
          <w:tcPr>
            <w:tcW w:w="876" w:type="dxa"/>
            <w:shd w:val="clear" w:color="auto" w:fill="F2DBDB" w:themeFill="accent2" w:themeFillTint="33"/>
            <w:noWrap/>
            <w:hideMark/>
          </w:tcPr>
          <w:p w:rsidR="000E1886" w:rsidRPr="000E1886" w:rsidRDefault="000E1886" w:rsidP="000E1886">
            <w:pPr>
              <w:spacing w:line="240" w:lineRule="auto"/>
              <w:jc w:val="right"/>
              <w:cnfStyle w:val="000000100000"/>
              <w:rPr>
                <w:rFonts w:eastAsia="Times New Roman" w:cs="Times New Roman"/>
                <w:color w:val="000000"/>
                <w:sz w:val="24"/>
                <w:lang w:val="en-US"/>
              </w:rPr>
            </w:pPr>
            <w:r w:rsidRPr="000E1886">
              <w:rPr>
                <w:rFonts w:eastAsia="Times New Roman" w:cs="Times New Roman"/>
                <w:color w:val="000000"/>
                <w:sz w:val="24"/>
                <w:lang w:val="en-US"/>
              </w:rPr>
              <w:t>82%</w:t>
            </w:r>
          </w:p>
        </w:tc>
        <w:tc>
          <w:tcPr>
            <w:tcW w:w="875" w:type="dxa"/>
            <w:shd w:val="clear" w:color="auto" w:fill="F2DBDB" w:themeFill="accent2" w:themeFillTint="33"/>
            <w:noWrap/>
            <w:hideMark/>
          </w:tcPr>
          <w:p w:rsidR="000E1886" w:rsidRPr="000E1886" w:rsidRDefault="000E1886" w:rsidP="000E1886">
            <w:pPr>
              <w:spacing w:line="240" w:lineRule="auto"/>
              <w:jc w:val="right"/>
              <w:cnfStyle w:val="000000100000"/>
              <w:rPr>
                <w:rFonts w:eastAsia="Times New Roman" w:cs="Times New Roman"/>
                <w:color w:val="000000"/>
                <w:sz w:val="24"/>
                <w:lang w:val="en-US"/>
              </w:rPr>
            </w:pPr>
            <w:r w:rsidRPr="000E1886">
              <w:rPr>
                <w:rFonts w:eastAsia="Times New Roman" w:cs="Times New Roman"/>
                <w:color w:val="000000"/>
                <w:sz w:val="24"/>
                <w:lang w:val="en-US"/>
              </w:rPr>
              <w:t>81%</w:t>
            </w:r>
          </w:p>
        </w:tc>
        <w:tc>
          <w:tcPr>
            <w:tcW w:w="875" w:type="dxa"/>
            <w:shd w:val="clear" w:color="auto" w:fill="F2DBDB" w:themeFill="accent2" w:themeFillTint="33"/>
            <w:noWrap/>
            <w:hideMark/>
          </w:tcPr>
          <w:p w:rsidR="000E1886" w:rsidRPr="000E1886" w:rsidRDefault="000E1886" w:rsidP="000E1886">
            <w:pPr>
              <w:spacing w:line="240" w:lineRule="auto"/>
              <w:jc w:val="right"/>
              <w:cnfStyle w:val="000000100000"/>
              <w:rPr>
                <w:rFonts w:eastAsia="Times New Roman" w:cs="Times New Roman"/>
                <w:color w:val="000000"/>
                <w:sz w:val="24"/>
                <w:lang w:val="en-US"/>
              </w:rPr>
            </w:pPr>
            <w:r w:rsidRPr="000E1886">
              <w:rPr>
                <w:rFonts w:eastAsia="Times New Roman" w:cs="Times New Roman"/>
                <w:color w:val="000000"/>
                <w:sz w:val="24"/>
                <w:lang w:val="en-US"/>
              </w:rPr>
              <w:t>81%</w:t>
            </w:r>
          </w:p>
        </w:tc>
        <w:tc>
          <w:tcPr>
            <w:tcW w:w="875" w:type="dxa"/>
            <w:shd w:val="clear" w:color="auto" w:fill="F2DBDB" w:themeFill="accent2" w:themeFillTint="33"/>
            <w:noWrap/>
            <w:hideMark/>
          </w:tcPr>
          <w:p w:rsidR="000E1886" w:rsidRPr="000E1886" w:rsidRDefault="000E1886" w:rsidP="000E1886">
            <w:pPr>
              <w:spacing w:line="240" w:lineRule="auto"/>
              <w:jc w:val="right"/>
              <w:cnfStyle w:val="000000100000"/>
              <w:rPr>
                <w:rFonts w:eastAsia="Times New Roman" w:cs="Times New Roman"/>
                <w:color w:val="000000"/>
                <w:sz w:val="24"/>
                <w:lang w:val="en-US"/>
              </w:rPr>
            </w:pPr>
            <w:r w:rsidRPr="000E1886">
              <w:rPr>
                <w:rFonts w:eastAsia="Times New Roman" w:cs="Times New Roman"/>
                <w:color w:val="000000"/>
                <w:sz w:val="24"/>
                <w:lang w:val="en-US"/>
              </w:rPr>
              <w:t>80%</w:t>
            </w:r>
          </w:p>
        </w:tc>
        <w:tc>
          <w:tcPr>
            <w:tcW w:w="875" w:type="dxa"/>
            <w:shd w:val="clear" w:color="auto" w:fill="F2DBDB" w:themeFill="accent2" w:themeFillTint="33"/>
            <w:noWrap/>
            <w:hideMark/>
          </w:tcPr>
          <w:p w:rsidR="000E1886" w:rsidRPr="000E1886" w:rsidRDefault="000E1886" w:rsidP="000E1886">
            <w:pPr>
              <w:spacing w:line="240" w:lineRule="auto"/>
              <w:jc w:val="right"/>
              <w:cnfStyle w:val="000000100000"/>
              <w:rPr>
                <w:rFonts w:eastAsia="Times New Roman" w:cs="Times New Roman"/>
                <w:color w:val="000000"/>
                <w:sz w:val="24"/>
                <w:lang w:val="en-US"/>
              </w:rPr>
            </w:pPr>
            <w:r w:rsidRPr="000E1886">
              <w:rPr>
                <w:rFonts w:eastAsia="Times New Roman" w:cs="Times New Roman"/>
                <w:color w:val="000000"/>
                <w:sz w:val="24"/>
                <w:lang w:val="en-US"/>
              </w:rPr>
              <w:t>77%</w:t>
            </w:r>
          </w:p>
        </w:tc>
      </w:tr>
    </w:tbl>
    <w:p w:rsidR="00815F0D" w:rsidRDefault="00815F0D" w:rsidP="000E1886"/>
    <w:p w:rsidR="00E20C17" w:rsidRDefault="00E20C17" w:rsidP="00E20C17">
      <w:pPr>
        <w:jc w:val="center"/>
      </w:pPr>
      <w:r w:rsidRPr="00E20C17">
        <w:rPr>
          <w:noProof/>
          <w:lang w:val="en-US" w:bidi="gu-IN"/>
        </w:rPr>
        <w:drawing>
          <wp:inline distT="0" distB="0" distL="0" distR="0">
            <wp:extent cx="3095624" cy="1952625"/>
            <wp:effectExtent l="19050" t="0" r="9526"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0E1886" w:rsidRDefault="00C47AAC" w:rsidP="000E1886">
      <w:r>
        <w:t>Looking at t</w:t>
      </w:r>
      <w:r w:rsidR="00815F0D">
        <w:t>he gross profit mar</w:t>
      </w:r>
      <w:r w:rsidR="00E20C17">
        <w:t xml:space="preserve">gin </w:t>
      </w:r>
      <w:r>
        <w:t xml:space="preserve">it can be seen that on an average the performance of the organization Pfizer is better than GSK so far as generation of gross profit of the sales revenue earned by both the organization. However the </w:t>
      </w:r>
      <w:r w:rsidR="00F11F84">
        <w:t>underlying reason</w:t>
      </w:r>
      <w:r>
        <w:t xml:space="preserve"> that can be identified </w:t>
      </w:r>
      <w:r w:rsidR="008A685F">
        <w:t xml:space="preserve">is the huge investments </w:t>
      </w:r>
      <w:r w:rsidR="00B962EC">
        <w:t>made</w:t>
      </w:r>
      <w:r w:rsidR="008A685F">
        <w:t xml:space="preserve"> by GSK for </w:t>
      </w:r>
      <w:r w:rsidR="00B962EC">
        <w:t>penetrating</w:t>
      </w:r>
      <w:r w:rsidR="008A685F">
        <w:t xml:space="preserve"> in different </w:t>
      </w:r>
      <w:r w:rsidR="00B962EC">
        <w:t>segments</w:t>
      </w:r>
      <w:r w:rsidR="008A685F">
        <w:t xml:space="preserve"> of the global health care industry has</w:t>
      </w:r>
      <w:r w:rsidR="00B962EC">
        <w:t xml:space="preserve"> failed to </w:t>
      </w:r>
      <w:r w:rsidR="003E405C">
        <w:t>generate proportionate</w:t>
      </w:r>
      <w:r w:rsidR="00B962EC">
        <w:t xml:space="preserve"> high revenue and as result the overall sales turnover </w:t>
      </w:r>
      <w:r w:rsidR="002D17E3">
        <w:t xml:space="preserve">generation </w:t>
      </w:r>
      <w:r w:rsidR="003E405C">
        <w:t>of</w:t>
      </w:r>
      <w:r w:rsidR="00B962EC">
        <w:t xml:space="preserve"> the </w:t>
      </w:r>
      <w:r w:rsidR="003E405C">
        <w:t>organization</w:t>
      </w:r>
      <w:r w:rsidR="002D17E3">
        <w:t xml:space="preserve"> GSK has become mu</w:t>
      </w:r>
      <w:r w:rsidR="00B962EC">
        <w:t>ch less</w:t>
      </w:r>
      <w:r w:rsidR="002D17E3">
        <w:t>er</w:t>
      </w:r>
      <w:r w:rsidR="00B962EC">
        <w:t xml:space="preserve"> than the investment made by GSK for </w:t>
      </w:r>
      <w:r w:rsidR="003E405C">
        <w:t>producing the different health care products</w:t>
      </w:r>
      <w:r w:rsidR="002D17E3">
        <w:t>.</w:t>
      </w:r>
    </w:p>
    <w:p w:rsidR="002D17E3" w:rsidRDefault="002D17E3" w:rsidP="000E1886">
      <w:r>
        <w:t xml:space="preserve">Looking at Pfizer it can be seen that in 2013-2014 the gross earning margin has declined by </w:t>
      </w:r>
      <w:r w:rsidR="00F37F5E">
        <w:t>2% with respect to that of 2012 and the underlying reaso0n can be attributed to the unfavourable effect of the exchange rate that apportioned the increased earnings of the organization.</w:t>
      </w:r>
      <w:r w:rsidR="009D61FE">
        <w:t xml:space="preserve"> Again in 2016 the increase in income by 8% over the previous year has been offset by the </w:t>
      </w:r>
      <w:r w:rsidR="00BE76DE">
        <w:t>negative impact of the exchange rate and the gross margin of the organization has declined by 3% with respect to previous year</w:t>
      </w:r>
      <w:r w:rsidR="00596B18" w:rsidRPr="00596B18">
        <w:t xml:space="preserve"> (Pfizer Inc, 2016)</w:t>
      </w:r>
      <w:r w:rsidR="00BE76DE">
        <w:t>.</w:t>
      </w:r>
    </w:p>
    <w:p w:rsidR="000E1886" w:rsidRPr="000E1886" w:rsidRDefault="000E1886" w:rsidP="000E1886"/>
    <w:p w:rsidR="00EC0E67" w:rsidRDefault="000E1886" w:rsidP="00EC0E67">
      <w:pPr>
        <w:pStyle w:val="Heading3"/>
      </w:pPr>
      <w:bookmarkStart w:id="12" w:name="_Toc502329666"/>
      <w:r>
        <w:lastRenderedPageBreak/>
        <w:t xml:space="preserve">Comparison with respect to </w:t>
      </w:r>
      <w:r w:rsidR="00BE76DE">
        <w:t>Net Profit</w:t>
      </w:r>
      <w:r w:rsidR="00EC0E67">
        <w:t xml:space="preserve"> margin:</w:t>
      </w:r>
      <w:bookmarkEnd w:id="12"/>
    </w:p>
    <w:tbl>
      <w:tblPr>
        <w:tblStyle w:val="MediumShading1-Accent4"/>
        <w:tblW w:w="6480" w:type="dxa"/>
        <w:jc w:val="center"/>
        <w:tblLook w:val="04A0"/>
      </w:tblPr>
      <w:tblGrid>
        <w:gridCol w:w="2104"/>
        <w:gridCol w:w="876"/>
        <w:gridCol w:w="875"/>
        <w:gridCol w:w="875"/>
        <w:gridCol w:w="875"/>
        <w:gridCol w:w="875"/>
      </w:tblGrid>
      <w:tr w:rsidR="00BE76DE" w:rsidRPr="00BE76DE" w:rsidTr="00152263">
        <w:trPr>
          <w:cnfStyle w:val="100000000000"/>
          <w:trHeight w:val="300"/>
          <w:jc w:val="center"/>
        </w:trPr>
        <w:tc>
          <w:tcPr>
            <w:cnfStyle w:val="001000000000"/>
            <w:tcW w:w="6480" w:type="dxa"/>
            <w:gridSpan w:val="6"/>
            <w:noWrap/>
            <w:hideMark/>
          </w:tcPr>
          <w:p w:rsidR="00BE76DE" w:rsidRPr="00BE76DE" w:rsidRDefault="00BE76DE" w:rsidP="00BE76DE">
            <w:pPr>
              <w:spacing w:line="240" w:lineRule="auto"/>
              <w:jc w:val="center"/>
              <w:rPr>
                <w:rFonts w:eastAsia="Times New Roman" w:cs="Times New Roman"/>
                <w:color w:val="000000"/>
                <w:sz w:val="24"/>
                <w:szCs w:val="24"/>
                <w:lang w:val="en-US"/>
              </w:rPr>
            </w:pPr>
            <w:r w:rsidRPr="00BE76DE">
              <w:rPr>
                <w:rFonts w:eastAsia="Times New Roman" w:cs="Times New Roman"/>
                <w:color w:val="000000"/>
                <w:sz w:val="24"/>
                <w:szCs w:val="24"/>
                <w:lang w:val="en-US"/>
              </w:rPr>
              <w:t>Net profit margin</w:t>
            </w:r>
          </w:p>
        </w:tc>
      </w:tr>
      <w:tr w:rsidR="00BE76DE" w:rsidRPr="00BE76DE" w:rsidTr="00152263">
        <w:trPr>
          <w:cnfStyle w:val="000000100000"/>
          <w:trHeight w:val="300"/>
          <w:jc w:val="center"/>
        </w:trPr>
        <w:tc>
          <w:tcPr>
            <w:cnfStyle w:val="001000000000"/>
            <w:tcW w:w="2104" w:type="dxa"/>
            <w:shd w:val="clear" w:color="auto" w:fill="92CDDC" w:themeFill="accent5" w:themeFillTint="99"/>
            <w:noWrap/>
            <w:hideMark/>
          </w:tcPr>
          <w:p w:rsidR="00BE76DE" w:rsidRPr="00BE76DE" w:rsidRDefault="00BE76DE" w:rsidP="00BE76DE">
            <w:pPr>
              <w:spacing w:line="240" w:lineRule="auto"/>
              <w:jc w:val="left"/>
              <w:rPr>
                <w:rFonts w:eastAsia="Times New Roman" w:cs="Times New Roman"/>
                <w:color w:val="000000"/>
                <w:sz w:val="24"/>
                <w:szCs w:val="24"/>
                <w:lang w:val="en-US"/>
              </w:rPr>
            </w:pPr>
            <w:r w:rsidRPr="00BE76DE">
              <w:rPr>
                <w:rFonts w:eastAsia="Times New Roman" w:cs="Times New Roman"/>
                <w:color w:val="000000"/>
                <w:sz w:val="24"/>
                <w:szCs w:val="24"/>
                <w:lang w:val="en-US"/>
              </w:rPr>
              <w:t> </w:t>
            </w:r>
          </w:p>
        </w:tc>
        <w:tc>
          <w:tcPr>
            <w:tcW w:w="876" w:type="dxa"/>
            <w:shd w:val="clear" w:color="auto" w:fill="92CDDC" w:themeFill="accent5" w:themeFillTint="99"/>
            <w:noWrap/>
            <w:hideMark/>
          </w:tcPr>
          <w:p w:rsidR="00BE76DE" w:rsidRPr="00BE76DE" w:rsidRDefault="00BE76DE" w:rsidP="00BE76DE">
            <w:pPr>
              <w:spacing w:line="240" w:lineRule="auto"/>
              <w:jc w:val="right"/>
              <w:cnfStyle w:val="000000100000"/>
              <w:rPr>
                <w:rFonts w:eastAsia="Times New Roman" w:cs="Times New Roman"/>
                <w:color w:val="000000"/>
                <w:sz w:val="24"/>
                <w:szCs w:val="24"/>
                <w:lang w:val="en-US"/>
              </w:rPr>
            </w:pPr>
            <w:r w:rsidRPr="00BE76DE">
              <w:rPr>
                <w:rFonts w:eastAsia="Times New Roman" w:cs="Times New Roman"/>
                <w:color w:val="000000"/>
                <w:sz w:val="24"/>
                <w:szCs w:val="24"/>
                <w:lang w:val="en-US"/>
              </w:rPr>
              <w:t>2012</w:t>
            </w:r>
          </w:p>
        </w:tc>
        <w:tc>
          <w:tcPr>
            <w:tcW w:w="875" w:type="dxa"/>
            <w:shd w:val="clear" w:color="auto" w:fill="92CDDC" w:themeFill="accent5" w:themeFillTint="99"/>
            <w:noWrap/>
            <w:hideMark/>
          </w:tcPr>
          <w:p w:rsidR="00BE76DE" w:rsidRPr="00BE76DE" w:rsidRDefault="00BE76DE" w:rsidP="00BE76DE">
            <w:pPr>
              <w:spacing w:line="240" w:lineRule="auto"/>
              <w:jc w:val="right"/>
              <w:cnfStyle w:val="000000100000"/>
              <w:rPr>
                <w:rFonts w:eastAsia="Times New Roman" w:cs="Times New Roman"/>
                <w:color w:val="000000"/>
                <w:sz w:val="24"/>
                <w:szCs w:val="24"/>
                <w:lang w:val="en-US"/>
              </w:rPr>
            </w:pPr>
            <w:r w:rsidRPr="00BE76DE">
              <w:rPr>
                <w:rFonts w:eastAsia="Times New Roman" w:cs="Times New Roman"/>
                <w:color w:val="000000"/>
                <w:sz w:val="24"/>
                <w:szCs w:val="24"/>
                <w:lang w:val="en-US"/>
              </w:rPr>
              <w:t>2013</w:t>
            </w:r>
          </w:p>
        </w:tc>
        <w:tc>
          <w:tcPr>
            <w:tcW w:w="875" w:type="dxa"/>
            <w:shd w:val="clear" w:color="auto" w:fill="92CDDC" w:themeFill="accent5" w:themeFillTint="99"/>
            <w:noWrap/>
            <w:hideMark/>
          </w:tcPr>
          <w:p w:rsidR="00BE76DE" w:rsidRPr="00BE76DE" w:rsidRDefault="00BE76DE" w:rsidP="00BE76DE">
            <w:pPr>
              <w:spacing w:line="240" w:lineRule="auto"/>
              <w:jc w:val="right"/>
              <w:cnfStyle w:val="000000100000"/>
              <w:rPr>
                <w:rFonts w:eastAsia="Times New Roman" w:cs="Times New Roman"/>
                <w:color w:val="000000"/>
                <w:sz w:val="24"/>
                <w:szCs w:val="24"/>
                <w:lang w:val="en-US"/>
              </w:rPr>
            </w:pPr>
            <w:r w:rsidRPr="00BE76DE">
              <w:rPr>
                <w:rFonts w:eastAsia="Times New Roman" w:cs="Times New Roman"/>
                <w:color w:val="000000"/>
                <w:sz w:val="24"/>
                <w:szCs w:val="24"/>
                <w:lang w:val="en-US"/>
              </w:rPr>
              <w:t>2014</w:t>
            </w:r>
          </w:p>
        </w:tc>
        <w:tc>
          <w:tcPr>
            <w:tcW w:w="875" w:type="dxa"/>
            <w:shd w:val="clear" w:color="auto" w:fill="92CDDC" w:themeFill="accent5" w:themeFillTint="99"/>
            <w:noWrap/>
            <w:hideMark/>
          </w:tcPr>
          <w:p w:rsidR="00BE76DE" w:rsidRPr="00BE76DE" w:rsidRDefault="00BE76DE" w:rsidP="00BE76DE">
            <w:pPr>
              <w:spacing w:line="240" w:lineRule="auto"/>
              <w:jc w:val="right"/>
              <w:cnfStyle w:val="000000100000"/>
              <w:rPr>
                <w:rFonts w:eastAsia="Times New Roman" w:cs="Times New Roman"/>
                <w:color w:val="000000"/>
                <w:sz w:val="24"/>
                <w:szCs w:val="24"/>
                <w:lang w:val="en-US"/>
              </w:rPr>
            </w:pPr>
            <w:r w:rsidRPr="00BE76DE">
              <w:rPr>
                <w:rFonts w:eastAsia="Times New Roman" w:cs="Times New Roman"/>
                <w:color w:val="000000"/>
                <w:sz w:val="24"/>
                <w:szCs w:val="24"/>
                <w:lang w:val="en-US"/>
              </w:rPr>
              <w:t>2015</w:t>
            </w:r>
          </w:p>
        </w:tc>
        <w:tc>
          <w:tcPr>
            <w:tcW w:w="875" w:type="dxa"/>
            <w:shd w:val="clear" w:color="auto" w:fill="92CDDC" w:themeFill="accent5" w:themeFillTint="99"/>
            <w:noWrap/>
            <w:hideMark/>
          </w:tcPr>
          <w:p w:rsidR="00BE76DE" w:rsidRPr="00BE76DE" w:rsidRDefault="00BE76DE" w:rsidP="00BE76DE">
            <w:pPr>
              <w:spacing w:line="240" w:lineRule="auto"/>
              <w:jc w:val="right"/>
              <w:cnfStyle w:val="000000100000"/>
              <w:rPr>
                <w:rFonts w:eastAsia="Times New Roman" w:cs="Times New Roman"/>
                <w:color w:val="000000"/>
                <w:sz w:val="24"/>
                <w:szCs w:val="24"/>
                <w:lang w:val="en-US"/>
              </w:rPr>
            </w:pPr>
            <w:r w:rsidRPr="00BE76DE">
              <w:rPr>
                <w:rFonts w:eastAsia="Times New Roman" w:cs="Times New Roman"/>
                <w:color w:val="000000"/>
                <w:sz w:val="24"/>
                <w:szCs w:val="24"/>
                <w:lang w:val="en-US"/>
              </w:rPr>
              <w:t>2016</w:t>
            </w:r>
          </w:p>
        </w:tc>
      </w:tr>
      <w:tr w:rsidR="00BE76DE" w:rsidRPr="00BE76DE" w:rsidTr="00152263">
        <w:trPr>
          <w:cnfStyle w:val="000000010000"/>
          <w:trHeight w:val="300"/>
          <w:jc w:val="center"/>
        </w:trPr>
        <w:tc>
          <w:tcPr>
            <w:cnfStyle w:val="001000000000"/>
            <w:tcW w:w="2104" w:type="dxa"/>
            <w:shd w:val="clear" w:color="auto" w:fill="92CDDC" w:themeFill="accent5" w:themeFillTint="99"/>
            <w:hideMark/>
          </w:tcPr>
          <w:p w:rsidR="00BE76DE" w:rsidRPr="00BE76DE" w:rsidRDefault="00BE76DE" w:rsidP="00BE76DE">
            <w:pPr>
              <w:spacing w:line="240" w:lineRule="auto"/>
              <w:jc w:val="left"/>
              <w:rPr>
                <w:rFonts w:eastAsia="Times New Roman" w:cs="Times New Roman"/>
                <w:color w:val="000000"/>
                <w:sz w:val="24"/>
                <w:szCs w:val="24"/>
                <w:lang w:val="en-US"/>
              </w:rPr>
            </w:pPr>
            <w:r w:rsidRPr="00BE76DE">
              <w:rPr>
                <w:rFonts w:eastAsia="Times New Roman" w:cs="Times New Roman"/>
                <w:color w:val="000000"/>
                <w:sz w:val="24"/>
                <w:szCs w:val="24"/>
                <w:lang w:val="en-US"/>
              </w:rPr>
              <w:t>GSK</w:t>
            </w:r>
          </w:p>
        </w:tc>
        <w:tc>
          <w:tcPr>
            <w:tcW w:w="876" w:type="dxa"/>
            <w:shd w:val="clear" w:color="auto" w:fill="92CDDC" w:themeFill="accent5" w:themeFillTint="99"/>
            <w:noWrap/>
            <w:hideMark/>
          </w:tcPr>
          <w:p w:rsidR="00BE76DE" w:rsidRPr="00BE76DE" w:rsidRDefault="00BE76DE" w:rsidP="00BE76DE">
            <w:pPr>
              <w:spacing w:line="240" w:lineRule="auto"/>
              <w:jc w:val="right"/>
              <w:cnfStyle w:val="000000010000"/>
              <w:rPr>
                <w:rFonts w:eastAsia="Times New Roman" w:cs="Times New Roman"/>
                <w:color w:val="000000"/>
                <w:sz w:val="24"/>
                <w:szCs w:val="24"/>
                <w:lang w:val="en-US"/>
              </w:rPr>
            </w:pPr>
            <w:r w:rsidRPr="00BE76DE">
              <w:rPr>
                <w:rFonts w:eastAsia="Times New Roman" w:cs="Times New Roman"/>
                <w:color w:val="000000"/>
                <w:sz w:val="24"/>
                <w:szCs w:val="24"/>
                <w:lang w:val="en-US"/>
              </w:rPr>
              <w:t>18%</w:t>
            </w:r>
          </w:p>
        </w:tc>
        <w:tc>
          <w:tcPr>
            <w:tcW w:w="875" w:type="dxa"/>
            <w:shd w:val="clear" w:color="auto" w:fill="92CDDC" w:themeFill="accent5" w:themeFillTint="99"/>
            <w:noWrap/>
            <w:hideMark/>
          </w:tcPr>
          <w:p w:rsidR="00BE76DE" w:rsidRPr="00BE76DE" w:rsidRDefault="00BE76DE" w:rsidP="00BE76DE">
            <w:pPr>
              <w:spacing w:line="240" w:lineRule="auto"/>
              <w:jc w:val="right"/>
              <w:cnfStyle w:val="000000010000"/>
              <w:rPr>
                <w:rFonts w:eastAsia="Times New Roman" w:cs="Times New Roman"/>
                <w:color w:val="000000"/>
                <w:sz w:val="24"/>
                <w:szCs w:val="24"/>
                <w:lang w:val="en-US"/>
              </w:rPr>
            </w:pPr>
            <w:r w:rsidRPr="00BE76DE">
              <w:rPr>
                <w:rFonts w:eastAsia="Times New Roman" w:cs="Times New Roman"/>
                <w:color w:val="000000"/>
                <w:sz w:val="24"/>
                <w:szCs w:val="24"/>
                <w:lang w:val="en-US"/>
              </w:rPr>
              <w:t>21%</w:t>
            </w:r>
          </w:p>
        </w:tc>
        <w:tc>
          <w:tcPr>
            <w:tcW w:w="875" w:type="dxa"/>
            <w:shd w:val="clear" w:color="auto" w:fill="92CDDC" w:themeFill="accent5" w:themeFillTint="99"/>
            <w:noWrap/>
            <w:hideMark/>
          </w:tcPr>
          <w:p w:rsidR="00BE76DE" w:rsidRPr="00BE76DE" w:rsidRDefault="00BE76DE" w:rsidP="00BE76DE">
            <w:pPr>
              <w:spacing w:line="240" w:lineRule="auto"/>
              <w:jc w:val="right"/>
              <w:cnfStyle w:val="000000010000"/>
              <w:rPr>
                <w:rFonts w:eastAsia="Times New Roman" w:cs="Times New Roman"/>
                <w:color w:val="000000"/>
                <w:sz w:val="24"/>
                <w:szCs w:val="24"/>
                <w:lang w:val="en-US"/>
              </w:rPr>
            </w:pPr>
            <w:r w:rsidRPr="00BE76DE">
              <w:rPr>
                <w:rFonts w:eastAsia="Times New Roman" w:cs="Times New Roman"/>
                <w:color w:val="000000"/>
                <w:sz w:val="24"/>
                <w:szCs w:val="24"/>
                <w:lang w:val="en-US"/>
              </w:rPr>
              <w:t>12%</w:t>
            </w:r>
          </w:p>
        </w:tc>
        <w:tc>
          <w:tcPr>
            <w:tcW w:w="875" w:type="dxa"/>
            <w:shd w:val="clear" w:color="auto" w:fill="92CDDC" w:themeFill="accent5" w:themeFillTint="99"/>
            <w:noWrap/>
            <w:hideMark/>
          </w:tcPr>
          <w:p w:rsidR="00BE76DE" w:rsidRPr="00BE76DE" w:rsidRDefault="00BE76DE" w:rsidP="00BE76DE">
            <w:pPr>
              <w:spacing w:line="240" w:lineRule="auto"/>
              <w:jc w:val="right"/>
              <w:cnfStyle w:val="000000010000"/>
              <w:rPr>
                <w:rFonts w:eastAsia="Times New Roman" w:cs="Times New Roman"/>
                <w:color w:val="000000"/>
                <w:sz w:val="24"/>
                <w:szCs w:val="24"/>
                <w:lang w:val="en-US"/>
              </w:rPr>
            </w:pPr>
            <w:r w:rsidRPr="00BE76DE">
              <w:rPr>
                <w:rFonts w:eastAsia="Times New Roman" w:cs="Times New Roman"/>
                <w:color w:val="000000"/>
                <w:sz w:val="24"/>
                <w:szCs w:val="24"/>
                <w:lang w:val="en-US"/>
              </w:rPr>
              <w:t>35%</w:t>
            </w:r>
          </w:p>
        </w:tc>
        <w:tc>
          <w:tcPr>
            <w:tcW w:w="875" w:type="dxa"/>
            <w:shd w:val="clear" w:color="auto" w:fill="92CDDC" w:themeFill="accent5" w:themeFillTint="99"/>
            <w:noWrap/>
            <w:hideMark/>
          </w:tcPr>
          <w:p w:rsidR="00BE76DE" w:rsidRPr="00BE76DE" w:rsidRDefault="00BE76DE" w:rsidP="00BE76DE">
            <w:pPr>
              <w:spacing w:line="240" w:lineRule="auto"/>
              <w:jc w:val="right"/>
              <w:cnfStyle w:val="000000010000"/>
              <w:rPr>
                <w:rFonts w:eastAsia="Times New Roman" w:cs="Times New Roman"/>
                <w:color w:val="000000"/>
                <w:sz w:val="24"/>
                <w:szCs w:val="24"/>
                <w:lang w:val="en-US"/>
              </w:rPr>
            </w:pPr>
            <w:r w:rsidRPr="00BE76DE">
              <w:rPr>
                <w:rFonts w:eastAsia="Times New Roman" w:cs="Times New Roman"/>
                <w:color w:val="000000"/>
                <w:sz w:val="24"/>
                <w:szCs w:val="24"/>
                <w:lang w:val="en-US"/>
              </w:rPr>
              <w:t>4%</w:t>
            </w:r>
          </w:p>
        </w:tc>
      </w:tr>
      <w:tr w:rsidR="00BE76DE" w:rsidRPr="00BE76DE" w:rsidTr="00152263">
        <w:trPr>
          <w:cnfStyle w:val="000000100000"/>
          <w:trHeight w:val="300"/>
          <w:jc w:val="center"/>
        </w:trPr>
        <w:tc>
          <w:tcPr>
            <w:cnfStyle w:val="001000000000"/>
            <w:tcW w:w="2104" w:type="dxa"/>
            <w:shd w:val="clear" w:color="auto" w:fill="92CDDC" w:themeFill="accent5" w:themeFillTint="99"/>
            <w:noWrap/>
            <w:hideMark/>
          </w:tcPr>
          <w:p w:rsidR="00BE76DE" w:rsidRPr="00BE76DE" w:rsidRDefault="00BE76DE" w:rsidP="00BE76DE">
            <w:pPr>
              <w:spacing w:line="240" w:lineRule="auto"/>
              <w:jc w:val="left"/>
              <w:rPr>
                <w:rFonts w:eastAsia="Times New Roman" w:cs="Times New Roman"/>
                <w:color w:val="000000"/>
                <w:sz w:val="24"/>
                <w:szCs w:val="24"/>
                <w:lang w:val="en-US"/>
              </w:rPr>
            </w:pPr>
            <w:r w:rsidRPr="00BE76DE">
              <w:rPr>
                <w:rFonts w:eastAsia="Times New Roman" w:cs="Times New Roman"/>
                <w:color w:val="000000"/>
                <w:sz w:val="24"/>
                <w:szCs w:val="24"/>
                <w:lang w:val="en-US"/>
              </w:rPr>
              <w:t>Pfizer</w:t>
            </w:r>
          </w:p>
        </w:tc>
        <w:tc>
          <w:tcPr>
            <w:tcW w:w="876" w:type="dxa"/>
            <w:shd w:val="clear" w:color="auto" w:fill="92CDDC" w:themeFill="accent5" w:themeFillTint="99"/>
            <w:noWrap/>
            <w:hideMark/>
          </w:tcPr>
          <w:p w:rsidR="00BE76DE" w:rsidRPr="00BE76DE" w:rsidRDefault="00BE76DE" w:rsidP="00BE76DE">
            <w:pPr>
              <w:spacing w:line="240" w:lineRule="auto"/>
              <w:jc w:val="right"/>
              <w:cnfStyle w:val="000000100000"/>
              <w:rPr>
                <w:rFonts w:eastAsia="Times New Roman" w:cs="Times New Roman"/>
                <w:color w:val="000000"/>
                <w:sz w:val="24"/>
                <w:szCs w:val="24"/>
                <w:lang w:val="en-US"/>
              </w:rPr>
            </w:pPr>
            <w:r w:rsidRPr="00BE76DE">
              <w:rPr>
                <w:rFonts w:eastAsia="Times New Roman" w:cs="Times New Roman"/>
                <w:color w:val="000000"/>
                <w:sz w:val="24"/>
                <w:szCs w:val="24"/>
                <w:lang w:val="en-US"/>
              </w:rPr>
              <w:t>17%</w:t>
            </w:r>
          </w:p>
        </w:tc>
        <w:tc>
          <w:tcPr>
            <w:tcW w:w="875" w:type="dxa"/>
            <w:shd w:val="clear" w:color="auto" w:fill="92CDDC" w:themeFill="accent5" w:themeFillTint="99"/>
            <w:noWrap/>
            <w:hideMark/>
          </w:tcPr>
          <w:p w:rsidR="00BE76DE" w:rsidRPr="00BE76DE" w:rsidRDefault="00BE76DE" w:rsidP="00BE76DE">
            <w:pPr>
              <w:spacing w:line="240" w:lineRule="auto"/>
              <w:jc w:val="right"/>
              <w:cnfStyle w:val="000000100000"/>
              <w:rPr>
                <w:rFonts w:eastAsia="Times New Roman" w:cs="Times New Roman"/>
                <w:color w:val="000000"/>
                <w:sz w:val="24"/>
                <w:szCs w:val="24"/>
                <w:lang w:val="en-US"/>
              </w:rPr>
            </w:pPr>
            <w:r w:rsidRPr="00BE76DE">
              <w:rPr>
                <w:rFonts w:eastAsia="Times New Roman" w:cs="Times New Roman"/>
                <w:color w:val="000000"/>
                <w:sz w:val="24"/>
                <w:szCs w:val="24"/>
                <w:lang w:val="en-US"/>
              </w:rPr>
              <w:t>22%</w:t>
            </w:r>
          </w:p>
        </w:tc>
        <w:tc>
          <w:tcPr>
            <w:tcW w:w="875" w:type="dxa"/>
            <w:shd w:val="clear" w:color="auto" w:fill="92CDDC" w:themeFill="accent5" w:themeFillTint="99"/>
            <w:noWrap/>
            <w:hideMark/>
          </w:tcPr>
          <w:p w:rsidR="00BE76DE" w:rsidRPr="00BE76DE" w:rsidRDefault="00BE76DE" w:rsidP="00BE76DE">
            <w:pPr>
              <w:spacing w:line="240" w:lineRule="auto"/>
              <w:jc w:val="right"/>
              <w:cnfStyle w:val="000000100000"/>
              <w:rPr>
                <w:rFonts w:eastAsia="Times New Roman" w:cs="Times New Roman"/>
                <w:color w:val="000000"/>
                <w:sz w:val="24"/>
                <w:szCs w:val="24"/>
                <w:lang w:val="en-US"/>
              </w:rPr>
            </w:pPr>
            <w:r w:rsidRPr="00BE76DE">
              <w:rPr>
                <w:rFonts w:eastAsia="Times New Roman" w:cs="Times New Roman"/>
                <w:color w:val="000000"/>
                <w:sz w:val="24"/>
                <w:szCs w:val="24"/>
                <w:lang w:val="en-US"/>
              </w:rPr>
              <w:t>18%</w:t>
            </w:r>
          </w:p>
        </w:tc>
        <w:tc>
          <w:tcPr>
            <w:tcW w:w="875" w:type="dxa"/>
            <w:shd w:val="clear" w:color="auto" w:fill="92CDDC" w:themeFill="accent5" w:themeFillTint="99"/>
            <w:noWrap/>
            <w:hideMark/>
          </w:tcPr>
          <w:p w:rsidR="00BE76DE" w:rsidRPr="00BE76DE" w:rsidRDefault="00BE76DE" w:rsidP="00BE76DE">
            <w:pPr>
              <w:spacing w:line="240" w:lineRule="auto"/>
              <w:jc w:val="right"/>
              <w:cnfStyle w:val="000000100000"/>
              <w:rPr>
                <w:rFonts w:eastAsia="Times New Roman" w:cs="Times New Roman"/>
                <w:color w:val="000000"/>
                <w:sz w:val="24"/>
                <w:szCs w:val="24"/>
                <w:lang w:val="en-US"/>
              </w:rPr>
            </w:pPr>
            <w:r w:rsidRPr="00BE76DE">
              <w:rPr>
                <w:rFonts w:eastAsia="Times New Roman" w:cs="Times New Roman"/>
                <w:color w:val="000000"/>
                <w:sz w:val="24"/>
                <w:szCs w:val="24"/>
                <w:lang w:val="en-US"/>
              </w:rPr>
              <w:t>14%</w:t>
            </w:r>
          </w:p>
        </w:tc>
        <w:tc>
          <w:tcPr>
            <w:tcW w:w="875" w:type="dxa"/>
            <w:shd w:val="clear" w:color="auto" w:fill="92CDDC" w:themeFill="accent5" w:themeFillTint="99"/>
            <w:noWrap/>
            <w:hideMark/>
          </w:tcPr>
          <w:p w:rsidR="00BE76DE" w:rsidRPr="00BE76DE" w:rsidRDefault="00BE76DE" w:rsidP="00BE76DE">
            <w:pPr>
              <w:spacing w:line="240" w:lineRule="auto"/>
              <w:jc w:val="right"/>
              <w:cnfStyle w:val="000000100000"/>
              <w:rPr>
                <w:rFonts w:eastAsia="Times New Roman" w:cs="Times New Roman"/>
                <w:color w:val="000000"/>
                <w:sz w:val="24"/>
                <w:szCs w:val="24"/>
                <w:lang w:val="en-US"/>
              </w:rPr>
            </w:pPr>
            <w:r w:rsidRPr="00BE76DE">
              <w:rPr>
                <w:rFonts w:eastAsia="Times New Roman" w:cs="Times New Roman"/>
                <w:color w:val="000000"/>
                <w:sz w:val="24"/>
                <w:szCs w:val="24"/>
                <w:lang w:val="en-US"/>
              </w:rPr>
              <w:t>14%</w:t>
            </w:r>
          </w:p>
        </w:tc>
      </w:tr>
      <w:tr w:rsidR="00472937" w:rsidRPr="00BE76DE" w:rsidTr="00152263">
        <w:trPr>
          <w:cnfStyle w:val="000000010000"/>
          <w:trHeight w:val="300"/>
          <w:jc w:val="center"/>
        </w:trPr>
        <w:tc>
          <w:tcPr>
            <w:cnfStyle w:val="001000000000"/>
            <w:tcW w:w="2104" w:type="dxa"/>
            <w:shd w:val="clear" w:color="auto" w:fill="92CDDC" w:themeFill="accent5" w:themeFillTint="99"/>
            <w:noWrap/>
            <w:hideMark/>
          </w:tcPr>
          <w:p w:rsidR="00472937" w:rsidRPr="00BE76DE" w:rsidRDefault="00472937" w:rsidP="00BE76DE">
            <w:pPr>
              <w:spacing w:line="240" w:lineRule="auto"/>
              <w:jc w:val="left"/>
              <w:rPr>
                <w:rFonts w:eastAsia="Times New Roman" w:cs="Times New Roman"/>
                <w:color w:val="000000"/>
                <w:szCs w:val="24"/>
                <w:lang w:val="en-US"/>
              </w:rPr>
            </w:pPr>
          </w:p>
        </w:tc>
        <w:tc>
          <w:tcPr>
            <w:tcW w:w="876" w:type="dxa"/>
            <w:shd w:val="clear" w:color="auto" w:fill="92CDDC" w:themeFill="accent5" w:themeFillTint="99"/>
            <w:noWrap/>
            <w:hideMark/>
          </w:tcPr>
          <w:p w:rsidR="00472937" w:rsidRPr="00BE76DE" w:rsidRDefault="00472937" w:rsidP="00BE76DE">
            <w:pPr>
              <w:spacing w:line="240" w:lineRule="auto"/>
              <w:jc w:val="right"/>
              <w:cnfStyle w:val="000000010000"/>
              <w:rPr>
                <w:rFonts w:eastAsia="Times New Roman" w:cs="Times New Roman"/>
                <w:color w:val="000000"/>
                <w:szCs w:val="24"/>
                <w:lang w:val="en-US"/>
              </w:rPr>
            </w:pPr>
          </w:p>
        </w:tc>
        <w:tc>
          <w:tcPr>
            <w:tcW w:w="875" w:type="dxa"/>
            <w:shd w:val="clear" w:color="auto" w:fill="92CDDC" w:themeFill="accent5" w:themeFillTint="99"/>
            <w:noWrap/>
            <w:hideMark/>
          </w:tcPr>
          <w:p w:rsidR="00472937" w:rsidRPr="00BE76DE" w:rsidRDefault="00472937" w:rsidP="00BE76DE">
            <w:pPr>
              <w:spacing w:line="240" w:lineRule="auto"/>
              <w:jc w:val="right"/>
              <w:cnfStyle w:val="000000010000"/>
              <w:rPr>
                <w:rFonts w:eastAsia="Times New Roman" w:cs="Times New Roman"/>
                <w:color w:val="000000"/>
                <w:szCs w:val="24"/>
                <w:lang w:val="en-US"/>
              </w:rPr>
            </w:pPr>
          </w:p>
        </w:tc>
        <w:tc>
          <w:tcPr>
            <w:tcW w:w="875" w:type="dxa"/>
            <w:shd w:val="clear" w:color="auto" w:fill="92CDDC" w:themeFill="accent5" w:themeFillTint="99"/>
            <w:noWrap/>
            <w:hideMark/>
          </w:tcPr>
          <w:p w:rsidR="00472937" w:rsidRPr="00BE76DE" w:rsidRDefault="00472937" w:rsidP="00BE76DE">
            <w:pPr>
              <w:spacing w:line="240" w:lineRule="auto"/>
              <w:jc w:val="right"/>
              <w:cnfStyle w:val="000000010000"/>
              <w:rPr>
                <w:rFonts w:eastAsia="Times New Roman" w:cs="Times New Roman"/>
                <w:color w:val="000000"/>
                <w:szCs w:val="24"/>
                <w:lang w:val="en-US"/>
              </w:rPr>
            </w:pPr>
          </w:p>
        </w:tc>
        <w:tc>
          <w:tcPr>
            <w:tcW w:w="875" w:type="dxa"/>
            <w:shd w:val="clear" w:color="auto" w:fill="92CDDC" w:themeFill="accent5" w:themeFillTint="99"/>
            <w:noWrap/>
            <w:hideMark/>
          </w:tcPr>
          <w:p w:rsidR="00472937" w:rsidRPr="00BE76DE" w:rsidRDefault="00472937" w:rsidP="00BE76DE">
            <w:pPr>
              <w:spacing w:line="240" w:lineRule="auto"/>
              <w:jc w:val="right"/>
              <w:cnfStyle w:val="000000010000"/>
              <w:rPr>
                <w:rFonts w:eastAsia="Times New Roman" w:cs="Times New Roman"/>
                <w:color w:val="000000"/>
                <w:szCs w:val="24"/>
                <w:lang w:val="en-US"/>
              </w:rPr>
            </w:pPr>
          </w:p>
        </w:tc>
        <w:tc>
          <w:tcPr>
            <w:tcW w:w="875" w:type="dxa"/>
            <w:shd w:val="clear" w:color="auto" w:fill="92CDDC" w:themeFill="accent5" w:themeFillTint="99"/>
            <w:noWrap/>
            <w:hideMark/>
          </w:tcPr>
          <w:p w:rsidR="00472937" w:rsidRPr="00BE76DE" w:rsidRDefault="00472937" w:rsidP="00BE76DE">
            <w:pPr>
              <w:spacing w:line="240" w:lineRule="auto"/>
              <w:jc w:val="right"/>
              <w:cnfStyle w:val="000000010000"/>
              <w:rPr>
                <w:rFonts w:eastAsia="Times New Roman" w:cs="Times New Roman"/>
                <w:color w:val="000000"/>
                <w:szCs w:val="24"/>
                <w:lang w:val="en-US"/>
              </w:rPr>
            </w:pPr>
          </w:p>
        </w:tc>
      </w:tr>
    </w:tbl>
    <w:p w:rsidR="00BE76DE" w:rsidRDefault="00BE76DE" w:rsidP="00BE76DE"/>
    <w:p w:rsidR="00472937" w:rsidRDefault="00472937" w:rsidP="00BE76DE"/>
    <w:p w:rsidR="00472937" w:rsidRDefault="00472937" w:rsidP="00472937">
      <w:pPr>
        <w:jc w:val="center"/>
      </w:pPr>
      <w:r w:rsidRPr="00472937">
        <w:rPr>
          <w:noProof/>
          <w:lang w:val="en-US" w:bidi="gu-IN"/>
        </w:rPr>
        <w:drawing>
          <wp:inline distT="0" distB="0" distL="0" distR="0">
            <wp:extent cx="3095624" cy="1952625"/>
            <wp:effectExtent l="19050" t="0" r="9526"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472937" w:rsidRDefault="00472937" w:rsidP="00BE76DE"/>
    <w:p w:rsidR="00472937" w:rsidRDefault="00472937" w:rsidP="00BE76DE"/>
    <w:p w:rsidR="00472937" w:rsidRDefault="00472937" w:rsidP="00BE76DE"/>
    <w:p w:rsidR="00152263" w:rsidRPr="00BE76DE" w:rsidRDefault="00152263" w:rsidP="00BE76DE">
      <w:r>
        <w:t xml:space="preserve">Following the gross profit margin the average net profit margin of </w:t>
      </w:r>
      <w:r w:rsidRPr="00BE76DE">
        <w:rPr>
          <w:rFonts w:eastAsia="Times New Roman" w:cs="Times New Roman"/>
          <w:color w:val="000000"/>
          <w:szCs w:val="24"/>
          <w:lang w:val="en-US"/>
        </w:rPr>
        <w:t>Pfizer</w:t>
      </w:r>
      <w:r>
        <w:rPr>
          <w:rFonts w:eastAsia="Times New Roman" w:cs="Times New Roman"/>
          <w:color w:val="000000"/>
          <w:szCs w:val="24"/>
          <w:lang w:val="en-US"/>
        </w:rPr>
        <w:t xml:space="preserve"> is either close or better </w:t>
      </w:r>
      <w:r w:rsidR="00F50743">
        <w:rPr>
          <w:rFonts w:eastAsia="Times New Roman" w:cs="Times New Roman"/>
          <w:color w:val="000000"/>
          <w:szCs w:val="24"/>
          <w:lang w:val="en-US"/>
        </w:rPr>
        <w:t>compared</w:t>
      </w:r>
      <w:r>
        <w:rPr>
          <w:rFonts w:eastAsia="Times New Roman" w:cs="Times New Roman"/>
          <w:color w:val="000000"/>
          <w:szCs w:val="24"/>
          <w:lang w:val="en-US"/>
        </w:rPr>
        <w:t xml:space="preserve"> to that of GSK except for the year of 2015 when the </w:t>
      </w:r>
      <w:r w:rsidR="00F50743">
        <w:rPr>
          <w:rFonts w:eastAsia="Times New Roman" w:cs="Times New Roman"/>
          <w:color w:val="000000"/>
          <w:szCs w:val="24"/>
          <w:lang w:val="en-US"/>
        </w:rPr>
        <w:t xml:space="preserve">ratio is 35% for GSK &amp; 14% for </w:t>
      </w:r>
      <w:r w:rsidR="00F50743" w:rsidRPr="00BE76DE">
        <w:rPr>
          <w:rFonts w:eastAsia="Times New Roman" w:cs="Times New Roman"/>
          <w:color w:val="000000"/>
          <w:szCs w:val="24"/>
          <w:lang w:val="en-US"/>
        </w:rPr>
        <w:t>Pfizer</w:t>
      </w:r>
      <w:r w:rsidR="00F50743">
        <w:rPr>
          <w:rFonts w:eastAsia="Times New Roman" w:cs="Times New Roman"/>
          <w:color w:val="000000"/>
          <w:szCs w:val="24"/>
          <w:lang w:val="en-US"/>
        </w:rPr>
        <w:t>.</w:t>
      </w:r>
      <w:r w:rsidR="0008649D">
        <w:rPr>
          <w:rFonts w:eastAsia="Times New Roman" w:cs="Times New Roman"/>
          <w:color w:val="000000"/>
          <w:szCs w:val="24"/>
          <w:lang w:val="en-US"/>
        </w:rPr>
        <w:t xml:space="preserve"> Looking at the ratios it can been seen tha</w:t>
      </w:r>
      <w:r w:rsidR="005A4862">
        <w:rPr>
          <w:rFonts w:eastAsia="Times New Roman" w:cs="Times New Roman"/>
          <w:color w:val="000000"/>
          <w:szCs w:val="24"/>
          <w:lang w:val="en-US"/>
        </w:rPr>
        <w:t xml:space="preserve">t the ratio of net profit margin has </w:t>
      </w:r>
      <w:r w:rsidR="0008649D">
        <w:rPr>
          <w:rFonts w:eastAsia="Times New Roman" w:cs="Times New Roman"/>
          <w:color w:val="000000"/>
          <w:szCs w:val="24"/>
          <w:lang w:val="en-US"/>
        </w:rPr>
        <w:t xml:space="preserve">recorded a </w:t>
      </w:r>
      <w:r w:rsidR="005A4862">
        <w:rPr>
          <w:rFonts w:eastAsia="Times New Roman" w:cs="Times New Roman"/>
          <w:color w:val="000000"/>
          <w:szCs w:val="24"/>
          <w:lang w:val="en-US"/>
        </w:rPr>
        <w:t>continuous</w:t>
      </w:r>
      <w:r w:rsidR="0008649D">
        <w:rPr>
          <w:rFonts w:eastAsia="Times New Roman" w:cs="Times New Roman"/>
          <w:color w:val="000000"/>
          <w:szCs w:val="24"/>
          <w:lang w:val="en-US"/>
        </w:rPr>
        <w:t xml:space="preserve"> </w:t>
      </w:r>
      <w:r w:rsidR="005A4862">
        <w:rPr>
          <w:rFonts w:eastAsia="Times New Roman" w:cs="Times New Roman"/>
          <w:color w:val="000000"/>
          <w:szCs w:val="24"/>
          <w:lang w:val="en-US"/>
        </w:rPr>
        <w:t>declining</w:t>
      </w:r>
      <w:r w:rsidR="0008649D">
        <w:rPr>
          <w:rFonts w:eastAsia="Times New Roman" w:cs="Times New Roman"/>
          <w:color w:val="000000"/>
          <w:szCs w:val="24"/>
          <w:lang w:val="en-US"/>
        </w:rPr>
        <w:t xml:space="preserve"> trend from </w:t>
      </w:r>
      <w:r w:rsidR="005A4862">
        <w:rPr>
          <w:rFonts w:eastAsia="Times New Roman" w:cs="Times New Roman"/>
          <w:color w:val="000000"/>
          <w:szCs w:val="24"/>
          <w:lang w:val="en-US"/>
        </w:rPr>
        <w:t>2014 onwards with a sudden increase in 2013</w:t>
      </w:r>
      <w:r w:rsidR="004B3473">
        <w:rPr>
          <w:rFonts w:eastAsia="Times New Roman" w:cs="Times New Roman"/>
          <w:color w:val="000000"/>
          <w:szCs w:val="24"/>
          <w:lang w:val="en-US"/>
        </w:rPr>
        <w:t xml:space="preserve">.The underlying reason can be attributed to the approximate gain of </w:t>
      </w:r>
      <w:r w:rsidR="0069021E" w:rsidRPr="0069021E">
        <w:rPr>
          <w:rFonts w:eastAsia="Times New Roman" w:cs="Times New Roman"/>
          <w:color w:val="000000"/>
          <w:szCs w:val="24"/>
          <w:lang w:val="en-US"/>
        </w:rPr>
        <w:t>$10.3 billion</w:t>
      </w:r>
      <w:r w:rsidR="0069021E">
        <w:rPr>
          <w:rFonts w:eastAsia="Times New Roman" w:cs="Times New Roman"/>
          <w:color w:val="000000"/>
          <w:szCs w:val="24"/>
          <w:lang w:val="en-US"/>
        </w:rPr>
        <w:t xml:space="preserve"> from the disposition of the </w:t>
      </w:r>
      <w:r w:rsidR="0069021E" w:rsidRPr="0069021E">
        <w:rPr>
          <w:rFonts w:eastAsia="Times New Roman" w:cs="Times New Roman"/>
          <w:color w:val="000000"/>
          <w:szCs w:val="24"/>
          <w:lang w:val="en-US"/>
        </w:rPr>
        <w:t xml:space="preserve">Animal Health business, </w:t>
      </w:r>
      <w:proofErr w:type="spellStart"/>
      <w:r w:rsidR="0069021E" w:rsidRPr="0069021E">
        <w:rPr>
          <w:rFonts w:eastAsia="Times New Roman" w:cs="Times New Roman"/>
          <w:color w:val="000000"/>
          <w:szCs w:val="24"/>
          <w:lang w:val="en-US"/>
        </w:rPr>
        <w:t>Zoetis</w:t>
      </w:r>
      <w:proofErr w:type="spellEnd"/>
      <w:r w:rsidR="0069021E" w:rsidRPr="0069021E">
        <w:rPr>
          <w:rFonts w:eastAsia="Times New Roman" w:cs="Times New Roman"/>
          <w:color w:val="000000"/>
          <w:szCs w:val="24"/>
          <w:lang w:val="en-US"/>
        </w:rPr>
        <w:t xml:space="preserve"> Inc</w:t>
      </w:r>
      <w:r w:rsidR="0069021E">
        <w:rPr>
          <w:rFonts w:eastAsia="Times New Roman" w:cs="Times New Roman"/>
          <w:color w:val="000000"/>
          <w:szCs w:val="24"/>
          <w:lang w:val="en-US"/>
        </w:rPr>
        <w:t>.</w:t>
      </w:r>
      <w:r w:rsidR="0064683F">
        <w:rPr>
          <w:rFonts w:eastAsia="Times New Roman" w:cs="Times New Roman"/>
          <w:color w:val="000000"/>
          <w:szCs w:val="24"/>
          <w:lang w:val="en-US"/>
        </w:rPr>
        <w:t xml:space="preserve"> </w:t>
      </w:r>
      <w:r w:rsidR="00B56D2C">
        <w:rPr>
          <w:rFonts w:eastAsia="Times New Roman" w:cs="Times New Roman"/>
          <w:color w:val="000000"/>
          <w:szCs w:val="24"/>
          <w:lang w:val="en-US"/>
        </w:rPr>
        <w:t>Durin</w:t>
      </w:r>
      <w:r w:rsidR="0064683F">
        <w:rPr>
          <w:rFonts w:eastAsia="Times New Roman" w:cs="Times New Roman"/>
          <w:color w:val="000000"/>
          <w:szCs w:val="24"/>
          <w:lang w:val="en-US"/>
        </w:rPr>
        <w:t>g</w:t>
      </w:r>
      <w:r w:rsidR="00B56D2C">
        <w:rPr>
          <w:rFonts w:eastAsia="Times New Roman" w:cs="Times New Roman"/>
          <w:color w:val="000000"/>
          <w:szCs w:val="24"/>
          <w:lang w:val="en-US"/>
        </w:rPr>
        <w:t xml:space="preserve"> 2015-2016 the organization Pfizer </w:t>
      </w:r>
      <w:r w:rsidR="0064683F">
        <w:rPr>
          <w:rFonts w:eastAsia="Times New Roman" w:cs="Times New Roman"/>
          <w:color w:val="000000"/>
          <w:szCs w:val="24"/>
          <w:lang w:val="en-US"/>
        </w:rPr>
        <w:t>continuously</w:t>
      </w:r>
      <w:r w:rsidR="00B56D2C">
        <w:rPr>
          <w:rFonts w:eastAsia="Times New Roman" w:cs="Times New Roman"/>
          <w:color w:val="000000"/>
          <w:szCs w:val="24"/>
          <w:lang w:val="en-US"/>
        </w:rPr>
        <w:t xml:space="preserve"> lost a large chunk of their profit due to </w:t>
      </w:r>
      <w:r w:rsidR="0064683F">
        <w:rPr>
          <w:rFonts w:eastAsia="Times New Roman" w:cs="Times New Roman"/>
          <w:color w:val="000000"/>
          <w:szCs w:val="24"/>
          <w:lang w:val="en-US"/>
        </w:rPr>
        <w:t>unfavorable</w:t>
      </w:r>
      <w:r w:rsidR="00B56D2C">
        <w:rPr>
          <w:rFonts w:eastAsia="Times New Roman" w:cs="Times New Roman"/>
          <w:color w:val="000000"/>
          <w:szCs w:val="24"/>
          <w:lang w:val="en-US"/>
        </w:rPr>
        <w:t xml:space="preserve"> exchange rate fluctuation</w:t>
      </w:r>
      <w:r w:rsidR="0064683F">
        <w:rPr>
          <w:rFonts w:eastAsia="Times New Roman" w:cs="Times New Roman"/>
          <w:color w:val="000000"/>
          <w:szCs w:val="24"/>
          <w:lang w:val="en-US"/>
        </w:rPr>
        <w:t xml:space="preserve"> which has been </w:t>
      </w:r>
      <w:r w:rsidR="007E4796">
        <w:rPr>
          <w:rFonts w:eastAsia="Times New Roman" w:cs="Times New Roman"/>
          <w:color w:val="000000"/>
          <w:szCs w:val="24"/>
          <w:lang w:val="en-US"/>
        </w:rPr>
        <w:t>reflected</w:t>
      </w:r>
      <w:r w:rsidR="0064683F">
        <w:rPr>
          <w:rFonts w:eastAsia="Times New Roman" w:cs="Times New Roman"/>
          <w:color w:val="000000"/>
          <w:szCs w:val="24"/>
          <w:lang w:val="en-US"/>
        </w:rPr>
        <w:t xml:space="preserve"> by the declining ratios of 14%</w:t>
      </w:r>
      <w:r w:rsidR="00FA3ED6">
        <w:rPr>
          <w:rFonts w:eastAsia="Times New Roman" w:cs="Times New Roman"/>
          <w:color w:val="000000"/>
          <w:szCs w:val="24"/>
          <w:lang w:val="en-US"/>
        </w:rPr>
        <w:t xml:space="preserve">.Where as the GSK has seen an increase in </w:t>
      </w:r>
      <w:r w:rsidR="007E4796">
        <w:rPr>
          <w:rFonts w:eastAsia="Times New Roman" w:cs="Times New Roman"/>
          <w:color w:val="000000"/>
          <w:szCs w:val="24"/>
          <w:lang w:val="en-US"/>
        </w:rPr>
        <w:t>initial</w:t>
      </w:r>
      <w:r w:rsidR="00FA3ED6">
        <w:rPr>
          <w:rFonts w:eastAsia="Times New Roman" w:cs="Times New Roman"/>
          <w:color w:val="000000"/>
          <w:szCs w:val="24"/>
          <w:lang w:val="en-US"/>
        </w:rPr>
        <w:t xml:space="preserve"> turnover from the </w:t>
      </w:r>
      <w:r w:rsidR="007E4796">
        <w:rPr>
          <w:rFonts w:eastAsia="Times New Roman" w:cs="Times New Roman"/>
          <w:color w:val="000000"/>
          <w:szCs w:val="24"/>
          <w:lang w:val="en-US"/>
        </w:rPr>
        <w:t xml:space="preserve">sectors of Vaccine and health care production but later in 2016 a slight increase in sales turnover with a large proportional increase in </w:t>
      </w:r>
      <w:r w:rsidR="00472937">
        <w:rPr>
          <w:rFonts w:eastAsia="Times New Roman" w:cs="Times New Roman"/>
          <w:color w:val="000000"/>
          <w:szCs w:val="24"/>
          <w:lang w:val="en-US"/>
        </w:rPr>
        <w:t xml:space="preserve">operating cost the business has </w:t>
      </w:r>
      <w:r w:rsidR="00472937">
        <w:rPr>
          <w:rFonts w:eastAsia="Times New Roman" w:cs="Times New Roman"/>
          <w:color w:val="000000"/>
          <w:szCs w:val="24"/>
          <w:lang w:val="en-US"/>
        </w:rPr>
        <w:lastRenderedPageBreak/>
        <w:t>registered a sharp decline in net profit margin from 35% to 4%</w:t>
      </w:r>
      <w:r w:rsidR="00F84852" w:rsidRPr="00F84852">
        <w:t xml:space="preserve"> </w:t>
      </w:r>
      <w:r w:rsidR="00F84852" w:rsidRPr="00F84852">
        <w:rPr>
          <w:rFonts w:eastAsia="Times New Roman" w:cs="Times New Roman"/>
          <w:color w:val="000000"/>
          <w:szCs w:val="24"/>
          <w:lang w:val="en-US"/>
        </w:rPr>
        <w:t>(Pfizer_Financial_Report.pdf, 2014)</w:t>
      </w:r>
      <w:r w:rsidR="00472937">
        <w:rPr>
          <w:rFonts w:eastAsia="Times New Roman" w:cs="Times New Roman"/>
          <w:color w:val="000000"/>
          <w:szCs w:val="24"/>
          <w:lang w:val="en-US"/>
        </w:rPr>
        <w:t>.</w:t>
      </w:r>
    </w:p>
    <w:p w:rsidR="00BE76DE" w:rsidRDefault="00BE76DE" w:rsidP="00BE76DE">
      <w:pPr>
        <w:pStyle w:val="Heading3"/>
      </w:pPr>
      <w:bookmarkStart w:id="13" w:name="_Toc502329667"/>
      <w:r>
        <w:t>Comparison with respect to Current</w:t>
      </w:r>
      <w:r w:rsidR="004B3473">
        <w:t xml:space="preserve"> ratio</w:t>
      </w:r>
      <w:r>
        <w:t>:</w:t>
      </w:r>
      <w:bookmarkEnd w:id="13"/>
    </w:p>
    <w:tbl>
      <w:tblPr>
        <w:tblStyle w:val="MediumList1-Accent2"/>
        <w:tblW w:w="6480" w:type="dxa"/>
        <w:jc w:val="center"/>
        <w:shd w:val="clear" w:color="auto" w:fill="FFFF99"/>
        <w:tblLook w:val="04A0"/>
      </w:tblPr>
      <w:tblGrid>
        <w:gridCol w:w="2104"/>
        <w:gridCol w:w="876"/>
        <w:gridCol w:w="875"/>
        <w:gridCol w:w="875"/>
        <w:gridCol w:w="875"/>
        <w:gridCol w:w="875"/>
      </w:tblGrid>
      <w:tr w:rsidR="00472937" w:rsidRPr="00472937" w:rsidTr="003563F3">
        <w:trPr>
          <w:cnfStyle w:val="100000000000"/>
          <w:trHeight w:val="300"/>
          <w:jc w:val="center"/>
        </w:trPr>
        <w:tc>
          <w:tcPr>
            <w:cnfStyle w:val="001000000000"/>
            <w:tcW w:w="6480" w:type="dxa"/>
            <w:gridSpan w:val="6"/>
            <w:shd w:val="clear" w:color="auto" w:fill="FFFF99"/>
            <w:noWrap/>
            <w:hideMark/>
          </w:tcPr>
          <w:p w:rsidR="00472937" w:rsidRPr="00472937" w:rsidRDefault="00472937" w:rsidP="00472937">
            <w:pPr>
              <w:spacing w:line="240" w:lineRule="auto"/>
              <w:jc w:val="center"/>
              <w:rPr>
                <w:rFonts w:eastAsia="Times New Roman" w:cs="Times New Roman"/>
                <w:color w:val="000000"/>
                <w:sz w:val="24"/>
                <w:szCs w:val="24"/>
                <w:lang w:val="en-US"/>
              </w:rPr>
            </w:pPr>
            <w:r w:rsidRPr="00472937">
              <w:rPr>
                <w:rFonts w:eastAsia="Times New Roman" w:cs="Times New Roman"/>
                <w:color w:val="000000"/>
                <w:sz w:val="24"/>
                <w:szCs w:val="24"/>
                <w:lang w:val="en-US"/>
              </w:rPr>
              <w:t>Current Ratio</w:t>
            </w:r>
          </w:p>
        </w:tc>
      </w:tr>
      <w:tr w:rsidR="00472937" w:rsidRPr="00472937" w:rsidTr="003563F3">
        <w:trPr>
          <w:cnfStyle w:val="000000100000"/>
          <w:trHeight w:val="300"/>
          <w:jc w:val="center"/>
        </w:trPr>
        <w:tc>
          <w:tcPr>
            <w:cnfStyle w:val="001000000000"/>
            <w:tcW w:w="2104" w:type="dxa"/>
            <w:shd w:val="clear" w:color="auto" w:fill="FFFF99"/>
            <w:noWrap/>
            <w:hideMark/>
          </w:tcPr>
          <w:p w:rsidR="00472937" w:rsidRPr="00472937" w:rsidRDefault="00472937" w:rsidP="00472937">
            <w:pPr>
              <w:spacing w:line="240" w:lineRule="auto"/>
              <w:jc w:val="left"/>
              <w:rPr>
                <w:rFonts w:eastAsia="Times New Roman" w:cs="Times New Roman"/>
                <w:color w:val="000000"/>
                <w:sz w:val="24"/>
                <w:szCs w:val="24"/>
                <w:lang w:val="en-US"/>
              </w:rPr>
            </w:pPr>
            <w:r w:rsidRPr="00472937">
              <w:rPr>
                <w:rFonts w:eastAsia="Times New Roman" w:cs="Times New Roman"/>
                <w:color w:val="000000"/>
                <w:sz w:val="24"/>
                <w:szCs w:val="24"/>
                <w:lang w:val="en-US"/>
              </w:rPr>
              <w:t> </w:t>
            </w:r>
          </w:p>
        </w:tc>
        <w:tc>
          <w:tcPr>
            <w:tcW w:w="876" w:type="dxa"/>
            <w:shd w:val="clear" w:color="auto" w:fill="FFFF99"/>
            <w:noWrap/>
            <w:hideMark/>
          </w:tcPr>
          <w:p w:rsidR="00472937" w:rsidRPr="00472937" w:rsidRDefault="00472937" w:rsidP="00472937">
            <w:pPr>
              <w:spacing w:line="240" w:lineRule="auto"/>
              <w:jc w:val="right"/>
              <w:cnfStyle w:val="000000100000"/>
              <w:rPr>
                <w:rFonts w:eastAsia="Times New Roman" w:cs="Times New Roman"/>
                <w:color w:val="000000"/>
                <w:sz w:val="24"/>
                <w:szCs w:val="24"/>
                <w:lang w:val="en-US"/>
              </w:rPr>
            </w:pPr>
            <w:r w:rsidRPr="00472937">
              <w:rPr>
                <w:rFonts w:eastAsia="Times New Roman" w:cs="Times New Roman"/>
                <w:color w:val="000000"/>
                <w:sz w:val="24"/>
                <w:szCs w:val="24"/>
                <w:lang w:val="en-US"/>
              </w:rPr>
              <w:t>2012</w:t>
            </w:r>
          </w:p>
        </w:tc>
        <w:tc>
          <w:tcPr>
            <w:tcW w:w="875" w:type="dxa"/>
            <w:shd w:val="clear" w:color="auto" w:fill="FFFF99"/>
            <w:noWrap/>
            <w:hideMark/>
          </w:tcPr>
          <w:p w:rsidR="00472937" w:rsidRPr="00472937" w:rsidRDefault="00472937" w:rsidP="00472937">
            <w:pPr>
              <w:spacing w:line="240" w:lineRule="auto"/>
              <w:jc w:val="right"/>
              <w:cnfStyle w:val="000000100000"/>
              <w:rPr>
                <w:rFonts w:eastAsia="Times New Roman" w:cs="Times New Roman"/>
                <w:color w:val="000000"/>
                <w:sz w:val="24"/>
                <w:szCs w:val="24"/>
                <w:lang w:val="en-US"/>
              </w:rPr>
            </w:pPr>
            <w:r w:rsidRPr="00472937">
              <w:rPr>
                <w:rFonts w:eastAsia="Times New Roman" w:cs="Times New Roman"/>
                <w:color w:val="000000"/>
                <w:sz w:val="24"/>
                <w:szCs w:val="24"/>
                <w:lang w:val="en-US"/>
              </w:rPr>
              <w:t>2013</w:t>
            </w:r>
          </w:p>
        </w:tc>
        <w:tc>
          <w:tcPr>
            <w:tcW w:w="875" w:type="dxa"/>
            <w:shd w:val="clear" w:color="auto" w:fill="FFFF99"/>
            <w:noWrap/>
            <w:hideMark/>
          </w:tcPr>
          <w:p w:rsidR="00472937" w:rsidRPr="00472937" w:rsidRDefault="00472937" w:rsidP="00472937">
            <w:pPr>
              <w:spacing w:line="240" w:lineRule="auto"/>
              <w:jc w:val="right"/>
              <w:cnfStyle w:val="000000100000"/>
              <w:rPr>
                <w:rFonts w:eastAsia="Times New Roman" w:cs="Times New Roman"/>
                <w:color w:val="000000"/>
                <w:sz w:val="24"/>
                <w:szCs w:val="24"/>
                <w:lang w:val="en-US"/>
              </w:rPr>
            </w:pPr>
            <w:r w:rsidRPr="00472937">
              <w:rPr>
                <w:rFonts w:eastAsia="Times New Roman" w:cs="Times New Roman"/>
                <w:color w:val="000000"/>
                <w:sz w:val="24"/>
                <w:szCs w:val="24"/>
                <w:lang w:val="en-US"/>
              </w:rPr>
              <w:t>2014</w:t>
            </w:r>
          </w:p>
        </w:tc>
        <w:tc>
          <w:tcPr>
            <w:tcW w:w="875" w:type="dxa"/>
            <w:shd w:val="clear" w:color="auto" w:fill="FFFF99"/>
            <w:noWrap/>
            <w:hideMark/>
          </w:tcPr>
          <w:p w:rsidR="00472937" w:rsidRPr="00472937" w:rsidRDefault="00472937" w:rsidP="00472937">
            <w:pPr>
              <w:spacing w:line="240" w:lineRule="auto"/>
              <w:jc w:val="right"/>
              <w:cnfStyle w:val="000000100000"/>
              <w:rPr>
                <w:rFonts w:eastAsia="Times New Roman" w:cs="Times New Roman"/>
                <w:color w:val="000000"/>
                <w:sz w:val="24"/>
                <w:szCs w:val="24"/>
                <w:lang w:val="en-US"/>
              </w:rPr>
            </w:pPr>
            <w:r w:rsidRPr="00472937">
              <w:rPr>
                <w:rFonts w:eastAsia="Times New Roman" w:cs="Times New Roman"/>
                <w:color w:val="000000"/>
                <w:sz w:val="24"/>
                <w:szCs w:val="24"/>
                <w:lang w:val="en-US"/>
              </w:rPr>
              <w:t>2015</w:t>
            </w:r>
          </w:p>
        </w:tc>
        <w:tc>
          <w:tcPr>
            <w:tcW w:w="875" w:type="dxa"/>
            <w:shd w:val="clear" w:color="auto" w:fill="FFFF99"/>
            <w:noWrap/>
            <w:hideMark/>
          </w:tcPr>
          <w:p w:rsidR="00472937" w:rsidRPr="00472937" w:rsidRDefault="00472937" w:rsidP="00472937">
            <w:pPr>
              <w:spacing w:line="240" w:lineRule="auto"/>
              <w:jc w:val="right"/>
              <w:cnfStyle w:val="000000100000"/>
              <w:rPr>
                <w:rFonts w:eastAsia="Times New Roman" w:cs="Times New Roman"/>
                <w:color w:val="000000"/>
                <w:sz w:val="24"/>
                <w:szCs w:val="24"/>
                <w:lang w:val="en-US"/>
              </w:rPr>
            </w:pPr>
            <w:r w:rsidRPr="00472937">
              <w:rPr>
                <w:rFonts w:eastAsia="Times New Roman" w:cs="Times New Roman"/>
                <w:color w:val="000000"/>
                <w:sz w:val="24"/>
                <w:szCs w:val="24"/>
                <w:lang w:val="en-US"/>
              </w:rPr>
              <w:t>2016</w:t>
            </w:r>
          </w:p>
        </w:tc>
      </w:tr>
      <w:tr w:rsidR="00472937" w:rsidRPr="00472937" w:rsidTr="003563F3">
        <w:trPr>
          <w:trHeight w:val="300"/>
          <w:jc w:val="center"/>
        </w:trPr>
        <w:tc>
          <w:tcPr>
            <w:cnfStyle w:val="001000000000"/>
            <w:tcW w:w="2104" w:type="dxa"/>
            <w:shd w:val="clear" w:color="auto" w:fill="FFFF99"/>
            <w:hideMark/>
          </w:tcPr>
          <w:p w:rsidR="00472937" w:rsidRPr="00472937" w:rsidRDefault="00472937" w:rsidP="00472937">
            <w:pPr>
              <w:spacing w:line="240" w:lineRule="auto"/>
              <w:jc w:val="left"/>
              <w:rPr>
                <w:rFonts w:eastAsia="Times New Roman" w:cs="Times New Roman"/>
                <w:color w:val="000000"/>
                <w:sz w:val="24"/>
                <w:szCs w:val="24"/>
                <w:lang w:val="en-US"/>
              </w:rPr>
            </w:pPr>
            <w:r w:rsidRPr="00472937">
              <w:rPr>
                <w:rFonts w:eastAsia="Times New Roman" w:cs="Times New Roman"/>
                <w:color w:val="000000"/>
                <w:sz w:val="24"/>
                <w:szCs w:val="24"/>
                <w:lang w:val="en-US"/>
              </w:rPr>
              <w:t>GSK</w:t>
            </w:r>
          </w:p>
        </w:tc>
        <w:tc>
          <w:tcPr>
            <w:tcW w:w="876" w:type="dxa"/>
            <w:shd w:val="clear" w:color="auto" w:fill="FFFF99"/>
            <w:noWrap/>
            <w:hideMark/>
          </w:tcPr>
          <w:p w:rsidR="00472937" w:rsidRPr="00472937" w:rsidRDefault="00472937" w:rsidP="00472937">
            <w:pPr>
              <w:spacing w:line="240" w:lineRule="auto"/>
              <w:jc w:val="right"/>
              <w:cnfStyle w:val="000000000000"/>
              <w:rPr>
                <w:rFonts w:eastAsia="Times New Roman" w:cs="Times New Roman"/>
                <w:color w:val="000000"/>
                <w:sz w:val="24"/>
                <w:szCs w:val="24"/>
                <w:lang w:val="en-US"/>
              </w:rPr>
            </w:pPr>
            <w:r w:rsidRPr="00472937">
              <w:rPr>
                <w:rFonts w:eastAsia="Times New Roman" w:cs="Times New Roman"/>
                <w:color w:val="000000"/>
                <w:sz w:val="24"/>
                <w:szCs w:val="24"/>
                <w:lang w:val="en-US"/>
              </w:rPr>
              <w:t>0.99</w:t>
            </w:r>
          </w:p>
        </w:tc>
        <w:tc>
          <w:tcPr>
            <w:tcW w:w="875" w:type="dxa"/>
            <w:shd w:val="clear" w:color="auto" w:fill="FFFF99"/>
            <w:noWrap/>
            <w:hideMark/>
          </w:tcPr>
          <w:p w:rsidR="00472937" w:rsidRPr="00472937" w:rsidRDefault="00472937" w:rsidP="00472937">
            <w:pPr>
              <w:spacing w:line="240" w:lineRule="auto"/>
              <w:jc w:val="right"/>
              <w:cnfStyle w:val="000000000000"/>
              <w:rPr>
                <w:rFonts w:eastAsia="Times New Roman" w:cs="Times New Roman"/>
                <w:color w:val="000000"/>
                <w:sz w:val="24"/>
                <w:szCs w:val="24"/>
                <w:lang w:val="en-US"/>
              </w:rPr>
            </w:pPr>
            <w:r w:rsidRPr="00472937">
              <w:rPr>
                <w:rFonts w:eastAsia="Times New Roman" w:cs="Times New Roman"/>
                <w:color w:val="000000"/>
                <w:sz w:val="24"/>
                <w:szCs w:val="24"/>
                <w:lang w:val="en-US"/>
              </w:rPr>
              <w:t>1.11</w:t>
            </w:r>
          </w:p>
        </w:tc>
        <w:tc>
          <w:tcPr>
            <w:tcW w:w="875" w:type="dxa"/>
            <w:shd w:val="clear" w:color="auto" w:fill="FFFF99"/>
            <w:noWrap/>
            <w:hideMark/>
          </w:tcPr>
          <w:p w:rsidR="00472937" w:rsidRPr="00472937" w:rsidRDefault="00472937" w:rsidP="00472937">
            <w:pPr>
              <w:spacing w:line="240" w:lineRule="auto"/>
              <w:jc w:val="right"/>
              <w:cnfStyle w:val="000000000000"/>
              <w:rPr>
                <w:rFonts w:eastAsia="Times New Roman" w:cs="Times New Roman"/>
                <w:color w:val="000000"/>
                <w:sz w:val="24"/>
                <w:szCs w:val="24"/>
                <w:lang w:val="en-US"/>
              </w:rPr>
            </w:pPr>
            <w:r w:rsidRPr="00472937">
              <w:rPr>
                <w:rFonts w:eastAsia="Times New Roman" w:cs="Times New Roman"/>
                <w:color w:val="000000"/>
                <w:sz w:val="24"/>
                <w:szCs w:val="24"/>
                <w:lang w:val="en-US"/>
              </w:rPr>
              <w:t>1.10</w:t>
            </w:r>
          </w:p>
        </w:tc>
        <w:tc>
          <w:tcPr>
            <w:tcW w:w="875" w:type="dxa"/>
            <w:shd w:val="clear" w:color="auto" w:fill="FFFF99"/>
            <w:noWrap/>
            <w:hideMark/>
          </w:tcPr>
          <w:p w:rsidR="00472937" w:rsidRPr="00472937" w:rsidRDefault="00472937" w:rsidP="00472937">
            <w:pPr>
              <w:spacing w:line="240" w:lineRule="auto"/>
              <w:jc w:val="right"/>
              <w:cnfStyle w:val="000000000000"/>
              <w:rPr>
                <w:rFonts w:eastAsia="Times New Roman" w:cs="Times New Roman"/>
                <w:color w:val="000000"/>
                <w:sz w:val="24"/>
                <w:szCs w:val="24"/>
                <w:lang w:val="en-US"/>
              </w:rPr>
            </w:pPr>
            <w:r w:rsidRPr="00472937">
              <w:rPr>
                <w:rFonts w:eastAsia="Times New Roman" w:cs="Times New Roman"/>
                <w:color w:val="000000"/>
                <w:sz w:val="24"/>
                <w:szCs w:val="24"/>
                <w:lang w:val="en-US"/>
              </w:rPr>
              <w:t>1.24</w:t>
            </w:r>
          </w:p>
        </w:tc>
        <w:tc>
          <w:tcPr>
            <w:tcW w:w="875" w:type="dxa"/>
            <w:shd w:val="clear" w:color="auto" w:fill="FFFF99"/>
            <w:noWrap/>
            <w:hideMark/>
          </w:tcPr>
          <w:p w:rsidR="00472937" w:rsidRPr="00472937" w:rsidRDefault="00472937" w:rsidP="00472937">
            <w:pPr>
              <w:spacing w:line="240" w:lineRule="auto"/>
              <w:jc w:val="right"/>
              <w:cnfStyle w:val="000000000000"/>
              <w:rPr>
                <w:rFonts w:eastAsia="Times New Roman" w:cs="Times New Roman"/>
                <w:color w:val="000000"/>
                <w:sz w:val="24"/>
                <w:szCs w:val="24"/>
                <w:lang w:val="en-US"/>
              </w:rPr>
            </w:pPr>
            <w:r w:rsidRPr="00472937">
              <w:rPr>
                <w:rFonts w:eastAsia="Times New Roman" w:cs="Times New Roman"/>
                <w:color w:val="000000"/>
                <w:sz w:val="24"/>
                <w:szCs w:val="24"/>
                <w:lang w:val="en-US"/>
              </w:rPr>
              <w:t>0.88</w:t>
            </w:r>
          </w:p>
        </w:tc>
      </w:tr>
      <w:tr w:rsidR="00472937" w:rsidRPr="00472937" w:rsidTr="003563F3">
        <w:trPr>
          <w:cnfStyle w:val="000000100000"/>
          <w:trHeight w:val="300"/>
          <w:jc w:val="center"/>
        </w:trPr>
        <w:tc>
          <w:tcPr>
            <w:cnfStyle w:val="001000000000"/>
            <w:tcW w:w="2104" w:type="dxa"/>
            <w:shd w:val="clear" w:color="auto" w:fill="FFFF99"/>
            <w:noWrap/>
            <w:hideMark/>
          </w:tcPr>
          <w:p w:rsidR="00472937" w:rsidRPr="00472937" w:rsidRDefault="00472937" w:rsidP="00472937">
            <w:pPr>
              <w:spacing w:line="240" w:lineRule="auto"/>
              <w:jc w:val="left"/>
              <w:rPr>
                <w:rFonts w:eastAsia="Times New Roman" w:cs="Times New Roman"/>
                <w:color w:val="000000"/>
                <w:sz w:val="24"/>
                <w:szCs w:val="24"/>
                <w:lang w:val="en-US"/>
              </w:rPr>
            </w:pPr>
            <w:r w:rsidRPr="00472937">
              <w:rPr>
                <w:rFonts w:eastAsia="Times New Roman" w:cs="Times New Roman"/>
                <w:color w:val="000000"/>
                <w:sz w:val="24"/>
                <w:szCs w:val="24"/>
                <w:lang w:val="en-US"/>
              </w:rPr>
              <w:t>Pfizer</w:t>
            </w:r>
          </w:p>
        </w:tc>
        <w:tc>
          <w:tcPr>
            <w:tcW w:w="876" w:type="dxa"/>
            <w:shd w:val="clear" w:color="auto" w:fill="FFFF99"/>
            <w:noWrap/>
            <w:hideMark/>
          </w:tcPr>
          <w:p w:rsidR="00472937" w:rsidRPr="00472937" w:rsidRDefault="00472937" w:rsidP="00472937">
            <w:pPr>
              <w:spacing w:line="240" w:lineRule="auto"/>
              <w:jc w:val="right"/>
              <w:cnfStyle w:val="000000100000"/>
              <w:rPr>
                <w:rFonts w:eastAsia="Times New Roman" w:cs="Times New Roman"/>
                <w:color w:val="000000"/>
                <w:sz w:val="24"/>
                <w:szCs w:val="24"/>
                <w:lang w:val="en-US"/>
              </w:rPr>
            </w:pPr>
            <w:r w:rsidRPr="00472937">
              <w:rPr>
                <w:rFonts w:eastAsia="Times New Roman" w:cs="Times New Roman"/>
                <w:color w:val="000000"/>
                <w:sz w:val="24"/>
                <w:szCs w:val="24"/>
                <w:lang w:val="en-US"/>
              </w:rPr>
              <w:t>2.22</w:t>
            </w:r>
          </w:p>
        </w:tc>
        <w:tc>
          <w:tcPr>
            <w:tcW w:w="875" w:type="dxa"/>
            <w:shd w:val="clear" w:color="auto" w:fill="FFFF99"/>
            <w:noWrap/>
            <w:hideMark/>
          </w:tcPr>
          <w:p w:rsidR="00472937" w:rsidRPr="00472937" w:rsidRDefault="00472937" w:rsidP="00472937">
            <w:pPr>
              <w:spacing w:line="240" w:lineRule="auto"/>
              <w:jc w:val="right"/>
              <w:cnfStyle w:val="000000100000"/>
              <w:rPr>
                <w:rFonts w:eastAsia="Times New Roman" w:cs="Times New Roman"/>
                <w:color w:val="000000"/>
                <w:sz w:val="24"/>
                <w:szCs w:val="24"/>
                <w:lang w:val="en-US"/>
              </w:rPr>
            </w:pPr>
            <w:r w:rsidRPr="00472937">
              <w:rPr>
                <w:rFonts w:eastAsia="Times New Roman" w:cs="Times New Roman"/>
                <w:color w:val="000000"/>
                <w:sz w:val="24"/>
                <w:szCs w:val="24"/>
                <w:lang w:val="en-US"/>
              </w:rPr>
              <w:t>2.41</w:t>
            </w:r>
          </w:p>
        </w:tc>
        <w:tc>
          <w:tcPr>
            <w:tcW w:w="875" w:type="dxa"/>
            <w:shd w:val="clear" w:color="auto" w:fill="FFFF99"/>
            <w:noWrap/>
            <w:hideMark/>
          </w:tcPr>
          <w:p w:rsidR="00472937" w:rsidRPr="00472937" w:rsidRDefault="00472937" w:rsidP="00472937">
            <w:pPr>
              <w:spacing w:line="240" w:lineRule="auto"/>
              <w:jc w:val="right"/>
              <w:cnfStyle w:val="000000100000"/>
              <w:rPr>
                <w:rFonts w:eastAsia="Times New Roman" w:cs="Times New Roman"/>
                <w:color w:val="000000"/>
                <w:sz w:val="24"/>
                <w:szCs w:val="24"/>
                <w:lang w:val="en-US"/>
              </w:rPr>
            </w:pPr>
            <w:r w:rsidRPr="00472937">
              <w:rPr>
                <w:rFonts w:eastAsia="Times New Roman" w:cs="Times New Roman"/>
                <w:color w:val="000000"/>
                <w:sz w:val="24"/>
                <w:szCs w:val="24"/>
                <w:lang w:val="en-US"/>
              </w:rPr>
              <w:t>2.67</w:t>
            </w:r>
          </w:p>
        </w:tc>
        <w:tc>
          <w:tcPr>
            <w:tcW w:w="875" w:type="dxa"/>
            <w:shd w:val="clear" w:color="auto" w:fill="FFFF99"/>
            <w:noWrap/>
            <w:hideMark/>
          </w:tcPr>
          <w:p w:rsidR="00472937" w:rsidRPr="00472937" w:rsidRDefault="00472937" w:rsidP="00472937">
            <w:pPr>
              <w:spacing w:line="240" w:lineRule="auto"/>
              <w:jc w:val="right"/>
              <w:cnfStyle w:val="000000100000"/>
              <w:rPr>
                <w:rFonts w:eastAsia="Times New Roman" w:cs="Times New Roman"/>
                <w:color w:val="000000"/>
                <w:sz w:val="24"/>
                <w:szCs w:val="24"/>
                <w:lang w:val="en-US"/>
              </w:rPr>
            </w:pPr>
            <w:r w:rsidRPr="00472937">
              <w:rPr>
                <w:rFonts w:eastAsia="Times New Roman" w:cs="Times New Roman"/>
                <w:color w:val="000000"/>
                <w:sz w:val="24"/>
                <w:szCs w:val="24"/>
                <w:lang w:val="en-US"/>
              </w:rPr>
              <w:t>1.49</w:t>
            </w:r>
          </w:p>
        </w:tc>
        <w:tc>
          <w:tcPr>
            <w:tcW w:w="875" w:type="dxa"/>
            <w:shd w:val="clear" w:color="auto" w:fill="FFFF99"/>
            <w:noWrap/>
            <w:hideMark/>
          </w:tcPr>
          <w:p w:rsidR="00472937" w:rsidRPr="00472937" w:rsidRDefault="00472937" w:rsidP="00472937">
            <w:pPr>
              <w:spacing w:line="240" w:lineRule="auto"/>
              <w:jc w:val="right"/>
              <w:cnfStyle w:val="000000100000"/>
              <w:rPr>
                <w:rFonts w:eastAsia="Times New Roman" w:cs="Times New Roman"/>
                <w:color w:val="000000"/>
                <w:sz w:val="24"/>
                <w:szCs w:val="24"/>
                <w:lang w:val="en-US"/>
              </w:rPr>
            </w:pPr>
            <w:r w:rsidRPr="00472937">
              <w:rPr>
                <w:rFonts w:eastAsia="Times New Roman" w:cs="Times New Roman"/>
                <w:color w:val="000000"/>
                <w:sz w:val="24"/>
                <w:szCs w:val="24"/>
                <w:lang w:val="en-US"/>
              </w:rPr>
              <w:t>1.25</w:t>
            </w:r>
          </w:p>
        </w:tc>
      </w:tr>
    </w:tbl>
    <w:p w:rsidR="0035269A" w:rsidRDefault="0035269A" w:rsidP="0035269A"/>
    <w:p w:rsidR="003563F3" w:rsidRDefault="003563F3" w:rsidP="003563F3">
      <w:pPr>
        <w:jc w:val="center"/>
      </w:pPr>
      <w:r w:rsidRPr="003563F3">
        <w:rPr>
          <w:noProof/>
          <w:lang w:val="en-US" w:bidi="gu-IN"/>
        </w:rPr>
        <w:drawing>
          <wp:inline distT="0" distB="0" distL="0" distR="0">
            <wp:extent cx="3095624" cy="1952625"/>
            <wp:effectExtent l="19050" t="0" r="9526"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3563F3" w:rsidRDefault="00E95955" w:rsidP="0035269A">
      <w:r>
        <w:t xml:space="preserve">On an average the </w:t>
      </w:r>
      <w:r w:rsidR="0038077C">
        <w:t>Current ratios</w:t>
      </w:r>
      <w:r>
        <w:t xml:space="preserve"> of Pfizer are </w:t>
      </w:r>
      <w:r w:rsidR="0038077C">
        <w:t>stronger</w:t>
      </w:r>
      <w:r>
        <w:t xml:space="preserve"> </w:t>
      </w:r>
      <w:r w:rsidR="007F77BD">
        <w:t>than that of the GSK</w:t>
      </w:r>
      <w:r w:rsidR="004B6B3D">
        <w:t xml:space="preserve"> as GSK has made huge investment in acquisition of the leaders of the different segments of the health care industry and has failed to genera</w:t>
      </w:r>
      <w:r w:rsidR="0022758D">
        <w:t>te profit in the same pace in which investments are being made</w:t>
      </w:r>
      <w:r w:rsidR="007F77BD">
        <w:t>.</w:t>
      </w:r>
      <w:r w:rsidR="0038077C">
        <w:t xml:space="preserve"> </w:t>
      </w:r>
      <w:r w:rsidR="007F77BD">
        <w:t>Looking at the ratios of the Pfizer</w:t>
      </w:r>
      <w:r w:rsidR="006E7AB1">
        <w:t xml:space="preserve"> it can be seen that the ratios of the organization were above 2 during 2012-2014 when the current asset of the </w:t>
      </w:r>
      <w:r w:rsidR="00981CB2">
        <w:t xml:space="preserve">organization is almost twice the </w:t>
      </w:r>
      <w:r w:rsidR="006E7AB1">
        <w:t xml:space="preserve">current liability </w:t>
      </w:r>
      <w:r w:rsidR="00981CB2">
        <w:t xml:space="preserve">of the </w:t>
      </w:r>
      <w:r w:rsidR="0038077C">
        <w:t>organization</w:t>
      </w:r>
      <w:r w:rsidR="00A35A1F" w:rsidRPr="00A35A1F">
        <w:t xml:space="preserve"> (Gsk.com, 2014)</w:t>
      </w:r>
      <w:r w:rsidR="0038077C">
        <w:t>. Later</w:t>
      </w:r>
      <w:r w:rsidR="00981CB2">
        <w:t xml:space="preserve"> from </w:t>
      </w:r>
      <w:r w:rsidR="00993506">
        <w:t>2015 onwards due to the unfavourable impact of the exchange rate the increase in international operational expense has reduced the amount of liquid asset as well as liquidity ratios of the organization.</w:t>
      </w:r>
    </w:p>
    <w:p w:rsidR="003563F3" w:rsidRPr="0035269A" w:rsidRDefault="003563F3" w:rsidP="0035269A"/>
    <w:p w:rsidR="003563F3" w:rsidRDefault="003563F3" w:rsidP="003563F3">
      <w:pPr>
        <w:pStyle w:val="Heading3"/>
      </w:pPr>
      <w:bookmarkStart w:id="14" w:name="_Toc502329668"/>
      <w:r>
        <w:t xml:space="preserve">Comparison with respect to </w:t>
      </w:r>
      <w:r w:rsidR="00876B52">
        <w:t>Quick ratio</w:t>
      </w:r>
      <w:r>
        <w:t>:</w:t>
      </w:r>
      <w:bookmarkEnd w:id="14"/>
    </w:p>
    <w:tbl>
      <w:tblPr>
        <w:tblStyle w:val="MediumList1-Accent6"/>
        <w:tblW w:w="6480" w:type="dxa"/>
        <w:jc w:val="center"/>
        <w:shd w:val="clear" w:color="auto" w:fill="FFCCFF"/>
        <w:tblLook w:val="04A0"/>
      </w:tblPr>
      <w:tblGrid>
        <w:gridCol w:w="2104"/>
        <w:gridCol w:w="876"/>
        <w:gridCol w:w="875"/>
        <w:gridCol w:w="875"/>
        <w:gridCol w:w="875"/>
        <w:gridCol w:w="875"/>
      </w:tblGrid>
      <w:tr w:rsidR="00876B52" w:rsidRPr="00876B52" w:rsidTr="00876B52">
        <w:trPr>
          <w:cnfStyle w:val="100000000000"/>
          <w:trHeight w:val="300"/>
          <w:jc w:val="center"/>
        </w:trPr>
        <w:tc>
          <w:tcPr>
            <w:cnfStyle w:val="001000000000"/>
            <w:tcW w:w="6480" w:type="dxa"/>
            <w:gridSpan w:val="6"/>
            <w:shd w:val="clear" w:color="auto" w:fill="FFCCFF"/>
            <w:noWrap/>
            <w:hideMark/>
          </w:tcPr>
          <w:p w:rsidR="00876B52" w:rsidRPr="00876B52" w:rsidRDefault="00876B52" w:rsidP="00876B52">
            <w:pPr>
              <w:spacing w:line="240" w:lineRule="auto"/>
              <w:jc w:val="center"/>
              <w:rPr>
                <w:rFonts w:eastAsia="Times New Roman" w:cs="Times New Roman"/>
                <w:color w:val="000000"/>
                <w:sz w:val="24"/>
                <w:lang w:val="en-US"/>
              </w:rPr>
            </w:pPr>
            <w:r w:rsidRPr="00876B52">
              <w:rPr>
                <w:rFonts w:eastAsia="Times New Roman" w:cs="Times New Roman"/>
                <w:color w:val="000000"/>
                <w:sz w:val="24"/>
                <w:lang w:val="en-US"/>
              </w:rPr>
              <w:t>Quick Ratio</w:t>
            </w:r>
          </w:p>
        </w:tc>
      </w:tr>
      <w:tr w:rsidR="00876B52" w:rsidRPr="00876B52" w:rsidTr="00876B52">
        <w:trPr>
          <w:cnfStyle w:val="000000100000"/>
          <w:trHeight w:val="300"/>
          <w:jc w:val="center"/>
        </w:trPr>
        <w:tc>
          <w:tcPr>
            <w:cnfStyle w:val="001000000000"/>
            <w:tcW w:w="2104" w:type="dxa"/>
            <w:shd w:val="clear" w:color="auto" w:fill="FFCCFF"/>
            <w:noWrap/>
            <w:hideMark/>
          </w:tcPr>
          <w:p w:rsidR="00876B52" w:rsidRPr="00876B52" w:rsidRDefault="00876B52" w:rsidP="00876B52">
            <w:pPr>
              <w:spacing w:line="240" w:lineRule="auto"/>
              <w:jc w:val="left"/>
              <w:rPr>
                <w:rFonts w:eastAsia="Times New Roman" w:cs="Times New Roman"/>
                <w:color w:val="000000"/>
                <w:sz w:val="24"/>
                <w:lang w:val="en-US"/>
              </w:rPr>
            </w:pPr>
            <w:r w:rsidRPr="00876B52">
              <w:rPr>
                <w:rFonts w:eastAsia="Times New Roman" w:cs="Times New Roman"/>
                <w:color w:val="000000"/>
                <w:sz w:val="24"/>
                <w:lang w:val="en-US"/>
              </w:rPr>
              <w:t> </w:t>
            </w:r>
          </w:p>
        </w:tc>
        <w:tc>
          <w:tcPr>
            <w:tcW w:w="876" w:type="dxa"/>
            <w:shd w:val="clear" w:color="auto" w:fill="FFCCFF"/>
            <w:noWrap/>
            <w:hideMark/>
          </w:tcPr>
          <w:p w:rsidR="00876B52" w:rsidRPr="00876B52" w:rsidRDefault="00876B52" w:rsidP="00876B52">
            <w:pPr>
              <w:spacing w:line="240" w:lineRule="auto"/>
              <w:jc w:val="right"/>
              <w:cnfStyle w:val="000000100000"/>
              <w:rPr>
                <w:rFonts w:eastAsia="Times New Roman" w:cs="Times New Roman"/>
                <w:color w:val="000000"/>
                <w:sz w:val="24"/>
                <w:lang w:val="en-US"/>
              </w:rPr>
            </w:pPr>
            <w:r w:rsidRPr="00876B52">
              <w:rPr>
                <w:rFonts w:eastAsia="Times New Roman" w:cs="Times New Roman"/>
                <w:color w:val="000000"/>
                <w:sz w:val="24"/>
                <w:lang w:val="en-US"/>
              </w:rPr>
              <w:t>2012</w:t>
            </w:r>
          </w:p>
        </w:tc>
        <w:tc>
          <w:tcPr>
            <w:tcW w:w="875" w:type="dxa"/>
            <w:shd w:val="clear" w:color="auto" w:fill="FFCCFF"/>
            <w:noWrap/>
            <w:hideMark/>
          </w:tcPr>
          <w:p w:rsidR="00876B52" w:rsidRPr="00876B52" w:rsidRDefault="00876B52" w:rsidP="00876B52">
            <w:pPr>
              <w:spacing w:line="240" w:lineRule="auto"/>
              <w:jc w:val="right"/>
              <w:cnfStyle w:val="000000100000"/>
              <w:rPr>
                <w:rFonts w:eastAsia="Times New Roman" w:cs="Times New Roman"/>
                <w:color w:val="000000"/>
                <w:sz w:val="24"/>
                <w:lang w:val="en-US"/>
              </w:rPr>
            </w:pPr>
            <w:r w:rsidRPr="00876B52">
              <w:rPr>
                <w:rFonts w:eastAsia="Times New Roman" w:cs="Times New Roman"/>
                <w:color w:val="000000"/>
                <w:sz w:val="24"/>
                <w:lang w:val="en-US"/>
              </w:rPr>
              <w:t>2013</w:t>
            </w:r>
          </w:p>
        </w:tc>
        <w:tc>
          <w:tcPr>
            <w:tcW w:w="875" w:type="dxa"/>
            <w:shd w:val="clear" w:color="auto" w:fill="FFCCFF"/>
            <w:noWrap/>
            <w:hideMark/>
          </w:tcPr>
          <w:p w:rsidR="00876B52" w:rsidRPr="00876B52" w:rsidRDefault="00876B52" w:rsidP="00876B52">
            <w:pPr>
              <w:spacing w:line="240" w:lineRule="auto"/>
              <w:jc w:val="right"/>
              <w:cnfStyle w:val="000000100000"/>
              <w:rPr>
                <w:rFonts w:eastAsia="Times New Roman" w:cs="Times New Roman"/>
                <w:color w:val="000000"/>
                <w:sz w:val="24"/>
                <w:lang w:val="en-US"/>
              </w:rPr>
            </w:pPr>
            <w:r w:rsidRPr="00876B52">
              <w:rPr>
                <w:rFonts w:eastAsia="Times New Roman" w:cs="Times New Roman"/>
                <w:color w:val="000000"/>
                <w:sz w:val="24"/>
                <w:lang w:val="en-US"/>
              </w:rPr>
              <w:t>2014</w:t>
            </w:r>
          </w:p>
        </w:tc>
        <w:tc>
          <w:tcPr>
            <w:tcW w:w="875" w:type="dxa"/>
            <w:shd w:val="clear" w:color="auto" w:fill="FFCCFF"/>
            <w:noWrap/>
            <w:hideMark/>
          </w:tcPr>
          <w:p w:rsidR="00876B52" w:rsidRPr="00876B52" w:rsidRDefault="00876B52" w:rsidP="00876B52">
            <w:pPr>
              <w:spacing w:line="240" w:lineRule="auto"/>
              <w:jc w:val="right"/>
              <w:cnfStyle w:val="000000100000"/>
              <w:rPr>
                <w:rFonts w:eastAsia="Times New Roman" w:cs="Times New Roman"/>
                <w:color w:val="000000"/>
                <w:sz w:val="24"/>
                <w:lang w:val="en-US"/>
              </w:rPr>
            </w:pPr>
            <w:r w:rsidRPr="00876B52">
              <w:rPr>
                <w:rFonts w:eastAsia="Times New Roman" w:cs="Times New Roman"/>
                <w:color w:val="000000"/>
                <w:sz w:val="24"/>
                <w:lang w:val="en-US"/>
              </w:rPr>
              <w:t>2015</w:t>
            </w:r>
          </w:p>
        </w:tc>
        <w:tc>
          <w:tcPr>
            <w:tcW w:w="875" w:type="dxa"/>
            <w:shd w:val="clear" w:color="auto" w:fill="FFCCFF"/>
            <w:noWrap/>
            <w:hideMark/>
          </w:tcPr>
          <w:p w:rsidR="00876B52" w:rsidRPr="00876B52" w:rsidRDefault="00876B52" w:rsidP="00876B52">
            <w:pPr>
              <w:spacing w:line="240" w:lineRule="auto"/>
              <w:jc w:val="right"/>
              <w:cnfStyle w:val="000000100000"/>
              <w:rPr>
                <w:rFonts w:eastAsia="Times New Roman" w:cs="Times New Roman"/>
                <w:color w:val="000000"/>
                <w:sz w:val="24"/>
                <w:lang w:val="en-US"/>
              </w:rPr>
            </w:pPr>
            <w:r w:rsidRPr="00876B52">
              <w:rPr>
                <w:rFonts w:eastAsia="Times New Roman" w:cs="Times New Roman"/>
                <w:color w:val="000000"/>
                <w:sz w:val="24"/>
                <w:lang w:val="en-US"/>
              </w:rPr>
              <w:t>2016</w:t>
            </w:r>
          </w:p>
        </w:tc>
      </w:tr>
      <w:tr w:rsidR="00876B52" w:rsidRPr="00876B52" w:rsidTr="00876B52">
        <w:trPr>
          <w:trHeight w:val="300"/>
          <w:jc w:val="center"/>
        </w:trPr>
        <w:tc>
          <w:tcPr>
            <w:cnfStyle w:val="001000000000"/>
            <w:tcW w:w="2104" w:type="dxa"/>
            <w:shd w:val="clear" w:color="auto" w:fill="FFCCFF"/>
            <w:hideMark/>
          </w:tcPr>
          <w:p w:rsidR="00876B52" w:rsidRPr="00876B52" w:rsidRDefault="00876B52" w:rsidP="00876B52">
            <w:pPr>
              <w:spacing w:line="240" w:lineRule="auto"/>
              <w:jc w:val="left"/>
              <w:rPr>
                <w:rFonts w:eastAsia="Times New Roman" w:cs="Times New Roman"/>
                <w:color w:val="000000"/>
                <w:sz w:val="24"/>
                <w:lang w:val="en-US"/>
              </w:rPr>
            </w:pPr>
            <w:r w:rsidRPr="00876B52">
              <w:rPr>
                <w:rFonts w:eastAsia="Times New Roman" w:cs="Times New Roman"/>
                <w:color w:val="000000"/>
                <w:sz w:val="24"/>
                <w:lang w:val="en-US"/>
              </w:rPr>
              <w:t>GSK</w:t>
            </w:r>
          </w:p>
        </w:tc>
        <w:tc>
          <w:tcPr>
            <w:tcW w:w="876" w:type="dxa"/>
            <w:shd w:val="clear" w:color="auto" w:fill="FFCCFF"/>
            <w:noWrap/>
            <w:hideMark/>
          </w:tcPr>
          <w:p w:rsidR="00876B52" w:rsidRPr="00876B52" w:rsidRDefault="00876B52" w:rsidP="00876B52">
            <w:pPr>
              <w:spacing w:line="240" w:lineRule="auto"/>
              <w:jc w:val="right"/>
              <w:cnfStyle w:val="000000000000"/>
              <w:rPr>
                <w:rFonts w:eastAsia="Times New Roman" w:cs="Times New Roman"/>
                <w:color w:val="000000"/>
                <w:sz w:val="24"/>
                <w:lang w:val="en-US"/>
              </w:rPr>
            </w:pPr>
            <w:r w:rsidRPr="00876B52">
              <w:rPr>
                <w:rFonts w:eastAsia="Times New Roman" w:cs="Times New Roman"/>
                <w:color w:val="000000"/>
                <w:sz w:val="24"/>
                <w:lang w:val="en-US"/>
              </w:rPr>
              <w:t>0.70</w:t>
            </w:r>
          </w:p>
        </w:tc>
        <w:tc>
          <w:tcPr>
            <w:tcW w:w="875" w:type="dxa"/>
            <w:shd w:val="clear" w:color="auto" w:fill="FFCCFF"/>
            <w:noWrap/>
            <w:hideMark/>
          </w:tcPr>
          <w:p w:rsidR="00876B52" w:rsidRPr="00876B52" w:rsidRDefault="00876B52" w:rsidP="00876B52">
            <w:pPr>
              <w:spacing w:line="240" w:lineRule="auto"/>
              <w:jc w:val="right"/>
              <w:cnfStyle w:val="000000000000"/>
              <w:rPr>
                <w:rFonts w:eastAsia="Times New Roman" w:cs="Times New Roman"/>
                <w:color w:val="000000"/>
                <w:sz w:val="24"/>
                <w:lang w:val="en-US"/>
              </w:rPr>
            </w:pPr>
            <w:r w:rsidRPr="00876B52">
              <w:rPr>
                <w:rFonts w:eastAsia="Times New Roman" w:cs="Times New Roman"/>
                <w:color w:val="000000"/>
                <w:sz w:val="24"/>
                <w:lang w:val="en-US"/>
              </w:rPr>
              <w:t>0.83</w:t>
            </w:r>
          </w:p>
        </w:tc>
        <w:tc>
          <w:tcPr>
            <w:tcW w:w="875" w:type="dxa"/>
            <w:shd w:val="clear" w:color="auto" w:fill="FFCCFF"/>
            <w:noWrap/>
            <w:hideMark/>
          </w:tcPr>
          <w:p w:rsidR="00876B52" w:rsidRPr="00876B52" w:rsidRDefault="00876B52" w:rsidP="00876B52">
            <w:pPr>
              <w:spacing w:line="240" w:lineRule="auto"/>
              <w:jc w:val="right"/>
              <w:cnfStyle w:val="000000000000"/>
              <w:rPr>
                <w:rFonts w:eastAsia="Times New Roman" w:cs="Times New Roman"/>
                <w:color w:val="000000"/>
                <w:sz w:val="24"/>
                <w:lang w:val="en-US"/>
              </w:rPr>
            </w:pPr>
            <w:r w:rsidRPr="00876B52">
              <w:rPr>
                <w:rFonts w:eastAsia="Times New Roman" w:cs="Times New Roman"/>
                <w:color w:val="000000"/>
                <w:sz w:val="24"/>
                <w:lang w:val="en-US"/>
              </w:rPr>
              <w:t>0.79</w:t>
            </w:r>
          </w:p>
        </w:tc>
        <w:tc>
          <w:tcPr>
            <w:tcW w:w="875" w:type="dxa"/>
            <w:shd w:val="clear" w:color="auto" w:fill="FFCCFF"/>
            <w:noWrap/>
            <w:hideMark/>
          </w:tcPr>
          <w:p w:rsidR="00876B52" w:rsidRPr="00876B52" w:rsidRDefault="00876B52" w:rsidP="00876B52">
            <w:pPr>
              <w:spacing w:line="240" w:lineRule="auto"/>
              <w:jc w:val="right"/>
              <w:cnfStyle w:val="000000000000"/>
              <w:rPr>
                <w:rFonts w:eastAsia="Times New Roman" w:cs="Times New Roman"/>
                <w:color w:val="000000"/>
                <w:sz w:val="24"/>
                <w:lang w:val="en-US"/>
              </w:rPr>
            </w:pPr>
            <w:r w:rsidRPr="00876B52">
              <w:rPr>
                <w:rFonts w:eastAsia="Times New Roman" w:cs="Times New Roman"/>
                <w:color w:val="000000"/>
                <w:sz w:val="24"/>
                <w:lang w:val="en-US"/>
              </w:rPr>
              <w:t>0.88</w:t>
            </w:r>
          </w:p>
        </w:tc>
        <w:tc>
          <w:tcPr>
            <w:tcW w:w="875" w:type="dxa"/>
            <w:shd w:val="clear" w:color="auto" w:fill="FFCCFF"/>
            <w:noWrap/>
            <w:hideMark/>
          </w:tcPr>
          <w:p w:rsidR="00876B52" w:rsidRPr="00876B52" w:rsidRDefault="00876B52" w:rsidP="00876B52">
            <w:pPr>
              <w:spacing w:line="240" w:lineRule="auto"/>
              <w:jc w:val="right"/>
              <w:cnfStyle w:val="000000000000"/>
              <w:rPr>
                <w:rFonts w:eastAsia="Times New Roman" w:cs="Times New Roman"/>
                <w:color w:val="000000"/>
                <w:sz w:val="24"/>
                <w:lang w:val="en-US"/>
              </w:rPr>
            </w:pPr>
            <w:r w:rsidRPr="00876B52">
              <w:rPr>
                <w:rFonts w:eastAsia="Times New Roman" w:cs="Times New Roman"/>
                <w:color w:val="000000"/>
                <w:sz w:val="24"/>
                <w:lang w:val="en-US"/>
              </w:rPr>
              <w:t>0.61</w:t>
            </w:r>
          </w:p>
        </w:tc>
      </w:tr>
      <w:tr w:rsidR="00876B52" w:rsidRPr="00876B52" w:rsidTr="00876B52">
        <w:trPr>
          <w:cnfStyle w:val="000000100000"/>
          <w:trHeight w:val="300"/>
          <w:jc w:val="center"/>
        </w:trPr>
        <w:tc>
          <w:tcPr>
            <w:cnfStyle w:val="001000000000"/>
            <w:tcW w:w="2104" w:type="dxa"/>
            <w:shd w:val="clear" w:color="auto" w:fill="FFCCFF"/>
            <w:noWrap/>
            <w:hideMark/>
          </w:tcPr>
          <w:p w:rsidR="00876B52" w:rsidRPr="00876B52" w:rsidRDefault="00876B52" w:rsidP="00876B52">
            <w:pPr>
              <w:spacing w:line="240" w:lineRule="auto"/>
              <w:jc w:val="left"/>
              <w:rPr>
                <w:rFonts w:eastAsia="Times New Roman" w:cs="Times New Roman"/>
                <w:color w:val="000000"/>
                <w:sz w:val="24"/>
                <w:lang w:val="en-US"/>
              </w:rPr>
            </w:pPr>
            <w:r w:rsidRPr="00876B52">
              <w:rPr>
                <w:rFonts w:eastAsia="Times New Roman" w:cs="Times New Roman"/>
                <w:color w:val="000000"/>
                <w:sz w:val="24"/>
                <w:lang w:val="en-US"/>
              </w:rPr>
              <w:t>Pfizer</w:t>
            </w:r>
          </w:p>
        </w:tc>
        <w:tc>
          <w:tcPr>
            <w:tcW w:w="876" w:type="dxa"/>
            <w:shd w:val="clear" w:color="auto" w:fill="FFCCFF"/>
            <w:noWrap/>
            <w:hideMark/>
          </w:tcPr>
          <w:p w:rsidR="00876B52" w:rsidRPr="00876B52" w:rsidRDefault="00876B52" w:rsidP="00876B52">
            <w:pPr>
              <w:spacing w:line="240" w:lineRule="auto"/>
              <w:jc w:val="right"/>
              <w:cnfStyle w:val="000000100000"/>
              <w:rPr>
                <w:rFonts w:eastAsia="Times New Roman" w:cs="Times New Roman"/>
                <w:color w:val="000000"/>
                <w:sz w:val="24"/>
                <w:lang w:val="en-US"/>
              </w:rPr>
            </w:pPr>
            <w:r w:rsidRPr="00876B52">
              <w:rPr>
                <w:rFonts w:eastAsia="Times New Roman" w:cs="Times New Roman"/>
                <w:color w:val="000000"/>
                <w:sz w:val="24"/>
                <w:lang w:val="en-US"/>
              </w:rPr>
              <w:t>2.01</w:t>
            </w:r>
          </w:p>
        </w:tc>
        <w:tc>
          <w:tcPr>
            <w:tcW w:w="875" w:type="dxa"/>
            <w:shd w:val="clear" w:color="auto" w:fill="FFCCFF"/>
            <w:noWrap/>
            <w:hideMark/>
          </w:tcPr>
          <w:p w:rsidR="00876B52" w:rsidRPr="00876B52" w:rsidRDefault="00876B52" w:rsidP="00876B52">
            <w:pPr>
              <w:spacing w:line="240" w:lineRule="auto"/>
              <w:jc w:val="right"/>
              <w:cnfStyle w:val="000000100000"/>
              <w:rPr>
                <w:rFonts w:eastAsia="Times New Roman" w:cs="Times New Roman"/>
                <w:color w:val="000000"/>
                <w:sz w:val="24"/>
                <w:lang w:val="en-US"/>
              </w:rPr>
            </w:pPr>
            <w:r w:rsidRPr="00876B52">
              <w:rPr>
                <w:rFonts w:eastAsia="Times New Roman" w:cs="Times New Roman"/>
                <w:color w:val="000000"/>
                <w:sz w:val="24"/>
                <w:lang w:val="en-US"/>
              </w:rPr>
              <w:t>2.14</w:t>
            </w:r>
          </w:p>
        </w:tc>
        <w:tc>
          <w:tcPr>
            <w:tcW w:w="875" w:type="dxa"/>
            <w:shd w:val="clear" w:color="auto" w:fill="FFCCFF"/>
            <w:noWrap/>
            <w:hideMark/>
          </w:tcPr>
          <w:p w:rsidR="00876B52" w:rsidRPr="00876B52" w:rsidRDefault="00876B52" w:rsidP="00876B52">
            <w:pPr>
              <w:spacing w:line="240" w:lineRule="auto"/>
              <w:jc w:val="right"/>
              <w:cnfStyle w:val="000000100000"/>
              <w:rPr>
                <w:rFonts w:eastAsia="Times New Roman" w:cs="Times New Roman"/>
                <w:color w:val="000000"/>
                <w:sz w:val="24"/>
                <w:lang w:val="en-US"/>
              </w:rPr>
            </w:pPr>
            <w:r w:rsidRPr="00876B52">
              <w:rPr>
                <w:rFonts w:eastAsia="Times New Roman" w:cs="Times New Roman"/>
                <w:color w:val="000000"/>
                <w:sz w:val="24"/>
                <w:lang w:val="en-US"/>
              </w:rPr>
              <w:t>2.41</w:t>
            </w:r>
          </w:p>
        </w:tc>
        <w:tc>
          <w:tcPr>
            <w:tcW w:w="875" w:type="dxa"/>
            <w:shd w:val="clear" w:color="auto" w:fill="FFCCFF"/>
            <w:noWrap/>
            <w:hideMark/>
          </w:tcPr>
          <w:p w:rsidR="00876B52" w:rsidRPr="00876B52" w:rsidRDefault="00876B52" w:rsidP="00876B52">
            <w:pPr>
              <w:spacing w:line="240" w:lineRule="auto"/>
              <w:jc w:val="right"/>
              <w:cnfStyle w:val="000000100000"/>
              <w:rPr>
                <w:rFonts w:eastAsia="Times New Roman" w:cs="Times New Roman"/>
                <w:color w:val="000000"/>
                <w:sz w:val="24"/>
                <w:lang w:val="en-US"/>
              </w:rPr>
            </w:pPr>
            <w:r w:rsidRPr="00876B52">
              <w:rPr>
                <w:rFonts w:eastAsia="Times New Roman" w:cs="Times New Roman"/>
                <w:color w:val="000000"/>
                <w:sz w:val="24"/>
                <w:lang w:val="en-US"/>
              </w:rPr>
              <w:t>1.23</w:t>
            </w:r>
          </w:p>
        </w:tc>
        <w:tc>
          <w:tcPr>
            <w:tcW w:w="875" w:type="dxa"/>
            <w:shd w:val="clear" w:color="auto" w:fill="FFCCFF"/>
            <w:noWrap/>
            <w:hideMark/>
          </w:tcPr>
          <w:p w:rsidR="00876B52" w:rsidRPr="00876B52" w:rsidRDefault="00876B52" w:rsidP="00876B52">
            <w:pPr>
              <w:spacing w:line="240" w:lineRule="auto"/>
              <w:jc w:val="right"/>
              <w:cnfStyle w:val="000000100000"/>
              <w:rPr>
                <w:rFonts w:eastAsia="Times New Roman" w:cs="Times New Roman"/>
                <w:color w:val="000000"/>
                <w:sz w:val="24"/>
                <w:lang w:val="en-US"/>
              </w:rPr>
            </w:pPr>
            <w:r w:rsidRPr="00876B52">
              <w:rPr>
                <w:rFonts w:eastAsia="Times New Roman" w:cs="Times New Roman"/>
                <w:color w:val="000000"/>
                <w:sz w:val="24"/>
                <w:lang w:val="en-US"/>
              </w:rPr>
              <w:t>1.03</w:t>
            </w:r>
          </w:p>
        </w:tc>
      </w:tr>
    </w:tbl>
    <w:p w:rsidR="00876B52" w:rsidRDefault="00876B52" w:rsidP="00876B52">
      <w:pPr>
        <w:jc w:val="center"/>
      </w:pPr>
    </w:p>
    <w:p w:rsidR="0022758D" w:rsidRPr="00876B52" w:rsidRDefault="0022758D" w:rsidP="00876B52">
      <w:pPr>
        <w:jc w:val="center"/>
      </w:pPr>
      <w:r w:rsidRPr="0022758D">
        <w:rPr>
          <w:noProof/>
          <w:lang w:val="en-US" w:bidi="gu-IN"/>
        </w:rPr>
        <w:lastRenderedPageBreak/>
        <w:drawing>
          <wp:inline distT="0" distB="0" distL="0" distR="0">
            <wp:extent cx="3095624" cy="1952625"/>
            <wp:effectExtent l="19050" t="0" r="9526" b="0"/>
            <wp:docPr id="6"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555D61" w:rsidRDefault="002819F4" w:rsidP="00555D61">
      <w:r>
        <w:t>The quick ratio or the acid test ratio is follo</w:t>
      </w:r>
      <w:r w:rsidR="0022758D">
        <w:t xml:space="preserve">wing the same pattern of the current ratio for both the </w:t>
      </w:r>
      <w:r>
        <w:t xml:space="preserve">organization for the same underlying reasons that are been described while </w:t>
      </w:r>
      <w:r w:rsidR="006D3B03">
        <w:t>analysing</w:t>
      </w:r>
      <w:r>
        <w:t xml:space="preserve"> the current </w:t>
      </w:r>
      <w:r w:rsidR="006D3B03">
        <w:t>ratios</w:t>
      </w:r>
      <w:r>
        <w:t xml:space="preserve"> of both the </w:t>
      </w:r>
      <w:r w:rsidR="006D3B03">
        <w:t>organizations</w:t>
      </w:r>
      <w:r>
        <w:t>(</w:t>
      </w:r>
      <w:r w:rsidR="006D3B03">
        <w:t>GSK, Pfizer</w:t>
      </w:r>
      <w:r>
        <w:t>)</w:t>
      </w:r>
    </w:p>
    <w:p w:rsidR="006D3B03" w:rsidRDefault="006D3B03" w:rsidP="006D3B03">
      <w:pPr>
        <w:pStyle w:val="Heading3"/>
      </w:pPr>
      <w:bookmarkStart w:id="15" w:name="_Toc502329669"/>
      <w:r>
        <w:t xml:space="preserve">Comparison with respect to </w:t>
      </w:r>
      <w:r w:rsidRPr="006D3B03">
        <w:t>Return on capital employed (ROCE)</w:t>
      </w:r>
      <w:r>
        <w:t xml:space="preserve"> ratio:</w:t>
      </w:r>
      <w:bookmarkEnd w:id="15"/>
    </w:p>
    <w:p w:rsidR="00991B01" w:rsidRDefault="00991B01" w:rsidP="00991B01"/>
    <w:tbl>
      <w:tblPr>
        <w:tblStyle w:val="MediumShading1-Accent6"/>
        <w:tblW w:w="6480" w:type="dxa"/>
        <w:jc w:val="center"/>
        <w:shd w:val="clear" w:color="auto" w:fill="CCECFF"/>
        <w:tblLook w:val="04A0"/>
      </w:tblPr>
      <w:tblGrid>
        <w:gridCol w:w="2104"/>
        <w:gridCol w:w="876"/>
        <w:gridCol w:w="875"/>
        <w:gridCol w:w="875"/>
        <w:gridCol w:w="875"/>
        <w:gridCol w:w="875"/>
      </w:tblGrid>
      <w:tr w:rsidR="00991B01" w:rsidRPr="00991B01" w:rsidTr="0033003B">
        <w:trPr>
          <w:cnfStyle w:val="100000000000"/>
          <w:trHeight w:val="300"/>
          <w:jc w:val="center"/>
        </w:trPr>
        <w:tc>
          <w:tcPr>
            <w:cnfStyle w:val="001000000000"/>
            <w:tcW w:w="6480" w:type="dxa"/>
            <w:gridSpan w:val="6"/>
            <w:shd w:val="clear" w:color="auto" w:fill="CCECFF"/>
            <w:noWrap/>
            <w:hideMark/>
          </w:tcPr>
          <w:p w:rsidR="00991B01" w:rsidRPr="00991B01" w:rsidRDefault="00991B01" w:rsidP="00991B01">
            <w:pPr>
              <w:spacing w:line="240" w:lineRule="auto"/>
              <w:jc w:val="center"/>
              <w:rPr>
                <w:rFonts w:eastAsia="Times New Roman" w:cs="Times New Roman"/>
                <w:color w:val="000000"/>
                <w:sz w:val="24"/>
                <w:lang w:val="en-US"/>
              </w:rPr>
            </w:pPr>
            <w:r w:rsidRPr="00991B01">
              <w:rPr>
                <w:rFonts w:eastAsia="Times New Roman" w:cs="Times New Roman"/>
                <w:color w:val="000000"/>
                <w:sz w:val="24"/>
                <w:lang w:val="en-US"/>
              </w:rPr>
              <w:t>Return on capital employed(ROCE)</w:t>
            </w:r>
          </w:p>
        </w:tc>
      </w:tr>
      <w:tr w:rsidR="00991B01" w:rsidRPr="00991B01" w:rsidTr="0033003B">
        <w:trPr>
          <w:cnfStyle w:val="000000100000"/>
          <w:trHeight w:val="300"/>
          <w:jc w:val="center"/>
        </w:trPr>
        <w:tc>
          <w:tcPr>
            <w:cnfStyle w:val="001000000000"/>
            <w:tcW w:w="2104" w:type="dxa"/>
            <w:shd w:val="clear" w:color="auto" w:fill="CCECFF"/>
            <w:noWrap/>
            <w:hideMark/>
          </w:tcPr>
          <w:p w:rsidR="00991B01" w:rsidRPr="00991B01" w:rsidRDefault="00991B01" w:rsidP="00991B01">
            <w:pPr>
              <w:spacing w:line="240" w:lineRule="auto"/>
              <w:jc w:val="left"/>
              <w:rPr>
                <w:rFonts w:eastAsia="Times New Roman" w:cs="Times New Roman"/>
                <w:color w:val="000000"/>
                <w:sz w:val="24"/>
                <w:lang w:val="en-US"/>
              </w:rPr>
            </w:pPr>
            <w:r w:rsidRPr="00991B01">
              <w:rPr>
                <w:rFonts w:eastAsia="Times New Roman" w:cs="Times New Roman"/>
                <w:color w:val="000000"/>
                <w:sz w:val="24"/>
                <w:lang w:val="en-US"/>
              </w:rPr>
              <w:t> </w:t>
            </w:r>
          </w:p>
        </w:tc>
        <w:tc>
          <w:tcPr>
            <w:tcW w:w="876" w:type="dxa"/>
            <w:shd w:val="clear" w:color="auto" w:fill="CCECFF"/>
            <w:noWrap/>
            <w:hideMark/>
          </w:tcPr>
          <w:p w:rsidR="00991B01" w:rsidRPr="00991B01" w:rsidRDefault="00991B01" w:rsidP="00991B01">
            <w:pPr>
              <w:spacing w:line="240" w:lineRule="auto"/>
              <w:jc w:val="right"/>
              <w:cnfStyle w:val="000000100000"/>
              <w:rPr>
                <w:rFonts w:eastAsia="Times New Roman" w:cs="Times New Roman"/>
                <w:color w:val="000000"/>
                <w:sz w:val="24"/>
                <w:lang w:val="en-US"/>
              </w:rPr>
            </w:pPr>
            <w:r w:rsidRPr="00991B01">
              <w:rPr>
                <w:rFonts w:eastAsia="Times New Roman" w:cs="Times New Roman"/>
                <w:color w:val="000000"/>
                <w:sz w:val="24"/>
                <w:lang w:val="en-US"/>
              </w:rPr>
              <w:t>2012</w:t>
            </w:r>
          </w:p>
        </w:tc>
        <w:tc>
          <w:tcPr>
            <w:tcW w:w="875" w:type="dxa"/>
            <w:shd w:val="clear" w:color="auto" w:fill="CCECFF"/>
            <w:noWrap/>
            <w:hideMark/>
          </w:tcPr>
          <w:p w:rsidR="00991B01" w:rsidRPr="00991B01" w:rsidRDefault="00991B01" w:rsidP="00991B01">
            <w:pPr>
              <w:spacing w:line="240" w:lineRule="auto"/>
              <w:jc w:val="right"/>
              <w:cnfStyle w:val="000000100000"/>
              <w:rPr>
                <w:rFonts w:eastAsia="Times New Roman" w:cs="Times New Roman"/>
                <w:color w:val="000000"/>
                <w:sz w:val="24"/>
                <w:lang w:val="en-US"/>
              </w:rPr>
            </w:pPr>
            <w:r w:rsidRPr="00991B01">
              <w:rPr>
                <w:rFonts w:eastAsia="Times New Roman" w:cs="Times New Roman"/>
                <w:color w:val="000000"/>
                <w:sz w:val="24"/>
                <w:lang w:val="en-US"/>
              </w:rPr>
              <w:t>2013</w:t>
            </w:r>
          </w:p>
        </w:tc>
        <w:tc>
          <w:tcPr>
            <w:tcW w:w="875" w:type="dxa"/>
            <w:shd w:val="clear" w:color="auto" w:fill="CCECFF"/>
            <w:noWrap/>
            <w:hideMark/>
          </w:tcPr>
          <w:p w:rsidR="00991B01" w:rsidRPr="00991B01" w:rsidRDefault="00991B01" w:rsidP="00991B01">
            <w:pPr>
              <w:spacing w:line="240" w:lineRule="auto"/>
              <w:jc w:val="right"/>
              <w:cnfStyle w:val="000000100000"/>
              <w:rPr>
                <w:rFonts w:eastAsia="Times New Roman" w:cs="Times New Roman"/>
                <w:color w:val="000000"/>
                <w:sz w:val="24"/>
                <w:lang w:val="en-US"/>
              </w:rPr>
            </w:pPr>
            <w:r w:rsidRPr="00991B01">
              <w:rPr>
                <w:rFonts w:eastAsia="Times New Roman" w:cs="Times New Roman"/>
                <w:color w:val="000000"/>
                <w:sz w:val="24"/>
                <w:lang w:val="en-US"/>
              </w:rPr>
              <w:t>2014</w:t>
            </w:r>
          </w:p>
        </w:tc>
        <w:tc>
          <w:tcPr>
            <w:tcW w:w="875" w:type="dxa"/>
            <w:shd w:val="clear" w:color="auto" w:fill="CCECFF"/>
            <w:noWrap/>
            <w:hideMark/>
          </w:tcPr>
          <w:p w:rsidR="00991B01" w:rsidRPr="00991B01" w:rsidRDefault="00991B01" w:rsidP="00991B01">
            <w:pPr>
              <w:spacing w:line="240" w:lineRule="auto"/>
              <w:jc w:val="right"/>
              <w:cnfStyle w:val="000000100000"/>
              <w:rPr>
                <w:rFonts w:eastAsia="Times New Roman" w:cs="Times New Roman"/>
                <w:color w:val="000000"/>
                <w:sz w:val="24"/>
                <w:lang w:val="en-US"/>
              </w:rPr>
            </w:pPr>
            <w:r w:rsidRPr="00991B01">
              <w:rPr>
                <w:rFonts w:eastAsia="Times New Roman" w:cs="Times New Roman"/>
                <w:color w:val="000000"/>
                <w:sz w:val="24"/>
                <w:lang w:val="en-US"/>
              </w:rPr>
              <w:t>2015</w:t>
            </w:r>
          </w:p>
        </w:tc>
        <w:tc>
          <w:tcPr>
            <w:tcW w:w="875" w:type="dxa"/>
            <w:shd w:val="clear" w:color="auto" w:fill="CCECFF"/>
            <w:noWrap/>
            <w:hideMark/>
          </w:tcPr>
          <w:p w:rsidR="00991B01" w:rsidRPr="00991B01" w:rsidRDefault="00991B01" w:rsidP="00991B01">
            <w:pPr>
              <w:spacing w:line="240" w:lineRule="auto"/>
              <w:jc w:val="right"/>
              <w:cnfStyle w:val="000000100000"/>
              <w:rPr>
                <w:rFonts w:eastAsia="Times New Roman" w:cs="Times New Roman"/>
                <w:color w:val="000000"/>
                <w:sz w:val="24"/>
                <w:lang w:val="en-US"/>
              </w:rPr>
            </w:pPr>
            <w:r w:rsidRPr="00991B01">
              <w:rPr>
                <w:rFonts w:eastAsia="Times New Roman" w:cs="Times New Roman"/>
                <w:color w:val="000000"/>
                <w:sz w:val="24"/>
                <w:lang w:val="en-US"/>
              </w:rPr>
              <w:t>2016</w:t>
            </w:r>
          </w:p>
        </w:tc>
      </w:tr>
      <w:tr w:rsidR="00991B01" w:rsidRPr="00991B01" w:rsidTr="0033003B">
        <w:trPr>
          <w:cnfStyle w:val="000000010000"/>
          <w:trHeight w:val="300"/>
          <w:jc w:val="center"/>
        </w:trPr>
        <w:tc>
          <w:tcPr>
            <w:cnfStyle w:val="001000000000"/>
            <w:tcW w:w="2104" w:type="dxa"/>
            <w:shd w:val="clear" w:color="auto" w:fill="CCECFF"/>
            <w:hideMark/>
          </w:tcPr>
          <w:p w:rsidR="00991B01" w:rsidRPr="00991B01" w:rsidRDefault="00991B01" w:rsidP="00991B01">
            <w:pPr>
              <w:spacing w:line="240" w:lineRule="auto"/>
              <w:jc w:val="left"/>
              <w:rPr>
                <w:rFonts w:eastAsia="Times New Roman" w:cs="Times New Roman"/>
                <w:color w:val="000000"/>
                <w:sz w:val="24"/>
                <w:lang w:val="en-US"/>
              </w:rPr>
            </w:pPr>
            <w:r w:rsidRPr="00991B01">
              <w:rPr>
                <w:rFonts w:eastAsia="Times New Roman" w:cs="Times New Roman"/>
                <w:color w:val="000000"/>
                <w:sz w:val="24"/>
                <w:lang w:val="en-US"/>
              </w:rPr>
              <w:t>GSK</w:t>
            </w:r>
          </w:p>
        </w:tc>
        <w:tc>
          <w:tcPr>
            <w:tcW w:w="876" w:type="dxa"/>
            <w:shd w:val="clear" w:color="auto" w:fill="CCECFF"/>
            <w:noWrap/>
            <w:hideMark/>
          </w:tcPr>
          <w:p w:rsidR="00991B01" w:rsidRPr="00991B01" w:rsidRDefault="00991B01" w:rsidP="00991B01">
            <w:pPr>
              <w:spacing w:line="240" w:lineRule="auto"/>
              <w:jc w:val="right"/>
              <w:cnfStyle w:val="000000010000"/>
              <w:rPr>
                <w:rFonts w:eastAsia="Times New Roman" w:cs="Times New Roman"/>
                <w:color w:val="000000"/>
                <w:sz w:val="24"/>
                <w:lang w:val="en-US"/>
              </w:rPr>
            </w:pPr>
            <w:r w:rsidRPr="00991B01">
              <w:rPr>
                <w:rFonts w:eastAsia="Times New Roman" w:cs="Times New Roman"/>
                <w:color w:val="000000"/>
                <w:sz w:val="24"/>
                <w:lang w:val="en-US"/>
              </w:rPr>
              <w:t>0.27</w:t>
            </w:r>
          </w:p>
        </w:tc>
        <w:tc>
          <w:tcPr>
            <w:tcW w:w="875" w:type="dxa"/>
            <w:shd w:val="clear" w:color="auto" w:fill="CCECFF"/>
            <w:noWrap/>
            <w:hideMark/>
          </w:tcPr>
          <w:p w:rsidR="00991B01" w:rsidRPr="00991B01" w:rsidRDefault="00991B01" w:rsidP="00991B01">
            <w:pPr>
              <w:spacing w:line="240" w:lineRule="auto"/>
              <w:jc w:val="right"/>
              <w:cnfStyle w:val="000000010000"/>
              <w:rPr>
                <w:rFonts w:eastAsia="Times New Roman" w:cs="Times New Roman"/>
                <w:color w:val="000000"/>
                <w:sz w:val="24"/>
                <w:lang w:val="en-US"/>
              </w:rPr>
            </w:pPr>
            <w:r w:rsidRPr="00991B01">
              <w:rPr>
                <w:rFonts w:eastAsia="Times New Roman" w:cs="Times New Roman"/>
                <w:color w:val="000000"/>
                <w:sz w:val="24"/>
                <w:lang w:val="en-US"/>
              </w:rPr>
              <w:t>0.26</w:t>
            </w:r>
          </w:p>
        </w:tc>
        <w:tc>
          <w:tcPr>
            <w:tcW w:w="875" w:type="dxa"/>
            <w:shd w:val="clear" w:color="auto" w:fill="CCECFF"/>
            <w:noWrap/>
            <w:hideMark/>
          </w:tcPr>
          <w:p w:rsidR="00991B01" w:rsidRPr="00991B01" w:rsidRDefault="00991B01" w:rsidP="00991B01">
            <w:pPr>
              <w:spacing w:line="240" w:lineRule="auto"/>
              <w:jc w:val="right"/>
              <w:cnfStyle w:val="000000010000"/>
              <w:rPr>
                <w:rFonts w:eastAsia="Times New Roman" w:cs="Times New Roman"/>
                <w:color w:val="000000"/>
                <w:sz w:val="24"/>
                <w:lang w:val="en-US"/>
              </w:rPr>
            </w:pPr>
            <w:r w:rsidRPr="00991B01">
              <w:rPr>
                <w:rFonts w:eastAsia="Times New Roman" w:cs="Times New Roman"/>
                <w:color w:val="000000"/>
                <w:sz w:val="24"/>
                <w:lang w:val="en-US"/>
              </w:rPr>
              <w:t>0.14</w:t>
            </w:r>
          </w:p>
        </w:tc>
        <w:tc>
          <w:tcPr>
            <w:tcW w:w="875" w:type="dxa"/>
            <w:shd w:val="clear" w:color="auto" w:fill="CCECFF"/>
            <w:noWrap/>
            <w:hideMark/>
          </w:tcPr>
          <w:p w:rsidR="00991B01" w:rsidRPr="00991B01" w:rsidRDefault="00991B01" w:rsidP="00991B01">
            <w:pPr>
              <w:spacing w:line="240" w:lineRule="auto"/>
              <w:jc w:val="right"/>
              <w:cnfStyle w:val="000000010000"/>
              <w:rPr>
                <w:rFonts w:eastAsia="Times New Roman" w:cs="Times New Roman"/>
                <w:color w:val="000000"/>
                <w:sz w:val="24"/>
                <w:lang w:val="en-US"/>
              </w:rPr>
            </w:pPr>
            <w:r w:rsidRPr="00991B01">
              <w:rPr>
                <w:rFonts w:eastAsia="Times New Roman" w:cs="Times New Roman"/>
                <w:color w:val="000000"/>
                <w:sz w:val="24"/>
                <w:lang w:val="en-US"/>
              </w:rPr>
              <w:t>0.25</w:t>
            </w:r>
          </w:p>
        </w:tc>
        <w:tc>
          <w:tcPr>
            <w:tcW w:w="875" w:type="dxa"/>
            <w:shd w:val="clear" w:color="auto" w:fill="CCECFF"/>
            <w:noWrap/>
            <w:hideMark/>
          </w:tcPr>
          <w:p w:rsidR="00991B01" w:rsidRPr="00991B01" w:rsidRDefault="00991B01" w:rsidP="00991B01">
            <w:pPr>
              <w:spacing w:line="240" w:lineRule="auto"/>
              <w:jc w:val="right"/>
              <w:cnfStyle w:val="000000010000"/>
              <w:rPr>
                <w:rFonts w:eastAsia="Times New Roman" w:cs="Times New Roman"/>
                <w:color w:val="000000"/>
                <w:sz w:val="24"/>
                <w:lang w:val="en-US"/>
              </w:rPr>
            </w:pPr>
            <w:r w:rsidRPr="00991B01">
              <w:rPr>
                <w:rFonts w:eastAsia="Times New Roman" w:cs="Times New Roman"/>
                <w:color w:val="000000"/>
                <w:sz w:val="24"/>
                <w:lang w:val="en-US"/>
              </w:rPr>
              <w:t>0.07</w:t>
            </w:r>
          </w:p>
        </w:tc>
      </w:tr>
      <w:tr w:rsidR="00991B01" w:rsidRPr="00991B01" w:rsidTr="0033003B">
        <w:trPr>
          <w:cnfStyle w:val="000000100000"/>
          <w:trHeight w:val="300"/>
          <w:jc w:val="center"/>
        </w:trPr>
        <w:tc>
          <w:tcPr>
            <w:cnfStyle w:val="001000000000"/>
            <w:tcW w:w="2104" w:type="dxa"/>
            <w:shd w:val="clear" w:color="auto" w:fill="CCECFF"/>
            <w:noWrap/>
            <w:hideMark/>
          </w:tcPr>
          <w:p w:rsidR="00991B01" w:rsidRPr="00991B01" w:rsidRDefault="00991B01" w:rsidP="00991B01">
            <w:pPr>
              <w:spacing w:line="240" w:lineRule="auto"/>
              <w:jc w:val="left"/>
              <w:rPr>
                <w:rFonts w:eastAsia="Times New Roman" w:cs="Times New Roman"/>
                <w:color w:val="000000"/>
                <w:sz w:val="24"/>
                <w:lang w:val="en-US"/>
              </w:rPr>
            </w:pPr>
            <w:r w:rsidRPr="00991B01">
              <w:rPr>
                <w:rFonts w:eastAsia="Times New Roman" w:cs="Times New Roman"/>
                <w:color w:val="000000"/>
                <w:sz w:val="24"/>
                <w:lang w:val="en-US"/>
              </w:rPr>
              <w:t>Pfizer</w:t>
            </w:r>
          </w:p>
        </w:tc>
        <w:tc>
          <w:tcPr>
            <w:tcW w:w="876" w:type="dxa"/>
            <w:shd w:val="clear" w:color="auto" w:fill="CCECFF"/>
            <w:noWrap/>
            <w:hideMark/>
          </w:tcPr>
          <w:p w:rsidR="00991B01" w:rsidRPr="00991B01" w:rsidRDefault="00991B01" w:rsidP="00991B01">
            <w:pPr>
              <w:spacing w:line="240" w:lineRule="auto"/>
              <w:jc w:val="right"/>
              <w:cnfStyle w:val="000000100000"/>
              <w:rPr>
                <w:rFonts w:eastAsia="Times New Roman" w:cs="Times New Roman"/>
                <w:color w:val="000000"/>
                <w:sz w:val="24"/>
                <w:lang w:val="en-US"/>
              </w:rPr>
            </w:pPr>
            <w:r w:rsidRPr="00991B01">
              <w:rPr>
                <w:rFonts w:eastAsia="Times New Roman" w:cs="Times New Roman"/>
                <w:color w:val="000000"/>
                <w:sz w:val="24"/>
                <w:lang w:val="en-US"/>
              </w:rPr>
              <w:t>0.09</w:t>
            </w:r>
          </w:p>
        </w:tc>
        <w:tc>
          <w:tcPr>
            <w:tcW w:w="875" w:type="dxa"/>
            <w:shd w:val="clear" w:color="auto" w:fill="CCECFF"/>
            <w:noWrap/>
            <w:hideMark/>
          </w:tcPr>
          <w:p w:rsidR="00991B01" w:rsidRPr="00991B01" w:rsidRDefault="00991B01" w:rsidP="00991B01">
            <w:pPr>
              <w:spacing w:line="240" w:lineRule="auto"/>
              <w:jc w:val="right"/>
              <w:cnfStyle w:val="000000100000"/>
              <w:rPr>
                <w:rFonts w:eastAsia="Times New Roman" w:cs="Times New Roman"/>
                <w:color w:val="000000"/>
                <w:sz w:val="24"/>
                <w:lang w:val="en-US"/>
              </w:rPr>
            </w:pPr>
            <w:r w:rsidRPr="00991B01">
              <w:rPr>
                <w:rFonts w:eastAsia="Times New Roman" w:cs="Times New Roman"/>
                <w:color w:val="000000"/>
                <w:sz w:val="24"/>
                <w:lang w:val="en-US"/>
              </w:rPr>
              <w:t>0.09</w:t>
            </w:r>
          </w:p>
        </w:tc>
        <w:tc>
          <w:tcPr>
            <w:tcW w:w="875" w:type="dxa"/>
            <w:shd w:val="clear" w:color="auto" w:fill="CCECFF"/>
            <w:noWrap/>
            <w:hideMark/>
          </w:tcPr>
          <w:p w:rsidR="00991B01" w:rsidRPr="00991B01" w:rsidRDefault="00991B01" w:rsidP="00991B01">
            <w:pPr>
              <w:spacing w:line="240" w:lineRule="auto"/>
              <w:jc w:val="right"/>
              <w:cnfStyle w:val="000000100000"/>
              <w:rPr>
                <w:rFonts w:eastAsia="Times New Roman" w:cs="Times New Roman"/>
                <w:color w:val="000000"/>
                <w:sz w:val="24"/>
                <w:lang w:val="en-US"/>
              </w:rPr>
            </w:pPr>
            <w:r w:rsidRPr="00991B01">
              <w:rPr>
                <w:rFonts w:eastAsia="Times New Roman" w:cs="Times New Roman"/>
                <w:color w:val="000000"/>
                <w:sz w:val="24"/>
                <w:lang w:val="en-US"/>
              </w:rPr>
              <w:t>0.08</w:t>
            </w:r>
          </w:p>
        </w:tc>
        <w:tc>
          <w:tcPr>
            <w:tcW w:w="875" w:type="dxa"/>
            <w:shd w:val="clear" w:color="auto" w:fill="CCECFF"/>
            <w:noWrap/>
            <w:hideMark/>
          </w:tcPr>
          <w:p w:rsidR="00991B01" w:rsidRPr="00991B01" w:rsidRDefault="00991B01" w:rsidP="00991B01">
            <w:pPr>
              <w:spacing w:line="240" w:lineRule="auto"/>
              <w:jc w:val="right"/>
              <w:cnfStyle w:val="000000100000"/>
              <w:rPr>
                <w:rFonts w:eastAsia="Times New Roman" w:cs="Times New Roman"/>
                <w:color w:val="000000"/>
                <w:sz w:val="24"/>
                <w:lang w:val="en-US"/>
              </w:rPr>
            </w:pPr>
            <w:r w:rsidRPr="00991B01">
              <w:rPr>
                <w:rFonts w:eastAsia="Times New Roman" w:cs="Times New Roman"/>
                <w:color w:val="000000"/>
                <w:sz w:val="24"/>
                <w:lang w:val="en-US"/>
              </w:rPr>
              <w:t>0.06</w:t>
            </w:r>
          </w:p>
        </w:tc>
        <w:tc>
          <w:tcPr>
            <w:tcW w:w="875" w:type="dxa"/>
            <w:shd w:val="clear" w:color="auto" w:fill="CCECFF"/>
            <w:noWrap/>
            <w:hideMark/>
          </w:tcPr>
          <w:p w:rsidR="00991B01" w:rsidRPr="00991B01" w:rsidRDefault="00991B01" w:rsidP="00991B01">
            <w:pPr>
              <w:spacing w:line="240" w:lineRule="auto"/>
              <w:jc w:val="right"/>
              <w:cnfStyle w:val="000000100000"/>
              <w:rPr>
                <w:rFonts w:eastAsia="Times New Roman" w:cs="Times New Roman"/>
                <w:color w:val="000000"/>
                <w:sz w:val="24"/>
                <w:lang w:val="en-US"/>
              </w:rPr>
            </w:pPr>
            <w:r w:rsidRPr="00991B01">
              <w:rPr>
                <w:rFonts w:eastAsia="Times New Roman" w:cs="Times New Roman"/>
                <w:color w:val="000000"/>
                <w:sz w:val="24"/>
                <w:lang w:val="en-US"/>
              </w:rPr>
              <w:t>0.05</w:t>
            </w:r>
          </w:p>
        </w:tc>
      </w:tr>
    </w:tbl>
    <w:p w:rsidR="00991B01" w:rsidRDefault="00991B01" w:rsidP="00991B01"/>
    <w:p w:rsidR="00991B01" w:rsidRDefault="00991B01" w:rsidP="00991B01"/>
    <w:p w:rsidR="00991B01" w:rsidRPr="00991B01" w:rsidRDefault="00991B01" w:rsidP="00991B01"/>
    <w:p w:rsidR="00991B01" w:rsidRDefault="00991B01" w:rsidP="0033003B">
      <w:pPr>
        <w:jc w:val="center"/>
      </w:pPr>
      <w:r w:rsidRPr="00991B01">
        <w:rPr>
          <w:noProof/>
          <w:lang w:val="en-US" w:bidi="gu-IN"/>
        </w:rPr>
        <w:drawing>
          <wp:inline distT="0" distB="0" distL="0" distR="0">
            <wp:extent cx="3095624" cy="1952625"/>
            <wp:effectExtent l="19050" t="0" r="9526"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33003B" w:rsidRPr="00991B01" w:rsidRDefault="00E87463" w:rsidP="00E87463">
      <w:r>
        <w:lastRenderedPageBreak/>
        <w:t xml:space="preserve">The return generated over the capital employed by the organization is much stronger in case </w:t>
      </w:r>
      <w:r w:rsidR="00E42D52">
        <w:t xml:space="preserve">of </w:t>
      </w:r>
      <w:r w:rsidR="00C115FE">
        <w:t>Pfizer compared to GSK. The underlying reason that can be identified</w:t>
      </w:r>
      <w:r w:rsidR="00BD0FF5">
        <w:t xml:space="preserve"> in broader sense</w:t>
      </w:r>
      <w:r w:rsidR="00C115FE">
        <w:t xml:space="preserve"> </w:t>
      </w:r>
      <w:r w:rsidR="00E42D52">
        <w:t xml:space="preserve">is the huge increase in long term liabilities and gradual decrease </w:t>
      </w:r>
      <w:r w:rsidR="00BD0FF5">
        <w:t xml:space="preserve">in retained earnings of the organization due to series of costly </w:t>
      </w:r>
      <w:r w:rsidR="00245531">
        <w:t>acquisition</w:t>
      </w:r>
      <w:r w:rsidR="00BD0FF5">
        <w:t xml:space="preserve"> that </w:t>
      </w:r>
      <w:r w:rsidR="00245531">
        <w:t>are</w:t>
      </w:r>
      <w:r w:rsidR="00BD0FF5">
        <w:t xml:space="preserve"> being made by GSK during the study </w:t>
      </w:r>
      <w:r w:rsidR="00245531">
        <w:t>period of 5 years from 2012-2016</w:t>
      </w:r>
      <w:r w:rsidR="005A6A7A" w:rsidRPr="005A6A7A">
        <w:t xml:space="preserve"> (NYSE_PFE, 2014)</w:t>
      </w:r>
      <w:r w:rsidR="00245531">
        <w:t>.</w:t>
      </w:r>
      <w:r w:rsidR="00AB1D0E">
        <w:t xml:space="preserve">A large number of these acquisitions have failed to generate the expected revenue that could have increase the </w:t>
      </w:r>
      <w:r w:rsidR="00594F8B">
        <w:t>retained earnings as well as return on capital employed of the organization</w:t>
      </w:r>
      <w:r w:rsidR="00A35A1F" w:rsidRPr="00A35A1F">
        <w:t xml:space="preserve"> (Gsk.com, 2013)</w:t>
      </w:r>
      <w:r w:rsidR="00594F8B">
        <w:t>.</w:t>
      </w:r>
    </w:p>
    <w:p w:rsidR="006D3B03" w:rsidRDefault="006D3B03" w:rsidP="006D3B03"/>
    <w:p w:rsidR="00991B01" w:rsidRDefault="00991B01" w:rsidP="00991B01">
      <w:pPr>
        <w:pStyle w:val="Heading3"/>
      </w:pPr>
      <w:bookmarkStart w:id="16" w:name="_Toc502329670"/>
      <w:r>
        <w:t xml:space="preserve">Comparison with respect to </w:t>
      </w:r>
      <w:r w:rsidRPr="00991B01">
        <w:t>Total asset turnover</w:t>
      </w:r>
      <w:r>
        <w:t xml:space="preserve"> ratio:</w:t>
      </w:r>
      <w:bookmarkEnd w:id="16"/>
    </w:p>
    <w:tbl>
      <w:tblPr>
        <w:tblStyle w:val="LightShading-Accent2"/>
        <w:tblW w:w="6480" w:type="dxa"/>
        <w:jc w:val="center"/>
        <w:tblLook w:val="04A0"/>
      </w:tblPr>
      <w:tblGrid>
        <w:gridCol w:w="2104"/>
        <w:gridCol w:w="876"/>
        <w:gridCol w:w="875"/>
        <w:gridCol w:w="875"/>
        <w:gridCol w:w="875"/>
        <w:gridCol w:w="875"/>
      </w:tblGrid>
      <w:tr w:rsidR="00AD6BAD" w:rsidRPr="00AD6BAD" w:rsidTr="00AD6BAD">
        <w:trPr>
          <w:cnfStyle w:val="100000000000"/>
          <w:trHeight w:val="300"/>
          <w:jc w:val="center"/>
        </w:trPr>
        <w:tc>
          <w:tcPr>
            <w:cnfStyle w:val="001000000000"/>
            <w:tcW w:w="6480" w:type="dxa"/>
            <w:gridSpan w:val="6"/>
            <w:noWrap/>
            <w:hideMark/>
          </w:tcPr>
          <w:p w:rsidR="00AD6BAD" w:rsidRPr="00AD6BAD" w:rsidRDefault="00AD6BAD" w:rsidP="00AD6BAD">
            <w:pPr>
              <w:spacing w:line="240" w:lineRule="auto"/>
              <w:jc w:val="center"/>
              <w:rPr>
                <w:rFonts w:eastAsia="Times New Roman" w:cs="Times New Roman"/>
                <w:color w:val="000000"/>
                <w:sz w:val="24"/>
                <w:lang w:val="en-US"/>
              </w:rPr>
            </w:pPr>
            <w:r w:rsidRPr="00AD6BAD">
              <w:rPr>
                <w:rFonts w:eastAsia="Times New Roman" w:cs="Times New Roman"/>
                <w:color w:val="000000"/>
                <w:sz w:val="24"/>
                <w:lang w:val="en-US"/>
              </w:rPr>
              <w:t>Total asset turnover ratio</w:t>
            </w:r>
          </w:p>
        </w:tc>
      </w:tr>
      <w:tr w:rsidR="00AD6BAD" w:rsidRPr="00AD6BAD" w:rsidTr="00AD6BAD">
        <w:trPr>
          <w:cnfStyle w:val="000000100000"/>
          <w:trHeight w:val="300"/>
          <w:jc w:val="center"/>
        </w:trPr>
        <w:tc>
          <w:tcPr>
            <w:cnfStyle w:val="001000000000"/>
            <w:tcW w:w="2104" w:type="dxa"/>
            <w:noWrap/>
            <w:hideMark/>
          </w:tcPr>
          <w:p w:rsidR="00AD6BAD" w:rsidRPr="00AD6BAD" w:rsidRDefault="00AD6BAD" w:rsidP="00AD6BAD">
            <w:pPr>
              <w:spacing w:line="240" w:lineRule="auto"/>
              <w:jc w:val="left"/>
              <w:rPr>
                <w:rFonts w:eastAsia="Times New Roman" w:cs="Times New Roman"/>
                <w:color w:val="000000"/>
                <w:sz w:val="24"/>
                <w:lang w:val="en-US"/>
              </w:rPr>
            </w:pPr>
            <w:r w:rsidRPr="00AD6BAD">
              <w:rPr>
                <w:rFonts w:eastAsia="Times New Roman" w:cs="Times New Roman"/>
                <w:color w:val="000000"/>
                <w:sz w:val="24"/>
                <w:lang w:val="en-US"/>
              </w:rPr>
              <w:t> </w:t>
            </w:r>
          </w:p>
        </w:tc>
        <w:tc>
          <w:tcPr>
            <w:tcW w:w="876" w:type="dxa"/>
            <w:noWrap/>
            <w:hideMark/>
          </w:tcPr>
          <w:p w:rsidR="00AD6BAD" w:rsidRPr="00AD6BAD" w:rsidRDefault="00AD6BAD" w:rsidP="00AD6BAD">
            <w:pPr>
              <w:spacing w:line="240" w:lineRule="auto"/>
              <w:jc w:val="right"/>
              <w:cnfStyle w:val="000000100000"/>
              <w:rPr>
                <w:rFonts w:eastAsia="Times New Roman" w:cs="Times New Roman"/>
                <w:color w:val="000000"/>
                <w:sz w:val="24"/>
                <w:lang w:val="en-US"/>
              </w:rPr>
            </w:pPr>
            <w:r w:rsidRPr="00AD6BAD">
              <w:rPr>
                <w:rFonts w:eastAsia="Times New Roman" w:cs="Times New Roman"/>
                <w:color w:val="000000"/>
                <w:sz w:val="24"/>
                <w:lang w:val="en-US"/>
              </w:rPr>
              <w:t>2012</w:t>
            </w:r>
          </w:p>
        </w:tc>
        <w:tc>
          <w:tcPr>
            <w:tcW w:w="875" w:type="dxa"/>
            <w:noWrap/>
            <w:hideMark/>
          </w:tcPr>
          <w:p w:rsidR="00AD6BAD" w:rsidRPr="00AD6BAD" w:rsidRDefault="00AD6BAD" w:rsidP="00AD6BAD">
            <w:pPr>
              <w:spacing w:line="240" w:lineRule="auto"/>
              <w:jc w:val="right"/>
              <w:cnfStyle w:val="000000100000"/>
              <w:rPr>
                <w:rFonts w:eastAsia="Times New Roman" w:cs="Times New Roman"/>
                <w:color w:val="000000"/>
                <w:sz w:val="24"/>
                <w:lang w:val="en-US"/>
              </w:rPr>
            </w:pPr>
            <w:r w:rsidRPr="00AD6BAD">
              <w:rPr>
                <w:rFonts w:eastAsia="Times New Roman" w:cs="Times New Roman"/>
                <w:color w:val="000000"/>
                <w:sz w:val="24"/>
                <w:lang w:val="en-US"/>
              </w:rPr>
              <w:t>2013</w:t>
            </w:r>
          </w:p>
        </w:tc>
        <w:tc>
          <w:tcPr>
            <w:tcW w:w="875" w:type="dxa"/>
            <w:noWrap/>
            <w:hideMark/>
          </w:tcPr>
          <w:p w:rsidR="00AD6BAD" w:rsidRPr="00AD6BAD" w:rsidRDefault="00AD6BAD" w:rsidP="00AD6BAD">
            <w:pPr>
              <w:spacing w:line="240" w:lineRule="auto"/>
              <w:jc w:val="right"/>
              <w:cnfStyle w:val="000000100000"/>
              <w:rPr>
                <w:rFonts w:eastAsia="Times New Roman" w:cs="Times New Roman"/>
                <w:color w:val="000000"/>
                <w:sz w:val="24"/>
                <w:lang w:val="en-US"/>
              </w:rPr>
            </w:pPr>
            <w:r w:rsidRPr="00AD6BAD">
              <w:rPr>
                <w:rFonts w:eastAsia="Times New Roman" w:cs="Times New Roman"/>
                <w:color w:val="000000"/>
                <w:sz w:val="24"/>
                <w:lang w:val="en-US"/>
              </w:rPr>
              <w:t>2014</w:t>
            </w:r>
          </w:p>
        </w:tc>
        <w:tc>
          <w:tcPr>
            <w:tcW w:w="875" w:type="dxa"/>
            <w:noWrap/>
            <w:hideMark/>
          </w:tcPr>
          <w:p w:rsidR="00AD6BAD" w:rsidRPr="00AD6BAD" w:rsidRDefault="00AD6BAD" w:rsidP="00AD6BAD">
            <w:pPr>
              <w:spacing w:line="240" w:lineRule="auto"/>
              <w:jc w:val="right"/>
              <w:cnfStyle w:val="000000100000"/>
              <w:rPr>
                <w:rFonts w:eastAsia="Times New Roman" w:cs="Times New Roman"/>
                <w:color w:val="000000"/>
                <w:sz w:val="24"/>
                <w:lang w:val="en-US"/>
              </w:rPr>
            </w:pPr>
            <w:r w:rsidRPr="00AD6BAD">
              <w:rPr>
                <w:rFonts w:eastAsia="Times New Roman" w:cs="Times New Roman"/>
                <w:color w:val="000000"/>
                <w:sz w:val="24"/>
                <w:lang w:val="en-US"/>
              </w:rPr>
              <w:t>2015</w:t>
            </w:r>
          </w:p>
        </w:tc>
        <w:tc>
          <w:tcPr>
            <w:tcW w:w="875" w:type="dxa"/>
            <w:noWrap/>
            <w:hideMark/>
          </w:tcPr>
          <w:p w:rsidR="00AD6BAD" w:rsidRPr="00AD6BAD" w:rsidRDefault="00AD6BAD" w:rsidP="00AD6BAD">
            <w:pPr>
              <w:spacing w:line="240" w:lineRule="auto"/>
              <w:jc w:val="right"/>
              <w:cnfStyle w:val="000000100000"/>
              <w:rPr>
                <w:rFonts w:eastAsia="Times New Roman" w:cs="Times New Roman"/>
                <w:color w:val="000000"/>
                <w:sz w:val="24"/>
                <w:lang w:val="en-US"/>
              </w:rPr>
            </w:pPr>
            <w:r w:rsidRPr="00AD6BAD">
              <w:rPr>
                <w:rFonts w:eastAsia="Times New Roman" w:cs="Times New Roman"/>
                <w:color w:val="000000"/>
                <w:sz w:val="24"/>
                <w:lang w:val="en-US"/>
              </w:rPr>
              <w:t>2016</w:t>
            </w:r>
          </w:p>
        </w:tc>
      </w:tr>
      <w:tr w:rsidR="00AD6BAD" w:rsidRPr="00AD6BAD" w:rsidTr="00AD6BAD">
        <w:trPr>
          <w:trHeight w:val="300"/>
          <w:jc w:val="center"/>
        </w:trPr>
        <w:tc>
          <w:tcPr>
            <w:cnfStyle w:val="001000000000"/>
            <w:tcW w:w="2104" w:type="dxa"/>
            <w:hideMark/>
          </w:tcPr>
          <w:p w:rsidR="00AD6BAD" w:rsidRPr="00AD6BAD" w:rsidRDefault="00AD6BAD" w:rsidP="00AD6BAD">
            <w:pPr>
              <w:spacing w:line="240" w:lineRule="auto"/>
              <w:jc w:val="left"/>
              <w:rPr>
                <w:rFonts w:eastAsia="Times New Roman" w:cs="Times New Roman"/>
                <w:color w:val="000000"/>
                <w:sz w:val="24"/>
                <w:lang w:val="en-US"/>
              </w:rPr>
            </w:pPr>
            <w:r w:rsidRPr="00AD6BAD">
              <w:rPr>
                <w:rFonts w:eastAsia="Times New Roman" w:cs="Times New Roman"/>
                <w:color w:val="000000"/>
                <w:sz w:val="24"/>
                <w:lang w:val="en-US"/>
              </w:rPr>
              <w:t>GSK</w:t>
            </w:r>
          </w:p>
        </w:tc>
        <w:tc>
          <w:tcPr>
            <w:tcW w:w="876" w:type="dxa"/>
            <w:noWrap/>
            <w:hideMark/>
          </w:tcPr>
          <w:p w:rsidR="00AD6BAD" w:rsidRPr="00AD6BAD" w:rsidRDefault="00AD6BAD" w:rsidP="00AD6BAD">
            <w:pPr>
              <w:spacing w:line="240" w:lineRule="auto"/>
              <w:jc w:val="right"/>
              <w:cnfStyle w:val="000000000000"/>
              <w:rPr>
                <w:rFonts w:eastAsia="Times New Roman" w:cs="Times New Roman"/>
                <w:color w:val="000000"/>
                <w:sz w:val="24"/>
                <w:lang w:val="en-US"/>
              </w:rPr>
            </w:pPr>
            <w:r w:rsidRPr="00AD6BAD">
              <w:rPr>
                <w:rFonts w:eastAsia="Times New Roman" w:cs="Times New Roman"/>
                <w:color w:val="000000"/>
                <w:sz w:val="24"/>
                <w:lang w:val="en-US"/>
              </w:rPr>
              <w:t>0.64</w:t>
            </w:r>
          </w:p>
        </w:tc>
        <w:tc>
          <w:tcPr>
            <w:tcW w:w="875" w:type="dxa"/>
            <w:noWrap/>
            <w:hideMark/>
          </w:tcPr>
          <w:p w:rsidR="00AD6BAD" w:rsidRPr="00AD6BAD" w:rsidRDefault="00AD6BAD" w:rsidP="00AD6BAD">
            <w:pPr>
              <w:spacing w:line="240" w:lineRule="auto"/>
              <w:jc w:val="right"/>
              <w:cnfStyle w:val="000000000000"/>
              <w:rPr>
                <w:rFonts w:eastAsia="Times New Roman" w:cs="Times New Roman"/>
                <w:color w:val="000000"/>
                <w:sz w:val="24"/>
                <w:lang w:val="en-US"/>
              </w:rPr>
            </w:pPr>
            <w:r w:rsidRPr="00AD6BAD">
              <w:rPr>
                <w:rFonts w:eastAsia="Times New Roman" w:cs="Times New Roman"/>
                <w:color w:val="000000"/>
                <w:sz w:val="24"/>
                <w:lang w:val="en-US"/>
              </w:rPr>
              <w:t>0.63</w:t>
            </w:r>
          </w:p>
        </w:tc>
        <w:tc>
          <w:tcPr>
            <w:tcW w:w="875" w:type="dxa"/>
            <w:noWrap/>
            <w:hideMark/>
          </w:tcPr>
          <w:p w:rsidR="00AD6BAD" w:rsidRPr="00AD6BAD" w:rsidRDefault="00AD6BAD" w:rsidP="00AD6BAD">
            <w:pPr>
              <w:spacing w:line="240" w:lineRule="auto"/>
              <w:jc w:val="right"/>
              <w:cnfStyle w:val="000000000000"/>
              <w:rPr>
                <w:rFonts w:eastAsia="Times New Roman" w:cs="Times New Roman"/>
                <w:color w:val="000000"/>
                <w:sz w:val="24"/>
                <w:lang w:val="en-US"/>
              </w:rPr>
            </w:pPr>
            <w:r w:rsidRPr="00AD6BAD">
              <w:rPr>
                <w:rFonts w:eastAsia="Times New Roman" w:cs="Times New Roman"/>
                <w:color w:val="000000"/>
                <w:sz w:val="24"/>
                <w:lang w:val="en-US"/>
              </w:rPr>
              <w:t>0.57</w:t>
            </w:r>
          </w:p>
        </w:tc>
        <w:tc>
          <w:tcPr>
            <w:tcW w:w="875" w:type="dxa"/>
            <w:noWrap/>
            <w:hideMark/>
          </w:tcPr>
          <w:p w:rsidR="00AD6BAD" w:rsidRPr="00AD6BAD" w:rsidRDefault="00AD6BAD" w:rsidP="00AD6BAD">
            <w:pPr>
              <w:spacing w:line="240" w:lineRule="auto"/>
              <w:jc w:val="right"/>
              <w:cnfStyle w:val="000000000000"/>
              <w:rPr>
                <w:rFonts w:eastAsia="Times New Roman" w:cs="Times New Roman"/>
                <w:color w:val="000000"/>
                <w:sz w:val="24"/>
                <w:lang w:val="en-US"/>
              </w:rPr>
            </w:pPr>
            <w:r w:rsidRPr="00AD6BAD">
              <w:rPr>
                <w:rFonts w:eastAsia="Times New Roman" w:cs="Times New Roman"/>
                <w:color w:val="000000"/>
                <w:sz w:val="24"/>
                <w:lang w:val="en-US"/>
              </w:rPr>
              <w:t>0.45</w:t>
            </w:r>
          </w:p>
        </w:tc>
        <w:tc>
          <w:tcPr>
            <w:tcW w:w="875" w:type="dxa"/>
            <w:noWrap/>
            <w:hideMark/>
          </w:tcPr>
          <w:p w:rsidR="00AD6BAD" w:rsidRPr="00AD6BAD" w:rsidRDefault="00AD6BAD" w:rsidP="00AD6BAD">
            <w:pPr>
              <w:spacing w:line="240" w:lineRule="auto"/>
              <w:jc w:val="right"/>
              <w:cnfStyle w:val="000000000000"/>
              <w:rPr>
                <w:rFonts w:eastAsia="Times New Roman" w:cs="Times New Roman"/>
                <w:color w:val="000000"/>
                <w:sz w:val="24"/>
                <w:lang w:val="en-US"/>
              </w:rPr>
            </w:pPr>
            <w:r w:rsidRPr="00AD6BAD">
              <w:rPr>
                <w:rFonts w:eastAsia="Times New Roman" w:cs="Times New Roman"/>
                <w:color w:val="000000"/>
                <w:sz w:val="24"/>
                <w:lang w:val="en-US"/>
              </w:rPr>
              <w:t>0.47</w:t>
            </w:r>
          </w:p>
        </w:tc>
      </w:tr>
      <w:tr w:rsidR="00AD6BAD" w:rsidRPr="00AD6BAD" w:rsidTr="00AD6BAD">
        <w:trPr>
          <w:cnfStyle w:val="000000100000"/>
          <w:trHeight w:val="300"/>
          <w:jc w:val="center"/>
        </w:trPr>
        <w:tc>
          <w:tcPr>
            <w:cnfStyle w:val="001000000000"/>
            <w:tcW w:w="2104" w:type="dxa"/>
            <w:noWrap/>
            <w:hideMark/>
          </w:tcPr>
          <w:p w:rsidR="00AD6BAD" w:rsidRPr="00AD6BAD" w:rsidRDefault="00AD6BAD" w:rsidP="00AD6BAD">
            <w:pPr>
              <w:spacing w:line="240" w:lineRule="auto"/>
              <w:jc w:val="left"/>
              <w:rPr>
                <w:rFonts w:eastAsia="Times New Roman" w:cs="Times New Roman"/>
                <w:color w:val="000000"/>
                <w:sz w:val="24"/>
                <w:lang w:val="en-US"/>
              </w:rPr>
            </w:pPr>
            <w:r w:rsidRPr="00AD6BAD">
              <w:rPr>
                <w:rFonts w:eastAsia="Times New Roman" w:cs="Times New Roman"/>
                <w:color w:val="000000"/>
                <w:sz w:val="24"/>
                <w:lang w:val="en-US"/>
              </w:rPr>
              <w:t>Pfizer</w:t>
            </w:r>
          </w:p>
        </w:tc>
        <w:tc>
          <w:tcPr>
            <w:tcW w:w="876" w:type="dxa"/>
            <w:noWrap/>
            <w:hideMark/>
          </w:tcPr>
          <w:p w:rsidR="00AD6BAD" w:rsidRPr="00AD6BAD" w:rsidRDefault="00AD6BAD" w:rsidP="00AD6BAD">
            <w:pPr>
              <w:spacing w:line="240" w:lineRule="auto"/>
              <w:jc w:val="right"/>
              <w:cnfStyle w:val="000000100000"/>
              <w:rPr>
                <w:rFonts w:eastAsia="Times New Roman" w:cs="Times New Roman"/>
                <w:color w:val="000000"/>
                <w:sz w:val="24"/>
                <w:lang w:val="en-US"/>
              </w:rPr>
            </w:pPr>
            <w:r w:rsidRPr="00AD6BAD">
              <w:rPr>
                <w:rFonts w:eastAsia="Times New Roman" w:cs="Times New Roman"/>
                <w:color w:val="000000"/>
                <w:sz w:val="24"/>
                <w:lang w:val="en-US"/>
              </w:rPr>
              <w:t>0.29</w:t>
            </w:r>
          </w:p>
        </w:tc>
        <w:tc>
          <w:tcPr>
            <w:tcW w:w="875" w:type="dxa"/>
            <w:noWrap/>
            <w:hideMark/>
          </w:tcPr>
          <w:p w:rsidR="00AD6BAD" w:rsidRPr="00AD6BAD" w:rsidRDefault="00AD6BAD" w:rsidP="00AD6BAD">
            <w:pPr>
              <w:spacing w:line="240" w:lineRule="auto"/>
              <w:jc w:val="right"/>
              <w:cnfStyle w:val="000000100000"/>
              <w:rPr>
                <w:rFonts w:eastAsia="Times New Roman" w:cs="Times New Roman"/>
                <w:color w:val="000000"/>
                <w:sz w:val="24"/>
                <w:lang w:val="en-US"/>
              </w:rPr>
            </w:pPr>
            <w:r w:rsidRPr="00AD6BAD">
              <w:rPr>
                <w:rFonts w:eastAsia="Times New Roman" w:cs="Times New Roman"/>
                <w:color w:val="000000"/>
                <w:sz w:val="24"/>
                <w:lang w:val="en-US"/>
              </w:rPr>
              <w:t>0.30</w:t>
            </w:r>
          </w:p>
        </w:tc>
        <w:tc>
          <w:tcPr>
            <w:tcW w:w="875" w:type="dxa"/>
            <w:noWrap/>
            <w:hideMark/>
          </w:tcPr>
          <w:p w:rsidR="00AD6BAD" w:rsidRPr="00AD6BAD" w:rsidRDefault="00AD6BAD" w:rsidP="00AD6BAD">
            <w:pPr>
              <w:spacing w:line="240" w:lineRule="auto"/>
              <w:jc w:val="right"/>
              <w:cnfStyle w:val="000000100000"/>
              <w:rPr>
                <w:rFonts w:eastAsia="Times New Roman" w:cs="Times New Roman"/>
                <w:color w:val="000000"/>
                <w:sz w:val="24"/>
                <w:lang w:val="en-US"/>
              </w:rPr>
            </w:pPr>
            <w:r w:rsidRPr="00AD6BAD">
              <w:rPr>
                <w:rFonts w:eastAsia="Times New Roman" w:cs="Times New Roman"/>
                <w:color w:val="000000"/>
                <w:sz w:val="24"/>
                <w:lang w:val="en-US"/>
              </w:rPr>
              <w:t>0.29</w:t>
            </w:r>
          </w:p>
        </w:tc>
        <w:tc>
          <w:tcPr>
            <w:tcW w:w="875" w:type="dxa"/>
            <w:noWrap/>
            <w:hideMark/>
          </w:tcPr>
          <w:p w:rsidR="00AD6BAD" w:rsidRPr="00AD6BAD" w:rsidRDefault="00AD6BAD" w:rsidP="00AD6BAD">
            <w:pPr>
              <w:spacing w:line="240" w:lineRule="auto"/>
              <w:jc w:val="right"/>
              <w:cnfStyle w:val="000000100000"/>
              <w:rPr>
                <w:rFonts w:eastAsia="Times New Roman" w:cs="Times New Roman"/>
                <w:color w:val="000000"/>
                <w:sz w:val="24"/>
                <w:lang w:val="en-US"/>
              </w:rPr>
            </w:pPr>
            <w:r w:rsidRPr="00AD6BAD">
              <w:rPr>
                <w:rFonts w:eastAsia="Times New Roman" w:cs="Times New Roman"/>
                <w:color w:val="000000"/>
                <w:sz w:val="24"/>
                <w:lang w:val="en-US"/>
              </w:rPr>
              <w:t>0.29</w:t>
            </w:r>
          </w:p>
        </w:tc>
        <w:tc>
          <w:tcPr>
            <w:tcW w:w="875" w:type="dxa"/>
            <w:noWrap/>
            <w:hideMark/>
          </w:tcPr>
          <w:p w:rsidR="00AD6BAD" w:rsidRPr="00AD6BAD" w:rsidRDefault="00AD6BAD" w:rsidP="00AD6BAD">
            <w:pPr>
              <w:spacing w:line="240" w:lineRule="auto"/>
              <w:jc w:val="right"/>
              <w:cnfStyle w:val="000000100000"/>
              <w:rPr>
                <w:rFonts w:eastAsia="Times New Roman" w:cs="Times New Roman"/>
                <w:color w:val="000000"/>
                <w:sz w:val="24"/>
                <w:lang w:val="en-US"/>
              </w:rPr>
            </w:pPr>
            <w:r w:rsidRPr="00AD6BAD">
              <w:rPr>
                <w:rFonts w:eastAsia="Times New Roman" w:cs="Times New Roman"/>
                <w:color w:val="000000"/>
                <w:sz w:val="24"/>
                <w:lang w:val="en-US"/>
              </w:rPr>
              <w:t>0.31</w:t>
            </w:r>
          </w:p>
        </w:tc>
      </w:tr>
    </w:tbl>
    <w:p w:rsidR="006D3B03" w:rsidRPr="006D3B03" w:rsidRDefault="006D3B03" w:rsidP="006D3B03"/>
    <w:p w:rsidR="006D3B03" w:rsidRDefault="00AD6BAD" w:rsidP="00E87463">
      <w:pPr>
        <w:jc w:val="center"/>
      </w:pPr>
      <w:r w:rsidRPr="00AD6BAD">
        <w:rPr>
          <w:noProof/>
          <w:lang w:val="en-US" w:bidi="gu-IN"/>
        </w:rPr>
        <w:drawing>
          <wp:inline distT="0" distB="0" distL="0" distR="0">
            <wp:extent cx="3095624" cy="1952625"/>
            <wp:effectExtent l="19050" t="0" r="9526"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E87463" w:rsidRDefault="00B56BD3" w:rsidP="00B56BD3">
      <w:r>
        <w:t xml:space="preserve">The asset turnover </w:t>
      </w:r>
      <w:r w:rsidR="003966C5">
        <w:t xml:space="preserve">ratio of the organization GSK is much stronger </w:t>
      </w:r>
      <w:r w:rsidR="00205C4E">
        <w:t>than that of Pfizer</w:t>
      </w:r>
      <w:r w:rsidR="003966C5">
        <w:t xml:space="preserve"> over years for the study period of 2012-2016 </w:t>
      </w:r>
      <w:r w:rsidR="00205C4E">
        <w:t>and</w:t>
      </w:r>
      <w:r w:rsidR="003966C5">
        <w:t xml:space="preserve"> is </w:t>
      </w:r>
      <w:r w:rsidR="00205C4E">
        <w:t xml:space="preserve">in </w:t>
      </w:r>
      <w:r w:rsidR="003966C5">
        <w:t xml:space="preserve">sharp contrast with the </w:t>
      </w:r>
      <w:r w:rsidR="00205C4E">
        <w:t xml:space="preserve">depiction of the ROCE </w:t>
      </w:r>
      <w:r w:rsidR="0016464F">
        <w:t>ratio</w:t>
      </w:r>
      <w:r w:rsidR="00F91A5A" w:rsidRPr="00F91A5A">
        <w:rPr>
          <w:rFonts w:ascii="Arial" w:hAnsi="Arial" w:cs="Arial"/>
          <w:color w:val="666666"/>
          <w:shd w:val="clear" w:color="auto" w:fill="FFFFFF"/>
        </w:rPr>
        <w:t xml:space="preserve"> </w:t>
      </w:r>
      <w:r w:rsidR="00F91A5A" w:rsidRPr="00F91A5A">
        <w:t xml:space="preserve">(Momentum </w:t>
      </w:r>
      <w:r w:rsidR="00F91A5A" w:rsidRPr="00F91A5A">
        <w:rPr>
          <w:i/>
        </w:rPr>
        <w:t>et al</w:t>
      </w:r>
      <w:r w:rsidR="00F91A5A" w:rsidRPr="00F91A5A">
        <w:t>., 2017)</w:t>
      </w:r>
      <w:r w:rsidR="0016464F">
        <w:t>. The</w:t>
      </w:r>
      <w:r w:rsidR="00205C4E">
        <w:t xml:space="preserve"> underlying reason </w:t>
      </w:r>
      <w:r w:rsidR="0016464F">
        <w:t xml:space="preserve">is that the organization </w:t>
      </w:r>
      <w:r w:rsidR="00133014">
        <w:t xml:space="preserve">GSK </w:t>
      </w:r>
      <w:r w:rsidR="0016464F">
        <w:t xml:space="preserve">has earned a good return over the asset but </w:t>
      </w:r>
      <w:r w:rsidR="00FE7A99">
        <w:t xml:space="preserve"> the asset portion of the organization GSK does not include the increase in liabilities of th</w:t>
      </w:r>
      <w:r w:rsidR="00133014">
        <w:t xml:space="preserve">e organization or decline in retained earnings due to increase in operational </w:t>
      </w:r>
      <w:r w:rsidR="00FE7A99">
        <w:t xml:space="preserve"> costs that are reflected by the </w:t>
      </w:r>
      <w:r w:rsidR="00686C49">
        <w:t xml:space="preserve">capital </w:t>
      </w:r>
      <w:r w:rsidR="007B6D9F">
        <w:t xml:space="preserve">employed. More over the return earned with respect to asset is much lower </w:t>
      </w:r>
      <w:r w:rsidR="00053DB2">
        <w:t xml:space="preserve">in </w:t>
      </w:r>
      <w:r w:rsidR="007E1973">
        <w:t xml:space="preserve">case of the organization Pfizer and that is why the asset </w:t>
      </w:r>
      <w:r w:rsidR="00347D4E">
        <w:t>turnover</w:t>
      </w:r>
      <w:r w:rsidR="007E1973">
        <w:t xml:space="preserve"> ratio of GSK is stronger </w:t>
      </w:r>
      <w:r w:rsidR="00347D4E">
        <w:t>than</w:t>
      </w:r>
      <w:r w:rsidR="007E1973">
        <w:t xml:space="preserve"> that of Pfizer</w:t>
      </w:r>
      <w:r w:rsidR="00581C43" w:rsidRPr="00581C43">
        <w:t xml:space="preserve"> (NYSE_PFE, 2013)</w:t>
      </w:r>
      <w:r w:rsidR="00581C43">
        <w:t>.</w:t>
      </w:r>
    </w:p>
    <w:p w:rsidR="00347D4E" w:rsidRDefault="00347D4E" w:rsidP="00B56BD3"/>
    <w:p w:rsidR="00347D4E" w:rsidRDefault="00347D4E" w:rsidP="00B56BD3"/>
    <w:p w:rsidR="00B56BD3" w:rsidRDefault="00B56BD3" w:rsidP="00B56BD3">
      <w:pPr>
        <w:pStyle w:val="Heading3"/>
      </w:pPr>
      <w:bookmarkStart w:id="17" w:name="_Toc502329671"/>
      <w:r>
        <w:t>Comparison with respect to gearing ratio:</w:t>
      </w:r>
      <w:bookmarkEnd w:id="17"/>
    </w:p>
    <w:tbl>
      <w:tblPr>
        <w:tblStyle w:val="LightShading-Accent11"/>
        <w:tblW w:w="6480" w:type="dxa"/>
        <w:jc w:val="center"/>
        <w:shd w:val="clear" w:color="auto" w:fill="CCC0D9" w:themeFill="accent4" w:themeFillTint="66"/>
        <w:tblLook w:val="04A0"/>
      </w:tblPr>
      <w:tblGrid>
        <w:gridCol w:w="2104"/>
        <w:gridCol w:w="876"/>
        <w:gridCol w:w="875"/>
        <w:gridCol w:w="875"/>
        <w:gridCol w:w="875"/>
        <w:gridCol w:w="875"/>
      </w:tblGrid>
      <w:tr w:rsidR="00B56BD3" w:rsidRPr="00B56BD3" w:rsidTr="00B56BD3">
        <w:trPr>
          <w:cnfStyle w:val="100000000000"/>
          <w:trHeight w:val="300"/>
          <w:jc w:val="center"/>
        </w:trPr>
        <w:tc>
          <w:tcPr>
            <w:cnfStyle w:val="001000000000"/>
            <w:tcW w:w="6480" w:type="dxa"/>
            <w:gridSpan w:val="6"/>
            <w:shd w:val="clear" w:color="auto" w:fill="CCC0D9" w:themeFill="accent4" w:themeFillTint="66"/>
            <w:noWrap/>
            <w:hideMark/>
          </w:tcPr>
          <w:p w:rsidR="00B56BD3" w:rsidRPr="00B56BD3" w:rsidRDefault="00B56BD3" w:rsidP="00B56BD3">
            <w:pPr>
              <w:spacing w:line="240" w:lineRule="auto"/>
              <w:jc w:val="center"/>
              <w:rPr>
                <w:rFonts w:eastAsia="Times New Roman" w:cs="Times New Roman"/>
                <w:color w:val="000000"/>
                <w:sz w:val="24"/>
                <w:szCs w:val="24"/>
                <w:lang w:val="en-US"/>
              </w:rPr>
            </w:pPr>
            <w:r w:rsidRPr="00B56BD3">
              <w:rPr>
                <w:rFonts w:eastAsia="Times New Roman" w:cs="Times New Roman"/>
                <w:color w:val="000000"/>
                <w:sz w:val="24"/>
                <w:szCs w:val="24"/>
                <w:lang w:val="en-US"/>
              </w:rPr>
              <w:t>Gearing Ratio</w:t>
            </w:r>
          </w:p>
        </w:tc>
      </w:tr>
      <w:tr w:rsidR="00B56BD3" w:rsidRPr="00B56BD3" w:rsidTr="00B56BD3">
        <w:trPr>
          <w:cnfStyle w:val="000000100000"/>
          <w:trHeight w:val="300"/>
          <w:jc w:val="center"/>
        </w:trPr>
        <w:tc>
          <w:tcPr>
            <w:cnfStyle w:val="001000000000"/>
            <w:tcW w:w="2104" w:type="dxa"/>
            <w:shd w:val="clear" w:color="auto" w:fill="CCC0D9" w:themeFill="accent4" w:themeFillTint="66"/>
            <w:noWrap/>
            <w:hideMark/>
          </w:tcPr>
          <w:p w:rsidR="00B56BD3" w:rsidRPr="00B56BD3" w:rsidRDefault="00B56BD3" w:rsidP="00B56BD3">
            <w:pPr>
              <w:spacing w:line="240" w:lineRule="auto"/>
              <w:jc w:val="left"/>
              <w:rPr>
                <w:rFonts w:eastAsia="Times New Roman" w:cs="Times New Roman"/>
                <w:color w:val="000000"/>
                <w:sz w:val="24"/>
                <w:szCs w:val="24"/>
                <w:lang w:val="en-US"/>
              </w:rPr>
            </w:pPr>
            <w:r w:rsidRPr="00B56BD3">
              <w:rPr>
                <w:rFonts w:eastAsia="Times New Roman" w:cs="Times New Roman"/>
                <w:color w:val="000000"/>
                <w:sz w:val="24"/>
                <w:szCs w:val="24"/>
                <w:lang w:val="en-US"/>
              </w:rPr>
              <w:t> </w:t>
            </w:r>
          </w:p>
        </w:tc>
        <w:tc>
          <w:tcPr>
            <w:tcW w:w="876" w:type="dxa"/>
            <w:shd w:val="clear" w:color="auto" w:fill="CCC0D9" w:themeFill="accent4" w:themeFillTint="66"/>
            <w:noWrap/>
            <w:hideMark/>
          </w:tcPr>
          <w:p w:rsidR="00B56BD3" w:rsidRPr="00B56BD3" w:rsidRDefault="00B56BD3" w:rsidP="00B56BD3">
            <w:pPr>
              <w:spacing w:line="240" w:lineRule="auto"/>
              <w:jc w:val="right"/>
              <w:cnfStyle w:val="000000100000"/>
              <w:rPr>
                <w:rFonts w:eastAsia="Times New Roman" w:cs="Times New Roman"/>
                <w:color w:val="000000"/>
                <w:sz w:val="24"/>
                <w:szCs w:val="24"/>
                <w:lang w:val="en-US"/>
              </w:rPr>
            </w:pPr>
            <w:r w:rsidRPr="00B56BD3">
              <w:rPr>
                <w:rFonts w:eastAsia="Times New Roman" w:cs="Times New Roman"/>
                <w:color w:val="000000"/>
                <w:sz w:val="24"/>
                <w:szCs w:val="24"/>
                <w:lang w:val="en-US"/>
              </w:rPr>
              <w:t>2012</w:t>
            </w:r>
          </w:p>
        </w:tc>
        <w:tc>
          <w:tcPr>
            <w:tcW w:w="875" w:type="dxa"/>
            <w:shd w:val="clear" w:color="auto" w:fill="CCC0D9" w:themeFill="accent4" w:themeFillTint="66"/>
            <w:noWrap/>
            <w:hideMark/>
          </w:tcPr>
          <w:p w:rsidR="00B56BD3" w:rsidRPr="00B56BD3" w:rsidRDefault="00B56BD3" w:rsidP="00B56BD3">
            <w:pPr>
              <w:spacing w:line="240" w:lineRule="auto"/>
              <w:jc w:val="right"/>
              <w:cnfStyle w:val="000000100000"/>
              <w:rPr>
                <w:rFonts w:eastAsia="Times New Roman" w:cs="Times New Roman"/>
                <w:color w:val="000000"/>
                <w:sz w:val="24"/>
                <w:szCs w:val="24"/>
                <w:lang w:val="en-US"/>
              </w:rPr>
            </w:pPr>
            <w:r w:rsidRPr="00B56BD3">
              <w:rPr>
                <w:rFonts w:eastAsia="Times New Roman" w:cs="Times New Roman"/>
                <w:color w:val="000000"/>
                <w:sz w:val="24"/>
                <w:szCs w:val="24"/>
                <w:lang w:val="en-US"/>
              </w:rPr>
              <w:t>2013</w:t>
            </w:r>
          </w:p>
        </w:tc>
        <w:tc>
          <w:tcPr>
            <w:tcW w:w="875" w:type="dxa"/>
            <w:shd w:val="clear" w:color="auto" w:fill="CCC0D9" w:themeFill="accent4" w:themeFillTint="66"/>
            <w:noWrap/>
            <w:hideMark/>
          </w:tcPr>
          <w:p w:rsidR="00B56BD3" w:rsidRPr="00B56BD3" w:rsidRDefault="00B56BD3" w:rsidP="00B56BD3">
            <w:pPr>
              <w:spacing w:line="240" w:lineRule="auto"/>
              <w:jc w:val="right"/>
              <w:cnfStyle w:val="000000100000"/>
              <w:rPr>
                <w:rFonts w:eastAsia="Times New Roman" w:cs="Times New Roman"/>
                <w:color w:val="000000"/>
                <w:sz w:val="24"/>
                <w:szCs w:val="24"/>
                <w:lang w:val="en-US"/>
              </w:rPr>
            </w:pPr>
            <w:r w:rsidRPr="00B56BD3">
              <w:rPr>
                <w:rFonts w:eastAsia="Times New Roman" w:cs="Times New Roman"/>
                <w:color w:val="000000"/>
                <w:sz w:val="24"/>
                <w:szCs w:val="24"/>
                <w:lang w:val="en-US"/>
              </w:rPr>
              <w:t>2014</w:t>
            </w:r>
          </w:p>
        </w:tc>
        <w:tc>
          <w:tcPr>
            <w:tcW w:w="875" w:type="dxa"/>
            <w:shd w:val="clear" w:color="auto" w:fill="CCC0D9" w:themeFill="accent4" w:themeFillTint="66"/>
            <w:noWrap/>
            <w:hideMark/>
          </w:tcPr>
          <w:p w:rsidR="00B56BD3" w:rsidRPr="00B56BD3" w:rsidRDefault="00B56BD3" w:rsidP="00B56BD3">
            <w:pPr>
              <w:spacing w:line="240" w:lineRule="auto"/>
              <w:jc w:val="right"/>
              <w:cnfStyle w:val="000000100000"/>
              <w:rPr>
                <w:rFonts w:eastAsia="Times New Roman" w:cs="Times New Roman"/>
                <w:color w:val="000000"/>
                <w:sz w:val="24"/>
                <w:szCs w:val="24"/>
                <w:lang w:val="en-US"/>
              </w:rPr>
            </w:pPr>
            <w:r w:rsidRPr="00B56BD3">
              <w:rPr>
                <w:rFonts w:eastAsia="Times New Roman" w:cs="Times New Roman"/>
                <w:color w:val="000000"/>
                <w:sz w:val="24"/>
                <w:szCs w:val="24"/>
                <w:lang w:val="en-US"/>
              </w:rPr>
              <w:t>2015</w:t>
            </w:r>
          </w:p>
        </w:tc>
        <w:tc>
          <w:tcPr>
            <w:tcW w:w="875" w:type="dxa"/>
            <w:shd w:val="clear" w:color="auto" w:fill="CCC0D9" w:themeFill="accent4" w:themeFillTint="66"/>
            <w:noWrap/>
            <w:hideMark/>
          </w:tcPr>
          <w:p w:rsidR="00B56BD3" w:rsidRPr="00B56BD3" w:rsidRDefault="00B56BD3" w:rsidP="00B56BD3">
            <w:pPr>
              <w:spacing w:line="240" w:lineRule="auto"/>
              <w:jc w:val="right"/>
              <w:cnfStyle w:val="000000100000"/>
              <w:rPr>
                <w:rFonts w:eastAsia="Times New Roman" w:cs="Times New Roman"/>
                <w:color w:val="000000"/>
                <w:sz w:val="24"/>
                <w:szCs w:val="24"/>
                <w:lang w:val="en-US"/>
              </w:rPr>
            </w:pPr>
            <w:r w:rsidRPr="00B56BD3">
              <w:rPr>
                <w:rFonts w:eastAsia="Times New Roman" w:cs="Times New Roman"/>
                <w:color w:val="000000"/>
                <w:sz w:val="24"/>
                <w:szCs w:val="24"/>
                <w:lang w:val="en-US"/>
              </w:rPr>
              <w:t>2016</w:t>
            </w:r>
          </w:p>
        </w:tc>
      </w:tr>
      <w:tr w:rsidR="00B56BD3" w:rsidRPr="00B56BD3" w:rsidTr="00B56BD3">
        <w:trPr>
          <w:trHeight w:val="300"/>
          <w:jc w:val="center"/>
        </w:trPr>
        <w:tc>
          <w:tcPr>
            <w:cnfStyle w:val="001000000000"/>
            <w:tcW w:w="2104" w:type="dxa"/>
            <w:shd w:val="clear" w:color="auto" w:fill="CCC0D9" w:themeFill="accent4" w:themeFillTint="66"/>
            <w:hideMark/>
          </w:tcPr>
          <w:p w:rsidR="00B56BD3" w:rsidRPr="00B56BD3" w:rsidRDefault="00B56BD3" w:rsidP="00B56BD3">
            <w:pPr>
              <w:spacing w:line="240" w:lineRule="auto"/>
              <w:jc w:val="left"/>
              <w:rPr>
                <w:rFonts w:eastAsia="Times New Roman" w:cs="Times New Roman"/>
                <w:color w:val="000000"/>
                <w:sz w:val="24"/>
                <w:szCs w:val="24"/>
                <w:lang w:val="en-US"/>
              </w:rPr>
            </w:pPr>
            <w:r w:rsidRPr="00B56BD3">
              <w:rPr>
                <w:rFonts w:eastAsia="Times New Roman" w:cs="Times New Roman"/>
                <w:color w:val="000000"/>
                <w:sz w:val="24"/>
                <w:szCs w:val="24"/>
                <w:lang w:val="en-US"/>
              </w:rPr>
              <w:t>GSK</w:t>
            </w:r>
          </w:p>
        </w:tc>
        <w:tc>
          <w:tcPr>
            <w:tcW w:w="876" w:type="dxa"/>
            <w:shd w:val="clear" w:color="auto" w:fill="CCC0D9" w:themeFill="accent4" w:themeFillTint="66"/>
            <w:noWrap/>
            <w:hideMark/>
          </w:tcPr>
          <w:p w:rsidR="00B56BD3" w:rsidRPr="00B56BD3" w:rsidRDefault="00B56BD3" w:rsidP="00B56BD3">
            <w:pPr>
              <w:spacing w:line="240" w:lineRule="auto"/>
              <w:jc w:val="right"/>
              <w:cnfStyle w:val="000000000000"/>
              <w:rPr>
                <w:rFonts w:eastAsia="Times New Roman" w:cs="Times New Roman"/>
                <w:color w:val="000000"/>
                <w:sz w:val="24"/>
                <w:szCs w:val="24"/>
                <w:lang w:val="en-US"/>
              </w:rPr>
            </w:pPr>
            <w:r w:rsidRPr="00B56BD3">
              <w:rPr>
                <w:rFonts w:eastAsia="Times New Roman" w:cs="Times New Roman"/>
                <w:color w:val="000000"/>
                <w:sz w:val="24"/>
                <w:szCs w:val="24"/>
                <w:lang w:val="en-US"/>
              </w:rPr>
              <w:t>78%</w:t>
            </w:r>
          </w:p>
        </w:tc>
        <w:tc>
          <w:tcPr>
            <w:tcW w:w="875" w:type="dxa"/>
            <w:shd w:val="clear" w:color="auto" w:fill="CCC0D9" w:themeFill="accent4" w:themeFillTint="66"/>
            <w:noWrap/>
            <w:hideMark/>
          </w:tcPr>
          <w:p w:rsidR="00B56BD3" w:rsidRPr="00B56BD3" w:rsidRDefault="00B56BD3" w:rsidP="00B56BD3">
            <w:pPr>
              <w:spacing w:line="240" w:lineRule="auto"/>
              <w:jc w:val="right"/>
              <w:cnfStyle w:val="000000000000"/>
              <w:rPr>
                <w:rFonts w:eastAsia="Times New Roman" w:cs="Times New Roman"/>
                <w:color w:val="000000"/>
                <w:sz w:val="24"/>
                <w:szCs w:val="24"/>
                <w:lang w:val="en-US"/>
              </w:rPr>
            </w:pPr>
            <w:r w:rsidRPr="00B56BD3">
              <w:rPr>
                <w:rFonts w:eastAsia="Times New Roman" w:cs="Times New Roman"/>
                <w:color w:val="000000"/>
                <w:sz w:val="24"/>
                <w:szCs w:val="24"/>
                <w:lang w:val="en-US"/>
              </w:rPr>
              <w:t>75%</w:t>
            </w:r>
          </w:p>
        </w:tc>
        <w:tc>
          <w:tcPr>
            <w:tcW w:w="875" w:type="dxa"/>
            <w:shd w:val="clear" w:color="auto" w:fill="CCC0D9" w:themeFill="accent4" w:themeFillTint="66"/>
            <w:noWrap/>
            <w:hideMark/>
          </w:tcPr>
          <w:p w:rsidR="00B56BD3" w:rsidRPr="00B56BD3" w:rsidRDefault="00B56BD3" w:rsidP="00B56BD3">
            <w:pPr>
              <w:spacing w:line="240" w:lineRule="auto"/>
              <w:jc w:val="right"/>
              <w:cnfStyle w:val="000000000000"/>
              <w:rPr>
                <w:rFonts w:eastAsia="Times New Roman" w:cs="Times New Roman"/>
                <w:color w:val="000000"/>
                <w:sz w:val="24"/>
                <w:szCs w:val="24"/>
                <w:lang w:val="en-US"/>
              </w:rPr>
            </w:pPr>
            <w:r w:rsidRPr="00B56BD3">
              <w:rPr>
                <w:rFonts w:eastAsia="Times New Roman" w:cs="Times New Roman"/>
                <w:color w:val="000000"/>
                <w:sz w:val="24"/>
                <w:szCs w:val="24"/>
                <w:lang w:val="en-US"/>
              </w:rPr>
              <w:t>85%</w:t>
            </w:r>
          </w:p>
        </w:tc>
        <w:tc>
          <w:tcPr>
            <w:tcW w:w="875" w:type="dxa"/>
            <w:shd w:val="clear" w:color="auto" w:fill="CCC0D9" w:themeFill="accent4" w:themeFillTint="66"/>
            <w:noWrap/>
            <w:hideMark/>
          </w:tcPr>
          <w:p w:rsidR="00B56BD3" w:rsidRPr="00B56BD3" w:rsidRDefault="00B56BD3" w:rsidP="00B56BD3">
            <w:pPr>
              <w:spacing w:line="240" w:lineRule="auto"/>
              <w:jc w:val="right"/>
              <w:cnfStyle w:val="000000000000"/>
              <w:rPr>
                <w:rFonts w:eastAsia="Times New Roman" w:cs="Times New Roman"/>
                <w:color w:val="000000"/>
                <w:sz w:val="24"/>
                <w:szCs w:val="24"/>
                <w:lang w:val="en-US"/>
              </w:rPr>
            </w:pPr>
            <w:r w:rsidRPr="00B56BD3">
              <w:rPr>
                <w:rFonts w:eastAsia="Times New Roman" w:cs="Times New Roman"/>
                <w:color w:val="000000"/>
                <w:sz w:val="24"/>
                <w:szCs w:val="24"/>
                <w:lang w:val="en-US"/>
              </w:rPr>
              <w:t>76%</w:t>
            </w:r>
          </w:p>
        </w:tc>
        <w:tc>
          <w:tcPr>
            <w:tcW w:w="875" w:type="dxa"/>
            <w:shd w:val="clear" w:color="auto" w:fill="CCC0D9" w:themeFill="accent4" w:themeFillTint="66"/>
            <w:noWrap/>
            <w:hideMark/>
          </w:tcPr>
          <w:p w:rsidR="00B56BD3" w:rsidRPr="00B56BD3" w:rsidRDefault="00B56BD3" w:rsidP="00B56BD3">
            <w:pPr>
              <w:spacing w:line="240" w:lineRule="auto"/>
              <w:jc w:val="right"/>
              <w:cnfStyle w:val="000000000000"/>
              <w:rPr>
                <w:rFonts w:eastAsia="Times New Roman" w:cs="Times New Roman"/>
                <w:color w:val="000000"/>
                <w:sz w:val="24"/>
                <w:szCs w:val="24"/>
                <w:lang w:val="en-US"/>
              </w:rPr>
            </w:pPr>
            <w:r w:rsidRPr="00B56BD3">
              <w:rPr>
                <w:rFonts w:eastAsia="Times New Roman" w:cs="Times New Roman"/>
                <w:color w:val="000000"/>
                <w:sz w:val="24"/>
                <w:szCs w:val="24"/>
                <w:lang w:val="en-US"/>
              </w:rPr>
              <w:t>94%</w:t>
            </w:r>
          </w:p>
        </w:tc>
      </w:tr>
      <w:tr w:rsidR="00B56BD3" w:rsidRPr="00B56BD3" w:rsidTr="00B56BD3">
        <w:trPr>
          <w:cnfStyle w:val="000000100000"/>
          <w:trHeight w:val="300"/>
          <w:jc w:val="center"/>
        </w:trPr>
        <w:tc>
          <w:tcPr>
            <w:cnfStyle w:val="001000000000"/>
            <w:tcW w:w="2104" w:type="dxa"/>
            <w:shd w:val="clear" w:color="auto" w:fill="CCC0D9" w:themeFill="accent4" w:themeFillTint="66"/>
            <w:noWrap/>
            <w:hideMark/>
          </w:tcPr>
          <w:p w:rsidR="00B56BD3" w:rsidRPr="00B56BD3" w:rsidRDefault="00B56BD3" w:rsidP="00B56BD3">
            <w:pPr>
              <w:spacing w:line="240" w:lineRule="auto"/>
              <w:jc w:val="left"/>
              <w:rPr>
                <w:rFonts w:eastAsia="Times New Roman" w:cs="Times New Roman"/>
                <w:color w:val="000000"/>
                <w:sz w:val="24"/>
                <w:szCs w:val="24"/>
                <w:lang w:val="en-US"/>
              </w:rPr>
            </w:pPr>
            <w:r w:rsidRPr="00B56BD3">
              <w:rPr>
                <w:rFonts w:eastAsia="Times New Roman" w:cs="Times New Roman"/>
                <w:color w:val="000000"/>
                <w:sz w:val="24"/>
                <w:szCs w:val="24"/>
                <w:lang w:val="en-US"/>
              </w:rPr>
              <w:t>Pfizer</w:t>
            </w:r>
          </w:p>
        </w:tc>
        <w:tc>
          <w:tcPr>
            <w:tcW w:w="876" w:type="dxa"/>
            <w:shd w:val="clear" w:color="auto" w:fill="CCC0D9" w:themeFill="accent4" w:themeFillTint="66"/>
            <w:noWrap/>
            <w:hideMark/>
          </w:tcPr>
          <w:p w:rsidR="00B56BD3" w:rsidRPr="00B56BD3" w:rsidRDefault="00B56BD3" w:rsidP="00B56BD3">
            <w:pPr>
              <w:spacing w:line="240" w:lineRule="auto"/>
              <w:jc w:val="right"/>
              <w:cnfStyle w:val="000000100000"/>
              <w:rPr>
                <w:rFonts w:eastAsia="Times New Roman" w:cs="Times New Roman"/>
                <w:color w:val="000000"/>
                <w:sz w:val="24"/>
                <w:szCs w:val="24"/>
                <w:lang w:val="en-US"/>
              </w:rPr>
            </w:pPr>
            <w:r w:rsidRPr="00B56BD3">
              <w:rPr>
                <w:rFonts w:eastAsia="Times New Roman" w:cs="Times New Roman"/>
                <w:color w:val="000000"/>
                <w:sz w:val="24"/>
                <w:szCs w:val="24"/>
                <w:lang w:val="en-US"/>
              </w:rPr>
              <w:t>58%</w:t>
            </w:r>
          </w:p>
        </w:tc>
        <w:tc>
          <w:tcPr>
            <w:tcW w:w="875" w:type="dxa"/>
            <w:shd w:val="clear" w:color="auto" w:fill="CCC0D9" w:themeFill="accent4" w:themeFillTint="66"/>
            <w:noWrap/>
            <w:hideMark/>
          </w:tcPr>
          <w:p w:rsidR="00B56BD3" w:rsidRPr="00B56BD3" w:rsidRDefault="00B56BD3" w:rsidP="00B56BD3">
            <w:pPr>
              <w:spacing w:line="240" w:lineRule="auto"/>
              <w:jc w:val="right"/>
              <w:cnfStyle w:val="000000100000"/>
              <w:rPr>
                <w:rFonts w:eastAsia="Times New Roman" w:cs="Times New Roman"/>
                <w:color w:val="000000"/>
                <w:sz w:val="24"/>
                <w:szCs w:val="24"/>
                <w:lang w:val="en-US"/>
              </w:rPr>
            </w:pPr>
            <w:r w:rsidRPr="00B56BD3">
              <w:rPr>
                <w:rFonts w:eastAsia="Times New Roman" w:cs="Times New Roman"/>
                <w:color w:val="000000"/>
                <w:sz w:val="24"/>
                <w:szCs w:val="24"/>
                <w:lang w:val="en-US"/>
              </w:rPr>
              <w:t>46%</w:t>
            </w:r>
          </w:p>
        </w:tc>
        <w:tc>
          <w:tcPr>
            <w:tcW w:w="875" w:type="dxa"/>
            <w:shd w:val="clear" w:color="auto" w:fill="CCC0D9" w:themeFill="accent4" w:themeFillTint="66"/>
            <w:noWrap/>
            <w:hideMark/>
          </w:tcPr>
          <w:p w:rsidR="00B56BD3" w:rsidRPr="00B56BD3" w:rsidRDefault="00B56BD3" w:rsidP="00B56BD3">
            <w:pPr>
              <w:spacing w:line="240" w:lineRule="auto"/>
              <w:jc w:val="right"/>
              <w:cnfStyle w:val="000000100000"/>
              <w:rPr>
                <w:rFonts w:eastAsia="Times New Roman" w:cs="Times New Roman"/>
                <w:color w:val="000000"/>
                <w:sz w:val="24"/>
                <w:szCs w:val="24"/>
                <w:lang w:val="en-US"/>
              </w:rPr>
            </w:pPr>
            <w:r w:rsidRPr="00B56BD3">
              <w:rPr>
                <w:rFonts w:eastAsia="Times New Roman" w:cs="Times New Roman"/>
                <w:color w:val="000000"/>
                <w:sz w:val="24"/>
                <w:szCs w:val="24"/>
                <w:lang w:val="en-US"/>
              </w:rPr>
              <w:t>47%</w:t>
            </w:r>
          </w:p>
        </w:tc>
        <w:tc>
          <w:tcPr>
            <w:tcW w:w="875" w:type="dxa"/>
            <w:shd w:val="clear" w:color="auto" w:fill="CCC0D9" w:themeFill="accent4" w:themeFillTint="66"/>
            <w:noWrap/>
            <w:hideMark/>
          </w:tcPr>
          <w:p w:rsidR="00B56BD3" w:rsidRPr="00B56BD3" w:rsidRDefault="00B56BD3" w:rsidP="00B56BD3">
            <w:pPr>
              <w:spacing w:line="240" w:lineRule="auto"/>
              <w:jc w:val="right"/>
              <w:cnfStyle w:val="000000100000"/>
              <w:rPr>
                <w:rFonts w:eastAsia="Times New Roman" w:cs="Times New Roman"/>
                <w:color w:val="000000"/>
                <w:sz w:val="24"/>
                <w:szCs w:val="24"/>
                <w:lang w:val="en-US"/>
              </w:rPr>
            </w:pPr>
            <w:r w:rsidRPr="00B56BD3">
              <w:rPr>
                <w:rFonts w:eastAsia="Times New Roman" w:cs="Times New Roman"/>
                <w:color w:val="000000"/>
                <w:sz w:val="24"/>
                <w:szCs w:val="24"/>
                <w:lang w:val="en-US"/>
              </w:rPr>
              <w:t>46%</w:t>
            </w:r>
          </w:p>
        </w:tc>
        <w:tc>
          <w:tcPr>
            <w:tcW w:w="875" w:type="dxa"/>
            <w:shd w:val="clear" w:color="auto" w:fill="CCC0D9" w:themeFill="accent4" w:themeFillTint="66"/>
            <w:noWrap/>
            <w:hideMark/>
          </w:tcPr>
          <w:p w:rsidR="00B56BD3" w:rsidRPr="00B56BD3" w:rsidRDefault="00B56BD3" w:rsidP="00B56BD3">
            <w:pPr>
              <w:spacing w:line="240" w:lineRule="auto"/>
              <w:jc w:val="right"/>
              <w:cnfStyle w:val="000000100000"/>
              <w:rPr>
                <w:rFonts w:eastAsia="Times New Roman" w:cs="Times New Roman"/>
                <w:color w:val="000000"/>
                <w:sz w:val="24"/>
                <w:szCs w:val="24"/>
                <w:lang w:val="en-US"/>
              </w:rPr>
            </w:pPr>
            <w:r w:rsidRPr="00B56BD3">
              <w:rPr>
                <w:rFonts w:eastAsia="Times New Roman" w:cs="Times New Roman"/>
                <w:color w:val="000000"/>
                <w:sz w:val="24"/>
                <w:szCs w:val="24"/>
                <w:lang w:val="en-US"/>
              </w:rPr>
              <w:t>47%</w:t>
            </w:r>
          </w:p>
        </w:tc>
      </w:tr>
    </w:tbl>
    <w:p w:rsidR="00B56BD3" w:rsidRPr="00B56BD3" w:rsidRDefault="00B56BD3" w:rsidP="00B56BD3"/>
    <w:p w:rsidR="00E87463" w:rsidRDefault="00E87463" w:rsidP="001E7DF9">
      <w:pPr>
        <w:pStyle w:val="Heading2"/>
      </w:pPr>
    </w:p>
    <w:p w:rsidR="00E87463" w:rsidRDefault="00B56BD3" w:rsidP="003966C5">
      <w:pPr>
        <w:pStyle w:val="Heading2"/>
        <w:jc w:val="center"/>
      </w:pPr>
      <w:r w:rsidRPr="00B56BD3">
        <w:rPr>
          <w:noProof/>
          <w:lang w:val="en-US" w:bidi="gu-IN"/>
        </w:rPr>
        <w:drawing>
          <wp:inline distT="0" distB="0" distL="0" distR="0">
            <wp:extent cx="3095624" cy="1952625"/>
            <wp:effectExtent l="57150" t="0" r="28576" b="2857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3966C5" w:rsidRDefault="003966C5" w:rsidP="001E7DF9">
      <w:pPr>
        <w:pStyle w:val="Heading2"/>
      </w:pPr>
    </w:p>
    <w:p w:rsidR="003966C5" w:rsidRDefault="00F91A5A" w:rsidP="00F91A5A">
      <w:r>
        <w:t xml:space="preserve">The analysis of the gearing ratio of both the organization defines the fact that GSK is more </w:t>
      </w:r>
      <w:r w:rsidR="002038A5">
        <w:t>depen</w:t>
      </w:r>
      <w:r>
        <w:t xml:space="preserve">dent over long term borrowing </w:t>
      </w:r>
      <w:r w:rsidR="002038A5">
        <w:t xml:space="preserve">compared to Pfizer. That is GSK has made most of the </w:t>
      </w:r>
      <w:r w:rsidR="00231B3F">
        <w:t xml:space="preserve">financed most </w:t>
      </w:r>
      <w:r w:rsidR="002038A5">
        <w:t xml:space="preserve">of </w:t>
      </w:r>
      <w:r w:rsidR="00231B3F">
        <w:t>acquisition</w:t>
      </w:r>
      <w:r w:rsidR="002038A5">
        <w:t xml:space="preserve"> </w:t>
      </w:r>
      <w:r w:rsidR="00231B3F">
        <w:t xml:space="preserve">ventures on the basis of </w:t>
      </w:r>
      <w:r w:rsidR="00B61F79">
        <w:t xml:space="preserve"> long term borrowing and these long </w:t>
      </w:r>
      <w:proofErr w:type="spellStart"/>
      <w:r w:rsidR="00B61F79">
        <w:t>rterm</w:t>
      </w:r>
      <w:proofErr w:type="spellEnd"/>
      <w:r w:rsidR="00B61F79">
        <w:t xml:space="preserve"> borrowings are projecting the GSK as company that is highly geared and </w:t>
      </w:r>
      <w:r w:rsidR="0045608A">
        <w:t>very</w:t>
      </w:r>
      <w:r w:rsidR="00B61F79">
        <w:t xml:space="preserve"> much tilted towards debt </w:t>
      </w:r>
      <w:r w:rsidR="0045608A">
        <w:t>financing</w:t>
      </w:r>
      <w:r w:rsidR="00760530">
        <w:t>(</w:t>
      </w:r>
      <w:proofErr w:type="spellStart"/>
      <w:r w:rsidR="00760530">
        <w:rPr>
          <w:rFonts w:cs="Times New Roman"/>
          <w:szCs w:val="24"/>
        </w:rPr>
        <w:t>Lantto</w:t>
      </w:r>
      <w:proofErr w:type="spellEnd"/>
      <w:r w:rsidR="00760530">
        <w:rPr>
          <w:rFonts w:cs="Times New Roman"/>
          <w:szCs w:val="24"/>
        </w:rPr>
        <w:t xml:space="preserve">  and </w:t>
      </w:r>
      <w:proofErr w:type="spellStart"/>
      <w:r w:rsidR="00760530">
        <w:rPr>
          <w:rFonts w:cs="Times New Roman"/>
          <w:szCs w:val="24"/>
        </w:rPr>
        <w:t>Sahlström</w:t>
      </w:r>
      <w:proofErr w:type="spellEnd"/>
      <w:r w:rsidR="00760530">
        <w:rPr>
          <w:rFonts w:cs="Times New Roman"/>
          <w:szCs w:val="24"/>
        </w:rPr>
        <w:t>,</w:t>
      </w:r>
      <w:r w:rsidR="00760530" w:rsidRPr="0064519B">
        <w:rPr>
          <w:rFonts w:cs="Times New Roman"/>
          <w:szCs w:val="24"/>
        </w:rPr>
        <w:t xml:space="preserve"> 2009</w:t>
      </w:r>
      <w:r w:rsidR="00760530">
        <w:t>)</w:t>
      </w:r>
      <w:r w:rsidR="0045608A">
        <w:t>. The high percentage of debt financing g has projected GSK as a highly levered company whose debt liability is much higher than Pfizer</w:t>
      </w:r>
      <w:r w:rsidR="00B61F79">
        <w:t xml:space="preserve"> </w:t>
      </w:r>
      <w:r w:rsidR="0045608A">
        <w:t xml:space="preserve">and thus GSK is less attractive </w:t>
      </w:r>
      <w:r w:rsidR="007E515E">
        <w:t>compared to Pfizer from the point of view of creditors and investors</w:t>
      </w:r>
    </w:p>
    <w:p w:rsidR="007E515E" w:rsidRDefault="007E515E" w:rsidP="007E515E">
      <w:pPr>
        <w:pStyle w:val="Heading2"/>
      </w:pPr>
      <w:bookmarkStart w:id="18" w:name="_Toc502329672"/>
      <w:r>
        <w:t>Future Performance potential with respect to the major competitor:</w:t>
      </w:r>
      <w:bookmarkEnd w:id="18"/>
    </w:p>
    <w:p w:rsidR="007E515E" w:rsidRDefault="007E515E" w:rsidP="007E515E">
      <w:r>
        <w:t xml:space="preserve">At present the performance </w:t>
      </w:r>
      <w:r w:rsidR="0036009D">
        <w:t>of</w:t>
      </w:r>
      <w:r>
        <w:t xml:space="preserve"> GSK is lagging behind </w:t>
      </w:r>
      <w:r w:rsidR="0036009D">
        <w:t>Pfize</w:t>
      </w:r>
      <w:r w:rsidR="002D225E">
        <w:t xml:space="preserve">r with respect to most of the </w:t>
      </w:r>
      <w:r w:rsidR="0036009D">
        <w:t xml:space="preserve">ratios as the </w:t>
      </w:r>
      <w:r w:rsidR="002D225E">
        <w:t>acquisitions</w:t>
      </w:r>
      <w:r w:rsidR="0036009D">
        <w:t xml:space="preserve"> of the companies </w:t>
      </w:r>
      <w:r w:rsidR="002D225E">
        <w:t xml:space="preserve">that are being made in </w:t>
      </w:r>
      <w:r w:rsidR="0036009D">
        <w:t xml:space="preserve">different </w:t>
      </w:r>
      <w:r w:rsidR="002D225E">
        <w:t>segments</w:t>
      </w:r>
      <w:r w:rsidR="0036009D">
        <w:t xml:space="preserve"> for gaining </w:t>
      </w:r>
      <w:r w:rsidR="0036009D">
        <w:lastRenderedPageBreak/>
        <w:t>competi</w:t>
      </w:r>
      <w:r w:rsidR="002D225E">
        <w:t>tive advantage are long term investments and will take some time to generate the expected revenue so that the performance of the business can enhance.</w:t>
      </w:r>
    </w:p>
    <w:p w:rsidR="002D225E" w:rsidRPr="007E515E" w:rsidRDefault="002D225E" w:rsidP="007E515E">
      <w:r>
        <w:t xml:space="preserve">That is why it is expected that the organization will soon </w:t>
      </w:r>
      <w:r w:rsidR="002C2AF0">
        <w:t xml:space="preserve">improve their </w:t>
      </w:r>
      <w:r w:rsidR="00760530">
        <w:t>performances</w:t>
      </w:r>
      <w:r w:rsidR="002C2AF0">
        <w:t xml:space="preserve"> when all the new segments that are being acquired will start to generate revenue in full </w:t>
      </w:r>
      <w:r w:rsidR="00760530">
        <w:t>fledged</w:t>
      </w:r>
      <w:r w:rsidR="002C2AF0">
        <w:t xml:space="preserve"> in </w:t>
      </w:r>
      <w:r w:rsidR="00760530">
        <w:t>near</w:t>
      </w:r>
      <w:r w:rsidR="002C2AF0">
        <w:t xml:space="preserve"> future and then </w:t>
      </w:r>
      <w:r w:rsidR="00760530">
        <w:t>it is expected that GSK will be one of the top 3 leaders of the global pharmaceutical industry.</w:t>
      </w:r>
    </w:p>
    <w:p w:rsidR="003966C5" w:rsidRDefault="003966C5" w:rsidP="001E7DF9">
      <w:pPr>
        <w:pStyle w:val="Heading2"/>
      </w:pPr>
    </w:p>
    <w:p w:rsidR="00555D61" w:rsidRDefault="00555D61" w:rsidP="001E7DF9">
      <w:pPr>
        <w:pStyle w:val="Heading2"/>
      </w:pPr>
      <w:bookmarkStart w:id="19" w:name="_Toc502329673"/>
      <w:r>
        <w:t>Pros and cons of Ratio analysis</w:t>
      </w:r>
      <w:r w:rsidR="001E7DF9">
        <w:t>:</w:t>
      </w:r>
      <w:bookmarkEnd w:id="19"/>
    </w:p>
    <w:p w:rsidR="00275510" w:rsidRDefault="007A34A6" w:rsidP="00BF7F80">
      <w:r>
        <w:t xml:space="preserve"> R</w:t>
      </w:r>
      <w:r w:rsidR="00275510" w:rsidRPr="00275510">
        <w:t xml:space="preserve">atios are </w:t>
      </w:r>
      <w:r w:rsidR="00275510">
        <w:t xml:space="preserve">often calculated in the process of financial analysis </w:t>
      </w:r>
      <w:r>
        <w:t xml:space="preserve">in order to develop the indicators that can be used for defining the state of financial performance of a business organization with respect to a specific operation of the business organization so that the most crucial strategic decisions can be taken in a quick </w:t>
      </w:r>
      <w:r w:rsidR="002D737C">
        <w:t>and</w:t>
      </w:r>
      <w:r>
        <w:t xml:space="preserve"> effective </w:t>
      </w:r>
      <w:r w:rsidR="002D737C">
        <w:t>manner</w:t>
      </w:r>
      <w:r w:rsidR="00170DF6">
        <w:t>(</w:t>
      </w:r>
      <w:proofErr w:type="spellStart"/>
      <w:r w:rsidR="00170DF6">
        <w:rPr>
          <w:rFonts w:cs="Times New Roman"/>
          <w:szCs w:val="24"/>
        </w:rPr>
        <w:t>Kumbirai</w:t>
      </w:r>
      <w:proofErr w:type="spellEnd"/>
      <w:r w:rsidR="00170DF6">
        <w:rPr>
          <w:rFonts w:cs="Times New Roman"/>
          <w:szCs w:val="24"/>
        </w:rPr>
        <w:t xml:space="preserve">, </w:t>
      </w:r>
      <w:r w:rsidR="00170DF6" w:rsidRPr="00341E2F">
        <w:rPr>
          <w:rFonts w:cs="Times New Roman"/>
          <w:szCs w:val="24"/>
        </w:rPr>
        <w:t xml:space="preserve"> 2010.</w:t>
      </w:r>
      <w:r w:rsidR="00170DF6">
        <w:t>)</w:t>
      </w:r>
      <w:r w:rsidR="002D737C">
        <w:t>.</w:t>
      </w:r>
    </w:p>
    <w:p w:rsidR="002D737C" w:rsidRDefault="002D737C" w:rsidP="00BF7F80">
      <w:r w:rsidRPr="002D737C">
        <w:rPr>
          <w:i/>
        </w:rPr>
        <w:t>Pros of Ratio Analysis</w:t>
      </w:r>
      <w:r>
        <w:t>:</w:t>
      </w:r>
    </w:p>
    <w:p w:rsidR="002D737C" w:rsidRDefault="00F631A4" w:rsidP="00BF7F80">
      <w:r w:rsidRPr="0037409D">
        <w:rPr>
          <w:b/>
          <w:i/>
        </w:rPr>
        <w:t xml:space="preserve">The ratios are the most effective tool that can be </w:t>
      </w:r>
      <w:r w:rsidR="0037409D" w:rsidRPr="0037409D">
        <w:rPr>
          <w:b/>
          <w:i/>
        </w:rPr>
        <w:t>calculated</w:t>
      </w:r>
      <w:r w:rsidRPr="0037409D">
        <w:rPr>
          <w:b/>
          <w:i/>
        </w:rPr>
        <w:t xml:space="preserve"> in a simple manner</w:t>
      </w:r>
      <w:r>
        <w:t xml:space="preserve"> for assessing the </w:t>
      </w:r>
      <w:r w:rsidR="0037409D">
        <w:t>financial</w:t>
      </w:r>
      <w:r>
        <w:t xml:space="preserve"> performance of an organization </w:t>
      </w:r>
      <w:r w:rsidR="0037409D">
        <w:t>for a particular period only by using the major financial statements of the organization</w:t>
      </w:r>
      <w:r w:rsidR="00135662">
        <w:t xml:space="preserve"> with little effort.</w:t>
      </w:r>
    </w:p>
    <w:p w:rsidR="00135662" w:rsidRDefault="00135662" w:rsidP="00BF7F80">
      <w:r>
        <w:t xml:space="preserve">The use of financial ratios as tool for </w:t>
      </w:r>
      <w:r w:rsidRPr="006837A8">
        <w:rPr>
          <w:b/>
          <w:i/>
        </w:rPr>
        <w:t xml:space="preserve">analysing the </w:t>
      </w:r>
      <w:r w:rsidR="005633BB" w:rsidRPr="006837A8">
        <w:rPr>
          <w:b/>
          <w:i/>
        </w:rPr>
        <w:t>performance of an organization for a particular period gives the opportunity of comparison</w:t>
      </w:r>
      <w:r w:rsidR="005633BB">
        <w:t xml:space="preserve"> with the industry standard or the benchmarked ratios for identifying the position of the organization in the context of </w:t>
      </w:r>
      <w:r w:rsidR="006837A8">
        <w:t xml:space="preserve">the other competitors as well as industry </w:t>
      </w:r>
      <w:proofErr w:type="gramStart"/>
      <w:r w:rsidR="006837A8">
        <w:t>leaders</w:t>
      </w:r>
      <w:r w:rsidR="00784726">
        <w:t>(</w:t>
      </w:r>
      <w:proofErr w:type="spellStart"/>
      <w:proofErr w:type="gramEnd"/>
      <w:r w:rsidR="00784726">
        <w:rPr>
          <w:rFonts w:cs="Times New Roman"/>
          <w:szCs w:val="24"/>
        </w:rPr>
        <w:t>Avkiran</w:t>
      </w:r>
      <w:proofErr w:type="spellEnd"/>
      <w:r w:rsidR="00784726">
        <w:rPr>
          <w:rFonts w:cs="Times New Roman"/>
          <w:szCs w:val="24"/>
        </w:rPr>
        <w:t xml:space="preserve">, </w:t>
      </w:r>
      <w:r w:rsidR="00784726" w:rsidRPr="00341E2F">
        <w:rPr>
          <w:rFonts w:cs="Times New Roman"/>
          <w:szCs w:val="24"/>
        </w:rPr>
        <w:t xml:space="preserve"> 2009</w:t>
      </w:r>
      <w:r w:rsidR="00784726">
        <w:t>)</w:t>
      </w:r>
      <w:r w:rsidR="006837A8">
        <w:t>.</w:t>
      </w:r>
    </w:p>
    <w:p w:rsidR="006837A8" w:rsidRDefault="006837A8" w:rsidP="00BF7F80">
      <w:r>
        <w:t>The financial ratios ar</w:t>
      </w:r>
      <w:r w:rsidR="004E6C63">
        <w:t xml:space="preserve">e the </w:t>
      </w:r>
      <w:r w:rsidR="004E6C63" w:rsidRPr="001051E5">
        <w:rPr>
          <w:b/>
          <w:i/>
        </w:rPr>
        <w:t>most cost effective and time saving tools</w:t>
      </w:r>
      <w:r w:rsidR="004E6C63">
        <w:t xml:space="preserve"> that can be used for assessing the financial performance of a business organization with respect to the different operations of the organization.</w:t>
      </w:r>
    </w:p>
    <w:p w:rsidR="001051E5" w:rsidRDefault="001051E5" w:rsidP="00BF7F80">
      <w:r w:rsidRPr="00363E2E">
        <w:rPr>
          <w:b/>
          <w:i/>
        </w:rPr>
        <w:t xml:space="preserve">The ratio analysis gives the opportunity </w:t>
      </w:r>
      <w:r w:rsidR="00AA6913" w:rsidRPr="00363E2E">
        <w:rPr>
          <w:b/>
          <w:i/>
        </w:rPr>
        <w:t>of understanding</w:t>
      </w:r>
      <w:r w:rsidRPr="00363E2E">
        <w:rPr>
          <w:b/>
          <w:i/>
        </w:rPr>
        <w:t xml:space="preserve"> the </w:t>
      </w:r>
      <w:r w:rsidR="00AA6913" w:rsidRPr="00363E2E">
        <w:rPr>
          <w:b/>
          <w:i/>
        </w:rPr>
        <w:t>financial</w:t>
      </w:r>
      <w:r w:rsidRPr="00363E2E">
        <w:rPr>
          <w:b/>
          <w:i/>
        </w:rPr>
        <w:t xml:space="preserve"> performance </w:t>
      </w:r>
      <w:r w:rsidR="00AA6913" w:rsidRPr="00363E2E">
        <w:rPr>
          <w:b/>
          <w:i/>
        </w:rPr>
        <w:t>of the organization by looking a</w:t>
      </w:r>
      <w:r w:rsidRPr="00363E2E">
        <w:rPr>
          <w:b/>
          <w:i/>
        </w:rPr>
        <w:t xml:space="preserve">t a </w:t>
      </w:r>
      <w:r w:rsidR="00363E2E" w:rsidRPr="00363E2E">
        <w:rPr>
          <w:b/>
          <w:i/>
        </w:rPr>
        <w:t>glance to</w:t>
      </w:r>
      <w:r w:rsidR="00AA6913">
        <w:t xml:space="preserve"> the calculated ratios as the </w:t>
      </w:r>
      <w:r w:rsidR="00363E2E">
        <w:t>financial</w:t>
      </w:r>
      <w:r w:rsidR="00AA6913">
        <w:t xml:space="preserve"> ratios are </w:t>
      </w:r>
      <w:r w:rsidR="00363E2E">
        <w:t xml:space="preserve">very compact indicator of the business performance of an </w:t>
      </w:r>
      <w:proofErr w:type="gramStart"/>
      <w:r w:rsidR="00363E2E">
        <w:t>organization</w:t>
      </w:r>
      <w:r w:rsidR="00F9761B">
        <w:t>(</w:t>
      </w:r>
      <w:proofErr w:type="spellStart"/>
      <w:proofErr w:type="gramEnd"/>
      <w:r w:rsidR="00F9761B" w:rsidRPr="00341E2F">
        <w:rPr>
          <w:rFonts w:cs="Times New Roman"/>
          <w:szCs w:val="24"/>
        </w:rPr>
        <w:t>Gitman</w:t>
      </w:r>
      <w:proofErr w:type="spellEnd"/>
      <w:r w:rsidR="00F9761B">
        <w:rPr>
          <w:rFonts w:cs="Times New Roman"/>
          <w:szCs w:val="24"/>
        </w:rPr>
        <w:t xml:space="preserve"> et al.,2009</w:t>
      </w:r>
      <w:r w:rsidR="00F9761B">
        <w:t>)</w:t>
      </w:r>
      <w:r w:rsidR="00363E2E">
        <w:t>.</w:t>
      </w:r>
    </w:p>
    <w:p w:rsidR="001051E5" w:rsidRDefault="00363E2E" w:rsidP="001051E5">
      <w:r>
        <w:rPr>
          <w:i/>
        </w:rPr>
        <w:t xml:space="preserve">Cons </w:t>
      </w:r>
      <w:r w:rsidRPr="002D737C">
        <w:rPr>
          <w:i/>
        </w:rPr>
        <w:t>of</w:t>
      </w:r>
      <w:r w:rsidR="001051E5" w:rsidRPr="002D737C">
        <w:rPr>
          <w:i/>
        </w:rPr>
        <w:t xml:space="preserve"> Ratio Analysis</w:t>
      </w:r>
      <w:r w:rsidR="001051E5">
        <w:t>:</w:t>
      </w:r>
    </w:p>
    <w:p w:rsidR="001051E5" w:rsidRDefault="00363E2E" w:rsidP="00BF7F80">
      <w:r w:rsidRPr="00AE5447">
        <w:rPr>
          <w:b/>
          <w:i/>
        </w:rPr>
        <w:lastRenderedPageBreak/>
        <w:t xml:space="preserve">The </w:t>
      </w:r>
      <w:r w:rsidR="00601DAA" w:rsidRPr="00AE5447">
        <w:rPr>
          <w:b/>
          <w:i/>
        </w:rPr>
        <w:t xml:space="preserve">effectiveness of the </w:t>
      </w:r>
      <w:r w:rsidR="00BA0C5A" w:rsidRPr="00AE5447">
        <w:rPr>
          <w:b/>
          <w:i/>
        </w:rPr>
        <w:t>ratio analysis is often questioned due to the lack of reliability and the accuracy of the data</w:t>
      </w:r>
      <w:r w:rsidR="00BA0C5A">
        <w:t xml:space="preserve"> collected from the financial statement for the purpose of calculation.</w:t>
      </w:r>
    </w:p>
    <w:p w:rsidR="00262E98" w:rsidRDefault="00262E98" w:rsidP="00BF7F80">
      <w:r w:rsidRPr="00AE5447">
        <w:rPr>
          <w:b/>
          <w:i/>
        </w:rPr>
        <w:t xml:space="preserve">The different </w:t>
      </w:r>
      <w:r w:rsidR="00AE5447" w:rsidRPr="00AE5447">
        <w:rPr>
          <w:b/>
          <w:i/>
        </w:rPr>
        <w:t>interpretation of the same ratios often creates</w:t>
      </w:r>
      <w:r w:rsidRPr="00AE5447">
        <w:rPr>
          <w:b/>
          <w:i/>
        </w:rPr>
        <w:t xml:space="preserve"> confusion among the decision makers</w:t>
      </w:r>
      <w:r>
        <w:t xml:space="preserve"> who have to make some critical strategic decisions regarding the operational activities of the </w:t>
      </w:r>
      <w:r w:rsidR="00474B9C">
        <w:t>organization (</w:t>
      </w:r>
      <w:proofErr w:type="spellStart"/>
      <w:r w:rsidR="00474B9C" w:rsidRPr="00FF049F">
        <w:rPr>
          <w:rFonts w:cs="Times New Roman"/>
          <w:szCs w:val="24"/>
        </w:rPr>
        <w:t>Delen</w:t>
      </w:r>
      <w:proofErr w:type="spellEnd"/>
      <w:r w:rsidR="00474B9C">
        <w:rPr>
          <w:rFonts w:cs="Times New Roman"/>
          <w:szCs w:val="24"/>
        </w:rPr>
        <w:t xml:space="preserve"> </w:t>
      </w:r>
      <w:r w:rsidR="00474B9C" w:rsidRPr="00474B9C">
        <w:rPr>
          <w:rFonts w:cs="Times New Roman"/>
          <w:i/>
          <w:szCs w:val="24"/>
        </w:rPr>
        <w:t>et al</w:t>
      </w:r>
      <w:r w:rsidR="00474B9C">
        <w:rPr>
          <w:rFonts w:cs="Times New Roman"/>
          <w:szCs w:val="24"/>
        </w:rPr>
        <w:t>.</w:t>
      </w:r>
      <w:proofErr w:type="gramStart"/>
      <w:r w:rsidR="00474B9C">
        <w:rPr>
          <w:rFonts w:cs="Times New Roman"/>
          <w:szCs w:val="24"/>
        </w:rPr>
        <w:t>,2013</w:t>
      </w:r>
      <w:proofErr w:type="gramEnd"/>
      <w:r w:rsidR="00474B9C">
        <w:t>)</w:t>
      </w:r>
      <w:r>
        <w:t>.</w:t>
      </w:r>
    </w:p>
    <w:p w:rsidR="006A3900" w:rsidRDefault="006A3900">
      <w:pPr>
        <w:spacing w:line="276" w:lineRule="auto"/>
        <w:jc w:val="left"/>
        <w:rPr>
          <w:rFonts w:asciiTheme="majorHAnsi" w:eastAsiaTheme="majorEastAsia" w:hAnsiTheme="majorHAnsi" w:cstheme="majorBidi"/>
          <w:b/>
          <w:bCs/>
          <w:color w:val="365F91" w:themeColor="accent1" w:themeShade="BF"/>
          <w:sz w:val="28"/>
          <w:szCs w:val="28"/>
        </w:rPr>
      </w:pPr>
      <w:r>
        <w:br w:type="page"/>
      </w:r>
    </w:p>
    <w:p w:rsidR="006837A8" w:rsidRDefault="00116C0C" w:rsidP="00116C0C">
      <w:pPr>
        <w:pStyle w:val="Heading1"/>
      </w:pPr>
      <w:bookmarkStart w:id="20" w:name="_Toc502329674"/>
      <w:r>
        <w:lastRenderedPageBreak/>
        <w:t>Reference:</w:t>
      </w:r>
      <w:bookmarkEnd w:id="20"/>
    </w:p>
    <w:p w:rsidR="00116C0C" w:rsidRPr="006A7C6D" w:rsidRDefault="00116C0C" w:rsidP="00116C0C">
      <w:pPr>
        <w:rPr>
          <w:rFonts w:cs="Times New Roman"/>
          <w:szCs w:val="24"/>
        </w:rPr>
      </w:pPr>
      <w:proofErr w:type="spellStart"/>
      <w:r w:rsidRPr="006A7C6D">
        <w:rPr>
          <w:rFonts w:cs="Times New Roman"/>
          <w:szCs w:val="24"/>
        </w:rPr>
        <w:t>Avkiran</w:t>
      </w:r>
      <w:proofErr w:type="spellEnd"/>
      <w:r w:rsidRPr="006A7C6D">
        <w:rPr>
          <w:rFonts w:cs="Times New Roman"/>
          <w:szCs w:val="24"/>
        </w:rPr>
        <w:t xml:space="preserve">, N.K., 2009. </w:t>
      </w:r>
      <w:proofErr w:type="gramStart"/>
      <w:r w:rsidRPr="006A7C6D">
        <w:rPr>
          <w:rFonts w:cs="Times New Roman"/>
          <w:szCs w:val="24"/>
        </w:rPr>
        <w:t>Opening the black box of efficiency analysis: an illustration with UAE banks.</w:t>
      </w:r>
      <w:proofErr w:type="gramEnd"/>
      <w:r w:rsidRPr="006A7C6D">
        <w:rPr>
          <w:rFonts w:cs="Times New Roman"/>
          <w:szCs w:val="24"/>
        </w:rPr>
        <w:t> </w:t>
      </w:r>
      <w:proofErr w:type="gramStart"/>
      <w:r w:rsidRPr="006A7C6D">
        <w:rPr>
          <w:rFonts w:cs="Times New Roman"/>
          <w:i/>
          <w:iCs/>
          <w:szCs w:val="24"/>
        </w:rPr>
        <w:t>Omega</w:t>
      </w:r>
      <w:r w:rsidRPr="006A7C6D">
        <w:rPr>
          <w:rFonts w:cs="Times New Roman"/>
          <w:szCs w:val="24"/>
        </w:rPr>
        <w:t>, </w:t>
      </w:r>
      <w:r w:rsidRPr="006A7C6D">
        <w:rPr>
          <w:rFonts w:cs="Times New Roman"/>
          <w:i/>
          <w:iCs/>
          <w:szCs w:val="24"/>
        </w:rPr>
        <w:t>37</w:t>
      </w:r>
      <w:r w:rsidRPr="006A7C6D">
        <w:rPr>
          <w:rFonts w:cs="Times New Roman"/>
          <w:szCs w:val="24"/>
        </w:rPr>
        <w:t>(4), pp.930-941.</w:t>
      </w:r>
      <w:proofErr w:type="gramEnd"/>
    </w:p>
    <w:p w:rsidR="00116C0C" w:rsidRPr="006A7C6D" w:rsidRDefault="00116C0C" w:rsidP="00116C0C">
      <w:pPr>
        <w:rPr>
          <w:rFonts w:cs="Times New Roman"/>
          <w:szCs w:val="24"/>
        </w:rPr>
      </w:pPr>
      <w:proofErr w:type="spellStart"/>
      <w:r w:rsidRPr="006A7C6D">
        <w:rPr>
          <w:rFonts w:cs="Times New Roman"/>
          <w:szCs w:val="24"/>
        </w:rPr>
        <w:t>Babalola</w:t>
      </w:r>
      <w:proofErr w:type="spellEnd"/>
      <w:r w:rsidRPr="006A7C6D">
        <w:rPr>
          <w:rFonts w:cs="Times New Roman"/>
          <w:szCs w:val="24"/>
        </w:rPr>
        <w:t xml:space="preserve">, Y.A. and </w:t>
      </w:r>
      <w:proofErr w:type="spellStart"/>
      <w:r w:rsidRPr="006A7C6D">
        <w:rPr>
          <w:rFonts w:cs="Times New Roman"/>
          <w:szCs w:val="24"/>
        </w:rPr>
        <w:t>Abiola</w:t>
      </w:r>
      <w:proofErr w:type="spellEnd"/>
      <w:r w:rsidRPr="006A7C6D">
        <w:rPr>
          <w:rFonts w:cs="Times New Roman"/>
          <w:szCs w:val="24"/>
        </w:rPr>
        <w:t>, F.R., 2013. Financial ratio analysis of firms: A tool for decision making. </w:t>
      </w:r>
      <w:proofErr w:type="gramStart"/>
      <w:r w:rsidRPr="006A7C6D">
        <w:rPr>
          <w:rFonts w:cs="Times New Roman"/>
          <w:i/>
          <w:iCs/>
          <w:szCs w:val="24"/>
        </w:rPr>
        <w:t>International journal of management sciences</w:t>
      </w:r>
      <w:r w:rsidRPr="006A7C6D">
        <w:rPr>
          <w:rFonts w:cs="Times New Roman"/>
          <w:szCs w:val="24"/>
        </w:rPr>
        <w:t>, </w:t>
      </w:r>
      <w:r w:rsidRPr="006A7C6D">
        <w:rPr>
          <w:rFonts w:cs="Times New Roman"/>
          <w:i/>
          <w:iCs/>
          <w:szCs w:val="24"/>
        </w:rPr>
        <w:t>1</w:t>
      </w:r>
      <w:r w:rsidRPr="006A7C6D">
        <w:rPr>
          <w:rFonts w:cs="Times New Roman"/>
          <w:szCs w:val="24"/>
        </w:rPr>
        <w:t>(4), pp.132-137.</w:t>
      </w:r>
      <w:proofErr w:type="gramEnd"/>
    </w:p>
    <w:p w:rsidR="00116C0C" w:rsidRPr="006A7C6D" w:rsidRDefault="00116C0C" w:rsidP="00116C0C">
      <w:pPr>
        <w:rPr>
          <w:rFonts w:cs="Times New Roman"/>
          <w:szCs w:val="24"/>
        </w:rPr>
      </w:pPr>
      <w:r w:rsidRPr="006A7C6D">
        <w:rPr>
          <w:rFonts w:cs="Times New Roman"/>
          <w:szCs w:val="24"/>
        </w:rPr>
        <w:t>Biddle, G.C., Hilary, G. and Verdi, R.S., 2009. How does financial reporting quality relate to investment efficiency</w:t>
      </w:r>
      <w:proofErr w:type="gramStart"/>
      <w:r w:rsidRPr="006A7C6D">
        <w:rPr>
          <w:rFonts w:cs="Times New Roman"/>
          <w:szCs w:val="24"/>
        </w:rPr>
        <w:t>?.</w:t>
      </w:r>
      <w:proofErr w:type="gramEnd"/>
      <w:r w:rsidRPr="006A7C6D">
        <w:rPr>
          <w:rFonts w:cs="Times New Roman"/>
          <w:szCs w:val="24"/>
        </w:rPr>
        <w:t> </w:t>
      </w:r>
      <w:proofErr w:type="gramStart"/>
      <w:r w:rsidRPr="006A7C6D">
        <w:rPr>
          <w:rFonts w:cs="Times New Roman"/>
          <w:i/>
          <w:iCs/>
          <w:szCs w:val="24"/>
        </w:rPr>
        <w:t>Journal of accounting and economics</w:t>
      </w:r>
      <w:r w:rsidRPr="006A7C6D">
        <w:rPr>
          <w:rFonts w:cs="Times New Roman"/>
          <w:szCs w:val="24"/>
        </w:rPr>
        <w:t>, </w:t>
      </w:r>
      <w:r w:rsidRPr="006A7C6D">
        <w:rPr>
          <w:rFonts w:cs="Times New Roman"/>
          <w:i/>
          <w:iCs/>
          <w:szCs w:val="24"/>
        </w:rPr>
        <w:t>48</w:t>
      </w:r>
      <w:r w:rsidRPr="006A7C6D">
        <w:rPr>
          <w:rFonts w:cs="Times New Roman"/>
          <w:szCs w:val="24"/>
        </w:rPr>
        <w:t>(2), pp.112-131.</w:t>
      </w:r>
      <w:proofErr w:type="gramEnd"/>
    </w:p>
    <w:p w:rsidR="00116C0C" w:rsidRPr="006A7C6D" w:rsidRDefault="00116C0C" w:rsidP="00116C0C">
      <w:pPr>
        <w:rPr>
          <w:rFonts w:cs="Times New Roman"/>
          <w:szCs w:val="24"/>
        </w:rPr>
      </w:pPr>
      <w:proofErr w:type="spellStart"/>
      <w:r w:rsidRPr="006A7C6D">
        <w:rPr>
          <w:rFonts w:cs="Times New Roman"/>
          <w:szCs w:val="24"/>
        </w:rPr>
        <w:t>Bikker</w:t>
      </w:r>
      <w:proofErr w:type="spellEnd"/>
      <w:r w:rsidRPr="006A7C6D">
        <w:rPr>
          <w:rFonts w:cs="Times New Roman"/>
          <w:szCs w:val="24"/>
        </w:rPr>
        <w:t xml:space="preserve">, J.A. and </w:t>
      </w:r>
      <w:proofErr w:type="spellStart"/>
      <w:r w:rsidRPr="006A7C6D">
        <w:rPr>
          <w:rFonts w:cs="Times New Roman"/>
          <w:szCs w:val="24"/>
        </w:rPr>
        <w:t>Hu</w:t>
      </w:r>
      <w:proofErr w:type="spellEnd"/>
      <w:r w:rsidRPr="006A7C6D">
        <w:rPr>
          <w:rFonts w:cs="Times New Roman"/>
          <w:szCs w:val="24"/>
        </w:rPr>
        <w:t xml:space="preserve">, H., 2012. Cyclical patterns in profits, provisioning and lending of banks and </w:t>
      </w:r>
      <w:proofErr w:type="spellStart"/>
      <w:r w:rsidRPr="006A7C6D">
        <w:rPr>
          <w:rFonts w:cs="Times New Roman"/>
          <w:szCs w:val="24"/>
        </w:rPr>
        <w:t>procyclicality</w:t>
      </w:r>
      <w:proofErr w:type="spellEnd"/>
      <w:r w:rsidRPr="006A7C6D">
        <w:rPr>
          <w:rFonts w:cs="Times New Roman"/>
          <w:szCs w:val="24"/>
        </w:rPr>
        <w:t xml:space="preserve"> of the new Basel capital requirements. </w:t>
      </w:r>
      <w:proofErr w:type="gramStart"/>
      <w:r w:rsidRPr="006A7C6D">
        <w:rPr>
          <w:rFonts w:cs="Times New Roman"/>
          <w:i/>
          <w:iCs/>
          <w:szCs w:val="24"/>
        </w:rPr>
        <w:t>PSL Quarterly Review</w:t>
      </w:r>
      <w:r w:rsidRPr="006A7C6D">
        <w:rPr>
          <w:rFonts w:cs="Times New Roman"/>
          <w:szCs w:val="24"/>
        </w:rPr>
        <w:t>, </w:t>
      </w:r>
      <w:r w:rsidRPr="006A7C6D">
        <w:rPr>
          <w:rFonts w:cs="Times New Roman"/>
          <w:i/>
          <w:iCs/>
          <w:szCs w:val="24"/>
        </w:rPr>
        <w:t>55</w:t>
      </w:r>
      <w:r w:rsidRPr="006A7C6D">
        <w:rPr>
          <w:rFonts w:cs="Times New Roman"/>
          <w:szCs w:val="24"/>
        </w:rPr>
        <w:t>(221).</w:t>
      </w:r>
      <w:proofErr w:type="gramEnd"/>
    </w:p>
    <w:p w:rsidR="00116C0C" w:rsidRPr="006A7C6D" w:rsidRDefault="00116C0C" w:rsidP="00116C0C">
      <w:pPr>
        <w:rPr>
          <w:rFonts w:cs="Times New Roman"/>
          <w:szCs w:val="24"/>
        </w:rPr>
      </w:pPr>
      <w:proofErr w:type="spellStart"/>
      <w:r w:rsidRPr="006A7C6D">
        <w:rPr>
          <w:rFonts w:cs="Times New Roman"/>
          <w:szCs w:val="24"/>
        </w:rPr>
        <w:t>Delen</w:t>
      </w:r>
      <w:proofErr w:type="spellEnd"/>
      <w:r w:rsidRPr="006A7C6D">
        <w:rPr>
          <w:rFonts w:cs="Times New Roman"/>
          <w:szCs w:val="24"/>
        </w:rPr>
        <w:t xml:space="preserve">, D., </w:t>
      </w:r>
      <w:proofErr w:type="spellStart"/>
      <w:r w:rsidRPr="006A7C6D">
        <w:rPr>
          <w:rFonts w:cs="Times New Roman"/>
          <w:szCs w:val="24"/>
        </w:rPr>
        <w:t>Kuzey</w:t>
      </w:r>
      <w:proofErr w:type="spellEnd"/>
      <w:r w:rsidRPr="006A7C6D">
        <w:rPr>
          <w:rFonts w:cs="Times New Roman"/>
          <w:szCs w:val="24"/>
        </w:rPr>
        <w:t xml:space="preserve">, C. and </w:t>
      </w:r>
      <w:proofErr w:type="spellStart"/>
      <w:r w:rsidRPr="006A7C6D">
        <w:rPr>
          <w:rFonts w:cs="Times New Roman"/>
          <w:szCs w:val="24"/>
        </w:rPr>
        <w:t>Uyar</w:t>
      </w:r>
      <w:proofErr w:type="spellEnd"/>
      <w:r w:rsidRPr="006A7C6D">
        <w:rPr>
          <w:rFonts w:cs="Times New Roman"/>
          <w:szCs w:val="24"/>
        </w:rPr>
        <w:t xml:space="preserve">, A., 2013. </w:t>
      </w:r>
      <w:proofErr w:type="gramStart"/>
      <w:r w:rsidRPr="006A7C6D">
        <w:rPr>
          <w:rFonts w:cs="Times New Roman"/>
          <w:szCs w:val="24"/>
        </w:rPr>
        <w:t>Measuring firm performance using financial ratios: A decision tree approach.</w:t>
      </w:r>
      <w:proofErr w:type="gramEnd"/>
      <w:r w:rsidRPr="006A7C6D">
        <w:rPr>
          <w:rFonts w:cs="Times New Roman"/>
          <w:szCs w:val="24"/>
        </w:rPr>
        <w:t> </w:t>
      </w:r>
      <w:proofErr w:type="gramStart"/>
      <w:r w:rsidRPr="006A7C6D">
        <w:rPr>
          <w:rFonts w:cs="Times New Roman"/>
          <w:i/>
          <w:iCs/>
          <w:szCs w:val="24"/>
        </w:rPr>
        <w:t>Expert Systems with Applications</w:t>
      </w:r>
      <w:r w:rsidRPr="006A7C6D">
        <w:rPr>
          <w:rFonts w:cs="Times New Roman"/>
          <w:szCs w:val="24"/>
        </w:rPr>
        <w:t>, </w:t>
      </w:r>
      <w:r w:rsidRPr="006A7C6D">
        <w:rPr>
          <w:rFonts w:cs="Times New Roman"/>
          <w:i/>
          <w:iCs/>
          <w:szCs w:val="24"/>
        </w:rPr>
        <w:t>40</w:t>
      </w:r>
      <w:r w:rsidRPr="006A7C6D">
        <w:rPr>
          <w:rFonts w:cs="Times New Roman"/>
          <w:szCs w:val="24"/>
        </w:rPr>
        <w:t>(10), pp.3970-3983.</w:t>
      </w:r>
      <w:proofErr w:type="gramEnd"/>
    </w:p>
    <w:p w:rsidR="00116C0C" w:rsidRPr="006A7C6D" w:rsidRDefault="00116C0C" w:rsidP="00116C0C">
      <w:pPr>
        <w:rPr>
          <w:rFonts w:cs="Times New Roman"/>
          <w:szCs w:val="24"/>
        </w:rPr>
      </w:pPr>
      <w:r w:rsidRPr="006A7C6D">
        <w:rPr>
          <w:rFonts w:cs="Times New Roman"/>
          <w:szCs w:val="24"/>
        </w:rPr>
        <w:t xml:space="preserve">Flannery, M.J. and Hankins, K.W., 2013. </w:t>
      </w:r>
      <w:proofErr w:type="gramStart"/>
      <w:r w:rsidRPr="006A7C6D">
        <w:rPr>
          <w:rFonts w:cs="Times New Roman"/>
          <w:szCs w:val="24"/>
        </w:rPr>
        <w:t>Estimating dynamic panel models in corporate finance.</w:t>
      </w:r>
      <w:proofErr w:type="gramEnd"/>
      <w:r w:rsidRPr="006A7C6D">
        <w:rPr>
          <w:rFonts w:cs="Times New Roman"/>
          <w:szCs w:val="24"/>
        </w:rPr>
        <w:t> </w:t>
      </w:r>
      <w:proofErr w:type="gramStart"/>
      <w:r w:rsidRPr="006A7C6D">
        <w:rPr>
          <w:rFonts w:cs="Times New Roman"/>
          <w:i/>
          <w:iCs/>
          <w:szCs w:val="24"/>
        </w:rPr>
        <w:t>Journal of Corporate Finance</w:t>
      </w:r>
      <w:r w:rsidRPr="006A7C6D">
        <w:rPr>
          <w:rFonts w:cs="Times New Roman"/>
          <w:szCs w:val="24"/>
        </w:rPr>
        <w:t>, </w:t>
      </w:r>
      <w:r w:rsidRPr="006A7C6D">
        <w:rPr>
          <w:rFonts w:cs="Times New Roman"/>
          <w:i/>
          <w:iCs/>
          <w:szCs w:val="24"/>
        </w:rPr>
        <w:t>19</w:t>
      </w:r>
      <w:r w:rsidRPr="006A7C6D">
        <w:rPr>
          <w:rFonts w:cs="Times New Roman"/>
          <w:szCs w:val="24"/>
        </w:rPr>
        <w:t>, pp.1-19.</w:t>
      </w:r>
      <w:proofErr w:type="gramEnd"/>
    </w:p>
    <w:p w:rsidR="00116C0C" w:rsidRPr="006A7C6D" w:rsidRDefault="00116C0C" w:rsidP="00116C0C">
      <w:pPr>
        <w:rPr>
          <w:rFonts w:cs="Times New Roman"/>
          <w:szCs w:val="24"/>
        </w:rPr>
      </w:pPr>
      <w:proofErr w:type="spellStart"/>
      <w:r w:rsidRPr="006A7C6D">
        <w:rPr>
          <w:rFonts w:cs="Times New Roman"/>
          <w:szCs w:val="24"/>
        </w:rPr>
        <w:t>Gitman</w:t>
      </w:r>
      <w:proofErr w:type="spellEnd"/>
      <w:r w:rsidRPr="006A7C6D">
        <w:rPr>
          <w:rFonts w:cs="Times New Roman"/>
          <w:szCs w:val="24"/>
        </w:rPr>
        <w:t xml:space="preserve">, L.J., </w:t>
      </w:r>
      <w:proofErr w:type="spellStart"/>
      <w:r w:rsidRPr="006A7C6D">
        <w:rPr>
          <w:rFonts w:cs="Times New Roman"/>
          <w:szCs w:val="24"/>
        </w:rPr>
        <w:t>Juchau</w:t>
      </w:r>
      <w:proofErr w:type="spellEnd"/>
      <w:r w:rsidRPr="006A7C6D">
        <w:rPr>
          <w:rFonts w:cs="Times New Roman"/>
          <w:szCs w:val="24"/>
        </w:rPr>
        <w:t>, R. and Flanagan, J., 2015. </w:t>
      </w:r>
      <w:proofErr w:type="gramStart"/>
      <w:r w:rsidRPr="006A7C6D">
        <w:rPr>
          <w:rFonts w:cs="Times New Roman"/>
          <w:i/>
          <w:iCs/>
          <w:szCs w:val="24"/>
        </w:rPr>
        <w:t>Principles of managerial finance</w:t>
      </w:r>
      <w:r w:rsidRPr="006A7C6D">
        <w:rPr>
          <w:rFonts w:cs="Times New Roman"/>
          <w:szCs w:val="24"/>
        </w:rPr>
        <w:t>.</w:t>
      </w:r>
      <w:proofErr w:type="gramEnd"/>
      <w:r w:rsidRPr="006A7C6D">
        <w:rPr>
          <w:rFonts w:cs="Times New Roman"/>
          <w:szCs w:val="24"/>
        </w:rPr>
        <w:t xml:space="preserve"> </w:t>
      </w:r>
      <w:proofErr w:type="gramStart"/>
      <w:r w:rsidRPr="006A7C6D">
        <w:rPr>
          <w:rFonts w:cs="Times New Roman"/>
          <w:szCs w:val="24"/>
        </w:rPr>
        <w:t>Pearson Higher Education AU.</w:t>
      </w:r>
      <w:proofErr w:type="gramEnd"/>
    </w:p>
    <w:p w:rsidR="00116C0C" w:rsidRPr="006A7C6D" w:rsidRDefault="00116C0C" w:rsidP="00116C0C">
      <w:pPr>
        <w:rPr>
          <w:rFonts w:cs="Times New Roman"/>
          <w:color w:val="000000" w:themeColor="text1"/>
          <w:szCs w:val="24"/>
          <w:shd w:val="clear" w:color="auto" w:fill="FFFFFF"/>
        </w:rPr>
      </w:pPr>
      <w:proofErr w:type="gramStart"/>
      <w:r w:rsidRPr="006A7C6D">
        <w:rPr>
          <w:rFonts w:cs="Times New Roman"/>
          <w:color w:val="000000" w:themeColor="text1"/>
          <w:szCs w:val="24"/>
          <w:shd w:val="clear" w:color="auto" w:fill="FFFFFF"/>
        </w:rPr>
        <w:t>Gsk.com. (2010).</w:t>
      </w:r>
      <w:proofErr w:type="gramEnd"/>
      <w:r w:rsidRPr="006A7C6D">
        <w:rPr>
          <w:rFonts w:cs="Times New Roman"/>
          <w:color w:val="000000" w:themeColor="text1"/>
          <w:szCs w:val="24"/>
          <w:shd w:val="clear" w:color="auto" w:fill="FFFFFF"/>
        </w:rPr>
        <w:t> </w:t>
      </w:r>
      <w:r w:rsidRPr="006A7C6D">
        <w:rPr>
          <w:rFonts w:cs="Times New Roman"/>
          <w:i/>
          <w:iCs/>
          <w:color w:val="000000" w:themeColor="text1"/>
          <w:szCs w:val="24"/>
          <w:shd w:val="clear" w:color="auto" w:fill="FFFFFF"/>
        </w:rPr>
        <w:t xml:space="preserve">GSK drives Latin America growth strategy with acquisition of </w:t>
      </w:r>
      <w:proofErr w:type="spellStart"/>
      <w:r w:rsidRPr="006A7C6D">
        <w:rPr>
          <w:rFonts w:cs="Times New Roman"/>
          <w:i/>
          <w:iCs/>
          <w:color w:val="000000" w:themeColor="text1"/>
          <w:szCs w:val="24"/>
          <w:shd w:val="clear" w:color="auto" w:fill="FFFFFF"/>
        </w:rPr>
        <w:t>Laboratorios</w:t>
      </w:r>
      <w:proofErr w:type="spellEnd"/>
      <w:r w:rsidRPr="006A7C6D">
        <w:rPr>
          <w:rFonts w:cs="Times New Roman"/>
          <w:i/>
          <w:iCs/>
          <w:color w:val="000000" w:themeColor="text1"/>
          <w:szCs w:val="24"/>
          <w:shd w:val="clear" w:color="auto" w:fill="FFFFFF"/>
        </w:rPr>
        <w:t xml:space="preserve"> Phoenix | GSK</w:t>
      </w:r>
      <w:r w:rsidRPr="006A7C6D">
        <w:rPr>
          <w:rFonts w:cs="Times New Roman"/>
          <w:color w:val="000000" w:themeColor="text1"/>
          <w:szCs w:val="24"/>
          <w:shd w:val="clear" w:color="auto" w:fill="FFFFFF"/>
        </w:rPr>
        <w:t>. [</w:t>
      </w:r>
      <w:proofErr w:type="gramStart"/>
      <w:r w:rsidRPr="006A7C6D">
        <w:rPr>
          <w:rFonts w:cs="Times New Roman"/>
          <w:color w:val="000000" w:themeColor="text1"/>
          <w:szCs w:val="24"/>
          <w:shd w:val="clear" w:color="auto" w:fill="FFFFFF"/>
        </w:rPr>
        <w:t>online</w:t>
      </w:r>
      <w:proofErr w:type="gramEnd"/>
      <w:r w:rsidRPr="006A7C6D">
        <w:rPr>
          <w:rFonts w:cs="Times New Roman"/>
          <w:color w:val="000000" w:themeColor="text1"/>
          <w:szCs w:val="24"/>
          <w:shd w:val="clear" w:color="auto" w:fill="FFFFFF"/>
        </w:rPr>
        <w:t>] Available at: https://www.gsk.com/en-gb/media/press-releases/gsk-drives-latin-america-growth-strategy-with-acquisition-of-laboratorios-phoenix/ [Accessed 29 Dec. 2017].</w:t>
      </w:r>
    </w:p>
    <w:p w:rsidR="00116C0C" w:rsidRPr="006A7C6D" w:rsidRDefault="00116C0C" w:rsidP="00116C0C">
      <w:pPr>
        <w:rPr>
          <w:rFonts w:cs="Times New Roman"/>
          <w:color w:val="000000" w:themeColor="text1"/>
          <w:szCs w:val="24"/>
          <w:shd w:val="clear" w:color="auto" w:fill="FFFFFF"/>
        </w:rPr>
      </w:pPr>
      <w:proofErr w:type="gramStart"/>
      <w:r w:rsidRPr="006A7C6D">
        <w:rPr>
          <w:rFonts w:cs="Times New Roman"/>
          <w:color w:val="000000" w:themeColor="text1"/>
          <w:szCs w:val="24"/>
          <w:shd w:val="clear" w:color="auto" w:fill="FFFFFF"/>
        </w:rPr>
        <w:t>Gsk.com. (2013).</w:t>
      </w:r>
      <w:proofErr w:type="gramEnd"/>
      <w:r w:rsidRPr="006A7C6D">
        <w:rPr>
          <w:rFonts w:cs="Times New Roman"/>
          <w:color w:val="000000" w:themeColor="text1"/>
          <w:szCs w:val="24"/>
          <w:shd w:val="clear" w:color="auto" w:fill="FFFFFF"/>
        </w:rPr>
        <w:t> </w:t>
      </w:r>
      <w:r w:rsidRPr="006A7C6D">
        <w:rPr>
          <w:rFonts w:cs="Times New Roman"/>
          <w:i/>
          <w:iCs/>
          <w:color w:val="000000" w:themeColor="text1"/>
          <w:szCs w:val="24"/>
          <w:shd w:val="clear" w:color="auto" w:fill="FFFFFF"/>
        </w:rPr>
        <w:t xml:space="preserve">Cite a Website - Cite This </w:t>
      </w:r>
      <w:proofErr w:type="gramStart"/>
      <w:r w:rsidRPr="006A7C6D">
        <w:rPr>
          <w:rFonts w:cs="Times New Roman"/>
          <w:i/>
          <w:iCs/>
          <w:color w:val="000000" w:themeColor="text1"/>
          <w:szCs w:val="24"/>
          <w:shd w:val="clear" w:color="auto" w:fill="FFFFFF"/>
        </w:rPr>
        <w:t>For</w:t>
      </w:r>
      <w:proofErr w:type="gramEnd"/>
      <w:r w:rsidRPr="006A7C6D">
        <w:rPr>
          <w:rFonts w:cs="Times New Roman"/>
          <w:i/>
          <w:iCs/>
          <w:color w:val="000000" w:themeColor="text1"/>
          <w:szCs w:val="24"/>
          <w:shd w:val="clear" w:color="auto" w:fill="FFFFFF"/>
        </w:rPr>
        <w:t xml:space="preserve"> Me</w:t>
      </w:r>
      <w:r w:rsidRPr="006A7C6D">
        <w:rPr>
          <w:rFonts w:cs="Times New Roman"/>
          <w:color w:val="000000" w:themeColor="text1"/>
          <w:szCs w:val="24"/>
          <w:shd w:val="clear" w:color="auto" w:fill="FFFFFF"/>
        </w:rPr>
        <w:t>. [online] Available at: https://www.gsk.com/media/2701/annual-report-2013-interactive.pdf [Accessed 29 Dec. 2017].</w:t>
      </w:r>
    </w:p>
    <w:p w:rsidR="00116C0C" w:rsidRPr="006A7C6D" w:rsidRDefault="00116C0C" w:rsidP="00116C0C">
      <w:pPr>
        <w:rPr>
          <w:rFonts w:cs="Times New Roman"/>
          <w:color w:val="000000" w:themeColor="text1"/>
          <w:szCs w:val="24"/>
          <w:shd w:val="clear" w:color="auto" w:fill="FFFFFF"/>
        </w:rPr>
      </w:pPr>
      <w:proofErr w:type="gramStart"/>
      <w:r w:rsidRPr="006A7C6D">
        <w:rPr>
          <w:rFonts w:cs="Times New Roman"/>
          <w:color w:val="000000" w:themeColor="text1"/>
          <w:szCs w:val="24"/>
          <w:shd w:val="clear" w:color="auto" w:fill="FFFFFF"/>
        </w:rPr>
        <w:t>Gsk.com. (2014).</w:t>
      </w:r>
      <w:proofErr w:type="gramEnd"/>
      <w:r w:rsidRPr="006A7C6D">
        <w:rPr>
          <w:rFonts w:cs="Times New Roman"/>
          <w:color w:val="000000" w:themeColor="text1"/>
          <w:szCs w:val="24"/>
          <w:shd w:val="clear" w:color="auto" w:fill="FFFFFF"/>
        </w:rPr>
        <w:t> </w:t>
      </w:r>
      <w:r w:rsidRPr="006A7C6D">
        <w:rPr>
          <w:rFonts w:cs="Times New Roman"/>
          <w:i/>
          <w:iCs/>
          <w:color w:val="000000" w:themeColor="text1"/>
          <w:szCs w:val="24"/>
          <w:shd w:val="clear" w:color="auto" w:fill="FFFFFF"/>
        </w:rPr>
        <w:t xml:space="preserve">Cite a Website - Cite This </w:t>
      </w:r>
      <w:proofErr w:type="gramStart"/>
      <w:r w:rsidRPr="006A7C6D">
        <w:rPr>
          <w:rFonts w:cs="Times New Roman"/>
          <w:i/>
          <w:iCs/>
          <w:color w:val="000000" w:themeColor="text1"/>
          <w:szCs w:val="24"/>
          <w:shd w:val="clear" w:color="auto" w:fill="FFFFFF"/>
        </w:rPr>
        <w:t>For</w:t>
      </w:r>
      <w:proofErr w:type="gramEnd"/>
      <w:r w:rsidRPr="006A7C6D">
        <w:rPr>
          <w:rFonts w:cs="Times New Roman"/>
          <w:i/>
          <w:iCs/>
          <w:color w:val="000000" w:themeColor="text1"/>
          <w:szCs w:val="24"/>
          <w:shd w:val="clear" w:color="auto" w:fill="FFFFFF"/>
        </w:rPr>
        <w:t xml:space="preserve"> Me</w:t>
      </w:r>
      <w:r w:rsidRPr="006A7C6D">
        <w:rPr>
          <w:rFonts w:cs="Times New Roman"/>
          <w:color w:val="000000" w:themeColor="text1"/>
          <w:szCs w:val="24"/>
          <w:shd w:val="clear" w:color="auto" w:fill="FFFFFF"/>
        </w:rPr>
        <w:t>. [online] Available at: https://www.gsk.com/media/2710/gsk-annual-report-2014-interactive.pdf [Accessed 29 Dec. 2017].</w:t>
      </w:r>
    </w:p>
    <w:p w:rsidR="00116C0C" w:rsidRPr="006A7C6D" w:rsidRDefault="00116C0C" w:rsidP="00116C0C">
      <w:pPr>
        <w:rPr>
          <w:rFonts w:cs="Times New Roman"/>
          <w:szCs w:val="24"/>
        </w:rPr>
      </w:pPr>
      <w:proofErr w:type="spellStart"/>
      <w:proofErr w:type="gramStart"/>
      <w:r w:rsidRPr="006A7C6D">
        <w:rPr>
          <w:rFonts w:cs="Times New Roman"/>
          <w:szCs w:val="24"/>
        </w:rPr>
        <w:t>Heikal</w:t>
      </w:r>
      <w:proofErr w:type="spellEnd"/>
      <w:r w:rsidRPr="006A7C6D">
        <w:rPr>
          <w:rFonts w:cs="Times New Roman"/>
          <w:szCs w:val="24"/>
        </w:rPr>
        <w:t xml:space="preserve">, M., </w:t>
      </w:r>
      <w:proofErr w:type="spellStart"/>
      <w:r w:rsidRPr="006A7C6D">
        <w:rPr>
          <w:rFonts w:cs="Times New Roman"/>
          <w:szCs w:val="24"/>
        </w:rPr>
        <w:t>Khaddafi</w:t>
      </w:r>
      <w:proofErr w:type="spellEnd"/>
      <w:r w:rsidRPr="006A7C6D">
        <w:rPr>
          <w:rFonts w:cs="Times New Roman"/>
          <w:szCs w:val="24"/>
        </w:rPr>
        <w:t xml:space="preserve">, M. and </w:t>
      </w:r>
      <w:proofErr w:type="spellStart"/>
      <w:r w:rsidRPr="006A7C6D">
        <w:rPr>
          <w:rFonts w:cs="Times New Roman"/>
          <w:szCs w:val="24"/>
        </w:rPr>
        <w:t>Ummah</w:t>
      </w:r>
      <w:proofErr w:type="spellEnd"/>
      <w:r w:rsidRPr="006A7C6D">
        <w:rPr>
          <w:rFonts w:cs="Times New Roman"/>
          <w:szCs w:val="24"/>
        </w:rPr>
        <w:t>, A., 2014.</w:t>
      </w:r>
      <w:proofErr w:type="gramEnd"/>
      <w:r w:rsidRPr="006A7C6D">
        <w:rPr>
          <w:rFonts w:cs="Times New Roman"/>
          <w:szCs w:val="24"/>
        </w:rPr>
        <w:t xml:space="preserve"> Influence analysis of return on assets (ROA), return on equity (ROE), net profit margin (NPM), debt to equity ratio (DER), and current ratio </w:t>
      </w:r>
      <w:r w:rsidRPr="006A7C6D">
        <w:rPr>
          <w:rFonts w:cs="Times New Roman"/>
          <w:szCs w:val="24"/>
        </w:rPr>
        <w:lastRenderedPageBreak/>
        <w:t>(CR), against corporate profit growth in automotive in Indonesia stock exchange. </w:t>
      </w:r>
      <w:proofErr w:type="gramStart"/>
      <w:r w:rsidRPr="006A7C6D">
        <w:rPr>
          <w:rFonts w:cs="Times New Roman"/>
          <w:i/>
          <w:iCs/>
          <w:szCs w:val="24"/>
        </w:rPr>
        <w:t>International Journal of Academic Research in Business and Social Sciences</w:t>
      </w:r>
      <w:r w:rsidRPr="006A7C6D">
        <w:rPr>
          <w:rFonts w:cs="Times New Roman"/>
          <w:szCs w:val="24"/>
        </w:rPr>
        <w:t>, </w:t>
      </w:r>
      <w:r w:rsidRPr="006A7C6D">
        <w:rPr>
          <w:rFonts w:cs="Times New Roman"/>
          <w:i/>
          <w:iCs/>
          <w:szCs w:val="24"/>
        </w:rPr>
        <w:t>4</w:t>
      </w:r>
      <w:r w:rsidRPr="006A7C6D">
        <w:rPr>
          <w:rFonts w:cs="Times New Roman"/>
          <w:szCs w:val="24"/>
        </w:rPr>
        <w:t>(12), p.101.</w:t>
      </w:r>
      <w:proofErr w:type="gramEnd"/>
    </w:p>
    <w:p w:rsidR="00116C0C" w:rsidRPr="006A7C6D" w:rsidRDefault="00116C0C" w:rsidP="00116C0C">
      <w:pPr>
        <w:rPr>
          <w:rFonts w:cs="Times New Roman"/>
          <w:szCs w:val="24"/>
        </w:rPr>
      </w:pPr>
      <w:proofErr w:type="gramStart"/>
      <w:r w:rsidRPr="006A7C6D">
        <w:rPr>
          <w:rFonts w:cs="Times New Roman"/>
          <w:szCs w:val="24"/>
        </w:rPr>
        <w:t xml:space="preserve">Jansen, I.P., </w:t>
      </w:r>
      <w:proofErr w:type="spellStart"/>
      <w:r w:rsidRPr="006A7C6D">
        <w:rPr>
          <w:rFonts w:cs="Times New Roman"/>
          <w:szCs w:val="24"/>
        </w:rPr>
        <w:t>Ramnath</w:t>
      </w:r>
      <w:proofErr w:type="spellEnd"/>
      <w:r w:rsidRPr="006A7C6D">
        <w:rPr>
          <w:rFonts w:cs="Times New Roman"/>
          <w:szCs w:val="24"/>
        </w:rPr>
        <w:t xml:space="preserve">, S. and </w:t>
      </w:r>
      <w:proofErr w:type="spellStart"/>
      <w:r w:rsidRPr="006A7C6D">
        <w:rPr>
          <w:rFonts w:cs="Times New Roman"/>
          <w:szCs w:val="24"/>
        </w:rPr>
        <w:t>Yohn</w:t>
      </w:r>
      <w:proofErr w:type="spellEnd"/>
      <w:r w:rsidRPr="006A7C6D">
        <w:rPr>
          <w:rFonts w:cs="Times New Roman"/>
          <w:szCs w:val="24"/>
        </w:rPr>
        <w:t>, T.L., 2012.</w:t>
      </w:r>
      <w:proofErr w:type="gramEnd"/>
      <w:r w:rsidRPr="006A7C6D">
        <w:rPr>
          <w:rFonts w:cs="Times New Roman"/>
          <w:szCs w:val="24"/>
        </w:rPr>
        <w:t xml:space="preserve"> </w:t>
      </w:r>
      <w:proofErr w:type="gramStart"/>
      <w:r w:rsidRPr="006A7C6D">
        <w:rPr>
          <w:rFonts w:cs="Times New Roman"/>
          <w:szCs w:val="24"/>
        </w:rPr>
        <w:t>A diagnostic for earnings management using changes in asset turnover and profit margin.</w:t>
      </w:r>
      <w:proofErr w:type="gramEnd"/>
      <w:r w:rsidRPr="006A7C6D">
        <w:rPr>
          <w:rFonts w:cs="Times New Roman"/>
          <w:szCs w:val="24"/>
        </w:rPr>
        <w:t> </w:t>
      </w:r>
      <w:proofErr w:type="gramStart"/>
      <w:r w:rsidRPr="006A7C6D">
        <w:rPr>
          <w:rFonts w:cs="Times New Roman"/>
          <w:i/>
          <w:iCs/>
          <w:szCs w:val="24"/>
        </w:rPr>
        <w:t>Contemporary Accounting Research</w:t>
      </w:r>
      <w:r w:rsidRPr="006A7C6D">
        <w:rPr>
          <w:rFonts w:cs="Times New Roman"/>
          <w:szCs w:val="24"/>
        </w:rPr>
        <w:t>, </w:t>
      </w:r>
      <w:r w:rsidRPr="006A7C6D">
        <w:rPr>
          <w:rFonts w:cs="Times New Roman"/>
          <w:i/>
          <w:iCs/>
          <w:szCs w:val="24"/>
        </w:rPr>
        <w:t>29</w:t>
      </w:r>
      <w:r w:rsidRPr="006A7C6D">
        <w:rPr>
          <w:rFonts w:cs="Times New Roman"/>
          <w:szCs w:val="24"/>
        </w:rPr>
        <w:t>(1), pp.221-251.</w:t>
      </w:r>
      <w:proofErr w:type="gramEnd"/>
    </w:p>
    <w:p w:rsidR="00116C0C" w:rsidRPr="006A7C6D" w:rsidRDefault="00116C0C" w:rsidP="00116C0C">
      <w:pPr>
        <w:rPr>
          <w:rFonts w:cs="Times New Roman"/>
          <w:szCs w:val="24"/>
        </w:rPr>
      </w:pPr>
      <w:proofErr w:type="gramStart"/>
      <w:r w:rsidRPr="006A7C6D">
        <w:rPr>
          <w:rFonts w:cs="Times New Roman"/>
          <w:szCs w:val="24"/>
        </w:rPr>
        <w:t xml:space="preserve">Johnson, V.A., </w:t>
      </w:r>
      <w:proofErr w:type="spellStart"/>
      <w:r w:rsidRPr="006A7C6D">
        <w:rPr>
          <w:rFonts w:cs="Times New Roman"/>
          <w:szCs w:val="24"/>
        </w:rPr>
        <w:t>Brun-Vézinet</w:t>
      </w:r>
      <w:proofErr w:type="spellEnd"/>
      <w:r w:rsidRPr="006A7C6D">
        <w:rPr>
          <w:rFonts w:cs="Times New Roman"/>
          <w:szCs w:val="24"/>
        </w:rPr>
        <w:t xml:space="preserve">, F., </w:t>
      </w:r>
      <w:proofErr w:type="spellStart"/>
      <w:r w:rsidRPr="006A7C6D">
        <w:rPr>
          <w:rFonts w:cs="Times New Roman"/>
          <w:szCs w:val="24"/>
        </w:rPr>
        <w:t>Clotet</w:t>
      </w:r>
      <w:proofErr w:type="spellEnd"/>
      <w:r w:rsidRPr="006A7C6D">
        <w:rPr>
          <w:rFonts w:cs="Times New Roman"/>
          <w:szCs w:val="24"/>
        </w:rPr>
        <w:t xml:space="preserve">, B., </w:t>
      </w:r>
      <w:proofErr w:type="spellStart"/>
      <w:r w:rsidRPr="006A7C6D">
        <w:rPr>
          <w:rFonts w:cs="Times New Roman"/>
          <w:szCs w:val="24"/>
        </w:rPr>
        <w:t>Gunthard</w:t>
      </w:r>
      <w:proofErr w:type="spellEnd"/>
      <w:r w:rsidRPr="006A7C6D">
        <w:rPr>
          <w:rFonts w:cs="Times New Roman"/>
          <w:szCs w:val="24"/>
        </w:rPr>
        <w:t xml:space="preserve">, H.F., </w:t>
      </w:r>
      <w:proofErr w:type="spellStart"/>
      <w:r w:rsidRPr="006A7C6D">
        <w:rPr>
          <w:rFonts w:cs="Times New Roman"/>
          <w:szCs w:val="24"/>
        </w:rPr>
        <w:t>Kuritzkes</w:t>
      </w:r>
      <w:proofErr w:type="spellEnd"/>
      <w:r w:rsidRPr="006A7C6D">
        <w:rPr>
          <w:rFonts w:cs="Times New Roman"/>
          <w:szCs w:val="24"/>
        </w:rPr>
        <w:t xml:space="preserve">, D.R., </w:t>
      </w:r>
      <w:proofErr w:type="spellStart"/>
      <w:r w:rsidRPr="006A7C6D">
        <w:rPr>
          <w:rFonts w:cs="Times New Roman"/>
          <w:szCs w:val="24"/>
        </w:rPr>
        <w:t>Pillay</w:t>
      </w:r>
      <w:proofErr w:type="spellEnd"/>
      <w:r w:rsidRPr="006A7C6D">
        <w:rPr>
          <w:rFonts w:cs="Times New Roman"/>
          <w:szCs w:val="24"/>
        </w:rPr>
        <w:t>, D., Schapiro, J.M. and Richman, D.D., 2009.</w:t>
      </w:r>
      <w:proofErr w:type="gramEnd"/>
      <w:r w:rsidRPr="006A7C6D">
        <w:rPr>
          <w:rFonts w:cs="Times New Roman"/>
          <w:szCs w:val="24"/>
        </w:rPr>
        <w:t xml:space="preserve"> Update of the drug resistance mutations in HIV-1: December 2009. </w:t>
      </w:r>
      <w:proofErr w:type="gramStart"/>
      <w:r w:rsidRPr="006A7C6D">
        <w:rPr>
          <w:rFonts w:cs="Times New Roman"/>
          <w:i/>
          <w:iCs/>
          <w:szCs w:val="24"/>
        </w:rPr>
        <w:t>Top HIV Med</w:t>
      </w:r>
      <w:r w:rsidRPr="006A7C6D">
        <w:rPr>
          <w:rFonts w:cs="Times New Roman"/>
          <w:szCs w:val="24"/>
        </w:rPr>
        <w:t>, </w:t>
      </w:r>
      <w:r w:rsidRPr="006A7C6D">
        <w:rPr>
          <w:rFonts w:cs="Times New Roman"/>
          <w:i/>
          <w:iCs/>
          <w:szCs w:val="24"/>
        </w:rPr>
        <w:t>17</w:t>
      </w:r>
      <w:r w:rsidRPr="006A7C6D">
        <w:rPr>
          <w:rFonts w:cs="Times New Roman"/>
          <w:szCs w:val="24"/>
        </w:rPr>
        <w:t>(5), pp.138-145.</w:t>
      </w:r>
      <w:proofErr w:type="gramEnd"/>
    </w:p>
    <w:p w:rsidR="00116C0C" w:rsidRPr="006A7C6D" w:rsidRDefault="00116C0C" w:rsidP="00116C0C">
      <w:pPr>
        <w:rPr>
          <w:rFonts w:cs="Times New Roman"/>
          <w:szCs w:val="24"/>
        </w:rPr>
      </w:pPr>
      <w:r w:rsidRPr="006A7C6D">
        <w:rPr>
          <w:rFonts w:cs="Times New Roman"/>
          <w:szCs w:val="24"/>
        </w:rPr>
        <w:t>Kirkham, R., 2012. Liquidity analysis using cash flow ratios and traditional ratios: The telecommunications sector in Australia. </w:t>
      </w:r>
      <w:r w:rsidRPr="006A7C6D">
        <w:rPr>
          <w:rFonts w:cs="Times New Roman"/>
          <w:i/>
          <w:iCs/>
          <w:szCs w:val="24"/>
        </w:rPr>
        <w:t>The Journal of New Business Ideas &amp; Trends</w:t>
      </w:r>
      <w:r w:rsidRPr="006A7C6D">
        <w:rPr>
          <w:rFonts w:cs="Times New Roman"/>
          <w:szCs w:val="24"/>
        </w:rPr>
        <w:t>, </w:t>
      </w:r>
      <w:r w:rsidRPr="006A7C6D">
        <w:rPr>
          <w:rFonts w:cs="Times New Roman"/>
          <w:i/>
          <w:iCs/>
          <w:szCs w:val="24"/>
        </w:rPr>
        <w:t>10</w:t>
      </w:r>
      <w:r w:rsidRPr="006A7C6D">
        <w:rPr>
          <w:rFonts w:cs="Times New Roman"/>
          <w:szCs w:val="24"/>
        </w:rPr>
        <w:t>(1), p.1.</w:t>
      </w:r>
    </w:p>
    <w:p w:rsidR="00116C0C" w:rsidRPr="006A7C6D" w:rsidRDefault="00116C0C" w:rsidP="00116C0C">
      <w:pPr>
        <w:rPr>
          <w:rFonts w:cs="Times New Roman"/>
          <w:szCs w:val="24"/>
        </w:rPr>
      </w:pPr>
      <w:proofErr w:type="spellStart"/>
      <w:proofErr w:type="gramStart"/>
      <w:r w:rsidRPr="006A7C6D">
        <w:rPr>
          <w:rFonts w:cs="Times New Roman"/>
          <w:szCs w:val="24"/>
        </w:rPr>
        <w:t>Kumbirai</w:t>
      </w:r>
      <w:proofErr w:type="spellEnd"/>
      <w:r w:rsidRPr="006A7C6D">
        <w:rPr>
          <w:rFonts w:cs="Times New Roman"/>
          <w:szCs w:val="24"/>
        </w:rPr>
        <w:t>, M., 2010.</w:t>
      </w:r>
      <w:proofErr w:type="gramEnd"/>
      <w:r w:rsidRPr="006A7C6D">
        <w:rPr>
          <w:rFonts w:cs="Times New Roman"/>
          <w:szCs w:val="24"/>
        </w:rPr>
        <w:t xml:space="preserve"> </w:t>
      </w:r>
      <w:proofErr w:type="gramStart"/>
      <w:r w:rsidRPr="006A7C6D">
        <w:rPr>
          <w:rFonts w:cs="Times New Roman"/>
          <w:szCs w:val="24"/>
        </w:rPr>
        <w:t>A financial ratio analysis of commercial bank performance in South Africa.</w:t>
      </w:r>
      <w:proofErr w:type="gramEnd"/>
      <w:r w:rsidRPr="006A7C6D">
        <w:rPr>
          <w:rFonts w:cs="Times New Roman"/>
          <w:szCs w:val="24"/>
        </w:rPr>
        <w:t> </w:t>
      </w:r>
      <w:proofErr w:type="gramStart"/>
      <w:r w:rsidRPr="006A7C6D">
        <w:rPr>
          <w:rFonts w:cs="Times New Roman"/>
          <w:i/>
          <w:iCs/>
          <w:szCs w:val="24"/>
        </w:rPr>
        <w:t>African Review of Economics and Finance</w:t>
      </w:r>
      <w:r w:rsidRPr="006A7C6D">
        <w:rPr>
          <w:rFonts w:cs="Times New Roman"/>
          <w:szCs w:val="24"/>
        </w:rPr>
        <w:t>, </w:t>
      </w:r>
      <w:r w:rsidRPr="006A7C6D">
        <w:rPr>
          <w:rFonts w:cs="Times New Roman"/>
          <w:i/>
          <w:iCs/>
          <w:szCs w:val="24"/>
        </w:rPr>
        <w:t>2</w:t>
      </w:r>
      <w:r w:rsidRPr="006A7C6D">
        <w:rPr>
          <w:rFonts w:cs="Times New Roman"/>
          <w:szCs w:val="24"/>
        </w:rPr>
        <w:t>(1), pp.30-53.</w:t>
      </w:r>
      <w:proofErr w:type="gramEnd"/>
    </w:p>
    <w:p w:rsidR="00116C0C" w:rsidRPr="006A7C6D" w:rsidRDefault="00116C0C" w:rsidP="00116C0C">
      <w:pPr>
        <w:rPr>
          <w:rFonts w:cs="Times New Roman"/>
          <w:szCs w:val="24"/>
        </w:rPr>
      </w:pPr>
      <w:proofErr w:type="spellStart"/>
      <w:proofErr w:type="gramStart"/>
      <w:r w:rsidRPr="006A7C6D">
        <w:rPr>
          <w:rFonts w:cs="Times New Roman"/>
          <w:szCs w:val="24"/>
        </w:rPr>
        <w:t>Lantto</w:t>
      </w:r>
      <w:proofErr w:type="spellEnd"/>
      <w:r w:rsidRPr="006A7C6D">
        <w:rPr>
          <w:rFonts w:cs="Times New Roman"/>
          <w:szCs w:val="24"/>
        </w:rPr>
        <w:t xml:space="preserve">, A.M. and </w:t>
      </w:r>
      <w:proofErr w:type="spellStart"/>
      <w:r w:rsidRPr="006A7C6D">
        <w:rPr>
          <w:rFonts w:cs="Times New Roman"/>
          <w:szCs w:val="24"/>
        </w:rPr>
        <w:t>Sahlström</w:t>
      </w:r>
      <w:proofErr w:type="spellEnd"/>
      <w:r w:rsidRPr="006A7C6D">
        <w:rPr>
          <w:rFonts w:cs="Times New Roman"/>
          <w:szCs w:val="24"/>
        </w:rPr>
        <w:t>, P., 2009.</w:t>
      </w:r>
      <w:proofErr w:type="gramEnd"/>
      <w:r w:rsidRPr="006A7C6D">
        <w:rPr>
          <w:rFonts w:cs="Times New Roman"/>
          <w:szCs w:val="24"/>
        </w:rPr>
        <w:t xml:space="preserve"> </w:t>
      </w:r>
      <w:proofErr w:type="gramStart"/>
      <w:r w:rsidRPr="006A7C6D">
        <w:rPr>
          <w:rFonts w:cs="Times New Roman"/>
          <w:szCs w:val="24"/>
        </w:rPr>
        <w:t>Impact of International Financial Reporting Standard adoption on key financial ratios.</w:t>
      </w:r>
      <w:proofErr w:type="gramEnd"/>
      <w:r w:rsidRPr="006A7C6D">
        <w:rPr>
          <w:rFonts w:cs="Times New Roman"/>
          <w:szCs w:val="24"/>
        </w:rPr>
        <w:t> </w:t>
      </w:r>
      <w:proofErr w:type="gramStart"/>
      <w:r w:rsidRPr="006A7C6D">
        <w:rPr>
          <w:rFonts w:cs="Times New Roman"/>
          <w:i/>
          <w:iCs/>
          <w:szCs w:val="24"/>
        </w:rPr>
        <w:t>Accounting &amp; Finance</w:t>
      </w:r>
      <w:r w:rsidRPr="006A7C6D">
        <w:rPr>
          <w:rFonts w:cs="Times New Roman"/>
          <w:szCs w:val="24"/>
        </w:rPr>
        <w:t>, </w:t>
      </w:r>
      <w:r w:rsidRPr="006A7C6D">
        <w:rPr>
          <w:rFonts w:cs="Times New Roman"/>
          <w:i/>
          <w:iCs/>
          <w:szCs w:val="24"/>
        </w:rPr>
        <w:t>49</w:t>
      </w:r>
      <w:r w:rsidRPr="006A7C6D">
        <w:rPr>
          <w:rFonts w:cs="Times New Roman"/>
          <w:szCs w:val="24"/>
        </w:rPr>
        <w:t>(2), pp.341-361.</w:t>
      </w:r>
      <w:proofErr w:type="gramEnd"/>
    </w:p>
    <w:p w:rsidR="00116C0C" w:rsidRPr="006A7C6D" w:rsidRDefault="00116C0C" w:rsidP="00116C0C">
      <w:pPr>
        <w:rPr>
          <w:rFonts w:cs="Times New Roman"/>
          <w:szCs w:val="24"/>
        </w:rPr>
      </w:pPr>
      <w:proofErr w:type="spellStart"/>
      <w:r w:rsidRPr="006A7C6D">
        <w:rPr>
          <w:rFonts w:cs="Times New Roman"/>
          <w:szCs w:val="24"/>
        </w:rPr>
        <w:t>Laudon</w:t>
      </w:r>
      <w:proofErr w:type="spellEnd"/>
      <w:r w:rsidRPr="006A7C6D">
        <w:rPr>
          <w:rFonts w:cs="Times New Roman"/>
          <w:szCs w:val="24"/>
        </w:rPr>
        <w:t xml:space="preserve">, K.C. and </w:t>
      </w:r>
      <w:proofErr w:type="spellStart"/>
      <w:r w:rsidRPr="006A7C6D">
        <w:rPr>
          <w:rFonts w:cs="Times New Roman"/>
          <w:szCs w:val="24"/>
        </w:rPr>
        <w:t>Traver</w:t>
      </w:r>
      <w:proofErr w:type="spellEnd"/>
      <w:r w:rsidRPr="006A7C6D">
        <w:rPr>
          <w:rFonts w:cs="Times New Roman"/>
          <w:szCs w:val="24"/>
        </w:rPr>
        <w:t>, C.G., 2013. </w:t>
      </w:r>
      <w:proofErr w:type="gramStart"/>
      <w:r w:rsidRPr="006A7C6D">
        <w:rPr>
          <w:rFonts w:cs="Times New Roman"/>
          <w:i/>
          <w:iCs/>
          <w:szCs w:val="24"/>
        </w:rPr>
        <w:t>E-commerce</w:t>
      </w:r>
      <w:r w:rsidRPr="006A7C6D">
        <w:rPr>
          <w:rFonts w:cs="Times New Roman"/>
          <w:szCs w:val="24"/>
        </w:rPr>
        <w:t>.</w:t>
      </w:r>
      <w:proofErr w:type="gramEnd"/>
      <w:r w:rsidRPr="006A7C6D">
        <w:rPr>
          <w:rFonts w:cs="Times New Roman"/>
          <w:szCs w:val="24"/>
        </w:rPr>
        <w:t xml:space="preserve"> Pearson.</w:t>
      </w:r>
    </w:p>
    <w:p w:rsidR="00116C0C" w:rsidRPr="006A7C6D" w:rsidRDefault="00116C0C" w:rsidP="00116C0C">
      <w:pPr>
        <w:rPr>
          <w:rFonts w:cs="Times New Roman"/>
          <w:szCs w:val="24"/>
        </w:rPr>
      </w:pPr>
      <w:proofErr w:type="spellStart"/>
      <w:r w:rsidRPr="006A7C6D">
        <w:rPr>
          <w:rFonts w:cs="Times New Roman"/>
          <w:szCs w:val="24"/>
        </w:rPr>
        <w:t>Martani</w:t>
      </w:r>
      <w:proofErr w:type="spellEnd"/>
      <w:r w:rsidRPr="006A7C6D">
        <w:rPr>
          <w:rFonts w:cs="Times New Roman"/>
          <w:szCs w:val="24"/>
        </w:rPr>
        <w:t xml:space="preserve">, D. and </w:t>
      </w:r>
      <w:proofErr w:type="spellStart"/>
      <w:r w:rsidRPr="006A7C6D">
        <w:rPr>
          <w:rFonts w:cs="Times New Roman"/>
          <w:szCs w:val="24"/>
        </w:rPr>
        <w:t>Khairurizka</w:t>
      </w:r>
      <w:proofErr w:type="spellEnd"/>
      <w:r w:rsidRPr="006A7C6D">
        <w:rPr>
          <w:rFonts w:cs="Times New Roman"/>
          <w:szCs w:val="24"/>
        </w:rPr>
        <w:t xml:space="preserve">, R., 2009. </w:t>
      </w:r>
      <w:proofErr w:type="gramStart"/>
      <w:r w:rsidRPr="006A7C6D">
        <w:rPr>
          <w:rFonts w:cs="Times New Roman"/>
          <w:szCs w:val="24"/>
        </w:rPr>
        <w:t>The effect of financial ratios, firm size, and cash flow from operating activities in the interim report to the stock return.</w:t>
      </w:r>
      <w:proofErr w:type="gramEnd"/>
      <w:r w:rsidRPr="006A7C6D">
        <w:rPr>
          <w:rFonts w:cs="Times New Roman"/>
          <w:szCs w:val="24"/>
        </w:rPr>
        <w:t> </w:t>
      </w:r>
      <w:r w:rsidRPr="006A7C6D">
        <w:rPr>
          <w:rFonts w:cs="Times New Roman"/>
          <w:i/>
          <w:iCs/>
          <w:szCs w:val="24"/>
        </w:rPr>
        <w:t>Chinese Business Review</w:t>
      </w:r>
      <w:r w:rsidRPr="006A7C6D">
        <w:rPr>
          <w:rFonts w:cs="Times New Roman"/>
          <w:szCs w:val="24"/>
        </w:rPr>
        <w:t>, </w:t>
      </w:r>
      <w:r w:rsidRPr="006A7C6D">
        <w:rPr>
          <w:rFonts w:cs="Times New Roman"/>
          <w:i/>
          <w:iCs/>
          <w:szCs w:val="24"/>
        </w:rPr>
        <w:t>8</w:t>
      </w:r>
      <w:r w:rsidRPr="006A7C6D">
        <w:rPr>
          <w:rFonts w:cs="Times New Roman"/>
          <w:szCs w:val="24"/>
        </w:rPr>
        <w:t>(6), p.44.</w:t>
      </w:r>
    </w:p>
    <w:p w:rsidR="00116C0C" w:rsidRPr="006A7C6D" w:rsidRDefault="00116C0C" w:rsidP="00116C0C">
      <w:pPr>
        <w:rPr>
          <w:rFonts w:cs="Times New Roman"/>
          <w:color w:val="000000" w:themeColor="text1"/>
          <w:szCs w:val="24"/>
          <w:shd w:val="clear" w:color="auto" w:fill="FFFFFF"/>
        </w:rPr>
      </w:pPr>
      <w:r w:rsidRPr="006A7C6D">
        <w:rPr>
          <w:rFonts w:cs="Times New Roman"/>
          <w:color w:val="000000" w:themeColor="text1"/>
          <w:szCs w:val="24"/>
          <w:shd w:val="clear" w:color="auto" w:fill="FFFFFF"/>
        </w:rPr>
        <w:t xml:space="preserve">Momentum, </w:t>
      </w:r>
      <w:proofErr w:type="gramStart"/>
      <w:r w:rsidRPr="006A7C6D">
        <w:rPr>
          <w:rFonts w:cs="Times New Roman"/>
          <w:color w:val="000000" w:themeColor="text1"/>
          <w:szCs w:val="24"/>
          <w:shd w:val="clear" w:color="auto" w:fill="FFFFFF"/>
        </w:rPr>
        <w:t>2.,</w:t>
      </w:r>
      <w:proofErr w:type="gramEnd"/>
      <w:r w:rsidRPr="006A7C6D">
        <w:rPr>
          <w:rFonts w:cs="Times New Roman"/>
          <w:color w:val="000000" w:themeColor="text1"/>
          <w:szCs w:val="24"/>
          <w:shd w:val="clear" w:color="auto" w:fill="FFFFFF"/>
        </w:rPr>
        <w:t xml:space="preserve"> Pharmaceuticals, V., Healthcare, A. and </w:t>
      </w:r>
      <w:proofErr w:type="spellStart"/>
      <w:r w:rsidRPr="006A7C6D">
        <w:rPr>
          <w:rFonts w:cs="Times New Roman"/>
          <w:color w:val="000000" w:themeColor="text1"/>
          <w:szCs w:val="24"/>
          <w:shd w:val="clear" w:color="auto" w:fill="FFFFFF"/>
        </w:rPr>
        <w:t>Progres</w:t>
      </w:r>
      <w:proofErr w:type="spellEnd"/>
      <w:r w:rsidRPr="006A7C6D">
        <w:rPr>
          <w:rFonts w:cs="Times New Roman"/>
          <w:color w:val="000000" w:themeColor="text1"/>
          <w:szCs w:val="24"/>
          <w:shd w:val="clear" w:color="auto" w:fill="FFFFFF"/>
        </w:rPr>
        <w:t>, A. (2017). </w:t>
      </w:r>
      <w:proofErr w:type="gramStart"/>
      <w:r w:rsidRPr="006A7C6D">
        <w:rPr>
          <w:rFonts w:cs="Times New Roman"/>
          <w:i/>
          <w:iCs/>
          <w:color w:val="000000" w:themeColor="text1"/>
          <w:szCs w:val="24"/>
          <w:shd w:val="clear" w:color="auto" w:fill="FFFFFF"/>
        </w:rPr>
        <w:t>and</w:t>
      </w:r>
      <w:proofErr w:type="gramEnd"/>
      <w:r w:rsidRPr="006A7C6D">
        <w:rPr>
          <w:rFonts w:cs="Times New Roman"/>
          <w:i/>
          <w:iCs/>
          <w:color w:val="000000" w:themeColor="text1"/>
          <w:szCs w:val="24"/>
          <w:shd w:val="clear" w:color="auto" w:fill="FFFFFF"/>
        </w:rPr>
        <w:t xml:space="preserve"> further pipeline </w:t>
      </w:r>
      <w:proofErr w:type="spellStart"/>
      <w:r w:rsidRPr="006A7C6D">
        <w:rPr>
          <w:rFonts w:cs="Times New Roman"/>
          <w:i/>
          <w:iCs/>
          <w:color w:val="000000" w:themeColor="text1"/>
          <w:szCs w:val="24"/>
          <w:shd w:val="clear" w:color="auto" w:fill="FFFFFF"/>
        </w:rPr>
        <w:t>progressWe</w:t>
      </w:r>
      <w:proofErr w:type="spellEnd"/>
      <w:r w:rsidRPr="006A7C6D">
        <w:rPr>
          <w:rFonts w:cs="Times New Roman"/>
          <w:i/>
          <w:iCs/>
          <w:color w:val="000000" w:themeColor="text1"/>
          <w:szCs w:val="24"/>
          <w:shd w:val="clear" w:color="auto" w:fill="FFFFFF"/>
        </w:rPr>
        <w:t xml:space="preserve"> are a global science-led healthcare company.</w:t>
      </w:r>
      <w:r w:rsidRPr="006A7C6D">
        <w:rPr>
          <w:rFonts w:cs="Times New Roman"/>
          <w:color w:val="000000" w:themeColor="text1"/>
          <w:szCs w:val="24"/>
          <w:shd w:val="clear" w:color="auto" w:fill="FFFFFF"/>
        </w:rPr>
        <w:t>. [</w:t>
      </w:r>
      <w:proofErr w:type="gramStart"/>
      <w:r w:rsidRPr="006A7C6D">
        <w:rPr>
          <w:rFonts w:cs="Times New Roman"/>
          <w:color w:val="000000" w:themeColor="text1"/>
          <w:szCs w:val="24"/>
          <w:shd w:val="clear" w:color="auto" w:fill="FFFFFF"/>
        </w:rPr>
        <w:t>online</w:t>
      </w:r>
      <w:proofErr w:type="gramEnd"/>
      <w:r w:rsidRPr="006A7C6D">
        <w:rPr>
          <w:rFonts w:cs="Times New Roman"/>
          <w:color w:val="000000" w:themeColor="text1"/>
          <w:szCs w:val="24"/>
          <w:shd w:val="clear" w:color="auto" w:fill="FFFFFF"/>
        </w:rPr>
        <w:t>] Available at: https://www.gsk.com/media/3609/annual-report-2016.pdf [Accessed 29 Dec. 2017].</w:t>
      </w:r>
    </w:p>
    <w:p w:rsidR="00116C0C" w:rsidRPr="006A7C6D" w:rsidRDefault="00116C0C" w:rsidP="00116C0C">
      <w:pPr>
        <w:rPr>
          <w:rFonts w:cs="Times New Roman"/>
          <w:szCs w:val="24"/>
        </w:rPr>
      </w:pPr>
      <w:r w:rsidRPr="006A7C6D">
        <w:rPr>
          <w:rFonts w:cs="Times New Roman"/>
          <w:szCs w:val="24"/>
        </w:rPr>
        <w:t>Muhammad, N.M.N. and Ismail, M.K.A., 2009. Intellectual capital efficiency and firm’s performance: Study on Malaysian financial sectors. </w:t>
      </w:r>
      <w:r w:rsidRPr="006A7C6D">
        <w:rPr>
          <w:rFonts w:cs="Times New Roman"/>
          <w:i/>
          <w:iCs/>
          <w:szCs w:val="24"/>
        </w:rPr>
        <w:t>International journal of economics and finance</w:t>
      </w:r>
      <w:r w:rsidRPr="006A7C6D">
        <w:rPr>
          <w:rFonts w:cs="Times New Roman"/>
          <w:szCs w:val="24"/>
        </w:rPr>
        <w:t>, </w:t>
      </w:r>
      <w:r w:rsidRPr="006A7C6D">
        <w:rPr>
          <w:rFonts w:cs="Times New Roman"/>
          <w:i/>
          <w:iCs/>
          <w:szCs w:val="24"/>
        </w:rPr>
        <w:t>1</w:t>
      </w:r>
      <w:r w:rsidRPr="006A7C6D">
        <w:rPr>
          <w:rFonts w:cs="Times New Roman"/>
          <w:szCs w:val="24"/>
        </w:rPr>
        <w:t>(2), p.206.</w:t>
      </w:r>
    </w:p>
    <w:p w:rsidR="00116C0C" w:rsidRPr="006A7C6D" w:rsidRDefault="00116C0C" w:rsidP="00116C0C">
      <w:pPr>
        <w:rPr>
          <w:rFonts w:cs="Times New Roman"/>
          <w:szCs w:val="24"/>
        </w:rPr>
      </w:pPr>
      <w:proofErr w:type="spellStart"/>
      <w:r w:rsidRPr="006A7C6D">
        <w:rPr>
          <w:rFonts w:cs="Times New Roman"/>
          <w:szCs w:val="24"/>
        </w:rPr>
        <w:t>Niresh</w:t>
      </w:r>
      <w:proofErr w:type="spellEnd"/>
      <w:r w:rsidRPr="006A7C6D">
        <w:rPr>
          <w:rFonts w:cs="Times New Roman"/>
          <w:szCs w:val="24"/>
        </w:rPr>
        <w:t>, J.A., 2012. Trade-off between liquidity &amp; profitability: A study of selected manufacturing firms in Sri Lanka. </w:t>
      </w:r>
      <w:r w:rsidRPr="006A7C6D">
        <w:rPr>
          <w:rFonts w:cs="Times New Roman"/>
          <w:i/>
          <w:iCs/>
          <w:szCs w:val="24"/>
        </w:rPr>
        <w:t>Researchers World</w:t>
      </w:r>
      <w:r w:rsidRPr="006A7C6D">
        <w:rPr>
          <w:rFonts w:cs="Times New Roman"/>
          <w:szCs w:val="24"/>
        </w:rPr>
        <w:t>, </w:t>
      </w:r>
      <w:r w:rsidRPr="006A7C6D">
        <w:rPr>
          <w:rFonts w:cs="Times New Roman"/>
          <w:i/>
          <w:iCs/>
          <w:szCs w:val="24"/>
        </w:rPr>
        <w:t>3</w:t>
      </w:r>
      <w:r w:rsidRPr="006A7C6D">
        <w:rPr>
          <w:rFonts w:cs="Times New Roman"/>
          <w:szCs w:val="24"/>
        </w:rPr>
        <w:t>(4), p.34.</w:t>
      </w:r>
    </w:p>
    <w:p w:rsidR="00116C0C" w:rsidRDefault="00116C0C" w:rsidP="00116C0C">
      <w:proofErr w:type="gramStart"/>
      <w:r w:rsidRPr="006A7C6D">
        <w:rPr>
          <w:rFonts w:cs="Times New Roman"/>
          <w:color w:val="000000" w:themeColor="text1"/>
          <w:szCs w:val="24"/>
        </w:rPr>
        <w:lastRenderedPageBreak/>
        <w:t>NYSE_PFE (2013).</w:t>
      </w:r>
      <w:proofErr w:type="gramEnd"/>
      <w:r w:rsidRPr="006A7C6D">
        <w:rPr>
          <w:rFonts w:cs="Times New Roman"/>
          <w:color w:val="000000" w:themeColor="text1"/>
          <w:szCs w:val="24"/>
        </w:rPr>
        <w:t> </w:t>
      </w:r>
      <w:proofErr w:type="gramStart"/>
      <w:r w:rsidRPr="006A7C6D">
        <w:rPr>
          <w:rFonts w:cs="Times New Roman"/>
          <w:i/>
          <w:iCs/>
          <w:color w:val="000000" w:themeColor="text1"/>
          <w:szCs w:val="24"/>
        </w:rPr>
        <w:t>Counterpoints</w:t>
      </w:r>
      <w:r w:rsidRPr="006A7C6D">
        <w:rPr>
          <w:rFonts w:cs="Times New Roman"/>
          <w:color w:val="000000" w:themeColor="text1"/>
          <w:szCs w:val="24"/>
        </w:rPr>
        <w:t>.</w:t>
      </w:r>
      <w:proofErr w:type="gramEnd"/>
      <w:r w:rsidRPr="006A7C6D">
        <w:rPr>
          <w:rFonts w:cs="Times New Roman"/>
          <w:color w:val="000000" w:themeColor="text1"/>
          <w:szCs w:val="24"/>
        </w:rPr>
        <w:t xml:space="preserve"> [</w:t>
      </w:r>
      <w:proofErr w:type="gramStart"/>
      <w:r w:rsidRPr="006A7C6D">
        <w:rPr>
          <w:rFonts w:cs="Times New Roman"/>
          <w:color w:val="000000" w:themeColor="text1"/>
          <w:szCs w:val="24"/>
        </w:rPr>
        <w:t>online</w:t>
      </w:r>
      <w:proofErr w:type="gramEnd"/>
      <w:r w:rsidRPr="006A7C6D">
        <w:rPr>
          <w:rFonts w:cs="Times New Roman"/>
          <w:color w:val="000000" w:themeColor="text1"/>
          <w:szCs w:val="24"/>
        </w:rPr>
        <w:t>] Available at: http://www.</w:t>
      </w:r>
      <w:r w:rsidRPr="00B6280E">
        <w:t>annualreports.com/HostedData/AnnualReportArchive/p/NYSE_PFE_2013.pdf [Accessed 29 Dec. 2017].</w:t>
      </w:r>
    </w:p>
    <w:p w:rsidR="00116C0C" w:rsidRPr="006A7C6D" w:rsidRDefault="00116C0C" w:rsidP="00116C0C">
      <w:pPr>
        <w:rPr>
          <w:rFonts w:cs="Times New Roman"/>
          <w:color w:val="000000" w:themeColor="text1"/>
          <w:szCs w:val="24"/>
          <w:shd w:val="clear" w:color="auto" w:fill="FFFFFF"/>
        </w:rPr>
      </w:pPr>
      <w:proofErr w:type="gramStart"/>
      <w:r w:rsidRPr="006A7C6D">
        <w:rPr>
          <w:rFonts w:cs="Times New Roman"/>
          <w:color w:val="000000" w:themeColor="text1"/>
          <w:szCs w:val="24"/>
          <w:shd w:val="clear" w:color="auto" w:fill="FFFFFF"/>
        </w:rPr>
        <w:t>NYSE_PFE (2014).</w:t>
      </w:r>
      <w:proofErr w:type="gramEnd"/>
      <w:r w:rsidRPr="006A7C6D">
        <w:rPr>
          <w:rFonts w:cs="Times New Roman"/>
          <w:color w:val="000000" w:themeColor="text1"/>
          <w:szCs w:val="24"/>
          <w:shd w:val="clear" w:color="auto" w:fill="FFFFFF"/>
        </w:rPr>
        <w:t> </w:t>
      </w:r>
      <w:proofErr w:type="gramStart"/>
      <w:r w:rsidRPr="006A7C6D">
        <w:rPr>
          <w:rFonts w:cs="Times New Roman"/>
          <w:i/>
          <w:iCs/>
          <w:color w:val="000000" w:themeColor="text1"/>
          <w:szCs w:val="24"/>
          <w:shd w:val="clear" w:color="auto" w:fill="FFFFFF"/>
        </w:rPr>
        <w:t>Counterpoints</w:t>
      </w:r>
      <w:r w:rsidRPr="006A7C6D">
        <w:rPr>
          <w:rFonts w:cs="Times New Roman"/>
          <w:color w:val="000000" w:themeColor="text1"/>
          <w:szCs w:val="24"/>
          <w:shd w:val="clear" w:color="auto" w:fill="FFFFFF"/>
        </w:rPr>
        <w:t>.</w:t>
      </w:r>
      <w:proofErr w:type="gramEnd"/>
      <w:r w:rsidRPr="006A7C6D">
        <w:rPr>
          <w:rFonts w:cs="Times New Roman"/>
          <w:color w:val="000000" w:themeColor="text1"/>
          <w:szCs w:val="24"/>
          <w:shd w:val="clear" w:color="auto" w:fill="FFFFFF"/>
        </w:rPr>
        <w:t xml:space="preserve"> [</w:t>
      </w:r>
      <w:proofErr w:type="gramStart"/>
      <w:r w:rsidRPr="006A7C6D">
        <w:rPr>
          <w:rFonts w:cs="Times New Roman"/>
          <w:color w:val="000000" w:themeColor="text1"/>
          <w:szCs w:val="24"/>
          <w:shd w:val="clear" w:color="auto" w:fill="FFFFFF"/>
        </w:rPr>
        <w:t>online</w:t>
      </w:r>
      <w:proofErr w:type="gramEnd"/>
      <w:r w:rsidRPr="006A7C6D">
        <w:rPr>
          <w:rFonts w:cs="Times New Roman"/>
          <w:color w:val="000000" w:themeColor="text1"/>
          <w:szCs w:val="24"/>
          <w:shd w:val="clear" w:color="auto" w:fill="FFFFFF"/>
        </w:rPr>
        <w:t>] Available at: http://www.annualreports.com/HostedData/AnnualReportArchive/p/NYSE_PFE_2014.pdf [Accessed 29 Dec. 2017].</w:t>
      </w:r>
    </w:p>
    <w:p w:rsidR="00116C0C" w:rsidRPr="006A7C6D" w:rsidRDefault="00116C0C" w:rsidP="00116C0C">
      <w:pPr>
        <w:rPr>
          <w:rFonts w:cs="Times New Roman"/>
          <w:color w:val="000000" w:themeColor="text1"/>
          <w:szCs w:val="24"/>
          <w:shd w:val="clear" w:color="auto" w:fill="FFFFFF"/>
        </w:rPr>
      </w:pPr>
      <w:r w:rsidRPr="006A7C6D">
        <w:rPr>
          <w:rFonts w:cs="Times New Roman"/>
          <w:color w:val="000000" w:themeColor="text1"/>
          <w:szCs w:val="24"/>
          <w:shd w:val="clear" w:color="auto" w:fill="FFFFFF"/>
        </w:rPr>
        <w:t>Pfizer Inc (2016). </w:t>
      </w:r>
      <w:proofErr w:type="gramStart"/>
      <w:r w:rsidRPr="006A7C6D">
        <w:rPr>
          <w:rFonts w:cs="Times New Roman"/>
          <w:i/>
          <w:iCs/>
          <w:color w:val="000000" w:themeColor="text1"/>
          <w:szCs w:val="24"/>
          <w:shd w:val="clear" w:color="auto" w:fill="FFFFFF"/>
        </w:rPr>
        <w:t>Engineering Money</w:t>
      </w:r>
      <w:r w:rsidRPr="006A7C6D">
        <w:rPr>
          <w:rFonts w:cs="Times New Roman"/>
          <w:color w:val="000000" w:themeColor="text1"/>
          <w:szCs w:val="24"/>
          <w:shd w:val="clear" w:color="auto" w:fill="FFFFFF"/>
        </w:rPr>
        <w:t>.</w:t>
      </w:r>
      <w:proofErr w:type="gramEnd"/>
      <w:r w:rsidRPr="006A7C6D">
        <w:rPr>
          <w:rFonts w:cs="Times New Roman"/>
          <w:color w:val="000000" w:themeColor="text1"/>
          <w:szCs w:val="24"/>
          <w:shd w:val="clear" w:color="auto" w:fill="FFFFFF"/>
        </w:rPr>
        <w:t xml:space="preserve"> [</w:t>
      </w:r>
      <w:proofErr w:type="gramStart"/>
      <w:r w:rsidRPr="006A7C6D">
        <w:rPr>
          <w:rFonts w:cs="Times New Roman"/>
          <w:color w:val="000000" w:themeColor="text1"/>
          <w:szCs w:val="24"/>
          <w:shd w:val="clear" w:color="auto" w:fill="FFFFFF"/>
        </w:rPr>
        <w:t>online</w:t>
      </w:r>
      <w:proofErr w:type="gramEnd"/>
      <w:r w:rsidRPr="006A7C6D">
        <w:rPr>
          <w:rFonts w:cs="Times New Roman"/>
          <w:color w:val="000000" w:themeColor="text1"/>
          <w:szCs w:val="24"/>
          <w:shd w:val="clear" w:color="auto" w:fill="FFFFFF"/>
        </w:rPr>
        <w:t>] Available at: https://s21.q4cdn.com/317678438/files/doc_financials/Annual/2016/2016-financial-report.pdf [Accessed 29 Dec. 2017].</w:t>
      </w:r>
    </w:p>
    <w:p w:rsidR="00116C0C" w:rsidRPr="006A7C6D" w:rsidRDefault="00116C0C" w:rsidP="00116C0C">
      <w:pPr>
        <w:rPr>
          <w:rFonts w:cs="Times New Roman"/>
          <w:szCs w:val="24"/>
        </w:rPr>
      </w:pPr>
      <w:r w:rsidRPr="006A7C6D">
        <w:rPr>
          <w:rFonts w:cs="Times New Roman"/>
          <w:szCs w:val="24"/>
        </w:rPr>
        <w:t xml:space="preserve">Pfizer: the world's largest research-based pharmaceutical company. </w:t>
      </w:r>
      <w:proofErr w:type="gramStart"/>
      <w:r w:rsidRPr="006A7C6D">
        <w:rPr>
          <w:rFonts w:cs="Times New Roman"/>
          <w:szCs w:val="24"/>
        </w:rPr>
        <w:t>(2017). </w:t>
      </w:r>
      <w:r w:rsidRPr="006A7C6D">
        <w:rPr>
          <w:rFonts w:cs="Times New Roman"/>
          <w:i/>
          <w:iCs/>
          <w:szCs w:val="24"/>
        </w:rPr>
        <w:t>Our Locations</w:t>
      </w:r>
      <w:r w:rsidRPr="006A7C6D">
        <w:rPr>
          <w:rFonts w:cs="Times New Roman"/>
          <w:szCs w:val="24"/>
        </w:rPr>
        <w:t>.</w:t>
      </w:r>
      <w:proofErr w:type="gramEnd"/>
      <w:r w:rsidRPr="006A7C6D">
        <w:rPr>
          <w:rFonts w:cs="Times New Roman"/>
          <w:szCs w:val="24"/>
        </w:rPr>
        <w:t xml:space="preserve"> [</w:t>
      </w:r>
      <w:proofErr w:type="gramStart"/>
      <w:r w:rsidRPr="006A7C6D">
        <w:rPr>
          <w:rFonts w:cs="Times New Roman"/>
          <w:szCs w:val="24"/>
        </w:rPr>
        <w:t>online</w:t>
      </w:r>
      <w:proofErr w:type="gramEnd"/>
      <w:r w:rsidRPr="006A7C6D">
        <w:rPr>
          <w:rFonts w:cs="Times New Roman"/>
          <w:szCs w:val="24"/>
        </w:rPr>
        <w:t>] Available at: http://www.pfizer.co.uk/our-locations [Accessed 29 Dec. 2017].</w:t>
      </w:r>
    </w:p>
    <w:p w:rsidR="00116C0C" w:rsidRPr="006A7C6D" w:rsidRDefault="00116C0C" w:rsidP="00116C0C">
      <w:pPr>
        <w:rPr>
          <w:rFonts w:cs="Times New Roman"/>
          <w:color w:val="000000" w:themeColor="text1"/>
          <w:szCs w:val="24"/>
          <w:shd w:val="clear" w:color="auto" w:fill="FFFFFF"/>
        </w:rPr>
      </w:pPr>
      <w:proofErr w:type="gramStart"/>
      <w:r w:rsidRPr="006A7C6D">
        <w:rPr>
          <w:rFonts w:cs="Times New Roman"/>
          <w:color w:val="000000" w:themeColor="text1"/>
          <w:szCs w:val="24"/>
          <w:shd w:val="clear" w:color="auto" w:fill="FFFFFF"/>
        </w:rPr>
        <w:t>Pfizer_Financial_Report.pdf (2014).</w:t>
      </w:r>
      <w:proofErr w:type="gramEnd"/>
      <w:r w:rsidRPr="006A7C6D">
        <w:rPr>
          <w:rFonts w:cs="Times New Roman"/>
          <w:color w:val="000000" w:themeColor="text1"/>
          <w:szCs w:val="24"/>
          <w:shd w:val="clear" w:color="auto" w:fill="FFFFFF"/>
        </w:rPr>
        <w:t> </w:t>
      </w:r>
      <w:r w:rsidRPr="006A7C6D">
        <w:rPr>
          <w:rFonts w:cs="Times New Roman"/>
          <w:i/>
          <w:iCs/>
          <w:color w:val="000000" w:themeColor="text1"/>
          <w:szCs w:val="24"/>
          <w:shd w:val="clear" w:color="auto" w:fill="FFFFFF"/>
        </w:rPr>
        <w:t>Appendix A</w:t>
      </w:r>
      <w:r w:rsidRPr="006A7C6D">
        <w:rPr>
          <w:rFonts w:cs="Times New Roman"/>
          <w:color w:val="000000" w:themeColor="text1"/>
          <w:szCs w:val="24"/>
          <w:shd w:val="clear" w:color="auto" w:fill="FFFFFF"/>
        </w:rPr>
        <w:t>. [online] Available at: https://s21.q4cdn.com/317678438/files/doc_financials/Annual/2014/2014_Pfizer_Financial_Report.pdf [Accessed 29 Dec. 2017].</w:t>
      </w:r>
    </w:p>
    <w:p w:rsidR="00116C0C" w:rsidRPr="006A7C6D" w:rsidRDefault="00116C0C" w:rsidP="00116C0C">
      <w:pPr>
        <w:rPr>
          <w:rFonts w:cs="Times New Roman"/>
          <w:color w:val="000000" w:themeColor="text1"/>
          <w:szCs w:val="24"/>
          <w:shd w:val="clear" w:color="auto" w:fill="FFFFFF"/>
        </w:rPr>
      </w:pPr>
      <w:proofErr w:type="gramStart"/>
      <w:r w:rsidRPr="006A7C6D">
        <w:rPr>
          <w:rFonts w:cs="Times New Roman"/>
          <w:color w:val="000000" w:themeColor="text1"/>
          <w:szCs w:val="24"/>
          <w:shd w:val="clear" w:color="auto" w:fill="FFFFFF"/>
        </w:rPr>
        <w:t>Pharmainfo.net. (2014).</w:t>
      </w:r>
      <w:proofErr w:type="gramEnd"/>
      <w:r w:rsidRPr="006A7C6D">
        <w:rPr>
          <w:rFonts w:cs="Times New Roman"/>
          <w:color w:val="000000" w:themeColor="text1"/>
          <w:szCs w:val="24"/>
          <w:shd w:val="clear" w:color="auto" w:fill="FFFFFF"/>
        </w:rPr>
        <w:t> </w:t>
      </w:r>
      <w:r w:rsidRPr="006A7C6D">
        <w:rPr>
          <w:rFonts w:cs="Times New Roman"/>
          <w:i/>
          <w:iCs/>
          <w:color w:val="000000" w:themeColor="text1"/>
          <w:szCs w:val="24"/>
          <w:shd w:val="clear" w:color="auto" w:fill="FFFFFF"/>
        </w:rPr>
        <w:t xml:space="preserve">Top 10 Pharmaceutical Companies in UK 2014 Pharmaceutical Information by </w:t>
      </w:r>
      <w:proofErr w:type="spellStart"/>
      <w:r w:rsidRPr="006A7C6D">
        <w:rPr>
          <w:rFonts w:cs="Times New Roman"/>
          <w:i/>
          <w:iCs/>
          <w:color w:val="000000" w:themeColor="text1"/>
          <w:szCs w:val="24"/>
          <w:shd w:val="clear" w:color="auto" w:fill="FFFFFF"/>
        </w:rPr>
        <w:t>Meghana</w:t>
      </w:r>
      <w:proofErr w:type="spellEnd"/>
      <w:r w:rsidRPr="006A7C6D">
        <w:rPr>
          <w:rFonts w:cs="Times New Roman"/>
          <w:color w:val="000000" w:themeColor="text1"/>
          <w:szCs w:val="24"/>
          <w:shd w:val="clear" w:color="auto" w:fill="FFFFFF"/>
        </w:rPr>
        <w:t>. [</w:t>
      </w:r>
      <w:proofErr w:type="gramStart"/>
      <w:r w:rsidRPr="006A7C6D">
        <w:rPr>
          <w:rFonts w:cs="Times New Roman"/>
          <w:color w:val="000000" w:themeColor="text1"/>
          <w:szCs w:val="24"/>
          <w:shd w:val="clear" w:color="auto" w:fill="FFFFFF"/>
        </w:rPr>
        <w:t>online</w:t>
      </w:r>
      <w:proofErr w:type="gramEnd"/>
      <w:r w:rsidRPr="006A7C6D">
        <w:rPr>
          <w:rFonts w:cs="Times New Roman"/>
          <w:color w:val="000000" w:themeColor="text1"/>
          <w:szCs w:val="24"/>
          <w:shd w:val="clear" w:color="auto" w:fill="FFFFFF"/>
        </w:rPr>
        <w:t>] Available at: http://www.pharmainfo.net/meghana/blog/top-10-pharmaceutical-companies-uk-2014 [Accessed 29 Dec. 2017].</w:t>
      </w:r>
    </w:p>
    <w:p w:rsidR="00116C0C" w:rsidRPr="006A7C6D" w:rsidRDefault="00116C0C" w:rsidP="00116C0C">
      <w:pPr>
        <w:rPr>
          <w:rFonts w:cs="Times New Roman"/>
          <w:szCs w:val="24"/>
        </w:rPr>
      </w:pPr>
      <w:proofErr w:type="spellStart"/>
      <w:r w:rsidRPr="006A7C6D">
        <w:rPr>
          <w:rFonts w:cs="Times New Roman"/>
          <w:szCs w:val="24"/>
        </w:rPr>
        <w:t>Saleem</w:t>
      </w:r>
      <w:proofErr w:type="spellEnd"/>
      <w:r w:rsidRPr="006A7C6D">
        <w:rPr>
          <w:rFonts w:cs="Times New Roman"/>
          <w:szCs w:val="24"/>
        </w:rPr>
        <w:t xml:space="preserve">, Q. and </w:t>
      </w:r>
      <w:proofErr w:type="spellStart"/>
      <w:r w:rsidRPr="006A7C6D">
        <w:rPr>
          <w:rFonts w:cs="Times New Roman"/>
          <w:szCs w:val="24"/>
        </w:rPr>
        <w:t>Rehman</w:t>
      </w:r>
      <w:proofErr w:type="spellEnd"/>
      <w:r w:rsidRPr="006A7C6D">
        <w:rPr>
          <w:rFonts w:cs="Times New Roman"/>
          <w:szCs w:val="24"/>
        </w:rPr>
        <w:t xml:space="preserve">, R.U., 2011. </w:t>
      </w:r>
      <w:proofErr w:type="gramStart"/>
      <w:r w:rsidRPr="006A7C6D">
        <w:rPr>
          <w:rFonts w:cs="Times New Roman"/>
          <w:szCs w:val="24"/>
        </w:rPr>
        <w:t>Impacts of liquidity ratios on profitability.</w:t>
      </w:r>
      <w:proofErr w:type="gramEnd"/>
      <w:r w:rsidRPr="006A7C6D">
        <w:rPr>
          <w:rFonts w:cs="Times New Roman"/>
          <w:szCs w:val="24"/>
        </w:rPr>
        <w:t> </w:t>
      </w:r>
      <w:proofErr w:type="gramStart"/>
      <w:r w:rsidRPr="006A7C6D">
        <w:rPr>
          <w:rFonts w:cs="Times New Roman"/>
          <w:i/>
          <w:iCs/>
          <w:szCs w:val="24"/>
        </w:rPr>
        <w:t>Interdisciplinary Journal of Research in Business</w:t>
      </w:r>
      <w:r w:rsidRPr="006A7C6D">
        <w:rPr>
          <w:rFonts w:cs="Times New Roman"/>
          <w:szCs w:val="24"/>
        </w:rPr>
        <w:t>, </w:t>
      </w:r>
      <w:r w:rsidRPr="006A7C6D">
        <w:rPr>
          <w:rFonts w:cs="Times New Roman"/>
          <w:i/>
          <w:iCs/>
          <w:szCs w:val="24"/>
        </w:rPr>
        <w:t>1</w:t>
      </w:r>
      <w:r w:rsidRPr="006A7C6D">
        <w:rPr>
          <w:rFonts w:cs="Times New Roman"/>
          <w:szCs w:val="24"/>
        </w:rPr>
        <w:t>(7), pp.95-98.</w:t>
      </w:r>
      <w:proofErr w:type="gramEnd"/>
    </w:p>
    <w:p w:rsidR="00116C0C" w:rsidRPr="006A7C6D" w:rsidRDefault="00116C0C" w:rsidP="00116C0C">
      <w:pPr>
        <w:rPr>
          <w:rFonts w:cs="Times New Roman"/>
          <w:szCs w:val="24"/>
        </w:rPr>
      </w:pPr>
      <w:proofErr w:type="spellStart"/>
      <w:r w:rsidRPr="006A7C6D">
        <w:rPr>
          <w:rFonts w:cs="Times New Roman"/>
          <w:szCs w:val="24"/>
        </w:rPr>
        <w:t>Saleem</w:t>
      </w:r>
      <w:proofErr w:type="spellEnd"/>
      <w:r w:rsidRPr="006A7C6D">
        <w:rPr>
          <w:rFonts w:cs="Times New Roman"/>
          <w:szCs w:val="24"/>
        </w:rPr>
        <w:t xml:space="preserve">, Q. and </w:t>
      </w:r>
      <w:proofErr w:type="spellStart"/>
      <w:r w:rsidRPr="006A7C6D">
        <w:rPr>
          <w:rFonts w:cs="Times New Roman"/>
          <w:szCs w:val="24"/>
        </w:rPr>
        <w:t>Rehman</w:t>
      </w:r>
      <w:proofErr w:type="spellEnd"/>
      <w:r w:rsidRPr="006A7C6D">
        <w:rPr>
          <w:rFonts w:cs="Times New Roman"/>
          <w:szCs w:val="24"/>
        </w:rPr>
        <w:t xml:space="preserve">, R.U., 2011. </w:t>
      </w:r>
      <w:proofErr w:type="gramStart"/>
      <w:r w:rsidRPr="006A7C6D">
        <w:rPr>
          <w:rFonts w:cs="Times New Roman"/>
          <w:szCs w:val="24"/>
        </w:rPr>
        <w:t>Impacts of liquidity ratios on profitability.</w:t>
      </w:r>
      <w:proofErr w:type="gramEnd"/>
      <w:r w:rsidRPr="006A7C6D">
        <w:rPr>
          <w:rFonts w:cs="Times New Roman"/>
          <w:szCs w:val="24"/>
        </w:rPr>
        <w:t> </w:t>
      </w:r>
      <w:proofErr w:type="gramStart"/>
      <w:r w:rsidRPr="006A7C6D">
        <w:rPr>
          <w:rFonts w:cs="Times New Roman"/>
          <w:i/>
          <w:iCs/>
          <w:szCs w:val="24"/>
        </w:rPr>
        <w:t>Interdisciplinary Journal of Research in Business</w:t>
      </w:r>
      <w:r w:rsidRPr="006A7C6D">
        <w:rPr>
          <w:rFonts w:cs="Times New Roman"/>
          <w:szCs w:val="24"/>
        </w:rPr>
        <w:t>, </w:t>
      </w:r>
      <w:r w:rsidRPr="006A7C6D">
        <w:rPr>
          <w:rFonts w:cs="Times New Roman"/>
          <w:i/>
          <w:iCs/>
          <w:szCs w:val="24"/>
        </w:rPr>
        <w:t>1</w:t>
      </w:r>
      <w:r w:rsidRPr="006A7C6D">
        <w:rPr>
          <w:rFonts w:cs="Times New Roman"/>
          <w:szCs w:val="24"/>
        </w:rPr>
        <w:t>(7), pp.95-98.</w:t>
      </w:r>
      <w:proofErr w:type="gramEnd"/>
    </w:p>
    <w:p w:rsidR="00116C0C" w:rsidRPr="006A7C6D" w:rsidRDefault="00116C0C" w:rsidP="00116C0C">
      <w:pPr>
        <w:rPr>
          <w:rFonts w:cs="Times New Roman"/>
          <w:color w:val="000000" w:themeColor="text1"/>
          <w:szCs w:val="24"/>
          <w:shd w:val="clear" w:color="auto" w:fill="FFFFFF"/>
        </w:rPr>
      </w:pPr>
      <w:proofErr w:type="spellStart"/>
      <w:proofErr w:type="gramStart"/>
      <w:r w:rsidRPr="006A7C6D">
        <w:rPr>
          <w:rFonts w:cs="Times New Roman"/>
          <w:color w:val="000000" w:themeColor="text1"/>
          <w:szCs w:val="24"/>
          <w:shd w:val="clear" w:color="auto" w:fill="FFFFFF"/>
        </w:rPr>
        <w:t>Silvestrini</w:t>
      </w:r>
      <w:proofErr w:type="spellEnd"/>
      <w:r w:rsidRPr="006A7C6D">
        <w:rPr>
          <w:rFonts w:cs="Times New Roman"/>
          <w:color w:val="000000" w:themeColor="text1"/>
          <w:szCs w:val="24"/>
          <w:shd w:val="clear" w:color="auto" w:fill="FFFFFF"/>
        </w:rPr>
        <w:t>, E. and Connolly, K. (2017).</w:t>
      </w:r>
      <w:proofErr w:type="gramEnd"/>
      <w:r w:rsidRPr="006A7C6D">
        <w:rPr>
          <w:rFonts w:cs="Times New Roman"/>
          <w:color w:val="000000" w:themeColor="text1"/>
          <w:szCs w:val="24"/>
          <w:shd w:val="clear" w:color="auto" w:fill="FFFFFF"/>
        </w:rPr>
        <w:t> </w:t>
      </w:r>
      <w:r w:rsidRPr="006A7C6D">
        <w:rPr>
          <w:rFonts w:cs="Times New Roman"/>
          <w:i/>
          <w:iCs/>
          <w:color w:val="000000" w:themeColor="text1"/>
          <w:szCs w:val="24"/>
          <w:shd w:val="clear" w:color="auto" w:fill="FFFFFF"/>
        </w:rPr>
        <w:t>GlaxoSmithKline (GSK)</w:t>
      </w:r>
      <w:r w:rsidRPr="006A7C6D">
        <w:rPr>
          <w:rFonts w:cs="Times New Roman"/>
          <w:color w:val="000000" w:themeColor="text1"/>
          <w:szCs w:val="24"/>
          <w:shd w:val="clear" w:color="auto" w:fill="FFFFFF"/>
        </w:rPr>
        <w:t>. [</w:t>
      </w:r>
      <w:proofErr w:type="gramStart"/>
      <w:r w:rsidRPr="006A7C6D">
        <w:rPr>
          <w:rFonts w:cs="Times New Roman"/>
          <w:color w:val="000000" w:themeColor="text1"/>
          <w:szCs w:val="24"/>
          <w:shd w:val="clear" w:color="auto" w:fill="FFFFFF"/>
        </w:rPr>
        <w:t>online</w:t>
      </w:r>
      <w:proofErr w:type="gramEnd"/>
      <w:r w:rsidRPr="006A7C6D">
        <w:rPr>
          <w:rFonts w:cs="Times New Roman"/>
          <w:color w:val="000000" w:themeColor="text1"/>
          <w:szCs w:val="24"/>
          <w:shd w:val="clear" w:color="auto" w:fill="FFFFFF"/>
        </w:rPr>
        <w:t xml:space="preserve">] </w:t>
      </w:r>
      <w:proofErr w:type="spellStart"/>
      <w:proofErr w:type="gramStart"/>
      <w:r w:rsidRPr="006A7C6D">
        <w:rPr>
          <w:rFonts w:cs="Times New Roman"/>
          <w:color w:val="000000" w:themeColor="text1"/>
          <w:szCs w:val="24"/>
          <w:shd w:val="clear" w:color="auto" w:fill="FFFFFF"/>
        </w:rPr>
        <w:t>DrugWatch</w:t>
      </w:r>
      <w:proofErr w:type="spellEnd"/>
      <w:r w:rsidRPr="006A7C6D">
        <w:rPr>
          <w:rFonts w:cs="Times New Roman"/>
          <w:color w:val="000000" w:themeColor="text1"/>
          <w:szCs w:val="24"/>
          <w:shd w:val="clear" w:color="auto" w:fill="FFFFFF"/>
        </w:rPr>
        <w:t>.</w:t>
      </w:r>
      <w:proofErr w:type="gramEnd"/>
      <w:r w:rsidRPr="006A7C6D">
        <w:rPr>
          <w:rFonts w:cs="Times New Roman"/>
          <w:color w:val="000000" w:themeColor="text1"/>
          <w:szCs w:val="24"/>
          <w:shd w:val="clear" w:color="auto" w:fill="FFFFFF"/>
        </w:rPr>
        <w:t xml:space="preserve"> Available at: https://www.drugwatch.com/manufacturer/glaxosmithkline/#history [Accessed 29 Dec. 2017].</w:t>
      </w:r>
    </w:p>
    <w:p w:rsidR="00116C0C" w:rsidRPr="006A7C6D" w:rsidRDefault="00116C0C" w:rsidP="00116C0C">
      <w:pPr>
        <w:rPr>
          <w:rFonts w:cs="Times New Roman"/>
          <w:szCs w:val="24"/>
        </w:rPr>
      </w:pPr>
      <w:proofErr w:type="gramStart"/>
      <w:r w:rsidRPr="006A7C6D">
        <w:rPr>
          <w:rFonts w:cs="Times New Roman"/>
          <w:szCs w:val="24"/>
        </w:rPr>
        <w:t xml:space="preserve">Stahl, F., </w:t>
      </w:r>
      <w:proofErr w:type="spellStart"/>
      <w:r w:rsidRPr="006A7C6D">
        <w:rPr>
          <w:rFonts w:cs="Times New Roman"/>
          <w:szCs w:val="24"/>
        </w:rPr>
        <w:t>Heitmann</w:t>
      </w:r>
      <w:proofErr w:type="spellEnd"/>
      <w:r w:rsidRPr="006A7C6D">
        <w:rPr>
          <w:rFonts w:cs="Times New Roman"/>
          <w:szCs w:val="24"/>
        </w:rPr>
        <w:t xml:space="preserve">, M., Lehmann, D.R. and </w:t>
      </w:r>
      <w:proofErr w:type="spellStart"/>
      <w:r w:rsidRPr="006A7C6D">
        <w:rPr>
          <w:rFonts w:cs="Times New Roman"/>
          <w:szCs w:val="24"/>
        </w:rPr>
        <w:t>Neslin</w:t>
      </w:r>
      <w:proofErr w:type="spellEnd"/>
      <w:r w:rsidRPr="006A7C6D">
        <w:rPr>
          <w:rFonts w:cs="Times New Roman"/>
          <w:szCs w:val="24"/>
        </w:rPr>
        <w:t>, S.A., 2012.</w:t>
      </w:r>
      <w:proofErr w:type="gramEnd"/>
      <w:r w:rsidRPr="006A7C6D">
        <w:rPr>
          <w:rFonts w:cs="Times New Roman"/>
          <w:szCs w:val="24"/>
        </w:rPr>
        <w:t xml:space="preserve"> </w:t>
      </w:r>
      <w:proofErr w:type="gramStart"/>
      <w:r w:rsidRPr="006A7C6D">
        <w:rPr>
          <w:rFonts w:cs="Times New Roman"/>
          <w:szCs w:val="24"/>
        </w:rPr>
        <w:t>The impact of brand equity on customer acquisition, retention, and profit margin.</w:t>
      </w:r>
      <w:proofErr w:type="gramEnd"/>
      <w:r w:rsidRPr="006A7C6D">
        <w:rPr>
          <w:rFonts w:cs="Times New Roman"/>
          <w:szCs w:val="24"/>
        </w:rPr>
        <w:t> </w:t>
      </w:r>
      <w:proofErr w:type="gramStart"/>
      <w:r w:rsidRPr="006A7C6D">
        <w:rPr>
          <w:rFonts w:cs="Times New Roman"/>
          <w:i/>
          <w:iCs/>
          <w:szCs w:val="24"/>
        </w:rPr>
        <w:t>Journal of Marketing</w:t>
      </w:r>
      <w:r w:rsidRPr="006A7C6D">
        <w:rPr>
          <w:rFonts w:cs="Times New Roman"/>
          <w:szCs w:val="24"/>
        </w:rPr>
        <w:t>, </w:t>
      </w:r>
      <w:r w:rsidRPr="006A7C6D">
        <w:rPr>
          <w:rFonts w:cs="Times New Roman"/>
          <w:i/>
          <w:iCs/>
          <w:szCs w:val="24"/>
        </w:rPr>
        <w:t>76</w:t>
      </w:r>
      <w:r w:rsidRPr="006A7C6D">
        <w:rPr>
          <w:rFonts w:cs="Times New Roman"/>
          <w:szCs w:val="24"/>
        </w:rPr>
        <w:t>(4), pp.44-63.</w:t>
      </w:r>
      <w:proofErr w:type="gramEnd"/>
    </w:p>
    <w:p w:rsidR="00116C0C" w:rsidRPr="006A7C6D" w:rsidRDefault="00116C0C" w:rsidP="00116C0C">
      <w:pPr>
        <w:rPr>
          <w:rFonts w:cs="Times New Roman"/>
          <w:szCs w:val="24"/>
        </w:rPr>
      </w:pPr>
      <w:proofErr w:type="gramStart"/>
      <w:r w:rsidRPr="006A7C6D">
        <w:rPr>
          <w:rFonts w:cs="Times New Roman"/>
          <w:szCs w:val="24"/>
        </w:rPr>
        <w:lastRenderedPageBreak/>
        <w:t xml:space="preserve">Watts, R.L., Lyons, K.E., </w:t>
      </w:r>
      <w:proofErr w:type="spellStart"/>
      <w:r w:rsidRPr="006A7C6D">
        <w:rPr>
          <w:rFonts w:cs="Times New Roman"/>
          <w:szCs w:val="24"/>
        </w:rPr>
        <w:t>Pahwa</w:t>
      </w:r>
      <w:proofErr w:type="spellEnd"/>
      <w:r w:rsidRPr="006A7C6D">
        <w:rPr>
          <w:rFonts w:cs="Times New Roman"/>
          <w:szCs w:val="24"/>
        </w:rPr>
        <w:t xml:space="preserve">, R., </w:t>
      </w:r>
      <w:proofErr w:type="spellStart"/>
      <w:r w:rsidRPr="006A7C6D">
        <w:rPr>
          <w:rFonts w:cs="Times New Roman"/>
          <w:szCs w:val="24"/>
        </w:rPr>
        <w:t>Sethi</w:t>
      </w:r>
      <w:proofErr w:type="spellEnd"/>
      <w:r w:rsidRPr="006A7C6D">
        <w:rPr>
          <w:rFonts w:cs="Times New Roman"/>
          <w:szCs w:val="24"/>
        </w:rPr>
        <w:t xml:space="preserve">, K., Stern, M., Hauser, R.A., </w:t>
      </w:r>
      <w:proofErr w:type="spellStart"/>
      <w:r w:rsidRPr="006A7C6D">
        <w:rPr>
          <w:rFonts w:cs="Times New Roman"/>
          <w:szCs w:val="24"/>
        </w:rPr>
        <w:t>Olanow</w:t>
      </w:r>
      <w:proofErr w:type="spellEnd"/>
      <w:r w:rsidRPr="006A7C6D">
        <w:rPr>
          <w:rFonts w:cs="Times New Roman"/>
          <w:szCs w:val="24"/>
        </w:rPr>
        <w:t>, W., Gray, A.M., Adams, B. and Earl, N.L., 2010.</w:t>
      </w:r>
      <w:proofErr w:type="gramEnd"/>
      <w:r w:rsidRPr="006A7C6D">
        <w:rPr>
          <w:rFonts w:cs="Times New Roman"/>
          <w:szCs w:val="24"/>
        </w:rPr>
        <w:t xml:space="preserve"> </w:t>
      </w:r>
      <w:proofErr w:type="gramStart"/>
      <w:r w:rsidRPr="006A7C6D">
        <w:rPr>
          <w:rFonts w:cs="Times New Roman"/>
          <w:szCs w:val="24"/>
        </w:rPr>
        <w:t xml:space="preserve">Onset of </w:t>
      </w:r>
      <w:proofErr w:type="spellStart"/>
      <w:r w:rsidRPr="006A7C6D">
        <w:rPr>
          <w:rFonts w:cs="Times New Roman"/>
          <w:szCs w:val="24"/>
        </w:rPr>
        <w:t>dyskinesia</w:t>
      </w:r>
      <w:proofErr w:type="spellEnd"/>
      <w:r w:rsidRPr="006A7C6D">
        <w:rPr>
          <w:rFonts w:cs="Times New Roman"/>
          <w:szCs w:val="24"/>
        </w:rPr>
        <w:t xml:space="preserve"> with adjunct </w:t>
      </w:r>
      <w:proofErr w:type="spellStart"/>
      <w:r w:rsidRPr="006A7C6D">
        <w:rPr>
          <w:rFonts w:cs="Times New Roman"/>
          <w:szCs w:val="24"/>
        </w:rPr>
        <w:t>ropinirole</w:t>
      </w:r>
      <w:proofErr w:type="spellEnd"/>
      <w:r w:rsidRPr="006A7C6D">
        <w:rPr>
          <w:rFonts w:cs="Times New Roman"/>
          <w:szCs w:val="24"/>
        </w:rPr>
        <w:t xml:space="preserve"> prolonged</w:t>
      </w:r>
      <w:r w:rsidRPr="006A7C6D">
        <w:rPr>
          <w:rFonts w:ascii="Cambria Math" w:hAnsi="Cambria Math" w:cs="Cambria Math"/>
          <w:szCs w:val="24"/>
        </w:rPr>
        <w:t>‐</w:t>
      </w:r>
      <w:r w:rsidRPr="006A7C6D">
        <w:rPr>
          <w:rFonts w:cs="Times New Roman"/>
          <w:szCs w:val="24"/>
        </w:rPr>
        <w:t xml:space="preserve">release or additional </w:t>
      </w:r>
      <w:proofErr w:type="spellStart"/>
      <w:r w:rsidRPr="006A7C6D">
        <w:rPr>
          <w:rFonts w:cs="Times New Roman"/>
          <w:szCs w:val="24"/>
        </w:rPr>
        <w:t>levodopa</w:t>
      </w:r>
      <w:proofErr w:type="spellEnd"/>
      <w:r w:rsidRPr="006A7C6D">
        <w:rPr>
          <w:rFonts w:cs="Times New Roman"/>
          <w:szCs w:val="24"/>
        </w:rPr>
        <w:t xml:space="preserve"> in early Parkinson's disease.</w:t>
      </w:r>
      <w:proofErr w:type="gramEnd"/>
      <w:r w:rsidRPr="006A7C6D">
        <w:rPr>
          <w:rFonts w:cs="Times New Roman"/>
          <w:szCs w:val="24"/>
        </w:rPr>
        <w:t> </w:t>
      </w:r>
      <w:proofErr w:type="gramStart"/>
      <w:r w:rsidRPr="006A7C6D">
        <w:rPr>
          <w:rFonts w:cs="Times New Roman"/>
          <w:i/>
          <w:iCs/>
          <w:szCs w:val="24"/>
        </w:rPr>
        <w:t>Movement Disorders</w:t>
      </w:r>
      <w:r w:rsidRPr="006A7C6D">
        <w:rPr>
          <w:rFonts w:cs="Times New Roman"/>
          <w:szCs w:val="24"/>
        </w:rPr>
        <w:t>, </w:t>
      </w:r>
      <w:r w:rsidRPr="006A7C6D">
        <w:rPr>
          <w:rFonts w:cs="Times New Roman"/>
          <w:i/>
          <w:iCs/>
          <w:szCs w:val="24"/>
        </w:rPr>
        <w:t>25</w:t>
      </w:r>
      <w:r w:rsidRPr="006A7C6D">
        <w:rPr>
          <w:rFonts w:cs="Times New Roman"/>
          <w:szCs w:val="24"/>
        </w:rPr>
        <w:t>(7), pp.858-866.</w:t>
      </w:r>
      <w:proofErr w:type="gramEnd"/>
    </w:p>
    <w:p w:rsidR="00116C0C" w:rsidRPr="006A7C6D" w:rsidRDefault="00116C0C" w:rsidP="00116C0C">
      <w:pPr>
        <w:rPr>
          <w:rFonts w:cs="Times New Roman"/>
          <w:szCs w:val="24"/>
        </w:rPr>
      </w:pPr>
      <w:proofErr w:type="spellStart"/>
      <w:proofErr w:type="gramStart"/>
      <w:r w:rsidRPr="006A7C6D">
        <w:rPr>
          <w:rFonts w:cs="Times New Roman"/>
          <w:szCs w:val="24"/>
        </w:rPr>
        <w:t>Yunus</w:t>
      </w:r>
      <w:proofErr w:type="spellEnd"/>
      <w:r w:rsidRPr="006A7C6D">
        <w:rPr>
          <w:rFonts w:cs="Times New Roman"/>
          <w:szCs w:val="24"/>
        </w:rPr>
        <w:t xml:space="preserve">, M., </w:t>
      </w:r>
      <w:proofErr w:type="spellStart"/>
      <w:r w:rsidRPr="006A7C6D">
        <w:rPr>
          <w:rFonts w:cs="Times New Roman"/>
          <w:szCs w:val="24"/>
        </w:rPr>
        <w:t>Moingeon</w:t>
      </w:r>
      <w:proofErr w:type="spellEnd"/>
      <w:r w:rsidRPr="006A7C6D">
        <w:rPr>
          <w:rFonts w:cs="Times New Roman"/>
          <w:szCs w:val="24"/>
        </w:rPr>
        <w:t>, B. and Lehmann-Ortega, L., 2010.</w:t>
      </w:r>
      <w:proofErr w:type="gramEnd"/>
      <w:r w:rsidRPr="006A7C6D">
        <w:rPr>
          <w:rFonts w:cs="Times New Roman"/>
          <w:szCs w:val="24"/>
        </w:rPr>
        <w:t xml:space="preserve"> </w:t>
      </w:r>
      <w:proofErr w:type="gramStart"/>
      <w:r w:rsidRPr="006A7C6D">
        <w:rPr>
          <w:rFonts w:cs="Times New Roman"/>
          <w:szCs w:val="24"/>
        </w:rPr>
        <w:t xml:space="preserve">Building social business models: Lessons from the </w:t>
      </w:r>
      <w:proofErr w:type="spellStart"/>
      <w:r w:rsidRPr="006A7C6D">
        <w:rPr>
          <w:rFonts w:cs="Times New Roman"/>
          <w:szCs w:val="24"/>
        </w:rPr>
        <w:t>Grameen</w:t>
      </w:r>
      <w:proofErr w:type="spellEnd"/>
      <w:r w:rsidRPr="006A7C6D">
        <w:rPr>
          <w:rFonts w:cs="Times New Roman"/>
          <w:szCs w:val="24"/>
        </w:rPr>
        <w:t xml:space="preserve"> experience.</w:t>
      </w:r>
      <w:proofErr w:type="gramEnd"/>
      <w:r w:rsidRPr="006A7C6D">
        <w:rPr>
          <w:rFonts w:cs="Times New Roman"/>
          <w:szCs w:val="24"/>
        </w:rPr>
        <w:t> </w:t>
      </w:r>
      <w:r w:rsidRPr="006A7C6D">
        <w:rPr>
          <w:rFonts w:cs="Times New Roman"/>
          <w:i/>
          <w:iCs/>
          <w:szCs w:val="24"/>
        </w:rPr>
        <w:t>Long range planning</w:t>
      </w:r>
      <w:r w:rsidRPr="006A7C6D">
        <w:rPr>
          <w:rFonts w:cs="Times New Roman"/>
          <w:szCs w:val="24"/>
        </w:rPr>
        <w:t>, </w:t>
      </w:r>
      <w:r w:rsidRPr="006A7C6D">
        <w:rPr>
          <w:rFonts w:cs="Times New Roman"/>
          <w:i/>
          <w:iCs/>
          <w:szCs w:val="24"/>
        </w:rPr>
        <w:t>43</w:t>
      </w:r>
      <w:r w:rsidRPr="006A7C6D">
        <w:rPr>
          <w:rFonts w:cs="Times New Roman"/>
          <w:szCs w:val="24"/>
        </w:rPr>
        <w:t>(2), pp.308-325.</w:t>
      </w:r>
    </w:p>
    <w:p w:rsidR="006A3900" w:rsidRDefault="006A3900">
      <w:pPr>
        <w:spacing w:line="276" w:lineRule="auto"/>
        <w:jc w:val="left"/>
        <w:rPr>
          <w:rFonts w:asciiTheme="majorHAnsi" w:eastAsiaTheme="majorEastAsia" w:hAnsiTheme="majorHAnsi" w:cstheme="majorBidi"/>
          <w:b/>
          <w:bCs/>
          <w:color w:val="365F91" w:themeColor="accent1" w:themeShade="BF"/>
          <w:sz w:val="28"/>
          <w:szCs w:val="28"/>
        </w:rPr>
      </w:pPr>
      <w:r>
        <w:br w:type="page"/>
      </w:r>
    </w:p>
    <w:p w:rsidR="00116C0C" w:rsidRDefault="00116C0C" w:rsidP="00116C0C">
      <w:pPr>
        <w:pStyle w:val="Heading1"/>
      </w:pPr>
      <w:bookmarkStart w:id="21" w:name="_Toc502329675"/>
      <w:r>
        <w:lastRenderedPageBreak/>
        <w:t>Appendix:</w:t>
      </w:r>
      <w:bookmarkEnd w:id="21"/>
    </w:p>
    <w:p w:rsidR="00116C0C" w:rsidRDefault="00116C0C" w:rsidP="00116C0C"/>
    <w:p w:rsidR="00792D90" w:rsidRDefault="00792D90" w:rsidP="00116C0C"/>
    <w:p w:rsidR="00792D90" w:rsidRDefault="00792D90" w:rsidP="00116C0C"/>
    <w:tbl>
      <w:tblPr>
        <w:tblW w:w="8940" w:type="dxa"/>
        <w:tblInd w:w="94" w:type="dxa"/>
        <w:tblLook w:val="04A0"/>
      </w:tblPr>
      <w:tblGrid>
        <w:gridCol w:w="4072"/>
        <w:gridCol w:w="1082"/>
        <w:gridCol w:w="1082"/>
        <w:gridCol w:w="1082"/>
        <w:gridCol w:w="1082"/>
        <w:gridCol w:w="1082"/>
      </w:tblGrid>
      <w:tr w:rsidR="00792D90" w:rsidRPr="00792D90" w:rsidTr="00792D90">
        <w:trPr>
          <w:trHeight w:val="315"/>
        </w:trPr>
        <w:tc>
          <w:tcPr>
            <w:tcW w:w="8940" w:type="dxa"/>
            <w:gridSpan w:val="6"/>
            <w:tcBorders>
              <w:top w:val="single" w:sz="8" w:space="0" w:color="auto"/>
              <w:left w:val="single" w:sz="8" w:space="0" w:color="auto"/>
              <w:bottom w:val="single" w:sz="8" w:space="0" w:color="auto"/>
              <w:right w:val="single" w:sz="8" w:space="0" w:color="000000"/>
            </w:tcBorders>
            <w:shd w:val="clear" w:color="000000" w:fill="EEECE1"/>
            <w:noWrap/>
            <w:vAlign w:val="bottom"/>
            <w:hideMark/>
          </w:tcPr>
          <w:p w:rsidR="00792D90" w:rsidRPr="00792D90" w:rsidRDefault="00792D90" w:rsidP="00792D90">
            <w:pPr>
              <w:spacing w:after="0" w:line="240" w:lineRule="auto"/>
              <w:jc w:val="center"/>
              <w:rPr>
                <w:rFonts w:eastAsia="Times New Roman" w:cs="Times New Roman"/>
                <w:color w:val="000000"/>
                <w:szCs w:val="24"/>
                <w:lang w:val="en-US"/>
              </w:rPr>
            </w:pPr>
            <w:r w:rsidRPr="00792D90">
              <w:rPr>
                <w:rFonts w:eastAsia="Times New Roman" w:cs="Times New Roman"/>
                <w:color w:val="000000"/>
                <w:szCs w:val="24"/>
                <w:lang w:val="en-US"/>
              </w:rPr>
              <w:t>Glaxo SmithKline(GSK) Ratio Analysis</w:t>
            </w:r>
          </w:p>
        </w:tc>
      </w:tr>
      <w:tr w:rsidR="00792D90" w:rsidRPr="00792D90" w:rsidTr="00792D90">
        <w:trPr>
          <w:trHeight w:val="300"/>
        </w:trPr>
        <w:tc>
          <w:tcPr>
            <w:tcW w:w="4110" w:type="dxa"/>
            <w:tcBorders>
              <w:top w:val="nil"/>
              <w:left w:val="single" w:sz="4" w:space="0" w:color="auto"/>
              <w:bottom w:val="single" w:sz="4" w:space="0" w:color="auto"/>
              <w:right w:val="single" w:sz="4" w:space="0" w:color="auto"/>
            </w:tcBorders>
            <w:shd w:val="clear" w:color="000000" w:fill="DBE5F1"/>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financial statement  items</w:t>
            </w:r>
          </w:p>
        </w:tc>
        <w:tc>
          <w:tcPr>
            <w:tcW w:w="950" w:type="dxa"/>
            <w:tcBorders>
              <w:top w:val="nil"/>
              <w:left w:val="nil"/>
              <w:bottom w:val="single" w:sz="4" w:space="0" w:color="auto"/>
              <w:right w:val="single" w:sz="4" w:space="0" w:color="auto"/>
            </w:tcBorders>
            <w:shd w:val="clear" w:color="000000" w:fill="DBE5F1"/>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£,million</w:t>
            </w:r>
          </w:p>
        </w:tc>
        <w:tc>
          <w:tcPr>
            <w:tcW w:w="950" w:type="dxa"/>
            <w:tcBorders>
              <w:top w:val="nil"/>
              <w:left w:val="nil"/>
              <w:bottom w:val="single" w:sz="4" w:space="0" w:color="auto"/>
              <w:right w:val="single" w:sz="4" w:space="0" w:color="auto"/>
            </w:tcBorders>
            <w:shd w:val="clear" w:color="000000" w:fill="DBE5F1"/>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£,million</w:t>
            </w:r>
          </w:p>
        </w:tc>
        <w:tc>
          <w:tcPr>
            <w:tcW w:w="950" w:type="dxa"/>
            <w:tcBorders>
              <w:top w:val="nil"/>
              <w:left w:val="nil"/>
              <w:bottom w:val="single" w:sz="4" w:space="0" w:color="auto"/>
              <w:right w:val="single" w:sz="4" w:space="0" w:color="auto"/>
            </w:tcBorders>
            <w:shd w:val="clear" w:color="000000" w:fill="DBE5F1"/>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£,million</w:t>
            </w:r>
          </w:p>
        </w:tc>
        <w:tc>
          <w:tcPr>
            <w:tcW w:w="950" w:type="dxa"/>
            <w:tcBorders>
              <w:top w:val="nil"/>
              <w:left w:val="nil"/>
              <w:bottom w:val="single" w:sz="4" w:space="0" w:color="auto"/>
              <w:right w:val="single" w:sz="4" w:space="0" w:color="auto"/>
            </w:tcBorders>
            <w:shd w:val="clear" w:color="000000" w:fill="DBE5F1"/>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£,million</w:t>
            </w:r>
          </w:p>
        </w:tc>
        <w:tc>
          <w:tcPr>
            <w:tcW w:w="1030" w:type="dxa"/>
            <w:tcBorders>
              <w:top w:val="nil"/>
              <w:left w:val="nil"/>
              <w:bottom w:val="single" w:sz="4" w:space="0" w:color="auto"/>
              <w:right w:val="single" w:sz="4" w:space="0" w:color="auto"/>
            </w:tcBorders>
            <w:shd w:val="clear" w:color="000000" w:fill="DBE5F1"/>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£,million</w:t>
            </w:r>
          </w:p>
        </w:tc>
      </w:tr>
      <w:tr w:rsidR="00792D90" w:rsidRPr="00792D90" w:rsidTr="00792D90">
        <w:trPr>
          <w:trHeight w:val="300"/>
        </w:trPr>
        <w:tc>
          <w:tcPr>
            <w:tcW w:w="4110" w:type="dxa"/>
            <w:tcBorders>
              <w:top w:val="nil"/>
              <w:left w:val="single" w:sz="4" w:space="0" w:color="auto"/>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2012</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2013</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2014</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2015</w:t>
            </w:r>
          </w:p>
        </w:tc>
        <w:tc>
          <w:tcPr>
            <w:tcW w:w="103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2016</w:t>
            </w:r>
          </w:p>
        </w:tc>
      </w:tr>
      <w:tr w:rsidR="00792D90" w:rsidRPr="00792D90" w:rsidTr="00792D90">
        <w:trPr>
          <w:trHeight w:val="300"/>
        </w:trPr>
        <w:tc>
          <w:tcPr>
            <w:tcW w:w="4110" w:type="dxa"/>
            <w:tcBorders>
              <w:top w:val="nil"/>
              <w:left w:val="single" w:sz="4" w:space="0" w:color="auto"/>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xml:space="preserve">Gross profit </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18506</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17,920</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15,683</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15,070</w:t>
            </w:r>
          </w:p>
        </w:tc>
        <w:tc>
          <w:tcPr>
            <w:tcW w:w="103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18,599</w:t>
            </w:r>
          </w:p>
        </w:tc>
      </w:tr>
      <w:tr w:rsidR="00792D90" w:rsidRPr="00792D90" w:rsidTr="00792D90">
        <w:trPr>
          <w:trHeight w:val="300"/>
        </w:trPr>
        <w:tc>
          <w:tcPr>
            <w:tcW w:w="4110" w:type="dxa"/>
            <w:tcBorders>
              <w:top w:val="nil"/>
              <w:left w:val="single" w:sz="4" w:space="0" w:color="auto"/>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Total revenue earned</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26,431</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26,505</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23,006</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23923</w:t>
            </w:r>
          </w:p>
        </w:tc>
        <w:tc>
          <w:tcPr>
            <w:tcW w:w="103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27889</w:t>
            </w:r>
          </w:p>
        </w:tc>
      </w:tr>
      <w:tr w:rsidR="00792D90" w:rsidRPr="00792D90" w:rsidTr="00792D90">
        <w:trPr>
          <w:trHeight w:val="300"/>
        </w:trPr>
        <w:tc>
          <w:tcPr>
            <w:tcW w:w="4110" w:type="dxa"/>
            <w:tcBorders>
              <w:top w:val="nil"/>
              <w:left w:val="single" w:sz="4" w:space="0" w:color="auto"/>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Net profit, PAT</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4678</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5638</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2,831</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8,372</w:t>
            </w:r>
          </w:p>
        </w:tc>
        <w:tc>
          <w:tcPr>
            <w:tcW w:w="103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1,062</w:t>
            </w:r>
          </w:p>
        </w:tc>
      </w:tr>
      <w:tr w:rsidR="00792D90" w:rsidRPr="00792D90" w:rsidTr="00792D90">
        <w:trPr>
          <w:trHeight w:val="300"/>
        </w:trPr>
        <w:tc>
          <w:tcPr>
            <w:tcW w:w="4110" w:type="dxa"/>
            <w:tcBorders>
              <w:top w:val="nil"/>
              <w:left w:val="single" w:sz="4" w:space="0" w:color="auto"/>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Current asset</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13,692</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15,227</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14,678</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16,587</w:t>
            </w:r>
          </w:p>
        </w:tc>
        <w:tc>
          <w:tcPr>
            <w:tcW w:w="103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16,711</w:t>
            </w:r>
          </w:p>
        </w:tc>
      </w:tr>
      <w:tr w:rsidR="00792D90" w:rsidRPr="00792D90" w:rsidTr="00792D90">
        <w:trPr>
          <w:trHeight w:val="300"/>
        </w:trPr>
        <w:tc>
          <w:tcPr>
            <w:tcW w:w="4110" w:type="dxa"/>
            <w:tcBorders>
              <w:top w:val="nil"/>
              <w:left w:val="single" w:sz="4" w:space="0" w:color="auto"/>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Current liability</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13,815</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13,677</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13,295</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13417</w:t>
            </w:r>
          </w:p>
        </w:tc>
        <w:tc>
          <w:tcPr>
            <w:tcW w:w="103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19,001</w:t>
            </w:r>
          </w:p>
        </w:tc>
      </w:tr>
      <w:tr w:rsidR="00792D90" w:rsidRPr="00792D90" w:rsidTr="00792D90">
        <w:trPr>
          <w:trHeight w:val="300"/>
        </w:trPr>
        <w:tc>
          <w:tcPr>
            <w:tcW w:w="4110" w:type="dxa"/>
            <w:tcBorders>
              <w:top w:val="nil"/>
              <w:left w:val="single" w:sz="4" w:space="0" w:color="auto"/>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Average Inventory holding</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3969</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3,900</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4,231</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4716</w:t>
            </w:r>
          </w:p>
        </w:tc>
        <w:tc>
          <w:tcPr>
            <w:tcW w:w="103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5102</w:t>
            </w:r>
          </w:p>
        </w:tc>
      </w:tr>
      <w:tr w:rsidR="00792D90" w:rsidRPr="00792D90" w:rsidTr="00792D90">
        <w:trPr>
          <w:trHeight w:val="300"/>
        </w:trPr>
        <w:tc>
          <w:tcPr>
            <w:tcW w:w="4110" w:type="dxa"/>
            <w:tcBorders>
              <w:top w:val="nil"/>
              <w:left w:val="single" w:sz="4" w:space="0" w:color="auto"/>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share capital</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1349</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1,336</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1,339</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1340</w:t>
            </w:r>
          </w:p>
        </w:tc>
        <w:tc>
          <w:tcPr>
            <w:tcW w:w="103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1342</w:t>
            </w:r>
          </w:p>
        </w:tc>
      </w:tr>
      <w:tr w:rsidR="00792D90" w:rsidRPr="00792D90" w:rsidTr="00792D90">
        <w:trPr>
          <w:trHeight w:val="300"/>
        </w:trPr>
        <w:tc>
          <w:tcPr>
            <w:tcW w:w="4110" w:type="dxa"/>
            <w:tcBorders>
              <w:top w:val="nil"/>
              <w:left w:val="single" w:sz="4" w:space="0" w:color="auto"/>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Retained earning</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4499</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5,436</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2,756</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8,422</w:t>
            </w:r>
          </w:p>
        </w:tc>
        <w:tc>
          <w:tcPr>
            <w:tcW w:w="103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912</w:t>
            </w:r>
          </w:p>
        </w:tc>
      </w:tr>
      <w:tr w:rsidR="00792D90" w:rsidRPr="00792D90" w:rsidTr="00792D90">
        <w:trPr>
          <w:trHeight w:val="300"/>
        </w:trPr>
        <w:tc>
          <w:tcPr>
            <w:tcW w:w="4110" w:type="dxa"/>
            <w:tcBorders>
              <w:top w:val="nil"/>
              <w:left w:val="single" w:sz="4" w:space="0" w:color="auto"/>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long term liabilities</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20929</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20,597</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22,420</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31,151</w:t>
            </w:r>
          </w:p>
        </w:tc>
        <w:tc>
          <w:tcPr>
            <w:tcW w:w="103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35,117</w:t>
            </w:r>
          </w:p>
        </w:tc>
      </w:tr>
      <w:tr w:rsidR="00792D90" w:rsidRPr="00792D90" w:rsidTr="00792D90">
        <w:trPr>
          <w:trHeight w:val="300"/>
        </w:trPr>
        <w:tc>
          <w:tcPr>
            <w:tcW w:w="4110" w:type="dxa"/>
            <w:tcBorders>
              <w:top w:val="nil"/>
              <w:left w:val="single" w:sz="4" w:space="0" w:color="auto"/>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capital employed</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26,777</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27,369</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26,515</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40,913</w:t>
            </w:r>
          </w:p>
        </w:tc>
        <w:tc>
          <w:tcPr>
            <w:tcW w:w="103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37,371</w:t>
            </w:r>
          </w:p>
        </w:tc>
      </w:tr>
      <w:tr w:rsidR="00792D90" w:rsidRPr="00792D90" w:rsidTr="00792D90">
        <w:trPr>
          <w:trHeight w:val="300"/>
        </w:trPr>
        <w:tc>
          <w:tcPr>
            <w:tcW w:w="4110" w:type="dxa"/>
            <w:tcBorders>
              <w:top w:val="nil"/>
              <w:left w:val="single" w:sz="4" w:space="0" w:color="auto"/>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Total average asset</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41481</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42,086</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40,651</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53,446</w:t>
            </w:r>
          </w:p>
        </w:tc>
        <w:tc>
          <w:tcPr>
            <w:tcW w:w="103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59,081</w:t>
            </w:r>
          </w:p>
        </w:tc>
      </w:tr>
      <w:tr w:rsidR="00792D90" w:rsidRPr="00792D90" w:rsidTr="00792D90">
        <w:trPr>
          <w:trHeight w:val="300"/>
        </w:trPr>
        <w:tc>
          <w:tcPr>
            <w:tcW w:w="4110" w:type="dxa"/>
            <w:tcBorders>
              <w:top w:val="nil"/>
              <w:left w:val="single" w:sz="4" w:space="0" w:color="auto"/>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EBIT</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7300</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7,028</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3,597</w:t>
            </w:r>
          </w:p>
        </w:tc>
        <w:tc>
          <w:tcPr>
            <w:tcW w:w="95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10,322</w:t>
            </w:r>
          </w:p>
        </w:tc>
        <w:tc>
          <w:tcPr>
            <w:tcW w:w="1030" w:type="dxa"/>
            <w:tcBorders>
              <w:top w:val="nil"/>
              <w:left w:val="nil"/>
              <w:bottom w:val="single" w:sz="4" w:space="0" w:color="auto"/>
              <w:right w:val="single" w:sz="4" w:space="0" w:color="auto"/>
            </w:tcBorders>
            <w:shd w:val="clear" w:color="000000" w:fill="CCC0D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2,598</w:t>
            </w:r>
          </w:p>
        </w:tc>
      </w:tr>
      <w:tr w:rsidR="00792D90" w:rsidRPr="00792D90" w:rsidTr="00792D90">
        <w:trPr>
          <w:trHeight w:val="300"/>
        </w:trPr>
        <w:tc>
          <w:tcPr>
            <w:tcW w:w="4110" w:type="dxa"/>
            <w:tcBorders>
              <w:top w:val="nil"/>
              <w:left w:val="single" w:sz="4" w:space="0" w:color="auto"/>
              <w:bottom w:val="single" w:sz="4" w:space="0" w:color="auto"/>
              <w:right w:val="single" w:sz="4" w:space="0" w:color="auto"/>
            </w:tcBorders>
            <w:shd w:val="clear" w:color="auto" w:fill="auto"/>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950" w:type="dxa"/>
            <w:tcBorders>
              <w:top w:val="nil"/>
              <w:left w:val="nil"/>
              <w:bottom w:val="single" w:sz="4" w:space="0" w:color="auto"/>
              <w:right w:val="single" w:sz="4" w:space="0" w:color="auto"/>
            </w:tcBorders>
            <w:shd w:val="clear" w:color="auto" w:fill="auto"/>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950" w:type="dxa"/>
            <w:tcBorders>
              <w:top w:val="nil"/>
              <w:left w:val="nil"/>
              <w:bottom w:val="single" w:sz="4" w:space="0" w:color="auto"/>
              <w:right w:val="single" w:sz="4" w:space="0" w:color="auto"/>
            </w:tcBorders>
            <w:shd w:val="clear" w:color="auto" w:fill="auto"/>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950" w:type="dxa"/>
            <w:tcBorders>
              <w:top w:val="nil"/>
              <w:left w:val="nil"/>
              <w:bottom w:val="single" w:sz="4" w:space="0" w:color="auto"/>
              <w:right w:val="single" w:sz="4" w:space="0" w:color="auto"/>
            </w:tcBorders>
            <w:shd w:val="clear" w:color="auto" w:fill="auto"/>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950" w:type="dxa"/>
            <w:tcBorders>
              <w:top w:val="nil"/>
              <w:left w:val="nil"/>
              <w:bottom w:val="single" w:sz="4" w:space="0" w:color="auto"/>
              <w:right w:val="single" w:sz="4" w:space="0" w:color="auto"/>
            </w:tcBorders>
            <w:shd w:val="clear" w:color="auto" w:fill="auto"/>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30" w:type="dxa"/>
            <w:tcBorders>
              <w:top w:val="nil"/>
              <w:left w:val="nil"/>
              <w:bottom w:val="single" w:sz="4" w:space="0" w:color="auto"/>
              <w:right w:val="single" w:sz="4" w:space="0" w:color="auto"/>
            </w:tcBorders>
            <w:shd w:val="clear" w:color="auto" w:fill="auto"/>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r>
      <w:tr w:rsidR="00792D90" w:rsidRPr="00792D90" w:rsidTr="00792D90">
        <w:trPr>
          <w:trHeight w:val="300"/>
        </w:trPr>
        <w:tc>
          <w:tcPr>
            <w:tcW w:w="4110" w:type="dxa"/>
            <w:tcBorders>
              <w:top w:val="nil"/>
              <w:left w:val="single" w:sz="4" w:space="0" w:color="auto"/>
              <w:bottom w:val="single" w:sz="4" w:space="0" w:color="auto"/>
              <w:right w:val="single" w:sz="4" w:space="0" w:color="auto"/>
            </w:tcBorders>
            <w:shd w:val="clear" w:color="auto" w:fill="auto"/>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Years</w:t>
            </w:r>
          </w:p>
        </w:tc>
        <w:tc>
          <w:tcPr>
            <w:tcW w:w="950" w:type="dxa"/>
            <w:tcBorders>
              <w:top w:val="nil"/>
              <w:left w:val="nil"/>
              <w:bottom w:val="single" w:sz="4" w:space="0" w:color="auto"/>
              <w:right w:val="single" w:sz="4" w:space="0" w:color="auto"/>
            </w:tcBorders>
            <w:shd w:val="clear" w:color="000000" w:fill="EEECE1"/>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2012</w:t>
            </w:r>
          </w:p>
        </w:tc>
        <w:tc>
          <w:tcPr>
            <w:tcW w:w="950" w:type="dxa"/>
            <w:tcBorders>
              <w:top w:val="nil"/>
              <w:left w:val="nil"/>
              <w:bottom w:val="single" w:sz="4" w:space="0" w:color="auto"/>
              <w:right w:val="single" w:sz="4" w:space="0" w:color="auto"/>
            </w:tcBorders>
            <w:shd w:val="clear" w:color="000000" w:fill="EEECE1"/>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2013</w:t>
            </w:r>
          </w:p>
        </w:tc>
        <w:tc>
          <w:tcPr>
            <w:tcW w:w="950" w:type="dxa"/>
            <w:tcBorders>
              <w:top w:val="nil"/>
              <w:left w:val="nil"/>
              <w:bottom w:val="single" w:sz="4" w:space="0" w:color="auto"/>
              <w:right w:val="single" w:sz="4" w:space="0" w:color="auto"/>
            </w:tcBorders>
            <w:shd w:val="clear" w:color="000000" w:fill="EEECE1"/>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2014</w:t>
            </w:r>
          </w:p>
        </w:tc>
        <w:tc>
          <w:tcPr>
            <w:tcW w:w="950" w:type="dxa"/>
            <w:tcBorders>
              <w:top w:val="nil"/>
              <w:left w:val="nil"/>
              <w:bottom w:val="single" w:sz="4" w:space="0" w:color="auto"/>
              <w:right w:val="single" w:sz="4" w:space="0" w:color="auto"/>
            </w:tcBorders>
            <w:shd w:val="clear" w:color="000000" w:fill="EEECE1"/>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2015</w:t>
            </w:r>
          </w:p>
        </w:tc>
        <w:tc>
          <w:tcPr>
            <w:tcW w:w="1030" w:type="dxa"/>
            <w:tcBorders>
              <w:top w:val="nil"/>
              <w:left w:val="nil"/>
              <w:bottom w:val="single" w:sz="4" w:space="0" w:color="auto"/>
              <w:right w:val="single" w:sz="4" w:space="0" w:color="auto"/>
            </w:tcBorders>
            <w:shd w:val="clear" w:color="000000" w:fill="EEECE1"/>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2016</w:t>
            </w:r>
          </w:p>
        </w:tc>
      </w:tr>
      <w:tr w:rsidR="00792D90" w:rsidRPr="00792D90" w:rsidTr="00792D90">
        <w:trPr>
          <w:trHeight w:val="300"/>
        </w:trPr>
        <w:tc>
          <w:tcPr>
            <w:tcW w:w="4110" w:type="dxa"/>
            <w:tcBorders>
              <w:top w:val="nil"/>
              <w:left w:val="single" w:sz="4" w:space="0" w:color="auto"/>
              <w:bottom w:val="single" w:sz="4" w:space="0" w:color="auto"/>
              <w:right w:val="single" w:sz="4" w:space="0" w:color="auto"/>
            </w:tcBorders>
            <w:shd w:val="clear" w:color="000000" w:fill="C2D69A"/>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Profitability Ratios</w:t>
            </w:r>
          </w:p>
        </w:tc>
        <w:tc>
          <w:tcPr>
            <w:tcW w:w="950" w:type="dxa"/>
            <w:tcBorders>
              <w:top w:val="nil"/>
              <w:left w:val="nil"/>
              <w:bottom w:val="single" w:sz="4" w:space="0" w:color="auto"/>
              <w:right w:val="single" w:sz="4" w:space="0" w:color="auto"/>
            </w:tcBorders>
            <w:shd w:val="clear" w:color="000000" w:fill="C2D69A"/>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950" w:type="dxa"/>
            <w:tcBorders>
              <w:top w:val="nil"/>
              <w:left w:val="nil"/>
              <w:bottom w:val="single" w:sz="4" w:space="0" w:color="auto"/>
              <w:right w:val="single" w:sz="4" w:space="0" w:color="auto"/>
            </w:tcBorders>
            <w:shd w:val="clear" w:color="000000" w:fill="C2D69A"/>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950" w:type="dxa"/>
            <w:tcBorders>
              <w:top w:val="nil"/>
              <w:left w:val="nil"/>
              <w:bottom w:val="single" w:sz="4" w:space="0" w:color="auto"/>
              <w:right w:val="single" w:sz="4" w:space="0" w:color="auto"/>
            </w:tcBorders>
            <w:shd w:val="clear" w:color="000000" w:fill="C2D69A"/>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950" w:type="dxa"/>
            <w:tcBorders>
              <w:top w:val="nil"/>
              <w:left w:val="nil"/>
              <w:bottom w:val="single" w:sz="4" w:space="0" w:color="auto"/>
              <w:right w:val="single" w:sz="4" w:space="0" w:color="auto"/>
            </w:tcBorders>
            <w:shd w:val="clear" w:color="000000" w:fill="C2D69A"/>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30" w:type="dxa"/>
            <w:tcBorders>
              <w:top w:val="nil"/>
              <w:left w:val="nil"/>
              <w:bottom w:val="single" w:sz="4" w:space="0" w:color="auto"/>
              <w:right w:val="single" w:sz="4" w:space="0" w:color="auto"/>
            </w:tcBorders>
            <w:shd w:val="clear" w:color="000000" w:fill="C2D69A"/>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r>
      <w:tr w:rsidR="00792D90" w:rsidRPr="00792D90" w:rsidTr="00792D90">
        <w:trPr>
          <w:trHeight w:val="990"/>
        </w:trPr>
        <w:tc>
          <w:tcPr>
            <w:tcW w:w="4110" w:type="dxa"/>
            <w:tcBorders>
              <w:top w:val="nil"/>
              <w:left w:val="single" w:sz="4" w:space="0" w:color="auto"/>
              <w:bottom w:val="single" w:sz="4" w:space="0" w:color="auto"/>
              <w:right w:val="single" w:sz="4" w:space="0" w:color="auto"/>
            </w:tcBorders>
            <w:shd w:val="clear" w:color="000000" w:fill="C2D69A"/>
            <w:vAlign w:val="bottom"/>
            <w:hideMark/>
          </w:tcPr>
          <w:p w:rsidR="00792D90" w:rsidRPr="00792D90" w:rsidRDefault="00792D90" w:rsidP="00792D90">
            <w:pPr>
              <w:spacing w:after="0" w:line="240" w:lineRule="auto"/>
              <w:jc w:val="left"/>
              <w:rPr>
                <w:rFonts w:eastAsia="Times New Roman" w:cs="Times New Roman"/>
                <w:b/>
                <w:bCs/>
                <w:i/>
                <w:iCs/>
                <w:color w:val="000000"/>
                <w:szCs w:val="24"/>
                <w:lang w:val="en-US"/>
              </w:rPr>
            </w:pPr>
            <w:r w:rsidRPr="00792D90">
              <w:rPr>
                <w:rFonts w:eastAsia="Times New Roman" w:cs="Times New Roman"/>
                <w:b/>
                <w:bCs/>
                <w:i/>
                <w:iCs/>
                <w:color w:val="000000"/>
                <w:szCs w:val="24"/>
                <w:lang w:val="en-US"/>
              </w:rPr>
              <w:t>Gross profit margin</w:t>
            </w:r>
            <w:r w:rsidRPr="00792D90">
              <w:rPr>
                <w:rFonts w:eastAsia="Times New Roman" w:cs="Times New Roman"/>
                <w:color w:val="000000"/>
                <w:szCs w:val="24"/>
                <w:lang w:val="en-US"/>
              </w:rPr>
              <w:t xml:space="preserve"> ([Gross profit /Net sales]*100) </w:t>
            </w:r>
          </w:p>
        </w:tc>
        <w:tc>
          <w:tcPr>
            <w:tcW w:w="950" w:type="dxa"/>
            <w:tcBorders>
              <w:top w:val="nil"/>
              <w:left w:val="nil"/>
              <w:bottom w:val="single" w:sz="4" w:space="0" w:color="auto"/>
              <w:right w:val="single" w:sz="4" w:space="0" w:color="auto"/>
            </w:tcBorders>
            <w:shd w:val="clear" w:color="000000" w:fill="C2D69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70%</w:t>
            </w:r>
          </w:p>
        </w:tc>
        <w:tc>
          <w:tcPr>
            <w:tcW w:w="950" w:type="dxa"/>
            <w:tcBorders>
              <w:top w:val="nil"/>
              <w:left w:val="nil"/>
              <w:bottom w:val="single" w:sz="4" w:space="0" w:color="auto"/>
              <w:right w:val="single" w:sz="4" w:space="0" w:color="auto"/>
            </w:tcBorders>
            <w:shd w:val="clear" w:color="000000" w:fill="C2D69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68%</w:t>
            </w:r>
          </w:p>
        </w:tc>
        <w:tc>
          <w:tcPr>
            <w:tcW w:w="950" w:type="dxa"/>
            <w:tcBorders>
              <w:top w:val="nil"/>
              <w:left w:val="nil"/>
              <w:bottom w:val="single" w:sz="4" w:space="0" w:color="auto"/>
              <w:right w:val="single" w:sz="4" w:space="0" w:color="auto"/>
            </w:tcBorders>
            <w:shd w:val="clear" w:color="000000" w:fill="C2D69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68%</w:t>
            </w:r>
          </w:p>
        </w:tc>
        <w:tc>
          <w:tcPr>
            <w:tcW w:w="950" w:type="dxa"/>
            <w:tcBorders>
              <w:top w:val="nil"/>
              <w:left w:val="nil"/>
              <w:bottom w:val="single" w:sz="4" w:space="0" w:color="auto"/>
              <w:right w:val="single" w:sz="4" w:space="0" w:color="auto"/>
            </w:tcBorders>
            <w:shd w:val="clear" w:color="000000" w:fill="C2D69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63%</w:t>
            </w:r>
          </w:p>
        </w:tc>
        <w:tc>
          <w:tcPr>
            <w:tcW w:w="1030" w:type="dxa"/>
            <w:tcBorders>
              <w:top w:val="nil"/>
              <w:left w:val="nil"/>
              <w:bottom w:val="single" w:sz="4" w:space="0" w:color="auto"/>
              <w:right w:val="single" w:sz="4" w:space="0" w:color="auto"/>
            </w:tcBorders>
            <w:shd w:val="clear" w:color="000000" w:fill="C2D69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67%</w:t>
            </w:r>
          </w:p>
        </w:tc>
      </w:tr>
      <w:tr w:rsidR="00792D90" w:rsidRPr="00792D90" w:rsidTr="00792D90">
        <w:trPr>
          <w:trHeight w:val="600"/>
        </w:trPr>
        <w:tc>
          <w:tcPr>
            <w:tcW w:w="4110" w:type="dxa"/>
            <w:tcBorders>
              <w:top w:val="nil"/>
              <w:left w:val="single" w:sz="4" w:space="0" w:color="auto"/>
              <w:bottom w:val="single" w:sz="4" w:space="0" w:color="auto"/>
              <w:right w:val="single" w:sz="4" w:space="0" w:color="auto"/>
            </w:tcBorders>
            <w:shd w:val="clear" w:color="000000" w:fill="C2D69A"/>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b/>
                <w:bCs/>
                <w:color w:val="000000"/>
                <w:szCs w:val="24"/>
                <w:lang w:val="en-US"/>
              </w:rPr>
              <w:t>Net Profit margin</w:t>
            </w:r>
            <w:r w:rsidRPr="00792D90">
              <w:rPr>
                <w:rFonts w:eastAsia="Times New Roman" w:cs="Times New Roman"/>
                <w:color w:val="000000"/>
                <w:szCs w:val="24"/>
                <w:lang w:val="en-US"/>
              </w:rPr>
              <w:t xml:space="preserve"> (Net profit or PAT/Net sales): </w:t>
            </w:r>
          </w:p>
        </w:tc>
        <w:tc>
          <w:tcPr>
            <w:tcW w:w="950" w:type="dxa"/>
            <w:tcBorders>
              <w:top w:val="nil"/>
              <w:left w:val="nil"/>
              <w:bottom w:val="single" w:sz="4" w:space="0" w:color="auto"/>
              <w:right w:val="single" w:sz="4" w:space="0" w:color="auto"/>
            </w:tcBorders>
            <w:shd w:val="clear" w:color="000000" w:fill="C2D69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17.70%</w:t>
            </w:r>
          </w:p>
        </w:tc>
        <w:tc>
          <w:tcPr>
            <w:tcW w:w="950" w:type="dxa"/>
            <w:tcBorders>
              <w:top w:val="nil"/>
              <w:left w:val="nil"/>
              <w:bottom w:val="single" w:sz="4" w:space="0" w:color="auto"/>
              <w:right w:val="single" w:sz="4" w:space="0" w:color="auto"/>
            </w:tcBorders>
            <w:shd w:val="clear" w:color="000000" w:fill="C2D69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21.27%</w:t>
            </w:r>
          </w:p>
        </w:tc>
        <w:tc>
          <w:tcPr>
            <w:tcW w:w="950" w:type="dxa"/>
            <w:tcBorders>
              <w:top w:val="nil"/>
              <w:left w:val="nil"/>
              <w:bottom w:val="single" w:sz="4" w:space="0" w:color="auto"/>
              <w:right w:val="single" w:sz="4" w:space="0" w:color="auto"/>
            </w:tcBorders>
            <w:shd w:val="clear" w:color="000000" w:fill="C2D69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12.31%</w:t>
            </w:r>
          </w:p>
        </w:tc>
        <w:tc>
          <w:tcPr>
            <w:tcW w:w="950" w:type="dxa"/>
            <w:tcBorders>
              <w:top w:val="nil"/>
              <w:left w:val="nil"/>
              <w:bottom w:val="single" w:sz="4" w:space="0" w:color="auto"/>
              <w:right w:val="single" w:sz="4" w:space="0" w:color="auto"/>
            </w:tcBorders>
            <w:shd w:val="clear" w:color="000000" w:fill="C2D69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35.00%</w:t>
            </w:r>
          </w:p>
        </w:tc>
        <w:tc>
          <w:tcPr>
            <w:tcW w:w="1030" w:type="dxa"/>
            <w:tcBorders>
              <w:top w:val="nil"/>
              <w:left w:val="nil"/>
              <w:bottom w:val="single" w:sz="4" w:space="0" w:color="auto"/>
              <w:right w:val="single" w:sz="4" w:space="0" w:color="auto"/>
            </w:tcBorders>
            <w:shd w:val="clear" w:color="000000" w:fill="C2D69A"/>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3.81%</w:t>
            </w:r>
          </w:p>
        </w:tc>
      </w:tr>
      <w:tr w:rsidR="00792D90" w:rsidRPr="00792D90" w:rsidTr="00792D90">
        <w:trPr>
          <w:trHeight w:val="300"/>
        </w:trPr>
        <w:tc>
          <w:tcPr>
            <w:tcW w:w="4110" w:type="dxa"/>
            <w:tcBorders>
              <w:top w:val="nil"/>
              <w:left w:val="single" w:sz="4" w:space="0" w:color="auto"/>
              <w:bottom w:val="single" w:sz="4" w:space="0" w:color="auto"/>
              <w:right w:val="single" w:sz="4" w:space="0" w:color="auto"/>
            </w:tcBorders>
            <w:shd w:val="clear" w:color="000000" w:fill="E6B9B8"/>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Liquidity ratio</w:t>
            </w:r>
          </w:p>
        </w:tc>
        <w:tc>
          <w:tcPr>
            <w:tcW w:w="950" w:type="dxa"/>
            <w:tcBorders>
              <w:top w:val="nil"/>
              <w:left w:val="nil"/>
              <w:bottom w:val="single" w:sz="4" w:space="0" w:color="auto"/>
              <w:right w:val="single" w:sz="4" w:space="0" w:color="auto"/>
            </w:tcBorders>
            <w:shd w:val="clear" w:color="000000" w:fill="E6B9B8"/>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950" w:type="dxa"/>
            <w:tcBorders>
              <w:top w:val="nil"/>
              <w:left w:val="nil"/>
              <w:bottom w:val="single" w:sz="4" w:space="0" w:color="auto"/>
              <w:right w:val="single" w:sz="4" w:space="0" w:color="auto"/>
            </w:tcBorders>
            <w:shd w:val="clear" w:color="000000" w:fill="E6B9B8"/>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950" w:type="dxa"/>
            <w:tcBorders>
              <w:top w:val="nil"/>
              <w:left w:val="nil"/>
              <w:bottom w:val="single" w:sz="4" w:space="0" w:color="auto"/>
              <w:right w:val="single" w:sz="4" w:space="0" w:color="auto"/>
            </w:tcBorders>
            <w:shd w:val="clear" w:color="000000" w:fill="E6B9B8"/>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950" w:type="dxa"/>
            <w:tcBorders>
              <w:top w:val="nil"/>
              <w:left w:val="nil"/>
              <w:bottom w:val="single" w:sz="4" w:space="0" w:color="auto"/>
              <w:right w:val="single" w:sz="4" w:space="0" w:color="auto"/>
            </w:tcBorders>
            <w:shd w:val="clear" w:color="000000" w:fill="E6B9B8"/>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30" w:type="dxa"/>
            <w:tcBorders>
              <w:top w:val="nil"/>
              <w:left w:val="nil"/>
              <w:bottom w:val="single" w:sz="4" w:space="0" w:color="auto"/>
              <w:right w:val="single" w:sz="4" w:space="0" w:color="auto"/>
            </w:tcBorders>
            <w:shd w:val="clear" w:color="000000" w:fill="E6B9B8"/>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r>
      <w:tr w:rsidR="00792D90" w:rsidRPr="00792D90" w:rsidTr="00792D90">
        <w:trPr>
          <w:trHeight w:val="600"/>
        </w:trPr>
        <w:tc>
          <w:tcPr>
            <w:tcW w:w="4110" w:type="dxa"/>
            <w:tcBorders>
              <w:top w:val="nil"/>
              <w:left w:val="single" w:sz="4" w:space="0" w:color="auto"/>
              <w:bottom w:val="single" w:sz="4" w:space="0" w:color="auto"/>
              <w:right w:val="single" w:sz="4" w:space="0" w:color="auto"/>
            </w:tcBorders>
            <w:shd w:val="clear" w:color="000000" w:fill="E6B9B8"/>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b/>
                <w:bCs/>
                <w:color w:val="000000"/>
                <w:szCs w:val="24"/>
                <w:lang w:val="en-US"/>
              </w:rPr>
              <w:t>Current Ratio</w:t>
            </w:r>
            <w:r w:rsidRPr="00792D90">
              <w:rPr>
                <w:rFonts w:eastAsia="Times New Roman" w:cs="Times New Roman"/>
                <w:color w:val="000000"/>
                <w:szCs w:val="24"/>
                <w:lang w:val="en-US"/>
              </w:rPr>
              <w:t xml:space="preserve"> ([Current asset/Current liability]*100): </w:t>
            </w:r>
          </w:p>
        </w:tc>
        <w:tc>
          <w:tcPr>
            <w:tcW w:w="950" w:type="dxa"/>
            <w:tcBorders>
              <w:top w:val="nil"/>
              <w:left w:val="nil"/>
              <w:bottom w:val="single" w:sz="4" w:space="0" w:color="auto"/>
              <w:right w:val="single" w:sz="4" w:space="0" w:color="auto"/>
            </w:tcBorders>
            <w:shd w:val="clear" w:color="000000" w:fill="E6B9B8"/>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0.99</w:t>
            </w:r>
          </w:p>
        </w:tc>
        <w:tc>
          <w:tcPr>
            <w:tcW w:w="950" w:type="dxa"/>
            <w:tcBorders>
              <w:top w:val="nil"/>
              <w:left w:val="nil"/>
              <w:bottom w:val="single" w:sz="4" w:space="0" w:color="auto"/>
              <w:right w:val="single" w:sz="4" w:space="0" w:color="auto"/>
            </w:tcBorders>
            <w:shd w:val="clear" w:color="000000" w:fill="E6B9B8"/>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1.11</w:t>
            </w:r>
          </w:p>
        </w:tc>
        <w:tc>
          <w:tcPr>
            <w:tcW w:w="950" w:type="dxa"/>
            <w:tcBorders>
              <w:top w:val="nil"/>
              <w:left w:val="nil"/>
              <w:bottom w:val="single" w:sz="4" w:space="0" w:color="auto"/>
              <w:right w:val="single" w:sz="4" w:space="0" w:color="auto"/>
            </w:tcBorders>
            <w:shd w:val="clear" w:color="000000" w:fill="E6B9B8"/>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1.10</w:t>
            </w:r>
          </w:p>
        </w:tc>
        <w:tc>
          <w:tcPr>
            <w:tcW w:w="950" w:type="dxa"/>
            <w:tcBorders>
              <w:top w:val="nil"/>
              <w:left w:val="nil"/>
              <w:bottom w:val="single" w:sz="4" w:space="0" w:color="auto"/>
              <w:right w:val="single" w:sz="4" w:space="0" w:color="auto"/>
            </w:tcBorders>
            <w:shd w:val="clear" w:color="000000" w:fill="E6B9B8"/>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1.24</w:t>
            </w:r>
          </w:p>
        </w:tc>
        <w:tc>
          <w:tcPr>
            <w:tcW w:w="1030" w:type="dxa"/>
            <w:tcBorders>
              <w:top w:val="nil"/>
              <w:left w:val="nil"/>
              <w:bottom w:val="single" w:sz="4" w:space="0" w:color="auto"/>
              <w:right w:val="single" w:sz="4" w:space="0" w:color="auto"/>
            </w:tcBorders>
            <w:shd w:val="clear" w:color="000000" w:fill="E6B9B8"/>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0.88</w:t>
            </w:r>
          </w:p>
        </w:tc>
      </w:tr>
      <w:tr w:rsidR="00792D90" w:rsidRPr="00792D90" w:rsidTr="00792D90">
        <w:trPr>
          <w:trHeight w:val="615"/>
        </w:trPr>
        <w:tc>
          <w:tcPr>
            <w:tcW w:w="4110" w:type="dxa"/>
            <w:tcBorders>
              <w:top w:val="nil"/>
              <w:left w:val="single" w:sz="4" w:space="0" w:color="auto"/>
              <w:bottom w:val="single" w:sz="4" w:space="0" w:color="auto"/>
              <w:right w:val="single" w:sz="4" w:space="0" w:color="auto"/>
            </w:tcBorders>
            <w:shd w:val="clear" w:color="000000" w:fill="E6B9B8"/>
            <w:vAlign w:val="bottom"/>
            <w:hideMark/>
          </w:tcPr>
          <w:p w:rsidR="00792D90" w:rsidRPr="00792D90" w:rsidRDefault="00792D90" w:rsidP="00792D90">
            <w:pPr>
              <w:spacing w:after="0" w:line="240" w:lineRule="auto"/>
              <w:jc w:val="left"/>
              <w:rPr>
                <w:rFonts w:eastAsia="Times New Roman" w:cs="Times New Roman"/>
                <w:b/>
                <w:bCs/>
                <w:color w:val="000000"/>
                <w:szCs w:val="24"/>
                <w:lang w:val="en-US"/>
              </w:rPr>
            </w:pPr>
            <w:r w:rsidRPr="00792D90">
              <w:rPr>
                <w:rFonts w:eastAsia="Times New Roman" w:cs="Times New Roman"/>
                <w:b/>
                <w:bCs/>
                <w:color w:val="000000"/>
                <w:szCs w:val="24"/>
                <w:lang w:val="en-US"/>
              </w:rPr>
              <w:t>Quick Ratio</w:t>
            </w:r>
            <w:r w:rsidRPr="00792D90">
              <w:rPr>
                <w:rFonts w:eastAsia="Times New Roman" w:cs="Times New Roman"/>
                <w:color w:val="000000"/>
                <w:szCs w:val="24"/>
                <w:lang w:val="en-US"/>
              </w:rPr>
              <w:t xml:space="preserve"> ([Current asset-Inventories]/ Current liability*100) </w:t>
            </w:r>
          </w:p>
        </w:tc>
        <w:tc>
          <w:tcPr>
            <w:tcW w:w="950" w:type="dxa"/>
            <w:tcBorders>
              <w:top w:val="nil"/>
              <w:left w:val="nil"/>
              <w:bottom w:val="single" w:sz="4" w:space="0" w:color="auto"/>
              <w:right w:val="single" w:sz="4" w:space="0" w:color="auto"/>
            </w:tcBorders>
            <w:shd w:val="clear" w:color="000000" w:fill="E6B9B8"/>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0.70</w:t>
            </w:r>
          </w:p>
        </w:tc>
        <w:tc>
          <w:tcPr>
            <w:tcW w:w="950" w:type="dxa"/>
            <w:tcBorders>
              <w:top w:val="nil"/>
              <w:left w:val="nil"/>
              <w:bottom w:val="single" w:sz="4" w:space="0" w:color="auto"/>
              <w:right w:val="single" w:sz="4" w:space="0" w:color="auto"/>
            </w:tcBorders>
            <w:shd w:val="clear" w:color="000000" w:fill="E6B9B8"/>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0.83</w:t>
            </w:r>
          </w:p>
        </w:tc>
        <w:tc>
          <w:tcPr>
            <w:tcW w:w="950" w:type="dxa"/>
            <w:tcBorders>
              <w:top w:val="nil"/>
              <w:left w:val="nil"/>
              <w:bottom w:val="single" w:sz="4" w:space="0" w:color="auto"/>
              <w:right w:val="single" w:sz="4" w:space="0" w:color="auto"/>
            </w:tcBorders>
            <w:shd w:val="clear" w:color="000000" w:fill="E6B9B8"/>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0.79</w:t>
            </w:r>
          </w:p>
        </w:tc>
        <w:tc>
          <w:tcPr>
            <w:tcW w:w="950" w:type="dxa"/>
            <w:tcBorders>
              <w:top w:val="nil"/>
              <w:left w:val="nil"/>
              <w:bottom w:val="single" w:sz="4" w:space="0" w:color="auto"/>
              <w:right w:val="single" w:sz="4" w:space="0" w:color="auto"/>
            </w:tcBorders>
            <w:shd w:val="clear" w:color="000000" w:fill="E6B9B8"/>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0.88</w:t>
            </w:r>
          </w:p>
        </w:tc>
        <w:tc>
          <w:tcPr>
            <w:tcW w:w="1030" w:type="dxa"/>
            <w:tcBorders>
              <w:top w:val="nil"/>
              <w:left w:val="nil"/>
              <w:bottom w:val="single" w:sz="4" w:space="0" w:color="auto"/>
              <w:right w:val="single" w:sz="4" w:space="0" w:color="auto"/>
            </w:tcBorders>
            <w:shd w:val="clear" w:color="000000" w:fill="E6B9B8"/>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0.61</w:t>
            </w:r>
          </w:p>
        </w:tc>
      </w:tr>
      <w:tr w:rsidR="00792D90" w:rsidRPr="00792D90" w:rsidTr="00792D90">
        <w:trPr>
          <w:trHeight w:val="315"/>
        </w:trPr>
        <w:tc>
          <w:tcPr>
            <w:tcW w:w="4110" w:type="dxa"/>
            <w:tcBorders>
              <w:top w:val="nil"/>
              <w:left w:val="single" w:sz="4" w:space="0" w:color="auto"/>
              <w:bottom w:val="single" w:sz="4" w:space="0" w:color="auto"/>
              <w:right w:val="single" w:sz="4" w:space="0" w:color="auto"/>
            </w:tcBorders>
            <w:shd w:val="clear" w:color="000000" w:fill="EAF1DD"/>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Efficiency ratio</w:t>
            </w:r>
          </w:p>
        </w:tc>
        <w:tc>
          <w:tcPr>
            <w:tcW w:w="950" w:type="dxa"/>
            <w:tcBorders>
              <w:top w:val="nil"/>
              <w:left w:val="nil"/>
              <w:bottom w:val="single" w:sz="4" w:space="0" w:color="auto"/>
              <w:right w:val="single" w:sz="4" w:space="0" w:color="auto"/>
            </w:tcBorders>
            <w:shd w:val="clear" w:color="000000" w:fill="EAF1DD"/>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950" w:type="dxa"/>
            <w:tcBorders>
              <w:top w:val="nil"/>
              <w:left w:val="nil"/>
              <w:bottom w:val="single" w:sz="4" w:space="0" w:color="auto"/>
              <w:right w:val="single" w:sz="4" w:space="0" w:color="auto"/>
            </w:tcBorders>
            <w:shd w:val="clear" w:color="000000" w:fill="EAF1DD"/>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950" w:type="dxa"/>
            <w:tcBorders>
              <w:top w:val="nil"/>
              <w:left w:val="nil"/>
              <w:bottom w:val="single" w:sz="4" w:space="0" w:color="auto"/>
              <w:right w:val="single" w:sz="4" w:space="0" w:color="auto"/>
            </w:tcBorders>
            <w:shd w:val="clear" w:color="000000" w:fill="EAF1DD"/>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950" w:type="dxa"/>
            <w:tcBorders>
              <w:top w:val="nil"/>
              <w:left w:val="nil"/>
              <w:bottom w:val="single" w:sz="4" w:space="0" w:color="auto"/>
              <w:right w:val="single" w:sz="4" w:space="0" w:color="auto"/>
            </w:tcBorders>
            <w:shd w:val="clear" w:color="000000" w:fill="EAF1DD"/>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30" w:type="dxa"/>
            <w:tcBorders>
              <w:top w:val="nil"/>
              <w:left w:val="nil"/>
              <w:bottom w:val="single" w:sz="4" w:space="0" w:color="auto"/>
              <w:right w:val="single" w:sz="4" w:space="0" w:color="auto"/>
            </w:tcBorders>
            <w:shd w:val="clear" w:color="000000" w:fill="EAF1DD"/>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r>
      <w:tr w:rsidR="00792D90" w:rsidRPr="00792D90" w:rsidTr="00792D90">
        <w:trPr>
          <w:trHeight w:val="945"/>
        </w:trPr>
        <w:tc>
          <w:tcPr>
            <w:tcW w:w="4110" w:type="dxa"/>
            <w:tcBorders>
              <w:top w:val="nil"/>
              <w:left w:val="single" w:sz="4" w:space="0" w:color="auto"/>
              <w:bottom w:val="single" w:sz="4" w:space="0" w:color="auto"/>
              <w:right w:val="single" w:sz="4" w:space="0" w:color="auto"/>
            </w:tcBorders>
            <w:shd w:val="clear" w:color="000000" w:fill="EAF1DD"/>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Return on capital employed(ROCE)[EBIT/capital employed]</w:t>
            </w:r>
          </w:p>
        </w:tc>
        <w:tc>
          <w:tcPr>
            <w:tcW w:w="950" w:type="dxa"/>
            <w:tcBorders>
              <w:top w:val="nil"/>
              <w:left w:val="nil"/>
              <w:bottom w:val="single" w:sz="4" w:space="0" w:color="auto"/>
              <w:right w:val="single" w:sz="4" w:space="0" w:color="auto"/>
            </w:tcBorders>
            <w:shd w:val="clear" w:color="000000" w:fill="EAF1DD"/>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0.27</w:t>
            </w:r>
          </w:p>
        </w:tc>
        <w:tc>
          <w:tcPr>
            <w:tcW w:w="950" w:type="dxa"/>
            <w:tcBorders>
              <w:top w:val="nil"/>
              <w:left w:val="nil"/>
              <w:bottom w:val="single" w:sz="4" w:space="0" w:color="auto"/>
              <w:right w:val="single" w:sz="4" w:space="0" w:color="auto"/>
            </w:tcBorders>
            <w:shd w:val="clear" w:color="000000" w:fill="EAF1DD"/>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0.26</w:t>
            </w:r>
          </w:p>
        </w:tc>
        <w:tc>
          <w:tcPr>
            <w:tcW w:w="950" w:type="dxa"/>
            <w:tcBorders>
              <w:top w:val="nil"/>
              <w:left w:val="nil"/>
              <w:bottom w:val="single" w:sz="4" w:space="0" w:color="auto"/>
              <w:right w:val="single" w:sz="4" w:space="0" w:color="auto"/>
            </w:tcBorders>
            <w:shd w:val="clear" w:color="000000" w:fill="EAF1DD"/>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0.14</w:t>
            </w:r>
          </w:p>
        </w:tc>
        <w:tc>
          <w:tcPr>
            <w:tcW w:w="950" w:type="dxa"/>
            <w:tcBorders>
              <w:top w:val="nil"/>
              <w:left w:val="nil"/>
              <w:bottom w:val="single" w:sz="4" w:space="0" w:color="auto"/>
              <w:right w:val="single" w:sz="4" w:space="0" w:color="auto"/>
            </w:tcBorders>
            <w:shd w:val="clear" w:color="000000" w:fill="EAF1DD"/>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0.25</w:t>
            </w:r>
          </w:p>
        </w:tc>
        <w:tc>
          <w:tcPr>
            <w:tcW w:w="1030" w:type="dxa"/>
            <w:tcBorders>
              <w:top w:val="nil"/>
              <w:left w:val="nil"/>
              <w:bottom w:val="single" w:sz="4" w:space="0" w:color="auto"/>
              <w:right w:val="single" w:sz="4" w:space="0" w:color="auto"/>
            </w:tcBorders>
            <w:shd w:val="clear" w:color="000000" w:fill="EAF1DD"/>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0.07</w:t>
            </w:r>
          </w:p>
        </w:tc>
      </w:tr>
      <w:tr w:rsidR="00792D90" w:rsidRPr="00792D90" w:rsidTr="00792D90">
        <w:trPr>
          <w:trHeight w:val="630"/>
        </w:trPr>
        <w:tc>
          <w:tcPr>
            <w:tcW w:w="4110" w:type="dxa"/>
            <w:tcBorders>
              <w:top w:val="nil"/>
              <w:left w:val="single" w:sz="4" w:space="0" w:color="auto"/>
              <w:bottom w:val="single" w:sz="4" w:space="0" w:color="auto"/>
              <w:right w:val="single" w:sz="4" w:space="0" w:color="auto"/>
            </w:tcBorders>
            <w:shd w:val="clear" w:color="000000" w:fill="EAF1DD"/>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lastRenderedPageBreak/>
              <w:t>Total asset turnover ratio(net sales or revenue/Total average asset)</w:t>
            </w:r>
          </w:p>
        </w:tc>
        <w:tc>
          <w:tcPr>
            <w:tcW w:w="950" w:type="dxa"/>
            <w:tcBorders>
              <w:top w:val="nil"/>
              <w:left w:val="nil"/>
              <w:bottom w:val="single" w:sz="4" w:space="0" w:color="auto"/>
              <w:right w:val="single" w:sz="4" w:space="0" w:color="auto"/>
            </w:tcBorders>
            <w:shd w:val="clear" w:color="000000" w:fill="EAF1DD"/>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0.64</w:t>
            </w:r>
          </w:p>
        </w:tc>
        <w:tc>
          <w:tcPr>
            <w:tcW w:w="950" w:type="dxa"/>
            <w:tcBorders>
              <w:top w:val="nil"/>
              <w:left w:val="nil"/>
              <w:bottom w:val="single" w:sz="4" w:space="0" w:color="auto"/>
              <w:right w:val="single" w:sz="4" w:space="0" w:color="auto"/>
            </w:tcBorders>
            <w:shd w:val="clear" w:color="000000" w:fill="EAF1DD"/>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0.63</w:t>
            </w:r>
          </w:p>
        </w:tc>
        <w:tc>
          <w:tcPr>
            <w:tcW w:w="950" w:type="dxa"/>
            <w:tcBorders>
              <w:top w:val="nil"/>
              <w:left w:val="nil"/>
              <w:bottom w:val="single" w:sz="4" w:space="0" w:color="auto"/>
              <w:right w:val="single" w:sz="4" w:space="0" w:color="auto"/>
            </w:tcBorders>
            <w:shd w:val="clear" w:color="000000" w:fill="EAF1DD"/>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0.57</w:t>
            </w:r>
          </w:p>
        </w:tc>
        <w:tc>
          <w:tcPr>
            <w:tcW w:w="950" w:type="dxa"/>
            <w:tcBorders>
              <w:top w:val="nil"/>
              <w:left w:val="nil"/>
              <w:bottom w:val="single" w:sz="4" w:space="0" w:color="auto"/>
              <w:right w:val="single" w:sz="4" w:space="0" w:color="auto"/>
            </w:tcBorders>
            <w:shd w:val="clear" w:color="000000" w:fill="EAF1DD"/>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0.45</w:t>
            </w:r>
          </w:p>
        </w:tc>
        <w:tc>
          <w:tcPr>
            <w:tcW w:w="1030" w:type="dxa"/>
            <w:tcBorders>
              <w:top w:val="nil"/>
              <w:left w:val="nil"/>
              <w:bottom w:val="single" w:sz="4" w:space="0" w:color="auto"/>
              <w:right w:val="single" w:sz="4" w:space="0" w:color="auto"/>
            </w:tcBorders>
            <w:shd w:val="clear" w:color="000000" w:fill="EAF1DD"/>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0.47</w:t>
            </w:r>
          </w:p>
        </w:tc>
      </w:tr>
      <w:tr w:rsidR="00792D90" w:rsidRPr="00792D90" w:rsidTr="00792D90">
        <w:trPr>
          <w:trHeight w:val="315"/>
        </w:trPr>
        <w:tc>
          <w:tcPr>
            <w:tcW w:w="4110" w:type="dxa"/>
            <w:tcBorders>
              <w:top w:val="nil"/>
              <w:left w:val="single" w:sz="4" w:space="0" w:color="auto"/>
              <w:bottom w:val="single" w:sz="4" w:space="0" w:color="auto"/>
              <w:right w:val="single" w:sz="4" w:space="0" w:color="auto"/>
            </w:tcBorders>
            <w:shd w:val="clear" w:color="000000" w:fill="DBE5F1"/>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Gearing Ratio</w:t>
            </w:r>
          </w:p>
        </w:tc>
        <w:tc>
          <w:tcPr>
            <w:tcW w:w="950" w:type="dxa"/>
            <w:tcBorders>
              <w:top w:val="nil"/>
              <w:left w:val="nil"/>
              <w:bottom w:val="single" w:sz="4" w:space="0" w:color="auto"/>
              <w:right w:val="single" w:sz="4" w:space="0" w:color="auto"/>
            </w:tcBorders>
            <w:shd w:val="clear" w:color="000000" w:fill="DBE5F1"/>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950" w:type="dxa"/>
            <w:tcBorders>
              <w:top w:val="nil"/>
              <w:left w:val="nil"/>
              <w:bottom w:val="single" w:sz="4" w:space="0" w:color="auto"/>
              <w:right w:val="single" w:sz="4" w:space="0" w:color="auto"/>
            </w:tcBorders>
            <w:shd w:val="clear" w:color="000000" w:fill="DBE5F1"/>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950" w:type="dxa"/>
            <w:tcBorders>
              <w:top w:val="nil"/>
              <w:left w:val="nil"/>
              <w:bottom w:val="single" w:sz="4" w:space="0" w:color="auto"/>
              <w:right w:val="single" w:sz="4" w:space="0" w:color="auto"/>
            </w:tcBorders>
            <w:shd w:val="clear" w:color="000000" w:fill="DBE5F1"/>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950" w:type="dxa"/>
            <w:tcBorders>
              <w:top w:val="nil"/>
              <w:left w:val="nil"/>
              <w:bottom w:val="single" w:sz="4" w:space="0" w:color="auto"/>
              <w:right w:val="single" w:sz="4" w:space="0" w:color="auto"/>
            </w:tcBorders>
            <w:shd w:val="clear" w:color="000000" w:fill="DBE5F1"/>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30" w:type="dxa"/>
            <w:tcBorders>
              <w:top w:val="nil"/>
              <w:left w:val="nil"/>
              <w:bottom w:val="single" w:sz="4" w:space="0" w:color="auto"/>
              <w:right w:val="single" w:sz="4" w:space="0" w:color="auto"/>
            </w:tcBorders>
            <w:shd w:val="clear" w:color="000000" w:fill="DBE5F1"/>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r>
      <w:tr w:rsidR="00792D90" w:rsidRPr="00792D90" w:rsidTr="00792D90">
        <w:trPr>
          <w:trHeight w:val="1290"/>
        </w:trPr>
        <w:tc>
          <w:tcPr>
            <w:tcW w:w="4110" w:type="dxa"/>
            <w:tcBorders>
              <w:top w:val="nil"/>
              <w:left w:val="single" w:sz="4" w:space="0" w:color="auto"/>
              <w:bottom w:val="single" w:sz="4" w:space="0" w:color="auto"/>
              <w:right w:val="single" w:sz="4" w:space="0" w:color="auto"/>
            </w:tcBorders>
            <w:shd w:val="clear" w:color="000000" w:fill="DBE5F1"/>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Gearing Ratio(long term liabilities/capital employed),capital employed=Share capital + retained earnings + long-term liabilities</w:t>
            </w:r>
          </w:p>
        </w:tc>
        <w:tc>
          <w:tcPr>
            <w:tcW w:w="950" w:type="dxa"/>
            <w:tcBorders>
              <w:top w:val="nil"/>
              <w:left w:val="nil"/>
              <w:bottom w:val="single" w:sz="4" w:space="0" w:color="auto"/>
              <w:right w:val="single" w:sz="4" w:space="0" w:color="auto"/>
            </w:tcBorders>
            <w:shd w:val="clear" w:color="000000" w:fill="DBE5F1"/>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78%</w:t>
            </w:r>
          </w:p>
        </w:tc>
        <w:tc>
          <w:tcPr>
            <w:tcW w:w="950" w:type="dxa"/>
            <w:tcBorders>
              <w:top w:val="nil"/>
              <w:left w:val="nil"/>
              <w:bottom w:val="single" w:sz="4" w:space="0" w:color="auto"/>
              <w:right w:val="single" w:sz="4" w:space="0" w:color="auto"/>
            </w:tcBorders>
            <w:shd w:val="clear" w:color="000000" w:fill="DBE5F1"/>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75%</w:t>
            </w:r>
          </w:p>
        </w:tc>
        <w:tc>
          <w:tcPr>
            <w:tcW w:w="950" w:type="dxa"/>
            <w:tcBorders>
              <w:top w:val="nil"/>
              <w:left w:val="nil"/>
              <w:bottom w:val="single" w:sz="4" w:space="0" w:color="auto"/>
              <w:right w:val="single" w:sz="4" w:space="0" w:color="auto"/>
            </w:tcBorders>
            <w:shd w:val="clear" w:color="000000" w:fill="DBE5F1"/>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85%</w:t>
            </w:r>
          </w:p>
        </w:tc>
        <w:tc>
          <w:tcPr>
            <w:tcW w:w="950" w:type="dxa"/>
            <w:tcBorders>
              <w:top w:val="nil"/>
              <w:left w:val="nil"/>
              <w:bottom w:val="single" w:sz="4" w:space="0" w:color="auto"/>
              <w:right w:val="single" w:sz="4" w:space="0" w:color="auto"/>
            </w:tcBorders>
            <w:shd w:val="clear" w:color="000000" w:fill="DBE5F1"/>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76%</w:t>
            </w:r>
          </w:p>
        </w:tc>
        <w:tc>
          <w:tcPr>
            <w:tcW w:w="1030" w:type="dxa"/>
            <w:tcBorders>
              <w:top w:val="nil"/>
              <w:left w:val="nil"/>
              <w:bottom w:val="single" w:sz="4" w:space="0" w:color="auto"/>
              <w:right w:val="single" w:sz="4" w:space="0" w:color="auto"/>
            </w:tcBorders>
            <w:shd w:val="clear" w:color="000000" w:fill="DBE5F1"/>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94%</w:t>
            </w:r>
          </w:p>
        </w:tc>
      </w:tr>
    </w:tbl>
    <w:p w:rsidR="00792D90" w:rsidRDefault="00792D90" w:rsidP="00116C0C"/>
    <w:tbl>
      <w:tblPr>
        <w:tblW w:w="9010" w:type="dxa"/>
        <w:tblInd w:w="94" w:type="dxa"/>
        <w:tblLook w:val="04A0"/>
      </w:tblPr>
      <w:tblGrid>
        <w:gridCol w:w="3500"/>
        <w:gridCol w:w="1100"/>
        <w:gridCol w:w="1090"/>
        <w:gridCol w:w="1140"/>
        <w:gridCol w:w="1090"/>
        <w:gridCol w:w="1090"/>
      </w:tblGrid>
      <w:tr w:rsidR="00474782" w:rsidRPr="00792D90" w:rsidTr="00474782">
        <w:trPr>
          <w:trHeight w:val="300"/>
        </w:trPr>
        <w:tc>
          <w:tcPr>
            <w:tcW w:w="9010" w:type="dxa"/>
            <w:gridSpan w:val="6"/>
            <w:tcBorders>
              <w:top w:val="single" w:sz="4" w:space="0" w:color="auto"/>
              <w:left w:val="single" w:sz="4" w:space="0" w:color="auto"/>
              <w:bottom w:val="single" w:sz="4" w:space="0" w:color="auto"/>
              <w:right w:val="single" w:sz="4" w:space="0" w:color="auto"/>
            </w:tcBorders>
            <w:shd w:val="clear" w:color="000000" w:fill="DBEEF3"/>
            <w:noWrap/>
            <w:vAlign w:val="bottom"/>
            <w:hideMark/>
          </w:tcPr>
          <w:p w:rsidR="00474782" w:rsidRPr="00792D90" w:rsidRDefault="00474782" w:rsidP="00474782">
            <w:pPr>
              <w:spacing w:after="0" w:line="240" w:lineRule="auto"/>
              <w:jc w:val="center"/>
              <w:rPr>
                <w:rFonts w:eastAsia="Times New Roman" w:cs="Times New Roman"/>
                <w:color w:val="000000"/>
                <w:szCs w:val="24"/>
                <w:lang w:val="en-US"/>
              </w:rPr>
            </w:pPr>
            <w:r>
              <w:rPr>
                <w:rFonts w:eastAsia="Times New Roman" w:cs="Times New Roman"/>
                <w:color w:val="000000"/>
                <w:szCs w:val="24"/>
                <w:lang w:val="en-US"/>
              </w:rPr>
              <w:t xml:space="preserve">Pfizer </w:t>
            </w:r>
            <w:r w:rsidRPr="00792D90">
              <w:rPr>
                <w:rFonts w:eastAsia="Times New Roman" w:cs="Times New Roman"/>
                <w:color w:val="000000"/>
                <w:szCs w:val="24"/>
                <w:lang w:val="en-US"/>
              </w:rPr>
              <w:t>Ratio Analysis</w:t>
            </w:r>
          </w:p>
        </w:tc>
      </w:tr>
      <w:tr w:rsidR="00792D90" w:rsidRPr="00792D90" w:rsidTr="00474782">
        <w:trPr>
          <w:trHeight w:val="300"/>
        </w:trPr>
        <w:tc>
          <w:tcPr>
            <w:tcW w:w="3500" w:type="dxa"/>
            <w:tcBorders>
              <w:top w:val="single" w:sz="4" w:space="0" w:color="auto"/>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financial statement  items</w:t>
            </w:r>
          </w:p>
        </w:tc>
        <w:tc>
          <w:tcPr>
            <w:tcW w:w="1100" w:type="dxa"/>
            <w:tcBorders>
              <w:top w:val="single" w:sz="4" w:space="0" w:color="auto"/>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£,million</w:t>
            </w:r>
          </w:p>
        </w:tc>
        <w:tc>
          <w:tcPr>
            <w:tcW w:w="1090" w:type="dxa"/>
            <w:tcBorders>
              <w:top w:val="single" w:sz="4" w:space="0" w:color="auto"/>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£,million</w:t>
            </w:r>
          </w:p>
        </w:tc>
        <w:tc>
          <w:tcPr>
            <w:tcW w:w="1140" w:type="dxa"/>
            <w:tcBorders>
              <w:top w:val="single" w:sz="4" w:space="0" w:color="auto"/>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£,million</w:t>
            </w:r>
          </w:p>
        </w:tc>
        <w:tc>
          <w:tcPr>
            <w:tcW w:w="1090" w:type="dxa"/>
            <w:tcBorders>
              <w:top w:val="single" w:sz="4" w:space="0" w:color="auto"/>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£,million</w:t>
            </w:r>
          </w:p>
        </w:tc>
        <w:tc>
          <w:tcPr>
            <w:tcW w:w="1090" w:type="dxa"/>
            <w:tcBorders>
              <w:top w:val="single" w:sz="4" w:space="0" w:color="auto"/>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£,million</w:t>
            </w:r>
          </w:p>
        </w:tc>
      </w:tr>
      <w:tr w:rsidR="00792D90" w:rsidRPr="00792D90" w:rsidTr="00474782">
        <w:trPr>
          <w:trHeight w:val="300"/>
        </w:trPr>
        <w:tc>
          <w:tcPr>
            <w:tcW w:w="350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10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2012</w:t>
            </w:r>
          </w:p>
        </w:tc>
        <w:tc>
          <w:tcPr>
            <w:tcW w:w="109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2013</w:t>
            </w:r>
          </w:p>
        </w:tc>
        <w:tc>
          <w:tcPr>
            <w:tcW w:w="114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2014</w:t>
            </w:r>
          </w:p>
        </w:tc>
        <w:tc>
          <w:tcPr>
            <w:tcW w:w="109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2015</w:t>
            </w:r>
          </w:p>
        </w:tc>
        <w:tc>
          <w:tcPr>
            <w:tcW w:w="109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2016</w:t>
            </w:r>
          </w:p>
        </w:tc>
      </w:tr>
      <w:tr w:rsidR="00792D90" w:rsidRPr="00792D90" w:rsidTr="00474782">
        <w:trPr>
          <w:trHeight w:val="300"/>
        </w:trPr>
        <w:tc>
          <w:tcPr>
            <w:tcW w:w="350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xml:space="preserve">Gross profit </w:t>
            </w:r>
          </w:p>
        </w:tc>
        <w:tc>
          <w:tcPr>
            <w:tcW w:w="110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44836</w:t>
            </w:r>
          </w:p>
        </w:tc>
        <w:tc>
          <w:tcPr>
            <w:tcW w:w="109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41,998</w:t>
            </w:r>
          </w:p>
        </w:tc>
        <w:tc>
          <w:tcPr>
            <w:tcW w:w="1140" w:type="dxa"/>
            <w:tcBorders>
              <w:top w:val="nil"/>
              <w:left w:val="nil"/>
              <w:bottom w:val="nil"/>
              <w:right w:val="nil"/>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40,028</w:t>
            </w:r>
          </w:p>
        </w:tc>
        <w:tc>
          <w:tcPr>
            <w:tcW w:w="1090" w:type="dxa"/>
            <w:tcBorders>
              <w:top w:val="nil"/>
              <w:left w:val="nil"/>
              <w:bottom w:val="nil"/>
              <w:right w:val="nil"/>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39,203</w:t>
            </w:r>
          </w:p>
        </w:tc>
        <w:tc>
          <w:tcPr>
            <w:tcW w:w="109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40,495</w:t>
            </w:r>
          </w:p>
        </w:tc>
      </w:tr>
      <w:tr w:rsidR="00792D90" w:rsidRPr="00792D90" w:rsidTr="00474782">
        <w:trPr>
          <w:trHeight w:val="300"/>
        </w:trPr>
        <w:tc>
          <w:tcPr>
            <w:tcW w:w="350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Total revenue earned</w:t>
            </w:r>
          </w:p>
        </w:tc>
        <w:tc>
          <w:tcPr>
            <w:tcW w:w="110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54,657</w:t>
            </w:r>
          </w:p>
        </w:tc>
        <w:tc>
          <w:tcPr>
            <w:tcW w:w="109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51,584</w:t>
            </w:r>
          </w:p>
        </w:tc>
        <w:tc>
          <w:tcPr>
            <w:tcW w:w="1140" w:type="dxa"/>
            <w:tcBorders>
              <w:top w:val="single" w:sz="4" w:space="0" w:color="auto"/>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49,605</w:t>
            </w:r>
          </w:p>
        </w:tc>
        <w:tc>
          <w:tcPr>
            <w:tcW w:w="1090" w:type="dxa"/>
            <w:tcBorders>
              <w:top w:val="single" w:sz="4" w:space="0" w:color="auto"/>
              <w:left w:val="nil"/>
              <w:bottom w:val="single" w:sz="4" w:space="0" w:color="auto"/>
              <w:right w:val="nil"/>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48851</w:t>
            </w:r>
          </w:p>
        </w:tc>
        <w:tc>
          <w:tcPr>
            <w:tcW w:w="109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52824</w:t>
            </w:r>
          </w:p>
        </w:tc>
      </w:tr>
      <w:tr w:rsidR="00792D90" w:rsidRPr="00792D90" w:rsidTr="00474782">
        <w:trPr>
          <w:trHeight w:val="300"/>
        </w:trPr>
        <w:tc>
          <w:tcPr>
            <w:tcW w:w="350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Net profit, PAT</w:t>
            </w:r>
          </w:p>
        </w:tc>
        <w:tc>
          <w:tcPr>
            <w:tcW w:w="110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9021</w:t>
            </w:r>
          </w:p>
        </w:tc>
        <w:tc>
          <w:tcPr>
            <w:tcW w:w="109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11410</w:t>
            </w:r>
          </w:p>
        </w:tc>
        <w:tc>
          <w:tcPr>
            <w:tcW w:w="114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9,119</w:t>
            </w:r>
          </w:p>
        </w:tc>
        <w:tc>
          <w:tcPr>
            <w:tcW w:w="1090" w:type="dxa"/>
            <w:tcBorders>
              <w:top w:val="nil"/>
              <w:left w:val="nil"/>
              <w:bottom w:val="single" w:sz="4" w:space="0" w:color="auto"/>
              <w:right w:val="nil"/>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6,975</w:t>
            </w:r>
          </w:p>
        </w:tc>
        <w:tc>
          <w:tcPr>
            <w:tcW w:w="109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7,229</w:t>
            </w:r>
          </w:p>
        </w:tc>
      </w:tr>
      <w:tr w:rsidR="00792D90" w:rsidRPr="00792D90" w:rsidTr="00474782">
        <w:trPr>
          <w:trHeight w:val="300"/>
        </w:trPr>
        <w:tc>
          <w:tcPr>
            <w:tcW w:w="350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Current asset</w:t>
            </w:r>
          </w:p>
        </w:tc>
        <w:tc>
          <w:tcPr>
            <w:tcW w:w="1100" w:type="dxa"/>
            <w:tcBorders>
              <w:top w:val="nil"/>
              <w:left w:val="nil"/>
              <w:bottom w:val="nil"/>
              <w:right w:val="nil"/>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64,831</w:t>
            </w:r>
          </w:p>
        </w:tc>
        <w:tc>
          <w:tcPr>
            <w:tcW w:w="109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56,244</w:t>
            </w:r>
          </w:p>
        </w:tc>
        <w:tc>
          <w:tcPr>
            <w:tcW w:w="114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57,702</w:t>
            </w:r>
          </w:p>
        </w:tc>
        <w:tc>
          <w:tcPr>
            <w:tcW w:w="1090" w:type="dxa"/>
            <w:tcBorders>
              <w:top w:val="nil"/>
              <w:left w:val="nil"/>
              <w:bottom w:val="nil"/>
              <w:right w:val="nil"/>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43,804</w:t>
            </w:r>
          </w:p>
        </w:tc>
        <w:tc>
          <w:tcPr>
            <w:tcW w:w="109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38,949</w:t>
            </w:r>
          </w:p>
        </w:tc>
      </w:tr>
      <w:tr w:rsidR="00792D90" w:rsidRPr="00792D90" w:rsidTr="00474782">
        <w:trPr>
          <w:trHeight w:val="300"/>
        </w:trPr>
        <w:tc>
          <w:tcPr>
            <w:tcW w:w="350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Current liability</w:t>
            </w:r>
          </w:p>
        </w:tc>
        <w:tc>
          <w:tcPr>
            <w:tcW w:w="1100" w:type="dxa"/>
            <w:tcBorders>
              <w:top w:val="single" w:sz="4" w:space="0" w:color="auto"/>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29,186</w:t>
            </w:r>
          </w:p>
        </w:tc>
        <w:tc>
          <w:tcPr>
            <w:tcW w:w="109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23,366</w:t>
            </w:r>
          </w:p>
        </w:tc>
        <w:tc>
          <w:tcPr>
            <w:tcW w:w="114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21,631</w:t>
            </w:r>
          </w:p>
        </w:tc>
        <w:tc>
          <w:tcPr>
            <w:tcW w:w="1090" w:type="dxa"/>
            <w:tcBorders>
              <w:top w:val="single" w:sz="4" w:space="0" w:color="auto"/>
              <w:left w:val="nil"/>
              <w:bottom w:val="single" w:sz="4" w:space="0" w:color="auto"/>
              <w:right w:val="nil"/>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29399</w:t>
            </w:r>
          </w:p>
        </w:tc>
        <w:tc>
          <w:tcPr>
            <w:tcW w:w="109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31,115</w:t>
            </w:r>
          </w:p>
        </w:tc>
      </w:tr>
      <w:tr w:rsidR="00792D90" w:rsidRPr="00792D90" w:rsidTr="00474782">
        <w:trPr>
          <w:trHeight w:val="300"/>
        </w:trPr>
        <w:tc>
          <w:tcPr>
            <w:tcW w:w="350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Average Inventory holding</w:t>
            </w:r>
          </w:p>
        </w:tc>
        <w:tc>
          <w:tcPr>
            <w:tcW w:w="110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6076</w:t>
            </w:r>
          </w:p>
        </w:tc>
        <w:tc>
          <w:tcPr>
            <w:tcW w:w="109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6,166</w:t>
            </w:r>
          </w:p>
        </w:tc>
        <w:tc>
          <w:tcPr>
            <w:tcW w:w="114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5,663</w:t>
            </w:r>
          </w:p>
        </w:tc>
        <w:tc>
          <w:tcPr>
            <w:tcW w:w="1090" w:type="dxa"/>
            <w:tcBorders>
              <w:top w:val="nil"/>
              <w:left w:val="nil"/>
              <w:bottom w:val="single" w:sz="4" w:space="0" w:color="auto"/>
              <w:right w:val="nil"/>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7513</w:t>
            </w:r>
          </w:p>
        </w:tc>
        <w:tc>
          <w:tcPr>
            <w:tcW w:w="109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6783</w:t>
            </w:r>
          </w:p>
        </w:tc>
      </w:tr>
      <w:tr w:rsidR="00792D90" w:rsidRPr="00792D90" w:rsidTr="00474782">
        <w:trPr>
          <w:trHeight w:val="300"/>
        </w:trPr>
        <w:tc>
          <w:tcPr>
            <w:tcW w:w="350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share capital</w:t>
            </w:r>
          </w:p>
        </w:tc>
        <w:tc>
          <w:tcPr>
            <w:tcW w:w="110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40122</w:t>
            </w:r>
          </w:p>
        </w:tc>
        <w:tc>
          <w:tcPr>
            <w:tcW w:w="109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67,923</w:t>
            </w:r>
          </w:p>
        </w:tc>
        <w:tc>
          <w:tcPr>
            <w:tcW w:w="114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73,021</w:t>
            </w:r>
          </w:p>
        </w:tc>
        <w:tc>
          <w:tcPr>
            <w:tcW w:w="1090" w:type="dxa"/>
            <w:tcBorders>
              <w:top w:val="nil"/>
              <w:left w:val="nil"/>
              <w:bottom w:val="single" w:sz="4" w:space="0" w:color="auto"/>
              <w:right w:val="nil"/>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79252</w:t>
            </w:r>
          </w:p>
        </w:tc>
        <w:tc>
          <w:tcPr>
            <w:tcW w:w="109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84364</w:t>
            </w:r>
          </w:p>
        </w:tc>
      </w:tr>
      <w:tr w:rsidR="00792D90" w:rsidRPr="00792D90" w:rsidTr="00474782">
        <w:trPr>
          <w:trHeight w:val="300"/>
        </w:trPr>
        <w:tc>
          <w:tcPr>
            <w:tcW w:w="350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Retained earning</w:t>
            </w:r>
          </w:p>
        </w:tc>
        <w:tc>
          <w:tcPr>
            <w:tcW w:w="110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14570</w:t>
            </w:r>
          </w:p>
        </w:tc>
        <w:tc>
          <w:tcPr>
            <w:tcW w:w="109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22,003</w:t>
            </w:r>
          </w:p>
        </w:tc>
        <w:tc>
          <w:tcPr>
            <w:tcW w:w="114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9,135</w:t>
            </w:r>
          </w:p>
        </w:tc>
        <w:tc>
          <w:tcPr>
            <w:tcW w:w="1090" w:type="dxa"/>
            <w:tcBorders>
              <w:top w:val="nil"/>
              <w:left w:val="nil"/>
              <w:bottom w:val="single" w:sz="4" w:space="0" w:color="auto"/>
              <w:right w:val="nil"/>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6,960</w:t>
            </w:r>
          </w:p>
        </w:tc>
        <w:tc>
          <w:tcPr>
            <w:tcW w:w="109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7,215</w:t>
            </w:r>
          </w:p>
        </w:tc>
      </w:tr>
      <w:tr w:rsidR="00792D90" w:rsidRPr="00792D90" w:rsidTr="00474782">
        <w:trPr>
          <w:trHeight w:val="300"/>
        </w:trPr>
        <w:tc>
          <w:tcPr>
            <w:tcW w:w="350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long term liabilities</w:t>
            </w:r>
          </w:p>
        </w:tc>
        <w:tc>
          <w:tcPr>
            <w:tcW w:w="110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74934</w:t>
            </w:r>
          </w:p>
        </w:tc>
        <w:tc>
          <w:tcPr>
            <w:tcW w:w="109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76,021</w:t>
            </w:r>
          </w:p>
        </w:tc>
        <w:tc>
          <w:tcPr>
            <w:tcW w:w="114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72,115</w:t>
            </w:r>
          </w:p>
        </w:tc>
        <w:tc>
          <w:tcPr>
            <w:tcW w:w="1090" w:type="dxa"/>
            <w:tcBorders>
              <w:top w:val="nil"/>
              <w:left w:val="nil"/>
              <w:bottom w:val="single" w:sz="4" w:space="0" w:color="auto"/>
              <w:right w:val="nil"/>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72,985</w:t>
            </w:r>
          </w:p>
        </w:tc>
        <w:tc>
          <w:tcPr>
            <w:tcW w:w="109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80,661</w:t>
            </w:r>
          </w:p>
        </w:tc>
      </w:tr>
      <w:tr w:rsidR="00792D90" w:rsidRPr="00792D90" w:rsidTr="00474782">
        <w:trPr>
          <w:trHeight w:val="300"/>
        </w:trPr>
        <w:tc>
          <w:tcPr>
            <w:tcW w:w="350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capital employed</w:t>
            </w:r>
          </w:p>
        </w:tc>
        <w:tc>
          <w:tcPr>
            <w:tcW w:w="110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129,626</w:t>
            </w:r>
          </w:p>
        </w:tc>
        <w:tc>
          <w:tcPr>
            <w:tcW w:w="109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165,947</w:t>
            </w:r>
          </w:p>
        </w:tc>
        <w:tc>
          <w:tcPr>
            <w:tcW w:w="114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154,271</w:t>
            </w:r>
          </w:p>
        </w:tc>
        <w:tc>
          <w:tcPr>
            <w:tcW w:w="1090" w:type="dxa"/>
            <w:tcBorders>
              <w:top w:val="nil"/>
              <w:left w:val="nil"/>
              <w:bottom w:val="single" w:sz="4" w:space="0" w:color="auto"/>
              <w:right w:val="nil"/>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159,197</w:t>
            </w:r>
          </w:p>
        </w:tc>
        <w:tc>
          <w:tcPr>
            <w:tcW w:w="109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172,240</w:t>
            </w:r>
          </w:p>
        </w:tc>
      </w:tr>
      <w:tr w:rsidR="00792D90" w:rsidRPr="00792D90" w:rsidTr="00474782">
        <w:trPr>
          <w:trHeight w:val="300"/>
        </w:trPr>
        <w:tc>
          <w:tcPr>
            <w:tcW w:w="350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Total average asset</w:t>
            </w:r>
          </w:p>
        </w:tc>
        <w:tc>
          <w:tcPr>
            <w:tcW w:w="110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185789</w:t>
            </w:r>
          </w:p>
        </w:tc>
        <w:tc>
          <w:tcPr>
            <w:tcW w:w="109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172,101</w:t>
            </w:r>
          </w:p>
        </w:tc>
        <w:tc>
          <w:tcPr>
            <w:tcW w:w="114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169,274</w:t>
            </w:r>
          </w:p>
        </w:tc>
        <w:tc>
          <w:tcPr>
            <w:tcW w:w="1090" w:type="dxa"/>
            <w:tcBorders>
              <w:top w:val="nil"/>
              <w:left w:val="nil"/>
              <w:bottom w:val="nil"/>
              <w:right w:val="nil"/>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167,381</w:t>
            </w:r>
          </w:p>
        </w:tc>
        <w:tc>
          <w:tcPr>
            <w:tcW w:w="109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171,615</w:t>
            </w:r>
          </w:p>
        </w:tc>
      </w:tr>
      <w:tr w:rsidR="00792D90" w:rsidRPr="00792D90" w:rsidTr="00474782">
        <w:trPr>
          <w:trHeight w:val="300"/>
        </w:trPr>
        <w:tc>
          <w:tcPr>
            <w:tcW w:w="350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EBIT</w:t>
            </w:r>
          </w:p>
        </w:tc>
        <w:tc>
          <w:tcPr>
            <w:tcW w:w="110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11242</w:t>
            </w:r>
          </w:p>
        </w:tc>
        <w:tc>
          <w:tcPr>
            <w:tcW w:w="1090" w:type="dxa"/>
            <w:tcBorders>
              <w:top w:val="nil"/>
              <w:left w:val="nil"/>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15,716</w:t>
            </w:r>
          </w:p>
        </w:tc>
        <w:tc>
          <w:tcPr>
            <w:tcW w:w="1140" w:type="dxa"/>
            <w:tcBorders>
              <w:top w:val="nil"/>
              <w:left w:val="nil"/>
              <w:bottom w:val="nil"/>
              <w:right w:val="nil"/>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12,240</w:t>
            </w:r>
          </w:p>
        </w:tc>
        <w:tc>
          <w:tcPr>
            <w:tcW w:w="1090" w:type="dxa"/>
            <w:tcBorders>
              <w:top w:val="single" w:sz="4" w:space="0" w:color="auto"/>
              <w:left w:val="single" w:sz="4" w:space="0" w:color="auto"/>
              <w:bottom w:val="single" w:sz="4" w:space="0" w:color="auto"/>
              <w:right w:val="nil"/>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8,965</w:t>
            </w:r>
          </w:p>
        </w:tc>
        <w:tc>
          <w:tcPr>
            <w:tcW w:w="1090" w:type="dxa"/>
            <w:tcBorders>
              <w:top w:val="nil"/>
              <w:left w:val="single" w:sz="4" w:space="0" w:color="auto"/>
              <w:bottom w:val="single" w:sz="4" w:space="0" w:color="auto"/>
              <w:right w:val="single" w:sz="4" w:space="0" w:color="auto"/>
            </w:tcBorders>
            <w:shd w:val="clear" w:color="000000" w:fill="DBEEF3"/>
            <w:noWrap/>
            <w:vAlign w:val="bottom"/>
            <w:hideMark/>
          </w:tcPr>
          <w:p w:rsidR="00792D90" w:rsidRPr="00792D90" w:rsidRDefault="00792D90" w:rsidP="00792D90">
            <w:pPr>
              <w:spacing w:after="0" w:line="240" w:lineRule="auto"/>
              <w:jc w:val="right"/>
              <w:rPr>
                <w:rFonts w:eastAsia="Times New Roman" w:cs="Times New Roman"/>
                <w:szCs w:val="24"/>
                <w:lang w:val="en-US"/>
              </w:rPr>
            </w:pPr>
            <w:r w:rsidRPr="00792D90">
              <w:rPr>
                <w:rFonts w:eastAsia="Times New Roman" w:cs="Times New Roman"/>
                <w:szCs w:val="24"/>
                <w:lang w:val="en-US"/>
              </w:rPr>
              <w:t>8,351</w:t>
            </w:r>
          </w:p>
        </w:tc>
      </w:tr>
      <w:tr w:rsidR="00792D90" w:rsidRPr="00792D90" w:rsidTr="00474782">
        <w:trPr>
          <w:trHeight w:val="300"/>
        </w:trPr>
        <w:tc>
          <w:tcPr>
            <w:tcW w:w="3500" w:type="dxa"/>
            <w:tcBorders>
              <w:top w:val="nil"/>
              <w:left w:val="single" w:sz="4" w:space="0" w:color="auto"/>
              <w:bottom w:val="single" w:sz="4" w:space="0" w:color="auto"/>
              <w:right w:val="single" w:sz="4" w:space="0" w:color="auto"/>
            </w:tcBorders>
            <w:shd w:val="clear" w:color="auto" w:fill="auto"/>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100" w:type="dxa"/>
            <w:tcBorders>
              <w:top w:val="nil"/>
              <w:left w:val="nil"/>
              <w:bottom w:val="single" w:sz="4" w:space="0" w:color="auto"/>
              <w:right w:val="single" w:sz="4" w:space="0" w:color="auto"/>
            </w:tcBorders>
            <w:shd w:val="clear" w:color="auto" w:fill="auto"/>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90" w:type="dxa"/>
            <w:tcBorders>
              <w:top w:val="nil"/>
              <w:left w:val="nil"/>
              <w:bottom w:val="single" w:sz="4" w:space="0" w:color="auto"/>
              <w:right w:val="single" w:sz="4" w:space="0" w:color="auto"/>
            </w:tcBorders>
            <w:shd w:val="clear" w:color="auto" w:fill="auto"/>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140" w:type="dxa"/>
            <w:tcBorders>
              <w:top w:val="single" w:sz="4" w:space="0" w:color="auto"/>
              <w:left w:val="nil"/>
              <w:bottom w:val="single" w:sz="4" w:space="0" w:color="auto"/>
              <w:right w:val="single" w:sz="4" w:space="0" w:color="auto"/>
            </w:tcBorders>
            <w:shd w:val="clear" w:color="auto" w:fill="auto"/>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90" w:type="dxa"/>
            <w:tcBorders>
              <w:top w:val="nil"/>
              <w:left w:val="nil"/>
              <w:bottom w:val="single" w:sz="4" w:space="0" w:color="auto"/>
              <w:right w:val="single" w:sz="4" w:space="0" w:color="auto"/>
            </w:tcBorders>
            <w:shd w:val="clear" w:color="auto" w:fill="auto"/>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90" w:type="dxa"/>
            <w:tcBorders>
              <w:top w:val="nil"/>
              <w:left w:val="nil"/>
              <w:bottom w:val="single" w:sz="4" w:space="0" w:color="auto"/>
              <w:right w:val="single" w:sz="4" w:space="0" w:color="auto"/>
            </w:tcBorders>
            <w:shd w:val="clear" w:color="auto" w:fill="auto"/>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r>
      <w:tr w:rsidR="00792D90" w:rsidRPr="00792D90" w:rsidTr="00474782">
        <w:trPr>
          <w:trHeight w:val="300"/>
        </w:trPr>
        <w:tc>
          <w:tcPr>
            <w:tcW w:w="3500" w:type="dxa"/>
            <w:tcBorders>
              <w:top w:val="nil"/>
              <w:left w:val="single" w:sz="4" w:space="0" w:color="auto"/>
              <w:bottom w:val="single" w:sz="4" w:space="0" w:color="auto"/>
              <w:right w:val="single" w:sz="4" w:space="0" w:color="auto"/>
            </w:tcBorders>
            <w:shd w:val="clear" w:color="auto" w:fill="auto"/>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100" w:type="dxa"/>
            <w:tcBorders>
              <w:top w:val="nil"/>
              <w:left w:val="nil"/>
              <w:bottom w:val="single" w:sz="4" w:space="0" w:color="auto"/>
              <w:right w:val="single" w:sz="4" w:space="0" w:color="auto"/>
            </w:tcBorders>
            <w:shd w:val="clear" w:color="000000" w:fill="EEECE1"/>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2012</w:t>
            </w:r>
          </w:p>
        </w:tc>
        <w:tc>
          <w:tcPr>
            <w:tcW w:w="1090" w:type="dxa"/>
            <w:tcBorders>
              <w:top w:val="nil"/>
              <w:left w:val="nil"/>
              <w:bottom w:val="single" w:sz="4" w:space="0" w:color="auto"/>
              <w:right w:val="single" w:sz="4" w:space="0" w:color="auto"/>
            </w:tcBorders>
            <w:shd w:val="clear" w:color="000000" w:fill="EEECE1"/>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2013</w:t>
            </w:r>
          </w:p>
        </w:tc>
        <w:tc>
          <w:tcPr>
            <w:tcW w:w="1140" w:type="dxa"/>
            <w:tcBorders>
              <w:top w:val="nil"/>
              <w:left w:val="nil"/>
              <w:bottom w:val="single" w:sz="4" w:space="0" w:color="auto"/>
              <w:right w:val="single" w:sz="4" w:space="0" w:color="auto"/>
            </w:tcBorders>
            <w:shd w:val="clear" w:color="000000" w:fill="EEECE1"/>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2014</w:t>
            </w:r>
          </w:p>
        </w:tc>
        <w:tc>
          <w:tcPr>
            <w:tcW w:w="1090" w:type="dxa"/>
            <w:tcBorders>
              <w:top w:val="nil"/>
              <w:left w:val="nil"/>
              <w:bottom w:val="single" w:sz="4" w:space="0" w:color="auto"/>
              <w:right w:val="single" w:sz="4" w:space="0" w:color="auto"/>
            </w:tcBorders>
            <w:shd w:val="clear" w:color="000000" w:fill="EEECE1"/>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2015</w:t>
            </w:r>
          </w:p>
        </w:tc>
        <w:tc>
          <w:tcPr>
            <w:tcW w:w="1090" w:type="dxa"/>
            <w:tcBorders>
              <w:top w:val="nil"/>
              <w:left w:val="nil"/>
              <w:bottom w:val="single" w:sz="4" w:space="0" w:color="auto"/>
              <w:right w:val="single" w:sz="4" w:space="0" w:color="auto"/>
            </w:tcBorders>
            <w:shd w:val="clear" w:color="000000" w:fill="EEECE1"/>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2016</w:t>
            </w:r>
          </w:p>
        </w:tc>
      </w:tr>
      <w:tr w:rsidR="00792D90" w:rsidRPr="00792D90" w:rsidTr="00474782">
        <w:trPr>
          <w:trHeight w:val="300"/>
        </w:trPr>
        <w:tc>
          <w:tcPr>
            <w:tcW w:w="3500" w:type="dxa"/>
            <w:tcBorders>
              <w:top w:val="nil"/>
              <w:left w:val="single" w:sz="4" w:space="0" w:color="auto"/>
              <w:bottom w:val="single" w:sz="4" w:space="0" w:color="auto"/>
              <w:right w:val="single" w:sz="4" w:space="0" w:color="auto"/>
            </w:tcBorders>
            <w:shd w:val="clear" w:color="000000" w:fill="B2A1C7"/>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Profitability Ratios</w:t>
            </w:r>
          </w:p>
        </w:tc>
        <w:tc>
          <w:tcPr>
            <w:tcW w:w="1100" w:type="dxa"/>
            <w:tcBorders>
              <w:top w:val="nil"/>
              <w:left w:val="nil"/>
              <w:bottom w:val="single" w:sz="4" w:space="0" w:color="auto"/>
              <w:right w:val="single" w:sz="4" w:space="0" w:color="auto"/>
            </w:tcBorders>
            <w:shd w:val="clear" w:color="000000" w:fill="B2A1C7"/>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90" w:type="dxa"/>
            <w:tcBorders>
              <w:top w:val="nil"/>
              <w:left w:val="nil"/>
              <w:bottom w:val="single" w:sz="4" w:space="0" w:color="auto"/>
              <w:right w:val="single" w:sz="4" w:space="0" w:color="auto"/>
            </w:tcBorders>
            <w:shd w:val="clear" w:color="000000" w:fill="B2A1C7"/>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140" w:type="dxa"/>
            <w:tcBorders>
              <w:top w:val="nil"/>
              <w:left w:val="nil"/>
              <w:bottom w:val="single" w:sz="4" w:space="0" w:color="auto"/>
              <w:right w:val="single" w:sz="4" w:space="0" w:color="auto"/>
            </w:tcBorders>
            <w:shd w:val="clear" w:color="000000" w:fill="B2A1C7"/>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90" w:type="dxa"/>
            <w:tcBorders>
              <w:top w:val="nil"/>
              <w:left w:val="nil"/>
              <w:bottom w:val="single" w:sz="4" w:space="0" w:color="auto"/>
              <w:right w:val="single" w:sz="4" w:space="0" w:color="auto"/>
            </w:tcBorders>
            <w:shd w:val="clear" w:color="000000" w:fill="B2A1C7"/>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90" w:type="dxa"/>
            <w:tcBorders>
              <w:top w:val="nil"/>
              <w:left w:val="nil"/>
              <w:bottom w:val="single" w:sz="4" w:space="0" w:color="auto"/>
              <w:right w:val="single" w:sz="4" w:space="0" w:color="auto"/>
            </w:tcBorders>
            <w:shd w:val="clear" w:color="000000" w:fill="B2A1C7"/>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r>
      <w:tr w:rsidR="00792D90" w:rsidRPr="00792D90" w:rsidTr="00474782">
        <w:trPr>
          <w:trHeight w:val="990"/>
        </w:trPr>
        <w:tc>
          <w:tcPr>
            <w:tcW w:w="3500" w:type="dxa"/>
            <w:tcBorders>
              <w:top w:val="nil"/>
              <w:left w:val="single" w:sz="4" w:space="0" w:color="auto"/>
              <w:bottom w:val="single" w:sz="4" w:space="0" w:color="auto"/>
              <w:right w:val="single" w:sz="4" w:space="0" w:color="auto"/>
            </w:tcBorders>
            <w:shd w:val="clear" w:color="000000" w:fill="B2A1C7"/>
            <w:vAlign w:val="bottom"/>
            <w:hideMark/>
          </w:tcPr>
          <w:p w:rsidR="00792D90" w:rsidRPr="00792D90" w:rsidRDefault="00792D90" w:rsidP="00792D90">
            <w:pPr>
              <w:spacing w:after="0" w:line="240" w:lineRule="auto"/>
              <w:jc w:val="left"/>
              <w:rPr>
                <w:rFonts w:eastAsia="Times New Roman" w:cs="Times New Roman"/>
                <w:b/>
                <w:bCs/>
                <w:i/>
                <w:iCs/>
                <w:color w:val="000000"/>
                <w:szCs w:val="24"/>
                <w:lang w:val="en-US"/>
              </w:rPr>
            </w:pPr>
            <w:r w:rsidRPr="00792D90">
              <w:rPr>
                <w:rFonts w:eastAsia="Times New Roman" w:cs="Times New Roman"/>
                <w:b/>
                <w:bCs/>
                <w:i/>
                <w:iCs/>
                <w:color w:val="000000"/>
                <w:szCs w:val="24"/>
                <w:lang w:val="en-US"/>
              </w:rPr>
              <w:t>Gross profit margin</w:t>
            </w:r>
            <w:r w:rsidRPr="00792D90">
              <w:rPr>
                <w:rFonts w:eastAsia="Times New Roman" w:cs="Times New Roman"/>
                <w:color w:val="000000"/>
                <w:szCs w:val="24"/>
                <w:lang w:val="en-US"/>
              </w:rPr>
              <w:t xml:space="preserve"> ([Gross profit /Net sales]*100) </w:t>
            </w:r>
          </w:p>
        </w:tc>
        <w:tc>
          <w:tcPr>
            <w:tcW w:w="1100" w:type="dxa"/>
            <w:tcBorders>
              <w:top w:val="nil"/>
              <w:left w:val="nil"/>
              <w:bottom w:val="single" w:sz="4" w:space="0" w:color="auto"/>
              <w:right w:val="single" w:sz="4" w:space="0" w:color="auto"/>
            </w:tcBorders>
            <w:shd w:val="clear" w:color="000000" w:fill="B2A1C7"/>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82%</w:t>
            </w:r>
          </w:p>
        </w:tc>
        <w:tc>
          <w:tcPr>
            <w:tcW w:w="1090" w:type="dxa"/>
            <w:tcBorders>
              <w:top w:val="nil"/>
              <w:left w:val="nil"/>
              <w:bottom w:val="single" w:sz="4" w:space="0" w:color="auto"/>
              <w:right w:val="single" w:sz="4" w:space="0" w:color="auto"/>
            </w:tcBorders>
            <w:shd w:val="clear" w:color="000000" w:fill="B2A1C7"/>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81%</w:t>
            </w:r>
          </w:p>
        </w:tc>
        <w:tc>
          <w:tcPr>
            <w:tcW w:w="1140" w:type="dxa"/>
            <w:tcBorders>
              <w:top w:val="nil"/>
              <w:left w:val="nil"/>
              <w:bottom w:val="single" w:sz="4" w:space="0" w:color="auto"/>
              <w:right w:val="single" w:sz="4" w:space="0" w:color="auto"/>
            </w:tcBorders>
            <w:shd w:val="clear" w:color="000000" w:fill="B2A1C7"/>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81%</w:t>
            </w:r>
          </w:p>
        </w:tc>
        <w:tc>
          <w:tcPr>
            <w:tcW w:w="1090" w:type="dxa"/>
            <w:tcBorders>
              <w:top w:val="nil"/>
              <w:left w:val="nil"/>
              <w:bottom w:val="single" w:sz="4" w:space="0" w:color="auto"/>
              <w:right w:val="single" w:sz="4" w:space="0" w:color="auto"/>
            </w:tcBorders>
            <w:shd w:val="clear" w:color="000000" w:fill="B2A1C7"/>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80%</w:t>
            </w:r>
          </w:p>
        </w:tc>
        <w:tc>
          <w:tcPr>
            <w:tcW w:w="1090" w:type="dxa"/>
            <w:tcBorders>
              <w:top w:val="nil"/>
              <w:left w:val="nil"/>
              <w:bottom w:val="single" w:sz="4" w:space="0" w:color="auto"/>
              <w:right w:val="single" w:sz="4" w:space="0" w:color="auto"/>
            </w:tcBorders>
            <w:shd w:val="clear" w:color="000000" w:fill="B2A1C7"/>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77%</w:t>
            </w:r>
          </w:p>
        </w:tc>
      </w:tr>
      <w:tr w:rsidR="00792D90" w:rsidRPr="00792D90" w:rsidTr="00474782">
        <w:trPr>
          <w:trHeight w:val="600"/>
        </w:trPr>
        <w:tc>
          <w:tcPr>
            <w:tcW w:w="3500" w:type="dxa"/>
            <w:tcBorders>
              <w:top w:val="nil"/>
              <w:left w:val="single" w:sz="4" w:space="0" w:color="auto"/>
              <w:bottom w:val="single" w:sz="4" w:space="0" w:color="auto"/>
              <w:right w:val="single" w:sz="4" w:space="0" w:color="auto"/>
            </w:tcBorders>
            <w:shd w:val="clear" w:color="000000" w:fill="B2A1C7"/>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b/>
                <w:bCs/>
                <w:color w:val="000000"/>
                <w:szCs w:val="24"/>
                <w:lang w:val="en-US"/>
              </w:rPr>
              <w:t>Net Profit margin</w:t>
            </w:r>
            <w:r w:rsidRPr="00792D90">
              <w:rPr>
                <w:rFonts w:eastAsia="Times New Roman" w:cs="Times New Roman"/>
                <w:color w:val="000000"/>
                <w:szCs w:val="24"/>
                <w:lang w:val="en-US"/>
              </w:rPr>
              <w:t xml:space="preserve"> (Net profit or PAT/Net sales): </w:t>
            </w:r>
          </w:p>
        </w:tc>
        <w:tc>
          <w:tcPr>
            <w:tcW w:w="1100" w:type="dxa"/>
            <w:tcBorders>
              <w:top w:val="nil"/>
              <w:left w:val="nil"/>
              <w:bottom w:val="single" w:sz="4" w:space="0" w:color="auto"/>
              <w:right w:val="single" w:sz="4" w:space="0" w:color="auto"/>
            </w:tcBorders>
            <w:shd w:val="clear" w:color="000000" w:fill="B2A1C7"/>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16.50%</w:t>
            </w:r>
          </w:p>
        </w:tc>
        <w:tc>
          <w:tcPr>
            <w:tcW w:w="1090" w:type="dxa"/>
            <w:tcBorders>
              <w:top w:val="nil"/>
              <w:left w:val="nil"/>
              <w:bottom w:val="single" w:sz="4" w:space="0" w:color="auto"/>
              <w:right w:val="single" w:sz="4" w:space="0" w:color="auto"/>
            </w:tcBorders>
            <w:shd w:val="clear" w:color="000000" w:fill="B2A1C7"/>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22.12%</w:t>
            </w:r>
          </w:p>
        </w:tc>
        <w:tc>
          <w:tcPr>
            <w:tcW w:w="1140" w:type="dxa"/>
            <w:tcBorders>
              <w:top w:val="nil"/>
              <w:left w:val="nil"/>
              <w:bottom w:val="single" w:sz="4" w:space="0" w:color="auto"/>
              <w:right w:val="single" w:sz="4" w:space="0" w:color="auto"/>
            </w:tcBorders>
            <w:shd w:val="clear" w:color="000000" w:fill="B2A1C7"/>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18.38%</w:t>
            </w:r>
          </w:p>
        </w:tc>
        <w:tc>
          <w:tcPr>
            <w:tcW w:w="1090" w:type="dxa"/>
            <w:tcBorders>
              <w:top w:val="nil"/>
              <w:left w:val="nil"/>
              <w:bottom w:val="single" w:sz="4" w:space="0" w:color="auto"/>
              <w:right w:val="single" w:sz="4" w:space="0" w:color="auto"/>
            </w:tcBorders>
            <w:shd w:val="clear" w:color="000000" w:fill="B2A1C7"/>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14.28%</w:t>
            </w:r>
          </w:p>
        </w:tc>
        <w:tc>
          <w:tcPr>
            <w:tcW w:w="1090" w:type="dxa"/>
            <w:tcBorders>
              <w:top w:val="nil"/>
              <w:left w:val="nil"/>
              <w:bottom w:val="single" w:sz="4" w:space="0" w:color="auto"/>
              <w:right w:val="single" w:sz="4" w:space="0" w:color="auto"/>
            </w:tcBorders>
            <w:shd w:val="clear" w:color="000000" w:fill="B2A1C7"/>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13.69%</w:t>
            </w:r>
          </w:p>
        </w:tc>
      </w:tr>
      <w:tr w:rsidR="00792D90" w:rsidRPr="00792D90" w:rsidTr="00474782">
        <w:trPr>
          <w:trHeight w:val="300"/>
        </w:trPr>
        <w:tc>
          <w:tcPr>
            <w:tcW w:w="3500" w:type="dxa"/>
            <w:tcBorders>
              <w:top w:val="nil"/>
              <w:left w:val="single" w:sz="4" w:space="0" w:color="auto"/>
              <w:bottom w:val="single" w:sz="4" w:space="0" w:color="auto"/>
              <w:right w:val="single" w:sz="4" w:space="0" w:color="auto"/>
            </w:tcBorders>
            <w:shd w:val="clear" w:color="000000" w:fill="D99795"/>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Liquidity ratio</w:t>
            </w:r>
          </w:p>
        </w:tc>
        <w:tc>
          <w:tcPr>
            <w:tcW w:w="1100" w:type="dxa"/>
            <w:tcBorders>
              <w:top w:val="nil"/>
              <w:left w:val="nil"/>
              <w:bottom w:val="single" w:sz="4" w:space="0" w:color="auto"/>
              <w:right w:val="single" w:sz="4" w:space="0" w:color="auto"/>
            </w:tcBorders>
            <w:shd w:val="clear" w:color="000000" w:fill="D99795"/>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90" w:type="dxa"/>
            <w:tcBorders>
              <w:top w:val="nil"/>
              <w:left w:val="nil"/>
              <w:bottom w:val="single" w:sz="4" w:space="0" w:color="auto"/>
              <w:right w:val="single" w:sz="4" w:space="0" w:color="auto"/>
            </w:tcBorders>
            <w:shd w:val="clear" w:color="000000" w:fill="D99795"/>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140" w:type="dxa"/>
            <w:tcBorders>
              <w:top w:val="nil"/>
              <w:left w:val="nil"/>
              <w:bottom w:val="single" w:sz="4" w:space="0" w:color="auto"/>
              <w:right w:val="single" w:sz="4" w:space="0" w:color="auto"/>
            </w:tcBorders>
            <w:shd w:val="clear" w:color="000000" w:fill="D99795"/>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90" w:type="dxa"/>
            <w:tcBorders>
              <w:top w:val="nil"/>
              <w:left w:val="nil"/>
              <w:bottom w:val="single" w:sz="4" w:space="0" w:color="auto"/>
              <w:right w:val="single" w:sz="4" w:space="0" w:color="auto"/>
            </w:tcBorders>
            <w:shd w:val="clear" w:color="000000" w:fill="D99795"/>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90" w:type="dxa"/>
            <w:tcBorders>
              <w:top w:val="nil"/>
              <w:left w:val="nil"/>
              <w:bottom w:val="single" w:sz="4" w:space="0" w:color="auto"/>
              <w:right w:val="single" w:sz="4" w:space="0" w:color="auto"/>
            </w:tcBorders>
            <w:shd w:val="clear" w:color="000000" w:fill="D99795"/>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r>
      <w:tr w:rsidR="00792D90" w:rsidRPr="00792D90" w:rsidTr="00474782">
        <w:trPr>
          <w:trHeight w:val="600"/>
        </w:trPr>
        <w:tc>
          <w:tcPr>
            <w:tcW w:w="3500" w:type="dxa"/>
            <w:tcBorders>
              <w:top w:val="nil"/>
              <w:left w:val="single" w:sz="4" w:space="0" w:color="auto"/>
              <w:bottom w:val="single" w:sz="4" w:space="0" w:color="auto"/>
              <w:right w:val="single" w:sz="4" w:space="0" w:color="auto"/>
            </w:tcBorders>
            <w:shd w:val="clear" w:color="000000" w:fill="D99795"/>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b/>
                <w:bCs/>
                <w:color w:val="000000"/>
                <w:szCs w:val="24"/>
                <w:lang w:val="en-US"/>
              </w:rPr>
              <w:t>Current Ratio</w:t>
            </w:r>
            <w:r w:rsidRPr="00792D90">
              <w:rPr>
                <w:rFonts w:eastAsia="Times New Roman" w:cs="Times New Roman"/>
                <w:color w:val="000000"/>
                <w:szCs w:val="24"/>
                <w:lang w:val="en-US"/>
              </w:rPr>
              <w:t xml:space="preserve"> ([Current asset/Current liability]*100): </w:t>
            </w:r>
          </w:p>
        </w:tc>
        <w:tc>
          <w:tcPr>
            <w:tcW w:w="1100" w:type="dxa"/>
            <w:tcBorders>
              <w:top w:val="nil"/>
              <w:left w:val="nil"/>
              <w:bottom w:val="single" w:sz="4" w:space="0" w:color="auto"/>
              <w:right w:val="single" w:sz="4" w:space="0" w:color="auto"/>
            </w:tcBorders>
            <w:shd w:val="clear" w:color="000000" w:fill="D99795"/>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2.22</w:t>
            </w:r>
          </w:p>
        </w:tc>
        <w:tc>
          <w:tcPr>
            <w:tcW w:w="1090" w:type="dxa"/>
            <w:tcBorders>
              <w:top w:val="nil"/>
              <w:left w:val="nil"/>
              <w:bottom w:val="single" w:sz="4" w:space="0" w:color="auto"/>
              <w:right w:val="single" w:sz="4" w:space="0" w:color="auto"/>
            </w:tcBorders>
            <w:shd w:val="clear" w:color="000000" w:fill="D99795"/>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2.41</w:t>
            </w:r>
          </w:p>
        </w:tc>
        <w:tc>
          <w:tcPr>
            <w:tcW w:w="1140" w:type="dxa"/>
            <w:tcBorders>
              <w:top w:val="nil"/>
              <w:left w:val="nil"/>
              <w:bottom w:val="single" w:sz="4" w:space="0" w:color="auto"/>
              <w:right w:val="single" w:sz="4" w:space="0" w:color="auto"/>
            </w:tcBorders>
            <w:shd w:val="clear" w:color="000000" w:fill="D99795"/>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2.67</w:t>
            </w:r>
          </w:p>
        </w:tc>
        <w:tc>
          <w:tcPr>
            <w:tcW w:w="1090" w:type="dxa"/>
            <w:tcBorders>
              <w:top w:val="nil"/>
              <w:left w:val="nil"/>
              <w:bottom w:val="single" w:sz="4" w:space="0" w:color="auto"/>
              <w:right w:val="single" w:sz="4" w:space="0" w:color="auto"/>
            </w:tcBorders>
            <w:shd w:val="clear" w:color="000000" w:fill="D99795"/>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1.49</w:t>
            </w:r>
          </w:p>
        </w:tc>
        <w:tc>
          <w:tcPr>
            <w:tcW w:w="1090" w:type="dxa"/>
            <w:tcBorders>
              <w:top w:val="nil"/>
              <w:left w:val="nil"/>
              <w:bottom w:val="single" w:sz="4" w:space="0" w:color="auto"/>
              <w:right w:val="single" w:sz="4" w:space="0" w:color="auto"/>
            </w:tcBorders>
            <w:shd w:val="clear" w:color="000000" w:fill="D99795"/>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1.25</w:t>
            </w:r>
          </w:p>
        </w:tc>
      </w:tr>
      <w:tr w:rsidR="00792D90" w:rsidRPr="00792D90" w:rsidTr="00474782">
        <w:trPr>
          <w:trHeight w:val="615"/>
        </w:trPr>
        <w:tc>
          <w:tcPr>
            <w:tcW w:w="3500" w:type="dxa"/>
            <w:tcBorders>
              <w:top w:val="nil"/>
              <w:left w:val="single" w:sz="4" w:space="0" w:color="auto"/>
              <w:bottom w:val="single" w:sz="4" w:space="0" w:color="auto"/>
              <w:right w:val="single" w:sz="4" w:space="0" w:color="auto"/>
            </w:tcBorders>
            <w:shd w:val="clear" w:color="000000" w:fill="D99795"/>
            <w:vAlign w:val="bottom"/>
            <w:hideMark/>
          </w:tcPr>
          <w:p w:rsidR="00792D90" w:rsidRPr="00792D90" w:rsidRDefault="00792D90" w:rsidP="00792D90">
            <w:pPr>
              <w:spacing w:after="0" w:line="240" w:lineRule="auto"/>
              <w:jc w:val="left"/>
              <w:rPr>
                <w:rFonts w:eastAsia="Times New Roman" w:cs="Times New Roman"/>
                <w:b/>
                <w:bCs/>
                <w:color w:val="000000"/>
                <w:szCs w:val="24"/>
                <w:lang w:val="en-US"/>
              </w:rPr>
            </w:pPr>
            <w:r w:rsidRPr="00792D90">
              <w:rPr>
                <w:rFonts w:eastAsia="Times New Roman" w:cs="Times New Roman"/>
                <w:b/>
                <w:bCs/>
                <w:color w:val="000000"/>
                <w:szCs w:val="24"/>
                <w:lang w:val="en-US"/>
              </w:rPr>
              <w:t>Quick Ratio</w:t>
            </w:r>
            <w:r w:rsidRPr="00792D90">
              <w:rPr>
                <w:rFonts w:eastAsia="Times New Roman" w:cs="Times New Roman"/>
                <w:color w:val="000000"/>
                <w:szCs w:val="24"/>
                <w:lang w:val="en-US"/>
              </w:rPr>
              <w:t xml:space="preserve"> ([Current asset-Inventories]/ Current liability*100) </w:t>
            </w:r>
          </w:p>
        </w:tc>
        <w:tc>
          <w:tcPr>
            <w:tcW w:w="1100" w:type="dxa"/>
            <w:tcBorders>
              <w:top w:val="nil"/>
              <w:left w:val="nil"/>
              <w:bottom w:val="single" w:sz="4" w:space="0" w:color="auto"/>
              <w:right w:val="single" w:sz="4" w:space="0" w:color="auto"/>
            </w:tcBorders>
            <w:shd w:val="clear" w:color="000000" w:fill="D99795"/>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2.01</w:t>
            </w:r>
          </w:p>
        </w:tc>
        <w:tc>
          <w:tcPr>
            <w:tcW w:w="1090" w:type="dxa"/>
            <w:tcBorders>
              <w:top w:val="nil"/>
              <w:left w:val="nil"/>
              <w:bottom w:val="single" w:sz="4" w:space="0" w:color="auto"/>
              <w:right w:val="single" w:sz="4" w:space="0" w:color="auto"/>
            </w:tcBorders>
            <w:shd w:val="clear" w:color="000000" w:fill="D99795"/>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2.14</w:t>
            </w:r>
          </w:p>
        </w:tc>
        <w:tc>
          <w:tcPr>
            <w:tcW w:w="1140" w:type="dxa"/>
            <w:tcBorders>
              <w:top w:val="nil"/>
              <w:left w:val="nil"/>
              <w:bottom w:val="single" w:sz="4" w:space="0" w:color="auto"/>
              <w:right w:val="single" w:sz="4" w:space="0" w:color="auto"/>
            </w:tcBorders>
            <w:shd w:val="clear" w:color="000000" w:fill="D99795"/>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2.41</w:t>
            </w:r>
          </w:p>
        </w:tc>
        <w:tc>
          <w:tcPr>
            <w:tcW w:w="1090" w:type="dxa"/>
            <w:tcBorders>
              <w:top w:val="nil"/>
              <w:left w:val="nil"/>
              <w:bottom w:val="single" w:sz="4" w:space="0" w:color="auto"/>
              <w:right w:val="single" w:sz="4" w:space="0" w:color="auto"/>
            </w:tcBorders>
            <w:shd w:val="clear" w:color="000000" w:fill="D99795"/>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1.23</w:t>
            </w:r>
          </w:p>
        </w:tc>
        <w:tc>
          <w:tcPr>
            <w:tcW w:w="1090" w:type="dxa"/>
            <w:tcBorders>
              <w:top w:val="nil"/>
              <w:left w:val="nil"/>
              <w:bottom w:val="single" w:sz="4" w:space="0" w:color="auto"/>
              <w:right w:val="single" w:sz="4" w:space="0" w:color="auto"/>
            </w:tcBorders>
            <w:shd w:val="clear" w:color="000000" w:fill="D99795"/>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1.03</w:t>
            </w:r>
          </w:p>
        </w:tc>
      </w:tr>
      <w:tr w:rsidR="00792D90" w:rsidRPr="00792D90" w:rsidTr="00474782">
        <w:trPr>
          <w:trHeight w:val="315"/>
        </w:trPr>
        <w:tc>
          <w:tcPr>
            <w:tcW w:w="3500" w:type="dxa"/>
            <w:tcBorders>
              <w:top w:val="nil"/>
              <w:left w:val="single" w:sz="4" w:space="0" w:color="auto"/>
              <w:bottom w:val="single" w:sz="4" w:space="0" w:color="auto"/>
              <w:right w:val="single" w:sz="4" w:space="0" w:color="auto"/>
            </w:tcBorders>
            <w:shd w:val="clear" w:color="000000" w:fill="FFC000"/>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Efficiency ratio</w:t>
            </w:r>
          </w:p>
        </w:tc>
        <w:tc>
          <w:tcPr>
            <w:tcW w:w="1100" w:type="dxa"/>
            <w:tcBorders>
              <w:top w:val="nil"/>
              <w:left w:val="nil"/>
              <w:bottom w:val="single" w:sz="4" w:space="0" w:color="auto"/>
              <w:right w:val="single" w:sz="4" w:space="0" w:color="auto"/>
            </w:tcBorders>
            <w:shd w:val="clear" w:color="000000" w:fill="FFC000"/>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90" w:type="dxa"/>
            <w:tcBorders>
              <w:top w:val="nil"/>
              <w:left w:val="nil"/>
              <w:bottom w:val="single" w:sz="4" w:space="0" w:color="auto"/>
              <w:right w:val="single" w:sz="4" w:space="0" w:color="auto"/>
            </w:tcBorders>
            <w:shd w:val="clear" w:color="000000" w:fill="FFC000"/>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140" w:type="dxa"/>
            <w:tcBorders>
              <w:top w:val="nil"/>
              <w:left w:val="nil"/>
              <w:bottom w:val="single" w:sz="4" w:space="0" w:color="auto"/>
              <w:right w:val="single" w:sz="4" w:space="0" w:color="auto"/>
            </w:tcBorders>
            <w:shd w:val="clear" w:color="000000" w:fill="FFC000"/>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90" w:type="dxa"/>
            <w:tcBorders>
              <w:top w:val="nil"/>
              <w:left w:val="nil"/>
              <w:bottom w:val="single" w:sz="4" w:space="0" w:color="auto"/>
              <w:right w:val="single" w:sz="4" w:space="0" w:color="auto"/>
            </w:tcBorders>
            <w:shd w:val="clear" w:color="000000" w:fill="FFC000"/>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90" w:type="dxa"/>
            <w:tcBorders>
              <w:top w:val="nil"/>
              <w:left w:val="nil"/>
              <w:bottom w:val="single" w:sz="4" w:space="0" w:color="auto"/>
              <w:right w:val="single" w:sz="4" w:space="0" w:color="auto"/>
            </w:tcBorders>
            <w:shd w:val="clear" w:color="000000" w:fill="FFC000"/>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r>
      <w:tr w:rsidR="00792D90" w:rsidRPr="00792D90" w:rsidTr="00474782">
        <w:trPr>
          <w:trHeight w:val="1455"/>
        </w:trPr>
        <w:tc>
          <w:tcPr>
            <w:tcW w:w="3500" w:type="dxa"/>
            <w:tcBorders>
              <w:top w:val="nil"/>
              <w:left w:val="single" w:sz="4" w:space="0" w:color="auto"/>
              <w:bottom w:val="single" w:sz="4" w:space="0" w:color="auto"/>
              <w:right w:val="single" w:sz="4" w:space="0" w:color="auto"/>
            </w:tcBorders>
            <w:shd w:val="clear" w:color="000000" w:fill="FFC000"/>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lastRenderedPageBreak/>
              <w:t>Return on capital employed(ROCE)[EBIT/capital employed]</w:t>
            </w:r>
          </w:p>
        </w:tc>
        <w:tc>
          <w:tcPr>
            <w:tcW w:w="1100" w:type="dxa"/>
            <w:tcBorders>
              <w:top w:val="nil"/>
              <w:left w:val="nil"/>
              <w:bottom w:val="single" w:sz="4" w:space="0" w:color="auto"/>
              <w:right w:val="single" w:sz="4" w:space="0" w:color="auto"/>
            </w:tcBorders>
            <w:shd w:val="clear" w:color="000000" w:fill="FFC000"/>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0.09</w:t>
            </w:r>
          </w:p>
        </w:tc>
        <w:tc>
          <w:tcPr>
            <w:tcW w:w="1090" w:type="dxa"/>
            <w:tcBorders>
              <w:top w:val="nil"/>
              <w:left w:val="nil"/>
              <w:bottom w:val="single" w:sz="4" w:space="0" w:color="auto"/>
              <w:right w:val="single" w:sz="4" w:space="0" w:color="auto"/>
            </w:tcBorders>
            <w:shd w:val="clear" w:color="000000" w:fill="FFC000"/>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0.09</w:t>
            </w:r>
          </w:p>
        </w:tc>
        <w:tc>
          <w:tcPr>
            <w:tcW w:w="1140" w:type="dxa"/>
            <w:tcBorders>
              <w:top w:val="nil"/>
              <w:left w:val="nil"/>
              <w:bottom w:val="single" w:sz="4" w:space="0" w:color="auto"/>
              <w:right w:val="single" w:sz="4" w:space="0" w:color="auto"/>
            </w:tcBorders>
            <w:shd w:val="clear" w:color="000000" w:fill="FFC000"/>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0.08</w:t>
            </w:r>
          </w:p>
        </w:tc>
        <w:tc>
          <w:tcPr>
            <w:tcW w:w="1090" w:type="dxa"/>
            <w:tcBorders>
              <w:top w:val="nil"/>
              <w:left w:val="nil"/>
              <w:bottom w:val="single" w:sz="4" w:space="0" w:color="auto"/>
              <w:right w:val="single" w:sz="4" w:space="0" w:color="auto"/>
            </w:tcBorders>
            <w:shd w:val="clear" w:color="000000" w:fill="FFC000"/>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0.06</w:t>
            </w:r>
          </w:p>
        </w:tc>
        <w:tc>
          <w:tcPr>
            <w:tcW w:w="1090" w:type="dxa"/>
            <w:tcBorders>
              <w:top w:val="nil"/>
              <w:left w:val="nil"/>
              <w:bottom w:val="single" w:sz="4" w:space="0" w:color="auto"/>
              <w:right w:val="single" w:sz="4" w:space="0" w:color="auto"/>
            </w:tcBorders>
            <w:shd w:val="clear" w:color="000000" w:fill="FFC000"/>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0.05</w:t>
            </w:r>
          </w:p>
        </w:tc>
      </w:tr>
      <w:tr w:rsidR="00792D90" w:rsidRPr="00792D90" w:rsidTr="00474782">
        <w:trPr>
          <w:trHeight w:val="630"/>
        </w:trPr>
        <w:tc>
          <w:tcPr>
            <w:tcW w:w="3500" w:type="dxa"/>
            <w:tcBorders>
              <w:top w:val="nil"/>
              <w:left w:val="single" w:sz="4" w:space="0" w:color="auto"/>
              <w:bottom w:val="single" w:sz="4" w:space="0" w:color="auto"/>
              <w:right w:val="single" w:sz="4" w:space="0" w:color="auto"/>
            </w:tcBorders>
            <w:shd w:val="clear" w:color="000000" w:fill="FFC000"/>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Total asset turnover ratio(net sales or revenue/Total average asset)</w:t>
            </w:r>
          </w:p>
        </w:tc>
        <w:tc>
          <w:tcPr>
            <w:tcW w:w="1100" w:type="dxa"/>
            <w:tcBorders>
              <w:top w:val="nil"/>
              <w:left w:val="nil"/>
              <w:bottom w:val="single" w:sz="4" w:space="0" w:color="auto"/>
              <w:right w:val="single" w:sz="4" w:space="0" w:color="auto"/>
            </w:tcBorders>
            <w:shd w:val="clear" w:color="000000" w:fill="FFC000"/>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0.29</w:t>
            </w:r>
          </w:p>
        </w:tc>
        <w:tc>
          <w:tcPr>
            <w:tcW w:w="1090" w:type="dxa"/>
            <w:tcBorders>
              <w:top w:val="nil"/>
              <w:left w:val="nil"/>
              <w:bottom w:val="single" w:sz="4" w:space="0" w:color="auto"/>
              <w:right w:val="single" w:sz="4" w:space="0" w:color="auto"/>
            </w:tcBorders>
            <w:shd w:val="clear" w:color="000000" w:fill="FFC000"/>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0.30</w:t>
            </w:r>
          </w:p>
        </w:tc>
        <w:tc>
          <w:tcPr>
            <w:tcW w:w="1140" w:type="dxa"/>
            <w:tcBorders>
              <w:top w:val="nil"/>
              <w:left w:val="nil"/>
              <w:bottom w:val="single" w:sz="4" w:space="0" w:color="auto"/>
              <w:right w:val="single" w:sz="4" w:space="0" w:color="auto"/>
            </w:tcBorders>
            <w:shd w:val="clear" w:color="000000" w:fill="FFC000"/>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0.29</w:t>
            </w:r>
          </w:p>
        </w:tc>
        <w:tc>
          <w:tcPr>
            <w:tcW w:w="1090" w:type="dxa"/>
            <w:tcBorders>
              <w:top w:val="nil"/>
              <w:left w:val="nil"/>
              <w:bottom w:val="single" w:sz="4" w:space="0" w:color="auto"/>
              <w:right w:val="single" w:sz="4" w:space="0" w:color="auto"/>
            </w:tcBorders>
            <w:shd w:val="clear" w:color="000000" w:fill="FFC000"/>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0.29</w:t>
            </w:r>
          </w:p>
        </w:tc>
        <w:tc>
          <w:tcPr>
            <w:tcW w:w="1090" w:type="dxa"/>
            <w:tcBorders>
              <w:top w:val="nil"/>
              <w:left w:val="nil"/>
              <w:bottom w:val="single" w:sz="4" w:space="0" w:color="auto"/>
              <w:right w:val="single" w:sz="4" w:space="0" w:color="auto"/>
            </w:tcBorders>
            <w:shd w:val="clear" w:color="000000" w:fill="FFC000"/>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0.31</w:t>
            </w:r>
          </w:p>
        </w:tc>
      </w:tr>
      <w:tr w:rsidR="00792D90" w:rsidRPr="00792D90" w:rsidTr="00474782">
        <w:trPr>
          <w:trHeight w:val="315"/>
        </w:trPr>
        <w:tc>
          <w:tcPr>
            <w:tcW w:w="3500" w:type="dxa"/>
            <w:tcBorders>
              <w:top w:val="nil"/>
              <w:left w:val="single" w:sz="4" w:space="0" w:color="auto"/>
              <w:bottom w:val="single" w:sz="4" w:space="0" w:color="auto"/>
              <w:right w:val="single" w:sz="4" w:space="0" w:color="auto"/>
            </w:tcBorders>
            <w:shd w:val="clear" w:color="000000" w:fill="FAC090"/>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Gearing Ratio</w:t>
            </w:r>
          </w:p>
        </w:tc>
        <w:tc>
          <w:tcPr>
            <w:tcW w:w="1100" w:type="dxa"/>
            <w:tcBorders>
              <w:top w:val="nil"/>
              <w:left w:val="nil"/>
              <w:bottom w:val="single" w:sz="4" w:space="0" w:color="auto"/>
              <w:right w:val="single" w:sz="4" w:space="0" w:color="auto"/>
            </w:tcBorders>
            <w:shd w:val="clear" w:color="000000" w:fill="FAC090"/>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90" w:type="dxa"/>
            <w:tcBorders>
              <w:top w:val="nil"/>
              <w:left w:val="nil"/>
              <w:bottom w:val="single" w:sz="4" w:space="0" w:color="auto"/>
              <w:right w:val="single" w:sz="4" w:space="0" w:color="auto"/>
            </w:tcBorders>
            <w:shd w:val="clear" w:color="000000" w:fill="FAC090"/>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140" w:type="dxa"/>
            <w:tcBorders>
              <w:top w:val="nil"/>
              <w:left w:val="nil"/>
              <w:bottom w:val="single" w:sz="4" w:space="0" w:color="auto"/>
              <w:right w:val="single" w:sz="4" w:space="0" w:color="auto"/>
            </w:tcBorders>
            <w:shd w:val="clear" w:color="000000" w:fill="FAC090"/>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90" w:type="dxa"/>
            <w:tcBorders>
              <w:top w:val="nil"/>
              <w:left w:val="nil"/>
              <w:bottom w:val="single" w:sz="4" w:space="0" w:color="auto"/>
              <w:right w:val="single" w:sz="4" w:space="0" w:color="auto"/>
            </w:tcBorders>
            <w:shd w:val="clear" w:color="000000" w:fill="FAC090"/>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c>
          <w:tcPr>
            <w:tcW w:w="1090" w:type="dxa"/>
            <w:tcBorders>
              <w:top w:val="nil"/>
              <w:left w:val="nil"/>
              <w:bottom w:val="single" w:sz="4" w:space="0" w:color="auto"/>
              <w:right w:val="single" w:sz="4" w:space="0" w:color="auto"/>
            </w:tcBorders>
            <w:shd w:val="clear" w:color="000000" w:fill="FAC090"/>
            <w:noWrap/>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 </w:t>
            </w:r>
          </w:p>
        </w:tc>
      </w:tr>
      <w:tr w:rsidR="00792D90" w:rsidRPr="00792D90" w:rsidTr="00474782">
        <w:trPr>
          <w:trHeight w:val="2295"/>
        </w:trPr>
        <w:tc>
          <w:tcPr>
            <w:tcW w:w="3500" w:type="dxa"/>
            <w:tcBorders>
              <w:top w:val="nil"/>
              <w:left w:val="single" w:sz="4" w:space="0" w:color="auto"/>
              <w:bottom w:val="single" w:sz="4" w:space="0" w:color="auto"/>
              <w:right w:val="single" w:sz="4" w:space="0" w:color="auto"/>
            </w:tcBorders>
            <w:shd w:val="clear" w:color="000000" w:fill="FAC090"/>
            <w:vAlign w:val="bottom"/>
            <w:hideMark/>
          </w:tcPr>
          <w:p w:rsidR="00792D90" w:rsidRPr="00792D90" w:rsidRDefault="00792D90" w:rsidP="00792D90">
            <w:pPr>
              <w:spacing w:after="0" w:line="240" w:lineRule="auto"/>
              <w:jc w:val="left"/>
              <w:rPr>
                <w:rFonts w:eastAsia="Times New Roman" w:cs="Times New Roman"/>
                <w:color w:val="000000"/>
                <w:szCs w:val="24"/>
                <w:lang w:val="en-US"/>
              </w:rPr>
            </w:pPr>
            <w:r w:rsidRPr="00792D90">
              <w:rPr>
                <w:rFonts w:eastAsia="Times New Roman" w:cs="Times New Roman"/>
                <w:color w:val="000000"/>
                <w:szCs w:val="24"/>
                <w:lang w:val="en-US"/>
              </w:rPr>
              <w:t>Gearing Ratio(long term liabilities/capital employed),capital employed=Share capital + retained earnings + long-term liabilities</w:t>
            </w:r>
          </w:p>
        </w:tc>
        <w:tc>
          <w:tcPr>
            <w:tcW w:w="1100" w:type="dxa"/>
            <w:tcBorders>
              <w:top w:val="nil"/>
              <w:left w:val="nil"/>
              <w:bottom w:val="single" w:sz="4" w:space="0" w:color="auto"/>
              <w:right w:val="single" w:sz="4" w:space="0" w:color="auto"/>
            </w:tcBorders>
            <w:shd w:val="clear" w:color="000000" w:fill="FAC090"/>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58%</w:t>
            </w:r>
          </w:p>
        </w:tc>
        <w:tc>
          <w:tcPr>
            <w:tcW w:w="1090" w:type="dxa"/>
            <w:tcBorders>
              <w:top w:val="nil"/>
              <w:left w:val="nil"/>
              <w:bottom w:val="single" w:sz="4" w:space="0" w:color="auto"/>
              <w:right w:val="single" w:sz="4" w:space="0" w:color="auto"/>
            </w:tcBorders>
            <w:shd w:val="clear" w:color="000000" w:fill="FAC090"/>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46%</w:t>
            </w:r>
          </w:p>
        </w:tc>
        <w:tc>
          <w:tcPr>
            <w:tcW w:w="1140" w:type="dxa"/>
            <w:tcBorders>
              <w:top w:val="nil"/>
              <w:left w:val="nil"/>
              <w:bottom w:val="single" w:sz="4" w:space="0" w:color="auto"/>
              <w:right w:val="single" w:sz="4" w:space="0" w:color="auto"/>
            </w:tcBorders>
            <w:shd w:val="clear" w:color="000000" w:fill="FAC090"/>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47%</w:t>
            </w:r>
          </w:p>
        </w:tc>
        <w:tc>
          <w:tcPr>
            <w:tcW w:w="1090" w:type="dxa"/>
            <w:tcBorders>
              <w:top w:val="nil"/>
              <w:left w:val="nil"/>
              <w:bottom w:val="single" w:sz="4" w:space="0" w:color="auto"/>
              <w:right w:val="single" w:sz="4" w:space="0" w:color="auto"/>
            </w:tcBorders>
            <w:shd w:val="clear" w:color="000000" w:fill="FAC090"/>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46%</w:t>
            </w:r>
          </w:p>
        </w:tc>
        <w:tc>
          <w:tcPr>
            <w:tcW w:w="1090" w:type="dxa"/>
            <w:tcBorders>
              <w:top w:val="nil"/>
              <w:left w:val="nil"/>
              <w:bottom w:val="single" w:sz="4" w:space="0" w:color="auto"/>
              <w:right w:val="single" w:sz="4" w:space="0" w:color="auto"/>
            </w:tcBorders>
            <w:shd w:val="clear" w:color="000000" w:fill="FAC090"/>
            <w:noWrap/>
            <w:vAlign w:val="bottom"/>
            <w:hideMark/>
          </w:tcPr>
          <w:p w:rsidR="00792D90" w:rsidRPr="00792D90" w:rsidRDefault="00792D90" w:rsidP="00792D90">
            <w:pPr>
              <w:spacing w:after="0" w:line="240" w:lineRule="auto"/>
              <w:jc w:val="right"/>
              <w:rPr>
                <w:rFonts w:eastAsia="Times New Roman" w:cs="Times New Roman"/>
                <w:color w:val="000000"/>
                <w:szCs w:val="24"/>
                <w:lang w:val="en-US"/>
              </w:rPr>
            </w:pPr>
            <w:r w:rsidRPr="00792D90">
              <w:rPr>
                <w:rFonts w:eastAsia="Times New Roman" w:cs="Times New Roman"/>
                <w:color w:val="000000"/>
                <w:szCs w:val="24"/>
                <w:lang w:val="en-US"/>
              </w:rPr>
              <w:t>47%</w:t>
            </w:r>
          </w:p>
        </w:tc>
      </w:tr>
    </w:tbl>
    <w:p w:rsidR="00792D90" w:rsidRDefault="00792D90" w:rsidP="00116C0C"/>
    <w:p w:rsidR="0009130F" w:rsidRDefault="0009130F" w:rsidP="003546DF">
      <w:pPr>
        <w:pStyle w:val="Heading1"/>
      </w:pPr>
      <w:r>
        <w:lastRenderedPageBreak/>
        <w:t>PPT</w:t>
      </w:r>
      <w:r w:rsidR="003546DF">
        <w:t xml:space="preserve"> Attachment:</w:t>
      </w:r>
    </w:p>
    <w:p w:rsidR="003546DF" w:rsidRPr="003546DF" w:rsidRDefault="003546DF" w:rsidP="003546DF">
      <w:r>
        <w:rPr>
          <w:noProof/>
          <w:lang w:val="en-US" w:bidi="gu-IN"/>
        </w:rPr>
        <w:drawing>
          <wp:inline distT="0" distB="0" distL="0" distR="0">
            <wp:extent cx="5943600" cy="4476750"/>
            <wp:effectExtent l="19050" t="0" r="0"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5943600" cy="4476750"/>
                    </a:xfrm>
                    <a:prstGeom prst="rect">
                      <a:avLst/>
                    </a:prstGeom>
                    <a:noFill/>
                    <a:ln w="9525">
                      <a:noFill/>
                      <a:miter lim="800000"/>
                      <a:headEnd/>
                      <a:tailEnd/>
                    </a:ln>
                  </pic:spPr>
                </pic:pic>
              </a:graphicData>
            </a:graphic>
          </wp:inline>
        </w:drawing>
      </w:r>
    </w:p>
    <w:p w:rsidR="0009130F" w:rsidRDefault="003546DF" w:rsidP="00116C0C">
      <w:r>
        <w:rPr>
          <w:noProof/>
          <w:lang w:val="en-US" w:bidi="gu-IN"/>
        </w:rPr>
        <w:lastRenderedPageBreak/>
        <w:drawing>
          <wp:inline distT="0" distB="0" distL="0" distR="0">
            <wp:extent cx="5943600" cy="4514850"/>
            <wp:effectExtent l="19050" t="0" r="0" b="0"/>
            <wp:docPr id="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srcRect/>
                    <a:stretch>
                      <a:fillRect/>
                    </a:stretch>
                  </pic:blipFill>
                  <pic:spPr bwMode="auto">
                    <a:xfrm>
                      <a:off x="0" y="0"/>
                      <a:ext cx="5943600" cy="4514850"/>
                    </a:xfrm>
                    <a:prstGeom prst="rect">
                      <a:avLst/>
                    </a:prstGeom>
                    <a:noFill/>
                    <a:ln w="9525">
                      <a:noFill/>
                      <a:miter lim="800000"/>
                      <a:headEnd/>
                      <a:tailEnd/>
                    </a:ln>
                  </pic:spPr>
                </pic:pic>
              </a:graphicData>
            </a:graphic>
          </wp:inline>
        </w:drawing>
      </w:r>
    </w:p>
    <w:p w:rsidR="003546DF" w:rsidRDefault="00F35C9F" w:rsidP="00116C0C">
      <w:r>
        <w:rPr>
          <w:noProof/>
          <w:lang w:val="en-US" w:bidi="gu-IN"/>
        </w:rPr>
        <w:lastRenderedPageBreak/>
        <w:drawing>
          <wp:inline distT="0" distB="0" distL="0" distR="0">
            <wp:extent cx="5943600" cy="4457700"/>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rsidR="00F35C9F" w:rsidRDefault="009B5F80" w:rsidP="00116C0C">
      <w:r>
        <w:rPr>
          <w:noProof/>
          <w:lang w:val="en-US" w:bidi="gu-IN"/>
        </w:rPr>
        <w:lastRenderedPageBreak/>
        <w:drawing>
          <wp:inline distT="0" distB="0" distL="0" distR="0">
            <wp:extent cx="5943600" cy="4457700"/>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rsidR="009B5F80" w:rsidRDefault="009B5F80" w:rsidP="00116C0C">
      <w:r>
        <w:rPr>
          <w:noProof/>
          <w:lang w:val="en-US" w:bidi="gu-IN"/>
        </w:rPr>
        <w:lastRenderedPageBreak/>
        <w:drawing>
          <wp:inline distT="0" distB="0" distL="0" distR="0">
            <wp:extent cx="5943600" cy="4476750"/>
            <wp:effectExtent l="1905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srcRect/>
                    <a:stretch>
                      <a:fillRect/>
                    </a:stretch>
                  </pic:blipFill>
                  <pic:spPr bwMode="auto">
                    <a:xfrm>
                      <a:off x="0" y="0"/>
                      <a:ext cx="5943600" cy="4476750"/>
                    </a:xfrm>
                    <a:prstGeom prst="rect">
                      <a:avLst/>
                    </a:prstGeom>
                    <a:noFill/>
                    <a:ln w="9525">
                      <a:noFill/>
                      <a:miter lim="800000"/>
                      <a:headEnd/>
                      <a:tailEnd/>
                    </a:ln>
                  </pic:spPr>
                </pic:pic>
              </a:graphicData>
            </a:graphic>
          </wp:inline>
        </w:drawing>
      </w:r>
    </w:p>
    <w:p w:rsidR="002F5A13" w:rsidRDefault="002F5A13" w:rsidP="00116C0C">
      <w:r>
        <w:rPr>
          <w:noProof/>
          <w:lang w:val="en-US" w:bidi="gu-IN"/>
        </w:rPr>
        <w:lastRenderedPageBreak/>
        <w:drawing>
          <wp:inline distT="0" distB="0" distL="0" distR="0">
            <wp:extent cx="5943600" cy="4476750"/>
            <wp:effectExtent l="1905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7"/>
                    <a:srcRect/>
                    <a:stretch>
                      <a:fillRect/>
                    </a:stretch>
                  </pic:blipFill>
                  <pic:spPr bwMode="auto">
                    <a:xfrm>
                      <a:off x="0" y="0"/>
                      <a:ext cx="5943600" cy="4476750"/>
                    </a:xfrm>
                    <a:prstGeom prst="rect">
                      <a:avLst/>
                    </a:prstGeom>
                    <a:noFill/>
                    <a:ln w="9525">
                      <a:noFill/>
                      <a:miter lim="800000"/>
                      <a:headEnd/>
                      <a:tailEnd/>
                    </a:ln>
                  </pic:spPr>
                </pic:pic>
              </a:graphicData>
            </a:graphic>
          </wp:inline>
        </w:drawing>
      </w:r>
    </w:p>
    <w:p w:rsidR="002F5A13" w:rsidRDefault="002F5A13" w:rsidP="00116C0C">
      <w:r>
        <w:rPr>
          <w:noProof/>
          <w:lang w:val="en-US" w:bidi="gu-IN"/>
        </w:rPr>
        <w:lastRenderedPageBreak/>
        <w:drawing>
          <wp:inline distT="0" distB="0" distL="0" distR="0">
            <wp:extent cx="5943600" cy="4552950"/>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a:srcRect/>
                    <a:stretch>
                      <a:fillRect/>
                    </a:stretch>
                  </pic:blipFill>
                  <pic:spPr bwMode="auto">
                    <a:xfrm>
                      <a:off x="0" y="0"/>
                      <a:ext cx="5943600" cy="4552950"/>
                    </a:xfrm>
                    <a:prstGeom prst="rect">
                      <a:avLst/>
                    </a:prstGeom>
                    <a:noFill/>
                    <a:ln w="9525">
                      <a:noFill/>
                      <a:miter lim="800000"/>
                      <a:headEnd/>
                      <a:tailEnd/>
                    </a:ln>
                  </pic:spPr>
                </pic:pic>
              </a:graphicData>
            </a:graphic>
          </wp:inline>
        </w:drawing>
      </w:r>
    </w:p>
    <w:p w:rsidR="002F5A13" w:rsidRDefault="00D73229" w:rsidP="00116C0C">
      <w:r>
        <w:rPr>
          <w:noProof/>
          <w:lang w:val="en-US" w:bidi="gu-IN"/>
        </w:rPr>
        <w:lastRenderedPageBreak/>
        <w:drawing>
          <wp:inline distT="0" distB="0" distL="0" distR="0">
            <wp:extent cx="5943600" cy="4514850"/>
            <wp:effectExtent l="1905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a:srcRect/>
                    <a:stretch>
                      <a:fillRect/>
                    </a:stretch>
                  </pic:blipFill>
                  <pic:spPr bwMode="auto">
                    <a:xfrm>
                      <a:off x="0" y="0"/>
                      <a:ext cx="5943600" cy="4514850"/>
                    </a:xfrm>
                    <a:prstGeom prst="rect">
                      <a:avLst/>
                    </a:prstGeom>
                    <a:noFill/>
                    <a:ln w="9525">
                      <a:noFill/>
                      <a:miter lim="800000"/>
                      <a:headEnd/>
                      <a:tailEnd/>
                    </a:ln>
                  </pic:spPr>
                </pic:pic>
              </a:graphicData>
            </a:graphic>
          </wp:inline>
        </w:drawing>
      </w:r>
    </w:p>
    <w:p w:rsidR="00D73229" w:rsidRDefault="00D73229" w:rsidP="00116C0C">
      <w:r>
        <w:rPr>
          <w:noProof/>
          <w:lang w:val="en-US" w:bidi="gu-IN"/>
        </w:rPr>
        <w:lastRenderedPageBreak/>
        <w:drawing>
          <wp:inline distT="0" distB="0" distL="0" distR="0">
            <wp:extent cx="5943600" cy="4476750"/>
            <wp:effectExtent l="1905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a:srcRect/>
                    <a:stretch>
                      <a:fillRect/>
                    </a:stretch>
                  </pic:blipFill>
                  <pic:spPr bwMode="auto">
                    <a:xfrm>
                      <a:off x="0" y="0"/>
                      <a:ext cx="5943600" cy="4476750"/>
                    </a:xfrm>
                    <a:prstGeom prst="rect">
                      <a:avLst/>
                    </a:prstGeom>
                    <a:noFill/>
                    <a:ln w="9525">
                      <a:noFill/>
                      <a:miter lim="800000"/>
                      <a:headEnd/>
                      <a:tailEnd/>
                    </a:ln>
                  </pic:spPr>
                </pic:pic>
              </a:graphicData>
            </a:graphic>
          </wp:inline>
        </w:drawing>
      </w:r>
    </w:p>
    <w:p w:rsidR="00794540" w:rsidRDefault="00794540" w:rsidP="00116C0C">
      <w:r>
        <w:rPr>
          <w:noProof/>
          <w:lang w:val="en-US" w:bidi="gu-IN"/>
        </w:rPr>
        <w:lastRenderedPageBreak/>
        <w:drawing>
          <wp:inline distT="0" distB="0" distL="0" distR="0">
            <wp:extent cx="5943600" cy="4533900"/>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1"/>
                    <a:srcRect/>
                    <a:stretch>
                      <a:fillRect/>
                    </a:stretch>
                  </pic:blipFill>
                  <pic:spPr bwMode="auto">
                    <a:xfrm>
                      <a:off x="0" y="0"/>
                      <a:ext cx="5943600" cy="4533900"/>
                    </a:xfrm>
                    <a:prstGeom prst="rect">
                      <a:avLst/>
                    </a:prstGeom>
                    <a:noFill/>
                    <a:ln w="9525">
                      <a:noFill/>
                      <a:miter lim="800000"/>
                      <a:headEnd/>
                      <a:tailEnd/>
                    </a:ln>
                  </pic:spPr>
                </pic:pic>
              </a:graphicData>
            </a:graphic>
          </wp:inline>
        </w:drawing>
      </w:r>
    </w:p>
    <w:p w:rsidR="00B204B0" w:rsidRDefault="00B204B0" w:rsidP="00116C0C">
      <w:r>
        <w:rPr>
          <w:noProof/>
          <w:lang w:val="en-US" w:bidi="gu-IN"/>
        </w:rPr>
        <w:lastRenderedPageBreak/>
        <w:drawing>
          <wp:inline distT="0" distB="0" distL="0" distR="0">
            <wp:extent cx="5943600" cy="4438650"/>
            <wp:effectExtent l="1905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a:srcRect/>
                    <a:stretch>
                      <a:fillRect/>
                    </a:stretch>
                  </pic:blipFill>
                  <pic:spPr bwMode="auto">
                    <a:xfrm>
                      <a:off x="0" y="0"/>
                      <a:ext cx="5943600" cy="4438650"/>
                    </a:xfrm>
                    <a:prstGeom prst="rect">
                      <a:avLst/>
                    </a:prstGeom>
                    <a:noFill/>
                    <a:ln w="9525">
                      <a:noFill/>
                      <a:miter lim="800000"/>
                      <a:headEnd/>
                      <a:tailEnd/>
                    </a:ln>
                  </pic:spPr>
                </pic:pic>
              </a:graphicData>
            </a:graphic>
          </wp:inline>
        </w:drawing>
      </w:r>
    </w:p>
    <w:p w:rsidR="00B204B0" w:rsidRDefault="005F5E47" w:rsidP="00116C0C">
      <w:r>
        <w:rPr>
          <w:noProof/>
          <w:lang w:val="en-US" w:bidi="gu-IN"/>
        </w:rPr>
        <w:lastRenderedPageBreak/>
        <w:drawing>
          <wp:inline distT="0" distB="0" distL="0" distR="0">
            <wp:extent cx="5943600" cy="4438650"/>
            <wp:effectExtent l="1905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3"/>
                    <a:srcRect/>
                    <a:stretch>
                      <a:fillRect/>
                    </a:stretch>
                  </pic:blipFill>
                  <pic:spPr bwMode="auto">
                    <a:xfrm>
                      <a:off x="0" y="0"/>
                      <a:ext cx="5943600" cy="4438650"/>
                    </a:xfrm>
                    <a:prstGeom prst="rect">
                      <a:avLst/>
                    </a:prstGeom>
                    <a:noFill/>
                    <a:ln w="9525">
                      <a:noFill/>
                      <a:miter lim="800000"/>
                      <a:headEnd/>
                      <a:tailEnd/>
                    </a:ln>
                  </pic:spPr>
                </pic:pic>
              </a:graphicData>
            </a:graphic>
          </wp:inline>
        </w:drawing>
      </w:r>
    </w:p>
    <w:p w:rsidR="005F5E47" w:rsidRDefault="005F5E47" w:rsidP="00116C0C">
      <w:r>
        <w:rPr>
          <w:noProof/>
          <w:lang w:val="en-US" w:bidi="gu-IN"/>
        </w:rPr>
        <w:lastRenderedPageBreak/>
        <w:drawing>
          <wp:inline distT="0" distB="0" distL="0" distR="0">
            <wp:extent cx="5943600" cy="4514850"/>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4"/>
                    <a:srcRect/>
                    <a:stretch>
                      <a:fillRect/>
                    </a:stretch>
                  </pic:blipFill>
                  <pic:spPr bwMode="auto">
                    <a:xfrm>
                      <a:off x="0" y="0"/>
                      <a:ext cx="5943600" cy="4514850"/>
                    </a:xfrm>
                    <a:prstGeom prst="rect">
                      <a:avLst/>
                    </a:prstGeom>
                    <a:noFill/>
                    <a:ln w="9525">
                      <a:noFill/>
                      <a:miter lim="800000"/>
                      <a:headEnd/>
                      <a:tailEnd/>
                    </a:ln>
                  </pic:spPr>
                </pic:pic>
              </a:graphicData>
            </a:graphic>
          </wp:inline>
        </w:drawing>
      </w:r>
    </w:p>
    <w:p w:rsidR="005F5E47" w:rsidRDefault="005F5E47" w:rsidP="00116C0C">
      <w:r>
        <w:rPr>
          <w:noProof/>
          <w:lang w:val="en-US" w:bidi="gu-IN"/>
        </w:rPr>
        <w:lastRenderedPageBreak/>
        <w:drawing>
          <wp:inline distT="0" distB="0" distL="0" distR="0">
            <wp:extent cx="5943600" cy="4476750"/>
            <wp:effectExtent l="1905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5"/>
                    <a:srcRect/>
                    <a:stretch>
                      <a:fillRect/>
                    </a:stretch>
                  </pic:blipFill>
                  <pic:spPr bwMode="auto">
                    <a:xfrm>
                      <a:off x="0" y="0"/>
                      <a:ext cx="5943600" cy="4476750"/>
                    </a:xfrm>
                    <a:prstGeom prst="rect">
                      <a:avLst/>
                    </a:prstGeom>
                    <a:noFill/>
                    <a:ln w="9525">
                      <a:noFill/>
                      <a:miter lim="800000"/>
                      <a:headEnd/>
                      <a:tailEnd/>
                    </a:ln>
                  </pic:spPr>
                </pic:pic>
              </a:graphicData>
            </a:graphic>
          </wp:inline>
        </w:drawing>
      </w:r>
    </w:p>
    <w:p w:rsidR="001B00B0" w:rsidRDefault="002608E4" w:rsidP="00116C0C">
      <w:r>
        <w:rPr>
          <w:noProof/>
          <w:lang w:val="en-US" w:bidi="gu-IN"/>
        </w:rPr>
        <w:lastRenderedPageBreak/>
        <w:drawing>
          <wp:inline distT="0" distB="0" distL="0" distR="0">
            <wp:extent cx="5943600" cy="4495800"/>
            <wp:effectExtent l="1905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6"/>
                    <a:srcRect/>
                    <a:stretch>
                      <a:fillRect/>
                    </a:stretch>
                  </pic:blipFill>
                  <pic:spPr bwMode="auto">
                    <a:xfrm>
                      <a:off x="0" y="0"/>
                      <a:ext cx="5943600" cy="4495800"/>
                    </a:xfrm>
                    <a:prstGeom prst="rect">
                      <a:avLst/>
                    </a:prstGeom>
                    <a:noFill/>
                    <a:ln w="9525">
                      <a:noFill/>
                      <a:miter lim="800000"/>
                      <a:headEnd/>
                      <a:tailEnd/>
                    </a:ln>
                  </pic:spPr>
                </pic:pic>
              </a:graphicData>
            </a:graphic>
          </wp:inline>
        </w:drawing>
      </w:r>
    </w:p>
    <w:p w:rsidR="002608E4" w:rsidRDefault="002608E4" w:rsidP="00116C0C">
      <w:r>
        <w:rPr>
          <w:noProof/>
          <w:lang w:val="en-US" w:bidi="gu-IN"/>
        </w:rPr>
        <w:lastRenderedPageBreak/>
        <w:drawing>
          <wp:inline distT="0" distB="0" distL="0" distR="0">
            <wp:extent cx="5943600" cy="4476750"/>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7"/>
                    <a:srcRect/>
                    <a:stretch>
                      <a:fillRect/>
                    </a:stretch>
                  </pic:blipFill>
                  <pic:spPr bwMode="auto">
                    <a:xfrm>
                      <a:off x="0" y="0"/>
                      <a:ext cx="5943600" cy="4476750"/>
                    </a:xfrm>
                    <a:prstGeom prst="rect">
                      <a:avLst/>
                    </a:prstGeom>
                    <a:noFill/>
                    <a:ln w="9525">
                      <a:noFill/>
                      <a:miter lim="800000"/>
                      <a:headEnd/>
                      <a:tailEnd/>
                    </a:ln>
                  </pic:spPr>
                </pic:pic>
              </a:graphicData>
            </a:graphic>
          </wp:inline>
        </w:drawing>
      </w:r>
    </w:p>
    <w:p w:rsidR="002608E4" w:rsidRPr="00116C0C" w:rsidRDefault="00DB506F" w:rsidP="00116C0C">
      <w:r>
        <w:rPr>
          <w:noProof/>
          <w:lang w:val="en-US" w:bidi="gu-IN"/>
        </w:rPr>
        <w:lastRenderedPageBreak/>
        <w:drawing>
          <wp:inline distT="0" distB="0" distL="0" distR="0">
            <wp:extent cx="5943600" cy="4457700"/>
            <wp:effectExtent l="1905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8"/>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sectPr w:rsidR="002608E4" w:rsidRPr="00116C0C" w:rsidSect="00960C94">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Shruti">
    <w:panose1 w:val="020B0502040204020203"/>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20942"/>
    <w:rsid w:val="000112A2"/>
    <w:rsid w:val="000118FD"/>
    <w:rsid w:val="000138F0"/>
    <w:rsid w:val="00020942"/>
    <w:rsid w:val="00031A74"/>
    <w:rsid w:val="00032F4C"/>
    <w:rsid w:val="000403EE"/>
    <w:rsid w:val="000447A3"/>
    <w:rsid w:val="00045CE8"/>
    <w:rsid w:val="000469B6"/>
    <w:rsid w:val="00053DB2"/>
    <w:rsid w:val="0005574B"/>
    <w:rsid w:val="00061F36"/>
    <w:rsid w:val="00064E1B"/>
    <w:rsid w:val="00083EBB"/>
    <w:rsid w:val="0008649D"/>
    <w:rsid w:val="0009130F"/>
    <w:rsid w:val="000A5B36"/>
    <w:rsid w:val="000B38F2"/>
    <w:rsid w:val="000B72EE"/>
    <w:rsid w:val="000C4689"/>
    <w:rsid w:val="000E1886"/>
    <w:rsid w:val="000E4950"/>
    <w:rsid w:val="000E5309"/>
    <w:rsid w:val="000E5D79"/>
    <w:rsid w:val="000F735B"/>
    <w:rsid w:val="001051E5"/>
    <w:rsid w:val="00105419"/>
    <w:rsid w:val="00111317"/>
    <w:rsid w:val="00115D5F"/>
    <w:rsid w:val="00116C0C"/>
    <w:rsid w:val="0012492D"/>
    <w:rsid w:val="00133014"/>
    <w:rsid w:val="00135662"/>
    <w:rsid w:val="00137C51"/>
    <w:rsid w:val="00144627"/>
    <w:rsid w:val="00152263"/>
    <w:rsid w:val="00161DB3"/>
    <w:rsid w:val="0016464F"/>
    <w:rsid w:val="00166F49"/>
    <w:rsid w:val="00170DF5"/>
    <w:rsid w:val="00170DF6"/>
    <w:rsid w:val="001739CE"/>
    <w:rsid w:val="00183924"/>
    <w:rsid w:val="00186180"/>
    <w:rsid w:val="00197D13"/>
    <w:rsid w:val="001A3E08"/>
    <w:rsid w:val="001A7515"/>
    <w:rsid w:val="001B00B0"/>
    <w:rsid w:val="001C522E"/>
    <w:rsid w:val="001D219F"/>
    <w:rsid w:val="001D35F3"/>
    <w:rsid w:val="001D7305"/>
    <w:rsid w:val="001E4370"/>
    <w:rsid w:val="001E7DF9"/>
    <w:rsid w:val="00203426"/>
    <w:rsid w:val="002038A5"/>
    <w:rsid w:val="0020539E"/>
    <w:rsid w:val="00205C4E"/>
    <w:rsid w:val="0020651F"/>
    <w:rsid w:val="002243A9"/>
    <w:rsid w:val="0022758D"/>
    <w:rsid w:val="0023052C"/>
    <w:rsid w:val="00231B3F"/>
    <w:rsid w:val="00245531"/>
    <w:rsid w:val="002608E4"/>
    <w:rsid w:val="00262E98"/>
    <w:rsid w:val="002726B0"/>
    <w:rsid w:val="00275510"/>
    <w:rsid w:val="00277C79"/>
    <w:rsid w:val="00281977"/>
    <w:rsid w:val="002819F4"/>
    <w:rsid w:val="00283FB7"/>
    <w:rsid w:val="002903DE"/>
    <w:rsid w:val="00291E33"/>
    <w:rsid w:val="00293474"/>
    <w:rsid w:val="002A5FD3"/>
    <w:rsid w:val="002A7CBC"/>
    <w:rsid w:val="002B32CC"/>
    <w:rsid w:val="002C18BB"/>
    <w:rsid w:val="002C2AF0"/>
    <w:rsid w:val="002C5BC7"/>
    <w:rsid w:val="002D1364"/>
    <w:rsid w:val="002D17E3"/>
    <w:rsid w:val="002D1885"/>
    <w:rsid w:val="002D1E74"/>
    <w:rsid w:val="002D225E"/>
    <w:rsid w:val="002D737C"/>
    <w:rsid w:val="002E57BB"/>
    <w:rsid w:val="002E5C2B"/>
    <w:rsid w:val="002F5A13"/>
    <w:rsid w:val="00301EDF"/>
    <w:rsid w:val="0030365E"/>
    <w:rsid w:val="003061B5"/>
    <w:rsid w:val="00321B54"/>
    <w:rsid w:val="0033003B"/>
    <w:rsid w:val="0033568C"/>
    <w:rsid w:val="003471B6"/>
    <w:rsid w:val="00347D4E"/>
    <w:rsid w:val="0035269A"/>
    <w:rsid w:val="003546DF"/>
    <w:rsid w:val="003556E7"/>
    <w:rsid w:val="003563F3"/>
    <w:rsid w:val="0036009D"/>
    <w:rsid w:val="0036380C"/>
    <w:rsid w:val="00363E2E"/>
    <w:rsid w:val="00365531"/>
    <w:rsid w:val="0037409D"/>
    <w:rsid w:val="00374C81"/>
    <w:rsid w:val="00380157"/>
    <w:rsid w:val="0038077C"/>
    <w:rsid w:val="00386D07"/>
    <w:rsid w:val="003966C5"/>
    <w:rsid w:val="003A65AE"/>
    <w:rsid w:val="003B61E7"/>
    <w:rsid w:val="003D10EE"/>
    <w:rsid w:val="003D3815"/>
    <w:rsid w:val="003E0F1F"/>
    <w:rsid w:val="003E3DE3"/>
    <w:rsid w:val="003E405C"/>
    <w:rsid w:val="003E5B46"/>
    <w:rsid w:val="003E783D"/>
    <w:rsid w:val="00404155"/>
    <w:rsid w:val="004119C9"/>
    <w:rsid w:val="0041355D"/>
    <w:rsid w:val="00416367"/>
    <w:rsid w:val="00417318"/>
    <w:rsid w:val="00427015"/>
    <w:rsid w:val="00427DD9"/>
    <w:rsid w:val="00432B45"/>
    <w:rsid w:val="004359D8"/>
    <w:rsid w:val="004370ED"/>
    <w:rsid w:val="004551B5"/>
    <w:rsid w:val="0045608A"/>
    <w:rsid w:val="004619AE"/>
    <w:rsid w:val="00461EBC"/>
    <w:rsid w:val="00462299"/>
    <w:rsid w:val="004649F7"/>
    <w:rsid w:val="00472069"/>
    <w:rsid w:val="00472937"/>
    <w:rsid w:val="00474782"/>
    <w:rsid w:val="00474B9C"/>
    <w:rsid w:val="004772AE"/>
    <w:rsid w:val="00491114"/>
    <w:rsid w:val="004A23DF"/>
    <w:rsid w:val="004A4638"/>
    <w:rsid w:val="004A7301"/>
    <w:rsid w:val="004B0990"/>
    <w:rsid w:val="004B3473"/>
    <w:rsid w:val="004B6B3D"/>
    <w:rsid w:val="004D4C78"/>
    <w:rsid w:val="004E1A92"/>
    <w:rsid w:val="004E2F87"/>
    <w:rsid w:val="004E6C63"/>
    <w:rsid w:val="004F4AD7"/>
    <w:rsid w:val="004F7607"/>
    <w:rsid w:val="00516CAA"/>
    <w:rsid w:val="005239B1"/>
    <w:rsid w:val="00542265"/>
    <w:rsid w:val="005438A0"/>
    <w:rsid w:val="00545A98"/>
    <w:rsid w:val="00555D61"/>
    <w:rsid w:val="005633BB"/>
    <w:rsid w:val="00581C43"/>
    <w:rsid w:val="00582CCB"/>
    <w:rsid w:val="00594F8B"/>
    <w:rsid w:val="00596B18"/>
    <w:rsid w:val="005A2EF0"/>
    <w:rsid w:val="005A4862"/>
    <w:rsid w:val="005A6A7A"/>
    <w:rsid w:val="005B123F"/>
    <w:rsid w:val="005B64C4"/>
    <w:rsid w:val="005C24E0"/>
    <w:rsid w:val="005D0050"/>
    <w:rsid w:val="005E68AE"/>
    <w:rsid w:val="005E75A3"/>
    <w:rsid w:val="005F4017"/>
    <w:rsid w:val="005F4751"/>
    <w:rsid w:val="005F5E47"/>
    <w:rsid w:val="00601DAA"/>
    <w:rsid w:val="00617040"/>
    <w:rsid w:val="00620955"/>
    <w:rsid w:val="006222C3"/>
    <w:rsid w:val="006366C9"/>
    <w:rsid w:val="0063774F"/>
    <w:rsid w:val="00637FF8"/>
    <w:rsid w:val="00641F9B"/>
    <w:rsid w:val="00642C98"/>
    <w:rsid w:val="0064683F"/>
    <w:rsid w:val="0065153F"/>
    <w:rsid w:val="0066356A"/>
    <w:rsid w:val="00670C74"/>
    <w:rsid w:val="00677B14"/>
    <w:rsid w:val="006821E2"/>
    <w:rsid w:val="00683629"/>
    <w:rsid w:val="006837A8"/>
    <w:rsid w:val="00686C49"/>
    <w:rsid w:val="0069021E"/>
    <w:rsid w:val="00690D9B"/>
    <w:rsid w:val="00691181"/>
    <w:rsid w:val="006A154F"/>
    <w:rsid w:val="006A3900"/>
    <w:rsid w:val="006A66EC"/>
    <w:rsid w:val="006B358B"/>
    <w:rsid w:val="006D3B03"/>
    <w:rsid w:val="006E7AB1"/>
    <w:rsid w:val="006F6F72"/>
    <w:rsid w:val="00702887"/>
    <w:rsid w:val="007058E4"/>
    <w:rsid w:val="00721D57"/>
    <w:rsid w:val="00751142"/>
    <w:rsid w:val="007543FF"/>
    <w:rsid w:val="00760530"/>
    <w:rsid w:val="00770201"/>
    <w:rsid w:val="007711CD"/>
    <w:rsid w:val="007749E0"/>
    <w:rsid w:val="00782F45"/>
    <w:rsid w:val="00784726"/>
    <w:rsid w:val="0078614D"/>
    <w:rsid w:val="00792D90"/>
    <w:rsid w:val="00794540"/>
    <w:rsid w:val="007A0C2C"/>
    <w:rsid w:val="007A34A6"/>
    <w:rsid w:val="007B1143"/>
    <w:rsid w:val="007B6D9F"/>
    <w:rsid w:val="007C17BC"/>
    <w:rsid w:val="007C4EBE"/>
    <w:rsid w:val="007D4AB6"/>
    <w:rsid w:val="007E13ED"/>
    <w:rsid w:val="007E1973"/>
    <w:rsid w:val="007E3B02"/>
    <w:rsid w:val="007E4796"/>
    <w:rsid w:val="007E515E"/>
    <w:rsid w:val="007F261F"/>
    <w:rsid w:val="007F77BD"/>
    <w:rsid w:val="00805557"/>
    <w:rsid w:val="00814060"/>
    <w:rsid w:val="00815F0D"/>
    <w:rsid w:val="00826B04"/>
    <w:rsid w:val="00830E10"/>
    <w:rsid w:val="008366DB"/>
    <w:rsid w:val="0084725F"/>
    <w:rsid w:val="008550E8"/>
    <w:rsid w:val="00862DCC"/>
    <w:rsid w:val="00863099"/>
    <w:rsid w:val="00876B52"/>
    <w:rsid w:val="008779EA"/>
    <w:rsid w:val="00885809"/>
    <w:rsid w:val="008877BA"/>
    <w:rsid w:val="0089669A"/>
    <w:rsid w:val="008A09CC"/>
    <w:rsid w:val="008A6307"/>
    <w:rsid w:val="008A685F"/>
    <w:rsid w:val="008C1DD8"/>
    <w:rsid w:val="008D1F97"/>
    <w:rsid w:val="008D695E"/>
    <w:rsid w:val="008D6DF0"/>
    <w:rsid w:val="008F653F"/>
    <w:rsid w:val="00901D07"/>
    <w:rsid w:val="00910C7F"/>
    <w:rsid w:val="00911070"/>
    <w:rsid w:val="00931042"/>
    <w:rsid w:val="009333E4"/>
    <w:rsid w:val="00935FA0"/>
    <w:rsid w:val="00937D52"/>
    <w:rsid w:val="0094085B"/>
    <w:rsid w:val="00946171"/>
    <w:rsid w:val="009474BE"/>
    <w:rsid w:val="00951685"/>
    <w:rsid w:val="00953A24"/>
    <w:rsid w:val="00960C94"/>
    <w:rsid w:val="00962855"/>
    <w:rsid w:val="00962B8D"/>
    <w:rsid w:val="009635D6"/>
    <w:rsid w:val="009679CD"/>
    <w:rsid w:val="0098052B"/>
    <w:rsid w:val="00981CB2"/>
    <w:rsid w:val="00986367"/>
    <w:rsid w:val="00991B01"/>
    <w:rsid w:val="00993076"/>
    <w:rsid w:val="00993506"/>
    <w:rsid w:val="009A1906"/>
    <w:rsid w:val="009A7ABA"/>
    <w:rsid w:val="009A7FE3"/>
    <w:rsid w:val="009B3ABA"/>
    <w:rsid w:val="009B5F80"/>
    <w:rsid w:val="009D0193"/>
    <w:rsid w:val="009D1336"/>
    <w:rsid w:val="009D61FE"/>
    <w:rsid w:val="009E5C29"/>
    <w:rsid w:val="009F4E0E"/>
    <w:rsid w:val="009F5596"/>
    <w:rsid w:val="009F5A72"/>
    <w:rsid w:val="00A003BA"/>
    <w:rsid w:val="00A072E8"/>
    <w:rsid w:val="00A154E4"/>
    <w:rsid w:val="00A25F1F"/>
    <w:rsid w:val="00A35A1F"/>
    <w:rsid w:val="00A43165"/>
    <w:rsid w:val="00A55811"/>
    <w:rsid w:val="00A74B85"/>
    <w:rsid w:val="00A772FB"/>
    <w:rsid w:val="00A77ABB"/>
    <w:rsid w:val="00A83971"/>
    <w:rsid w:val="00A865ED"/>
    <w:rsid w:val="00A90DA1"/>
    <w:rsid w:val="00A96783"/>
    <w:rsid w:val="00AA36CB"/>
    <w:rsid w:val="00AA3B55"/>
    <w:rsid w:val="00AA6913"/>
    <w:rsid w:val="00AB1D0E"/>
    <w:rsid w:val="00AB461C"/>
    <w:rsid w:val="00AB4894"/>
    <w:rsid w:val="00AB5491"/>
    <w:rsid w:val="00AC44CA"/>
    <w:rsid w:val="00AC700C"/>
    <w:rsid w:val="00AD097F"/>
    <w:rsid w:val="00AD6BAD"/>
    <w:rsid w:val="00AE40F8"/>
    <w:rsid w:val="00AE5447"/>
    <w:rsid w:val="00AF74FA"/>
    <w:rsid w:val="00B01CA7"/>
    <w:rsid w:val="00B04D3B"/>
    <w:rsid w:val="00B1623E"/>
    <w:rsid w:val="00B204B0"/>
    <w:rsid w:val="00B21C16"/>
    <w:rsid w:val="00B333CE"/>
    <w:rsid w:val="00B335A2"/>
    <w:rsid w:val="00B36472"/>
    <w:rsid w:val="00B40124"/>
    <w:rsid w:val="00B441AA"/>
    <w:rsid w:val="00B54AED"/>
    <w:rsid w:val="00B56BD3"/>
    <w:rsid w:val="00B56D2C"/>
    <w:rsid w:val="00B608EE"/>
    <w:rsid w:val="00B61F79"/>
    <w:rsid w:val="00B635CB"/>
    <w:rsid w:val="00B66CF9"/>
    <w:rsid w:val="00B729DB"/>
    <w:rsid w:val="00B741CE"/>
    <w:rsid w:val="00B765B7"/>
    <w:rsid w:val="00B76DE3"/>
    <w:rsid w:val="00B77E0B"/>
    <w:rsid w:val="00B93B34"/>
    <w:rsid w:val="00B94043"/>
    <w:rsid w:val="00B962EC"/>
    <w:rsid w:val="00B96699"/>
    <w:rsid w:val="00B96CCF"/>
    <w:rsid w:val="00BA0C5A"/>
    <w:rsid w:val="00BA2851"/>
    <w:rsid w:val="00BA47C1"/>
    <w:rsid w:val="00BA5633"/>
    <w:rsid w:val="00BA5A8C"/>
    <w:rsid w:val="00BA65CC"/>
    <w:rsid w:val="00BC0F81"/>
    <w:rsid w:val="00BC1213"/>
    <w:rsid w:val="00BC750D"/>
    <w:rsid w:val="00BD0FF5"/>
    <w:rsid w:val="00BE33F6"/>
    <w:rsid w:val="00BE54D8"/>
    <w:rsid w:val="00BE6B56"/>
    <w:rsid w:val="00BE72EE"/>
    <w:rsid w:val="00BE760C"/>
    <w:rsid w:val="00BE76DE"/>
    <w:rsid w:val="00BF4994"/>
    <w:rsid w:val="00BF4C0B"/>
    <w:rsid w:val="00BF7F80"/>
    <w:rsid w:val="00C10F58"/>
    <w:rsid w:val="00C115FE"/>
    <w:rsid w:val="00C1184B"/>
    <w:rsid w:val="00C25ECD"/>
    <w:rsid w:val="00C268B4"/>
    <w:rsid w:val="00C27F7A"/>
    <w:rsid w:val="00C42D2C"/>
    <w:rsid w:val="00C47AAC"/>
    <w:rsid w:val="00C5474C"/>
    <w:rsid w:val="00C553D9"/>
    <w:rsid w:val="00C61BDA"/>
    <w:rsid w:val="00C62DDF"/>
    <w:rsid w:val="00C649C2"/>
    <w:rsid w:val="00C81CE4"/>
    <w:rsid w:val="00C8753E"/>
    <w:rsid w:val="00C93C5A"/>
    <w:rsid w:val="00CA6B1F"/>
    <w:rsid w:val="00CA6E06"/>
    <w:rsid w:val="00CA7784"/>
    <w:rsid w:val="00CA7CBA"/>
    <w:rsid w:val="00CB551E"/>
    <w:rsid w:val="00CC6085"/>
    <w:rsid w:val="00CD38EE"/>
    <w:rsid w:val="00CD5A47"/>
    <w:rsid w:val="00CD5B25"/>
    <w:rsid w:val="00CD5D6D"/>
    <w:rsid w:val="00CF0D56"/>
    <w:rsid w:val="00CF46E7"/>
    <w:rsid w:val="00CF7633"/>
    <w:rsid w:val="00D00C29"/>
    <w:rsid w:val="00D05D77"/>
    <w:rsid w:val="00D1287A"/>
    <w:rsid w:val="00D16585"/>
    <w:rsid w:val="00D2088A"/>
    <w:rsid w:val="00D235EF"/>
    <w:rsid w:val="00D45A7A"/>
    <w:rsid w:val="00D539C9"/>
    <w:rsid w:val="00D54F77"/>
    <w:rsid w:val="00D553F5"/>
    <w:rsid w:val="00D56073"/>
    <w:rsid w:val="00D6069C"/>
    <w:rsid w:val="00D60D4E"/>
    <w:rsid w:val="00D73011"/>
    <w:rsid w:val="00D73229"/>
    <w:rsid w:val="00D770C8"/>
    <w:rsid w:val="00D847D8"/>
    <w:rsid w:val="00D86571"/>
    <w:rsid w:val="00D974D5"/>
    <w:rsid w:val="00DA5847"/>
    <w:rsid w:val="00DB4F77"/>
    <w:rsid w:val="00DB506F"/>
    <w:rsid w:val="00DC0293"/>
    <w:rsid w:val="00DC039A"/>
    <w:rsid w:val="00DC1E60"/>
    <w:rsid w:val="00DC48A1"/>
    <w:rsid w:val="00DF589E"/>
    <w:rsid w:val="00DF5B10"/>
    <w:rsid w:val="00E05A3F"/>
    <w:rsid w:val="00E062EC"/>
    <w:rsid w:val="00E20C17"/>
    <w:rsid w:val="00E24A4A"/>
    <w:rsid w:val="00E376E0"/>
    <w:rsid w:val="00E42D52"/>
    <w:rsid w:val="00E5227A"/>
    <w:rsid w:val="00E5700B"/>
    <w:rsid w:val="00E659FC"/>
    <w:rsid w:val="00E710EC"/>
    <w:rsid w:val="00E744E4"/>
    <w:rsid w:val="00E87463"/>
    <w:rsid w:val="00E95955"/>
    <w:rsid w:val="00EA23C6"/>
    <w:rsid w:val="00EB039B"/>
    <w:rsid w:val="00EB7190"/>
    <w:rsid w:val="00EC0E67"/>
    <w:rsid w:val="00EC15A6"/>
    <w:rsid w:val="00EC65AE"/>
    <w:rsid w:val="00ED0C2E"/>
    <w:rsid w:val="00ED54BF"/>
    <w:rsid w:val="00EE51C3"/>
    <w:rsid w:val="00EE6BC7"/>
    <w:rsid w:val="00EE7983"/>
    <w:rsid w:val="00F11F84"/>
    <w:rsid w:val="00F20513"/>
    <w:rsid w:val="00F208B1"/>
    <w:rsid w:val="00F22D68"/>
    <w:rsid w:val="00F2755B"/>
    <w:rsid w:val="00F32133"/>
    <w:rsid w:val="00F33DE2"/>
    <w:rsid w:val="00F35C9F"/>
    <w:rsid w:val="00F37F5E"/>
    <w:rsid w:val="00F40207"/>
    <w:rsid w:val="00F50743"/>
    <w:rsid w:val="00F53831"/>
    <w:rsid w:val="00F5554B"/>
    <w:rsid w:val="00F560F0"/>
    <w:rsid w:val="00F631A4"/>
    <w:rsid w:val="00F63976"/>
    <w:rsid w:val="00F7067C"/>
    <w:rsid w:val="00F7791F"/>
    <w:rsid w:val="00F84852"/>
    <w:rsid w:val="00F84C12"/>
    <w:rsid w:val="00F91A5A"/>
    <w:rsid w:val="00F9761B"/>
    <w:rsid w:val="00FA3ED6"/>
    <w:rsid w:val="00FB0968"/>
    <w:rsid w:val="00FB20C9"/>
    <w:rsid w:val="00FB3AD2"/>
    <w:rsid w:val="00FB7BD5"/>
    <w:rsid w:val="00FC196D"/>
    <w:rsid w:val="00FC5903"/>
    <w:rsid w:val="00FE5625"/>
    <w:rsid w:val="00FE7A99"/>
    <w:rsid w:val="00FF007D"/>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614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E530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D5A4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5269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2094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20942"/>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0E5309"/>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CD5A47"/>
    <w:rPr>
      <w:rFonts w:asciiTheme="majorHAnsi" w:eastAsiaTheme="majorEastAsia" w:hAnsiTheme="majorHAnsi" w:cstheme="majorBidi"/>
      <w:b/>
      <w:bCs/>
      <w:color w:val="4F81BD" w:themeColor="accent1"/>
      <w:sz w:val="26"/>
      <w:szCs w:val="26"/>
      <w:lang w:val="en-GB"/>
    </w:rPr>
  </w:style>
  <w:style w:type="table" w:customStyle="1" w:styleId="LightGrid1">
    <w:name w:val="Light Grid1"/>
    <w:basedOn w:val="TableNormal"/>
    <w:uiPriority w:val="62"/>
    <w:rsid w:val="00CB551E"/>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TableGrid">
    <w:name w:val="Table Grid"/>
    <w:basedOn w:val="TableNormal"/>
    <w:uiPriority w:val="59"/>
    <w:rsid w:val="00935FA0"/>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35269A"/>
    <w:rPr>
      <w:rFonts w:asciiTheme="majorHAnsi" w:eastAsiaTheme="majorEastAsia" w:hAnsiTheme="majorHAnsi" w:cstheme="majorBidi"/>
      <w:b/>
      <w:bCs/>
      <w:color w:val="4F81BD" w:themeColor="accent1"/>
      <w:sz w:val="24"/>
      <w:lang w:val="en-GB"/>
    </w:rPr>
  </w:style>
  <w:style w:type="table" w:styleId="LightList-Accent3">
    <w:name w:val="Light List Accent 3"/>
    <w:basedOn w:val="TableNormal"/>
    <w:uiPriority w:val="61"/>
    <w:rsid w:val="00815F0D"/>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paragraph" w:styleId="BalloonText">
    <w:name w:val="Balloon Text"/>
    <w:basedOn w:val="Normal"/>
    <w:link w:val="BalloonTextChar"/>
    <w:uiPriority w:val="99"/>
    <w:semiHidden/>
    <w:unhideWhenUsed/>
    <w:rsid w:val="00E20C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0C17"/>
    <w:rPr>
      <w:rFonts w:ascii="Tahoma" w:hAnsi="Tahoma" w:cs="Tahoma"/>
      <w:sz w:val="16"/>
      <w:szCs w:val="16"/>
      <w:lang w:val="en-GB"/>
    </w:rPr>
  </w:style>
  <w:style w:type="table" w:styleId="MediumShading1-Accent4">
    <w:name w:val="Medium Shading 1 Accent 4"/>
    <w:basedOn w:val="TableNormal"/>
    <w:uiPriority w:val="63"/>
    <w:rsid w:val="00BE76DE"/>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List1-Accent2">
    <w:name w:val="Medium List 1 Accent 2"/>
    <w:basedOn w:val="TableNormal"/>
    <w:uiPriority w:val="65"/>
    <w:rsid w:val="00472937"/>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6">
    <w:name w:val="Medium List 1 Accent 6"/>
    <w:basedOn w:val="TableNormal"/>
    <w:uiPriority w:val="65"/>
    <w:rsid w:val="00876B52"/>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Shading1-Accent6">
    <w:name w:val="Medium Shading 1 Accent 6"/>
    <w:basedOn w:val="TableNormal"/>
    <w:uiPriority w:val="63"/>
    <w:rsid w:val="0033003B"/>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LightShading-Accent2">
    <w:name w:val="Light Shading Accent 2"/>
    <w:basedOn w:val="TableNormal"/>
    <w:uiPriority w:val="60"/>
    <w:rsid w:val="00AD6BAD"/>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Shading-Accent11">
    <w:name w:val="Light Shading - Accent 11"/>
    <w:basedOn w:val="TableNormal"/>
    <w:uiPriority w:val="60"/>
    <w:rsid w:val="00B56BD3"/>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TOCHeading">
    <w:name w:val="TOC Heading"/>
    <w:basedOn w:val="Heading1"/>
    <w:next w:val="Normal"/>
    <w:uiPriority w:val="39"/>
    <w:semiHidden/>
    <w:unhideWhenUsed/>
    <w:qFormat/>
    <w:rsid w:val="006A3900"/>
    <w:pPr>
      <w:spacing w:line="276" w:lineRule="auto"/>
      <w:jc w:val="left"/>
      <w:outlineLvl w:val="9"/>
    </w:pPr>
    <w:rPr>
      <w:lang w:val="en-US"/>
    </w:rPr>
  </w:style>
  <w:style w:type="paragraph" w:styleId="TOC1">
    <w:name w:val="toc 1"/>
    <w:basedOn w:val="Normal"/>
    <w:next w:val="Normal"/>
    <w:autoRedefine/>
    <w:uiPriority w:val="39"/>
    <w:unhideWhenUsed/>
    <w:rsid w:val="006A3900"/>
    <w:pPr>
      <w:spacing w:after="100"/>
    </w:pPr>
  </w:style>
  <w:style w:type="paragraph" w:styleId="TOC2">
    <w:name w:val="toc 2"/>
    <w:basedOn w:val="Normal"/>
    <w:next w:val="Normal"/>
    <w:autoRedefine/>
    <w:uiPriority w:val="39"/>
    <w:unhideWhenUsed/>
    <w:rsid w:val="006A3900"/>
    <w:pPr>
      <w:spacing w:after="100"/>
      <w:ind w:left="240"/>
    </w:pPr>
  </w:style>
  <w:style w:type="paragraph" w:styleId="TOC3">
    <w:name w:val="toc 3"/>
    <w:basedOn w:val="Normal"/>
    <w:next w:val="Normal"/>
    <w:autoRedefine/>
    <w:uiPriority w:val="39"/>
    <w:unhideWhenUsed/>
    <w:rsid w:val="006A3900"/>
    <w:pPr>
      <w:spacing w:after="100"/>
      <w:ind w:left="480"/>
    </w:pPr>
  </w:style>
  <w:style w:type="character" w:styleId="Hyperlink">
    <w:name w:val="Hyperlink"/>
    <w:basedOn w:val="DefaultParagraphFont"/>
    <w:uiPriority w:val="99"/>
    <w:unhideWhenUsed/>
    <w:rsid w:val="006A3900"/>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45299956">
      <w:bodyDiv w:val="1"/>
      <w:marLeft w:val="0"/>
      <w:marRight w:val="0"/>
      <w:marTop w:val="0"/>
      <w:marBottom w:val="0"/>
      <w:divBdr>
        <w:top w:val="none" w:sz="0" w:space="0" w:color="auto"/>
        <w:left w:val="none" w:sz="0" w:space="0" w:color="auto"/>
        <w:bottom w:val="none" w:sz="0" w:space="0" w:color="auto"/>
        <w:right w:val="none" w:sz="0" w:space="0" w:color="auto"/>
      </w:divBdr>
    </w:div>
    <w:div w:id="83378952">
      <w:bodyDiv w:val="1"/>
      <w:marLeft w:val="0"/>
      <w:marRight w:val="0"/>
      <w:marTop w:val="0"/>
      <w:marBottom w:val="0"/>
      <w:divBdr>
        <w:top w:val="none" w:sz="0" w:space="0" w:color="auto"/>
        <w:left w:val="none" w:sz="0" w:space="0" w:color="auto"/>
        <w:bottom w:val="none" w:sz="0" w:space="0" w:color="auto"/>
        <w:right w:val="none" w:sz="0" w:space="0" w:color="auto"/>
      </w:divBdr>
    </w:div>
    <w:div w:id="97068857">
      <w:bodyDiv w:val="1"/>
      <w:marLeft w:val="0"/>
      <w:marRight w:val="0"/>
      <w:marTop w:val="0"/>
      <w:marBottom w:val="0"/>
      <w:divBdr>
        <w:top w:val="none" w:sz="0" w:space="0" w:color="auto"/>
        <w:left w:val="none" w:sz="0" w:space="0" w:color="auto"/>
        <w:bottom w:val="none" w:sz="0" w:space="0" w:color="auto"/>
        <w:right w:val="none" w:sz="0" w:space="0" w:color="auto"/>
      </w:divBdr>
    </w:div>
    <w:div w:id="158204029">
      <w:bodyDiv w:val="1"/>
      <w:marLeft w:val="0"/>
      <w:marRight w:val="0"/>
      <w:marTop w:val="0"/>
      <w:marBottom w:val="0"/>
      <w:divBdr>
        <w:top w:val="none" w:sz="0" w:space="0" w:color="auto"/>
        <w:left w:val="none" w:sz="0" w:space="0" w:color="auto"/>
        <w:bottom w:val="none" w:sz="0" w:space="0" w:color="auto"/>
        <w:right w:val="none" w:sz="0" w:space="0" w:color="auto"/>
      </w:divBdr>
    </w:div>
    <w:div w:id="170679698">
      <w:bodyDiv w:val="1"/>
      <w:marLeft w:val="0"/>
      <w:marRight w:val="0"/>
      <w:marTop w:val="0"/>
      <w:marBottom w:val="0"/>
      <w:divBdr>
        <w:top w:val="none" w:sz="0" w:space="0" w:color="auto"/>
        <w:left w:val="none" w:sz="0" w:space="0" w:color="auto"/>
        <w:bottom w:val="none" w:sz="0" w:space="0" w:color="auto"/>
        <w:right w:val="none" w:sz="0" w:space="0" w:color="auto"/>
      </w:divBdr>
    </w:div>
    <w:div w:id="241525141">
      <w:bodyDiv w:val="1"/>
      <w:marLeft w:val="0"/>
      <w:marRight w:val="0"/>
      <w:marTop w:val="0"/>
      <w:marBottom w:val="0"/>
      <w:divBdr>
        <w:top w:val="none" w:sz="0" w:space="0" w:color="auto"/>
        <w:left w:val="none" w:sz="0" w:space="0" w:color="auto"/>
        <w:bottom w:val="none" w:sz="0" w:space="0" w:color="auto"/>
        <w:right w:val="none" w:sz="0" w:space="0" w:color="auto"/>
      </w:divBdr>
    </w:div>
    <w:div w:id="311568477">
      <w:bodyDiv w:val="1"/>
      <w:marLeft w:val="0"/>
      <w:marRight w:val="0"/>
      <w:marTop w:val="0"/>
      <w:marBottom w:val="0"/>
      <w:divBdr>
        <w:top w:val="none" w:sz="0" w:space="0" w:color="auto"/>
        <w:left w:val="none" w:sz="0" w:space="0" w:color="auto"/>
        <w:bottom w:val="none" w:sz="0" w:space="0" w:color="auto"/>
        <w:right w:val="none" w:sz="0" w:space="0" w:color="auto"/>
      </w:divBdr>
    </w:div>
    <w:div w:id="334110808">
      <w:bodyDiv w:val="1"/>
      <w:marLeft w:val="0"/>
      <w:marRight w:val="0"/>
      <w:marTop w:val="0"/>
      <w:marBottom w:val="0"/>
      <w:divBdr>
        <w:top w:val="none" w:sz="0" w:space="0" w:color="auto"/>
        <w:left w:val="none" w:sz="0" w:space="0" w:color="auto"/>
        <w:bottom w:val="none" w:sz="0" w:space="0" w:color="auto"/>
        <w:right w:val="none" w:sz="0" w:space="0" w:color="auto"/>
      </w:divBdr>
    </w:div>
    <w:div w:id="353456197">
      <w:bodyDiv w:val="1"/>
      <w:marLeft w:val="0"/>
      <w:marRight w:val="0"/>
      <w:marTop w:val="0"/>
      <w:marBottom w:val="0"/>
      <w:divBdr>
        <w:top w:val="none" w:sz="0" w:space="0" w:color="auto"/>
        <w:left w:val="none" w:sz="0" w:space="0" w:color="auto"/>
        <w:bottom w:val="none" w:sz="0" w:space="0" w:color="auto"/>
        <w:right w:val="none" w:sz="0" w:space="0" w:color="auto"/>
      </w:divBdr>
    </w:div>
    <w:div w:id="436292860">
      <w:bodyDiv w:val="1"/>
      <w:marLeft w:val="0"/>
      <w:marRight w:val="0"/>
      <w:marTop w:val="0"/>
      <w:marBottom w:val="0"/>
      <w:divBdr>
        <w:top w:val="none" w:sz="0" w:space="0" w:color="auto"/>
        <w:left w:val="none" w:sz="0" w:space="0" w:color="auto"/>
        <w:bottom w:val="none" w:sz="0" w:space="0" w:color="auto"/>
        <w:right w:val="none" w:sz="0" w:space="0" w:color="auto"/>
      </w:divBdr>
    </w:div>
    <w:div w:id="658315938">
      <w:bodyDiv w:val="1"/>
      <w:marLeft w:val="0"/>
      <w:marRight w:val="0"/>
      <w:marTop w:val="0"/>
      <w:marBottom w:val="0"/>
      <w:divBdr>
        <w:top w:val="none" w:sz="0" w:space="0" w:color="auto"/>
        <w:left w:val="none" w:sz="0" w:space="0" w:color="auto"/>
        <w:bottom w:val="none" w:sz="0" w:space="0" w:color="auto"/>
        <w:right w:val="none" w:sz="0" w:space="0" w:color="auto"/>
      </w:divBdr>
    </w:div>
    <w:div w:id="766386920">
      <w:bodyDiv w:val="1"/>
      <w:marLeft w:val="0"/>
      <w:marRight w:val="0"/>
      <w:marTop w:val="0"/>
      <w:marBottom w:val="0"/>
      <w:divBdr>
        <w:top w:val="none" w:sz="0" w:space="0" w:color="auto"/>
        <w:left w:val="none" w:sz="0" w:space="0" w:color="auto"/>
        <w:bottom w:val="none" w:sz="0" w:space="0" w:color="auto"/>
        <w:right w:val="none" w:sz="0" w:space="0" w:color="auto"/>
      </w:divBdr>
    </w:div>
    <w:div w:id="849949802">
      <w:bodyDiv w:val="1"/>
      <w:marLeft w:val="0"/>
      <w:marRight w:val="0"/>
      <w:marTop w:val="0"/>
      <w:marBottom w:val="0"/>
      <w:divBdr>
        <w:top w:val="none" w:sz="0" w:space="0" w:color="auto"/>
        <w:left w:val="none" w:sz="0" w:space="0" w:color="auto"/>
        <w:bottom w:val="none" w:sz="0" w:space="0" w:color="auto"/>
        <w:right w:val="none" w:sz="0" w:space="0" w:color="auto"/>
      </w:divBdr>
    </w:div>
    <w:div w:id="889001783">
      <w:bodyDiv w:val="1"/>
      <w:marLeft w:val="0"/>
      <w:marRight w:val="0"/>
      <w:marTop w:val="0"/>
      <w:marBottom w:val="0"/>
      <w:divBdr>
        <w:top w:val="none" w:sz="0" w:space="0" w:color="auto"/>
        <w:left w:val="none" w:sz="0" w:space="0" w:color="auto"/>
        <w:bottom w:val="none" w:sz="0" w:space="0" w:color="auto"/>
        <w:right w:val="none" w:sz="0" w:space="0" w:color="auto"/>
      </w:divBdr>
    </w:div>
    <w:div w:id="892616854">
      <w:bodyDiv w:val="1"/>
      <w:marLeft w:val="0"/>
      <w:marRight w:val="0"/>
      <w:marTop w:val="0"/>
      <w:marBottom w:val="0"/>
      <w:divBdr>
        <w:top w:val="none" w:sz="0" w:space="0" w:color="auto"/>
        <w:left w:val="none" w:sz="0" w:space="0" w:color="auto"/>
        <w:bottom w:val="none" w:sz="0" w:space="0" w:color="auto"/>
        <w:right w:val="none" w:sz="0" w:space="0" w:color="auto"/>
      </w:divBdr>
    </w:div>
    <w:div w:id="971053666">
      <w:bodyDiv w:val="1"/>
      <w:marLeft w:val="0"/>
      <w:marRight w:val="0"/>
      <w:marTop w:val="0"/>
      <w:marBottom w:val="0"/>
      <w:divBdr>
        <w:top w:val="none" w:sz="0" w:space="0" w:color="auto"/>
        <w:left w:val="none" w:sz="0" w:space="0" w:color="auto"/>
        <w:bottom w:val="none" w:sz="0" w:space="0" w:color="auto"/>
        <w:right w:val="none" w:sz="0" w:space="0" w:color="auto"/>
      </w:divBdr>
    </w:div>
    <w:div w:id="1054085803">
      <w:bodyDiv w:val="1"/>
      <w:marLeft w:val="0"/>
      <w:marRight w:val="0"/>
      <w:marTop w:val="0"/>
      <w:marBottom w:val="0"/>
      <w:divBdr>
        <w:top w:val="none" w:sz="0" w:space="0" w:color="auto"/>
        <w:left w:val="none" w:sz="0" w:space="0" w:color="auto"/>
        <w:bottom w:val="none" w:sz="0" w:space="0" w:color="auto"/>
        <w:right w:val="none" w:sz="0" w:space="0" w:color="auto"/>
      </w:divBdr>
    </w:div>
    <w:div w:id="1065222198">
      <w:bodyDiv w:val="1"/>
      <w:marLeft w:val="0"/>
      <w:marRight w:val="0"/>
      <w:marTop w:val="0"/>
      <w:marBottom w:val="0"/>
      <w:divBdr>
        <w:top w:val="none" w:sz="0" w:space="0" w:color="auto"/>
        <w:left w:val="none" w:sz="0" w:space="0" w:color="auto"/>
        <w:bottom w:val="none" w:sz="0" w:space="0" w:color="auto"/>
        <w:right w:val="none" w:sz="0" w:space="0" w:color="auto"/>
      </w:divBdr>
    </w:div>
    <w:div w:id="1134250273">
      <w:bodyDiv w:val="1"/>
      <w:marLeft w:val="0"/>
      <w:marRight w:val="0"/>
      <w:marTop w:val="0"/>
      <w:marBottom w:val="0"/>
      <w:divBdr>
        <w:top w:val="none" w:sz="0" w:space="0" w:color="auto"/>
        <w:left w:val="none" w:sz="0" w:space="0" w:color="auto"/>
        <w:bottom w:val="none" w:sz="0" w:space="0" w:color="auto"/>
        <w:right w:val="none" w:sz="0" w:space="0" w:color="auto"/>
      </w:divBdr>
    </w:div>
    <w:div w:id="1174346727">
      <w:bodyDiv w:val="1"/>
      <w:marLeft w:val="0"/>
      <w:marRight w:val="0"/>
      <w:marTop w:val="0"/>
      <w:marBottom w:val="0"/>
      <w:divBdr>
        <w:top w:val="none" w:sz="0" w:space="0" w:color="auto"/>
        <w:left w:val="none" w:sz="0" w:space="0" w:color="auto"/>
        <w:bottom w:val="none" w:sz="0" w:space="0" w:color="auto"/>
        <w:right w:val="none" w:sz="0" w:space="0" w:color="auto"/>
      </w:divBdr>
    </w:div>
    <w:div w:id="1187211858">
      <w:bodyDiv w:val="1"/>
      <w:marLeft w:val="0"/>
      <w:marRight w:val="0"/>
      <w:marTop w:val="0"/>
      <w:marBottom w:val="0"/>
      <w:divBdr>
        <w:top w:val="none" w:sz="0" w:space="0" w:color="auto"/>
        <w:left w:val="none" w:sz="0" w:space="0" w:color="auto"/>
        <w:bottom w:val="none" w:sz="0" w:space="0" w:color="auto"/>
        <w:right w:val="none" w:sz="0" w:space="0" w:color="auto"/>
      </w:divBdr>
    </w:div>
    <w:div w:id="1280645978">
      <w:bodyDiv w:val="1"/>
      <w:marLeft w:val="0"/>
      <w:marRight w:val="0"/>
      <w:marTop w:val="0"/>
      <w:marBottom w:val="0"/>
      <w:divBdr>
        <w:top w:val="none" w:sz="0" w:space="0" w:color="auto"/>
        <w:left w:val="none" w:sz="0" w:space="0" w:color="auto"/>
        <w:bottom w:val="none" w:sz="0" w:space="0" w:color="auto"/>
        <w:right w:val="none" w:sz="0" w:space="0" w:color="auto"/>
      </w:divBdr>
    </w:div>
    <w:div w:id="1333533782">
      <w:bodyDiv w:val="1"/>
      <w:marLeft w:val="0"/>
      <w:marRight w:val="0"/>
      <w:marTop w:val="0"/>
      <w:marBottom w:val="0"/>
      <w:divBdr>
        <w:top w:val="none" w:sz="0" w:space="0" w:color="auto"/>
        <w:left w:val="none" w:sz="0" w:space="0" w:color="auto"/>
        <w:bottom w:val="none" w:sz="0" w:space="0" w:color="auto"/>
        <w:right w:val="none" w:sz="0" w:space="0" w:color="auto"/>
      </w:divBdr>
    </w:div>
    <w:div w:id="1347517672">
      <w:bodyDiv w:val="1"/>
      <w:marLeft w:val="0"/>
      <w:marRight w:val="0"/>
      <w:marTop w:val="0"/>
      <w:marBottom w:val="0"/>
      <w:divBdr>
        <w:top w:val="none" w:sz="0" w:space="0" w:color="auto"/>
        <w:left w:val="none" w:sz="0" w:space="0" w:color="auto"/>
        <w:bottom w:val="none" w:sz="0" w:space="0" w:color="auto"/>
        <w:right w:val="none" w:sz="0" w:space="0" w:color="auto"/>
      </w:divBdr>
    </w:div>
    <w:div w:id="1592815344">
      <w:bodyDiv w:val="1"/>
      <w:marLeft w:val="0"/>
      <w:marRight w:val="0"/>
      <w:marTop w:val="0"/>
      <w:marBottom w:val="0"/>
      <w:divBdr>
        <w:top w:val="none" w:sz="0" w:space="0" w:color="auto"/>
        <w:left w:val="none" w:sz="0" w:space="0" w:color="auto"/>
        <w:bottom w:val="none" w:sz="0" w:space="0" w:color="auto"/>
        <w:right w:val="none" w:sz="0" w:space="0" w:color="auto"/>
      </w:divBdr>
    </w:div>
    <w:div w:id="1692951226">
      <w:bodyDiv w:val="1"/>
      <w:marLeft w:val="0"/>
      <w:marRight w:val="0"/>
      <w:marTop w:val="0"/>
      <w:marBottom w:val="0"/>
      <w:divBdr>
        <w:top w:val="none" w:sz="0" w:space="0" w:color="auto"/>
        <w:left w:val="none" w:sz="0" w:space="0" w:color="auto"/>
        <w:bottom w:val="none" w:sz="0" w:space="0" w:color="auto"/>
        <w:right w:val="none" w:sz="0" w:space="0" w:color="auto"/>
      </w:divBdr>
    </w:div>
    <w:div w:id="1749378365">
      <w:bodyDiv w:val="1"/>
      <w:marLeft w:val="0"/>
      <w:marRight w:val="0"/>
      <w:marTop w:val="0"/>
      <w:marBottom w:val="0"/>
      <w:divBdr>
        <w:top w:val="none" w:sz="0" w:space="0" w:color="auto"/>
        <w:left w:val="none" w:sz="0" w:space="0" w:color="auto"/>
        <w:bottom w:val="none" w:sz="0" w:space="0" w:color="auto"/>
        <w:right w:val="none" w:sz="0" w:space="0" w:color="auto"/>
      </w:divBdr>
    </w:div>
    <w:div w:id="1940872014">
      <w:bodyDiv w:val="1"/>
      <w:marLeft w:val="0"/>
      <w:marRight w:val="0"/>
      <w:marTop w:val="0"/>
      <w:marBottom w:val="0"/>
      <w:divBdr>
        <w:top w:val="none" w:sz="0" w:space="0" w:color="auto"/>
        <w:left w:val="none" w:sz="0" w:space="0" w:color="auto"/>
        <w:bottom w:val="none" w:sz="0" w:space="0" w:color="auto"/>
        <w:right w:val="none" w:sz="0" w:space="0" w:color="auto"/>
      </w:divBdr>
    </w:div>
    <w:div w:id="1964532488">
      <w:bodyDiv w:val="1"/>
      <w:marLeft w:val="0"/>
      <w:marRight w:val="0"/>
      <w:marTop w:val="0"/>
      <w:marBottom w:val="0"/>
      <w:divBdr>
        <w:top w:val="none" w:sz="0" w:space="0" w:color="auto"/>
        <w:left w:val="none" w:sz="0" w:space="0" w:color="auto"/>
        <w:bottom w:val="none" w:sz="0" w:space="0" w:color="auto"/>
        <w:right w:val="none" w:sz="0" w:space="0" w:color="auto"/>
      </w:divBdr>
    </w:div>
    <w:div w:id="1981034094">
      <w:bodyDiv w:val="1"/>
      <w:marLeft w:val="0"/>
      <w:marRight w:val="0"/>
      <w:marTop w:val="0"/>
      <w:marBottom w:val="0"/>
      <w:divBdr>
        <w:top w:val="none" w:sz="0" w:space="0" w:color="auto"/>
        <w:left w:val="none" w:sz="0" w:space="0" w:color="auto"/>
        <w:bottom w:val="none" w:sz="0" w:space="0" w:color="auto"/>
        <w:right w:val="none" w:sz="0" w:space="0" w:color="auto"/>
      </w:divBdr>
    </w:div>
    <w:div w:id="2067025521">
      <w:bodyDiv w:val="1"/>
      <w:marLeft w:val="0"/>
      <w:marRight w:val="0"/>
      <w:marTop w:val="0"/>
      <w:marBottom w:val="0"/>
      <w:divBdr>
        <w:top w:val="none" w:sz="0" w:space="0" w:color="auto"/>
        <w:left w:val="none" w:sz="0" w:space="0" w:color="auto"/>
        <w:bottom w:val="none" w:sz="0" w:space="0" w:color="auto"/>
        <w:right w:val="none" w:sz="0" w:space="0" w:color="auto"/>
      </w:divBdr>
    </w:div>
    <w:div w:id="2141652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chart" Target="charts/chart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chart" Target="charts/chart2.xml"/><Relationship Id="rId11" Type="http://schemas.openxmlformats.org/officeDocument/2006/relationships/chart" Target="charts/chart7.xml"/><Relationship Id="rId24" Type="http://schemas.openxmlformats.org/officeDocument/2006/relationships/image" Target="media/image13.png"/><Relationship Id="rId5" Type="http://schemas.openxmlformats.org/officeDocument/2006/relationships/chart" Target="charts/chart1.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chart" Target="charts/chart6.xm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D:\Dipanwita%20Chakraborty\December-17\29.12.2017\job-1\docs%20to%20send\PS10988-calulation-27.12.2017-2.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Dipanwita%20Chakraborty\December-17\29.12.2017\job-1\docs%20to%20send\PS10988-calulation-27.12.2017-2.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Dipanwita%20Chakraborty\December-17\29.12.2017\job-1\docs%20to%20send\PS10988-calulation-27.12.2017-2.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Dipanwita%20Chakraborty\December-17\29.12.2017\job-1\docs%20to%20send\PS10988-calulation-27.12.2017-2.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Dipanwita%20Chakraborty\December-17\29.12.2017\job-1\docs%20to%20send\PS10988-calulation-27.12.2017-2.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D:\Dipanwita%20Chakraborty\December-17\29.12.2017\job-1\docs%20to%20send\PS10988-calulation-27.12.2017-2.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D:\Dipanwita%20Chakraborty\December-17\29.12.2017\job-1\docs%20to%20send\PS10988-calulation-27.12.2017-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style val="30"/>
  <c:chart>
    <c:title>
      <c:tx>
        <c:rich>
          <a:bodyPr/>
          <a:lstStyle/>
          <a:p>
            <a:pPr>
              <a:defRPr/>
            </a:pPr>
            <a:r>
              <a:rPr lang="en-US"/>
              <a:t>Gross Profit margin</a:t>
            </a:r>
          </a:p>
        </c:rich>
      </c:tx>
    </c:title>
    <c:plotArea>
      <c:layout/>
      <c:barChart>
        <c:barDir val="col"/>
        <c:grouping val="clustered"/>
        <c:ser>
          <c:idx val="0"/>
          <c:order val="0"/>
          <c:tx>
            <c:strRef>
              <c:f>Comparison!$B$3</c:f>
              <c:strCache>
                <c:ptCount val="1"/>
                <c:pt idx="0">
                  <c:v>GSK</c:v>
                </c:pt>
              </c:strCache>
            </c:strRef>
          </c:tx>
          <c:dLbls>
            <c:dLbl>
              <c:idx val="0"/>
              <c:layout>
                <c:manualLayout>
                  <c:x val="4.1025654278426596E-3"/>
                  <c:y val="0.14959349593495941"/>
                </c:manualLayout>
              </c:layout>
              <c:dLblPos val="outEnd"/>
              <c:showVal val="1"/>
            </c:dLbl>
            <c:dLbl>
              <c:idx val="1"/>
              <c:layout>
                <c:manualLayout>
                  <c:x val="0"/>
                  <c:y val="0.13008130081300814"/>
                </c:manualLayout>
              </c:layout>
              <c:dLblPos val="outEnd"/>
              <c:showVal val="1"/>
            </c:dLbl>
            <c:dLbl>
              <c:idx val="2"/>
              <c:layout>
                <c:manualLayout>
                  <c:x val="-4.1025654278426596E-3"/>
                  <c:y val="0.13658536585365838"/>
                </c:manualLayout>
              </c:layout>
              <c:dLblPos val="outEnd"/>
              <c:showVal val="1"/>
            </c:dLbl>
            <c:dLbl>
              <c:idx val="3"/>
              <c:layout>
                <c:manualLayout>
                  <c:x val="0"/>
                  <c:y val="0.11707317073170748"/>
                </c:manualLayout>
              </c:layout>
              <c:dLblPos val="outEnd"/>
              <c:showVal val="1"/>
            </c:dLbl>
            <c:dLbl>
              <c:idx val="4"/>
              <c:layout>
                <c:manualLayout>
                  <c:x val="-4.1025654278426596E-3"/>
                  <c:y val="0.14308943089430962"/>
                </c:manualLayout>
              </c:layout>
              <c:dLblPos val="outEnd"/>
              <c:showVal val="1"/>
            </c:dLbl>
            <c:dLblPos val="outEnd"/>
            <c:showVal val="1"/>
          </c:dLbls>
          <c:cat>
            <c:numRef>
              <c:f>Comparison!$C$2:$G$2</c:f>
              <c:numCache>
                <c:formatCode>General</c:formatCode>
                <c:ptCount val="5"/>
                <c:pt idx="0">
                  <c:v>2012</c:v>
                </c:pt>
                <c:pt idx="1">
                  <c:v>2013</c:v>
                </c:pt>
                <c:pt idx="2">
                  <c:v>2014</c:v>
                </c:pt>
                <c:pt idx="3">
                  <c:v>2015</c:v>
                </c:pt>
                <c:pt idx="4">
                  <c:v>2016</c:v>
                </c:pt>
              </c:numCache>
            </c:numRef>
          </c:cat>
          <c:val>
            <c:numRef>
              <c:f>Comparison!$C$3:$G$3</c:f>
              <c:numCache>
                <c:formatCode>0%</c:formatCode>
                <c:ptCount val="5"/>
                <c:pt idx="0">
                  <c:v>0.70016268775301727</c:v>
                </c:pt>
                <c:pt idx="1">
                  <c:v>0.6760988492737231</c:v>
                </c:pt>
                <c:pt idx="2">
                  <c:v>0.68169173259149951</c:v>
                </c:pt>
                <c:pt idx="3">
                  <c:v>0.62993771684153377</c:v>
                </c:pt>
                <c:pt idx="4">
                  <c:v>0.66689375739539003</c:v>
                </c:pt>
              </c:numCache>
            </c:numRef>
          </c:val>
        </c:ser>
        <c:ser>
          <c:idx val="1"/>
          <c:order val="1"/>
          <c:tx>
            <c:strRef>
              <c:f>Comparison!$B$4</c:f>
              <c:strCache>
                <c:ptCount val="1"/>
                <c:pt idx="0">
                  <c:v>Pfizer</c:v>
                </c:pt>
              </c:strCache>
            </c:strRef>
          </c:tx>
          <c:dLbls>
            <c:dLblPos val="outEnd"/>
            <c:showVal val="1"/>
          </c:dLbls>
          <c:cat>
            <c:numRef>
              <c:f>Comparison!$C$2:$G$2</c:f>
              <c:numCache>
                <c:formatCode>General</c:formatCode>
                <c:ptCount val="5"/>
                <c:pt idx="0">
                  <c:v>2012</c:v>
                </c:pt>
                <c:pt idx="1">
                  <c:v>2013</c:v>
                </c:pt>
                <c:pt idx="2">
                  <c:v>2014</c:v>
                </c:pt>
                <c:pt idx="3">
                  <c:v>2015</c:v>
                </c:pt>
                <c:pt idx="4">
                  <c:v>2016</c:v>
                </c:pt>
              </c:numCache>
            </c:numRef>
          </c:cat>
          <c:val>
            <c:numRef>
              <c:f>Comparison!$C$4:$G$4</c:f>
              <c:numCache>
                <c:formatCode>0%</c:formatCode>
                <c:ptCount val="5"/>
                <c:pt idx="0">
                  <c:v>0.8203157875477981</c:v>
                </c:pt>
                <c:pt idx="1">
                  <c:v>0.81416718362282858</c:v>
                </c:pt>
                <c:pt idx="2">
                  <c:v>0.80693478479991876</c:v>
                </c:pt>
                <c:pt idx="3">
                  <c:v>0.80250148410472666</c:v>
                </c:pt>
                <c:pt idx="4">
                  <c:v>0.76660230198394652</c:v>
                </c:pt>
              </c:numCache>
            </c:numRef>
          </c:val>
        </c:ser>
        <c:dLbls>
          <c:showVal val="1"/>
        </c:dLbls>
        <c:axId val="104952960"/>
        <c:axId val="104954880"/>
      </c:barChart>
      <c:catAx>
        <c:axId val="104952960"/>
        <c:scaling>
          <c:orientation val="minMax"/>
        </c:scaling>
        <c:axPos val="b"/>
        <c:numFmt formatCode="General" sourceLinked="1"/>
        <c:tickLblPos val="nextTo"/>
        <c:crossAx val="104954880"/>
        <c:crosses val="autoZero"/>
        <c:auto val="1"/>
        <c:lblAlgn val="ctr"/>
        <c:lblOffset val="100"/>
      </c:catAx>
      <c:valAx>
        <c:axId val="104954880"/>
        <c:scaling>
          <c:orientation val="minMax"/>
        </c:scaling>
        <c:axPos val="l"/>
        <c:majorGridlines/>
        <c:numFmt formatCode="0%" sourceLinked="1"/>
        <c:tickLblPos val="nextTo"/>
        <c:crossAx val="104952960"/>
        <c:crosses val="autoZero"/>
        <c:crossBetween val="between"/>
      </c:valAx>
    </c:plotArea>
    <c:legend>
      <c:legendPos val="r"/>
    </c:legend>
    <c:plotVisOnly val="1"/>
  </c:chart>
  <c:spPr>
    <a:solidFill>
      <a:schemeClr val="accent6">
        <a:lumMod val="20000"/>
        <a:lumOff val="80000"/>
      </a:schemeClr>
    </a:solidFill>
  </c:spPr>
  <c:txPr>
    <a:bodyPr/>
    <a:lstStyle/>
    <a:p>
      <a:pPr>
        <a:defRPr>
          <a:latin typeface="Times New Roman" pitchFamily="18" charset="0"/>
          <a:cs typeface="Times New Roman" pitchFamily="18" charset="0"/>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style val="30"/>
  <c:chart>
    <c:title>
      <c:tx>
        <c:rich>
          <a:bodyPr/>
          <a:lstStyle/>
          <a:p>
            <a:pPr>
              <a:defRPr sz="1400"/>
            </a:pPr>
            <a:r>
              <a:rPr lang="en-US" sz="1400"/>
              <a:t> Net</a:t>
            </a:r>
            <a:r>
              <a:rPr lang="en-US" sz="1400" baseline="0"/>
              <a:t> Profit Margin</a:t>
            </a:r>
            <a:endParaRPr lang="en-US" sz="1400"/>
          </a:p>
        </c:rich>
      </c:tx>
    </c:title>
    <c:plotArea>
      <c:layout/>
      <c:barChart>
        <c:barDir val="col"/>
        <c:grouping val="clustered"/>
        <c:ser>
          <c:idx val="0"/>
          <c:order val="0"/>
          <c:tx>
            <c:strRef>
              <c:f>Comparison!$B$8</c:f>
              <c:strCache>
                <c:ptCount val="1"/>
                <c:pt idx="0">
                  <c:v>GSK</c:v>
                </c:pt>
              </c:strCache>
            </c:strRef>
          </c:tx>
          <c:dLbls>
            <c:dLbl>
              <c:idx val="0"/>
              <c:layout>
                <c:manualLayout>
                  <c:x val="4.1025654278426579E-3"/>
                  <c:y val="0.14959349593495941"/>
                </c:manualLayout>
              </c:layout>
              <c:dLblPos val="outEnd"/>
              <c:showVal val="1"/>
            </c:dLbl>
            <c:dLbl>
              <c:idx val="1"/>
              <c:layout>
                <c:manualLayout>
                  <c:x val="0"/>
                  <c:y val="0.13008130081300814"/>
                </c:manualLayout>
              </c:layout>
              <c:dLblPos val="outEnd"/>
              <c:showVal val="1"/>
            </c:dLbl>
            <c:dLbl>
              <c:idx val="2"/>
              <c:layout>
                <c:manualLayout>
                  <c:x val="-4.1025654278426579E-3"/>
                  <c:y val="0.13658536585365838"/>
                </c:manualLayout>
              </c:layout>
              <c:dLblPos val="outEnd"/>
              <c:showVal val="1"/>
            </c:dLbl>
            <c:dLbl>
              <c:idx val="3"/>
              <c:layout>
                <c:manualLayout>
                  <c:x val="0"/>
                  <c:y val="0.1170731707317075"/>
                </c:manualLayout>
              </c:layout>
              <c:dLblPos val="outEnd"/>
              <c:showVal val="1"/>
            </c:dLbl>
            <c:dLbl>
              <c:idx val="4"/>
              <c:layout>
                <c:manualLayout>
                  <c:x val="-4.1025654278426579E-3"/>
                  <c:y val="0.14308943089430975"/>
                </c:manualLayout>
              </c:layout>
              <c:dLblPos val="outEnd"/>
              <c:showVal val="1"/>
            </c:dLbl>
            <c:txPr>
              <a:bodyPr/>
              <a:lstStyle/>
              <a:p>
                <a:pPr>
                  <a:defRPr>
                    <a:solidFill>
                      <a:schemeClr val="tx2">
                        <a:lumMod val="60000"/>
                        <a:lumOff val="40000"/>
                      </a:schemeClr>
                    </a:solidFill>
                  </a:defRPr>
                </a:pPr>
                <a:endParaRPr lang="en-US"/>
              </a:p>
            </c:txPr>
            <c:dLblPos val="outEnd"/>
            <c:showVal val="1"/>
          </c:dLbls>
          <c:cat>
            <c:numRef>
              <c:f>Comparison!$C$7:$G$7</c:f>
              <c:numCache>
                <c:formatCode>General</c:formatCode>
                <c:ptCount val="5"/>
                <c:pt idx="0">
                  <c:v>2012</c:v>
                </c:pt>
                <c:pt idx="1">
                  <c:v>2013</c:v>
                </c:pt>
                <c:pt idx="2">
                  <c:v>2014</c:v>
                </c:pt>
                <c:pt idx="3">
                  <c:v>2015</c:v>
                </c:pt>
                <c:pt idx="4">
                  <c:v>2016</c:v>
                </c:pt>
              </c:numCache>
            </c:numRef>
          </c:cat>
          <c:val>
            <c:numRef>
              <c:f>Comparison!$C$8:$G$8</c:f>
              <c:numCache>
                <c:formatCode>0%</c:formatCode>
                <c:ptCount val="5"/>
                <c:pt idx="0">
                  <c:v>0.17698914153834541</c:v>
                </c:pt>
                <c:pt idx="1">
                  <c:v>0.21271458215431074</c:v>
                </c:pt>
                <c:pt idx="2">
                  <c:v>0.12305485525515095</c:v>
                </c:pt>
                <c:pt idx="3">
                  <c:v>0.34995610918363113</c:v>
                </c:pt>
                <c:pt idx="4">
                  <c:v>3.8079529563627236E-2</c:v>
                </c:pt>
              </c:numCache>
            </c:numRef>
          </c:val>
        </c:ser>
        <c:ser>
          <c:idx val="1"/>
          <c:order val="1"/>
          <c:tx>
            <c:strRef>
              <c:f>Comparison!$B$9</c:f>
              <c:strCache>
                <c:ptCount val="1"/>
                <c:pt idx="0">
                  <c:v>Pfizer</c:v>
                </c:pt>
              </c:strCache>
            </c:strRef>
          </c:tx>
          <c:spPr>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cap="flat" cmpd="sng" algn="ctr">
              <a:solidFill>
                <a:schemeClr val="accent2">
                  <a:shade val="95000"/>
                  <a:satMod val="105000"/>
                </a:schemeClr>
              </a:solidFill>
              <a:prstDash val="solid"/>
            </a:ln>
            <a:effectLst>
              <a:outerShdw blurRad="40000" dist="20000" dir="5400000" rotWithShape="0">
                <a:srgbClr val="000000">
                  <a:alpha val="38000"/>
                </a:srgbClr>
              </a:outerShdw>
            </a:effectLst>
          </c:spPr>
          <c:dLbls>
            <c:txPr>
              <a:bodyPr/>
              <a:lstStyle/>
              <a:p>
                <a:pPr>
                  <a:defRPr sz="900">
                    <a:solidFill>
                      <a:schemeClr val="accent4"/>
                    </a:solidFill>
                  </a:defRPr>
                </a:pPr>
                <a:endParaRPr lang="en-US"/>
              </a:p>
            </c:txPr>
            <c:dLblPos val="outEnd"/>
            <c:showVal val="1"/>
          </c:dLbls>
          <c:cat>
            <c:numRef>
              <c:f>Comparison!$C$7:$G$7</c:f>
              <c:numCache>
                <c:formatCode>General</c:formatCode>
                <c:ptCount val="5"/>
                <c:pt idx="0">
                  <c:v>2012</c:v>
                </c:pt>
                <c:pt idx="1">
                  <c:v>2013</c:v>
                </c:pt>
                <c:pt idx="2">
                  <c:v>2014</c:v>
                </c:pt>
                <c:pt idx="3">
                  <c:v>2015</c:v>
                </c:pt>
                <c:pt idx="4">
                  <c:v>2016</c:v>
                </c:pt>
              </c:numCache>
            </c:numRef>
          </c:cat>
          <c:val>
            <c:numRef>
              <c:f>Comparison!$C$9:$G$9</c:f>
              <c:numCache>
                <c:formatCode>0%</c:formatCode>
                <c:ptCount val="5"/>
                <c:pt idx="0">
                  <c:v>0.16504747790767879</c:v>
                </c:pt>
                <c:pt idx="1">
                  <c:v>0.22119261786600497</c:v>
                </c:pt>
                <c:pt idx="2">
                  <c:v>0.18383227497228116</c:v>
                </c:pt>
                <c:pt idx="3">
                  <c:v>0.14278110990563142</c:v>
                </c:pt>
                <c:pt idx="4">
                  <c:v>0.13685067393608952</c:v>
                </c:pt>
              </c:numCache>
            </c:numRef>
          </c:val>
        </c:ser>
        <c:dLbls>
          <c:showVal val="1"/>
        </c:dLbls>
        <c:axId val="96560256"/>
        <c:axId val="96561792"/>
      </c:barChart>
      <c:catAx>
        <c:axId val="96560256"/>
        <c:scaling>
          <c:orientation val="minMax"/>
        </c:scaling>
        <c:axPos val="b"/>
        <c:numFmt formatCode="General" sourceLinked="1"/>
        <c:tickLblPos val="nextTo"/>
        <c:crossAx val="96561792"/>
        <c:crosses val="autoZero"/>
        <c:auto val="1"/>
        <c:lblAlgn val="ctr"/>
        <c:lblOffset val="100"/>
      </c:catAx>
      <c:valAx>
        <c:axId val="96561792"/>
        <c:scaling>
          <c:orientation val="minMax"/>
        </c:scaling>
        <c:axPos val="l"/>
        <c:majorGridlines/>
        <c:numFmt formatCode="0%" sourceLinked="1"/>
        <c:tickLblPos val="nextTo"/>
        <c:crossAx val="96560256"/>
        <c:crosses val="autoZero"/>
        <c:crossBetween val="between"/>
      </c:valAx>
    </c:plotArea>
    <c:legend>
      <c:legendPos val="r"/>
    </c:legend>
    <c:plotVisOnly val="1"/>
  </c:chart>
  <c:spPr>
    <a:solidFill>
      <a:schemeClr val="accent1">
        <a:lumMod val="20000"/>
        <a:lumOff val="80000"/>
      </a:schemeClr>
    </a:solidFill>
  </c:sp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style val="30"/>
  <c:chart>
    <c:title>
      <c:tx>
        <c:rich>
          <a:bodyPr/>
          <a:lstStyle/>
          <a:p>
            <a:pPr>
              <a:defRPr/>
            </a:pPr>
            <a:r>
              <a:rPr lang="en-US"/>
              <a:t> Current Ratio</a:t>
            </a:r>
          </a:p>
        </c:rich>
      </c:tx>
    </c:title>
    <c:plotArea>
      <c:layout/>
      <c:barChart>
        <c:barDir val="col"/>
        <c:grouping val="clustered"/>
        <c:ser>
          <c:idx val="0"/>
          <c:order val="0"/>
          <c:tx>
            <c:strRef>
              <c:f>Comparison!$B$13</c:f>
              <c:strCache>
                <c:ptCount val="1"/>
                <c:pt idx="0">
                  <c:v>GSK</c:v>
                </c:pt>
              </c:strCache>
            </c:strRef>
          </c:tx>
          <c:spPr>
            <a:solidFill>
              <a:schemeClr val="accent3"/>
            </a:solidFill>
            <a:ln w="25400" cap="flat" cmpd="sng" algn="ctr">
              <a:solidFill>
                <a:schemeClr val="accent3">
                  <a:shade val="50000"/>
                </a:schemeClr>
              </a:solidFill>
              <a:prstDash val="solid"/>
            </a:ln>
            <a:effectLst/>
          </c:spPr>
          <c:dLbls>
            <c:dLbl>
              <c:idx val="0"/>
              <c:layout>
                <c:manualLayout>
                  <c:x val="4.1025654278426579E-3"/>
                  <c:y val="0.14959349593495941"/>
                </c:manualLayout>
              </c:layout>
              <c:dLblPos val="outEnd"/>
              <c:showVal val="1"/>
            </c:dLbl>
            <c:dLbl>
              <c:idx val="1"/>
              <c:layout>
                <c:manualLayout>
                  <c:x val="0"/>
                  <c:y val="0.13008130081300814"/>
                </c:manualLayout>
              </c:layout>
              <c:dLblPos val="outEnd"/>
              <c:showVal val="1"/>
            </c:dLbl>
            <c:dLbl>
              <c:idx val="2"/>
              <c:layout>
                <c:manualLayout>
                  <c:x val="-4.1025654278426579E-3"/>
                  <c:y val="0.13658536585365838"/>
                </c:manualLayout>
              </c:layout>
              <c:dLblPos val="outEnd"/>
              <c:showVal val="1"/>
            </c:dLbl>
            <c:dLbl>
              <c:idx val="3"/>
              <c:layout>
                <c:manualLayout>
                  <c:x val="0"/>
                  <c:y val="0.11707317073170753"/>
                </c:manualLayout>
              </c:layout>
              <c:dLblPos val="outEnd"/>
              <c:showVal val="1"/>
            </c:dLbl>
            <c:dLbl>
              <c:idx val="4"/>
              <c:layout>
                <c:manualLayout>
                  <c:x val="-4.1025654278426579E-3"/>
                  <c:y val="0.14308943089430987"/>
                </c:manualLayout>
              </c:layout>
              <c:dLblPos val="outEnd"/>
              <c:showVal val="1"/>
            </c:dLbl>
            <c:dLblPos val="outEnd"/>
            <c:showVal val="1"/>
          </c:dLbls>
          <c:cat>
            <c:numRef>
              <c:f>Comparison!$C$12:$G$12</c:f>
              <c:numCache>
                <c:formatCode>General</c:formatCode>
                <c:ptCount val="5"/>
                <c:pt idx="0">
                  <c:v>2012</c:v>
                </c:pt>
                <c:pt idx="1">
                  <c:v>2013</c:v>
                </c:pt>
                <c:pt idx="2">
                  <c:v>2014</c:v>
                </c:pt>
                <c:pt idx="3">
                  <c:v>2015</c:v>
                </c:pt>
                <c:pt idx="4">
                  <c:v>2016</c:v>
                </c:pt>
              </c:numCache>
            </c:numRef>
          </c:cat>
          <c:val>
            <c:numRef>
              <c:f>Comparison!$C$13:$G$13</c:f>
              <c:numCache>
                <c:formatCode>0.00</c:formatCode>
                <c:ptCount val="5"/>
                <c:pt idx="0">
                  <c:v>0.99109663409337734</c:v>
                </c:pt>
                <c:pt idx="1">
                  <c:v>1.113328946406376</c:v>
                </c:pt>
                <c:pt idx="2">
                  <c:v>1.1040240691989469</c:v>
                </c:pt>
                <c:pt idx="3">
                  <c:v>1.2362674219274061</c:v>
                </c:pt>
                <c:pt idx="4">
                  <c:v>0.87948002736698072</c:v>
                </c:pt>
              </c:numCache>
            </c:numRef>
          </c:val>
        </c:ser>
        <c:ser>
          <c:idx val="1"/>
          <c:order val="1"/>
          <c:tx>
            <c:strRef>
              <c:f>Comparison!$B$14</c:f>
              <c:strCache>
                <c:ptCount val="1"/>
                <c:pt idx="0">
                  <c:v>Pfizer</c:v>
                </c:pt>
              </c:strCache>
            </c:strRef>
          </c:tx>
          <c:spPr>
            <a:solidFill>
              <a:schemeClr val="accent6"/>
            </a:solidFill>
            <a:ln w="25400" cap="flat" cmpd="sng" algn="ctr">
              <a:solidFill>
                <a:schemeClr val="accent6">
                  <a:shade val="50000"/>
                </a:schemeClr>
              </a:solidFill>
              <a:prstDash val="solid"/>
            </a:ln>
            <a:effectLst/>
          </c:spPr>
          <c:dLbls>
            <c:dLblPos val="outEnd"/>
            <c:showVal val="1"/>
          </c:dLbls>
          <c:cat>
            <c:numRef>
              <c:f>Comparison!$C$12:$G$12</c:f>
              <c:numCache>
                <c:formatCode>General</c:formatCode>
                <c:ptCount val="5"/>
                <c:pt idx="0">
                  <c:v>2012</c:v>
                </c:pt>
                <c:pt idx="1">
                  <c:v>2013</c:v>
                </c:pt>
                <c:pt idx="2">
                  <c:v>2014</c:v>
                </c:pt>
                <c:pt idx="3">
                  <c:v>2015</c:v>
                </c:pt>
                <c:pt idx="4">
                  <c:v>2016</c:v>
                </c:pt>
              </c:numCache>
            </c:numRef>
          </c:cat>
          <c:val>
            <c:numRef>
              <c:f>Comparison!$C$14:$G$14</c:f>
              <c:numCache>
                <c:formatCode>0.00</c:formatCode>
                <c:ptCount val="5"/>
                <c:pt idx="0">
                  <c:v>2.2213047351469903</c:v>
                </c:pt>
                <c:pt idx="1">
                  <c:v>2.4070872207480956</c:v>
                </c:pt>
                <c:pt idx="2">
                  <c:v>2.6675604456566995</c:v>
                </c:pt>
                <c:pt idx="3">
                  <c:v>1.4899826524711712</c:v>
                </c:pt>
                <c:pt idx="4">
                  <c:v>1.2517756708982806</c:v>
                </c:pt>
              </c:numCache>
            </c:numRef>
          </c:val>
        </c:ser>
        <c:dLbls>
          <c:showVal val="1"/>
        </c:dLbls>
        <c:axId val="98017280"/>
        <c:axId val="98018816"/>
      </c:barChart>
      <c:catAx>
        <c:axId val="98017280"/>
        <c:scaling>
          <c:orientation val="minMax"/>
        </c:scaling>
        <c:axPos val="b"/>
        <c:numFmt formatCode="General" sourceLinked="1"/>
        <c:tickLblPos val="nextTo"/>
        <c:crossAx val="98018816"/>
        <c:crosses val="autoZero"/>
        <c:auto val="1"/>
        <c:lblAlgn val="ctr"/>
        <c:lblOffset val="100"/>
      </c:catAx>
      <c:valAx>
        <c:axId val="98018816"/>
        <c:scaling>
          <c:orientation val="minMax"/>
        </c:scaling>
        <c:axPos val="l"/>
        <c:majorGridlines/>
        <c:numFmt formatCode="0.00" sourceLinked="1"/>
        <c:tickLblPos val="nextTo"/>
        <c:crossAx val="98017280"/>
        <c:crosses val="autoZero"/>
        <c:crossBetween val="between"/>
      </c:valAx>
    </c:plotArea>
    <c:legend>
      <c:legendPos val="r"/>
    </c:legend>
    <c:plotVisOnly val="1"/>
  </c:chart>
  <c:spPr>
    <a:solidFill>
      <a:schemeClr val="bg2"/>
    </a:solidFill>
  </c:spPr>
  <c:txPr>
    <a:bodyPr/>
    <a:lstStyle/>
    <a:p>
      <a:pPr>
        <a:defRPr>
          <a:latin typeface="Times New Roman" pitchFamily="18" charset="0"/>
          <a:cs typeface="Times New Roman" pitchFamily="18" charset="0"/>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US"/>
  <c:style val="30"/>
  <c:chart>
    <c:title>
      <c:tx>
        <c:rich>
          <a:bodyPr/>
          <a:lstStyle/>
          <a:p>
            <a:pPr>
              <a:defRPr/>
            </a:pPr>
            <a:r>
              <a:rPr lang="en-US"/>
              <a:t> Quick Ratio</a:t>
            </a:r>
          </a:p>
        </c:rich>
      </c:tx>
    </c:title>
    <c:plotArea>
      <c:layout/>
      <c:barChart>
        <c:barDir val="col"/>
        <c:grouping val="clustered"/>
        <c:ser>
          <c:idx val="0"/>
          <c:order val="0"/>
          <c:tx>
            <c:strRef>
              <c:f>Comparison!$B$18</c:f>
              <c:strCache>
                <c:ptCount val="1"/>
                <c:pt idx="0">
                  <c:v>GSK</c:v>
                </c:pt>
              </c:strCache>
            </c:strRef>
          </c:tx>
          <c:spPr>
            <a:solidFill>
              <a:schemeClr val="accent3"/>
            </a:solidFill>
            <a:ln w="25400" cap="flat" cmpd="sng" algn="ctr">
              <a:solidFill>
                <a:schemeClr val="accent3">
                  <a:shade val="50000"/>
                </a:schemeClr>
              </a:solidFill>
              <a:prstDash val="solid"/>
            </a:ln>
            <a:effectLst/>
          </c:spPr>
          <c:dLbls>
            <c:dLbl>
              <c:idx val="0"/>
              <c:layout>
                <c:manualLayout>
                  <c:x val="4.1025654278426579E-3"/>
                  <c:y val="0.14959349593495941"/>
                </c:manualLayout>
              </c:layout>
              <c:dLblPos val="outEnd"/>
              <c:showVal val="1"/>
            </c:dLbl>
            <c:dLbl>
              <c:idx val="1"/>
              <c:layout>
                <c:manualLayout>
                  <c:x val="0"/>
                  <c:y val="0.13008130081300814"/>
                </c:manualLayout>
              </c:layout>
              <c:dLblPos val="outEnd"/>
              <c:showVal val="1"/>
            </c:dLbl>
            <c:dLbl>
              <c:idx val="2"/>
              <c:layout>
                <c:manualLayout>
                  <c:x val="-4.1025654278426579E-3"/>
                  <c:y val="0.13658536585365838"/>
                </c:manualLayout>
              </c:layout>
              <c:dLblPos val="outEnd"/>
              <c:showVal val="1"/>
            </c:dLbl>
            <c:dLbl>
              <c:idx val="3"/>
              <c:layout>
                <c:manualLayout>
                  <c:x val="0"/>
                  <c:y val="0.1170731707317076"/>
                </c:manualLayout>
              </c:layout>
              <c:dLblPos val="outEnd"/>
              <c:showVal val="1"/>
            </c:dLbl>
            <c:dLbl>
              <c:idx val="4"/>
              <c:layout>
                <c:manualLayout>
                  <c:x val="-4.1025654278426579E-3"/>
                  <c:y val="0.14308943089431012"/>
                </c:manualLayout>
              </c:layout>
              <c:dLblPos val="outEnd"/>
              <c:showVal val="1"/>
            </c:dLbl>
            <c:dLblPos val="outEnd"/>
            <c:showVal val="1"/>
          </c:dLbls>
          <c:cat>
            <c:numRef>
              <c:f>Comparison!$C$17:$G$17</c:f>
              <c:numCache>
                <c:formatCode>General</c:formatCode>
                <c:ptCount val="5"/>
                <c:pt idx="0">
                  <c:v>2012</c:v>
                </c:pt>
                <c:pt idx="1">
                  <c:v>2013</c:v>
                </c:pt>
                <c:pt idx="2">
                  <c:v>2014</c:v>
                </c:pt>
                <c:pt idx="3">
                  <c:v>2015</c:v>
                </c:pt>
                <c:pt idx="4">
                  <c:v>2016</c:v>
                </c:pt>
              </c:numCache>
            </c:numRef>
          </c:cat>
          <c:val>
            <c:numRef>
              <c:f>Comparison!$C$18:$G$18</c:f>
              <c:numCache>
                <c:formatCode>0.00</c:formatCode>
                <c:ptCount val="5"/>
                <c:pt idx="0">
                  <c:v>0.70380021715526653</c:v>
                </c:pt>
                <c:pt idx="1">
                  <c:v>0.82817869415807677</c:v>
                </c:pt>
                <c:pt idx="2">
                  <c:v>0.78578412937194375</c:v>
                </c:pt>
                <c:pt idx="3">
                  <c:v>0.88477304911679211</c:v>
                </c:pt>
                <c:pt idx="4">
                  <c:v>0.61096784379769487</c:v>
                </c:pt>
              </c:numCache>
            </c:numRef>
          </c:val>
        </c:ser>
        <c:ser>
          <c:idx val="1"/>
          <c:order val="1"/>
          <c:tx>
            <c:strRef>
              <c:f>Comparison!$B$19</c:f>
              <c:strCache>
                <c:ptCount val="1"/>
                <c:pt idx="0">
                  <c:v>Pfizer</c:v>
                </c:pt>
              </c:strCache>
            </c:strRef>
          </c:tx>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w="9525" cap="flat" cmpd="sng" algn="ctr">
              <a:solidFill>
                <a:schemeClr val="accent5">
                  <a:shade val="95000"/>
                  <a:satMod val="105000"/>
                </a:schemeClr>
              </a:solidFill>
              <a:prstDash val="solid"/>
            </a:ln>
            <a:effectLst>
              <a:outerShdw blurRad="40000" dist="23000" dir="5400000" rotWithShape="0">
                <a:srgbClr val="000000">
                  <a:alpha val="35000"/>
                </a:srgbClr>
              </a:outerShdw>
            </a:effectLst>
          </c:spPr>
          <c:dLbls>
            <c:dLblPos val="outEnd"/>
            <c:showVal val="1"/>
          </c:dLbls>
          <c:cat>
            <c:numRef>
              <c:f>Comparison!$C$17:$G$17</c:f>
              <c:numCache>
                <c:formatCode>General</c:formatCode>
                <c:ptCount val="5"/>
                <c:pt idx="0">
                  <c:v>2012</c:v>
                </c:pt>
                <c:pt idx="1">
                  <c:v>2013</c:v>
                </c:pt>
                <c:pt idx="2">
                  <c:v>2014</c:v>
                </c:pt>
                <c:pt idx="3">
                  <c:v>2015</c:v>
                </c:pt>
                <c:pt idx="4">
                  <c:v>2016</c:v>
                </c:pt>
              </c:numCache>
            </c:numRef>
          </c:cat>
          <c:val>
            <c:numRef>
              <c:f>Comparison!$C$19:$G$19</c:f>
              <c:numCache>
                <c:formatCode>0.00</c:formatCode>
                <c:ptCount val="5"/>
                <c:pt idx="0">
                  <c:v>2.0131227300760641</c:v>
                </c:pt>
                <c:pt idx="1">
                  <c:v>2.1431995206710632</c:v>
                </c:pt>
                <c:pt idx="2">
                  <c:v>2.40576025149092</c:v>
                </c:pt>
                <c:pt idx="3">
                  <c:v>1.2344297425082478</c:v>
                </c:pt>
                <c:pt idx="4">
                  <c:v>1.0337779206170661</c:v>
                </c:pt>
              </c:numCache>
            </c:numRef>
          </c:val>
        </c:ser>
        <c:dLbls>
          <c:showVal val="1"/>
        </c:dLbls>
        <c:axId val="98028160"/>
        <c:axId val="103690624"/>
      </c:barChart>
      <c:catAx>
        <c:axId val="98028160"/>
        <c:scaling>
          <c:orientation val="minMax"/>
        </c:scaling>
        <c:axPos val="b"/>
        <c:numFmt formatCode="General" sourceLinked="1"/>
        <c:tickLblPos val="nextTo"/>
        <c:crossAx val="103690624"/>
        <c:crosses val="autoZero"/>
        <c:auto val="1"/>
        <c:lblAlgn val="ctr"/>
        <c:lblOffset val="100"/>
      </c:catAx>
      <c:valAx>
        <c:axId val="103690624"/>
        <c:scaling>
          <c:orientation val="minMax"/>
        </c:scaling>
        <c:axPos val="l"/>
        <c:majorGridlines/>
        <c:numFmt formatCode="0.00" sourceLinked="1"/>
        <c:tickLblPos val="nextTo"/>
        <c:crossAx val="98028160"/>
        <c:crosses val="autoZero"/>
        <c:crossBetween val="between"/>
      </c:valAx>
    </c:plotArea>
    <c:legend>
      <c:legendPos val="r"/>
    </c:legend>
    <c:plotVisOnly val="1"/>
  </c:chart>
  <c:spPr>
    <a:solidFill>
      <a:schemeClr val="accent1">
        <a:lumMod val="20000"/>
        <a:lumOff val="80000"/>
      </a:schemeClr>
    </a:solidFill>
  </c:spPr>
  <c:txPr>
    <a:bodyPr/>
    <a:lstStyle/>
    <a:p>
      <a:pPr>
        <a:defRPr>
          <a:latin typeface="Times New Roman" pitchFamily="18" charset="0"/>
          <a:cs typeface="Times New Roman" pitchFamily="18" charset="0"/>
        </a:defRPr>
      </a:pPr>
      <a:endParaRPr lang="en-US"/>
    </a:p>
  </c:txPr>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US"/>
  <c:style val="30"/>
  <c:chart>
    <c:title>
      <c:tx>
        <c:rich>
          <a:bodyPr/>
          <a:lstStyle/>
          <a:p>
            <a:pPr>
              <a:defRPr/>
            </a:pPr>
            <a:r>
              <a:rPr lang="en-US"/>
              <a:t> Return on capital employed(ROCE)</a:t>
            </a:r>
          </a:p>
        </c:rich>
      </c:tx>
    </c:title>
    <c:plotArea>
      <c:layout/>
      <c:barChart>
        <c:barDir val="col"/>
        <c:grouping val="clustered"/>
        <c:ser>
          <c:idx val="0"/>
          <c:order val="0"/>
          <c:tx>
            <c:strRef>
              <c:f>Comparison!$B$23</c:f>
              <c:strCache>
                <c:ptCount val="1"/>
                <c:pt idx="0">
                  <c:v>GSK</c:v>
                </c:pt>
              </c:strCache>
            </c:strRef>
          </c:tx>
          <c:spPr>
            <a:solidFill>
              <a:srgbClr val="FFC000"/>
            </a:solidFill>
            <a:ln w="25400" cap="flat" cmpd="sng" algn="ctr">
              <a:solidFill>
                <a:schemeClr val="accent3">
                  <a:shade val="50000"/>
                </a:schemeClr>
              </a:solidFill>
              <a:prstDash val="solid"/>
            </a:ln>
            <a:effectLst/>
          </c:spPr>
          <c:dLbls>
            <c:dLbl>
              <c:idx val="0"/>
              <c:layout>
                <c:manualLayout>
                  <c:x val="4.1025654278426582E-2"/>
                  <c:y val="9.7560975609756226E-2"/>
                </c:manualLayout>
              </c:layout>
              <c:dLblPos val="outEnd"/>
              <c:showVal val="1"/>
            </c:dLbl>
            <c:dLbl>
              <c:idx val="1"/>
              <c:layout>
                <c:manualLayout>
                  <c:x val="4.1025654278426582E-2"/>
                  <c:y val="7.8048268356699313E-2"/>
                </c:manualLayout>
              </c:layout>
              <c:dLblPos val="outEnd"/>
              <c:showVal val="1"/>
            </c:dLbl>
            <c:dLbl>
              <c:idx val="2"/>
              <c:layout>
                <c:manualLayout>
                  <c:x val="-4.1025654278426579E-3"/>
                  <c:y val="0.13658536585365838"/>
                </c:manualLayout>
              </c:layout>
              <c:dLblPos val="outEnd"/>
              <c:showVal val="1"/>
            </c:dLbl>
            <c:dLbl>
              <c:idx val="3"/>
              <c:layout>
                <c:manualLayout>
                  <c:x val="0"/>
                  <c:y val="0.1170731707317076"/>
                </c:manualLayout>
              </c:layout>
              <c:dLblPos val="outEnd"/>
              <c:showVal val="1"/>
            </c:dLbl>
            <c:dLbl>
              <c:idx val="4"/>
              <c:layout>
                <c:manualLayout>
                  <c:x val="4.1025654278427325E-3"/>
                  <c:y val="6.5040650406504074E-3"/>
                </c:manualLayout>
              </c:layout>
              <c:dLblPos val="outEnd"/>
              <c:showVal val="1"/>
            </c:dLbl>
            <c:txPr>
              <a:bodyPr/>
              <a:lstStyle/>
              <a:p>
                <a:pPr>
                  <a:defRPr sz="800"/>
                </a:pPr>
                <a:endParaRPr lang="en-US"/>
              </a:p>
            </c:txPr>
            <c:dLblPos val="outEnd"/>
            <c:showVal val="1"/>
          </c:dLbls>
          <c:cat>
            <c:numRef>
              <c:f>Comparison!$C$22:$G$22</c:f>
              <c:numCache>
                <c:formatCode>General</c:formatCode>
                <c:ptCount val="5"/>
                <c:pt idx="0">
                  <c:v>2012</c:v>
                </c:pt>
                <c:pt idx="1">
                  <c:v>2013</c:v>
                </c:pt>
                <c:pt idx="2">
                  <c:v>2014</c:v>
                </c:pt>
                <c:pt idx="3">
                  <c:v>2015</c:v>
                </c:pt>
                <c:pt idx="4">
                  <c:v>2016</c:v>
                </c:pt>
              </c:numCache>
            </c:numRef>
          </c:cat>
          <c:val>
            <c:numRef>
              <c:f>Comparison!$C$23:$G$23</c:f>
              <c:numCache>
                <c:formatCode>0.00</c:formatCode>
                <c:ptCount val="5"/>
                <c:pt idx="0">
                  <c:v>0.27262202636591132</c:v>
                </c:pt>
                <c:pt idx="1">
                  <c:v>0.25678687566224623</c:v>
                </c:pt>
                <c:pt idx="2">
                  <c:v>0.1356590609089193</c:v>
                </c:pt>
                <c:pt idx="3">
                  <c:v>0.25229144770610756</c:v>
                </c:pt>
                <c:pt idx="4">
                  <c:v>6.951914586176447E-2</c:v>
                </c:pt>
              </c:numCache>
            </c:numRef>
          </c:val>
        </c:ser>
        <c:ser>
          <c:idx val="1"/>
          <c:order val="1"/>
          <c:tx>
            <c:strRef>
              <c:f>Comparison!$B$24</c:f>
              <c:strCache>
                <c:ptCount val="1"/>
                <c:pt idx="0">
                  <c:v>Pfizer</c:v>
                </c:pt>
              </c:strCache>
            </c:strRef>
          </c:tx>
          <c:spPr>
            <a:solidFill>
              <a:srgbClr val="92D050"/>
            </a:solidFill>
            <a:ln w="9525" cap="flat" cmpd="sng" algn="ctr">
              <a:solidFill>
                <a:schemeClr val="accent5">
                  <a:shade val="95000"/>
                  <a:satMod val="105000"/>
                </a:schemeClr>
              </a:solidFill>
              <a:prstDash val="solid"/>
            </a:ln>
            <a:effectLst>
              <a:outerShdw blurRad="40000" dist="23000" dir="5400000" rotWithShape="0">
                <a:srgbClr val="000000">
                  <a:alpha val="35000"/>
                </a:srgbClr>
              </a:outerShdw>
            </a:effectLst>
          </c:spPr>
          <c:dLbls>
            <c:dLbl>
              <c:idx val="2"/>
              <c:layout>
                <c:manualLayout>
                  <c:x val="-4.1025654278426579E-3"/>
                  <c:y val="-6.5040650406504127E-2"/>
                </c:manualLayout>
              </c:layout>
              <c:dLblPos val="outEnd"/>
              <c:showVal val="1"/>
            </c:dLbl>
            <c:dLbl>
              <c:idx val="4"/>
              <c:layout>
                <c:manualLayout>
                  <c:x val="4.9230785134111936E-2"/>
                  <c:y val="5.2032520325203342E-2"/>
                </c:manualLayout>
              </c:layout>
              <c:dLblPos val="outEnd"/>
              <c:showVal val="1"/>
            </c:dLbl>
            <c:txPr>
              <a:bodyPr/>
              <a:lstStyle/>
              <a:p>
                <a:pPr>
                  <a:defRPr sz="1000"/>
                </a:pPr>
                <a:endParaRPr lang="en-US"/>
              </a:p>
            </c:txPr>
            <c:dLblPos val="outEnd"/>
            <c:showVal val="1"/>
          </c:dLbls>
          <c:cat>
            <c:numRef>
              <c:f>Comparison!$C$22:$G$22</c:f>
              <c:numCache>
                <c:formatCode>General</c:formatCode>
                <c:ptCount val="5"/>
                <c:pt idx="0">
                  <c:v>2012</c:v>
                </c:pt>
                <c:pt idx="1">
                  <c:v>2013</c:v>
                </c:pt>
                <c:pt idx="2">
                  <c:v>2014</c:v>
                </c:pt>
                <c:pt idx="3">
                  <c:v>2015</c:v>
                </c:pt>
                <c:pt idx="4">
                  <c:v>2016</c:v>
                </c:pt>
              </c:numCache>
            </c:numRef>
          </c:cat>
          <c:val>
            <c:numRef>
              <c:f>Comparison!$C$24:$G$24</c:f>
              <c:numCache>
                <c:formatCode>0.00</c:formatCode>
                <c:ptCount val="5"/>
                <c:pt idx="0">
                  <c:v>8.6726428339993694E-2</c:v>
                </c:pt>
                <c:pt idx="1">
                  <c:v>9.4704935913273697E-2</c:v>
                </c:pt>
                <c:pt idx="2">
                  <c:v>7.9340900104361872E-2</c:v>
                </c:pt>
                <c:pt idx="3">
                  <c:v>5.6313875261468485E-2</c:v>
                </c:pt>
                <c:pt idx="4">
                  <c:v>4.8484672549930379E-2</c:v>
                </c:pt>
              </c:numCache>
            </c:numRef>
          </c:val>
        </c:ser>
        <c:dLbls>
          <c:showVal val="1"/>
        </c:dLbls>
        <c:axId val="103712256"/>
        <c:axId val="103713792"/>
      </c:barChart>
      <c:catAx>
        <c:axId val="103712256"/>
        <c:scaling>
          <c:orientation val="minMax"/>
        </c:scaling>
        <c:axPos val="b"/>
        <c:numFmt formatCode="General" sourceLinked="1"/>
        <c:tickLblPos val="nextTo"/>
        <c:crossAx val="103713792"/>
        <c:crosses val="autoZero"/>
        <c:auto val="1"/>
        <c:lblAlgn val="ctr"/>
        <c:lblOffset val="100"/>
      </c:catAx>
      <c:valAx>
        <c:axId val="103713792"/>
        <c:scaling>
          <c:orientation val="minMax"/>
        </c:scaling>
        <c:axPos val="l"/>
        <c:majorGridlines/>
        <c:numFmt formatCode="0.00" sourceLinked="1"/>
        <c:tickLblPos val="nextTo"/>
        <c:crossAx val="103712256"/>
        <c:crosses val="autoZero"/>
        <c:crossBetween val="between"/>
      </c:valAx>
    </c:plotArea>
    <c:legend>
      <c:legendPos val="r"/>
    </c:legend>
    <c:plotVisOnly val="1"/>
  </c:chart>
  <c:spPr>
    <a:solidFill>
      <a:schemeClr val="accent5">
        <a:lumMod val="20000"/>
        <a:lumOff val="80000"/>
      </a:schemeClr>
    </a:solidFill>
  </c:spPr>
  <c:txPr>
    <a:bodyPr/>
    <a:lstStyle/>
    <a:p>
      <a:pPr>
        <a:defRPr sz="1200">
          <a:latin typeface="Times New Roman" pitchFamily="18" charset="0"/>
          <a:cs typeface="Times New Roman" pitchFamily="18" charset="0"/>
        </a:defRPr>
      </a:pPr>
      <a:endParaRPr lang="en-US"/>
    </a:p>
  </c:txPr>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US"/>
  <c:style val="30"/>
  <c:chart>
    <c:title>
      <c:tx>
        <c:rich>
          <a:bodyPr/>
          <a:lstStyle/>
          <a:p>
            <a:pPr>
              <a:defRPr/>
            </a:pPr>
            <a:r>
              <a:rPr lang="en-US"/>
              <a:t> Total asset turm over ratio</a:t>
            </a:r>
          </a:p>
        </c:rich>
      </c:tx>
    </c:title>
    <c:plotArea>
      <c:layout/>
      <c:barChart>
        <c:barDir val="col"/>
        <c:grouping val="clustered"/>
        <c:ser>
          <c:idx val="0"/>
          <c:order val="0"/>
          <c:tx>
            <c:strRef>
              <c:f>Comparison!$B$28</c:f>
              <c:strCache>
                <c:ptCount val="1"/>
                <c:pt idx="0">
                  <c:v>GSK</c:v>
                </c:pt>
              </c:strCache>
            </c:strRef>
          </c:tx>
          <c:spPr>
            <a:solidFill>
              <a:schemeClr val="accent6">
                <a:lumMod val="75000"/>
              </a:schemeClr>
            </a:solidFill>
            <a:ln w="25400" cap="flat" cmpd="sng" algn="ctr">
              <a:solidFill>
                <a:schemeClr val="accent3">
                  <a:shade val="50000"/>
                </a:schemeClr>
              </a:solidFill>
              <a:prstDash val="solid"/>
            </a:ln>
            <a:effectLst/>
          </c:spPr>
          <c:dLbls>
            <c:dLbl>
              <c:idx val="0"/>
              <c:layout>
                <c:manualLayout>
                  <c:x val="2.4615392567056037E-2"/>
                  <c:y val="-1.3008130081300785E-2"/>
                </c:manualLayout>
              </c:layout>
              <c:dLblPos val="outEnd"/>
              <c:showVal val="1"/>
            </c:dLbl>
            <c:dLbl>
              <c:idx val="1"/>
              <c:layout>
                <c:manualLayout>
                  <c:x val="3.6922765813936061E-2"/>
                  <c:y val="-2.9809953735851971E-17"/>
                </c:manualLayout>
              </c:layout>
              <c:dLblPos val="outEnd"/>
              <c:showVal val="1"/>
            </c:dLbl>
            <c:dLbl>
              <c:idx val="2"/>
              <c:layout>
                <c:manualLayout>
                  <c:x val="4.5128219706269207E-2"/>
                  <c:y val="-3.9024902375008032E-2"/>
                </c:manualLayout>
              </c:layout>
              <c:dLblPos val="outEnd"/>
              <c:showVal val="1"/>
            </c:dLbl>
            <c:dLbl>
              <c:idx val="3"/>
              <c:layout>
                <c:manualLayout>
                  <c:x val="4.9230785134111978E-2"/>
                  <c:y val="-7.8048780487804878E-2"/>
                </c:manualLayout>
              </c:layout>
              <c:dLblPos val="outEnd"/>
              <c:showVal val="1"/>
            </c:dLbl>
            <c:dLbl>
              <c:idx val="4"/>
              <c:layout>
                <c:manualLayout>
                  <c:x val="8.2051308556853539E-2"/>
                  <c:y val="-1.3008130081300823E-2"/>
                </c:manualLayout>
              </c:layout>
              <c:dLblPos val="outEnd"/>
              <c:showVal val="1"/>
            </c:dLbl>
            <c:dLblPos val="outEnd"/>
            <c:showVal val="1"/>
          </c:dLbls>
          <c:cat>
            <c:numRef>
              <c:f>Comparison!$C$27:$G$27</c:f>
              <c:numCache>
                <c:formatCode>General</c:formatCode>
                <c:ptCount val="5"/>
                <c:pt idx="0">
                  <c:v>2012</c:v>
                </c:pt>
                <c:pt idx="1">
                  <c:v>2013</c:v>
                </c:pt>
                <c:pt idx="2">
                  <c:v>2014</c:v>
                </c:pt>
                <c:pt idx="3">
                  <c:v>2015</c:v>
                </c:pt>
                <c:pt idx="4">
                  <c:v>2016</c:v>
                </c:pt>
              </c:numCache>
            </c:numRef>
          </c:cat>
          <c:val>
            <c:numRef>
              <c:f>Comparison!$C$28:$G$28</c:f>
              <c:numCache>
                <c:formatCode>0.00</c:formatCode>
                <c:ptCount val="5"/>
                <c:pt idx="0">
                  <c:v>0.63718328873460139</c:v>
                </c:pt>
                <c:pt idx="1">
                  <c:v>0.62978187520790763</c:v>
                </c:pt>
                <c:pt idx="2">
                  <c:v>0.56593933728567625</c:v>
                </c:pt>
                <c:pt idx="3">
                  <c:v>0.44761067245443997</c:v>
                </c:pt>
                <c:pt idx="4">
                  <c:v>0.47204685093346432</c:v>
                </c:pt>
              </c:numCache>
            </c:numRef>
          </c:val>
        </c:ser>
        <c:ser>
          <c:idx val="1"/>
          <c:order val="1"/>
          <c:tx>
            <c:strRef>
              <c:f>Comparison!$B$29</c:f>
              <c:strCache>
                <c:ptCount val="1"/>
                <c:pt idx="0">
                  <c:v>Pfizer</c:v>
                </c:pt>
              </c:strCache>
            </c:strRef>
          </c:tx>
          <c:spPr>
            <a:gradFill rotWithShape="1">
              <a:gsLst>
                <a:gs pos="0">
                  <a:schemeClr val="accent4">
                    <a:tint val="50000"/>
                    <a:satMod val="300000"/>
                  </a:schemeClr>
                </a:gs>
                <a:gs pos="35000">
                  <a:schemeClr val="accent4">
                    <a:tint val="37000"/>
                    <a:satMod val="300000"/>
                  </a:schemeClr>
                </a:gs>
                <a:gs pos="100000">
                  <a:schemeClr val="accent4">
                    <a:tint val="15000"/>
                    <a:satMod val="350000"/>
                  </a:schemeClr>
                </a:gs>
              </a:gsLst>
              <a:lin ang="16200000" scaled="1"/>
            </a:gradFill>
            <a:ln w="9525" cap="flat" cmpd="sng" algn="ctr">
              <a:solidFill>
                <a:schemeClr val="accent4">
                  <a:shade val="95000"/>
                  <a:satMod val="105000"/>
                </a:schemeClr>
              </a:solidFill>
              <a:prstDash val="solid"/>
            </a:ln>
            <a:effectLst>
              <a:outerShdw blurRad="40000" dist="20000" dir="5400000" rotWithShape="0">
                <a:srgbClr val="000000">
                  <a:alpha val="38000"/>
                </a:srgbClr>
              </a:outerShdw>
            </a:effectLst>
          </c:spPr>
          <c:dLbls>
            <c:dLblPos val="outEnd"/>
            <c:showVal val="1"/>
          </c:dLbls>
          <c:cat>
            <c:numRef>
              <c:f>Comparison!$C$27:$G$27</c:f>
              <c:numCache>
                <c:formatCode>General</c:formatCode>
                <c:ptCount val="5"/>
                <c:pt idx="0">
                  <c:v>2012</c:v>
                </c:pt>
                <c:pt idx="1">
                  <c:v>2013</c:v>
                </c:pt>
                <c:pt idx="2">
                  <c:v>2014</c:v>
                </c:pt>
                <c:pt idx="3">
                  <c:v>2015</c:v>
                </c:pt>
                <c:pt idx="4">
                  <c:v>2016</c:v>
                </c:pt>
              </c:numCache>
            </c:numRef>
          </c:cat>
          <c:val>
            <c:numRef>
              <c:f>Comparison!$C$29:$G$29</c:f>
              <c:numCache>
                <c:formatCode>0.00</c:formatCode>
                <c:ptCount val="5"/>
                <c:pt idx="0">
                  <c:v>0.29418856875272525</c:v>
                </c:pt>
                <c:pt idx="1">
                  <c:v>0.29973097192927473</c:v>
                </c:pt>
                <c:pt idx="2">
                  <c:v>0.29304559471625885</c:v>
                </c:pt>
                <c:pt idx="3">
                  <c:v>0.29185510900281436</c:v>
                </c:pt>
                <c:pt idx="4">
                  <c:v>0.30780526177781736</c:v>
                </c:pt>
              </c:numCache>
            </c:numRef>
          </c:val>
        </c:ser>
        <c:dLbls>
          <c:showVal val="1"/>
        </c:dLbls>
        <c:axId val="103772544"/>
        <c:axId val="103774080"/>
      </c:barChart>
      <c:catAx>
        <c:axId val="103772544"/>
        <c:scaling>
          <c:orientation val="minMax"/>
        </c:scaling>
        <c:axPos val="b"/>
        <c:numFmt formatCode="General" sourceLinked="1"/>
        <c:tickLblPos val="nextTo"/>
        <c:crossAx val="103774080"/>
        <c:crosses val="autoZero"/>
        <c:auto val="1"/>
        <c:lblAlgn val="ctr"/>
        <c:lblOffset val="100"/>
      </c:catAx>
      <c:valAx>
        <c:axId val="103774080"/>
        <c:scaling>
          <c:orientation val="minMax"/>
        </c:scaling>
        <c:axPos val="l"/>
        <c:majorGridlines/>
        <c:numFmt formatCode="0.00" sourceLinked="1"/>
        <c:tickLblPos val="nextTo"/>
        <c:crossAx val="103772544"/>
        <c:crosses val="autoZero"/>
        <c:crossBetween val="between"/>
      </c:valAx>
    </c:plotArea>
    <c:legend>
      <c:legendPos val="r"/>
    </c:legend>
    <c:plotVisOnly val="1"/>
  </c:chart>
  <c:spPr>
    <a:solidFill>
      <a:schemeClr val="accent3">
        <a:lumMod val="20000"/>
        <a:lumOff val="80000"/>
      </a:schemeClr>
    </a:solidFill>
  </c:spPr>
  <c:txPr>
    <a:bodyPr/>
    <a:lstStyle/>
    <a:p>
      <a:pPr>
        <a:defRPr>
          <a:latin typeface="Times New Roman" pitchFamily="18" charset="0"/>
          <a:cs typeface="Times New Roman" pitchFamily="18" charset="0"/>
        </a:defRPr>
      </a:pPr>
      <a:endParaRPr lang="en-US"/>
    </a:p>
  </c:txPr>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US"/>
  <c:style val="30"/>
  <c:chart>
    <c:title>
      <c:tx>
        <c:rich>
          <a:bodyPr/>
          <a:lstStyle/>
          <a:p>
            <a:pPr>
              <a:defRPr/>
            </a:pPr>
            <a:r>
              <a:rPr lang="en-US"/>
              <a:t> Gearing Ratio</a:t>
            </a:r>
          </a:p>
        </c:rich>
      </c:tx>
    </c:title>
    <c:plotArea>
      <c:layout/>
      <c:barChart>
        <c:barDir val="col"/>
        <c:grouping val="clustered"/>
        <c:ser>
          <c:idx val="0"/>
          <c:order val="0"/>
          <c:tx>
            <c:strRef>
              <c:f>Comparison!$B$33</c:f>
              <c:strCache>
                <c:ptCount val="1"/>
                <c:pt idx="0">
                  <c:v>GSK</c:v>
                </c:pt>
              </c:strCache>
            </c:strRef>
          </c:tx>
          <c:spPr>
            <a:solidFill>
              <a:schemeClr val="accent2">
                <a:lumMod val="75000"/>
              </a:schemeClr>
            </a:solidFill>
            <a:ln w="25400" cap="flat" cmpd="sng" algn="ctr">
              <a:solidFill>
                <a:schemeClr val="accent3">
                  <a:shade val="50000"/>
                </a:schemeClr>
              </a:solidFill>
              <a:prstDash val="solid"/>
            </a:ln>
            <a:effectLst/>
          </c:spPr>
          <c:dLbls>
            <c:dLbl>
              <c:idx val="0"/>
              <c:layout>
                <c:manualLayout>
                  <c:x val="2.4615392567056055E-2"/>
                  <c:y val="-1.3008130081300785E-2"/>
                </c:manualLayout>
              </c:layout>
              <c:dLblPos val="outEnd"/>
              <c:showVal val="1"/>
            </c:dLbl>
            <c:dLbl>
              <c:idx val="1"/>
              <c:layout>
                <c:manualLayout>
                  <c:x val="3.6922765813936061E-2"/>
                  <c:y val="-2.9809953735852026E-17"/>
                </c:manualLayout>
              </c:layout>
              <c:dLblPos val="outEnd"/>
              <c:showVal val="1"/>
            </c:dLbl>
            <c:dLbl>
              <c:idx val="2"/>
              <c:layout>
                <c:manualLayout>
                  <c:x val="4.5128219706269207E-2"/>
                  <c:y val="-3.9024902375008032E-2"/>
                </c:manualLayout>
              </c:layout>
              <c:dLblPos val="outEnd"/>
              <c:showVal val="1"/>
            </c:dLbl>
            <c:dLbl>
              <c:idx val="3"/>
              <c:layout>
                <c:manualLayout>
                  <c:x val="4.9230785134111998E-2"/>
                  <c:y val="-7.8048780487804878E-2"/>
                </c:manualLayout>
              </c:layout>
              <c:dLblPos val="outEnd"/>
              <c:showVal val="1"/>
            </c:dLbl>
            <c:dLbl>
              <c:idx val="4"/>
              <c:layout>
                <c:manualLayout>
                  <c:x val="8.2051308556853622E-2"/>
                  <c:y val="-1.3008130081300823E-2"/>
                </c:manualLayout>
              </c:layout>
              <c:dLblPos val="outEnd"/>
              <c:showVal val="1"/>
            </c:dLbl>
            <c:dLblPos val="outEnd"/>
            <c:showVal val="1"/>
          </c:dLbls>
          <c:cat>
            <c:numRef>
              <c:f>Comparison!$C$32:$G$32</c:f>
              <c:numCache>
                <c:formatCode>General</c:formatCode>
                <c:ptCount val="5"/>
                <c:pt idx="0">
                  <c:v>2012</c:v>
                </c:pt>
                <c:pt idx="1">
                  <c:v>2013</c:v>
                </c:pt>
                <c:pt idx="2">
                  <c:v>2014</c:v>
                </c:pt>
                <c:pt idx="3">
                  <c:v>2015</c:v>
                </c:pt>
                <c:pt idx="4">
                  <c:v>2016</c:v>
                </c:pt>
              </c:numCache>
            </c:numRef>
          </c:cat>
          <c:val>
            <c:numRef>
              <c:f>Comparison!$C$33:$G$33</c:f>
              <c:numCache>
                <c:formatCode>0%</c:formatCode>
                <c:ptCount val="5"/>
                <c:pt idx="0">
                  <c:v>0.78160361504276055</c:v>
                </c:pt>
                <c:pt idx="1">
                  <c:v>0.7525667726259635</c:v>
                </c:pt>
                <c:pt idx="2">
                  <c:v>0.84555911748067214</c:v>
                </c:pt>
                <c:pt idx="3">
                  <c:v>0.7613961332583784</c:v>
                </c:pt>
                <c:pt idx="4">
                  <c:v>0.9396858526665075</c:v>
                </c:pt>
              </c:numCache>
            </c:numRef>
          </c:val>
        </c:ser>
        <c:ser>
          <c:idx val="1"/>
          <c:order val="1"/>
          <c:tx>
            <c:strRef>
              <c:f>Comparison!$B$34</c:f>
              <c:strCache>
                <c:ptCount val="1"/>
                <c:pt idx="0">
                  <c:v>Pfizer</c:v>
                </c:pt>
              </c:strCache>
            </c:strRef>
          </c:tx>
          <c:spPr>
            <a:solidFill>
              <a:schemeClr val="accent4">
                <a:lumMod val="75000"/>
              </a:schemeClr>
            </a:solidFill>
            <a:ln w="9525" cap="flat" cmpd="sng" algn="ctr">
              <a:solidFill>
                <a:schemeClr val="accent6">
                  <a:lumMod val="40000"/>
                  <a:lumOff val="60000"/>
                </a:schemeClr>
              </a:solidFill>
              <a:prstDash val="solid"/>
            </a:ln>
            <a:effectLst>
              <a:outerShdw blurRad="40000" dist="20000" dir="5400000" rotWithShape="0">
                <a:srgbClr val="000000">
                  <a:alpha val="38000"/>
                </a:srgbClr>
              </a:outerShdw>
            </a:effectLst>
          </c:spPr>
          <c:dLbls>
            <c:dLblPos val="outEnd"/>
            <c:showVal val="1"/>
          </c:dLbls>
          <c:cat>
            <c:numRef>
              <c:f>Comparison!$C$32:$G$32</c:f>
              <c:numCache>
                <c:formatCode>General</c:formatCode>
                <c:ptCount val="5"/>
                <c:pt idx="0">
                  <c:v>2012</c:v>
                </c:pt>
                <c:pt idx="1">
                  <c:v>2013</c:v>
                </c:pt>
                <c:pt idx="2">
                  <c:v>2014</c:v>
                </c:pt>
                <c:pt idx="3">
                  <c:v>2015</c:v>
                </c:pt>
                <c:pt idx="4">
                  <c:v>2016</c:v>
                </c:pt>
              </c:numCache>
            </c:numRef>
          </c:cat>
          <c:val>
            <c:numRef>
              <c:f>Comparison!$C$34:$G$34</c:f>
              <c:numCache>
                <c:formatCode>0%</c:formatCode>
                <c:ptCount val="5"/>
                <c:pt idx="0">
                  <c:v>0.57807847191149964</c:v>
                </c:pt>
                <c:pt idx="1">
                  <c:v>0.4581040934756278</c:v>
                </c:pt>
                <c:pt idx="2">
                  <c:v>0.46745661854788034</c:v>
                </c:pt>
                <c:pt idx="3">
                  <c:v>0.45845713172986963</c:v>
                </c:pt>
                <c:pt idx="4">
                  <c:v>0.46830585229911781</c:v>
                </c:pt>
              </c:numCache>
            </c:numRef>
          </c:val>
        </c:ser>
        <c:dLbls>
          <c:showVal val="1"/>
        </c:dLbls>
        <c:axId val="103791616"/>
        <c:axId val="104030976"/>
      </c:barChart>
      <c:catAx>
        <c:axId val="103791616"/>
        <c:scaling>
          <c:orientation val="minMax"/>
        </c:scaling>
        <c:axPos val="b"/>
        <c:numFmt formatCode="General" sourceLinked="1"/>
        <c:tickLblPos val="nextTo"/>
        <c:crossAx val="104030976"/>
        <c:crosses val="autoZero"/>
        <c:auto val="1"/>
        <c:lblAlgn val="ctr"/>
        <c:lblOffset val="100"/>
      </c:catAx>
      <c:valAx>
        <c:axId val="104030976"/>
        <c:scaling>
          <c:orientation val="minMax"/>
        </c:scaling>
        <c:axPos val="l"/>
        <c:majorGridlines/>
        <c:numFmt formatCode="0%" sourceLinked="1"/>
        <c:tickLblPos val="nextTo"/>
        <c:crossAx val="103791616"/>
        <c:crosses val="autoZero"/>
        <c:crossBetween val="between"/>
      </c:valAx>
      <c:spPr>
        <a:solidFill>
          <a:schemeClr val="lt1"/>
        </a:solidFill>
        <a:ln w="25400" cap="flat" cmpd="sng" algn="ctr">
          <a:solidFill>
            <a:schemeClr val="accent2"/>
          </a:solidFill>
          <a:prstDash val="solid"/>
        </a:ln>
        <a:effectLst/>
      </c:spPr>
    </c:plotArea>
    <c:legend>
      <c:legendPos val="r"/>
    </c:legend>
    <c:plotVisOnly val="1"/>
  </c:chart>
  <c:spPr>
    <a:gradFill rotWithShape="1">
      <a:gsLst>
        <a:gs pos="0">
          <a:schemeClr val="dk1">
            <a:tint val="50000"/>
            <a:satMod val="300000"/>
          </a:schemeClr>
        </a:gs>
        <a:gs pos="35000">
          <a:schemeClr val="dk1">
            <a:tint val="37000"/>
            <a:satMod val="300000"/>
          </a:schemeClr>
        </a:gs>
        <a:gs pos="100000">
          <a:schemeClr val="dk1">
            <a:tint val="15000"/>
            <a:satMod val="350000"/>
          </a:schemeClr>
        </a:gs>
      </a:gsLst>
      <a:lin ang="16200000" scaled="1"/>
    </a:gradFill>
    <a:ln w="9525" cap="flat" cmpd="sng" algn="ctr">
      <a:solidFill>
        <a:schemeClr val="dk1">
          <a:shade val="95000"/>
          <a:satMod val="105000"/>
        </a:schemeClr>
      </a:solidFill>
      <a:prstDash val="solid"/>
    </a:ln>
    <a:effectLst>
      <a:outerShdw blurRad="40000" dist="20000" dir="5400000" rotWithShape="0">
        <a:srgbClr val="000000">
          <a:alpha val="38000"/>
        </a:srgbClr>
      </a:outerShdw>
    </a:effectLst>
  </c:spPr>
  <c:txPr>
    <a:bodyPr/>
    <a:lstStyle/>
    <a:p>
      <a:pPr>
        <a:defRPr>
          <a:solidFill>
            <a:schemeClr val="dk1"/>
          </a:solidFill>
          <a:latin typeface="+mn-lt"/>
          <a:ea typeface="+mn-ea"/>
          <a:cs typeface="+mn-cs"/>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EA4040FF-FE8F-463A-A8C1-D7485D69A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48</Pages>
  <Words>7426</Words>
  <Characters>42329</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BLR</dc:creator>
  <cp:lastModifiedBy>dell</cp:lastModifiedBy>
  <cp:revision>3</cp:revision>
  <dcterms:created xsi:type="dcterms:W3CDTF">2017-12-29T12:25:00Z</dcterms:created>
  <dcterms:modified xsi:type="dcterms:W3CDTF">2018-01-03T22:44:00Z</dcterms:modified>
</cp:coreProperties>
</file>