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jpeg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2DC86" w14:textId="77777777" w:rsidR="00D920A9" w:rsidRDefault="00293328">
      <w:pPr>
        <w:spacing w:after="40"/>
      </w:pPr>
      <w:r>
        <w:rPr>
          <w:b/>
          <w:color w:val="1F4E78"/>
          <w:sz w:val="40"/>
        </w:rPr>
        <w:t>Working Capital &amp; Cash Conversion Cycle (CCC) Summary Report</w:t>
      </w:r>
    </w:p>
    <w:p w14:paraId="0F72F426" w14:textId="77777777" w:rsidR="00D920A9" w:rsidRDefault="00293328">
      <w:pPr>
        <w:spacing w:after="280"/>
      </w:pPr>
      <w:r>
        <w:rPr>
          <w:i/>
          <w:color w:val="595959"/>
          <w:sz w:val="24"/>
        </w:rPr>
        <w:t>Week 7 - Task 1: Working Capital Cycle Analysis (5-Year Historical Performance)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80"/>
        <w:gridCol w:w="4680"/>
      </w:tblGrid>
      <w:tr w:rsidR="00D920A9" w14:paraId="0BFBF770" w14:textId="77777777">
        <w:trPr>
          <w:jc w:val="center"/>
        </w:trPr>
        <w:tc>
          <w:tcPr>
            <w:tcW w:w="468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0D05D5" w14:textId="77777777" w:rsidR="00D920A9" w:rsidRDefault="00293328">
            <w:pPr>
              <w:spacing w:after="40"/>
            </w:pPr>
            <w:r>
              <w:rPr>
                <w:b/>
                <w:color w:val="1F4E78"/>
                <w:sz w:val="19"/>
              </w:rPr>
              <w:t>Task Name:</w:t>
            </w:r>
            <w:r>
              <w:rPr>
                <w:sz w:val="19"/>
              </w:rPr>
              <w:t xml:space="preserve"> Working Capital Cycle Calculation</w:t>
            </w:r>
          </w:p>
        </w:tc>
        <w:tc>
          <w:tcPr>
            <w:tcW w:w="468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A5A6C7" w14:textId="77777777" w:rsidR="00D920A9" w:rsidRDefault="00293328">
            <w:pPr>
              <w:spacing w:after="40"/>
            </w:pPr>
            <w:r>
              <w:rPr>
                <w:b/>
                <w:color w:val="1F4E78"/>
                <w:sz w:val="19"/>
              </w:rPr>
              <w:t>Target Sheet Name:</w:t>
            </w:r>
            <w:r>
              <w:rPr>
                <w:sz w:val="19"/>
              </w:rPr>
              <w:t xml:space="preserve"> CCC_5yr</w:t>
            </w:r>
          </w:p>
        </w:tc>
      </w:tr>
      <w:tr w:rsidR="00D920A9" w14:paraId="38CE66F7" w14:textId="77777777">
        <w:trPr>
          <w:jc w:val="center"/>
        </w:trPr>
        <w:tc>
          <w:tcPr>
            <w:tcW w:w="468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5040AD" w14:textId="77777777" w:rsidR="00D920A9" w:rsidRDefault="00293328">
            <w:pPr>
              <w:spacing w:after="40"/>
            </w:pPr>
            <w:r>
              <w:rPr>
                <w:b/>
                <w:color w:val="1F4E78"/>
                <w:sz w:val="19"/>
              </w:rPr>
              <w:t>Key Metrics:</w:t>
            </w:r>
            <w:r>
              <w:rPr>
                <w:sz w:val="19"/>
              </w:rPr>
              <w:t xml:space="preserve"> DIO, DSO, DPO, and CCC</w:t>
            </w:r>
          </w:p>
        </w:tc>
        <w:tc>
          <w:tcPr>
            <w:tcW w:w="468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CE2782" w14:textId="77777777" w:rsidR="00D920A9" w:rsidRDefault="00293328">
            <w:pPr>
              <w:spacing w:after="40"/>
            </w:pPr>
            <w:r>
              <w:rPr>
                <w:b/>
                <w:color w:val="1F4E78"/>
                <w:sz w:val="19"/>
              </w:rPr>
              <w:t>Submission File:</w:t>
            </w:r>
            <w:r>
              <w:rPr>
                <w:sz w:val="19"/>
              </w:rPr>
              <w:t xml:space="preserve"> Word File (.docx)</w:t>
            </w:r>
          </w:p>
        </w:tc>
      </w:tr>
    </w:tbl>
    <w:p w14:paraId="6150E92C" w14:textId="77777777" w:rsidR="00D920A9" w:rsidRDefault="00D920A9"/>
    <w:p w14:paraId="780E15D9" w14:textId="77777777" w:rsidR="00D920A9" w:rsidRDefault="00293328">
      <w:pPr>
        <w:keepNext/>
        <w:spacing w:before="280"/>
      </w:pPr>
      <w:r>
        <w:rPr>
          <w:b/>
          <w:color w:val="1F4E78"/>
          <w:sz w:val="32"/>
        </w:rPr>
        <w:t>1. Executive Summary</w:t>
      </w:r>
    </w:p>
    <w:p w14:paraId="4F691001" w14:textId="77777777" w:rsidR="00D920A9" w:rsidRDefault="00293328">
      <w:r>
        <w:t>Working capital management is a fundamental component of operational liquidity and financial sustainability. The Cash Conversion Cycle (CCC) quantifies the total time (in days) required for a firm to convert its investments in inventory and operational expenditures into liquid cash receipts from sales.</w:t>
      </w:r>
    </w:p>
    <w:p w14:paraId="0C97DF0B" w14:textId="77777777" w:rsidR="00D920A9" w:rsidRDefault="00293328">
      <w:r>
        <w:t xml:space="preserve">This report provides a concise 5-year analysis of the Cash Conversion Cycle across its three core components: Days Inventory Outstanding (DIO), Days Sales Outstanding (DSO), and Days Payable Outstanding (DPO). Over the evaluated period, the Cash Conversion Cycle initially expanded from </w:t>
      </w:r>
      <w:r>
        <w:rPr>
          <w:b/>
        </w:rPr>
        <w:t>20.16 days in Year 1 to a peak of 25.95 days in Year 4</w:t>
      </w:r>
      <w:r>
        <w:t xml:space="preserve">, driven by inventory accumulation and extended client collection periods. In Year 5, operational efficiency significantly improved, reducing the cycle to </w:t>
      </w:r>
      <w:r>
        <w:rPr>
          <w:b/>
        </w:rPr>
        <w:t>21.85 days (a net reduction of 4.10 days)</w:t>
      </w:r>
      <w:r>
        <w:t>, demonstrating tighter stock management and enhanced credit recovery.</w:t>
      </w:r>
    </w:p>
    <w:p w14:paraId="395452F5" w14:textId="77777777" w:rsidR="00D920A9" w:rsidRDefault="00293328">
      <w:pPr>
        <w:keepNext/>
        <w:spacing w:before="280"/>
      </w:pPr>
      <w:r>
        <w:rPr>
          <w:b/>
          <w:color w:val="1F4E78"/>
          <w:sz w:val="32"/>
        </w:rPr>
        <w:t>2. Methodology &amp; Core Formulas</w:t>
      </w:r>
    </w:p>
    <w:p w14:paraId="72FF500D" w14:textId="77777777" w:rsidR="00D920A9" w:rsidRDefault="00293328">
      <w:r>
        <w:t>The Cash Conversion Cycle measures the net working capital lock-up period using the following standard financial formulas: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80"/>
        <w:gridCol w:w="4680"/>
      </w:tblGrid>
      <w:tr w:rsidR="00D920A9" w14:paraId="393DA49F" w14:textId="77777777">
        <w:trPr>
          <w:jc w:val="center"/>
        </w:trPr>
        <w:tc>
          <w:tcPr>
            <w:tcW w:w="4680" w:type="dxa"/>
            <w:shd w:val="clear" w:color="auto" w:fill="EBF1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7AEF4C3" w14:textId="77777777" w:rsidR="00D920A9" w:rsidRDefault="00293328">
            <w:pPr>
              <w:spacing w:after="40"/>
            </w:pPr>
            <w:r>
              <w:rPr>
                <w:b/>
                <w:color w:val="1F4E78"/>
                <w:sz w:val="19"/>
              </w:rPr>
              <w:t>Days Inventory Outstanding (DIO)</w:t>
            </w:r>
          </w:p>
        </w:tc>
        <w:tc>
          <w:tcPr>
            <w:tcW w:w="4680" w:type="dxa"/>
            <w:shd w:val="clear" w:color="auto" w:fill="F9FA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DF0C837" w14:textId="77777777" w:rsidR="00D920A9" w:rsidRDefault="00293328">
            <w:pPr>
              <w:spacing w:after="40"/>
            </w:pPr>
            <w:r>
              <w:rPr>
                <w:b/>
                <w:sz w:val="19"/>
              </w:rPr>
              <w:t>DIO = (Inventories / Cost of Goods Sold) × 365</w:t>
            </w:r>
            <w:r>
              <w:rPr>
                <w:b/>
                <w:sz w:val="19"/>
              </w:rPr>
              <w:br/>
            </w:r>
            <w:r>
              <w:rPr>
                <w:i/>
                <w:sz w:val="18"/>
              </w:rPr>
              <w:t>Measures average holding period of inventory before sale.</w:t>
            </w:r>
          </w:p>
        </w:tc>
      </w:tr>
      <w:tr w:rsidR="00D920A9" w14:paraId="771E5118" w14:textId="77777777">
        <w:trPr>
          <w:jc w:val="center"/>
        </w:trPr>
        <w:tc>
          <w:tcPr>
            <w:tcW w:w="4680" w:type="dxa"/>
            <w:shd w:val="clear" w:color="auto" w:fill="EBF1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CE13BE9" w14:textId="77777777" w:rsidR="00D920A9" w:rsidRDefault="00293328">
            <w:pPr>
              <w:spacing w:after="40"/>
            </w:pPr>
            <w:r>
              <w:rPr>
                <w:b/>
                <w:color w:val="1F4E78"/>
                <w:sz w:val="19"/>
              </w:rPr>
              <w:t>Days Sales Outstanding (DSO)</w:t>
            </w:r>
          </w:p>
        </w:tc>
        <w:tc>
          <w:tcPr>
            <w:tcW w:w="4680" w:type="dxa"/>
            <w:shd w:val="clear" w:color="auto" w:fill="F9FA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7C40C72" w14:textId="77777777" w:rsidR="00D920A9" w:rsidRDefault="00293328">
            <w:pPr>
              <w:spacing w:after="40"/>
            </w:pPr>
            <w:r>
              <w:rPr>
                <w:b/>
                <w:sz w:val="19"/>
              </w:rPr>
              <w:t>DSO = (Trade Receivables / Revenue) × 365</w:t>
            </w:r>
            <w:r>
              <w:rPr>
                <w:b/>
                <w:sz w:val="19"/>
              </w:rPr>
              <w:br/>
            </w:r>
            <w:r>
              <w:rPr>
                <w:i/>
                <w:sz w:val="18"/>
              </w:rPr>
              <w:t>Measures average time taken to collect cash from trade receivables.</w:t>
            </w:r>
          </w:p>
        </w:tc>
      </w:tr>
      <w:tr w:rsidR="00D920A9" w14:paraId="6862EBAF" w14:textId="77777777">
        <w:trPr>
          <w:jc w:val="center"/>
        </w:trPr>
        <w:tc>
          <w:tcPr>
            <w:tcW w:w="4680" w:type="dxa"/>
            <w:shd w:val="clear" w:color="auto" w:fill="EBF1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11A0432" w14:textId="77777777" w:rsidR="00D920A9" w:rsidRDefault="00293328">
            <w:pPr>
              <w:spacing w:after="40"/>
            </w:pPr>
            <w:r>
              <w:rPr>
                <w:b/>
                <w:color w:val="1F4E78"/>
                <w:sz w:val="19"/>
              </w:rPr>
              <w:t>Days Payable Outstanding (DPO)</w:t>
            </w:r>
          </w:p>
        </w:tc>
        <w:tc>
          <w:tcPr>
            <w:tcW w:w="4680" w:type="dxa"/>
            <w:shd w:val="clear" w:color="auto" w:fill="F9FA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E1FE362" w14:textId="77777777" w:rsidR="00D920A9" w:rsidRDefault="00293328">
            <w:pPr>
              <w:spacing w:after="40"/>
            </w:pPr>
            <w:r>
              <w:rPr>
                <w:b/>
                <w:sz w:val="19"/>
              </w:rPr>
              <w:t>DPO = (Trade Payables / Cost of Goods Sold) × 365</w:t>
            </w:r>
            <w:r>
              <w:rPr>
                <w:b/>
                <w:sz w:val="19"/>
              </w:rPr>
              <w:br/>
            </w:r>
            <w:r>
              <w:rPr>
                <w:i/>
                <w:sz w:val="18"/>
              </w:rPr>
              <w:t>Measures average time taken to pay suppliers for trade purchases.</w:t>
            </w:r>
          </w:p>
        </w:tc>
      </w:tr>
      <w:tr w:rsidR="00D920A9" w14:paraId="5004BDA4" w14:textId="77777777">
        <w:trPr>
          <w:jc w:val="center"/>
        </w:trPr>
        <w:tc>
          <w:tcPr>
            <w:tcW w:w="4680" w:type="dxa"/>
            <w:shd w:val="clear" w:color="auto" w:fill="EBF1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5F8848C" w14:textId="77777777" w:rsidR="00D920A9" w:rsidRDefault="00293328">
            <w:pPr>
              <w:spacing w:after="40"/>
            </w:pPr>
            <w:r>
              <w:rPr>
                <w:b/>
                <w:color w:val="1F4E78"/>
                <w:sz w:val="19"/>
              </w:rPr>
              <w:t>Cash Conversion Cycle (CCC)</w:t>
            </w:r>
          </w:p>
        </w:tc>
        <w:tc>
          <w:tcPr>
            <w:tcW w:w="4680" w:type="dxa"/>
            <w:shd w:val="clear" w:color="auto" w:fill="F9FA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A01BEE3" w14:textId="77777777" w:rsidR="00D920A9" w:rsidRDefault="00293328">
            <w:pPr>
              <w:spacing w:after="40"/>
            </w:pPr>
            <w:r>
              <w:rPr>
                <w:b/>
                <w:sz w:val="19"/>
              </w:rPr>
              <w:t>CCC = DIO + DSO - DPO</w:t>
            </w:r>
            <w:r>
              <w:rPr>
                <w:b/>
                <w:sz w:val="19"/>
              </w:rPr>
              <w:br/>
            </w:r>
            <w:r>
              <w:rPr>
                <w:i/>
                <w:sz w:val="18"/>
              </w:rPr>
              <w:t>Represents total operational cash lock-up duration.</w:t>
            </w:r>
          </w:p>
        </w:tc>
      </w:tr>
    </w:tbl>
    <w:p w14:paraId="60EC18BD" w14:textId="77777777" w:rsidR="00D920A9" w:rsidRDefault="00D920A9"/>
    <w:p w14:paraId="5C7DF488" w14:textId="77777777" w:rsidR="00D920A9" w:rsidRDefault="00293328">
      <w:pPr>
        <w:keepNext/>
        <w:spacing w:before="280"/>
      </w:pPr>
      <w:r>
        <w:rPr>
          <w:b/>
          <w:color w:val="1F4E78"/>
          <w:sz w:val="32"/>
        </w:rPr>
        <w:t>3. 5-Year Working Capital Summary Table</w:t>
      </w:r>
    </w:p>
    <w:p w14:paraId="671AF87E" w14:textId="77777777" w:rsidR="00D920A9" w:rsidRDefault="00293328">
      <w:r>
        <w:t>Below is the complete 5-year financial dataset and calculated working capital ratios: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0D920A9" w14:paraId="202B91A9" w14:textId="77777777">
        <w:trPr>
          <w:jc w:val="center"/>
        </w:trPr>
        <w:tc>
          <w:tcPr>
            <w:tcW w:w="1560" w:type="dxa"/>
            <w:shd w:val="clear" w:color="auto" w:fill="1F4E7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BF9FB" w14:textId="77777777" w:rsidR="00D920A9" w:rsidRDefault="00293328">
            <w:r>
              <w:rPr>
                <w:b/>
                <w:color w:val="FFFFFF"/>
                <w:sz w:val="19"/>
              </w:rPr>
              <w:t>Metric / Line Item</w:t>
            </w:r>
          </w:p>
        </w:tc>
        <w:tc>
          <w:tcPr>
            <w:tcW w:w="1560" w:type="dxa"/>
            <w:shd w:val="clear" w:color="auto" w:fill="1F4E7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1BD7F" w14:textId="77777777" w:rsidR="00D920A9" w:rsidRDefault="00293328">
            <w:pPr>
              <w:jc w:val="center"/>
            </w:pPr>
            <w:r>
              <w:rPr>
                <w:b/>
                <w:color w:val="FFFFFF"/>
                <w:sz w:val="19"/>
              </w:rPr>
              <w:t>Year 1</w:t>
            </w:r>
          </w:p>
        </w:tc>
        <w:tc>
          <w:tcPr>
            <w:tcW w:w="1560" w:type="dxa"/>
            <w:shd w:val="clear" w:color="auto" w:fill="1F4E7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7F642A" w14:textId="77777777" w:rsidR="00D920A9" w:rsidRDefault="00293328">
            <w:pPr>
              <w:jc w:val="center"/>
            </w:pPr>
            <w:r>
              <w:rPr>
                <w:b/>
                <w:color w:val="FFFFFF"/>
                <w:sz w:val="19"/>
              </w:rPr>
              <w:t>Year 2</w:t>
            </w:r>
          </w:p>
        </w:tc>
        <w:tc>
          <w:tcPr>
            <w:tcW w:w="1560" w:type="dxa"/>
            <w:shd w:val="clear" w:color="auto" w:fill="1F4E7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26D7C" w14:textId="77777777" w:rsidR="00D920A9" w:rsidRDefault="00293328">
            <w:pPr>
              <w:jc w:val="center"/>
            </w:pPr>
            <w:r>
              <w:rPr>
                <w:b/>
                <w:color w:val="FFFFFF"/>
                <w:sz w:val="19"/>
              </w:rPr>
              <w:t>Year 3</w:t>
            </w:r>
          </w:p>
        </w:tc>
        <w:tc>
          <w:tcPr>
            <w:tcW w:w="1560" w:type="dxa"/>
            <w:shd w:val="clear" w:color="auto" w:fill="1F4E7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EF9CD" w14:textId="77777777" w:rsidR="00D920A9" w:rsidRDefault="00293328">
            <w:pPr>
              <w:jc w:val="center"/>
            </w:pPr>
            <w:r>
              <w:rPr>
                <w:b/>
                <w:color w:val="FFFFFF"/>
                <w:sz w:val="19"/>
              </w:rPr>
              <w:t>Year 4</w:t>
            </w:r>
          </w:p>
        </w:tc>
        <w:tc>
          <w:tcPr>
            <w:tcW w:w="1560" w:type="dxa"/>
            <w:shd w:val="clear" w:color="auto" w:fill="1F4E7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1F973" w14:textId="77777777" w:rsidR="00D920A9" w:rsidRDefault="00293328">
            <w:pPr>
              <w:jc w:val="center"/>
            </w:pPr>
            <w:r>
              <w:rPr>
                <w:b/>
                <w:color w:val="FFFFFF"/>
                <w:sz w:val="19"/>
              </w:rPr>
              <w:t>Year 5</w:t>
            </w:r>
          </w:p>
        </w:tc>
      </w:tr>
      <w:tr w:rsidR="00D920A9" w14:paraId="1A0ACD24" w14:textId="77777777">
        <w:trPr>
          <w:jc w:val="center"/>
        </w:trPr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27FD4EA" w14:textId="77777777" w:rsidR="00D920A9" w:rsidRDefault="00293328">
            <w:r>
              <w:rPr>
                <w:sz w:val="19"/>
              </w:rPr>
              <w:t>Revenue (£m)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17EAA7" w14:textId="77777777" w:rsidR="00D920A9" w:rsidRDefault="00293328">
            <w:pPr>
              <w:jc w:val="right"/>
            </w:pPr>
            <w:r>
              <w:rPr>
                <w:sz w:val="19"/>
              </w:rPr>
              <w:t>1,650.00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991D3BF" w14:textId="77777777" w:rsidR="00D920A9" w:rsidRDefault="00293328">
            <w:pPr>
              <w:jc w:val="right"/>
            </w:pPr>
            <w:r>
              <w:rPr>
                <w:sz w:val="19"/>
              </w:rPr>
              <w:t>1,710.00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752060" w14:textId="77777777" w:rsidR="00D920A9" w:rsidRDefault="00293328">
            <w:pPr>
              <w:jc w:val="right"/>
            </w:pPr>
            <w:r>
              <w:rPr>
                <w:sz w:val="19"/>
              </w:rPr>
              <w:t>1,725.00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A67E27D" w14:textId="77777777" w:rsidR="00D920A9" w:rsidRDefault="00293328">
            <w:pPr>
              <w:jc w:val="right"/>
            </w:pPr>
            <w:r>
              <w:rPr>
                <w:sz w:val="19"/>
              </w:rPr>
              <w:t>1,489.00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E688032" w14:textId="77777777" w:rsidR="00D920A9" w:rsidRDefault="00293328">
            <w:pPr>
              <w:jc w:val="right"/>
            </w:pPr>
            <w:r>
              <w:rPr>
                <w:sz w:val="19"/>
              </w:rPr>
              <w:t>1,763.00</w:t>
            </w:r>
          </w:p>
        </w:tc>
      </w:tr>
      <w:tr w:rsidR="00D920A9" w14:paraId="2BC3CDDC" w14:textId="77777777">
        <w:trPr>
          <w:jc w:val="center"/>
        </w:trPr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B6CA2CA" w14:textId="77777777" w:rsidR="00D920A9" w:rsidRDefault="00293328">
            <w:r>
              <w:rPr>
                <w:sz w:val="19"/>
              </w:rPr>
              <w:t>Cost of Goods Sold (£m)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ADE884" w14:textId="77777777" w:rsidR="00D920A9" w:rsidRDefault="00293328">
            <w:pPr>
              <w:jc w:val="right"/>
            </w:pPr>
            <w:r>
              <w:rPr>
                <w:sz w:val="19"/>
              </w:rPr>
              <w:t>1,280.00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7BDCE39" w14:textId="77777777" w:rsidR="00D920A9" w:rsidRDefault="00293328">
            <w:pPr>
              <w:jc w:val="right"/>
            </w:pPr>
            <w:r>
              <w:rPr>
                <w:sz w:val="19"/>
              </w:rPr>
              <w:t>1,310.00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79D1204" w14:textId="77777777" w:rsidR="00D920A9" w:rsidRDefault="00293328">
            <w:pPr>
              <w:jc w:val="right"/>
            </w:pPr>
            <w:r>
              <w:rPr>
                <w:sz w:val="19"/>
              </w:rPr>
              <w:t>1,317.00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FC8DB7D" w14:textId="77777777" w:rsidR="00D920A9" w:rsidRDefault="00293328">
            <w:pPr>
              <w:jc w:val="right"/>
            </w:pPr>
            <w:r>
              <w:rPr>
                <w:sz w:val="19"/>
              </w:rPr>
              <w:t>1,139.00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993645" w14:textId="77777777" w:rsidR="00D920A9" w:rsidRDefault="00293328">
            <w:pPr>
              <w:jc w:val="right"/>
            </w:pPr>
            <w:r>
              <w:rPr>
                <w:sz w:val="19"/>
              </w:rPr>
              <w:t>1,347.00</w:t>
            </w:r>
          </w:p>
        </w:tc>
      </w:tr>
      <w:tr w:rsidR="00D920A9" w14:paraId="5EFE4983" w14:textId="77777777">
        <w:trPr>
          <w:jc w:val="center"/>
        </w:trPr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1BD2DC4" w14:textId="77777777" w:rsidR="00D920A9" w:rsidRDefault="00293328">
            <w:r>
              <w:rPr>
                <w:sz w:val="19"/>
              </w:rPr>
              <w:t>Inventories (£m)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917E90" w14:textId="77777777" w:rsidR="00D920A9" w:rsidRDefault="00293328">
            <w:pPr>
              <w:jc w:val="right"/>
            </w:pPr>
            <w:r>
              <w:rPr>
                <w:sz w:val="19"/>
              </w:rPr>
              <w:t>210.00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B1234A" w14:textId="77777777" w:rsidR="00D920A9" w:rsidRDefault="00293328">
            <w:pPr>
              <w:jc w:val="right"/>
            </w:pPr>
            <w:r>
              <w:rPr>
                <w:sz w:val="19"/>
              </w:rPr>
              <w:t>225.00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A3CAF0" w14:textId="77777777" w:rsidR="00D920A9" w:rsidRDefault="00293328">
            <w:pPr>
              <w:jc w:val="right"/>
            </w:pPr>
            <w:r>
              <w:rPr>
                <w:sz w:val="19"/>
              </w:rPr>
              <w:t>240.00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1AD3919" w14:textId="77777777" w:rsidR="00D920A9" w:rsidRDefault="00293328">
            <w:pPr>
              <w:jc w:val="right"/>
            </w:pPr>
            <w:r>
              <w:rPr>
                <w:sz w:val="19"/>
              </w:rPr>
              <w:t>230.00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D743ABE" w14:textId="77777777" w:rsidR="00D920A9" w:rsidRDefault="00293328">
            <w:pPr>
              <w:jc w:val="right"/>
            </w:pPr>
            <w:r>
              <w:rPr>
                <w:sz w:val="19"/>
              </w:rPr>
              <w:t>258.90</w:t>
            </w:r>
          </w:p>
        </w:tc>
      </w:tr>
      <w:tr w:rsidR="00D920A9" w14:paraId="74151999" w14:textId="77777777">
        <w:trPr>
          <w:jc w:val="center"/>
        </w:trPr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C571329" w14:textId="77777777" w:rsidR="00D920A9" w:rsidRDefault="00293328">
            <w:r>
              <w:rPr>
                <w:sz w:val="19"/>
              </w:rPr>
              <w:t>Trade Receivables (£m)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86ED4E" w14:textId="77777777" w:rsidR="00D920A9" w:rsidRDefault="00293328">
            <w:pPr>
              <w:jc w:val="right"/>
            </w:pPr>
            <w:r>
              <w:rPr>
                <w:sz w:val="19"/>
              </w:rPr>
              <w:t>310.00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4A81E8" w14:textId="77777777" w:rsidR="00D920A9" w:rsidRDefault="00293328">
            <w:pPr>
              <w:jc w:val="right"/>
            </w:pPr>
            <w:r>
              <w:rPr>
                <w:sz w:val="19"/>
              </w:rPr>
              <w:t>335.00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668070" w14:textId="77777777" w:rsidR="00D920A9" w:rsidRDefault="00293328">
            <w:pPr>
              <w:jc w:val="right"/>
            </w:pPr>
            <w:r>
              <w:rPr>
                <w:sz w:val="19"/>
              </w:rPr>
              <w:t>350.00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5A3CC1" w14:textId="77777777" w:rsidR="00D920A9" w:rsidRDefault="00293328">
            <w:pPr>
              <w:jc w:val="right"/>
            </w:pPr>
            <w:r>
              <w:rPr>
                <w:sz w:val="19"/>
              </w:rPr>
              <w:t>315.00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AD97974" w14:textId="77777777" w:rsidR="00D920A9" w:rsidRDefault="00293328">
            <w:pPr>
              <w:jc w:val="right"/>
            </w:pPr>
            <w:r>
              <w:rPr>
                <w:sz w:val="19"/>
              </w:rPr>
              <w:t>365.50</w:t>
            </w:r>
          </w:p>
        </w:tc>
      </w:tr>
      <w:tr w:rsidR="00D920A9" w14:paraId="1F2FE6FD" w14:textId="77777777">
        <w:trPr>
          <w:jc w:val="center"/>
        </w:trPr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8840734" w14:textId="77777777" w:rsidR="00D920A9" w:rsidRDefault="00293328">
            <w:r>
              <w:rPr>
                <w:sz w:val="19"/>
              </w:rPr>
              <w:t>Trade Payables (£m)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C154310" w14:textId="77777777" w:rsidR="00D920A9" w:rsidRDefault="00293328">
            <w:pPr>
              <w:jc w:val="right"/>
            </w:pPr>
            <w:r>
              <w:rPr>
                <w:sz w:val="19"/>
              </w:rPr>
              <w:t>380.00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6BA893D" w14:textId="77777777" w:rsidR="00D920A9" w:rsidRDefault="00293328">
            <w:pPr>
              <w:jc w:val="right"/>
            </w:pPr>
            <w:r>
              <w:rPr>
                <w:sz w:val="19"/>
              </w:rPr>
              <w:t>410.00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D2FCD7C" w14:textId="77777777" w:rsidR="00D920A9" w:rsidRDefault="00293328">
            <w:pPr>
              <w:jc w:val="right"/>
            </w:pPr>
            <w:r>
              <w:rPr>
                <w:sz w:val="19"/>
              </w:rPr>
              <w:t>425.00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DEB1691" w14:textId="77777777" w:rsidR="00D920A9" w:rsidRDefault="00293328">
            <w:pPr>
              <w:jc w:val="right"/>
            </w:pPr>
            <w:r>
              <w:rPr>
                <w:sz w:val="19"/>
              </w:rPr>
              <w:t>390.00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ECD9091" w14:textId="77777777" w:rsidR="00D920A9" w:rsidRDefault="00293328">
            <w:pPr>
              <w:jc w:val="right"/>
            </w:pPr>
            <w:r>
              <w:rPr>
                <w:sz w:val="19"/>
              </w:rPr>
              <w:t>457.50</w:t>
            </w:r>
          </w:p>
        </w:tc>
      </w:tr>
      <w:tr w:rsidR="00D920A9" w14:paraId="46B442E6" w14:textId="77777777">
        <w:trPr>
          <w:jc w:val="center"/>
        </w:trPr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BD495C" w14:textId="77777777" w:rsidR="00D920A9" w:rsidRDefault="00293328">
            <w:r>
              <w:rPr>
                <w:b/>
                <w:sz w:val="19"/>
              </w:rPr>
              <w:t>Inventory Days (DIO)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7B412E7" w14:textId="77777777" w:rsidR="00D920A9" w:rsidRDefault="00293328">
            <w:pPr>
              <w:jc w:val="right"/>
            </w:pPr>
            <w:r>
              <w:rPr>
                <w:sz w:val="19"/>
              </w:rPr>
              <w:t>59.82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4628DE" w14:textId="77777777" w:rsidR="00D920A9" w:rsidRDefault="00293328">
            <w:pPr>
              <w:jc w:val="right"/>
            </w:pPr>
            <w:r>
              <w:rPr>
                <w:sz w:val="19"/>
              </w:rPr>
              <w:t>62.69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89ABDB7" w14:textId="77777777" w:rsidR="00D920A9" w:rsidRDefault="00293328">
            <w:pPr>
              <w:jc w:val="right"/>
            </w:pPr>
            <w:r>
              <w:rPr>
                <w:sz w:val="19"/>
              </w:rPr>
              <w:t>66.51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6CF2FE" w14:textId="77777777" w:rsidR="00D920A9" w:rsidRDefault="00293328">
            <w:pPr>
              <w:jc w:val="right"/>
            </w:pPr>
            <w:r>
              <w:rPr>
                <w:sz w:val="19"/>
              </w:rPr>
              <w:t>73.71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B2C81F" w14:textId="77777777" w:rsidR="00D920A9" w:rsidRDefault="00293328">
            <w:pPr>
              <w:jc w:val="right"/>
            </w:pPr>
            <w:r>
              <w:rPr>
                <w:sz w:val="19"/>
              </w:rPr>
              <w:t>70.15</w:t>
            </w:r>
          </w:p>
        </w:tc>
      </w:tr>
      <w:tr w:rsidR="00D920A9" w14:paraId="3D800303" w14:textId="77777777">
        <w:trPr>
          <w:jc w:val="center"/>
        </w:trPr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775224" w14:textId="77777777" w:rsidR="00D920A9" w:rsidRDefault="00293328">
            <w:r>
              <w:rPr>
                <w:b/>
                <w:sz w:val="19"/>
              </w:rPr>
              <w:t>Receivable Days (DSO)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96E7B9" w14:textId="77777777" w:rsidR="00D920A9" w:rsidRDefault="00293328">
            <w:pPr>
              <w:jc w:val="right"/>
            </w:pPr>
            <w:r>
              <w:rPr>
                <w:sz w:val="19"/>
              </w:rPr>
              <w:t>68.58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448A56" w14:textId="77777777" w:rsidR="00D920A9" w:rsidRDefault="00293328">
            <w:pPr>
              <w:jc w:val="right"/>
            </w:pPr>
            <w:r>
              <w:rPr>
                <w:sz w:val="19"/>
              </w:rPr>
              <w:t>71.51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7BCED2" w14:textId="77777777" w:rsidR="00D920A9" w:rsidRDefault="00293328">
            <w:pPr>
              <w:jc w:val="right"/>
            </w:pPr>
            <w:r>
              <w:rPr>
                <w:sz w:val="19"/>
              </w:rPr>
              <w:t>74.06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BA365D" w14:textId="77777777" w:rsidR="00D920A9" w:rsidRDefault="00293328">
            <w:pPr>
              <w:jc w:val="right"/>
            </w:pPr>
            <w:r>
              <w:rPr>
                <w:sz w:val="19"/>
              </w:rPr>
              <w:t>77.22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AC47316" w14:textId="77777777" w:rsidR="00D920A9" w:rsidRDefault="00293328">
            <w:pPr>
              <w:jc w:val="right"/>
            </w:pPr>
            <w:r>
              <w:rPr>
                <w:sz w:val="19"/>
              </w:rPr>
              <w:t>75.67</w:t>
            </w:r>
          </w:p>
        </w:tc>
      </w:tr>
      <w:tr w:rsidR="00D920A9" w14:paraId="295AB887" w14:textId="77777777">
        <w:trPr>
          <w:jc w:val="center"/>
        </w:trPr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30052C4" w14:textId="77777777" w:rsidR="00D920A9" w:rsidRDefault="00293328">
            <w:r>
              <w:rPr>
                <w:b/>
                <w:sz w:val="19"/>
              </w:rPr>
              <w:t>Payable Days (DPO)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7430BF" w14:textId="77777777" w:rsidR="00D920A9" w:rsidRDefault="00293328">
            <w:pPr>
              <w:jc w:val="right"/>
            </w:pPr>
            <w:r>
              <w:rPr>
                <w:sz w:val="19"/>
              </w:rPr>
              <w:t>108.24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7EFFDA" w14:textId="77777777" w:rsidR="00D920A9" w:rsidRDefault="00293328">
            <w:pPr>
              <w:jc w:val="right"/>
            </w:pPr>
            <w:r>
              <w:rPr>
                <w:sz w:val="19"/>
              </w:rPr>
              <w:t>114.24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52A40C2" w14:textId="77777777" w:rsidR="00D920A9" w:rsidRDefault="00293328">
            <w:pPr>
              <w:jc w:val="right"/>
            </w:pPr>
            <w:r>
              <w:rPr>
                <w:sz w:val="19"/>
              </w:rPr>
              <w:t>117.79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1034856" w14:textId="77777777" w:rsidR="00D920A9" w:rsidRDefault="00293328">
            <w:pPr>
              <w:jc w:val="right"/>
            </w:pPr>
            <w:r>
              <w:rPr>
                <w:sz w:val="19"/>
              </w:rPr>
              <w:t>124.98</w:t>
            </w:r>
          </w:p>
        </w:tc>
        <w:tc>
          <w:tcPr>
            <w:tcW w:w="1560" w:type="dxa"/>
            <w:shd w:val="clear" w:color="auto" w:fill="F2F4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FB00CE" w14:textId="77777777" w:rsidR="00D920A9" w:rsidRDefault="00293328">
            <w:pPr>
              <w:jc w:val="right"/>
            </w:pPr>
            <w:r>
              <w:rPr>
                <w:sz w:val="19"/>
              </w:rPr>
              <w:t>123.97</w:t>
            </w:r>
          </w:p>
        </w:tc>
      </w:tr>
      <w:tr w:rsidR="00D920A9" w14:paraId="32BF5CC1" w14:textId="77777777">
        <w:trPr>
          <w:jc w:val="center"/>
        </w:trPr>
        <w:tc>
          <w:tcPr>
            <w:tcW w:w="1560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65D6C8" w14:textId="77777777" w:rsidR="00D920A9" w:rsidRDefault="00293328">
            <w:r>
              <w:rPr>
                <w:b/>
                <w:color w:val="1F4E78"/>
                <w:sz w:val="19"/>
              </w:rPr>
              <w:t>Cash Conversion Cycle (CCC)</w:t>
            </w:r>
          </w:p>
        </w:tc>
        <w:tc>
          <w:tcPr>
            <w:tcW w:w="1560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ED71ED" w14:textId="77777777" w:rsidR="00D920A9" w:rsidRDefault="00293328">
            <w:pPr>
              <w:jc w:val="right"/>
            </w:pPr>
            <w:r>
              <w:rPr>
                <w:b/>
                <w:color w:val="1F4E78"/>
                <w:sz w:val="19"/>
              </w:rPr>
              <w:t>20.16</w:t>
            </w:r>
          </w:p>
        </w:tc>
        <w:tc>
          <w:tcPr>
            <w:tcW w:w="1560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385E93" w14:textId="77777777" w:rsidR="00D920A9" w:rsidRDefault="00293328">
            <w:pPr>
              <w:jc w:val="right"/>
            </w:pPr>
            <w:r>
              <w:rPr>
                <w:b/>
                <w:color w:val="1F4E78"/>
                <w:sz w:val="19"/>
              </w:rPr>
              <w:t>19.96</w:t>
            </w:r>
          </w:p>
        </w:tc>
        <w:tc>
          <w:tcPr>
            <w:tcW w:w="1560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910032" w14:textId="77777777" w:rsidR="00D920A9" w:rsidRDefault="00293328">
            <w:pPr>
              <w:jc w:val="right"/>
            </w:pPr>
            <w:r>
              <w:rPr>
                <w:b/>
                <w:color w:val="1F4E78"/>
                <w:sz w:val="19"/>
              </w:rPr>
              <w:t>22.78</w:t>
            </w:r>
          </w:p>
        </w:tc>
        <w:tc>
          <w:tcPr>
            <w:tcW w:w="1560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C1735B" w14:textId="77777777" w:rsidR="00D920A9" w:rsidRDefault="00293328">
            <w:pPr>
              <w:jc w:val="right"/>
            </w:pPr>
            <w:r>
              <w:rPr>
                <w:b/>
                <w:color w:val="1F4E78"/>
                <w:sz w:val="19"/>
              </w:rPr>
              <w:t>25.95</w:t>
            </w:r>
          </w:p>
        </w:tc>
        <w:tc>
          <w:tcPr>
            <w:tcW w:w="1560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7320D5" w14:textId="77777777" w:rsidR="00D920A9" w:rsidRDefault="00293328">
            <w:pPr>
              <w:jc w:val="right"/>
            </w:pPr>
            <w:r>
              <w:rPr>
                <w:b/>
                <w:color w:val="1F4E78"/>
                <w:sz w:val="19"/>
              </w:rPr>
              <w:t>21.85</w:t>
            </w:r>
          </w:p>
        </w:tc>
      </w:tr>
    </w:tbl>
    <w:p w14:paraId="725615A0" w14:textId="77777777" w:rsidR="00D920A9" w:rsidRDefault="00D920A9">
      <w:pPr>
        <w:spacing w:after="160"/>
      </w:pPr>
    </w:p>
    <w:p w14:paraId="6B88A032" w14:textId="77777777" w:rsidR="00D920A9" w:rsidRDefault="00293328">
      <w:pPr>
        <w:keepNext/>
        <w:spacing w:before="280"/>
      </w:pPr>
      <w:r>
        <w:rPr>
          <w:b/>
          <w:color w:val="1F4E78"/>
          <w:sz w:val="32"/>
        </w:rPr>
        <w:t>4. Year-on-Year Trend Analysis &amp; Commentary</w:t>
      </w:r>
    </w:p>
    <w:p w14:paraId="73768EC7" w14:textId="77777777" w:rsidR="00D920A9" w:rsidRDefault="00293328">
      <w:pPr>
        <w:keepNext/>
        <w:spacing w:before="200" w:after="80"/>
      </w:pPr>
      <w:r>
        <w:rPr>
          <w:b/>
          <w:color w:val="2F5597"/>
          <w:sz w:val="26"/>
        </w:rPr>
        <w:t>4.1 Inventory Days (DIO) Analysis</w:t>
      </w:r>
    </w:p>
    <w:p w14:paraId="265068CC" w14:textId="77777777" w:rsidR="00D920A9" w:rsidRDefault="00293328">
      <w:r>
        <w:t>• Trend Pattern: DIO increased steadily from 59.82 days in Year 1 to 73.71 days in Year 4, before improving to 70.15 days in Year 5.</w:t>
      </w:r>
      <w:r>
        <w:br/>
      </w:r>
      <w:r>
        <w:t>• Key Drivers: The expansion in DIO up to Year 4 reflects supply chain bottlenecks and buffer inventory accumulation during periods of revenue compression. In Year 5, stronger demand forecasting and stock turn reduced holding duration by 3.56 days.</w:t>
      </w:r>
    </w:p>
    <w:p w14:paraId="75D1215D" w14:textId="77777777" w:rsidR="00D920A9" w:rsidRDefault="00293328">
      <w:pPr>
        <w:keepNext/>
        <w:spacing w:before="200" w:after="80"/>
      </w:pPr>
      <w:r>
        <w:rPr>
          <w:b/>
          <w:color w:val="2F5597"/>
          <w:sz w:val="26"/>
        </w:rPr>
        <w:t>4.2 Receivable Days (DSO) Analysis</w:t>
      </w:r>
    </w:p>
    <w:p w14:paraId="72F9E305" w14:textId="77777777" w:rsidR="00D920A9" w:rsidRDefault="00293328">
      <w:r>
        <w:t>• Trend Pattern: Credit collection periods rose from 68.58 days in Year 1 to a peak of 77.22 days in Year 4, before easing to 75.67 days in Year 5.</w:t>
      </w:r>
      <w:r>
        <w:br/>
      </w:r>
      <w:r>
        <w:t>• Key Drivers: The multi-year rise in DSO highlights macro-economic pressure on trade customers, leading to extended payment terms. The decline in Year 5 indicates tighter credit enforcement and improved cash collection workflows.</w:t>
      </w:r>
    </w:p>
    <w:p w14:paraId="778728C7" w14:textId="77777777" w:rsidR="00D920A9" w:rsidRDefault="00293328">
      <w:pPr>
        <w:keepNext/>
        <w:spacing w:before="200" w:after="80"/>
      </w:pPr>
      <w:r>
        <w:rPr>
          <w:b/>
          <w:color w:val="2F5597"/>
          <w:sz w:val="26"/>
        </w:rPr>
        <w:t>4.3 Payable Days (DPO) Analysis</w:t>
      </w:r>
    </w:p>
    <w:p w14:paraId="17346523" w14:textId="77777777" w:rsidR="00D920A9" w:rsidRDefault="00293328">
      <w:r>
        <w:t>• Trend Pattern: Trade payable days expanded from 108.24 days in Year 1 to 124.98 days in Year 4, remaining elevated at 123.97 days in Year 5.</w:t>
      </w:r>
      <w:r>
        <w:br/>
      </w:r>
      <w:r>
        <w:t>• Key Drivers: Extending DPO provided low-cost operational financing, allowing the firm to buffer liquidity constraints caused by slower customer collections and inventory lockups.</w:t>
      </w:r>
    </w:p>
    <w:p w14:paraId="5018B985" w14:textId="77777777" w:rsidR="00D920A9" w:rsidRDefault="00293328">
      <w:pPr>
        <w:keepNext/>
        <w:spacing w:before="200" w:after="80"/>
      </w:pPr>
      <w:r>
        <w:rPr>
          <w:b/>
          <w:color w:val="2F5597"/>
          <w:sz w:val="26"/>
        </w:rPr>
        <w:t>4.4 Cash Conversion Cycle (CCC) Net Impact</w:t>
      </w:r>
    </w:p>
    <w:p w14:paraId="5F91F9EF" w14:textId="77777777" w:rsidR="00D920A9" w:rsidRDefault="00293328">
      <w:r>
        <w:t>• Net Trend: CCC expanded from 20.16 days in Year 1 to 25.95 days in Year 4 (+5.79 days), indicating higher cash lock-up in operations.</w:t>
      </w:r>
      <w:r>
        <w:br/>
      </w:r>
      <w:r>
        <w:t>• Year 5 Operational Turnaround: In Year 5, CCC improved significantly to 21.85 days (-4.10 days) due to faster inventory turnover and improved customer payment terms while maintaining extended supplier terms.</w:t>
      </w:r>
    </w:p>
    <w:p w14:paraId="7E2E1EC3" w14:textId="77777777" w:rsidR="00D920A9" w:rsidRDefault="00293328">
      <w:pPr>
        <w:keepNext/>
        <w:spacing w:before="280"/>
      </w:pPr>
      <w:r>
        <w:rPr>
          <w:b/>
          <w:color w:val="1F4E78"/>
          <w:sz w:val="32"/>
        </w:rPr>
        <w:t>5. Strategic Recommendations</w:t>
      </w:r>
    </w:p>
    <w:p w14:paraId="4A5F0FFB" w14:textId="77777777" w:rsidR="00D920A9" w:rsidRDefault="00293328">
      <w:pPr>
        <w:pStyle w:val="ListBullet"/>
        <w:spacing w:after="80"/>
      </w:pPr>
      <w:r>
        <w:rPr>
          <w:b/>
          <w:color w:val="1F4E78"/>
        </w:rPr>
        <w:t>Optimize Inventory Controls:</w:t>
      </w:r>
      <w:r>
        <w:t xml:space="preserve"> Implement Just-In-Time (JIT) stock tracking to align inventory closely with sales velocity, driving DIO back towards &lt;60 days.</w:t>
      </w:r>
    </w:p>
    <w:p w14:paraId="3BF4F4AA" w14:textId="77777777" w:rsidR="00D920A9" w:rsidRDefault="00293328">
      <w:pPr>
        <w:pStyle w:val="ListBullet"/>
        <w:spacing w:after="80"/>
      </w:pPr>
      <w:r>
        <w:rPr>
          <w:b/>
          <w:color w:val="1F4E78"/>
        </w:rPr>
        <w:t>Tighten Credit Policies:</w:t>
      </w:r>
      <w:r>
        <w:t xml:space="preserve"> Introduce automated debt collection workflows and early-payment discounts to reduce DSO below 70 days.</w:t>
      </w:r>
    </w:p>
    <w:p w14:paraId="3F5AE77D" w14:textId="77777777" w:rsidR="00D920A9" w:rsidRDefault="00293328">
      <w:pPr>
        <w:pStyle w:val="ListBullet"/>
        <w:spacing w:after="80"/>
      </w:pPr>
      <w:r>
        <w:rPr>
          <w:b/>
          <w:color w:val="1F4E78"/>
        </w:rPr>
        <w:t>Maintain Supplier Terms:</w:t>
      </w:r>
      <w:r>
        <w:t xml:space="preserve"> Preserve strong vendor negotiations to keep DPO around ~120 days without damaging credit standing.</w:t>
      </w:r>
    </w:p>
    <w:sectPr w:rsidR="00D920A9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3611623">
    <w:abstractNumId w:val="8"/>
  </w:num>
  <w:num w:numId="2" w16cid:durableId="1419785796">
    <w:abstractNumId w:val="6"/>
  </w:num>
  <w:num w:numId="3" w16cid:durableId="2105296101">
    <w:abstractNumId w:val="5"/>
  </w:num>
  <w:num w:numId="4" w16cid:durableId="997611738">
    <w:abstractNumId w:val="4"/>
  </w:num>
  <w:num w:numId="5" w16cid:durableId="1197349738">
    <w:abstractNumId w:val="7"/>
  </w:num>
  <w:num w:numId="6" w16cid:durableId="1041978123">
    <w:abstractNumId w:val="3"/>
  </w:num>
  <w:num w:numId="7" w16cid:durableId="72163652">
    <w:abstractNumId w:val="2"/>
  </w:num>
  <w:num w:numId="8" w16cid:durableId="1303845126">
    <w:abstractNumId w:val="1"/>
  </w:num>
  <w:num w:numId="9" w16cid:durableId="815949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3328"/>
    <w:rsid w:val="0029639D"/>
    <w:rsid w:val="00326F90"/>
    <w:rsid w:val="00692C0A"/>
    <w:rsid w:val="00AA1D8D"/>
    <w:rsid w:val="00B47730"/>
    <w:rsid w:val="00CB0664"/>
    <w:rsid w:val="00D920A9"/>
    <w:rsid w:val="00E621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27595C"/>
  <w14:defaultImageDpi w14:val="300"/>
  <w15:docId w15:val="{937656F5-CBF9-2C4D-9D66-AB2068186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Calibri" w:hAnsi="Calibri"/>
      <w:color w:val="2626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Sanket Pandya</cp:lastModifiedBy>
  <cp:revision>2</cp:revision>
  <dcterms:created xsi:type="dcterms:W3CDTF">2026-08-10T15:43:00Z</dcterms:created>
  <dcterms:modified xsi:type="dcterms:W3CDTF">2026-08-10T15:43:00Z</dcterms:modified>
  <cp:category/>
</cp:coreProperties>
</file>