
<file path=[Content_Types].xml><?xml version="1.0" encoding="utf-8"?>
<Types xmlns="http://schemas.openxmlformats.org/package/2006/content-types">
  <Override PartName="/word/footnotes.xml" ContentType="application/vnd.openxmlformats-officedocument.wordprocessingml.footnotes+xml"/>
  <Default Extension="png" ContentType="image/png"/>
  <Override PartName="/customXml/itemProps1.xml" ContentType="application/vnd.openxmlformats-officedocument.customXmlProperties+xml"/>
  <Override PartName="/word/footer8.xml" ContentType="application/vnd.openxmlformats-officedocument.wordprocessingml.footer+xml"/>
  <Override PartName="/word/footer9.xml" ContentType="application/vnd.openxmlformats-officedocument.wordprocessingml.footer+xml"/>
  <Override PartName="/word/footer6.xml" ContentType="application/vnd.openxmlformats-officedocument.wordprocessingml.footer+xml"/>
  <Override PartName="/word/footer7.xml" ContentType="application/vnd.openxmlformats-officedocument.wordprocessingml.footer+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word/footer4.xml" ContentType="application/vnd.openxmlformats-officedocument.wordprocessingml.footer+xml"/>
  <Override PartName="/word/footer5.xml" ContentType="application/vnd.openxmlformats-officedocument.wordprocessingml.footer+xml"/>
  <Override PartName="/word/footer16.xml" ContentType="application/vnd.openxmlformats-officedocument.wordprocessingml.footer+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footer13.xml" ContentType="application/vnd.openxmlformats-officedocument.wordprocessingml.footer+xml"/>
  <Override PartName="/word/footer14.xml" ContentType="application/vnd.openxmlformats-officedocument.wordprocessingml.footer+xml"/>
  <Override PartName="/word/footer15.xml" ContentType="application/vnd.openxmlformats-officedocument.wordprocessingml.footer+xml"/>
  <Override PartName="/word/footer1.xml" ContentType="application/vnd.openxmlformats-officedocument.wordprocessingml.footer+xml"/>
  <Override PartName="/word/footer11.xml" ContentType="application/vnd.openxmlformats-officedocument.wordprocessingml.footer+xml"/>
  <Override PartName="/word/footer12.xml" ContentType="application/vnd.openxmlformats-officedocument.wordprocessingml.footer+xml"/>
  <Override PartName="/word/theme/theme1.xml" ContentType="application/vnd.openxmlformats-officedocument.theme+xml"/>
  <Override PartName="/word/footer10.xml" ContentType="application/vnd.openxmlformats-officedocument.wordprocessingml.footer+xml"/>
  <Override PartName="/word/fontTable.xml" ContentType="application/vnd.openxmlformats-officedocument.wordprocessingml.fontTable+xml"/>
  <Override PartName="/docProps/core0.xml" ContentType="application/vnd.openxmlformats-package.core-properties+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metadata/core-properties" Target="docProps/core0.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1D1FD6" w:rsidRDefault="0012332F">
      <w:pPr>
        <w:jc w:val="center"/>
      </w:pPr>
      <w:r>
        <w:rPr>
          <w:noProof/>
        </w:rPr>
        <w:drawing>
          <wp:inline distT="0" distB="0" distL="0" distR="0">
            <wp:extent cx="3382645" cy="154305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pic:cNvPicPr>
                      <a:picLocks noChangeAspect="1" noChangeArrowheads="1"/>
                    </pic:cNvPicPr>
                  </pic:nvPicPr>
                  <pic:blipFill>
                    <a:blip r:embed="rId8"/>
                    <a:stretch>
                      <a:fillRect/>
                    </a:stretch>
                  </pic:blipFill>
                  <pic:spPr bwMode="auto">
                    <a:xfrm>
                      <a:off x="0" y="0"/>
                      <a:ext cx="3382645" cy="1543050"/>
                    </a:xfrm>
                    <a:prstGeom prst="rect">
                      <a:avLst/>
                    </a:prstGeom>
                    <a:noFill/>
                  </pic:spPr>
                </pic:pic>
              </a:graphicData>
            </a:graphic>
          </wp:inline>
        </w:drawing>
      </w:r>
    </w:p>
    <w:p w:rsidR="001D1FD6" w:rsidRDefault="001D1FD6">
      <w:pPr>
        <w:jc w:val="center"/>
      </w:pPr>
    </w:p>
    <w:p w:rsidR="001D1FD6" w:rsidRDefault="001D1FD6">
      <w:pPr>
        <w:jc w:val="center"/>
      </w:pPr>
    </w:p>
    <w:p w:rsidR="001D1FD6" w:rsidRDefault="0012332F">
      <w:pPr>
        <w:jc w:val="center"/>
        <w:rPr>
          <w:rFonts w:cs="Times New Roman"/>
        </w:rPr>
      </w:pPr>
      <w:r>
        <w:rPr>
          <w:rFonts w:cs="Times New Roman"/>
          <w:b/>
          <w:sz w:val="36"/>
        </w:rPr>
        <w:t>MSc Public Health and Social Care in Practice</w:t>
      </w:r>
    </w:p>
    <w:p w:rsidR="001D1FD6" w:rsidRDefault="001D1FD6">
      <w:pPr>
        <w:jc w:val="center"/>
        <w:rPr>
          <w:rFonts w:cs="Times New Roman"/>
        </w:rPr>
      </w:pPr>
    </w:p>
    <w:p w:rsidR="001D1FD6" w:rsidRDefault="001D1FD6">
      <w:pPr>
        <w:jc w:val="center"/>
        <w:rPr>
          <w:rFonts w:cs="Times New Roman"/>
        </w:rPr>
      </w:pPr>
    </w:p>
    <w:p w:rsidR="001D1FD6" w:rsidRDefault="001D1FD6">
      <w:pPr>
        <w:jc w:val="center"/>
        <w:rPr>
          <w:rFonts w:cs="Times New Roman"/>
        </w:rPr>
      </w:pPr>
    </w:p>
    <w:p w:rsidR="001D1FD6" w:rsidRDefault="001D1FD6">
      <w:pPr>
        <w:jc w:val="center"/>
        <w:rPr>
          <w:rFonts w:cs="Times New Roman"/>
        </w:rPr>
      </w:pPr>
    </w:p>
    <w:p w:rsidR="001D1FD6" w:rsidRDefault="001D1FD6">
      <w:pPr>
        <w:jc w:val="center"/>
        <w:rPr>
          <w:rFonts w:cs="Times New Roman"/>
        </w:rPr>
      </w:pPr>
    </w:p>
    <w:p w:rsidR="001D1FD6" w:rsidRDefault="001D1FD6">
      <w:pPr>
        <w:jc w:val="center"/>
        <w:rPr>
          <w:rFonts w:cs="Times New Roman"/>
        </w:rPr>
      </w:pPr>
    </w:p>
    <w:p w:rsidR="001D1FD6" w:rsidRDefault="001D1FD6">
      <w:pPr>
        <w:jc w:val="center"/>
        <w:rPr>
          <w:rFonts w:cs="Times New Roman"/>
        </w:rPr>
      </w:pPr>
    </w:p>
    <w:p w:rsidR="001D1FD6" w:rsidRDefault="001D1FD6">
      <w:pPr>
        <w:jc w:val="center"/>
        <w:rPr>
          <w:rFonts w:cs="Times New Roman"/>
        </w:rPr>
      </w:pPr>
    </w:p>
    <w:p w:rsidR="001D1FD6" w:rsidRDefault="001D1FD6">
      <w:pPr>
        <w:jc w:val="center"/>
        <w:rPr>
          <w:rFonts w:cs="Times New Roman"/>
        </w:rPr>
      </w:pPr>
    </w:p>
    <w:p w:rsidR="001D1FD6" w:rsidRDefault="001D1FD6">
      <w:pPr>
        <w:jc w:val="center"/>
        <w:rPr>
          <w:rFonts w:cs="Times New Roman"/>
        </w:rPr>
      </w:pPr>
    </w:p>
    <w:p w:rsidR="001D1FD6" w:rsidRDefault="0012332F">
      <w:pPr>
        <w:jc w:val="center"/>
        <w:rPr>
          <w:rFonts w:cs="Times New Roman"/>
        </w:rPr>
      </w:pPr>
      <w:r>
        <w:rPr>
          <w:rFonts w:cs="Times New Roman"/>
          <w:b/>
          <w:sz w:val="22"/>
        </w:rPr>
        <w:t>Dissertation submitted as part of the requirements for the award of MSc Public Health</w:t>
      </w:r>
      <w:r>
        <w:rPr>
          <w:rFonts w:cs="Times New Roman"/>
          <w:b/>
          <w:sz w:val="22"/>
        </w:rPr>
        <w:br/>
        <w:t>and Social Care in Practice</w:t>
      </w:r>
    </w:p>
    <w:p w:rsidR="001D1FD6" w:rsidRDefault="001D1FD6">
      <w:pPr>
        <w:jc w:val="center"/>
        <w:rPr>
          <w:rFonts w:cs="Times New Roman"/>
        </w:rPr>
      </w:pPr>
    </w:p>
    <w:p w:rsidR="001D1FD6" w:rsidRDefault="001D1FD6">
      <w:pPr>
        <w:jc w:val="center"/>
        <w:rPr>
          <w:rFonts w:cs="Times New Roman"/>
          <w:b/>
          <w:bCs/>
        </w:rPr>
      </w:pPr>
    </w:p>
    <w:p w:rsidR="001D1FD6" w:rsidRDefault="0012332F">
      <w:pPr>
        <w:jc w:val="center"/>
        <w:rPr>
          <w:b/>
          <w:bCs/>
        </w:rPr>
      </w:pPr>
      <w:r>
        <w:rPr>
          <w:b/>
          <w:bCs/>
        </w:rPr>
        <w:t>August 2026</w:t>
      </w:r>
    </w:p>
    <w:p w:rsidR="001D1FD6" w:rsidRDefault="001D1FD6">
      <w:pPr>
        <w:sectPr w:rsidR="001D1FD6">
          <w:footerReference w:type="even" r:id="rId9"/>
          <w:footerReference w:type="default" r:id="rId10"/>
          <w:footerReference w:type="first" r:id="rId11"/>
          <w:pgSz w:w="11906" w:h="16838"/>
          <w:pgMar w:top="1440" w:right="1440" w:bottom="1440" w:left="1440" w:header="0" w:footer="720" w:gutter="0"/>
          <w:cols w:space="720"/>
          <w:formProt w:val="0"/>
          <w:vAlign w:val="center"/>
        </w:sectPr>
      </w:pPr>
    </w:p>
    <w:p w:rsidR="001D1FD6" w:rsidRDefault="0012332F">
      <w:pPr>
        <w:spacing w:after="160"/>
        <w:jc w:val="center"/>
        <w:rPr>
          <w:rFonts w:cs="Times New Roman"/>
          <w:b/>
          <w:bCs/>
          <w:sz w:val="32"/>
          <w:szCs w:val="28"/>
        </w:rPr>
      </w:pPr>
      <w:r>
        <w:rPr>
          <w:rFonts w:cs="Times New Roman"/>
          <w:b/>
          <w:bCs/>
          <w:sz w:val="32"/>
          <w:szCs w:val="28"/>
        </w:rPr>
        <w:lastRenderedPageBreak/>
        <w:t>Engagement with Smoking Cessation Support and Quit Success Among Adults in the United Kingdom: A Systematic Literature Review</w:t>
      </w:r>
    </w:p>
    <w:p w:rsidR="001D1FD6" w:rsidRDefault="001D1FD6">
      <w:pPr>
        <w:spacing w:after="160"/>
        <w:jc w:val="center"/>
        <w:rPr>
          <w:rFonts w:cs="Times New Roman"/>
          <w:b/>
          <w:bCs/>
          <w:sz w:val="32"/>
          <w:szCs w:val="28"/>
        </w:rPr>
      </w:pPr>
    </w:p>
    <w:p w:rsidR="001D1FD6" w:rsidRDefault="001D1FD6">
      <w:pPr>
        <w:spacing w:after="160"/>
        <w:jc w:val="center"/>
        <w:rPr>
          <w:rFonts w:cs="Times New Roman"/>
          <w:b/>
          <w:bCs/>
        </w:rPr>
      </w:pPr>
    </w:p>
    <w:p w:rsidR="001D1FD6" w:rsidRDefault="0012332F" w:rsidP="00D01C3E">
      <w:pPr>
        <w:jc w:val="center"/>
        <w:rPr>
          <w:b/>
          <w:bCs/>
          <w:lang w:val="de-CH"/>
        </w:rPr>
      </w:pPr>
      <w:r>
        <w:rPr>
          <w:b/>
          <w:bCs/>
          <w:lang w:val="de-CH"/>
        </w:rPr>
        <w:t>Student name: Md Aktarujjaman</w:t>
      </w:r>
    </w:p>
    <w:p w:rsidR="001D1FD6" w:rsidRDefault="0012332F" w:rsidP="00D01C3E">
      <w:pPr>
        <w:jc w:val="center"/>
        <w:rPr>
          <w:b/>
          <w:bCs/>
          <w:lang w:val="de-CH"/>
        </w:rPr>
      </w:pPr>
      <w:r>
        <w:rPr>
          <w:b/>
          <w:bCs/>
          <w:lang w:val="de-CH"/>
        </w:rPr>
        <w:t>ID: 2512989</w:t>
      </w:r>
    </w:p>
    <w:p w:rsidR="001D1FD6" w:rsidRDefault="0012332F" w:rsidP="00D01C3E">
      <w:pPr>
        <w:jc w:val="center"/>
        <w:rPr>
          <w:b/>
          <w:bCs/>
        </w:rPr>
        <w:sectPr w:rsidR="001D1FD6">
          <w:footerReference w:type="even" r:id="rId12"/>
          <w:footerReference w:type="default" r:id="rId13"/>
          <w:footerReference w:type="first" r:id="rId14"/>
          <w:pgSz w:w="11906" w:h="16838"/>
          <w:pgMar w:top="1440" w:right="1440" w:bottom="1440" w:left="1440" w:header="0" w:footer="720" w:gutter="0"/>
          <w:pgNumType w:fmt="lowerRoman" w:start="1"/>
          <w:cols w:space="720"/>
          <w:formProt w:val="0"/>
          <w:vAlign w:val="center"/>
          <w:docGrid w:linePitch="360"/>
        </w:sectPr>
      </w:pPr>
      <w:r>
        <w:rPr>
          <w:b/>
          <w:bCs/>
        </w:rPr>
        <w:t>Supervisor Name: Dr Rizwan Nadim</w:t>
      </w:r>
    </w:p>
    <w:p w:rsidR="001D1FD6" w:rsidRDefault="0012332F">
      <w:pPr>
        <w:pStyle w:val="Heading1"/>
        <w:numPr>
          <w:ilvl w:val="0"/>
          <w:numId w:val="0"/>
        </w:numPr>
      </w:pPr>
      <w:bookmarkStart w:id="0" w:name="_Toc238559626"/>
      <w:bookmarkStart w:id="1" w:name="_Toc238725360"/>
      <w:bookmarkStart w:id="2" w:name="_Toc238725478"/>
      <w:r>
        <w:lastRenderedPageBreak/>
        <w:t>DECLARATION</w:t>
      </w:r>
      <w:bookmarkEnd w:id="0"/>
      <w:bookmarkEnd w:id="1"/>
      <w:bookmarkEnd w:id="2"/>
    </w:p>
    <w:p w:rsidR="001D1FD6" w:rsidRDefault="001873A7">
      <w:r w:rsidRPr="001873A7">
        <w:t>I certify that this dissertation is my own original work except where otherwise indicated. Appropriate citations and referencing have been used for all published and unpublished sources used in the dissertation. All sources of assistance in the preparation of the work have been acknowledged as required by university regulations. The dissertation has not been submitted for any other award, in whole or in part, other than as part of this submission, unless formally authorised to do so</w:t>
      </w:r>
      <w:r>
        <w:t>.</w:t>
      </w:r>
    </w:p>
    <w:p w:rsidR="001D1FD6" w:rsidRDefault="006863E4">
      <w:pPr>
        <w:jc w:val="left"/>
      </w:pPr>
      <w:r>
        <w:t xml:space="preserve">Signature:  </w:t>
      </w:r>
      <w:r w:rsidRPr="006863E4">
        <w:rPr>
          <w:u w:val="single"/>
        </w:rPr>
        <w:t>Md Aktarujjaman</w:t>
      </w:r>
    </w:p>
    <w:p w:rsidR="001D1FD6" w:rsidRPr="006863E4" w:rsidRDefault="0012332F">
      <w:pPr>
        <w:jc w:val="left"/>
        <w:rPr>
          <w:u w:val="single"/>
        </w:rPr>
      </w:pPr>
      <w:r>
        <w:t>Date</w:t>
      </w:r>
      <w:r w:rsidR="006863E4">
        <w:t xml:space="preserve">:  </w:t>
      </w:r>
      <w:r w:rsidR="006863E4" w:rsidRPr="006863E4">
        <w:rPr>
          <w:u w:val="single"/>
        </w:rPr>
        <w:t>27/08/2026</w:t>
      </w:r>
    </w:p>
    <w:p w:rsidR="001D1FD6" w:rsidRDefault="0012332F">
      <w:r>
        <w:br w:type="page"/>
      </w:r>
    </w:p>
    <w:p w:rsidR="001D1FD6" w:rsidRDefault="0012332F">
      <w:pPr>
        <w:pStyle w:val="Heading1"/>
        <w:numPr>
          <w:ilvl w:val="0"/>
          <w:numId w:val="0"/>
        </w:numPr>
        <w:spacing w:before="0"/>
      </w:pPr>
      <w:bookmarkStart w:id="3" w:name="_Toc238559627"/>
      <w:bookmarkStart w:id="4" w:name="_Toc238725361"/>
      <w:bookmarkStart w:id="5" w:name="_Toc238725479"/>
      <w:r>
        <w:lastRenderedPageBreak/>
        <w:t>ACKNOWLEDGEMENTS</w:t>
      </w:r>
      <w:bookmarkEnd w:id="3"/>
      <w:bookmarkEnd w:id="4"/>
      <w:bookmarkEnd w:id="5"/>
    </w:p>
    <w:p w:rsidR="001D1FD6" w:rsidRDefault="0012332F">
      <w:r>
        <w:t>I would like to express my sincere gratitude to my supervisor, Dr Rizwan Nadim, for his guidance, constructive feedback and encouragement throughout this dissertation. I am also grateful to the academic staff of the MSc Public Health and Social Care in Practice programme at the University of Wales Trinity Saint David for the knowledge and support provided during my studies. I would like to thank my family and friends for their patience, encouragement and understanding throughout the research process. Finally, I acknowledge the authors, researchers and organisations whose published work provided the evidence base for this systematic literature review.</w:t>
      </w:r>
    </w:p>
    <w:p w:rsidR="001D1FD6" w:rsidRDefault="0012332F">
      <w:r>
        <w:br w:type="page"/>
      </w:r>
    </w:p>
    <w:p w:rsidR="001D1FD6" w:rsidRDefault="0012332F">
      <w:pPr>
        <w:pStyle w:val="Heading1"/>
        <w:numPr>
          <w:ilvl w:val="0"/>
          <w:numId w:val="0"/>
        </w:numPr>
        <w:spacing w:before="0"/>
      </w:pPr>
      <w:bookmarkStart w:id="6" w:name="_Toc238559628"/>
      <w:bookmarkStart w:id="7" w:name="_Toc238725362"/>
      <w:bookmarkStart w:id="8" w:name="_Toc238725480"/>
      <w:r>
        <w:lastRenderedPageBreak/>
        <w:t>ABSTRACT</w:t>
      </w:r>
      <w:bookmarkEnd w:id="6"/>
      <w:bookmarkEnd w:id="7"/>
      <w:bookmarkEnd w:id="8"/>
    </w:p>
    <w:p w:rsidR="001D1FD6" w:rsidRDefault="0012332F" w:rsidP="00467909">
      <w:r>
        <w:rPr>
          <w:b/>
        </w:rPr>
        <w:t xml:space="preserve">Background: </w:t>
      </w:r>
      <w:r>
        <w:t>Smoking remains an important and socially unequal public health problem in the United Kingdom. Although evidence-based behavioural and pharmacological treatments can support cessation, their population benefit depends partly on whether smokers successfully connect with services and remain engaged. This review examined what published evidence shows about the relationship between engagement with smoking cessation support and quit success among UK adults.</w:t>
      </w:r>
    </w:p>
    <w:p w:rsidR="001D1FD6" w:rsidRDefault="0012332F" w:rsidP="00467909">
      <w:r>
        <w:rPr>
          <w:b/>
        </w:rPr>
        <w:t xml:space="preserve">Methodology: </w:t>
      </w:r>
      <w:r>
        <w:t>A systematic literature review was conducted using a PECO-informed search strategy. Ten primary studies were included: seven quantitative, two qualitative and one mixed-methods study. Methodological quality was assessed using the Critical Appraisal Skills Programme qualitative checklist, the Coughlan, Cronin and Ryan quantitative appraisal framework and the Mixed Methods Appraisal Tool, as appropriate. Owing to heterogeneity in study designs, engagement measures and cessation outcomes, findings were integrated using narrative and thematic synthesis rather than statistical pooling.</w:t>
      </w:r>
    </w:p>
    <w:p w:rsidR="001D1FD6" w:rsidRDefault="0012332F" w:rsidP="00467909">
      <w:r>
        <w:rPr>
          <w:b/>
        </w:rPr>
        <w:t xml:space="preserve">Results: </w:t>
      </w:r>
      <w:r>
        <w:t>Five themes were identified: initial connection to support; accessibility, flexibility and continuity; relational and treatment support; social and personal context; and engagement and quit success. Awareness and referral alone did not constitute meaningful engagement. Practical accessibility, continuity of contact, trusted adviser relationships and access to behavioural and pharmacological treatment influenced whether support was used and sustained. Stronger and more sustained engagement was generally associated with improved quit outcomes, particularly where behavioural support and pharmacotherapy were combined. However, the relationship was conditional, as motivation, nicotine dependence, socioeconomic circumstances and social support could influence both engagement and cessation. Short-term abstinence also did not consistently translate into sustained long-term quitting.</w:t>
      </w:r>
    </w:p>
    <w:p w:rsidR="001D1FD6" w:rsidRDefault="0012332F" w:rsidP="00467909">
      <w:r>
        <w:rPr>
          <w:b/>
        </w:rPr>
        <w:t xml:space="preserve">Conclusion: </w:t>
      </w:r>
      <w:r>
        <w:t>Engagement with smoking cessation support is an important pathway to quit success, but it should not be interpreted as an independent causal determinant. UK cessation services should distinguish referral and reach from active participation, strengthen continuity and flexible access, and facilitate re-engagement, particularly for populations experiencing greater social and economic disadvantage.</w:t>
      </w:r>
    </w:p>
    <w:p w:rsidR="001D1FD6" w:rsidRDefault="0012332F" w:rsidP="00467909">
      <w:pPr>
        <w:rPr>
          <w:bCs/>
          <w:sz w:val="28"/>
          <w:szCs w:val="24"/>
        </w:rPr>
      </w:pPr>
      <w:r>
        <w:rPr>
          <w:b/>
          <w:szCs w:val="24"/>
        </w:rPr>
        <w:t xml:space="preserve">Keywords: </w:t>
      </w:r>
      <w:r>
        <w:rPr>
          <w:bCs/>
          <w:szCs w:val="24"/>
        </w:rPr>
        <w:t>Smoking cessation; smoking cessation support; service engagement; quit success; Stop Smoking Services; United Kingdom; systematic literature review; COM-B model.</w:t>
      </w:r>
    </w:p>
    <w:p w:rsidR="001D1FD6" w:rsidRDefault="001D1FD6"/>
    <w:p w:rsidR="001D1FD6" w:rsidRDefault="001D1FD6">
      <w:pPr>
        <w:spacing w:after="160" w:line="278" w:lineRule="auto"/>
        <w:jc w:val="left"/>
        <w:rPr>
          <w:rFonts w:eastAsiaTheme="majorEastAsia" w:cstheme="majorBidi"/>
          <w:b/>
          <w:color w:val="000000" w:themeColor="text1"/>
          <w:sz w:val="32"/>
          <w:szCs w:val="40"/>
        </w:rPr>
      </w:pPr>
    </w:p>
    <w:sdt>
      <w:sdtPr>
        <w:rPr>
          <w:rFonts w:ascii="Times New Roman" w:eastAsia="Times New Roman" w:hAnsi="Times New Roman" w:cstheme="minorBidi"/>
          <w:color w:val="auto"/>
          <w:sz w:val="24"/>
          <w:szCs w:val="22"/>
        </w:rPr>
        <w:id w:val="1840502258"/>
        <w:docPartObj>
          <w:docPartGallery w:val="Table of Contents"/>
          <w:docPartUnique/>
        </w:docPartObj>
      </w:sdtPr>
      <w:sdtEndPr>
        <w:rPr>
          <w:b/>
          <w:bCs/>
          <w:noProof/>
        </w:rPr>
      </w:sdtEndPr>
      <w:sdtContent>
        <w:p w:rsidR="00F93449" w:rsidRPr="00F93449" w:rsidRDefault="00F93449">
          <w:pPr>
            <w:pStyle w:val="TOCHeading"/>
            <w:rPr>
              <w:rFonts w:ascii="Times New Roman" w:hAnsi="Times New Roman" w:cs="Times New Roman"/>
              <w:b/>
              <w:bCs/>
              <w:color w:val="auto"/>
            </w:rPr>
          </w:pPr>
          <w:r w:rsidRPr="00F93449">
            <w:rPr>
              <w:rFonts w:ascii="Times New Roman" w:hAnsi="Times New Roman" w:cs="Times New Roman"/>
              <w:b/>
              <w:bCs/>
              <w:color w:val="auto"/>
            </w:rPr>
            <w:t>Table of Contents</w:t>
          </w:r>
        </w:p>
        <w:p w:rsidR="00F93449" w:rsidRDefault="00AD1081">
          <w:pPr>
            <w:pStyle w:val="TOC1"/>
            <w:tabs>
              <w:tab w:val="right" w:leader="dot" w:pos="9016"/>
            </w:tabs>
            <w:rPr>
              <w:rFonts w:asciiTheme="minorHAnsi" w:eastAsiaTheme="minorEastAsia" w:hAnsiTheme="minorHAnsi"/>
              <w:noProof/>
              <w:kern w:val="2"/>
              <w:szCs w:val="24"/>
            </w:rPr>
          </w:pPr>
          <w:r w:rsidRPr="00AD1081">
            <w:fldChar w:fldCharType="begin"/>
          </w:r>
          <w:r w:rsidR="00F93449">
            <w:instrText xml:space="preserve"> TOC \o "1-3" \h \z \u </w:instrText>
          </w:r>
          <w:r w:rsidRPr="00AD1081">
            <w:fldChar w:fldCharType="separate"/>
          </w:r>
          <w:hyperlink w:anchor="_Toc238725478" w:history="1">
            <w:r w:rsidR="00F93449" w:rsidRPr="003104C9">
              <w:rPr>
                <w:rStyle w:val="Hyperlink"/>
                <w:noProof/>
              </w:rPr>
              <w:t>DECLARATION</w:t>
            </w:r>
            <w:r w:rsidR="00F93449">
              <w:rPr>
                <w:noProof/>
                <w:webHidden/>
              </w:rPr>
              <w:tab/>
            </w:r>
            <w:r>
              <w:rPr>
                <w:noProof/>
                <w:webHidden/>
              </w:rPr>
              <w:fldChar w:fldCharType="begin"/>
            </w:r>
            <w:r w:rsidR="00F93449">
              <w:rPr>
                <w:noProof/>
                <w:webHidden/>
              </w:rPr>
              <w:instrText xml:space="preserve"> PAGEREF _Toc238725478 \h </w:instrText>
            </w:r>
            <w:r>
              <w:rPr>
                <w:noProof/>
                <w:webHidden/>
              </w:rPr>
            </w:r>
            <w:r>
              <w:rPr>
                <w:noProof/>
                <w:webHidden/>
              </w:rPr>
              <w:fldChar w:fldCharType="separate"/>
            </w:r>
            <w:r w:rsidR="00F93449">
              <w:rPr>
                <w:noProof/>
                <w:webHidden/>
              </w:rPr>
              <w:t>i</w:t>
            </w:r>
            <w:r>
              <w:rPr>
                <w:noProof/>
                <w:webHidden/>
              </w:rPr>
              <w:fldChar w:fldCharType="end"/>
            </w:r>
          </w:hyperlink>
        </w:p>
        <w:p w:rsidR="00F93449" w:rsidRDefault="00AD1081">
          <w:pPr>
            <w:pStyle w:val="TOC1"/>
            <w:tabs>
              <w:tab w:val="right" w:leader="dot" w:pos="9016"/>
            </w:tabs>
            <w:rPr>
              <w:rFonts w:asciiTheme="minorHAnsi" w:eastAsiaTheme="minorEastAsia" w:hAnsiTheme="minorHAnsi"/>
              <w:noProof/>
              <w:kern w:val="2"/>
              <w:szCs w:val="24"/>
            </w:rPr>
          </w:pPr>
          <w:hyperlink w:anchor="_Toc238725479" w:history="1">
            <w:r w:rsidR="00F93449" w:rsidRPr="003104C9">
              <w:rPr>
                <w:rStyle w:val="Hyperlink"/>
                <w:noProof/>
              </w:rPr>
              <w:t>ACKNOWLEDGEMENTS</w:t>
            </w:r>
            <w:r w:rsidR="00F93449">
              <w:rPr>
                <w:noProof/>
                <w:webHidden/>
              </w:rPr>
              <w:tab/>
            </w:r>
            <w:r>
              <w:rPr>
                <w:noProof/>
                <w:webHidden/>
              </w:rPr>
              <w:fldChar w:fldCharType="begin"/>
            </w:r>
            <w:r w:rsidR="00F93449">
              <w:rPr>
                <w:noProof/>
                <w:webHidden/>
              </w:rPr>
              <w:instrText xml:space="preserve"> PAGEREF _Toc238725479 \h </w:instrText>
            </w:r>
            <w:r>
              <w:rPr>
                <w:noProof/>
                <w:webHidden/>
              </w:rPr>
            </w:r>
            <w:r>
              <w:rPr>
                <w:noProof/>
                <w:webHidden/>
              </w:rPr>
              <w:fldChar w:fldCharType="separate"/>
            </w:r>
            <w:r w:rsidR="00F93449">
              <w:rPr>
                <w:noProof/>
                <w:webHidden/>
              </w:rPr>
              <w:t>ii</w:t>
            </w:r>
            <w:r>
              <w:rPr>
                <w:noProof/>
                <w:webHidden/>
              </w:rPr>
              <w:fldChar w:fldCharType="end"/>
            </w:r>
          </w:hyperlink>
        </w:p>
        <w:p w:rsidR="00F93449" w:rsidRDefault="00AD1081">
          <w:pPr>
            <w:pStyle w:val="TOC1"/>
            <w:tabs>
              <w:tab w:val="right" w:leader="dot" w:pos="9016"/>
            </w:tabs>
            <w:rPr>
              <w:rFonts w:asciiTheme="minorHAnsi" w:eastAsiaTheme="minorEastAsia" w:hAnsiTheme="minorHAnsi"/>
              <w:noProof/>
              <w:kern w:val="2"/>
              <w:szCs w:val="24"/>
            </w:rPr>
          </w:pPr>
          <w:hyperlink w:anchor="_Toc238725480" w:history="1">
            <w:r w:rsidR="00F93449" w:rsidRPr="003104C9">
              <w:rPr>
                <w:rStyle w:val="Hyperlink"/>
                <w:noProof/>
              </w:rPr>
              <w:t>ABSTRACT</w:t>
            </w:r>
            <w:r w:rsidR="00F93449">
              <w:rPr>
                <w:noProof/>
                <w:webHidden/>
              </w:rPr>
              <w:tab/>
            </w:r>
            <w:r>
              <w:rPr>
                <w:noProof/>
                <w:webHidden/>
              </w:rPr>
              <w:fldChar w:fldCharType="begin"/>
            </w:r>
            <w:r w:rsidR="00F93449">
              <w:rPr>
                <w:noProof/>
                <w:webHidden/>
              </w:rPr>
              <w:instrText xml:space="preserve"> PAGEREF _Toc238725480 \h </w:instrText>
            </w:r>
            <w:r>
              <w:rPr>
                <w:noProof/>
                <w:webHidden/>
              </w:rPr>
            </w:r>
            <w:r>
              <w:rPr>
                <w:noProof/>
                <w:webHidden/>
              </w:rPr>
              <w:fldChar w:fldCharType="separate"/>
            </w:r>
            <w:r w:rsidR="00F93449">
              <w:rPr>
                <w:noProof/>
                <w:webHidden/>
              </w:rPr>
              <w:t>iii</w:t>
            </w:r>
            <w:r>
              <w:rPr>
                <w:noProof/>
                <w:webHidden/>
              </w:rPr>
              <w:fldChar w:fldCharType="end"/>
            </w:r>
          </w:hyperlink>
        </w:p>
        <w:p w:rsidR="00F93449" w:rsidRDefault="00AD1081">
          <w:pPr>
            <w:pStyle w:val="TOC1"/>
            <w:tabs>
              <w:tab w:val="right" w:leader="dot" w:pos="9016"/>
            </w:tabs>
            <w:rPr>
              <w:rFonts w:asciiTheme="minorHAnsi" w:eastAsiaTheme="minorEastAsia" w:hAnsiTheme="minorHAnsi"/>
              <w:noProof/>
              <w:kern w:val="2"/>
              <w:szCs w:val="24"/>
            </w:rPr>
          </w:pPr>
          <w:hyperlink w:anchor="_Toc238725481" w:history="1">
            <w:r w:rsidR="00F93449" w:rsidRPr="003104C9">
              <w:rPr>
                <w:rStyle w:val="Hyperlink"/>
                <w:noProof/>
              </w:rPr>
              <w:t>LIST OF ABBREVIATIONS</w:t>
            </w:r>
            <w:r w:rsidR="00F93449">
              <w:rPr>
                <w:noProof/>
                <w:webHidden/>
              </w:rPr>
              <w:tab/>
            </w:r>
            <w:r>
              <w:rPr>
                <w:noProof/>
                <w:webHidden/>
              </w:rPr>
              <w:fldChar w:fldCharType="begin"/>
            </w:r>
            <w:r w:rsidR="00F93449">
              <w:rPr>
                <w:noProof/>
                <w:webHidden/>
              </w:rPr>
              <w:instrText xml:space="preserve"> PAGEREF _Toc238725481 \h </w:instrText>
            </w:r>
            <w:r>
              <w:rPr>
                <w:noProof/>
                <w:webHidden/>
              </w:rPr>
            </w:r>
            <w:r>
              <w:rPr>
                <w:noProof/>
                <w:webHidden/>
              </w:rPr>
              <w:fldChar w:fldCharType="separate"/>
            </w:r>
            <w:r w:rsidR="00F93449">
              <w:rPr>
                <w:noProof/>
                <w:webHidden/>
              </w:rPr>
              <w:t>xi</w:t>
            </w:r>
            <w:r>
              <w:rPr>
                <w:noProof/>
                <w:webHidden/>
              </w:rPr>
              <w:fldChar w:fldCharType="end"/>
            </w:r>
          </w:hyperlink>
        </w:p>
        <w:p w:rsidR="00F93449" w:rsidRDefault="00AD1081">
          <w:pPr>
            <w:pStyle w:val="TOC1"/>
            <w:tabs>
              <w:tab w:val="right" w:leader="dot" w:pos="9016"/>
            </w:tabs>
            <w:rPr>
              <w:rFonts w:asciiTheme="minorHAnsi" w:eastAsiaTheme="minorEastAsia" w:hAnsiTheme="minorHAnsi"/>
              <w:noProof/>
              <w:kern w:val="2"/>
              <w:szCs w:val="24"/>
            </w:rPr>
          </w:pPr>
          <w:hyperlink w:anchor="_Toc238725482" w:history="1">
            <w:r w:rsidR="00F93449" w:rsidRPr="003104C9">
              <w:rPr>
                <w:rStyle w:val="Hyperlink"/>
                <w:noProof/>
              </w:rPr>
              <w:t>Chapter 1. Introduction</w:t>
            </w:r>
            <w:r w:rsidR="00F93449">
              <w:rPr>
                <w:noProof/>
                <w:webHidden/>
              </w:rPr>
              <w:tab/>
            </w:r>
            <w:r>
              <w:rPr>
                <w:noProof/>
                <w:webHidden/>
              </w:rPr>
              <w:fldChar w:fldCharType="begin"/>
            </w:r>
            <w:r w:rsidR="00F93449">
              <w:rPr>
                <w:noProof/>
                <w:webHidden/>
              </w:rPr>
              <w:instrText xml:space="preserve"> PAGEREF _Toc238725482 \h </w:instrText>
            </w:r>
            <w:r>
              <w:rPr>
                <w:noProof/>
                <w:webHidden/>
              </w:rPr>
            </w:r>
            <w:r>
              <w:rPr>
                <w:noProof/>
                <w:webHidden/>
              </w:rPr>
              <w:fldChar w:fldCharType="separate"/>
            </w:r>
            <w:r w:rsidR="00F93449">
              <w:rPr>
                <w:noProof/>
                <w:webHidden/>
              </w:rPr>
              <w:t>1</w:t>
            </w:r>
            <w:r>
              <w:rPr>
                <w:noProof/>
                <w:webHidden/>
              </w:rPr>
              <w:fldChar w:fldCharType="end"/>
            </w:r>
          </w:hyperlink>
        </w:p>
        <w:p w:rsidR="00F93449" w:rsidRDefault="00AD1081">
          <w:pPr>
            <w:pStyle w:val="TOC2"/>
            <w:tabs>
              <w:tab w:val="right" w:leader="dot" w:pos="9016"/>
            </w:tabs>
            <w:rPr>
              <w:rFonts w:asciiTheme="minorHAnsi" w:eastAsiaTheme="minorEastAsia" w:hAnsiTheme="minorHAnsi"/>
              <w:noProof/>
              <w:kern w:val="2"/>
              <w:szCs w:val="24"/>
            </w:rPr>
          </w:pPr>
          <w:hyperlink w:anchor="_Toc238725483" w:history="1">
            <w:r w:rsidR="00F93449" w:rsidRPr="003104C9">
              <w:rPr>
                <w:rStyle w:val="Hyperlink"/>
                <w:noProof/>
              </w:rPr>
              <w:t>1.1. Introduction</w:t>
            </w:r>
            <w:r w:rsidR="00F93449">
              <w:rPr>
                <w:noProof/>
                <w:webHidden/>
              </w:rPr>
              <w:tab/>
            </w:r>
            <w:r>
              <w:rPr>
                <w:noProof/>
                <w:webHidden/>
              </w:rPr>
              <w:fldChar w:fldCharType="begin"/>
            </w:r>
            <w:r w:rsidR="00F93449">
              <w:rPr>
                <w:noProof/>
                <w:webHidden/>
              </w:rPr>
              <w:instrText xml:space="preserve"> PAGEREF _Toc238725483 \h </w:instrText>
            </w:r>
            <w:r>
              <w:rPr>
                <w:noProof/>
                <w:webHidden/>
              </w:rPr>
            </w:r>
            <w:r>
              <w:rPr>
                <w:noProof/>
                <w:webHidden/>
              </w:rPr>
              <w:fldChar w:fldCharType="separate"/>
            </w:r>
            <w:r w:rsidR="00F93449">
              <w:rPr>
                <w:noProof/>
                <w:webHidden/>
              </w:rPr>
              <w:t>1</w:t>
            </w:r>
            <w:r>
              <w:rPr>
                <w:noProof/>
                <w:webHidden/>
              </w:rPr>
              <w:fldChar w:fldCharType="end"/>
            </w:r>
          </w:hyperlink>
        </w:p>
        <w:p w:rsidR="00F93449" w:rsidRDefault="00AD1081">
          <w:pPr>
            <w:pStyle w:val="TOC2"/>
            <w:tabs>
              <w:tab w:val="right" w:leader="dot" w:pos="9016"/>
            </w:tabs>
            <w:rPr>
              <w:rFonts w:asciiTheme="minorHAnsi" w:eastAsiaTheme="minorEastAsia" w:hAnsiTheme="minorHAnsi"/>
              <w:noProof/>
              <w:kern w:val="2"/>
              <w:szCs w:val="24"/>
            </w:rPr>
          </w:pPr>
          <w:hyperlink w:anchor="_Toc238725484" w:history="1">
            <w:r w:rsidR="00F93449" w:rsidRPr="003104C9">
              <w:rPr>
                <w:rStyle w:val="Hyperlink"/>
                <w:noProof/>
              </w:rPr>
              <w:t>1.2. Background to the Study</w:t>
            </w:r>
            <w:r w:rsidR="00F93449">
              <w:rPr>
                <w:noProof/>
                <w:webHidden/>
              </w:rPr>
              <w:tab/>
            </w:r>
            <w:r>
              <w:rPr>
                <w:noProof/>
                <w:webHidden/>
              </w:rPr>
              <w:fldChar w:fldCharType="begin"/>
            </w:r>
            <w:r w:rsidR="00F93449">
              <w:rPr>
                <w:noProof/>
                <w:webHidden/>
              </w:rPr>
              <w:instrText xml:space="preserve"> PAGEREF _Toc238725484 \h </w:instrText>
            </w:r>
            <w:r>
              <w:rPr>
                <w:noProof/>
                <w:webHidden/>
              </w:rPr>
            </w:r>
            <w:r>
              <w:rPr>
                <w:noProof/>
                <w:webHidden/>
              </w:rPr>
              <w:fldChar w:fldCharType="separate"/>
            </w:r>
            <w:r w:rsidR="00F93449">
              <w:rPr>
                <w:noProof/>
                <w:webHidden/>
              </w:rPr>
              <w:t>1</w:t>
            </w:r>
            <w:r>
              <w:rPr>
                <w:noProof/>
                <w:webHidden/>
              </w:rPr>
              <w:fldChar w:fldCharType="end"/>
            </w:r>
          </w:hyperlink>
        </w:p>
        <w:p w:rsidR="00F93449" w:rsidRDefault="00AD1081">
          <w:pPr>
            <w:pStyle w:val="TOC2"/>
            <w:tabs>
              <w:tab w:val="right" w:leader="dot" w:pos="9016"/>
            </w:tabs>
            <w:rPr>
              <w:rFonts w:asciiTheme="minorHAnsi" w:eastAsiaTheme="minorEastAsia" w:hAnsiTheme="minorHAnsi"/>
              <w:noProof/>
              <w:kern w:val="2"/>
              <w:szCs w:val="24"/>
            </w:rPr>
          </w:pPr>
          <w:hyperlink w:anchor="_Toc238725485" w:history="1">
            <w:r w:rsidR="00F93449" w:rsidRPr="003104C9">
              <w:rPr>
                <w:rStyle w:val="Hyperlink"/>
                <w:noProof/>
              </w:rPr>
              <w:t>1.3. Problem Statement</w:t>
            </w:r>
            <w:r w:rsidR="00F93449">
              <w:rPr>
                <w:noProof/>
                <w:webHidden/>
              </w:rPr>
              <w:tab/>
            </w:r>
            <w:r>
              <w:rPr>
                <w:noProof/>
                <w:webHidden/>
              </w:rPr>
              <w:fldChar w:fldCharType="begin"/>
            </w:r>
            <w:r w:rsidR="00F93449">
              <w:rPr>
                <w:noProof/>
                <w:webHidden/>
              </w:rPr>
              <w:instrText xml:space="preserve"> PAGEREF _Toc238725485 \h </w:instrText>
            </w:r>
            <w:r>
              <w:rPr>
                <w:noProof/>
                <w:webHidden/>
              </w:rPr>
            </w:r>
            <w:r>
              <w:rPr>
                <w:noProof/>
                <w:webHidden/>
              </w:rPr>
              <w:fldChar w:fldCharType="separate"/>
            </w:r>
            <w:r w:rsidR="00F93449">
              <w:rPr>
                <w:noProof/>
                <w:webHidden/>
              </w:rPr>
              <w:t>2</w:t>
            </w:r>
            <w:r>
              <w:rPr>
                <w:noProof/>
                <w:webHidden/>
              </w:rPr>
              <w:fldChar w:fldCharType="end"/>
            </w:r>
          </w:hyperlink>
        </w:p>
        <w:p w:rsidR="00F93449" w:rsidRDefault="00AD1081">
          <w:pPr>
            <w:pStyle w:val="TOC2"/>
            <w:tabs>
              <w:tab w:val="right" w:leader="dot" w:pos="9016"/>
            </w:tabs>
            <w:rPr>
              <w:rFonts w:asciiTheme="minorHAnsi" w:eastAsiaTheme="minorEastAsia" w:hAnsiTheme="minorHAnsi"/>
              <w:noProof/>
              <w:kern w:val="2"/>
              <w:szCs w:val="24"/>
            </w:rPr>
          </w:pPr>
          <w:hyperlink w:anchor="_Toc238725486" w:history="1">
            <w:r w:rsidR="00F93449" w:rsidRPr="003104C9">
              <w:rPr>
                <w:rStyle w:val="Hyperlink"/>
                <w:noProof/>
              </w:rPr>
              <w:t>1.4. Research Gap</w:t>
            </w:r>
            <w:r w:rsidR="00F93449">
              <w:rPr>
                <w:noProof/>
                <w:webHidden/>
              </w:rPr>
              <w:tab/>
            </w:r>
            <w:r>
              <w:rPr>
                <w:noProof/>
                <w:webHidden/>
              </w:rPr>
              <w:fldChar w:fldCharType="begin"/>
            </w:r>
            <w:r w:rsidR="00F93449">
              <w:rPr>
                <w:noProof/>
                <w:webHidden/>
              </w:rPr>
              <w:instrText xml:space="preserve"> PAGEREF _Toc238725486 \h </w:instrText>
            </w:r>
            <w:r>
              <w:rPr>
                <w:noProof/>
                <w:webHidden/>
              </w:rPr>
            </w:r>
            <w:r>
              <w:rPr>
                <w:noProof/>
                <w:webHidden/>
              </w:rPr>
              <w:fldChar w:fldCharType="separate"/>
            </w:r>
            <w:r w:rsidR="00F93449">
              <w:rPr>
                <w:noProof/>
                <w:webHidden/>
              </w:rPr>
              <w:t>3</w:t>
            </w:r>
            <w:r>
              <w:rPr>
                <w:noProof/>
                <w:webHidden/>
              </w:rPr>
              <w:fldChar w:fldCharType="end"/>
            </w:r>
          </w:hyperlink>
        </w:p>
        <w:p w:rsidR="00F93449" w:rsidRDefault="00AD1081">
          <w:pPr>
            <w:pStyle w:val="TOC2"/>
            <w:tabs>
              <w:tab w:val="right" w:leader="dot" w:pos="9016"/>
            </w:tabs>
            <w:rPr>
              <w:rFonts w:asciiTheme="minorHAnsi" w:eastAsiaTheme="minorEastAsia" w:hAnsiTheme="minorHAnsi"/>
              <w:noProof/>
              <w:kern w:val="2"/>
              <w:szCs w:val="24"/>
            </w:rPr>
          </w:pPr>
          <w:hyperlink w:anchor="_Toc238725487" w:history="1">
            <w:r w:rsidR="00F93449" w:rsidRPr="003104C9">
              <w:rPr>
                <w:rStyle w:val="Hyperlink"/>
                <w:noProof/>
              </w:rPr>
              <w:t>1.5. Research Question</w:t>
            </w:r>
            <w:r w:rsidR="00F93449">
              <w:rPr>
                <w:noProof/>
                <w:webHidden/>
              </w:rPr>
              <w:tab/>
            </w:r>
            <w:r>
              <w:rPr>
                <w:noProof/>
                <w:webHidden/>
              </w:rPr>
              <w:fldChar w:fldCharType="begin"/>
            </w:r>
            <w:r w:rsidR="00F93449">
              <w:rPr>
                <w:noProof/>
                <w:webHidden/>
              </w:rPr>
              <w:instrText xml:space="preserve"> PAGEREF _Toc238725487 \h </w:instrText>
            </w:r>
            <w:r>
              <w:rPr>
                <w:noProof/>
                <w:webHidden/>
              </w:rPr>
            </w:r>
            <w:r>
              <w:rPr>
                <w:noProof/>
                <w:webHidden/>
              </w:rPr>
              <w:fldChar w:fldCharType="separate"/>
            </w:r>
            <w:r w:rsidR="00F93449">
              <w:rPr>
                <w:noProof/>
                <w:webHidden/>
              </w:rPr>
              <w:t>3</w:t>
            </w:r>
            <w:r>
              <w:rPr>
                <w:noProof/>
                <w:webHidden/>
              </w:rPr>
              <w:fldChar w:fldCharType="end"/>
            </w:r>
          </w:hyperlink>
        </w:p>
        <w:p w:rsidR="00F93449" w:rsidRDefault="00AD1081">
          <w:pPr>
            <w:pStyle w:val="TOC2"/>
            <w:tabs>
              <w:tab w:val="right" w:leader="dot" w:pos="9016"/>
            </w:tabs>
            <w:rPr>
              <w:rFonts w:asciiTheme="minorHAnsi" w:eastAsiaTheme="minorEastAsia" w:hAnsiTheme="minorHAnsi"/>
              <w:noProof/>
              <w:kern w:val="2"/>
              <w:szCs w:val="24"/>
            </w:rPr>
          </w:pPr>
          <w:hyperlink w:anchor="_Toc238725488" w:history="1">
            <w:r w:rsidR="00F93449" w:rsidRPr="003104C9">
              <w:rPr>
                <w:rStyle w:val="Hyperlink"/>
                <w:noProof/>
              </w:rPr>
              <w:t>1.6. Research Aim</w:t>
            </w:r>
            <w:r w:rsidR="00F93449">
              <w:rPr>
                <w:noProof/>
                <w:webHidden/>
              </w:rPr>
              <w:tab/>
            </w:r>
            <w:r>
              <w:rPr>
                <w:noProof/>
                <w:webHidden/>
              </w:rPr>
              <w:fldChar w:fldCharType="begin"/>
            </w:r>
            <w:r w:rsidR="00F93449">
              <w:rPr>
                <w:noProof/>
                <w:webHidden/>
              </w:rPr>
              <w:instrText xml:space="preserve"> PAGEREF _Toc238725488 \h </w:instrText>
            </w:r>
            <w:r>
              <w:rPr>
                <w:noProof/>
                <w:webHidden/>
              </w:rPr>
            </w:r>
            <w:r>
              <w:rPr>
                <w:noProof/>
                <w:webHidden/>
              </w:rPr>
              <w:fldChar w:fldCharType="separate"/>
            </w:r>
            <w:r w:rsidR="00F93449">
              <w:rPr>
                <w:noProof/>
                <w:webHidden/>
              </w:rPr>
              <w:t>3</w:t>
            </w:r>
            <w:r>
              <w:rPr>
                <w:noProof/>
                <w:webHidden/>
              </w:rPr>
              <w:fldChar w:fldCharType="end"/>
            </w:r>
          </w:hyperlink>
        </w:p>
        <w:p w:rsidR="00F93449" w:rsidRDefault="00AD1081">
          <w:pPr>
            <w:pStyle w:val="TOC2"/>
            <w:tabs>
              <w:tab w:val="right" w:leader="dot" w:pos="9016"/>
            </w:tabs>
            <w:rPr>
              <w:rFonts w:asciiTheme="minorHAnsi" w:eastAsiaTheme="minorEastAsia" w:hAnsiTheme="minorHAnsi"/>
              <w:noProof/>
              <w:kern w:val="2"/>
              <w:szCs w:val="24"/>
            </w:rPr>
          </w:pPr>
          <w:hyperlink w:anchor="_Toc238725489" w:history="1">
            <w:r w:rsidR="00F93449" w:rsidRPr="003104C9">
              <w:rPr>
                <w:rStyle w:val="Hyperlink"/>
                <w:noProof/>
              </w:rPr>
              <w:t>1.7. Research Objectives</w:t>
            </w:r>
            <w:r w:rsidR="00F93449">
              <w:rPr>
                <w:noProof/>
                <w:webHidden/>
              </w:rPr>
              <w:tab/>
            </w:r>
            <w:r>
              <w:rPr>
                <w:noProof/>
                <w:webHidden/>
              </w:rPr>
              <w:fldChar w:fldCharType="begin"/>
            </w:r>
            <w:r w:rsidR="00F93449">
              <w:rPr>
                <w:noProof/>
                <w:webHidden/>
              </w:rPr>
              <w:instrText xml:space="preserve"> PAGEREF _Toc238725489 \h </w:instrText>
            </w:r>
            <w:r>
              <w:rPr>
                <w:noProof/>
                <w:webHidden/>
              </w:rPr>
            </w:r>
            <w:r>
              <w:rPr>
                <w:noProof/>
                <w:webHidden/>
              </w:rPr>
              <w:fldChar w:fldCharType="separate"/>
            </w:r>
            <w:r w:rsidR="00F93449">
              <w:rPr>
                <w:noProof/>
                <w:webHidden/>
              </w:rPr>
              <w:t>4</w:t>
            </w:r>
            <w:r>
              <w:rPr>
                <w:noProof/>
                <w:webHidden/>
              </w:rPr>
              <w:fldChar w:fldCharType="end"/>
            </w:r>
          </w:hyperlink>
        </w:p>
        <w:p w:rsidR="00F93449" w:rsidRDefault="00AD1081">
          <w:pPr>
            <w:pStyle w:val="TOC2"/>
            <w:tabs>
              <w:tab w:val="right" w:leader="dot" w:pos="9016"/>
            </w:tabs>
            <w:rPr>
              <w:rFonts w:asciiTheme="minorHAnsi" w:eastAsiaTheme="minorEastAsia" w:hAnsiTheme="minorHAnsi"/>
              <w:noProof/>
              <w:kern w:val="2"/>
              <w:szCs w:val="24"/>
            </w:rPr>
          </w:pPr>
          <w:hyperlink w:anchor="_Toc238725490" w:history="1">
            <w:r w:rsidR="00F93449" w:rsidRPr="003104C9">
              <w:rPr>
                <w:rStyle w:val="Hyperlink"/>
                <w:noProof/>
              </w:rPr>
              <w:t>1.8. Significance of the Study</w:t>
            </w:r>
            <w:r w:rsidR="00F93449">
              <w:rPr>
                <w:noProof/>
                <w:webHidden/>
              </w:rPr>
              <w:tab/>
            </w:r>
            <w:r>
              <w:rPr>
                <w:noProof/>
                <w:webHidden/>
              </w:rPr>
              <w:fldChar w:fldCharType="begin"/>
            </w:r>
            <w:r w:rsidR="00F93449">
              <w:rPr>
                <w:noProof/>
                <w:webHidden/>
              </w:rPr>
              <w:instrText xml:space="preserve"> PAGEREF _Toc238725490 \h </w:instrText>
            </w:r>
            <w:r>
              <w:rPr>
                <w:noProof/>
                <w:webHidden/>
              </w:rPr>
            </w:r>
            <w:r>
              <w:rPr>
                <w:noProof/>
                <w:webHidden/>
              </w:rPr>
              <w:fldChar w:fldCharType="separate"/>
            </w:r>
            <w:r w:rsidR="00F93449">
              <w:rPr>
                <w:noProof/>
                <w:webHidden/>
              </w:rPr>
              <w:t>4</w:t>
            </w:r>
            <w:r>
              <w:rPr>
                <w:noProof/>
                <w:webHidden/>
              </w:rPr>
              <w:fldChar w:fldCharType="end"/>
            </w:r>
          </w:hyperlink>
        </w:p>
        <w:p w:rsidR="00F93449" w:rsidRDefault="00AD1081">
          <w:pPr>
            <w:pStyle w:val="TOC2"/>
            <w:tabs>
              <w:tab w:val="right" w:leader="dot" w:pos="9016"/>
            </w:tabs>
            <w:rPr>
              <w:rFonts w:asciiTheme="minorHAnsi" w:eastAsiaTheme="minorEastAsia" w:hAnsiTheme="minorHAnsi"/>
              <w:noProof/>
              <w:kern w:val="2"/>
              <w:szCs w:val="24"/>
            </w:rPr>
          </w:pPr>
          <w:hyperlink w:anchor="_Toc238725491" w:history="1">
            <w:r w:rsidR="00F93449" w:rsidRPr="003104C9">
              <w:rPr>
                <w:rStyle w:val="Hyperlink"/>
                <w:noProof/>
              </w:rPr>
              <w:t>1.9. Scope and Delimitations of the Study</w:t>
            </w:r>
            <w:r w:rsidR="00F93449">
              <w:rPr>
                <w:noProof/>
                <w:webHidden/>
              </w:rPr>
              <w:tab/>
            </w:r>
            <w:r>
              <w:rPr>
                <w:noProof/>
                <w:webHidden/>
              </w:rPr>
              <w:fldChar w:fldCharType="begin"/>
            </w:r>
            <w:r w:rsidR="00F93449">
              <w:rPr>
                <w:noProof/>
                <w:webHidden/>
              </w:rPr>
              <w:instrText xml:space="preserve"> PAGEREF _Toc238725491 \h </w:instrText>
            </w:r>
            <w:r>
              <w:rPr>
                <w:noProof/>
                <w:webHidden/>
              </w:rPr>
            </w:r>
            <w:r>
              <w:rPr>
                <w:noProof/>
                <w:webHidden/>
              </w:rPr>
              <w:fldChar w:fldCharType="separate"/>
            </w:r>
            <w:r w:rsidR="00F93449">
              <w:rPr>
                <w:noProof/>
                <w:webHidden/>
              </w:rPr>
              <w:t>4</w:t>
            </w:r>
            <w:r>
              <w:rPr>
                <w:noProof/>
                <w:webHidden/>
              </w:rPr>
              <w:fldChar w:fldCharType="end"/>
            </w:r>
          </w:hyperlink>
        </w:p>
        <w:p w:rsidR="00F93449" w:rsidRDefault="00AD1081">
          <w:pPr>
            <w:pStyle w:val="TOC2"/>
            <w:tabs>
              <w:tab w:val="right" w:leader="dot" w:pos="9016"/>
            </w:tabs>
            <w:rPr>
              <w:rFonts w:asciiTheme="minorHAnsi" w:eastAsiaTheme="minorEastAsia" w:hAnsiTheme="minorHAnsi"/>
              <w:noProof/>
              <w:kern w:val="2"/>
              <w:szCs w:val="24"/>
            </w:rPr>
          </w:pPr>
          <w:hyperlink w:anchor="_Toc238725492" w:history="1">
            <w:r w:rsidR="00F93449" w:rsidRPr="003104C9">
              <w:rPr>
                <w:rStyle w:val="Hyperlink"/>
                <w:noProof/>
              </w:rPr>
              <w:t>1.10. Key Terms and Operational Definitions</w:t>
            </w:r>
            <w:r w:rsidR="00F93449">
              <w:rPr>
                <w:noProof/>
                <w:webHidden/>
              </w:rPr>
              <w:tab/>
            </w:r>
            <w:r>
              <w:rPr>
                <w:noProof/>
                <w:webHidden/>
              </w:rPr>
              <w:fldChar w:fldCharType="begin"/>
            </w:r>
            <w:r w:rsidR="00F93449">
              <w:rPr>
                <w:noProof/>
                <w:webHidden/>
              </w:rPr>
              <w:instrText xml:space="preserve"> PAGEREF _Toc238725492 \h </w:instrText>
            </w:r>
            <w:r>
              <w:rPr>
                <w:noProof/>
                <w:webHidden/>
              </w:rPr>
            </w:r>
            <w:r>
              <w:rPr>
                <w:noProof/>
                <w:webHidden/>
              </w:rPr>
              <w:fldChar w:fldCharType="separate"/>
            </w:r>
            <w:r w:rsidR="00F93449">
              <w:rPr>
                <w:noProof/>
                <w:webHidden/>
              </w:rPr>
              <w:t>5</w:t>
            </w:r>
            <w:r>
              <w:rPr>
                <w:noProof/>
                <w:webHidden/>
              </w:rPr>
              <w:fldChar w:fldCharType="end"/>
            </w:r>
          </w:hyperlink>
        </w:p>
        <w:p w:rsidR="00F93449" w:rsidRDefault="00AD1081">
          <w:pPr>
            <w:pStyle w:val="TOC2"/>
            <w:tabs>
              <w:tab w:val="right" w:leader="dot" w:pos="9016"/>
            </w:tabs>
            <w:rPr>
              <w:rFonts w:asciiTheme="minorHAnsi" w:eastAsiaTheme="minorEastAsia" w:hAnsiTheme="minorHAnsi"/>
              <w:noProof/>
              <w:kern w:val="2"/>
              <w:szCs w:val="24"/>
            </w:rPr>
          </w:pPr>
          <w:hyperlink w:anchor="_Toc238725493" w:history="1">
            <w:r w:rsidR="00F93449" w:rsidRPr="003104C9">
              <w:rPr>
                <w:rStyle w:val="Hyperlink"/>
                <w:noProof/>
              </w:rPr>
              <w:t>1.11. Organisation of the Thesis</w:t>
            </w:r>
            <w:r w:rsidR="00F93449">
              <w:rPr>
                <w:noProof/>
                <w:webHidden/>
              </w:rPr>
              <w:tab/>
            </w:r>
            <w:r>
              <w:rPr>
                <w:noProof/>
                <w:webHidden/>
              </w:rPr>
              <w:fldChar w:fldCharType="begin"/>
            </w:r>
            <w:r w:rsidR="00F93449">
              <w:rPr>
                <w:noProof/>
                <w:webHidden/>
              </w:rPr>
              <w:instrText xml:space="preserve"> PAGEREF _Toc238725493 \h </w:instrText>
            </w:r>
            <w:r>
              <w:rPr>
                <w:noProof/>
                <w:webHidden/>
              </w:rPr>
            </w:r>
            <w:r>
              <w:rPr>
                <w:noProof/>
                <w:webHidden/>
              </w:rPr>
              <w:fldChar w:fldCharType="separate"/>
            </w:r>
            <w:r w:rsidR="00F93449">
              <w:rPr>
                <w:noProof/>
                <w:webHidden/>
              </w:rPr>
              <w:t>5</w:t>
            </w:r>
            <w:r>
              <w:rPr>
                <w:noProof/>
                <w:webHidden/>
              </w:rPr>
              <w:fldChar w:fldCharType="end"/>
            </w:r>
          </w:hyperlink>
        </w:p>
        <w:p w:rsidR="00F93449" w:rsidRDefault="00AD1081">
          <w:pPr>
            <w:pStyle w:val="TOC2"/>
            <w:tabs>
              <w:tab w:val="right" w:leader="dot" w:pos="9016"/>
            </w:tabs>
            <w:rPr>
              <w:rFonts w:asciiTheme="minorHAnsi" w:eastAsiaTheme="minorEastAsia" w:hAnsiTheme="minorHAnsi"/>
              <w:noProof/>
              <w:kern w:val="2"/>
              <w:szCs w:val="24"/>
            </w:rPr>
          </w:pPr>
          <w:hyperlink w:anchor="_Toc238725494" w:history="1">
            <w:r w:rsidR="00F93449" w:rsidRPr="003104C9">
              <w:rPr>
                <w:rStyle w:val="Hyperlink"/>
                <w:noProof/>
              </w:rPr>
              <w:t>1.12. Chapter Summary</w:t>
            </w:r>
            <w:r w:rsidR="00F93449">
              <w:rPr>
                <w:noProof/>
                <w:webHidden/>
              </w:rPr>
              <w:tab/>
            </w:r>
            <w:r>
              <w:rPr>
                <w:noProof/>
                <w:webHidden/>
              </w:rPr>
              <w:fldChar w:fldCharType="begin"/>
            </w:r>
            <w:r w:rsidR="00F93449">
              <w:rPr>
                <w:noProof/>
                <w:webHidden/>
              </w:rPr>
              <w:instrText xml:space="preserve"> PAGEREF _Toc238725494 \h </w:instrText>
            </w:r>
            <w:r>
              <w:rPr>
                <w:noProof/>
                <w:webHidden/>
              </w:rPr>
            </w:r>
            <w:r>
              <w:rPr>
                <w:noProof/>
                <w:webHidden/>
              </w:rPr>
              <w:fldChar w:fldCharType="separate"/>
            </w:r>
            <w:r w:rsidR="00F93449">
              <w:rPr>
                <w:noProof/>
                <w:webHidden/>
              </w:rPr>
              <w:t>5</w:t>
            </w:r>
            <w:r>
              <w:rPr>
                <w:noProof/>
                <w:webHidden/>
              </w:rPr>
              <w:fldChar w:fldCharType="end"/>
            </w:r>
          </w:hyperlink>
        </w:p>
        <w:p w:rsidR="00F93449" w:rsidRDefault="00AD1081">
          <w:pPr>
            <w:pStyle w:val="TOC1"/>
            <w:tabs>
              <w:tab w:val="right" w:leader="dot" w:pos="9016"/>
            </w:tabs>
            <w:rPr>
              <w:rFonts w:asciiTheme="minorHAnsi" w:eastAsiaTheme="minorEastAsia" w:hAnsiTheme="minorHAnsi"/>
              <w:noProof/>
              <w:kern w:val="2"/>
              <w:szCs w:val="24"/>
            </w:rPr>
          </w:pPr>
          <w:hyperlink w:anchor="_Toc238725495" w:history="1">
            <w:r w:rsidR="00F93449" w:rsidRPr="003104C9">
              <w:rPr>
                <w:rStyle w:val="Hyperlink"/>
                <w:noProof/>
              </w:rPr>
              <w:t>Chapter 2. Literature Review</w:t>
            </w:r>
            <w:r w:rsidR="00F93449">
              <w:rPr>
                <w:noProof/>
                <w:webHidden/>
              </w:rPr>
              <w:tab/>
            </w:r>
            <w:r>
              <w:rPr>
                <w:noProof/>
                <w:webHidden/>
              </w:rPr>
              <w:fldChar w:fldCharType="begin"/>
            </w:r>
            <w:r w:rsidR="00F93449">
              <w:rPr>
                <w:noProof/>
                <w:webHidden/>
              </w:rPr>
              <w:instrText xml:space="preserve"> PAGEREF _Toc238725495 \h </w:instrText>
            </w:r>
            <w:r>
              <w:rPr>
                <w:noProof/>
                <w:webHidden/>
              </w:rPr>
            </w:r>
            <w:r>
              <w:rPr>
                <w:noProof/>
                <w:webHidden/>
              </w:rPr>
              <w:fldChar w:fldCharType="separate"/>
            </w:r>
            <w:r w:rsidR="00F93449">
              <w:rPr>
                <w:noProof/>
                <w:webHidden/>
              </w:rPr>
              <w:t>6</w:t>
            </w:r>
            <w:r>
              <w:rPr>
                <w:noProof/>
                <w:webHidden/>
              </w:rPr>
              <w:fldChar w:fldCharType="end"/>
            </w:r>
          </w:hyperlink>
        </w:p>
        <w:p w:rsidR="00F93449" w:rsidRDefault="00AD1081">
          <w:pPr>
            <w:pStyle w:val="TOC2"/>
            <w:tabs>
              <w:tab w:val="right" w:leader="dot" w:pos="9016"/>
            </w:tabs>
            <w:rPr>
              <w:rFonts w:asciiTheme="minorHAnsi" w:eastAsiaTheme="minorEastAsia" w:hAnsiTheme="minorHAnsi"/>
              <w:noProof/>
              <w:kern w:val="2"/>
              <w:szCs w:val="24"/>
            </w:rPr>
          </w:pPr>
          <w:hyperlink w:anchor="_Toc238725496" w:history="1">
            <w:r w:rsidR="00F93449" w:rsidRPr="003104C9">
              <w:rPr>
                <w:rStyle w:val="Hyperlink"/>
                <w:noProof/>
              </w:rPr>
              <w:t>2.1. Introduction</w:t>
            </w:r>
            <w:r w:rsidR="00F93449">
              <w:rPr>
                <w:noProof/>
                <w:webHidden/>
              </w:rPr>
              <w:tab/>
            </w:r>
            <w:r>
              <w:rPr>
                <w:noProof/>
                <w:webHidden/>
              </w:rPr>
              <w:fldChar w:fldCharType="begin"/>
            </w:r>
            <w:r w:rsidR="00F93449">
              <w:rPr>
                <w:noProof/>
                <w:webHidden/>
              </w:rPr>
              <w:instrText xml:space="preserve"> PAGEREF _Toc238725496 \h </w:instrText>
            </w:r>
            <w:r>
              <w:rPr>
                <w:noProof/>
                <w:webHidden/>
              </w:rPr>
            </w:r>
            <w:r>
              <w:rPr>
                <w:noProof/>
                <w:webHidden/>
              </w:rPr>
              <w:fldChar w:fldCharType="separate"/>
            </w:r>
            <w:r w:rsidR="00F93449">
              <w:rPr>
                <w:noProof/>
                <w:webHidden/>
              </w:rPr>
              <w:t>6</w:t>
            </w:r>
            <w:r>
              <w:rPr>
                <w:noProof/>
                <w:webHidden/>
              </w:rPr>
              <w:fldChar w:fldCharType="end"/>
            </w:r>
          </w:hyperlink>
        </w:p>
        <w:p w:rsidR="00F93449" w:rsidRDefault="00AD1081">
          <w:pPr>
            <w:pStyle w:val="TOC2"/>
            <w:tabs>
              <w:tab w:val="right" w:leader="dot" w:pos="9016"/>
            </w:tabs>
            <w:rPr>
              <w:rFonts w:asciiTheme="minorHAnsi" w:eastAsiaTheme="minorEastAsia" w:hAnsiTheme="minorHAnsi"/>
              <w:noProof/>
              <w:kern w:val="2"/>
              <w:szCs w:val="24"/>
            </w:rPr>
          </w:pPr>
          <w:hyperlink w:anchor="_Toc238725497" w:history="1">
            <w:r w:rsidR="00F93449" w:rsidRPr="003104C9">
              <w:rPr>
                <w:rStyle w:val="Hyperlink"/>
                <w:noProof/>
              </w:rPr>
              <w:t>2.2. Smoking and Cessation Support in the United Kingdom</w:t>
            </w:r>
            <w:r w:rsidR="00F93449">
              <w:rPr>
                <w:noProof/>
                <w:webHidden/>
              </w:rPr>
              <w:tab/>
            </w:r>
            <w:r>
              <w:rPr>
                <w:noProof/>
                <w:webHidden/>
              </w:rPr>
              <w:fldChar w:fldCharType="begin"/>
            </w:r>
            <w:r w:rsidR="00F93449">
              <w:rPr>
                <w:noProof/>
                <w:webHidden/>
              </w:rPr>
              <w:instrText xml:space="preserve"> PAGEREF _Toc238725497 \h </w:instrText>
            </w:r>
            <w:r>
              <w:rPr>
                <w:noProof/>
                <w:webHidden/>
              </w:rPr>
            </w:r>
            <w:r>
              <w:rPr>
                <w:noProof/>
                <w:webHidden/>
              </w:rPr>
              <w:fldChar w:fldCharType="separate"/>
            </w:r>
            <w:r w:rsidR="00F93449">
              <w:rPr>
                <w:noProof/>
                <w:webHidden/>
              </w:rPr>
              <w:t>6</w:t>
            </w:r>
            <w:r>
              <w:rPr>
                <w:noProof/>
                <w:webHidden/>
              </w:rPr>
              <w:fldChar w:fldCharType="end"/>
            </w:r>
          </w:hyperlink>
        </w:p>
        <w:p w:rsidR="00F93449" w:rsidRDefault="00AD1081">
          <w:pPr>
            <w:pStyle w:val="TOC2"/>
            <w:tabs>
              <w:tab w:val="right" w:leader="dot" w:pos="9016"/>
            </w:tabs>
            <w:rPr>
              <w:rFonts w:asciiTheme="minorHAnsi" w:eastAsiaTheme="minorEastAsia" w:hAnsiTheme="minorHAnsi"/>
              <w:noProof/>
              <w:kern w:val="2"/>
              <w:szCs w:val="24"/>
            </w:rPr>
          </w:pPr>
          <w:hyperlink w:anchor="_Toc238725498" w:history="1">
            <w:r w:rsidR="00F93449" w:rsidRPr="003104C9">
              <w:rPr>
                <w:rStyle w:val="Hyperlink"/>
                <w:noProof/>
              </w:rPr>
              <w:t>2.3. Conceptualising Engagement and Quit Success</w:t>
            </w:r>
            <w:r w:rsidR="00F93449">
              <w:rPr>
                <w:noProof/>
                <w:webHidden/>
              </w:rPr>
              <w:tab/>
            </w:r>
            <w:r>
              <w:rPr>
                <w:noProof/>
                <w:webHidden/>
              </w:rPr>
              <w:fldChar w:fldCharType="begin"/>
            </w:r>
            <w:r w:rsidR="00F93449">
              <w:rPr>
                <w:noProof/>
                <w:webHidden/>
              </w:rPr>
              <w:instrText xml:space="preserve"> PAGEREF _Toc238725498 \h </w:instrText>
            </w:r>
            <w:r>
              <w:rPr>
                <w:noProof/>
                <w:webHidden/>
              </w:rPr>
            </w:r>
            <w:r>
              <w:rPr>
                <w:noProof/>
                <w:webHidden/>
              </w:rPr>
              <w:fldChar w:fldCharType="separate"/>
            </w:r>
            <w:r w:rsidR="00F93449">
              <w:rPr>
                <w:noProof/>
                <w:webHidden/>
              </w:rPr>
              <w:t>7</w:t>
            </w:r>
            <w:r>
              <w:rPr>
                <w:noProof/>
                <w:webHidden/>
              </w:rPr>
              <w:fldChar w:fldCharType="end"/>
            </w:r>
          </w:hyperlink>
        </w:p>
        <w:p w:rsidR="00F93449" w:rsidRDefault="00AD1081">
          <w:pPr>
            <w:pStyle w:val="TOC2"/>
            <w:tabs>
              <w:tab w:val="right" w:leader="dot" w:pos="9016"/>
            </w:tabs>
            <w:rPr>
              <w:rFonts w:asciiTheme="minorHAnsi" w:eastAsiaTheme="minorEastAsia" w:hAnsiTheme="minorHAnsi"/>
              <w:noProof/>
              <w:kern w:val="2"/>
              <w:szCs w:val="24"/>
            </w:rPr>
          </w:pPr>
          <w:hyperlink w:anchor="_Toc238725499" w:history="1">
            <w:r w:rsidR="00F93449" w:rsidRPr="003104C9">
              <w:rPr>
                <w:rStyle w:val="Hyperlink"/>
                <w:noProof/>
              </w:rPr>
              <w:t>2.4. Initial Connection: Awareness, Referral and Uptake</w:t>
            </w:r>
            <w:r w:rsidR="00F93449">
              <w:rPr>
                <w:noProof/>
                <w:webHidden/>
              </w:rPr>
              <w:tab/>
            </w:r>
            <w:r>
              <w:rPr>
                <w:noProof/>
                <w:webHidden/>
              </w:rPr>
              <w:fldChar w:fldCharType="begin"/>
            </w:r>
            <w:r w:rsidR="00F93449">
              <w:rPr>
                <w:noProof/>
                <w:webHidden/>
              </w:rPr>
              <w:instrText xml:space="preserve"> PAGEREF _Toc238725499 \h </w:instrText>
            </w:r>
            <w:r>
              <w:rPr>
                <w:noProof/>
                <w:webHidden/>
              </w:rPr>
            </w:r>
            <w:r>
              <w:rPr>
                <w:noProof/>
                <w:webHidden/>
              </w:rPr>
              <w:fldChar w:fldCharType="separate"/>
            </w:r>
            <w:r w:rsidR="00F93449">
              <w:rPr>
                <w:noProof/>
                <w:webHidden/>
              </w:rPr>
              <w:t>7</w:t>
            </w:r>
            <w:r>
              <w:rPr>
                <w:noProof/>
                <w:webHidden/>
              </w:rPr>
              <w:fldChar w:fldCharType="end"/>
            </w:r>
          </w:hyperlink>
        </w:p>
        <w:p w:rsidR="00F93449" w:rsidRDefault="00AD1081">
          <w:pPr>
            <w:pStyle w:val="TOC2"/>
            <w:tabs>
              <w:tab w:val="right" w:leader="dot" w:pos="9016"/>
            </w:tabs>
            <w:rPr>
              <w:rFonts w:asciiTheme="minorHAnsi" w:eastAsiaTheme="minorEastAsia" w:hAnsiTheme="minorHAnsi"/>
              <w:noProof/>
              <w:kern w:val="2"/>
              <w:szCs w:val="24"/>
            </w:rPr>
          </w:pPr>
          <w:hyperlink w:anchor="_Toc238725500" w:history="1">
            <w:r w:rsidR="00F93449" w:rsidRPr="003104C9">
              <w:rPr>
                <w:rStyle w:val="Hyperlink"/>
                <w:noProof/>
              </w:rPr>
              <w:t>2.5. Accessibility, Flexibility and Continuity</w:t>
            </w:r>
            <w:r w:rsidR="00F93449">
              <w:rPr>
                <w:noProof/>
                <w:webHidden/>
              </w:rPr>
              <w:tab/>
            </w:r>
            <w:r>
              <w:rPr>
                <w:noProof/>
                <w:webHidden/>
              </w:rPr>
              <w:fldChar w:fldCharType="begin"/>
            </w:r>
            <w:r w:rsidR="00F93449">
              <w:rPr>
                <w:noProof/>
                <w:webHidden/>
              </w:rPr>
              <w:instrText xml:space="preserve"> PAGEREF _Toc238725500 \h </w:instrText>
            </w:r>
            <w:r>
              <w:rPr>
                <w:noProof/>
                <w:webHidden/>
              </w:rPr>
            </w:r>
            <w:r>
              <w:rPr>
                <w:noProof/>
                <w:webHidden/>
              </w:rPr>
              <w:fldChar w:fldCharType="separate"/>
            </w:r>
            <w:r w:rsidR="00F93449">
              <w:rPr>
                <w:noProof/>
                <w:webHidden/>
              </w:rPr>
              <w:t>8</w:t>
            </w:r>
            <w:r>
              <w:rPr>
                <w:noProof/>
                <w:webHidden/>
              </w:rPr>
              <w:fldChar w:fldCharType="end"/>
            </w:r>
          </w:hyperlink>
        </w:p>
        <w:p w:rsidR="00F93449" w:rsidRDefault="00AD1081">
          <w:pPr>
            <w:pStyle w:val="TOC2"/>
            <w:tabs>
              <w:tab w:val="right" w:leader="dot" w:pos="9016"/>
            </w:tabs>
            <w:rPr>
              <w:rFonts w:asciiTheme="minorHAnsi" w:eastAsiaTheme="minorEastAsia" w:hAnsiTheme="minorHAnsi"/>
              <w:noProof/>
              <w:kern w:val="2"/>
              <w:szCs w:val="24"/>
            </w:rPr>
          </w:pPr>
          <w:hyperlink w:anchor="_Toc238725501" w:history="1">
            <w:r w:rsidR="00F93449" w:rsidRPr="003104C9">
              <w:rPr>
                <w:rStyle w:val="Hyperlink"/>
                <w:noProof/>
              </w:rPr>
              <w:t>2.6. Relational and Treatment Support</w:t>
            </w:r>
            <w:r w:rsidR="00F93449">
              <w:rPr>
                <w:noProof/>
                <w:webHidden/>
              </w:rPr>
              <w:tab/>
            </w:r>
            <w:r>
              <w:rPr>
                <w:noProof/>
                <w:webHidden/>
              </w:rPr>
              <w:fldChar w:fldCharType="begin"/>
            </w:r>
            <w:r w:rsidR="00F93449">
              <w:rPr>
                <w:noProof/>
                <w:webHidden/>
              </w:rPr>
              <w:instrText xml:space="preserve"> PAGEREF _Toc238725501 \h </w:instrText>
            </w:r>
            <w:r>
              <w:rPr>
                <w:noProof/>
                <w:webHidden/>
              </w:rPr>
            </w:r>
            <w:r>
              <w:rPr>
                <w:noProof/>
                <w:webHidden/>
              </w:rPr>
              <w:fldChar w:fldCharType="separate"/>
            </w:r>
            <w:r w:rsidR="00F93449">
              <w:rPr>
                <w:noProof/>
                <w:webHidden/>
              </w:rPr>
              <w:t>8</w:t>
            </w:r>
            <w:r>
              <w:rPr>
                <w:noProof/>
                <w:webHidden/>
              </w:rPr>
              <w:fldChar w:fldCharType="end"/>
            </w:r>
          </w:hyperlink>
        </w:p>
        <w:p w:rsidR="00F93449" w:rsidRDefault="00AD1081">
          <w:pPr>
            <w:pStyle w:val="TOC2"/>
            <w:tabs>
              <w:tab w:val="right" w:leader="dot" w:pos="9016"/>
            </w:tabs>
            <w:rPr>
              <w:rFonts w:asciiTheme="minorHAnsi" w:eastAsiaTheme="minorEastAsia" w:hAnsiTheme="minorHAnsi"/>
              <w:noProof/>
              <w:kern w:val="2"/>
              <w:szCs w:val="24"/>
            </w:rPr>
          </w:pPr>
          <w:hyperlink w:anchor="_Toc238725502" w:history="1">
            <w:r w:rsidR="00F93449" w:rsidRPr="003104C9">
              <w:rPr>
                <w:rStyle w:val="Hyperlink"/>
                <w:noProof/>
              </w:rPr>
              <w:t>2.7. Social and Personal Context</w:t>
            </w:r>
            <w:r w:rsidR="00F93449">
              <w:rPr>
                <w:noProof/>
                <w:webHidden/>
              </w:rPr>
              <w:tab/>
            </w:r>
            <w:r>
              <w:rPr>
                <w:noProof/>
                <w:webHidden/>
              </w:rPr>
              <w:fldChar w:fldCharType="begin"/>
            </w:r>
            <w:r w:rsidR="00F93449">
              <w:rPr>
                <w:noProof/>
                <w:webHidden/>
              </w:rPr>
              <w:instrText xml:space="preserve"> PAGEREF _Toc238725502 \h </w:instrText>
            </w:r>
            <w:r>
              <w:rPr>
                <w:noProof/>
                <w:webHidden/>
              </w:rPr>
            </w:r>
            <w:r>
              <w:rPr>
                <w:noProof/>
                <w:webHidden/>
              </w:rPr>
              <w:fldChar w:fldCharType="separate"/>
            </w:r>
            <w:r w:rsidR="00F93449">
              <w:rPr>
                <w:noProof/>
                <w:webHidden/>
              </w:rPr>
              <w:t>9</w:t>
            </w:r>
            <w:r>
              <w:rPr>
                <w:noProof/>
                <w:webHidden/>
              </w:rPr>
              <w:fldChar w:fldCharType="end"/>
            </w:r>
          </w:hyperlink>
        </w:p>
        <w:p w:rsidR="00F93449" w:rsidRDefault="00AD1081">
          <w:pPr>
            <w:pStyle w:val="TOC2"/>
            <w:tabs>
              <w:tab w:val="right" w:leader="dot" w:pos="9016"/>
            </w:tabs>
            <w:rPr>
              <w:rFonts w:asciiTheme="minorHAnsi" w:eastAsiaTheme="minorEastAsia" w:hAnsiTheme="minorHAnsi"/>
              <w:noProof/>
              <w:kern w:val="2"/>
              <w:szCs w:val="24"/>
            </w:rPr>
          </w:pPr>
          <w:hyperlink w:anchor="_Toc238725503" w:history="1">
            <w:r w:rsidR="00F93449" w:rsidRPr="003104C9">
              <w:rPr>
                <w:rStyle w:val="Hyperlink"/>
                <w:noProof/>
              </w:rPr>
              <w:t>2.8. Engagement and Quit Success</w:t>
            </w:r>
            <w:r w:rsidR="00F93449">
              <w:rPr>
                <w:noProof/>
                <w:webHidden/>
              </w:rPr>
              <w:tab/>
            </w:r>
            <w:r>
              <w:rPr>
                <w:noProof/>
                <w:webHidden/>
              </w:rPr>
              <w:fldChar w:fldCharType="begin"/>
            </w:r>
            <w:r w:rsidR="00F93449">
              <w:rPr>
                <w:noProof/>
                <w:webHidden/>
              </w:rPr>
              <w:instrText xml:space="preserve"> PAGEREF _Toc238725503 \h </w:instrText>
            </w:r>
            <w:r>
              <w:rPr>
                <w:noProof/>
                <w:webHidden/>
              </w:rPr>
            </w:r>
            <w:r>
              <w:rPr>
                <w:noProof/>
                <w:webHidden/>
              </w:rPr>
              <w:fldChar w:fldCharType="separate"/>
            </w:r>
            <w:r w:rsidR="00F93449">
              <w:rPr>
                <w:noProof/>
                <w:webHidden/>
              </w:rPr>
              <w:t>9</w:t>
            </w:r>
            <w:r>
              <w:rPr>
                <w:noProof/>
                <w:webHidden/>
              </w:rPr>
              <w:fldChar w:fldCharType="end"/>
            </w:r>
          </w:hyperlink>
        </w:p>
        <w:p w:rsidR="00F93449" w:rsidRDefault="00AD1081">
          <w:pPr>
            <w:pStyle w:val="TOC2"/>
            <w:tabs>
              <w:tab w:val="right" w:leader="dot" w:pos="9016"/>
            </w:tabs>
            <w:rPr>
              <w:rFonts w:asciiTheme="minorHAnsi" w:eastAsiaTheme="minorEastAsia" w:hAnsiTheme="minorHAnsi"/>
              <w:noProof/>
              <w:kern w:val="2"/>
              <w:szCs w:val="24"/>
            </w:rPr>
          </w:pPr>
          <w:hyperlink w:anchor="_Toc238725504" w:history="1">
            <w:r w:rsidR="00F93449" w:rsidRPr="003104C9">
              <w:rPr>
                <w:rStyle w:val="Hyperlink"/>
                <w:noProof/>
              </w:rPr>
              <w:t>2.9. Theoretical Framework: COM-B and the Behaviour Change Wheel</w:t>
            </w:r>
            <w:r w:rsidR="00F93449">
              <w:rPr>
                <w:noProof/>
                <w:webHidden/>
              </w:rPr>
              <w:tab/>
            </w:r>
            <w:r>
              <w:rPr>
                <w:noProof/>
                <w:webHidden/>
              </w:rPr>
              <w:fldChar w:fldCharType="begin"/>
            </w:r>
            <w:r w:rsidR="00F93449">
              <w:rPr>
                <w:noProof/>
                <w:webHidden/>
              </w:rPr>
              <w:instrText xml:space="preserve"> PAGEREF _Toc238725504 \h </w:instrText>
            </w:r>
            <w:r>
              <w:rPr>
                <w:noProof/>
                <w:webHidden/>
              </w:rPr>
            </w:r>
            <w:r>
              <w:rPr>
                <w:noProof/>
                <w:webHidden/>
              </w:rPr>
              <w:fldChar w:fldCharType="separate"/>
            </w:r>
            <w:r w:rsidR="00F93449">
              <w:rPr>
                <w:noProof/>
                <w:webHidden/>
              </w:rPr>
              <w:t>10</w:t>
            </w:r>
            <w:r>
              <w:rPr>
                <w:noProof/>
                <w:webHidden/>
              </w:rPr>
              <w:fldChar w:fldCharType="end"/>
            </w:r>
          </w:hyperlink>
        </w:p>
        <w:p w:rsidR="00F93449" w:rsidRDefault="00AD1081">
          <w:pPr>
            <w:pStyle w:val="TOC2"/>
            <w:tabs>
              <w:tab w:val="right" w:leader="dot" w:pos="9016"/>
            </w:tabs>
            <w:rPr>
              <w:rFonts w:asciiTheme="minorHAnsi" w:eastAsiaTheme="minorEastAsia" w:hAnsiTheme="minorHAnsi"/>
              <w:noProof/>
              <w:kern w:val="2"/>
              <w:szCs w:val="24"/>
            </w:rPr>
          </w:pPr>
          <w:hyperlink w:anchor="_Toc238725505" w:history="1">
            <w:r w:rsidR="00F93449" w:rsidRPr="003104C9">
              <w:rPr>
                <w:rStyle w:val="Hyperlink"/>
                <w:noProof/>
              </w:rPr>
              <w:t>2.10. Critical Synthesis and Research Gap</w:t>
            </w:r>
            <w:r w:rsidR="00F93449">
              <w:rPr>
                <w:noProof/>
                <w:webHidden/>
              </w:rPr>
              <w:tab/>
            </w:r>
            <w:r>
              <w:rPr>
                <w:noProof/>
                <w:webHidden/>
              </w:rPr>
              <w:fldChar w:fldCharType="begin"/>
            </w:r>
            <w:r w:rsidR="00F93449">
              <w:rPr>
                <w:noProof/>
                <w:webHidden/>
              </w:rPr>
              <w:instrText xml:space="preserve"> PAGEREF _Toc238725505 \h </w:instrText>
            </w:r>
            <w:r>
              <w:rPr>
                <w:noProof/>
                <w:webHidden/>
              </w:rPr>
            </w:r>
            <w:r>
              <w:rPr>
                <w:noProof/>
                <w:webHidden/>
              </w:rPr>
              <w:fldChar w:fldCharType="separate"/>
            </w:r>
            <w:r w:rsidR="00F93449">
              <w:rPr>
                <w:noProof/>
                <w:webHidden/>
              </w:rPr>
              <w:t>11</w:t>
            </w:r>
            <w:r>
              <w:rPr>
                <w:noProof/>
                <w:webHidden/>
              </w:rPr>
              <w:fldChar w:fldCharType="end"/>
            </w:r>
          </w:hyperlink>
        </w:p>
        <w:p w:rsidR="00F93449" w:rsidRDefault="00AD1081">
          <w:pPr>
            <w:pStyle w:val="TOC2"/>
            <w:tabs>
              <w:tab w:val="right" w:leader="dot" w:pos="9016"/>
            </w:tabs>
            <w:rPr>
              <w:rFonts w:asciiTheme="minorHAnsi" w:eastAsiaTheme="minorEastAsia" w:hAnsiTheme="minorHAnsi"/>
              <w:noProof/>
              <w:kern w:val="2"/>
              <w:szCs w:val="24"/>
            </w:rPr>
          </w:pPr>
          <w:hyperlink w:anchor="_Toc238725506" w:history="1">
            <w:r w:rsidR="00F93449" w:rsidRPr="003104C9">
              <w:rPr>
                <w:rStyle w:val="Hyperlink"/>
                <w:noProof/>
              </w:rPr>
              <w:t>2.11. Conceptual Framework</w:t>
            </w:r>
            <w:r w:rsidR="00F93449">
              <w:rPr>
                <w:noProof/>
                <w:webHidden/>
              </w:rPr>
              <w:tab/>
            </w:r>
            <w:r>
              <w:rPr>
                <w:noProof/>
                <w:webHidden/>
              </w:rPr>
              <w:fldChar w:fldCharType="begin"/>
            </w:r>
            <w:r w:rsidR="00F93449">
              <w:rPr>
                <w:noProof/>
                <w:webHidden/>
              </w:rPr>
              <w:instrText xml:space="preserve"> PAGEREF _Toc238725506 \h </w:instrText>
            </w:r>
            <w:r>
              <w:rPr>
                <w:noProof/>
                <w:webHidden/>
              </w:rPr>
            </w:r>
            <w:r>
              <w:rPr>
                <w:noProof/>
                <w:webHidden/>
              </w:rPr>
              <w:fldChar w:fldCharType="separate"/>
            </w:r>
            <w:r w:rsidR="00F93449">
              <w:rPr>
                <w:noProof/>
                <w:webHidden/>
              </w:rPr>
              <w:t>11</w:t>
            </w:r>
            <w:r>
              <w:rPr>
                <w:noProof/>
                <w:webHidden/>
              </w:rPr>
              <w:fldChar w:fldCharType="end"/>
            </w:r>
          </w:hyperlink>
        </w:p>
        <w:p w:rsidR="00F93449" w:rsidRDefault="00AD1081">
          <w:pPr>
            <w:pStyle w:val="TOC2"/>
            <w:tabs>
              <w:tab w:val="right" w:leader="dot" w:pos="9016"/>
            </w:tabs>
            <w:rPr>
              <w:rFonts w:asciiTheme="minorHAnsi" w:eastAsiaTheme="minorEastAsia" w:hAnsiTheme="minorHAnsi"/>
              <w:noProof/>
              <w:kern w:val="2"/>
              <w:szCs w:val="24"/>
            </w:rPr>
          </w:pPr>
          <w:hyperlink w:anchor="_Toc238725507" w:history="1">
            <w:r w:rsidR="00F93449" w:rsidRPr="003104C9">
              <w:rPr>
                <w:rStyle w:val="Hyperlink"/>
                <w:noProof/>
              </w:rPr>
              <w:t>2.12. Chapter Summary</w:t>
            </w:r>
            <w:r w:rsidR="00F93449">
              <w:rPr>
                <w:noProof/>
                <w:webHidden/>
              </w:rPr>
              <w:tab/>
            </w:r>
            <w:r>
              <w:rPr>
                <w:noProof/>
                <w:webHidden/>
              </w:rPr>
              <w:fldChar w:fldCharType="begin"/>
            </w:r>
            <w:r w:rsidR="00F93449">
              <w:rPr>
                <w:noProof/>
                <w:webHidden/>
              </w:rPr>
              <w:instrText xml:space="preserve"> PAGEREF _Toc238725507 \h </w:instrText>
            </w:r>
            <w:r>
              <w:rPr>
                <w:noProof/>
                <w:webHidden/>
              </w:rPr>
            </w:r>
            <w:r>
              <w:rPr>
                <w:noProof/>
                <w:webHidden/>
              </w:rPr>
              <w:fldChar w:fldCharType="separate"/>
            </w:r>
            <w:r w:rsidR="00F93449">
              <w:rPr>
                <w:noProof/>
                <w:webHidden/>
              </w:rPr>
              <w:t>12</w:t>
            </w:r>
            <w:r>
              <w:rPr>
                <w:noProof/>
                <w:webHidden/>
              </w:rPr>
              <w:fldChar w:fldCharType="end"/>
            </w:r>
          </w:hyperlink>
        </w:p>
        <w:p w:rsidR="00F93449" w:rsidRDefault="00AD1081">
          <w:pPr>
            <w:pStyle w:val="TOC1"/>
            <w:tabs>
              <w:tab w:val="right" w:leader="dot" w:pos="9016"/>
            </w:tabs>
            <w:rPr>
              <w:rFonts w:asciiTheme="minorHAnsi" w:eastAsiaTheme="minorEastAsia" w:hAnsiTheme="minorHAnsi"/>
              <w:noProof/>
              <w:kern w:val="2"/>
              <w:szCs w:val="24"/>
            </w:rPr>
          </w:pPr>
          <w:hyperlink w:anchor="_Toc238725508" w:history="1">
            <w:r w:rsidR="00F93449" w:rsidRPr="003104C9">
              <w:rPr>
                <w:rStyle w:val="Hyperlink"/>
                <w:noProof/>
              </w:rPr>
              <w:t>Chapter 3. Methodology</w:t>
            </w:r>
            <w:r w:rsidR="00F93449">
              <w:rPr>
                <w:noProof/>
                <w:webHidden/>
              </w:rPr>
              <w:tab/>
            </w:r>
            <w:r>
              <w:rPr>
                <w:noProof/>
                <w:webHidden/>
              </w:rPr>
              <w:fldChar w:fldCharType="begin"/>
            </w:r>
            <w:r w:rsidR="00F93449">
              <w:rPr>
                <w:noProof/>
                <w:webHidden/>
              </w:rPr>
              <w:instrText xml:space="preserve"> PAGEREF _Toc238725508 \h </w:instrText>
            </w:r>
            <w:r>
              <w:rPr>
                <w:noProof/>
                <w:webHidden/>
              </w:rPr>
            </w:r>
            <w:r>
              <w:rPr>
                <w:noProof/>
                <w:webHidden/>
              </w:rPr>
              <w:fldChar w:fldCharType="separate"/>
            </w:r>
            <w:r w:rsidR="00F93449">
              <w:rPr>
                <w:noProof/>
                <w:webHidden/>
              </w:rPr>
              <w:t>13</w:t>
            </w:r>
            <w:r>
              <w:rPr>
                <w:noProof/>
                <w:webHidden/>
              </w:rPr>
              <w:fldChar w:fldCharType="end"/>
            </w:r>
          </w:hyperlink>
        </w:p>
        <w:p w:rsidR="00F93449" w:rsidRDefault="00AD1081">
          <w:pPr>
            <w:pStyle w:val="TOC2"/>
            <w:tabs>
              <w:tab w:val="right" w:leader="dot" w:pos="9016"/>
            </w:tabs>
            <w:rPr>
              <w:rFonts w:asciiTheme="minorHAnsi" w:eastAsiaTheme="minorEastAsia" w:hAnsiTheme="minorHAnsi"/>
              <w:noProof/>
              <w:kern w:val="2"/>
              <w:szCs w:val="24"/>
            </w:rPr>
          </w:pPr>
          <w:hyperlink w:anchor="_Toc238725509" w:history="1">
            <w:r w:rsidR="00F93449" w:rsidRPr="003104C9">
              <w:rPr>
                <w:rStyle w:val="Hyperlink"/>
                <w:noProof/>
              </w:rPr>
              <w:t>3.1. Introduction</w:t>
            </w:r>
            <w:r w:rsidR="00F93449">
              <w:rPr>
                <w:noProof/>
                <w:webHidden/>
              </w:rPr>
              <w:tab/>
            </w:r>
            <w:r>
              <w:rPr>
                <w:noProof/>
                <w:webHidden/>
              </w:rPr>
              <w:fldChar w:fldCharType="begin"/>
            </w:r>
            <w:r w:rsidR="00F93449">
              <w:rPr>
                <w:noProof/>
                <w:webHidden/>
              </w:rPr>
              <w:instrText xml:space="preserve"> PAGEREF _Toc238725509 \h </w:instrText>
            </w:r>
            <w:r>
              <w:rPr>
                <w:noProof/>
                <w:webHidden/>
              </w:rPr>
            </w:r>
            <w:r>
              <w:rPr>
                <w:noProof/>
                <w:webHidden/>
              </w:rPr>
              <w:fldChar w:fldCharType="separate"/>
            </w:r>
            <w:r w:rsidR="00F93449">
              <w:rPr>
                <w:noProof/>
                <w:webHidden/>
              </w:rPr>
              <w:t>13</w:t>
            </w:r>
            <w:r>
              <w:rPr>
                <w:noProof/>
                <w:webHidden/>
              </w:rPr>
              <w:fldChar w:fldCharType="end"/>
            </w:r>
          </w:hyperlink>
        </w:p>
        <w:p w:rsidR="00F93449" w:rsidRDefault="00AD1081">
          <w:pPr>
            <w:pStyle w:val="TOC2"/>
            <w:tabs>
              <w:tab w:val="right" w:leader="dot" w:pos="9016"/>
            </w:tabs>
            <w:rPr>
              <w:rFonts w:asciiTheme="minorHAnsi" w:eastAsiaTheme="minorEastAsia" w:hAnsiTheme="minorHAnsi"/>
              <w:noProof/>
              <w:kern w:val="2"/>
              <w:szCs w:val="24"/>
            </w:rPr>
          </w:pPr>
          <w:hyperlink w:anchor="_Toc238725510" w:history="1">
            <w:r w:rsidR="00F93449" w:rsidRPr="003104C9">
              <w:rPr>
                <w:rStyle w:val="Hyperlink"/>
                <w:noProof/>
              </w:rPr>
              <w:t>3.2. Systematic Literature Review (SLR)</w:t>
            </w:r>
            <w:r w:rsidR="00F93449">
              <w:rPr>
                <w:noProof/>
                <w:webHidden/>
              </w:rPr>
              <w:tab/>
            </w:r>
            <w:r>
              <w:rPr>
                <w:noProof/>
                <w:webHidden/>
              </w:rPr>
              <w:fldChar w:fldCharType="begin"/>
            </w:r>
            <w:r w:rsidR="00F93449">
              <w:rPr>
                <w:noProof/>
                <w:webHidden/>
              </w:rPr>
              <w:instrText xml:space="preserve"> PAGEREF _Toc238725510 \h </w:instrText>
            </w:r>
            <w:r>
              <w:rPr>
                <w:noProof/>
                <w:webHidden/>
              </w:rPr>
            </w:r>
            <w:r>
              <w:rPr>
                <w:noProof/>
                <w:webHidden/>
              </w:rPr>
              <w:fldChar w:fldCharType="separate"/>
            </w:r>
            <w:r w:rsidR="00F93449">
              <w:rPr>
                <w:noProof/>
                <w:webHidden/>
              </w:rPr>
              <w:t>13</w:t>
            </w:r>
            <w:r>
              <w:rPr>
                <w:noProof/>
                <w:webHidden/>
              </w:rPr>
              <w:fldChar w:fldCharType="end"/>
            </w:r>
          </w:hyperlink>
        </w:p>
        <w:p w:rsidR="00F93449" w:rsidRDefault="00AD1081">
          <w:pPr>
            <w:pStyle w:val="TOC3"/>
            <w:tabs>
              <w:tab w:val="right" w:leader="dot" w:pos="9016"/>
            </w:tabs>
            <w:rPr>
              <w:rFonts w:asciiTheme="minorHAnsi" w:eastAsiaTheme="minorEastAsia" w:hAnsiTheme="minorHAnsi"/>
              <w:noProof/>
              <w:kern w:val="2"/>
              <w:szCs w:val="24"/>
            </w:rPr>
          </w:pPr>
          <w:hyperlink w:anchor="_Toc238725511" w:history="1">
            <w:r w:rsidR="00F93449" w:rsidRPr="003104C9">
              <w:rPr>
                <w:rStyle w:val="Hyperlink"/>
                <w:noProof/>
              </w:rPr>
              <w:t>3.2.1. SLR Definitions and Purpose</w:t>
            </w:r>
            <w:r w:rsidR="00F93449">
              <w:rPr>
                <w:noProof/>
                <w:webHidden/>
              </w:rPr>
              <w:tab/>
            </w:r>
            <w:r>
              <w:rPr>
                <w:noProof/>
                <w:webHidden/>
              </w:rPr>
              <w:fldChar w:fldCharType="begin"/>
            </w:r>
            <w:r w:rsidR="00F93449">
              <w:rPr>
                <w:noProof/>
                <w:webHidden/>
              </w:rPr>
              <w:instrText xml:space="preserve"> PAGEREF _Toc238725511 \h </w:instrText>
            </w:r>
            <w:r>
              <w:rPr>
                <w:noProof/>
                <w:webHidden/>
              </w:rPr>
            </w:r>
            <w:r>
              <w:rPr>
                <w:noProof/>
                <w:webHidden/>
              </w:rPr>
              <w:fldChar w:fldCharType="separate"/>
            </w:r>
            <w:r w:rsidR="00F93449">
              <w:rPr>
                <w:noProof/>
                <w:webHidden/>
              </w:rPr>
              <w:t>13</w:t>
            </w:r>
            <w:r>
              <w:rPr>
                <w:noProof/>
                <w:webHidden/>
              </w:rPr>
              <w:fldChar w:fldCharType="end"/>
            </w:r>
          </w:hyperlink>
        </w:p>
        <w:p w:rsidR="00F93449" w:rsidRDefault="00AD1081">
          <w:pPr>
            <w:pStyle w:val="TOC3"/>
            <w:tabs>
              <w:tab w:val="right" w:leader="dot" w:pos="9016"/>
            </w:tabs>
            <w:rPr>
              <w:rFonts w:asciiTheme="minorHAnsi" w:eastAsiaTheme="minorEastAsia" w:hAnsiTheme="minorHAnsi"/>
              <w:noProof/>
              <w:kern w:val="2"/>
              <w:szCs w:val="24"/>
            </w:rPr>
          </w:pPr>
          <w:hyperlink w:anchor="_Toc238725512" w:history="1">
            <w:r w:rsidR="00F93449" w:rsidRPr="003104C9">
              <w:rPr>
                <w:rStyle w:val="Hyperlink"/>
                <w:noProof/>
              </w:rPr>
              <w:t>3.2.2. Procedures to Perform the Systematic Literature Review</w:t>
            </w:r>
            <w:r w:rsidR="00F93449">
              <w:rPr>
                <w:noProof/>
                <w:webHidden/>
              </w:rPr>
              <w:tab/>
            </w:r>
            <w:r>
              <w:rPr>
                <w:noProof/>
                <w:webHidden/>
              </w:rPr>
              <w:fldChar w:fldCharType="begin"/>
            </w:r>
            <w:r w:rsidR="00F93449">
              <w:rPr>
                <w:noProof/>
                <w:webHidden/>
              </w:rPr>
              <w:instrText xml:space="preserve"> PAGEREF _Toc238725512 \h </w:instrText>
            </w:r>
            <w:r>
              <w:rPr>
                <w:noProof/>
                <w:webHidden/>
              </w:rPr>
            </w:r>
            <w:r>
              <w:rPr>
                <w:noProof/>
                <w:webHidden/>
              </w:rPr>
              <w:fldChar w:fldCharType="separate"/>
            </w:r>
            <w:r w:rsidR="00F93449">
              <w:rPr>
                <w:noProof/>
                <w:webHidden/>
              </w:rPr>
              <w:t>14</w:t>
            </w:r>
            <w:r>
              <w:rPr>
                <w:noProof/>
                <w:webHidden/>
              </w:rPr>
              <w:fldChar w:fldCharType="end"/>
            </w:r>
          </w:hyperlink>
        </w:p>
        <w:p w:rsidR="00F93449" w:rsidRDefault="00AD1081">
          <w:pPr>
            <w:pStyle w:val="TOC2"/>
            <w:tabs>
              <w:tab w:val="right" w:leader="dot" w:pos="9016"/>
            </w:tabs>
            <w:rPr>
              <w:rFonts w:asciiTheme="minorHAnsi" w:eastAsiaTheme="minorEastAsia" w:hAnsiTheme="minorHAnsi"/>
              <w:noProof/>
              <w:kern w:val="2"/>
              <w:szCs w:val="24"/>
            </w:rPr>
          </w:pPr>
          <w:hyperlink w:anchor="_Toc238725513" w:history="1">
            <w:r w:rsidR="00F93449" w:rsidRPr="003104C9">
              <w:rPr>
                <w:rStyle w:val="Hyperlink"/>
                <w:noProof/>
              </w:rPr>
              <w:t>3.3. Search Strategy</w:t>
            </w:r>
            <w:r w:rsidR="00F93449">
              <w:rPr>
                <w:noProof/>
                <w:webHidden/>
              </w:rPr>
              <w:tab/>
            </w:r>
            <w:r>
              <w:rPr>
                <w:noProof/>
                <w:webHidden/>
              </w:rPr>
              <w:fldChar w:fldCharType="begin"/>
            </w:r>
            <w:r w:rsidR="00F93449">
              <w:rPr>
                <w:noProof/>
                <w:webHidden/>
              </w:rPr>
              <w:instrText xml:space="preserve"> PAGEREF _Toc238725513 \h </w:instrText>
            </w:r>
            <w:r>
              <w:rPr>
                <w:noProof/>
                <w:webHidden/>
              </w:rPr>
            </w:r>
            <w:r>
              <w:rPr>
                <w:noProof/>
                <w:webHidden/>
              </w:rPr>
              <w:fldChar w:fldCharType="separate"/>
            </w:r>
            <w:r w:rsidR="00F93449">
              <w:rPr>
                <w:noProof/>
                <w:webHidden/>
              </w:rPr>
              <w:t>15</w:t>
            </w:r>
            <w:r>
              <w:rPr>
                <w:noProof/>
                <w:webHidden/>
              </w:rPr>
              <w:fldChar w:fldCharType="end"/>
            </w:r>
          </w:hyperlink>
        </w:p>
        <w:p w:rsidR="00F93449" w:rsidRDefault="00AD1081">
          <w:pPr>
            <w:pStyle w:val="TOC3"/>
            <w:tabs>
              <w:tab w:val="right" w:leader="dot" w:pos="9016"/>
            </w:tabs>
            <w:rPr>
              <w:rFonts w:asciiTheme="minorHAnsi" w:eastAsiaTheme="minorEastAsia" w:hAnsiTheme="minorHAnsi"/>
              <w:noProof/>
              <w:kern w:val="2"/>
              <w:szCs w:val="24"/>
            </w:rPr>
          </w:pPr>
          <w:hyperlink w:anchor="_Toc238725514" w:history="1">
            <w:r w:rsidR="00F93449" w:rsidRPr="003104C9">
              <w:rPr>
                <w:rStyle w:val="Hyperlink"/>
                <w:noProof/>
              </w:rPr>
              <w:t>3.3.1. Definition of Search Strategy</w:t>
            </w:r>
            <w:r w:rsidR="00F93449">
              <w:rPr>
                <w:noProof/>
                <w:webHidden/>
              </w:rPr>
              <w:tab/>
            </w:r>
            <w:r>
              <w:rPr>
                <w:noProof/>
                <w:webHidden/>
              </w:rPr>
              <w:fldChar w:fldCharType="begin"/>
            </w:r>
            <w:r w:rsidR="00F93449">
              <w:rPr>
                <w:noProof/>
                <w:webHidden/>
              </w:rPr>
              <w:instrText xml:space="preserve"> PAGEREF _Toc238725514 \h </w:instrText>
            </w:r>
            <w:r>
              <w:rPr>
                <w:noProof/>
                <w:webHidden/>
              </w:rPr>
            </w:r>
            <w:r>
              <w:rPr>
                <w:noProof/>
                <w:webHidden/>
              </w:rPr>
              <w:fldChar w:fldCharType="separate"/>
            </w:r>
            <w:r w:rsidR="00F93449">
              <w:rPr>
                <w:noProof/>
                <w:webHidden/>
              </w:rPr>
              <w:t>15</w:t>
            </w:r>
            <w:r>
              <w:rPr>
                <w:noProof/>
                <w:webHidden/>
              </w:rPr>
              <w:fldChar w:fldCharType="end"/>
            </w:r>
          </w:hyperlink>
        </w:p>
        <w:p w:rsidR="00F93449" w:rsidRDefault="00AD1081">
          <w:pPr>
            <w:pStyle w:val="TOC3"/>
            <w:tabs>
              <w:tab w:val="right" w:leader="dot" w:pos="9016"/>
            </w:tabs>
            <w:rPr>
              <w:rFonts w:asciiTheme="minorHAnsi" w:eastAsiaTheme="minorEastAsia" w:hAnsiTheme="minorHAnsi"/>
              <w:noProof/>
              <w:kern w:val="2"/>
              <w:szCs w:val="24"/>
            </w:rPr>
          </w:pPr>
          <w:hyperlink w:anchor="_Toc238725515" w:history="1">
            <w:r w:rsidR="00F93449" w:rsidRPr="003104C9">
              <w:rPr>
                <w:rStyle w:val="Hyperlink"/>
                <w:noProof/>
              </w:rPr>
              <w:t>3.3.2. Comprehensive Search and Time Limit Process</w:t>
            </w:r>
            <w:r w:rsidR="00F93449">
              <w:rPr>
                <w:noProof/>
                <w:webHidden/>
              </w:rPr>
              <w:tab/>
            </w:r>
            <w:r>
              <w:rPr>
                <w:noProof/>
                <w:webHidden/>
              </w:rPr>
              <w:fldChar w:fldCharType="begin"/>
            </w:r>
            <w:r w:rsidR="00F93449">
              <w:rPr>
                <w:noProof/>
                <w:webHidden/>
              </w:rPr>
              <w:instrText xml:space="preserve"> PAGEREF _Toc238725515 \h </w:instrText>
            </w:r>
            <w:r>
              <w:rPr>
                <w:noProof/>
                <w:webHidden/>
              </w:rPr>
            </w:r>
            <w:r>
              <w:rPr>
                <w:noProof/>
                <w:webHidden/>
              </w:rPr>
              <w:fldChar w:fldCharType="separate"/>
            </w:r>
            <w:r w:rsidR="00F93449">
              <w:rPr>
                <w:noProof/>
                <w:webHidden/>
              </w:rPr>
              <w:t>15</w:t>
            </w:r>
            <w:r>
              <w:rPr>
                <w:noProof/>
                <w:webHidden/>
              </w:rPr>
              <w:fldChar w:fldCharType="end"/>
            </w:r>
          </w:hyperlink>
        </w:p>
        <w:p w:rsidR="00F93449" w:rsidRDefault="00AD1081">
          <w:pPr>
            <w:pStyle w:val="TOC2"/>
            <w:tabs>
              <w:tab w:val="right" w:leader="dot" w:pos="9016"/>
            </w:tabs>
            <w:rPr>
              <w:rFonts w:asciiTheme="minorHAnsi" w:eastAsiaTheme="minorEastAsia" w:hAnsiTheme="minorHAnsi"/>
              <w:noProof/>
              <w:kern w:val="2"/>
              <w:szCs w:val="24"/>
            </w:rPr>
          </w:pPr>
          <w:hyperlink w:anchor="_Toc238725516" w:history="1">
            <w:r w:rsidR="00F93449" w:rsidRPr="003104C9">
              <w:rPr>
                <w:rStyle w:val="Hyperlink"/>
                <w:noProof/>
              </w:rPr>
              <w:t>3.4. Search Terms</w:t>
            </w:r>
            <w:r w:rsidR="00F93449">
              <w:rPr>
                <w:noProof/>
                <w:webHidden/>
              </w:rPr>
              <w:tab/>
            </w:r>
            <w:r>
              <w:rPr>
                <w:noProof/>
                <w:webHidden/>
              </w:rPr>
              <w:fldChar w:fldCharType="begin"/>
            </w:r>
            <w:r w:rsidR="00F93449">
              <w:rPr>
                <w:noProof/>
                <w:webHidden/>
              </w:rPr>
              <w:instrText xml:space="preserve"> PAGEREF _Toc238725516 \h </w:instrText>
            </w:r>
            <w:r>
              <w:rPr>
                <w:noProof/>
                <w:webHidden/>
              </w:rPr>
            </w:r>
            <w:r>
              <w:rPr>
                <w:noProof/>
                <w:webHidden/>
              </w:rPr>
              <w:fldChar w:fldCharType="separate"/>
            </w:r>
            <w:r w:rsidR="00F93449">
              <w:rPr>
                <w:noProof/>
                <w:webHidden/>
              </w:rPr>
              <w:t>15</w:t>
            </w:r>
            <w:r>
              <w:rPr>
                <w:noProof/>
                <w:webHidden/>
              </w:rPr>
              <w:fldChar w:fldCharType="end"/>
            </w:r>
          </w:hyperlink>
        </w:p>
        <w:p w:rsidR="00F93449" w:rsidRDefault="00AD1081">
          <w:pPr>
            <w:pStyle w:val="TOC3"/>
            <w:tabs>
              <w:tab w:val="right" w:leader="dot" w:pos="9016"/>
            </w:tabs>
            <w:rPr>
              <w:rFonts w:asciiTheme="minorHAnsi" w:eastAsiaTheme="minorEastAsia" w:hAnsiTheme="minorHAnsi"/>
              <w:noProof/>
              <w:kern w:val="2"/>
              <w:szCs w:val="24"/>
            </w:rPr>
          </w:pPr>
          <w:hyperlink w:anchor="_Toc238725517" w:history="1">
            <w:r w:rsidR="00F93449" w:rsidRPr="003104C9">
              <w:rPr>
                <w:rStyle w:val="Hyperlink"/>
                <w:noProof/>
              </w:rPr>
              <w:t>3.4.1. Definition and Importance of Search Terms</w:t>
            </w:r>
            <w:r w:rsidR="00F93449">
              <w:rPr>
                <w:noProof/>
                <w:webHidden/>
              </w:rPr>
              <w:tab/>
            </w:r>
            <w:r>
              <w:rPr>
                <w:noProof/>
                <w:webHidden/>
              </w:rPr>
              <w:fldChar w:fldCharType="begin"/>
            </w:r>
            <w:r w:rsidR="00F93449">
              <w:rPr>
                <w:noProof/>
                <w:webHidden/>
              </w:rPr>
              <w:instrText xml:space="preserve"> PAGEREF _Toc238725517 \h </w:instrText>
            </w:r>
            <w:r>
              <w:rPr>
                <w:noProof/>
                <w:webHidden/>
              </w:rPr>
            </w:r>
            <w:r>
              <w:rPr>
                <w:noProof/>
                <w:webHidden/>
              </w:rPr>
              <w:fldChar w:fldCharType="separate"/>
            </w:r>
            <w:r w:rsidR="00F93449">
              <w:rPr>
                <w:noProof/>
                <w:webHidden/>
              </w:rPr>
              <w:t>15</w:t>
            </w:r>
            <w:r>
              <w:rPr>
                <w:noProof/>
                <w:webHidden/>
              </w:rPr>
              <w:fldChar w:fldCharType="end"/>
            </w:r>
          </w:hyperlink>
        </w:p>
        <w:p w:rsidR="00F93449" w:rsidRDefault="00AD1081">
          <w:pPr>
            <w:pStyle w:val="TOC3"/>
            <w:tabs>
              <w:tab w:val="right" w:leader="dot" w:pos="9016"/>
            </w:tabs>
            <w:rPr>
              <w:rFonts w:asciiTheme="minorHAnsi" w:eastAsiaTheme="minorEastAsia" w:hAnsiTheme="minorHAnsi"/>
              <w:noProof/>
              <w:kern w:val="2"/>
              <w:szCs w:val="24"/>
            </w:rPr>
          </w:pPr>
          <w:hyperlink w:anchor="_Toc238725518" w:history="1">
            <w:r w:rsidR="00F93449" w:rsidRPr="003104C9">
              <w:rPr>
                <w:rStyle w:val="Hyperlink"/>
                <w:noProof/>
              </w:rPr>
              <w:t>3.4.2. Searching with Synonyms</w:t>
            </w:r>
            <w:r w:rsidR="00F93449">
              <w:rPr>
                <w:noProof/>
                <w:webHidden/>
              </w:rPr>
              <w:tab/>
            </w:r>
            <w:r>
              <w:rPr>
                <w:noProof/>
                <w:webHidden/>
              </w:rPr>
              <w:fldChar w:fldCharType="begin"/>
            </w:r>
            <w:r w:rsidR="00F93449">
              <w:rPr>
                <w:noProof/>
                <w:webHidden/>
              </w:rPr>
              <w:instrText xml:space="preserve"> PAGEREF _Toc238725518 \h </w:instrText>
            </w:r>
            <w:r>
              <w:rPr>
                <w:noProof/>
                <w:webHidden/>
              </w:rPr>
            </w:r>
            <w:r>
              <w:rPr>
                <w:noProof/>
                <w:webHidden/>
              </w:rPr>
              <w:fldChar w:fldCharType="separate"/>
            </w:r>
            <w:r w:rsidR="00F93449">
              <w:rPr>
                <w:noProof/>
                <w:webHidden/>
              </w:rPr>
              <w:t>16</w:t>
            </w:r>
            <w:r>
              <w:rPr>
                <w:noProof/>
                <w:webHidden/>
              </w:rPr>
              <w:fldChar w:fldCharType="end"/>
            </w:r>
          </w:hyperlink>
        </w:p>
        <w:p w:rsidR="00F93449" w:rsidRDefault="00AD1081">
          <w:pPr>
            <w:pStyle w:val="TOC3"/>
            <w:tabs>
              <w:tab w:val="right" w:leader="dot" w:pos="9016"/>
            </w:tabs>
            <w:rPr>
              <w:rFonts w:asciiTheme="minorHAnsi" w:eastAsiaTheme="minorEastAsia" w:hAnsiTheme="minorHAnsi"/>
              <w:noProof/>
              <w:kern w:val="2"/>
              <w:szCs w:val="24"/>
            </w:rPr>
          </w:pPr>
          <w:hyperlink w:anchor="_Toc238725519" w:history="1">
            <w:r w:rsidR="00F93449" w:rsidRPr="003104C9">
              <w:rPr>
                <w:rStyle w:val="Hyperlink"/>
                <w:noProof/>
              </w:rPr>
              <w:t>3.4.3. Development of Search Terms Using the PECO Framework</w:t>
            </w:r>
            <w:r w:rsidR="00F93449">
              <w:rPr>
                <w:noProof/>
                <w:webHidden/>
              </w:rPr>
              <w:tab/>
            </w:r>
            <w:r>
              <w:rPr>
                <w:noProof/>
                <w:webHidden/>
              </w:rPr>
              <w:fldChar w:fldCharType="begin"/>
            </w:r>
            <w:r w:rsidR="00F93449">
              <w:rPr>
                <w:noProof/>
                <w:webHidden/>
              </w:rPr>
              <w:instrText xml:space="preserve"> PAGEREF _Toc238725519 \h </w:instrText>
            </w:r>
            <w:r>
              <w:rPr>
                <w:noProof/>
                <w:webHidden/>
              </w:rPr>
            </w:r>
            <w:r>
              <w:rPr>
                <w:noProof/>
                <w:webHidden/>
              </w:rPr>
              <w:fldChar w:fldCharType="separate"/>
            </w:r>
            <w:r w:rsidR="00F93449">
              <w:rPr>
                <w:noProof/>
                <w:webHidden/>
              </w:rPr>
              <w:t>16</w:t>
            </w:r>
            <w:r>
              <w:rPr>
                <w:noProof/>
                <w:webHidden/>
              </w:rPr>
              <w:fldChar w:fldCharType="end"/>
            </w:r>
          </w:hyperlink>
        </w:p>
        <w:p w:rsidR="00F93449" w:rsidRDefault="00AD1081">
          <w:pPr>
            <w:pStyle w:val="TOC2"/>
            <w:tabs>
              <w:tab w:val="right" w:leader="dot" w:pos="9016"/>
            </w:tabs>
            <w:rPr>
              <w:rFonts w:asciiTheme="minorHAnsi" w:eastAsiaTheme="minorEastAsia" w:hAnsiTheme="minorHAnsi"/>
              <w:noProof/>
              <w:kern w:val="2"/>
              <w:szCs w:val="24"/>
            </w:rPr>
          </w:pPr>
          <w:hyperlink w:anchor="_Toc238725520" w:history="1">
            <w:r w:rsidR="00F93449" w:rsidRPr="003104C9">
              <w:rPr>
                <w:rStyle w:val="Hyperlink"/>
                <w:noProof/>
              </w:rPr>
              <w:t>3.5. Keywords</w:t>
            </w:r>
            <w:r w:rsidR="00F93449">
              <w:rPr>
                <w:noProof/>
                <w:webHidden/>
              </w:rPr>
              <w:tab/>
            </w:r>
            <w:r>
              <w:rPr>
                <w:noProof/>
                <w:webHidden/>
              </w:rPr>
              <w:fldChar w:fldCharType="begin"/>
            </w:r>
            <w:r w:rsidR="00F93449">
              <w:rPr>
                <w:noProof/>
                <w:webHidden/>
              </w:rPr>
              <w:instrText xml:space="preserve"> PAGEREF _Toc238725520 \h </w:instrText>
            </w:r>
            <w:r>
              <w:rPr>
                <w:noProof/>
                <w:webHidden/>
              </w:rPr>
            </w:r>
            <w:r>
              <w:rPr>
                <w:noProof/>
                <w:webHidden/>
              </w:rPr>
              <w:fldChar w:fldCharType="separate"/>
            </w:r>
            <w:r w:rsidR="00F93449">
              <w:rPr>
                <w:noProof/>
                <w:webHidden/>
              </w:rPr>
              <w:t>16</w:t>
            </w:r>
            <w:r>
              <w:rPr>
                <w:noProof/>
                <w:webHidden/>
              </w:rPr>
              <w:fldChar w:fldCharType="end"/>
            </w:r>
          </w:hyperlink>
        </w:p>
        <w:p w:rsidR="00F93449" w:rsidRDefault="00AD1081">
          <w:pPr>
            <w:pStyle w:val="TOC3"/>
            <w:tabs>
              <w:tab w:val="right" w:leader="dot" w:pos="9016"/>
            </w:tabs>
            <w:rPr>
              <w:rFonts w:asciiTheme="minorHAnsi" w:eastAsiaTheme="minorEastAsia" w:hAnsiTheme="minorHAnsi"/>
              <w:noProof/>
              <w:kern w:val="2"/>
              <w:szCs w:val="24"/>
            </w:rPr>
          </w:pPr>
          <w:hyperlink w:anchor="_Toc238725521" w:history="1">
            <w:r w:rsidR="00F93449" w:rsidRPr="003104C9">
              <w:rPr>
                <w:rStyle w:val="Hyperlink"/>
                <w:noProof/>
              </w:rPr>
              <w:t>3.5.1. Importance of Keywords</w:t>
            </w:r>
            <w:r w:rsidR="00F93449">
              <w:rPr>
                <w:noProof/>
                <w:webHidden/>
              </w:rPr>
              <w:tab/>
            </w:r>
            <w:r>
              <w:rPr>
                <w:noProof/>
                <w:webHidden/>
              </w:rPr>
              <w:fldChar w:fldCharType="begin"/>
            </w:r>
            <w:r w:rsidR="00F93449">
              <w:rPr>
                <w:noProof/>
                <w:webHidden/>
              </w:rPr>
              <w:instrText xml:space="preserve"> PAGEREF _Toc238725521 \h </w:instrText>
            </w:r>
            <w:r>
              <w:rPr>
                <w:noProof/>
                <w:webHidden/>
              </w:rPr>
            </w:r>
            <w:r>
              <w:rPr>
                <w:noProof/>
                <w:webHidden/>
              </w:rPr>
              <w:fldChar w:fldCharType="separate"/>
            </w:r>
            <w:r w:rsidR="00F93449">
              <w:rPr>
                <w:noProof/>
                <w:webHidden/>
              </w:rPr>
              <w:t>16</w:t>
            </w:r>
            <w:r>
              <w:rPr>
                <w:noProof/>
                <w:webHidden/>
              </w:rPr>
              <w:fldChar w:fldCharType="end"/>
            </w:r>
          </w:hyperlink>
        </w:p>
        <w:p w:rsidR="00F93449" w:rsidRDefault="00AD1081">
          <w:pPr>
            <w:pStyle w:val="TOC2"/>
            <w:tabs>
              <w:tab w:val="right" w:leader="dot" w:pos="9016"/>
            </w:tabs>
            <w:rPr>
              <w:rFonts w:asciiTheme="minorHAnsi" w:eastAsiaTheme="minorEastAsia" w:hAnsiTheme="minorHAnsi"/>
              <w:noProof/>
              <w:kern w:val="2"/>
              <w:szCs w:val="24"/>
            </w:rPr>
          </w:pPr>
          <w:hyperlink w:anchor="_Toc238725522" w:history="1">
            <w:r w:rsidR="00F93449" w:rsidRPr="003104C9">
              <w:rPr>
                <w:rStyle w:val="Hyperlink"/>
                <w:noProof/>
              </w:rPr>
              <w:t>3.6. Information Sources</w:t>
            </w:r>
            <w:r w:rsidR="00F93449">
              <w:rPr>
                <w:noProof/>
                <w:webHidden/>
              </w:rPr>
              <w:tab/>
            </w:r>
            <w:r>
              <w:rPr>
                <w:noProof/>
                <w:webHidden/>
              </w:rPr>
              <w:fldChar w:fldCharType="begin"/>
            </w:r>
            <w:r w:rsidR="00F93449">
              <w:rPr>
                <w:noProof/>
                <w:webHidden/>
              </w:rPr>
              <w:instrText xml:space="preserve"> PAGEREF _Toc238725522 \h </w:instrText>
            </w:r>
            <w:r>
              <w:rPr>
                <w:noProof/>
                <w:webHidden/>
              </w:rPr>
            </w:r>
            <w:r>
              <w:rPr>
                <w:noProof/>
                <w:webHidden/>
              </w:rPr>
              <w:fldChar w:fldCharType="separate"/>
            </w:r>
            <w:r w:rsidR="00F93449">
              <w:rPr>
                <w:noProof/>
                <w:webHidden/>
              </w:rPr>
              <w:t>17</w:t>
            </w:r>
            <w:r>
              <w:rPr>
                <w:noProof/>
                <w:webHidden/>
              </w:rPr>
              <w:fldChar w:fldCharType="end"/>
            </w:r>
          </w:hyperlink>
        </w:p>
        <w:p w:rsidR="00F93449" w:rsidRDefault="00AD1081">
          <w:pPr>
            <w:pStyle w:val="TOC3"/>
            <w:tabs>
              <w:tab w:val="right" w:leader="dot" w:pos="9016"/>
            </w:tabs>
            <w:rPr>
              <w:rFonts w:asciiTheme="minorHAnsi" w:eastAsiaTheme="minorEastAsia" w:hAnsiTheme="minorHAnsi"/>
              <w:noProof/>
              <w:kern w:val="2"/>
              <w:szCs w:val="24"/>
            </w:rPr>
          </w:pPr>
          <w:hyperlink w:anchor="_Toc238725523" w:history="1">
            <w:r w:rsidR="00F93449" w:rsidRPr="003104C9">
              <w:rPr>
                <w:rStyle w:val="Hyperlink"/>
                <w:noProof/>
              </w:rPr>
              <w:t>3.6.1. Search Process</w:t>
            </w:r>
            <w:r w:rsidR="00F93449">
              <w:rPr>
                <w:noProof/>
                <w:webHidden/>
              </w:rPr>
              <w:tab/>
            </w:r>
            <w:r>
              <w:rPr>
                <w:noProof/>
                <w:webHidden/>
              </w:rPr>
              <w:fldChar w:fldCharType="begin"/>
            </w:r>
            <w:r w:rsidR="00F93449">
              <w:rPr>
                <w:noProof/>
                <w:webHidden/>
              </w:rPr>
              <w:instrText xml:space="preserve"> PAGEREF _Toc238725523 \h </w:instrText>
            </w:r>
            <w:r>
              <w:rPr>
                <w:noProof/>
                <w:webHidden/>
              </w:rPr>
            </w:r>
            <w:r>
              <w:rPr>
                <w:noProof/>
                <w:webHidden/>
              </w:rPr>
              <w:fldChar w:fldCharType="separate"/>
            </w:r>
            <w:r w:rsidR="00F93449">
              <w:rPr>
                <w:noProof/>
                <w:webHidden/>
              </w:rPr>
              <w:t>17</w:t>
            </w:r>
            <w:r>
              <w:rPr>
                <w:noProof/>
                <w:webHidden/>
              </w:rPr>
              <w:fldChar w:fldCharType="end"/>
            </w:r>
          </w:hyperlink>
        </w:p>
        <w:p w:rsidR="00F93449" w:rsidRDefault="00AD1081">
          <w:pPr>
            <w:pStyle w:val="TOC2"/>
            <w:tabs>
              <w:tab w:val="right" w:leader="dot" w:pos="9016"/>
            </w:tabs>
            <w:rPr>
              <w:rFonts w:asciiTheme="minorHAnsi" w:eastAsiaTheme="minorEastAsia" w:hAnsiTheme="minorHAnsi"/>
              <w:noProof/>
              <w:kern w:val="2"/>
              <w:szCs w:val="24"/>
            </w:rPr>
          </w:pPr>
          <w:hyperlink w:anchor="_Toc238725524" w:history="1">
            <w:r w:rsidR="00F93449" w:rsidRPr="003104C9">
              <w:rPr>
                <w:rStyle w:val="Hyperlink"/>
                <w:noProof/>
              </w:rPr>
              <w:t>3.7. Inclusion and Exclusion Criteria</w:t>
            </w:r>
            <w:r w:rsidR="00F93449">
              <w:rPr>
                <w:noProof/>
                <w:webHidden/>
              </w:rPr>
              <w:tab/>
            </w:r>
            <w:r>
              <w:rPr>
                <w:noProof/>
                <w:webHidden/>
              </w:rPr>
              <w:fldChar w:fldCharType="begin"/>
            </w:r>
            <w:r w:rsidR="00F93449">
              <w:rPr>
                <w:noProof/>
                <w:webHidden/>
              </w:rPr>
              <w:instrText xml:space="preserve"> PAGEREF _Toc238725524 \h </w:instrText>
            </w:r>
            <w:r>
              <w:rPr>
                <w:noProof/>
                <w:webHidden/>
              </w:rPr>
            </w:r>
            <w:r>
              <w:rPr>
                <w:noProof/>
                <w:webHidden/>
              </w:rPr>
              <w:fldChar w:fldCharType="separate"/>
            </w:r>
            <w:r w:rsidR="00F93449">
              <w:rPr>
                <w:noProof/>
                <w:webHidden/>
              </w:rPr>
              <w:t>17</w:t>
            </w:r>
            <w:r>
              <w:rPr>
                <w:noProof/>
                <w:webHidden/>
              </w:rPr>
              <w:fldChar w:fldCharType="end"/>
            </w:r>
          </w:hyperlink>
        </w:p>
        <w:p w:rsidR="00F93449" w:rsidRDefault="00AD1081">
          <w:pPr>
            <w:pStyle w:val="TOC2"/>
            <w:tabs>
              <w:tab w:val="right" w:leader="dot" w:pos="9016"/>
            </w:tabs>
            <w:rPr>
              <w:rFonts w:asciiTheme="minorHAnsi" w:eastAsiaTheme="minorEastAsia" w:hAnsiTheme="minorHAnsi"/>
              <w:noProof/>
              <w:kern w:val="2"/>
              <w:szCs w:val="24"/>
            </w:rPr>
          </w:pPr>
          <w:hyperlink w:anchor="_Toc238725525" w:history="1">
            <w:r w:rsidR="00F93449" w:rsidRPr="003104C9">
              <w:rPr>
                <w:rStyle w:val="Hyperlink"/>
                <w:noProof/>
              </w:rPr>
              <w:t>3.8. Search Results</w:t>
            </w:r>
            <w:r w:rsidR="00F93449">
              <w:rPr>
                <w:noProof/>
                <w:webHidden/>
              </w:rPr>
              <w:tab/>
            </w:r>
            <w:r>
              <w:rPr>
                <w:noProof/>
                <w:webHidden/>
              </w:rPr>
              <w:fldChar w:fldCharType="begin"/>
            </w:r>
            <w:r w:rsidR="00F93449">
              <w:rPr>
                <w:noProof/>
                <w:webHidden/>
              </w:rPr>
              <w:instrText xml:space="preserve"> PAGEREF _Toc238725525 \h </w:instrText>
            </w:r>
            <w:r>
              <w:rPr>
                <w:noProof/>
                <w:webHidden/>
              </w:rPr>
            </w:r>
            <w:r>
              <w:rPr>
                <w:noProof/>
                <w:webHidden/>
              </w:rPr>
              <w:fldChar w:fldCharType="separate"/>
            </w:r>
            <w:r w:rsidR="00F93449">
              <w:rPr>
                <w:noProof/>
                <w:webHidden/>
              </w:rPr>
              <w:t>18</w:t>
            </w:r>
            <w:r>
              <w:rPr>
                <w:noProof/>
                <w:webHidden/>
              </w:rPr>
              <w:fldChar w:fldCharType="end"/>
            </w:r>
          </w:hyperlink>
        </w:p>
        <w:p w:rsidR="00F93449" w:rsidRDefault="00AD1081">
          <w:pPr>
            <w:pStyle w:val="TOC3"/>
            <w:tabs>
              <w:tab w:val="right" w:leader="dot" w:pos="9016"/>
            </w:tabs>
            <w:rPr>
              <w:rFonts w:asciiTheme="minorHAnsi" w:eastAsiaTheme="minorEastAsia" w:hAnsiTheme="minorHAnsi"/>
              <w:noProof/>
              <w:kern w:val="2"/>
              <w:szCs w:val="24"/>
            </w:rPr>
          </w:pPr>
          <w:hyperlink w:anchor="_Toc238725526" w:history="1">
            <w:r w:rsidR="00F93449" w:rsidRPr="003104C9">
              <w:rPr>
                <w:rStyle w:val="Hyperlink"/>
                <w:noProof/>
              </w:rPr>
              <w:t>3.8.1. PRISMA Flow Diagram</w:t>
            </w:r>
            <w:r w:rsidR="00F93449">
              <w:rPr>
                <w:noProof/>
                <w:webHidden/>
              </w:rPr>
              <w:tab/>
            </w:r>
            <w:r>
              <w:rPr>
                <w:noProof/>
                <w:webHidden/>
              </w:rPr>
              <w:fldChar w:fldCharType="begin"/>
            </w:r>
            <w:r w:rsidR="00F93449">
              <w:rPr>
                <w:noProof/>
                <w:webHidden/>
              </w:rPr>
              <w:instrText xml:space="preserve"> PAGEREF _Toc238725526 \h </w:instrText>
            </w:r>
            <w:r>
              <w:rPr>
                <w:noProof/>
                <w:webHidden/>
              </w:rPr>
            </w:r>
            <w:r>
              <w:rPr>
                <w:noProof/>
                <w:webHidden/>
              </w:rPr>
              <w:fldChar w:fldCharType="separate"/>
            </w:r>
            <w:r w:rsidR="00F93449">
              <w:rPr>
                <w:noProof/>
                <w:webHidden/>
              </w:rPr>
              <w:t>18</w:t>
            </w:r>
            <w:r>
              <w:rPr>
                <w:noProof/>
                <w:webHidden/>
              </w:rPr>
              <w:fldChar w:fldCharType="end"/>
            </w:r>
          </w:hyperlink>
        </w:p>
        <w:p w:rsidR="00F93449" w:rsidRDefault="00AD1081">
          <w:pPr>
            <w:pStyle w:val="TOC2"/>
            <w:tabs>
              <w:tab w:val="right" w:leader="dot" w:pos="9016"/>
            </w:tabs>
            <w:rPr>
              <w:rFonts w:asciiTheme="minorHAnsi" w:eastAsiaTheme="minorEastAsia" w:hAnsiTheme="minorHAnsi"/>
              <w:noProof/>
              <w:kern w:val="2"/>
              <w:szCs w:val="24"/>
            </w:rPr>
          </w:pPr>
          <w:hyperlink w:anchor="_Toc238725527" w:history="1">
            <w:r w:rsidR="00F93449" w:rsidRPr="003104C9">
              <w:rPr>
                <w:rStyle w:val="Hyperlink"/>
                <w:noProof/>
              </w:rPr>
              <w:t>3.9. Quality Appraisal</w:t>
            </w:r>
            <w:r w:rsidR="00F93449">
              <w:rPr>
                <w:noProof/>
                <w:webHidden/>
              </w:rPr>
              <w:tab/>
            </w:r>
            <w:r>
              <w:rPr>
                <w:noProof/>
                <w:webHidden/>
              </w:rPr>
              <w:fldChar w:fldCharType="begin"/>
            </w:r>
            <w:r w:rsidR="00F93449">
              <w:rPr>
                <w:noProof/>
                <w:webHidden/>
              </w:rPr>
              <w:instrText xml:space="preserve"> PAGEREF _Toc238725527 \h </w:instrText>
            </w:r>
            <w:r>
              <w:rPr>
                <w:noProof/>
                <w:webHidden/>
              </w:rPr>
            </w:r>
            <w:r>
              <w:rPr>
                <w:noProof/>
                <w:webHidden/>
              </w:rPr>
              <w:fldChar w:fldCharType="separate"/>
            </w:r>
            <w:r w:rsidR="00F93449">
              <w:rPr>
                <w:noProof/>
                <w:webHidden/>
              </w:rPr>
              <w:t>19</w:t>
            </w:r>
            <w:r>
              <w:rPr>
                <w:noProof/>
                <w:webHidden/>
              </w:rPr>
              <w:fldChar w:fldCharType="end"/>
            </w:r>
          </w:hyperlink>
        </w:p>
        <w:p w:rsidR="00F93449" w:rsidRDefault="00AD1081">
          <w:pPr>
            <w:pStyle w:val="TOC2"/>
            <w:tabs>
              <w:tab w:val="right" w:leader="dot" w:pos="9016"/>
            </w:tabs>
            <w:rPr>
              <w:rFonts w:asciiTheme="minorHAnsi" w:eastAsiaTheme="minorEastAsia" w:hAnsiTheme="minorHAnsi"/>
              <w:noProof/>
              <w:kern w:val="2"/>
              <w:szCs w:val="24"/>
            </w:rPr>
          </w:pPr>
          <w:hyperlink w:anchor="_Toc238725528" w:history="1">
            <w:r w:rsidR="00F93449" w:rsidRPr="003104C9">
              <w:rPr>
                <w:rStyle w:val="Hyperlink"/>
                <w:noProof/>
              </w:rPr>
              <w:t>3.10. Data Synthesis and Analysis</w:t>
            </w:r>
            <w:r w:rsidR="00F93449">
              <w:rPr>
                <w:noProof/>
                <w:webHidden/>
              </w:rPr>
              <w:tab/>
            </w:r>
            <w:r>
              <w:rPr>
                <w:noProof/>
                <w:webHidden/>
              </w:rPr>
              <w:fldChar w:fldCharType="begin"/>
            </w:r>
            <w:r w:rsidR="00F93449">
              <w:rPr>
                <w:noProof/>
                <w:webHidden/>
              </w:rPr>
              <w:instrText xml:space="preserve"> PAGEREF _Toc238725528 \h </w:instrText>
            </w:r>
            <w:r>
              <w:rPr>
                <w:noProof/>
                <w:webHidden/>
              </w:rPr>
            </w:r>
            <w:r>
              <w:rPr>
                <w:noProof/>
                <w:webHidden/>
              </w:rPr>
              <w:fldChar w:fldCharType="separate"/>
            </w:r>
            <w:r w:rsidR="00F93449">
              <w:rPr>
                <w:noProof/>
                <w:webHidden/>
              </w:rPr>
              <w:t>20</w:t>
            </w:r>
            <w:r>
              <w:rPr>
                <w:noProof/>
                <w:webHidden/>
              </w:rPr>
              <w:fldChar w:fldCharType="end"/>
            </w:r>
          </w:hyperlink>
        </w:p>
        <w:p w:rsidR="00F93449" w:rsidRDefault="00AD1081">
          <w:pPr>
            <w:pStyle w:val="TOC2"/>
            <w:tabs>
              <w:tab w:val="right" w:leader="dot" w:pos="9016"/>
            </w:tabs>
            <w:rPr>
              <w:rFonts w:asciiTheme="minorHAnsi" w:eastAsiaTheme="minorEastAsia" w:hAnsiTheme="minorHAnsi"/>
              <w:noProof/>
              <w:kern w:val="2"/>
              <w:szCs w:val="24"/>
            </w:rPr>
          </w:pPr>
          <w:hyperlink w:anchor="_Toc238725529" w:history="1">
            <w:r w:rsidR="00F93449" w:rsidRPr="003104C9">
              <w:rPr>
                <w:rStyle w:val="Hyperlink"/>
                <w:noProof/>
              </w:rPr>
              <w:t>3.11. Ethical Considerations</w:t>
            </w:r>
            <w:r w:rsidR="00F93449">
              <w:rPr>
                <w:noProof/>
                <w:webHidden/>
              </w:rPr>
              <w:tab/>
            </w:r>
            <w:r>
              <w:rPr>
                <w:noProof/>
                <w:webHidden/>
              </w:rPr>
              <w:fldChar w:fldCharType="begin"/>
            </w:r>
            <w:r w:rsidR="00F93449">
              <w:rPr>
                <w:noProof/>
                <w:webHidden/>
              </w:rPr>
              <w:instrText xml:space="preserve"> PAGEREF _Toc238725529 \h </w:instrText>
            </w:r>
            <w:r>
              <w:rPr>
                <w:noProof/>
                <w:webHidden/>
              </w:rPr>
            </w:r>
            <w:r>
              <w:rPr>
                <w:noProof/>
                <w:webHidden/>
              </w:rPr>
              <w:fldChar w:fldCharType="separate"/>
            </w:r>
            <w:r w:rsidR="00F93449">
              <w:rPr>
                <w:noProof/>
                <w:webHidden/>
              </w:rPr>
              <w:t>21</w:t>
            </w:r>
            <w:r>
              <w:rPr>
                <w:noProof/>
                <w:webHidden/>
              </w:rPr>
              <w:fldChar w:fldCharType="end"/>
            </w:r>
          </w:hyperlink>
        </w:p>
        <w:p w:rsidR="00F93449" w:rsidRDefault="00AD1081">
          <w:pPr>
            <w:pStyle w:val="TOC2"/>
            <w:tabs>
              <w:tab w:val="right" w:leader="dot" w:pos="9016"/>
            </w:tabs>
            <w:rPr>
              <w:rFonts w:asciiTheme="minorHAnsi" w:eastAsiaTheme="minorEastAsia" w:hAnsiTheme="minorHAnsi"/>
              <w:noProof/>
              <w:kern w:val="2"/>
              <w:szCs w:val="24"/>
            </w:rPr>
          </w:pPr>
          <w:hyperlink w:anchor="_Toc238725530" w:history="1">
            <w:r w:rsidR="00F93449" w:rsidRPr="003104C9">
              <w:rPr>
                <w:rStyle w:val="Hyperlink"/>
                <w:noProof/>
              </w:rPr>
              <w:t>3.12. Trustworthiness and Rigour</w:t>
            </w:r>
            <w:r w:rsidR="00F93449">
              <w:rPr>
                <w:noProof/>
                <w:webHidden/>
              </w:rPr>
              <w:tab/>
            </w:r>
            <w:r>
              <w:rPr>
                <w:noProof/>
                <w:webHidden/>
              </w:rPr>
              <w:fldChar w:fldCharType="begin"/>
            </w:r>
            <w:r w:rsidR="00F93449">
              <w:rPr>
                <w:noProof/>
                <w:webHidden/>
              </w:rPr>
              <w:instrText xml:space="preserve"> PAGEREF _Toc238725530 \h </w:instrText>
            </w:r>
            <w:r>
              <w:rPr>
                <w:noProof/>
                <w:webHidden/>
              </w:rPr>
            </w:r>
            <w:r>
              <w:rPr>
                <w:noProof/>
                <w:webHidden/>
              </w:rPr>
              <w:fldChar w:fldCharType="separate"/>
            </w:r>
            <w:r w:rsidR="00F93449">
              <w:rPr>
                <w:noProof/>
                <w:webHidden/>
              </w:rPr>
              <w:t>21</w:t>
            </w:r>
            <w:r>
              <w:rPr>
                <w:noProof/>
                <w:webHidden/>
              </w:rPr>
              <w:fldChar w:fldCharType="end"/>
            </w:r>
          </w:hyperlink>
        </w:p>
        <w:p w:rsidR="00F93449" w:rsidRDefault="00AD1081">
          <w:pPr>
            <w:pStyle w:val="TOC2"/>
            <w:tabs>
              <w:tab w:val="right" w:leader="dot" w:pos="9016"/>
            </w:tabs>
            <w:rPr>
              <w:rFonts w:asciiTheme="minorHAnsi" w:eastAsiaTheme="minorEastAsia" w:hAnsiTheme="minorHAnsi"/>
              <w:noProof/>
              <w:kern w:val="2"/>
              <w:szCs w:val="24"/>
            </w:rPr>
          </w:pPr>
          <w:hyperlink w:anchor="_Toc238725531" w:history="1">
            <w:r w:rsidR="00F93449" w:rsidRPr="003104C9">
              <w:rPr>
                <w:rStyle w:val="Hyperlink"/>
                <w:noProof/>
              </w:rPr>
              <w:t>3.13. Chapter Summary</w:t>
            </w:r>
            <w:r w:rsidR="00F93449">
              <w:rPr>
                <w:noProof/>
                <w:webHidden/>
              </w:rPr>
              <w:tab/>
            </w:r>
            <w:r>
              <w:rPr>
                <w:noProof/>
                <w:webHidden/>
              </w:rPr>
              <w:fldChar w:fldCharType="begin"/>
            </w:r>
            <w:r w:rsidR="00F93449">
              <w:rPr>
                <w:noProof/>
                <w:webHidden/>
              </w:rPr>
              <w:instrText xml:space="preserve"> PAGEREF _Toc238725531 \h </w:instrText>
            </w:r>
            <w:r>
              <w:rPr>
                <w:noProof/>
                <w:webHidden/>
              </w:rPr>
            </w:r>
            <w:r>
              <w:rPr>
                <w:noProof/>
                <w:webHidden/>
              </w:rPr>
              <w:fldChar w:fldCharType="separate"/>
            </w:r>
            <w:r w:rsidR="00F93449">
              <w:rPr>
                <w:noProof/>
                <w:webHidden/>
              </w:rPr>
              <w:t>21</w:t>
            </w:r>
            <w:r>
              <w:rPr>
                <w:noProof/>
                <w:webHidden/>
              </w:rPr>
              <w:fldChar w:fldCharType="end"/>
            </w:r>
          </w:hyperlink>
        </w:p>
        <w:p w:rsidR="00F93449" w:rsidRDefault="00AD1081">
          <w:pPr>
            <w:pStyle w:val="TOC1"/>
            <w:tabs>
              <w:tab w:val="right" w:leader="dot" w:pos="9016"/>
            </w:tabs>
            <w:rPr>
              <w:rFonts w:asciiTheme="minorHAnsi" w:eastAsiaTheme="minorEastAsia" w:hAnsiTheme="minorHAnsi"/>
              <w:noProof/>
              <w:kern w:val="2"/>
              <w:szCs w:val="24"/>
            </w:rPr>
          </w:pPr>
          <w:hyperlink w:anchor="_Toc238725532" w:history="1">
            <w:r w:rsidR="00F93449" w:rsidRPr="003104C9">
              <w:rPr>
                <w:rStyle w:val="Hyperlink"/>
                <w:noProof/>
              </w:rPr>
              <w:t>Chapter 4. Data Extraction and Evaluation</w:t>
            </w:r>
            <w:r w:rsidR="00F93449">
              <w:rPr>
                <w:noProof/>
                <w:webHidden/>
              </w:rPr>
              <w:tab/>
            </w:r>
            <w:r>
              <w:rPr>
                <w:noProof/>
                <w:webHidden/>
              </w:rPr>
              <w:fldChar w:fldCharType="begin"/>
            </w:r>
            <w:r w:rsidR="00F93449">
              <w:rPr>
                <w:noProof/>
                <w:webHidden/>
              </w:rPr>
              <w:instrText xml:space="preserve"> PAGEREF _Toc238725532 \h </w:instrText>
            </w:r>
            <w:r>
              <w:rPr>
                <w:noProof/>
                <w:webHidden/>
              </w:rPr>
            </w:r>
            <w:r>
              <w:rPr>
                <w:noProof/>
                <w:webHidden/>
              </w:rPr>
              <w:fldChar w:fldCharType="separate"/>
            </w:r>
            <w:r w:rsidR="00F93449">
              <w:rPr>
                <w:noProof/>
                <w:webHidden/>
              </w:rPr>
              <w:t>23</w:t>
            </w:r>
            <w:r>
              <w:rPr>
                <w:noProof/>
                <w:webHidden/>
              </w:rPr>
              <w:fldChar w:fldCharType="end"/>
            </w:r>
          </w:hyperlink>
        </w:p>
        <w:p w:rsidR="00F93449" w:rsidRDefault="00AD1081">
          <w:pPr>
            <w:pStyle w:val="TOC2"/>
            <w:tabs>
              <w:tab w:val="right" w:leader="dot" w:pos="9016"/>
            </w:tabs>
            <w:rPr>
              <w:rFonts w:asciiTheme="minorHAnsi" w:eastAsiaTheme="minorEastAsia" w:hAnsiTheme="minorHAnsi"/>
              <w:noProof/>
              <w:kern w:val="2"/>
              <w:szCs w:val="24"/>
            </w:rPr>
          </w:pPr>
          <w:hyperlink w:anchor="_Toc238725533" w:history="1">
            <w:r w:rsidR="00F93449" w:rsidRPr="003104C9">
              <w:rPr>
                <w:rStyle w:val="Hyperlink"/>
                <w:noProof/>
              </w:rPr>
              <w:t>4.1. Introduction</w:t>
            </w:r>
            <w:r w:rsidR="00F93449">
              <w:rPr>
                <w:noProof/>
                <w:webHidden/>
              </w:rPr>
              <w:tab/>
            </w:r>
            <w:r>
              <w:rPr>
                <w:noProof/>
                <w:webHidden/>
              </w:rPr>
              <w:fldChar w:fldCharType="begin"/>
            </w:r>
            <w:r w:rsidR="00F93449">
              <w:rPr>
                <w:noProof/>
                <w:webHidden/>
              </w:rPr>
              <w:instrText xml:space="preserve"> PAGEREF _Toc238725533 \h </w:instrText>
            </w:r>
            <w:r>
              <w:rPr>
                <w:noProof/>
                <w:webHidden/>
              </w:rPr>
            </w:r>
            <w:r>
              <w:rPr>
                <w:noProof/>
                <w:webHidden/>
              </w:rPr>
              <w:fldChar w:fldCharType="separate"/>
            </w:r>
            <w:r w:rsidR="00F93449">
              <w:rPr>
                <w:noProof/>
                <w:webHidden/>
              </w:rPr>
              <w:t>23</w:t>
            </w:r>
            <w:r>
              <w:rPr>
                <w:noProof/>
                <w:webHidden/>
              </w:rPr>
              <w:fldChar w:fldCharType="end"/>
            </w:r>
          </w:hyperlink>
        </w:p>
        <w:p w:rsidR="00F93449" w:rsidRDefault="00AD1081">
          <w:pPr>
            <w:pStyle w:val="TOC2"/>
            <w:tabs>
              <w:tab w:val="right" w:leader="dot" w:pos="9016"/>
            </w:tabs>
            <w:rPr>
              <w:rFonts w:asciiTheme="minorHAnsi" w:eastAsiaTheme="minorEastAsia" w:hAnsiTheme="minorHAnsi"/>
              <w:noProof/>
              <w:kern w:val="2"/>
              <w:szCs w:val="24"/>
            </w:rPr>
          </w:pPr>
          <w:hyperlink w:anchor="_Toc238725534" w:history="1">
            <w:r w:rsidR="00F93449" w:rsidRPr="003104C9">
              <w:rPr>
                <w:rStyle w:val="Hyperlink"/>
                <w:noProof/>
              </w:rPr>
              <w:t>4.2. Data Extraction</w:t>
            </w:r>
            <w:r w:rsidR="00F93449">
              <w:rPr>
                <w:noProof/>
                <w:webHidden/>
              </w:rPr>
              <w:tab/>
            </w:r>
            <w:r>
              <w:rPr>
                <w:noProof/>
                <w:webHidden/>
              </w:rPr>
              <w:fldChar w:fldCharType="begin"/>
            </w:r>
            <w:r w:rsidR="00F93449">
              <w:rPr>
                <w:noProof/>
                <w:webHidden/>
              </w:rPr>
              <w:instrText xml:space="preserve"> PAGEREF _Toc238725534 \h </w:instrText>
            </w:r>
            <w:r>
              <w:rPr>
                <w:noProof/>
                <w:webHidden/>
              </w:rPr>
            </w:r>
            <w:r>
              <w:rPr>
                <w:noProof/>
                <w:webHidden/>
              </w:rPr>
              <w:fldChar w:fldCharType="separate"/>
            </w:r>
            <w:r w:rsidR="00F93449">
              <w:rPr>
                <w:noProof/>
                <w:webHidden/>
              </w:rPr>
              <w:t>23</w:t>
            </w:r>
            <w:r>
              <w:rPr>
                <w:noProof/>
                <w:webHidden/>
              </w:rPr>
              <w:fldChar w:fldCharType="end"/>
            </w:r>
          </w:hyperlink>
        </w:p>
        <w:p w:rsidR="00F93449" w:rsidRDefault="00AD1081">
          <w:pPr>
            <w:pStyle w:val="TOC2"/>
            <w:tabs>
              <w:tab w:val="right" w:leader="dot" w:pos="9016"/>
            </w:tabs>
            <w:rPr>
              <w:rFonts w:asciiTheme="minorHAnsi" w:eastAsiaTheme="minorEastAsia" w:hAnsiTheme="minorHAnsi"/>
              <w:noProof/>
              <w:kern w:val="2"/>
              <w:szCs w:val="24"/>
            </w:rPr>
          </w:pPr>
          <w:hyperlink w:anchor="_Toc238725535" w:history="1">
            <w:r w:rsidR="00F93449" w:rsidRPr="003104C9">
              <w:rPr>
                <w:rStyle w:val="Hyperlink"/>
                <w:noProof/>
              </w:rPr>
              <w:t>4.3. Critical Appraisal and Paper Quality Assessment</w:t>
            </w:r>
            <w:r w:rsidR="00F93449">
              <w:rPr>
                <w:noProof/>
                <w:webHidden/>
              </w:rPr>
              <w:tab/>
            </w:r>
            <w:r>
              <w:rPr>
                <w:noProof/>
                <w:webHidden/>
              </w:rPr>
              <w:fldChar w:fldCharType="begin"/>
            </w:r>
            <w:r w:rsidR="00F93449">
              <w:rPr>
                <w:noProof/>
                <w:webHidden/>
              </w:rPr>
              <w:instrText xml:space="preserve"> PAGEREF _Toc238725535 \h </w:instrText>
            </w:r>
            <w:r>
              <w:rPr>
                <w:noProof/>
                <w:webHidden/>
              </w:rPr>
            </w:r>
            <w:r>
              <w:rPr>
                <w:noProof/>
                <w:webHidden/>
              </w:rPr>
              <w:fldChar w:fldCharType="separate"/>
            </w:r>
            <w:r w:rsidR="00F93449">
              <w:rPr>
                <w:noProof/>
                <w:webHidden/>
              </w:rPr>
              <w:t>23</w:t>
            </w:r>
            <w:r>
              <w:rPr>
                <w:noProof/>
                <w:webHidden/>
              </w:rPr>
              <w:fldChar w:fldCharType="end"/>
            </w:r>
          </w:hyperlink>
        </w:p>
        <w:p w:rsidR="00F93449" w:rsidRDefault="00AD1081">
          <w:pPr>
            <w:pStyle w:val="TOC2"/>
            <w:tabs>
              <w:tab w:val="right" w:leader="dot" w:pos="9016"/>
            </w:tabs>
            <w:rPr>
              <w:rFonts w:asciiTheme="minorHAnsi" w:eastAsiaTheme="minorEastAsia" w:hAnsiTheme="minorHAnsi"/>
              <w:noProof/>
              <w:kern w:val="2"/>
              <w:szCs w:val="24"/>
            </w:rPr>
          </w:pPr>
          <w:hyperlink w:anchor="_Toc238725536" w:history="1">
            <w:r w:rsidR="00F93449" w:rsidRPr="003104C9">
              <w:rPr>
                <w:rStyle w:val="Hyperlink"/>
                <w:noProof/>
              </w:rPr>
              <w:t>4.4. Critical Appraisal Tools</w:t>
            </w:r>
            <w:r w:rsidR="00F93449">
              <w:rPr>
                <w:noProof/>
                <w:webHidden/>
              </w:rPr>
              <w:tab/>
            </w:r>
            <w:r>
              <w:rPr>
                <w:noProof/>
                <w:webHidden/>
              </w:rPr>
              <w:fldChar w:fldCharType="begin"/>
            </w:r>
            <w:r w:rsidR="00F93449">
              <w:rPr>
                <w:noProof/>
                <w:webHidden/>
              </w:rPr>
              <w:instrText xml:space="preserve"> PAGEREF _Toc238725536 \h </w:instrText>
            </w:r>
            <w:r>
              <w:rPr>
                <w:noProof/>
                <w:webHidden/>
              </w:rPr>
            </w:r>
            <w:r>
              <w:rPr>
                <w:noProof/>
                <w:webHidden/>
              </w:rPr>
              <w:fldChar w:fldCharType="separate"/>
            </w:r>
            <w:r w:rsidR="00F93449">
              <w:rPr>
                <w:noProof/>
                <w:webHidden/>
              </w:rPr>
              <w:t>23</w:t>
            </w:r>
            <w:r>
              <w:rPr>
                <w:noProof/>
                <w:webHidden/>
              </w:rPr>
              <w:fldChar w:fldCharType="end"/>
            </w:r>
          </w:hyperlink>
        </w:p>
        <w:p w:rsidR="00F93449" w:rsidRDefault="00AD1081">
          <w:pPr>
            <w:pStyle w:val="TOC2"/>
            <w:tabs>
              <w:tab w:val="right" w:leader="dot" w:pos="9016"/>
            </w:tabs>
            <w:rPr>
              <w:rFonts w:asciiTheme="minorHAnsi" w:eastAsiaTheme="minorEastAsia" w:hAnsiTheme="minorHAnsi"/>
              <w:noProof/>
              <w:kern w:val="2"/>
              <w:szCs w:val="24"/>
            </w:rPr>
          </w:pPr>
          <w:hyperlink w:anchor="_Toc238725537" w:history="1">
            <w:r w:rsidR="00F93449" w:rsidRPr="003104C9">
              <w:rPr>
                <w:rStyle w:val="Hyperlink"/>
                <w:noProof/>
              </w:rPr>
              <w:t>4.5. Evaluation of Qualitative Studies</w:t>
            </w:r>
            <w:r w:rsidR="00F93449">
              <w:rPr>
                <w:noProof/>
                <w:webHidden/>
              </w:rPr>
              <w:tab/>
            </w:r>
            <w:r>
              <w:rPr>
                <w:noProof/>
                <w:webHidden/>
              </w:rPr>
              <w:fldChar w:fldCharType="begin"/>
            </w:r>
            <w:r w:rsidR="00F93449">
              <w:rPr>
                <w:noProof/>
                <w:webHidden/>
              </w:rPr>
              <w:instrText xml:space="preserve"> PAGEREF _Toc238725537 \h </w:instrText>
            </w:r>
            <w:r>
              <w:rPr>
                <w:noProof/>
                <w:webHidden/>
              </w:rPr>
            </w:r>
            <w:r>
              <w:rPr>
                <w:noProof/>
                <w:webHidden/>
              </w:rPr>
              <w:fldChar w:fldCharType="separate"/>
            </w:r>
            <w:r w:rsidR="00F93449">
              <w:rPr>
                <w:noProof/>
                <w:webHidden/>
              </w:rPr>
              <w:t>24</w:t>
            </w:r>
            <w:r>
              <w:rPr>
                <w:noProof/>
                <w:webHidden/>
              </w:rPr>
              <w:fldChar w:fldCharType="end"/>
            </w:r>
          </w:hyperlink>
        </w:p>
        <w:p w:rsidR="00F93449" w:rsidRDefault="00AD1081">
          <w:pPr>
            <w:pStyle w:val="TOC2"/>
            <w:tabs>
              <w:tab w:val="right" w:leader="dot" w:pos="9016"/>
            </w:tabs>
            <w:rPr>
              <w:rFonts w:asciiTheme="minorHAnsi" w:eastAsiaTheme="minorEastAsia" w:hAnsiTheme="minorHAnsi"/>
              <w:noProof/>
              <w:kern w:val="2"/>
              <w:szCs w:val="24"/>
            </w:rPr>
          </w:pPr>
          <w:hyperlink w:anchor="_Toc238725538" w:history="1">
            <w:r w:rsidR="00F93449" w:rsidRPr="003104C9">
              <w:rPr>
                <w:rStyle w:val="Hyperlink"/>
                <w:noProof/>
              </w:rPr>
              <w:t>4.6. Evaluation of Quantitative Studies</w:t>
            </w:r>
            <w:r w:rsidR="00F93449">
              <w:rPr>
                <w:noProof/>
                <w:webHidden/>
              </w:rPr>
              <w:tab/>
            </w:r>
            <w:r>
              <w:rPr>
                <w:noProof/>
                <w:webHidden/>
              </w:rPr>
              <w:fldChar w:fldCharType="begin"/>
            </w:r>
            <w:r w:rsidR="00F93449">
              <w:rPr>
                <w:noProof/>
                <w:webHidden/>
              </w:rPr>
              <w:instrText xml:space="preserve"> PAGEREF _Toc238725538 \h </w:instrText>
            </w:r>
            <w:r>
              <w:rPr>
                <w:noProof/>
                <w:webHidden/>
              </w:rPr>
            </w:r>
            <w:r>
              <w:rPr>
                <w:noProof/>
                <w:webHidden/>
              </w:rPr>
              <w:fldChar w:fldCharType="separate"/>
            </w:r>
            <w:r w:rsidR="00F93449">
              <w:rPr>
                <w:noProof/>
                <w:webHidden/>
              </w:rPr>
              <w:t>25</w:t>
            </w:r>
            <w:r>
              <w:rPr>
                <w:noProof/>
                <w:webHidden/>
              </w:rPr>
              <w:fldChar w:fldCharType="end"/>
            </w:r>
          </w:hyperlink>
        </w:p>
        <w:p w:rsidR="00F93449" w:rsidRDefault="00AD1081">
          <w:pPr>
            <w:pStyle w:val="TOC3"/>
            <w:tabs>
              <w:tab w:val="right" w:leader="dot" w:pos="9016"/>
            </w:tabs>
            <w:rPr>
              <w:rFonts w:asciiTheme="minorHAnsi" w:eastAsiaTheme="minorEastAsia" w:hAnsiTheme="minorHAnsi"/>
              <w:noProof/>
              <w:kern w:val="2"/>
              <w:szCs w:val="24"/>
            </w:rPr>
          </w:pPr>
          <w:hyperlink w:anchor="_Toc238725539" w:history="1">
            <w:r w:rsidR="00F93449" w:rsidRPr="003104C9">
              <w:rPr>
                <w:rStyle w:val="Hyperlink"/>
                <w:noProof/>
              </w:rPr>
              <w:t>4.6.1. Bauld et al. (2012)</w:t>
            </w:r>
            <w:r w:rsidR="00F93449">
              <w:rPr>
                <w:noProof/>
                <w:webHidden/>
              </w:rPr>
              <w:tab/>
            </w:r>
            <w:r>
              <w:rPr>
                <w:noProof/>
                <w:webHidden/>
              </w:rPr>
              <w:fldChar w:fldCharType="begin"/>
            </w:r>
            <w:r w:rsidR="00F93449">
              <w:rPr>
                <w:noProof/>
                <w:webHidden/>
              </w:rPr>
              <w:instrText xml:space="preserve"> PAGEREF _Toc238725539 \h </w:instrText>
            </w:r>
            <w:r>
              <w:rPr>
                <w:noProof/>
                <w:webHidden/>
              </w:rPr>
            </w:r>
            <w:r>
              <w:rPr>
                <w:noProof/>
                <w:webHidden/>
              </w:rPr>
              <w:fldChar w:fldCharType="separate"/>
            </w:r>
            <w:r w:rsidR="00F93449">
              <w:rPr>
                <w:noProof/>
                <w:webHidden/>
              </w:rPr>
              <w:t>25</w:t>
            </w:r>
            <w:r>
              <w:rPr>
                <w:noProof/>
                <w:webHidden/>
              </w:rPr>
              <w:fldChar w:fldCharType="end"/>
            </w:r>
          </w:hyperlink>
        </w:p>
        <w:p w:rsidR="00F93449" w:rsidRDefault="00AD1081">
          <w:pPr>
            <w:pStyle w:val="TOC3"/>
            <w:tabs>
              <w:tab w:val="right" w:leader="dot" w:pos="9016"/>
            </w:tabs>
            <w:rPr>
              <w:rFonts w:asciiTheme="minorHAnsi" w:eastAsiaTheme="minorEastAsia" w:hAnsiTheme="minorHAnsi"/>
              <w:noProof/>
              <w:kern w:val="2"/>
              <w:szCs w:val="24"/>
            </w:rPr>
          </w:pPr>
          <w:hyperlink w:anchor="_Toc238725540" w:history="1">
            <w:r w:rsidR="00F93449" w:rsidRPr="003104C9">
              <w:rPr>
                <w:rStyle w:val="Hyperlink"/>
                <w:noProof/>
              </w:rPr>
              <w:t>4.6.2. Bauld et al. (2016)</w:t>
            </w:r>
            <w:r w:rsidR="00F93449">
              <w:rPr>
                <w:noProof/>
                <w:webHidden/>
              </w:rPr>
              <w:tab/>
            </w:r>
            <w:r>
              <w:rPr>
                <w:noProof/>
                <w:webHidden/>
              </w:rPr>
              <w:fldChar w:fldCharType="begin"/>
            </w:r>
            <w:r w:rsidR="00F93449">
              <w:rPr>
                <w:noProof/>
                <w:webHidden/>
              </w:rPr>
              <w:instrText xml:space="preserve"> PAGEREF _Toc238725540 \h </w:instrText>
            </w:r>
            <w:r>
              <w:rPr>
                <w:noProof/>
                <w:webHidden/>
              </w:rPr>
            </w:r>
            <w:r>
              <w:rPr>
                <w:noProof/>
                <w:webHidden/>
              </w:rPr>
              <w:fldChar w:fldCharType="separate"/>
            </w:r>
            <w:r w:rsidR="00F93449">
              <w:rPr>
                <w:noProof/>
                <w:webHidden/>
              </w:rPr>
              <w:t>26</w:t>
            </w:r>
            <w:r>
              <w:rPr>
                <w:noProof/>
                <w:webHidden/>
              </w:rPr>
              <w:fldChar w:fldCharType="end"/>
            </w:r>
          </w:hyperlink>
        </w:p>
        <w:p w:rsidR="00F93449" w:rsidRDefault="00AD1081">
          <w:pPr>
            <w:pStyle w:val="TOC3"/>
            <w:tabs>
              <w:tab w:val="right" w:leader="dot" w:pos="9016"/>
            </w:tabs>
            <w:rPr>
              <w:rFonts w:asciiTheme="minorHAnsi" w:eastAsiaTheme="minorEastAsia" w:hAnsiTheme="minorHAnsi"/>
              <w:noProof/>
              <w:kern w:val="2"/>
              <w:szCs w:val="24"/>
            </w:rPr>
          </w:pPr>
          <w:hyperlink w:anchor="_Toc238725541" w:history="1">
            <w:r w:rsidR="00F93449" w:rsidRPr="003104C9">
              <w:rPr>
                <w:rStyle w:val="Hyperlink"/>
                <w:noProof/>
              </w:rPr>
              <w:t>4.6.3. Edwards et al. (2007)</w:t>
            </w:r>
            <w:r w:rsidR="00F93449">
              <w:rPr>
                <w:noProof/>
                <w:webHidden/>
              </w:rPr>
              <w:tab/>
            </w:r>
            <w:r>
              <w:rPr>
                <w:noProof/>
                <w:webHidden/>
              </w:rPr>
              <w:fldChar w:fldCharType="begin"/>
            </w:r>
            <w:r w:rsidR="00F93449">
              <w:rPr>
                <w:noProof/>
                <w:webHidden/>
              </w:rPr>
              <w:instrText xml:space="preserve"> PAGEREF _Toc238725541 \h </w:instrText>
            </w:r>
            <w:r>
              <w:rPr>
                <w:noProof/>
                <w:webHidden/>
              </w:rPr>
            </w:r>
            <w:r>
              <w:rPr>
                <w:noProof/>
                <w:webHidden/>
              </w:rPr>
              <w:fldChar w:fldCharType="separate"/>
            </w:r>
            <w:r w:rsidR="00F93449">
              <w:rPr>
                <w:noProof/>
                <w:webHidden/>
              </w:rPr>
              <w:t>26</w:t>
            </w:r>
            <w:r>
              <w:rPr>
                <w:noProof/>
                <w:webHidden/>
              </w:rPr>
              <w:fldChar w:fldCharType="end"/>
            </w:r>
          </w:hyperlink>
        </w:p>
        <w:p w:rsidR="00F93449" w:rsidRDefault="00AD1081">
          <w:pPr>
            <w:pStyle w:val="TOC3"/>
            <w:tabs>
              <w:tab w:val="right" w:leader="dot" w:pos="9016"/>
            </w:tabs>
            <w:rPr>
              <w:rFonts w:asciiTheme="minorHAnsi" w:eastAsiaTheme="minorEastAsia" w:hAnsiTheme="minorHAnsi"/>
              <w:noProof/>
              <w:kern w:val="2"/>
              <w:szCs w:val="24"/>
            </w:rPr>
          </w:pPr>
          <w:hyperlink w:anchor="_Toc238725542" w:history="1">
            <w:r w:rsidR="00F93449" w:rsidRPr="003104C9">
              <w:rPr>
                <w:rStyle w:val="Hyperlink"/>
                <w:noProof/>
              </w:rPr>
              <w:t>4.6.4. Gibson et al. (2010)</w:t>
            </w:r>
            <w:r w:rsidR="00F93449">
              <w:rPr>
                <w:noProof/>
                <w:webHidden/>
              </w:rPr>
              <w:tab/>
            </w:r>
            <w:r>
              <w:rPr>
                <w:noProof/>
                <w:webHidden/>
              </w:rPr>
              <w:fldChar w:fldCharType="begin"/>
            </w:r>
            <w:r w:rsidR="00F93449">
              <w:rPr>
                <w:noProof/>
                <w:webHidden/>
              </w:rPr>
              <w:instrText xml:space="preserve"> PAGEREF _Toc238725542 \h </w:instrText>
            </w:r>
            <w:r>
              <w:rPr>
                <w:noProof/>
                <w:webHidden/>
              </w:rPr>
            </w:r>
            <w:r>
              <w:rPr>
                <w:noProof/>
                <w:webHidden/>
              </w:rPr>
              <w:fldChar w:fldCharType="separate"/>
            </w:r>
            <w:r w:rsidR="00F93449">
              <w:rPr>
                <w:noProof/>
                <w:webHidden/>
              </w:rPr>
              <w:t>27</w:t>
            </w:r>
            <w:r>
              <w:rPr>
                <w:noProof/>
                <w:webHidden/>
              </w:rPr>
              <w:fldChar w:fldCharType="end"/>
            </w:r>
          </w:hyperlink>
        </w:p>
        <w:p w:rsidR="00F93449" w:rsidRDefault="00AD1081">
          <w:pPr>
            <w:pStyle w:val="TOC3"/>
            <w:tabs>
              <w:tab w:val="right" w:leader="dot" w:pos="9016"/>
            </w:tabs>
            <w:rPr>
              <w:rFonts w:asciiTheme="minorHAnsi" w:eastAsiaTheme="minorEastAsia" w:hAnsiTheme="minorHAnsi"/>
              <w:noProof/>
              <w:kern w:val="2"/>
              <w:szCs w:val="24"/>
            </w:rPr>
          </w:pPr>
          <w:hyperlink w:anchor="_Toc238725543" w:history="1">
            <w:r w:rsidR="00F93449" w:rsidRPr="003104C9">
              <w:rPr>
                <w:rStyle w:val="Hyperlink"/>
                <w:noProof/>
              </w:rPr>
              <w:t>4.6.5. Jackson et al. (2021)</w:t>
            </w:r>
            <w:r w:rsidR="00F93449">
              <w:rPr>
                <w:noProof/>
                <w:webHidden/>
              </w:rPr>
              <w:tab/>
            </w:r>
            <w:r>
              <w:rPr>
                <w:noProof/>
                <w:webHidden/>
              </w:rPr>
              <w:fldChar w:fldCharType="begin"/>
            </w:r>
            <w:r w:rsidR="00F93449">
              <w:rPr>
                <w:noProof/>
                <w:webHidden/>
              </w:rPr>
              <w:instrText xml:space="preserve"> PAGEREF _Toc238725543 \h </w:instrText>
            </w:r>
            <w:r>
              <w:rPr>
                <w:noProof/>
                <w:webHidden/>
              </w:rPr>
            </w:r>
            <w:r>
              <w:rPr>
                <w:noProof/>
                <w:webHidden/>
              </w:rPr>
              <w:fldChar w:fldCharType="separate"/>
            </w:r>
            <w:r w:rsidR="00F93449">
              <w:rPr>
                <w:noProof/>
                <w:webHidden/>
              </w:rPr>
              <w:t>27</w:t>
            </w:r>
            <w:r>
              <w:rPr>
                <w:noProof/>
                <w:webHidden/>
              </w:rPr>
              <w:fldChar w:fldCharType="end"/>
            </w:r>
          </w:hyperlink>
        </w:p>
        <w:p w:rsidR="00F93449" w:rsidRDefault="00AD1081">
          <w:pPr>
            <w:pStyle w:val="TOC3"/>
            <w:tabs>
              <w:tab w:val="right" w:leader="dot" w:pos="9016"/>
            </w:tabs>
            <w:rPr>
              <w:rFonts w:asciiTheme="minorHAnsi" w:eastAsiaTheme="minorEastAsia" w:hAnsiTheme="minorHAnsi"/>
              <w:noProof/>
              <w:kern w:val="2"/>
              <w:szCs w:val="24"/>
            </w:rPr>
          </w:pPr>
          <w:hyperlink w:anchor="_Toc238725544" w:history="1">
            <w:r w:rsidR="00F93449" w:rsidRPr="003104C9">
              <w:rPr>
                <w:rStyle w:val="Hyperlink"/>
                <w:noProof/>
              </w:rPr>
              <w:t>4.6.6. Kale, Gilbert and Sutton (2019)</w:t>
            </w:r>
            <w:r w:rsidR="00F93449">
              <w:rPr>
                <w:noProof/>
                <w:webHidden/>
              </w:rPr>
              <w:tab/>
            </w:r>
            <w:r>
              <w:rPr>
                <w:noProof/>
                <w:webHidden/>
              </w:rPr>
              <w:fldChar w:fldCharType="begin"/>
            </w:r>
            <w:r w:rsidR="00F93449">
              <w:rPr>
                <w:noProof/>
                <w:webHidden/>
              </w:rPr>
              <w:instrText xml:space="preserve"> PAGEREF _Toc238725544 \h </w:instrText>
            </w:r>
            <w:r>
              <w:rPr>
                <w:noProof/>
                <w:webHidden/>
              </w:rPr>
            </w:r>
            <w:r>
              <w:rPr>
                <w:noProof/>
                <w:webHidden/>
              </w:rPr>
              <w:fldChar w:fldCharType="separate"/>
            </w:r>
            <w:r w:rsidR="00F93449">
              <w:rPr>
                <w:noProof/>
                <w:webHidden/>
              </w:rPr>
              <w:t>28</w:t>
            </w:r>
            <w:r>
              <w:rPr>
                <w:noProof/>
                <w:webHidden/>
              </w:rPr>
              <w:fldChar w:fldCharType="end"/>
            </w:r>
          </w:hyperlink>
        </w:p>
        <w:p w:rsidR="00F93449" w:rsidRDefault="00AD1081">
          <w:pPr>
            <w:pStyle w:val="TOC3"/>
            <w:tabs>
              <w:tab w:val="right" w:leader="dot" w:pos="9016"/>
            </w:tabs>
            <w:rPr>
              <w:rFonts w:asciiTheme="minorHAnsi" w:eastAsiaTheme="minorEastAsia" w:hAnsiTheme="minorHAnsi"/>
              <w:noProof/>
              <w:kern w:val="2"/>
              <w:szCs w:val="24"/>
            </w:rPr>
          </w:pPr>
          <w:hyperlink w:anchor="_Toc238725545" w:history="1">
            <w:r w:rsidR="00F93449" w:rsidRPr="003104C9">
              <w:rPr>
                <w:rStyle w:val="Hyperlink"/>
                <w:noProof/>
              </w:rPr>
              <w:t>4.6.7. Kotz, Fidler and West (2009)</w:t>
            </w:r>
            <w:r w:rsidR="00F93449">
              <w:rPr>
                <w:noProof/>
                <w:webHidden/>
              </w:rPr>
              <w:tab/>
            </w:r>
            <w:r>
              <w:rPr>
                <w:noProof/>
                <w:webHidden/>
              </w:rPr>
              <w:fldChar w:fldCharType="begin"/>
            </w:r>
            <w:r w:rsidR="00F93449">
              <w:rPr>
                <w:noProof/>
                <w:webHidden/>
              </w:rPr>
              <w:instrText xml:space="preserve"> PAGEREF _Toc238725545 \h </w:instrText>
            </w:r>
            <w:r>
              <w:rPr>
                <w:noProof/>
                <w:webHidden/>
              </w:rPr>
            </w:r>
            <w:r>
              <w:rPr>
                <w:noProof/>
                <w:webHidden/>
              </w:rPr>
              <w:fldChar w:fldCharType="separate"/>
            </w:r>
            <w:r w:rsidR="00F93449">
              <w:rPr>
                <w:noProof/>
                <w:webHidden/>
              </w:rPr>
              <w:t>28</w:t>
            </w:r>
            <w:r>
              <w:rPr>
                <w:noProof/>
                <w:webHidden/>
              </w:rPr>
              <w:fldChar w:fldCharType="end"/>
            </w:r>
          </w:hyperlink>
        </w:p>
        <w:p w:rsidR="00F93449" w:rsidRDefault="00AD1081">
          <w:pPr>
            <w:pStyle w:val="TOC3"/>
            <w:tabs>
              <w:tab w:val="right" w:leader="dot" w:pos="9016"/>
            </w:tabs>
            <w:rPr>
              <w:rFonts w:asciiTheme="minorHAnsi" w:eastAsiaTheme="minorEastAsia" w:hAnsiTheme="minorHAnsi"/>
              <w:noProof/>
              <w:kern w:val="2"/>
              <w:szCs w:val="24"/>
            </w:rPr>
          </w:pPr>
          <w:hyperlink w:anchor="_Toc238725546" w:history="1">
            <w:r w:rsidR="00F93449" w:rsidRPr="003104C9">
              <w:rPr>
                <w:rStyle w:val="Hyperlink"/>
                <w:noProof/>
              </w:rPr>
              <w:t>4.6.8. Overall Quantitative Quality</w:t>
            </w:r>
            <w:r w:rsidR="00F93449">
              <w:rPr>
                <w:noProof/>
                <w:webHidden/>
              </w:rPr>
              <w:tab/>
            </w:r>
            <w:r>
              <w:rPr>
                <w:noProof/>
                <w:webHidden/>
              </w:rPr>
              <w:fldChar w:fldCharType="begin"/>
            </w:r>
            <w:r w:rsidR="00F93449">
              <w:rPr>
                <w:noProof/>
                <w:webHidden/>
              </w:rPr>
              <w:instrText xml:space="preserve"> PAGEREF _Toc238725546 \h </w:instrText>
            </w:r>
            <w:r>
              <w:rPr>
                <w:noProof/>
                <w:webHidden/>
              </w:rPr>
            </w:r>
            <w:r>
              <w:rPr>
                <w:noProof/>
                <w:webHidden/>
              </w:rPr>
              <w:fldChar w:fldCharType="separate"/>
            </w:r>
            <w:r w:rsidR="00F93449">
              <w:rPr>
                <w:noProof/>
                <w:webHidden/>
              </w:rPr>
              <w:t>28</w:t>
            </w:r>
            <w:r>
              <w:rPr>
                <w:noProof/>
                <w:webHidden/>
              </w:rPr>
              <w:fldChar w:fldCharType="end"/>
            </w:r>
          </w:hyperlink>
        </w:p>
        <w:p w:rsidR="00F93449" w:rsidRDefault="00AD1081">
          <w:pPr>
            <w:pStyle w:val="TOC2"/>
            <w:tabs>
              <w:tab w:val="right" w:leader="dot" w:pos="9016"/>
            </w:tabs>
            <w:rPr>
              <w:rFonts w:asciiTheme="minorHAnsi" w:eastAsiaTheme="minorEastAsia" w:hAnsiTheme="minorHAnsi"/>
              <w:noProof/>
              <w:kern w:val="2"/>
              <w:szCs w:val="24"/>
            </w:rPr>
          </w:pPr>
          <w:hyperlink w:anchor="_Toc238725547" w:history="1">
            <w:r w:rsidR="00F93449" w:rsidRPr="003104C9">
              <w:rPr>
                <w:rStyle w:val="Hyperlink"/>
                <w:noProof/>
              </w:rPr>
              <w:t>4.7. Evaluation of the Mixed-Methods Primary Study</w:t>
            </w:r>
            <w:r w:rsidR="00F93449">
              <w:rPr>
                <w:noProof/>
                <w:webHidden/>
              </w:rPr>
              <w:tab/>
            </w:r>
            <w:r>
              <w:rPr>
                <w:noProof/>
                <w:webHidden/>
              </w:rPr>
              <w:fldChar w:fldCharType="begin"/>
            </w:r>
            <w:r w:rsidR="00F93449">
              <w:rPr>
                <w:noProof/>
                <w:webHidden/>
              </w:rPr>
              <w:instrText xml:space="preserve"> PAGEREF _Toc238725547 \h </w:instrText>
            </w:r>
            <w:r>
              <w:rPr>
                <w:noProof/>
                <w:webHidden/>
              </w:rPr>
            </w:r>
            <w:r>
              <w:rPr>
                <w:noProof/>
                <w:webHidden/>
              </w:rPr>
              <w:fldChar w:fldCharType="separate"/>
            </w:r>
            <w:r w:rsidR="00F93449">
              <w:rPr>
                <w:noProof/>
                <w:webHidden/>
              </w:rPr>
              <w:t>29</w:t>
            </w:r>
            <w:r>
              <w:rPr>
                <w:noProof/>
                <w:webHidden/>
              </w:rPr>
              <w:fldChar w:fldCharType="end"/>
            </w:r>
          </w:hyperlink>
        </w:p>
        <w:p w:rsidR="00F93449" w:rsidRDefault="00AD1081">
          <w:pPr>
            <w:pStyle w:val="TOC2"/>
            <w:tabs>
              <w:tab w:val="right" w:leader="dot" w:pos="9016"/>
            </w:tabs>
            <w:rPr>
              <w:rFonts w:asciiTheme="minorHAnsi" w:eastAsiaTheme="minorEastAsia" w:hAnsiTheme="minorHAnsi"/>
              <w:noProof/>
              <w:kern w:val="2"/>
              <w:szCs w:val="24"/>
            </w:rPr>
          </w:pPr>
          <w:hyperlink w:anchor="_Toc238725548" w:history="1">
            <w:r w:rsidR="00F93449" w:rsidRPr="003104C9">
              <w:rPr>
                <w:rStyle w:val="Hyperlink"/>
                <w:noProof/>
              </w:rPr>
              <w:t>4.8. Chapter Summary</w:t>
            </w:r>
            <w:r w:rsidR="00F93449">
              <w:rPr>
                <w:noProof/>
                <w:webHidden/>
              </w:rPr>
              <w:tab/>
            </w:r>
            <w:r>
              <w:rPr>
                <w:noProof/>
                <w:webHidden/>
              </w:rPr>
              <w:fldChar w:fldCharType="begin"/>
            </w:r>
            <w:r w:rsidR="00F93449">
              <w:rPr>
                <w:noProof/>
                <w:webHidden/>
              </w:rPr>
              <w:instrText xml:space="preserve"> PAGEREF _Toc238725548 \h </w:instrText>
            </w:r>
            <w:r>
              <w:rPr>
                <w:noProof/>
                <w:webHidden/>
              </w:rPr>
            </w:r>
            <w:r>
              <w:rPr>
                <w:noProof/>
                <w:webHidden/>
              </w:rPr>
              <w:fldChar w:fldCharType="separate"/>
            </w:r>
            <w:r w:rsidR="00F93449">
              <w:rPr>
                <w:noProof/>
                <w:webHidden/>
              </w:rPr>
              <w:t>30</w:t>
            </w:r>
            <w:r>
              <w:rPr>
                <w:noProof/>
                <w:webHidden/>
              </w:rPr>
              <w:fldChar w:fldCharType="end"/>
            </w:r>
          </w:hyperlink>
        </w:p>
        <w:p w:rsidR="00F93449" w:rsidRDefault="00AD1081">
          <w:pPr>
            <w:pStyle w:val="TOC1"/>
            <w:tabs>
              <w:tab w:val="right" w:leader="dot" w:pos="9016"/>
            </w:tabs>
            <w:rPr>
              <w:rFonts w:asciiTheme="minorHAnsi" w:eastAsiaTheme="minorEastAsia" w:hAnsiTheme="minorHAnsi"/>
              <w:noProof/>
              <w:kern w:val="2"/>
              <w:szCs w:val="24"/>
            </w:rPr>
          </w:pPr>
          <w:hyperlink w:anchor="_Toc238725549" w:history="1">
            <w:r w:rsidR="00F93449" w:rsidRPr="003104C9">
              <w:rPr>
                <w:rStyle w:val="Hyperlink"/>
                <w:noProof/>
              </w:rPr>
              <w:t>Chapter 5. Data Analysis and Synthesis</w:t>
            </w:r>
            <w:r w:rsidR="00F93449">
              <w:rPr>
                <w:noProof/>
                <w:webHidden/>
              </w:rPr>
              <w:tab/>
            </w:r>
            <w:r>
              <w:rPr>
                <w:noProof/>
                <w:webHidden/>
              </w:rPr>
              <w:fldChar w:fldCharType="begin"/>
            </w:r>
            <w:r w:rsidR="00F93449">
              <w:rPr>
                <w:noProof/>
                <w:webHidden/>
              </w:rPr>
              <w:instrText xml:space="preserve"> PAGEREF _Toc238725549 \h </w:instrText>
            </w:r>
            <w:r>
              <w:rPr>
                <w:noProof/>
                <w:webHidden/>
              </w:rPr>
            </w:r>
            <w:r>
              <w:rPr>
                <w:noProof/>
                <w:webHidden/>
              </w:rPr>
              <w:fldChar w:fldCharType="separate"/>
            </w:r>
            <w:r w:rsidR="00F93449">
              <w:rPr>
                <w:noProof/>
                <w:webHidden/>
              </w:rPr>
              <w:t>31</w:t>
            </w:r>
            <w:r>
              <w:rPr>
                <w:noProof/>
                <w:webHidden/>
              </w:rPr>
              <w:fldChar w:fldCharType="end"/>
            </w:r>
          </w:hyperlink>
        </w:p>
        <w:p w:rsidR="00F93449" w:rsidRDefault="00AD1081">
          <w:pPr>
            <w:pStyle w:val="TOC2"/>
            <w:tabs>
              <w:tab w:val="right" w:leader="dot" w:pos="9016"/>
            </w:tabs>
            <w:rPr>
              <w:rFonts w:asciiTheme="minorHAnsi" w:eastAsiaTheme="minorEastAsia" w:hAnsiTheme="minorHAnsi"/>
              <w:noProof/>
              <w:kern w:val="2"/>
              <w:szCs w:val="24"/>
            </w:rPr>
          </w:pPr>
          <w:hyperlink w:anchor="_Toc238725550" w:history="1">
            <w:r w:rsidR="00F93449" w:rsidRPr="003104C9">
              <w:rPr>
                <w:rStyle w:val="Hyperlink"/>
                <w:noProof/>
              </w:rPr>
              <w:t>5.1. Introduction</w:t>
            </w:r>
            <w:r w:rsidR="00F93449">
              <w:rPr>
                <w:noProof/>
                <w:webHidden/>
              </w:rPr>
              <w:tab/>
            </w:r>
            <w:r>
              <w:rPr>
                <w:noProof/>
                <w:webHidden/>
              </w:rPr>
              <w:fldChar w:fldCharType="begin"/>
            </w:r>
            <w:r w:rsidR="00F93449">
              <w:rPr>
                <w:noProof/>
                <w:webHidden/>
              </w:rPr>
              <w:instrText xml:space="preserve"> PAGEREF _Toc238725550 \h </w:instrText>
            </w:r>
            <w:r>
              <w:rPr>
                <w:noProof/>
                <w:webHidden/>
              </w:rPr>
            </w:r>
            <w:r>
              <w:rPr>
                <w:noProof/>
                <w:webHidden/>
              </w:rPr>
              <w:fldChar w:fldCharType="separate"/>
            </w:r>
            <w:r w:rsidR="00F93449">
              <w:rPr>
                <w:noProof/>
                <w:webHidden/>
              </w:rPr>
              <w:t>31</w:t>
            </w:r>
            <w:r>
              <w:rPr>
                <w:noProof/>
                <w:webHidden/>
              </w:rPr>
              <w:fldChar w:fldCharType="end"/>
            </w:r>
          </w:hyperlink>
        </w:p>
        <w:p w:rsidR="00F93449" w:rsidRDefault="00AD1081">
          <w:pPr>
            <w:pStyle w:val="TOC2"/>
            <w:tabs>
              <w:tab w:val="right" w:leader="dot" w:pos="9016"/>
            </w:tabs>
            <w:rPr>
              <w:rFonts w:asciiTheme="minorHAnsi" w:eastAsiaTheme="minorEastAsia" w:hAnsiTheme="minorHAnsi"/>
              <w:noProof/>
              <w:kern w:val="2"/>
              <w:szCs w:val="24"/>
            </w:rPr>
          </w:pPr>
          <w:hyperlink w:anchor="_Toc238725551" w:history="1">
            <w:r w:rsidR="00F93449" w:rsidRPr="003104C9">
              <w:rPr>
                <w:rStyle w:val="Hyperlink"/>
                <w:noProof/>
              </w:rPr>
              <w:t>5.2. Thematic Analysis</w:t>
            </w:r>
            <w:r w:rsidR="00F93449">
              <w:rPr>
                <w:noProof/>
                <w:webHidden/>
              </w:rPr>
              <w:tab/>
            </w:r>
            <w:r>
              <w:rPr>
                <w:noProof/>
                <w:webHidden/>
              </w:rPr>
              <w:fldChar w:fldCharType="begin"/>
            </w:r>
            <w:r w:rsidR="00F93449">
              <w:rPr>
                <w:noProof/>
                <w:webHidden/>
              </w:rPr>
              <w:instrText xml:space="preserve"> PAGEREF _Toc238725551 \h </w:instrText>
            </w:r>
            <w:r>
              <w:rPr>
                <w:noProof/>
                <w:webHidden/>
              </w:rPr>
            </w:r>
            <w:r>
              <w:rPr>
                <w:noProof/>
                <w:webHidden/>
              </w:rPr>
              <w:fldChar w:fldCharType="separate"/>
            </w:r>
            <w:r w:rsidR="00F93449">
              <w:rPr>
                <w:noProof/>
                <w:webHidden/>
              </w:rPr>
              <w:t>31</w:t>
            </w:r>
            <w:r>
              <w:rPr>
                <w:noProof/>
                <w:webHidden/>
              </w:rPr>
              <w:fldChar w:fldCharType="end"/>
            </w:r>
          </w:hyperlink>
        </w:p>
        <w:p w:rsidR="00F93449" w:rsidRDefault="00AD1081">
          <w:pPr>
            <w:pStyle w:val="TOC2"/>
            <w:tabs>
              <w:tab w:val="right" w:leader="dot" w:pos="9016"/>
            </w:tabs>
            <w:rPr>
              <w:rFonts w:asciiTheme="minorHAnsi" w:eastAsiaTheme="minorEastAsia" w:hAnsiTheme="minorHAnsi"/>
              <w:noProof/>
              <w:kern w:val="2"/>
              <w:szCs w:val="24"/>
            </w:rPr>
          </w:pPr>
          <w:hyperlink w:anchor="_Toc238725552" w:history="1">
            <w:r w:rsidR="00F93449" w:rsidRPr="003104C9">
              <w:rPr>
                <w:rStyle w:val="Hyperlink"/>
                <w:noProof/>
              </w:rPr>
              <w:t>5.3. Data Analysis Tool</w:t>
            </w:r>
            <w:r w:rsidR="00F93449">
              <w:rPr>
                <w:noProof/>
                <w:webHidden/>
              </w:rPr>
              <w:tab/>
            </w:r>
            <w:r>
              <w:rPr>
                <w:noProof/>
                <w:webHidden/>
              </w:rPr>
              <w:fldChar w:fldCharType="begin"/>
            </w:r>
            <w:r w:rsidR="00F93449">
              <w:rPr>
                <w:noProof/>
                <w:webHidden/>
              </w:rPr>
              <w:instrText xml:space="preserve"> PAGEREF _Toc238725552 \h </w:instrText>
            </w:r>
            <w:r>
              <w:rPr>
                <w:noProof/>
                <w:webHidden/>
              </w:rPr>
            </w:r>
            <w:r>
              <w:rPr>
                <w:noProof/>
                <w:webHidden/>
              </w:rPr>
              <w:fldChar w:fldCharType="separate"/>
            </w:r>
            <w:r w:rsidR="00F93449">
              <w:rPr>
                <w:noProof/>
                <w:webHidden/>
              </w:rPr>
              <w:t>31</w:t>
            </w:r>
            <w:r>
              <w:rPr>
                <w:noProof/>
                <w:webHidden/>
              </w:rPr>
              <w:fldChar w:fldCharType="end"/>
            </w:r>
          </w:hyperlink>
        </w:p>
        <w:p w:rsidR="00F93449" w:rsidRDefault="00AD1081">
          <w:pPr>
            <w:pStyle w:val="TOC2"/>
            <w:tabs>
              <w:tab w:val="right" w:leader="dot" w:pos="9016"/>
            </w:tabs>
            <w:rPr>
              <w:rFonts w:asciiTheme="minorHAnsi" w:eastAsiaTheme="minorEastAsia" w:hAnsiTheme="minorHAnsi"/>
              <w:noProof/>
              <w:kern w:val="2"/>
              <w:szCs w:val="24"/>
            </w:rPr>
          </w:pPr>
          <w:hyperlink w:anchor="_Toc238725553" w:history="1">
            <w:r w:rsidR="00F93449" w:rsidRPr="003104C9">
              <w:rPr>
                <w:rStyle w:val="Hyperlink"/>
                <w:noProof/>
              </w:rPr>
              <w:t>5.4. Characteristics of the Identified Studies</w:t>
            </w:r>
            <w:r w:rsidR="00F93449">
              <w:rPr>
                <w:noProof/>
                <w:webHidden/>
              </w:rPr>
              <w:tab/>
            </w:r>
            <w:r>
              <w:rPr>
                <w:noProof/>
                <w:webHidden/>
              </w:rPr>
              <w:fldChar w:fldCharType="begin"/>
            </w:r>
            <w:r w:rsidR="00F93449">
              <w:rPr>
                <w:noProof/>
                <w:webHidden/>
              </w:rPr>
              <w:instrText xml:space="preserve"> PAGEREF _Toc238725553 \h </w:instrText>
            </w:r>
            <w:r>
              <w:rPr>
                <w:noProof/>
                <w:webHidden/>
              </w:rPr>
            </w:r>
            <w:r>
              <w:rPr>
                <w:noProof/>
                <w:webHidden/>
              </w:rPr>
              <w:fldChar w:fldCharType="separate"/>
            </w:r>
            <w:r w:rsidR="00F93449">
              <w:rPr>
                <w:noProof/>
                <w:webHidden/>
              </w:rPr>
              <w:t>31</w:t>
            </w:r>
            <w:r>
              <w:rPr>
                <w:noProof/>
                <w:webHidden/>
              </w:rPr>
              <w:fldChar w:fldCharType="end"/>
            </w:r>
          </w:hyperlink>
        </w:p>
        <w:p w:rsidR="00F93449" w:rsidRDefault="00AD1081">
          <w:pPr>
            <w:pStyle w:val="TOC2"/>
            <w:tabs>
              <w:tab w:val="right" w:leader="dot" w:pos="9016"/>
            </w:tabs>
            <w:rPr>
              <w:rFonts w:asciiTheme="minorHAnsi" w:eastAsiaTheme="minorEastAsia" w:hAnsiTheme="minorHAnsi"/>
              <w:noProof/>
              <w:kern w:val="2"/>
              <w:szCs w:val="24"/>
            </w:rPr>
          </w:pPr>
          <w:hyperlink w:anchor="_Toc238725554" w:history="1">
            <w:r w:rsidR="00F93449" w:rsidRPr="003104C9">
              <w:rPr>
                <w:rStyle w:val="Hyperlink"/>
                <w:noProof/>
              </w:rPr>
              <w:t>5.5. Emerging Themes from Included Studies</w:t>
            </w:r>
            <w:r w:rsidR="00F93449">
              <w:rPr>
                <w:noProof/>
                <w:webHidden/>
              </w:rPr>
              <w:tab/>
            </w:r>
            <w:r>
              <w:rPr>
                <w:noProof/>
                <w:webHidden/>
              </w:rPr>
              <w:fldChar w:fldCharType="begin"/>
            </w:r>
            <w:r w:rsidR="00F93449">
              <w:rPr>
                <w:noProof/>
                <w:webHidden/>
              </w:rPr>
              <w:instrText xml:space="preserve"> PAGEREF _Toc238725554 \h </w:instrText>
            </w:r>
            <w:r>
              <w:rPr>
                <w:noProof/>
                <w:webHidden/>
              </w:rPr>
            </w:r>
            <w:r>
              <w:rPr>
                <w:noProof/>
                <w:webHidden/>
              </w:rPr>
              <w:fldChar w:fldCharType="separate"/>
            </w:r>
            <w:r w:rsidR="00F93449">
              <w:rPr>
                <w:noProof/>
                <w:webHidden/>
              </w:rPr>
              <w:t>32</w:t>
            </w:r>
            <w:r>
              <w:rPr>
                <w:noProof/>
                <w:webHidden/>
              </w:rPr>
              <w:fldChar w:fldCharType="end"/>
            </w:r>
          </w:hyperlink>
        </w:p>
        <w:p w:rsidR="00F93449" w:rsidRDefault="00AD1081">
          <w:pPr>
            <w:pStyle w:val="TOC3"/>
            <w:tabs>
              <w:tab w:val="right" w:leader="dot" w:pos="9016"/>
            </w:tabs>
            <w:rPr>
              <w:rFonts w:asciiTheme="minorHAnsi" w:eastAsiaTheme="minorEastAsia" w:hAnsiTheme="minorHAnsi"/>
              <w:noProof/>
              <w:kern w:val="2"/>
              <w:szCs w:val="24"/>
            </w:rPr>
          </w:pPr>
          <w:hyperlink w:anchor="_Toc238725555" w:history="1">
            <w:r w:rsidR="00F93449" w:rsidRPr="003104C9">
              <w:rPr>
                <w:rStyle w:val="Hyperlink"/>
                <w:noProof/>
              </w:rPr>
              <w:t>5.5.1. Theme 1: Initial Connection to Support</w:t>
            </w:r>
            <w:r w:rsidR="00F93449">
              <w:rPr>
                <w:noProof/>
                <w:webHidden/>
              </w:rPr>
              <w:tab/>
            </w:r>
            <w:r>
              <w:rPr>
                <w:noProof/>
                <w:webHidden/>
              </w:rPr>
              <w:fldChar w:fldCharType="begin"/>
            </w:r>
            <w:r w:rsidR="00F93449">
              <w:rPr>
                <w:noProof/>
                <w:webHidden/>
              </w:rPr>
              <w:instrText xml:space="preserve"> PAGEREF _Toc238725555 \h </w:instrText>
            </w:r>
            <w:r>
              <w:rPr>
                <w:noProof/>
                <w:webHidden/>
              </w:rPr>
            </w:r>
            <w:r>
              <w:rPr>
                <w:noProof/>
                <w:webHidden/>
              </w:rPr>
              <w:fldChar w:fldCharType="separate"/>
            </w:r>
            <w:r w:rsidR="00F93449">
              <w:rPr>
                <w:noProof/>
                <w:webHidden/>
              </w:rPr>
              <w:t>34</w:t>
            </w:r>
            <w:r>
              <w:rPr>
                <w:noProof/>
                <w:webHidden/>
              </w:rPr>
              <w:fldChar w:fldCharType="end"/>
            </w:r>
          </w:hyperlink>
        </w:p>
        <w:p w:rsidR="00F93449" w:rsidRDefault="00AD1081">
          <w:pPr>
            <w:pStyle w:val="TOC3"/>
            <w:tabs>
              <w:tab w:val="right" w:leader="dot" w:pos="9016"/>
            </w:tabs>
            <w:rPr>
              <w:rFonts w:asciiTheme="minorHAnsi" w:eastAsiaTheme="minorEastAsia" w:hAnsiTheme="minorHAnsi"/>
              <w:noProof/>
              <w:kern w:val="2"/>
              <w:szCs w:val="24"/>
            </w:rPr>
          </w:pPr>
          <w:hyperlink w:anchor="_Toc238725556" w:history="1">
            <w:r w:rsidR="00F93449" w:rsidRPr="003104C9">
              <w:rPr>
                <w:rStyle w:val="Hyperlink"/>
                <w:noProof/>
              </w:rPr>
              <w:t>5.5.2. Theme 2: Accessibility, Flexibility and Continuity</w:t>
            </w:r>
            <w:r w:rsidR="00F93449">
              <w:rPr>
                <w:noProof/>
                <w:webHidden/>
              </w:rPr>
              <w:tab/>
            </w:r>
            <w:r>
              <w:rPr>
                <w:noProof/>
                <w:webHidden/>
              </w:rPr>
              <w:fldChar w:fldCharType="begin"/>
            </w:r>
            <w:r w:rsidR="00F93449">
              <w:rPr>
                <w:noProof/>
                <w:webHidden/>
              </w:rPr>
              <w:instrText xml:space="preserve"> PAGEREF _Toc238725556 \h </w:instrText>
            </w:r>
            <w:r>
              <w:rPr>
                <w:noProof/>
                <w:webHidden/>
              </w:rPr>
            </w:r>
            <w:r>
              <w:rPr>
                <w:noProof/>
                <w:webHidden/>
              </w:rPr>
              <w:fldChar w:fldCharType="separate"/>
            </w:r>
            <w:r w:rsidR="00F93449">
              <w:rPr>
                <w:noProof/>
                <w:webHidden/>
              </w:rPr>
              <w:t>35</w:t>
            </w:r>
            <w:r>
              <w:rPr>
                <w:noProof/>
                <w:webHidden/>
              </w:rPr>
              <w:fldChar w:fldCharType="end"/>
            </w:r>
          </w:hyperlink>
        </w:p>
        <w:p w:rsidR="00F93449" w:rsidRDefault="00AD1081">
          <w:pPr>
            <w:pStyle w:val="TOC3"/>
            <w:tabs>
              <w:tab w:val="right" w:leader="dot" w:pos="9016"/>
            </w:tabs>
            <w:rPr>
              <w:rFonts w:asciiTheme="minorHAnsi" w:eastAsiaTheme="minorEastAsia" w:hAnsiTheme="minorHAnsi"/>
              <w:noProof/>
              <w:kern w:val="2"/>
              <w:szCs w:val="24"/>
            </w:rPr>
          </w:pPr>
          <w:hyperlink w:anchor="_Toc238725557" w:history="1">
            <w:r w:rsidR="00F93449" w:rsidRPr="003104C9">
              <w:rPr>
                <w:rStyle w:val="Hyperlink"/>
                <w:noProof/>
              </w:rPr>
              <w:t>5.5.3. Theme 3: Relational and Treatment Support</w:t>
            </w:r>
            <w:r w:rsidR="00F93449">
              <w:rPr>
                <w:noProof/>
                <w:webHidden/>
              </w:rPr>
              <w:tab/>
            </w:r>
            <w:r>
              <w:rPr>
                <w:noProof/>
                <w:webHidden/>
              </w:rPr>
              <w:fldChar w:fldCharType="begin"/>
            </w:r>
            <w:r w:rsidR="00F93449">
              <w:rPr>
                <w:noProof/>
                <w:webHidden/>
              </w:rPr>
              <w:instrText xml:space="preserve"> PAGEREF _Toc238725557 \h </w:instrText>
            </w:r>
            <w:r>
              <w:rPr>
                <w:noProof/>
                <w:webHidden/>
              </w:rPr>
            </w:r>
            <w:r>
              <w:rPr>
                <w:noProof/>
                <w:webHidden/>
              </w:rPr>
              <w:fldChar w:fldCharType="separate"/>
            </w:r>
            <w:r w:rsidR="00F93449">
              <w:rPr>
                <w:noProof/>
                <w:webHidden/>
              </w:rPr>
              <w:t>37</w:t>
            </w:r>
            <w:r>
              <w:rPr>
                <w:noProof/>
                <w:webHidden/>
              </w:rPr>
              <w:fldChar w:fldCharType="end"/>
            </w:r>
          </w:hyperlink>
        </w:p>
        <w:p w:rsidR="00F93449" w:rsidRDefault="00AD1081">
          <w:pPr>
            <w:pStyle w:val="TOC3"/>
            <w:tabs>
              <w:tab w:val="right" w:leader="dot" w:pos="9016"/>
            </w:tabs>
            <w:rPr>
              <w:rFonts w:asciiTheme="minorHAnsi" w:eastAsiaTheme="minorEastAsia" w:hAnsiTheme="minorHAnsi"/>
              <w:noProof/>
              <w:kern w:val="2"/>
              <w:szCs w:val="24"/>
            </w:rPr>
          </w:pPr>
          <w:hyperlink w:anchor="_Toc238725558" w:history="1">
            <w:r w:rsidR="00F93449" w:rsidRPr="003104C9">
              <w:rPr>
                <w:rStyle w:val="Hyperlink"/>
                <w:noProof/>
              </w:rPr>
              <w:t>5.5.4. Theme 4: Social and Personal Context</w:t>
            </w:r>
            <w:r w:rsidR="00F93449">
              <w:rPr>
                <w:noProof/>
                <w:webHidden/>
              </w:rPr>
              <w:tab/>
            </w:r>
            <w:r>
              <w:rPr>
                <w:noProof/>
                <w:webHidden/>
              </w:rPr>
              <w:fldChar w:fldCharType="begin"/>
            </w:r>
            <w:r w:rsidR="00F93449">
              <w:rPr>
                <w:noProof/>
                <w:webHidden/>
              </w:rPr>
              <w:instrText xml:space="preserve"> PAGEREF _Toc238725558 \h </w:instrText>
            </w:r>
            <w:r>
              <w:rPr>
                <w:noProof/>
                <w:webHidden/>
              </w:rPr>
            </w:r>
            <w:r>
              <w:rPr>
                <w:noProof/>
                <w:webHidden/>
              </w:rPr>
              <w:fldChar w:fldCharType="separate"/>
            </w:r>
            <w:r w:rsidR="00F93449">
              <w:rPr>
                <w:noProof/>
                <w:webHidden/>
              </w:rPr>
              <w:t>38</w:t>
            </w:r>
            <w:r>
              <w:rPr>
                <w:noProof/>
                <w:webHidden/>
              </w:rPr>
              <w:fldChar w:fldCharType="end"/>
            </w:r>
          </w:hyperlink>
        </w:p>
        <w:p w:rsidR="00F93449" w:rsidRDefault="00AD1081">
          <w:pPr>
            <w:pStyle w:val="TOC3"/>
            <w:tabs>
              <w:tab w:val="right" w:leader="dot" w:pos="9016"/>
            </w:tabs>
            <w:rPr>
              <w:rFonts w:asciiTheme="minorHAnsi" w:eastAsiaTheme="minorEastAsia" w:hAnsiTheme="minorHAnsi"/>
              <w:noProof/>
              <w:kern w:val="2"/>
              <w:szCs w:val="24"/>
            </w:rPr>
          </w:pPr>
          <w:hyperlink w:anchor="_Toc238725559" w:history="1">
            <w:r w:rsidR="00F93449" w:rsidRPr="003104C9">
              <w:rPr>
                <w:rStyle w:val="Hyperlink"/>
                <w:noProof/>
              </w:rPr>
              <w:t>5.5.5. Theme 5: Engagement and Quit Success</w:t>
            </w:r>
            <w:r w:rsidR="00F93449">
              <w:rPr>
                <w:noProof/>
                <w:webHidden/>
              </w:rPr>
              <w:tab/>
            </w:r>
            <w:r>
              <w:rPr>
                <w:noProof/>
                <w:webHidden/>
              </w:rPr>
              <w:fldChar w:fldCharType="begin"/>
            </w:r>
            <w:r w:rsidR="00F93449">
              <w:rPr>
                <w:noProof/>
                <w:webHidden/>
              </w:rPr>
              <w:instrText xml:space="preserve"> PAGEREF _Toc238725559 \h </w:instrText>
            </w:r>
            <w:r>
              <w:rPr>
                <w:noProof/>
                <w:webHidden/>
              </w:rPr>
            </w:r>
            <w:r>
              <w:rPr>
                <w:noProof/>
                <w:webHidden/>
              </w:rPr>
              <w:fldChar w:fldCharType="separate"/>
            </w:r>
            <w:r w:rsidR="00F93449">
              <w:rPr>
                <w:noProof/>
                <w:webHidden/>
              </w:rPr>
              <w:t>39</w:t>
            </w:r>
            <w:r>
              <w:rPr>
                <w:noProof/>
                <w:webHidden/>
              </w:rPr>
              <w:fldChar w:fldCharType="end"/>
            </w:r>
          </w:hyperlink>
        </w:p>
        <w:p w:rsidR="00F93449" w:rsidRDefault="00AD1081">
          <w:pPr>
            <w:pStyle w:val="TOC2"/>
            <w:tabs>
              <w:tab w:val="right" w:leader="dot" w:pos="9016"/>
            </w:tabs>
            <w:rPr>
              <w:rFonts w:asciiTheme="minorHAnsi" w:eastAsiaTheme="minorEastAsia" w:hAnsiTheme="minorHAnsi"/>
              <w:noProof/>
              <w:kern w:val="2"/>
              <w:szCs w:val="24"/>
            </w:rPr>
          </w:pPr>
          <w:hyperlink w:anchor="_Toc238725560" w:history="1">
            <w:r w:rsidR="00F93449" w:rsidRPr="003104C9">
              <w:rPr>
                <w:rStyle w:val="Hyperlink"/>
                <w:noProof/>
              </w:rPr>
              <w:t>5.6. Chapter Summary</w:t>
            </w:r>
            <w:r w:rsidR="00F93449">
              <w:rPr>
                <w:noProof/>
                <w:webHidden/>
              </w:rPr>
              <w:tab/>
            </w:r>
            <w:r>
              <w:rPr>
                <w:noProof/>
                <w:webHidden/>
              </w:rPr>
              <w:fldChar w:fldCharType="begin"/>
            </w:r>
            <w:r w:rsidR="00F93449">
              <w:rPr>
                <w:noProof/>
                <w:webHidden/>
              </w:rPr>
              <w:instrText xml:space="preserve"> PAGEREF _Toc238725560 \h </w:instrText>
            </w:r>
            <w:r>
              <w:rPr>
                <w:noProof/>
                <w:webHidden/>
              </w:rPr>
            </w:r>
            <w:r>
              <w:rPr>
                <w:noProof/>
                <w:webHidden/>
              </w:rPr>
              <w:fldChar w:fldCharType="separate"/>
            </w:r>
            <w:r w:rsidR="00F93449">
              <w:rPr>
                <w:noProof/>
                <w:webHidden/>
              </w:rPr>
              <w:t>40</w:t>
            </w:r>
            <w:r>
              <w:rPr>
                <w:noProof/>
                <w:webHidden/>
              </w:rPr>
              <w:fldChar w:fldCharType="end"/>
            </w:r>
          </w:hyperlink>
        </w:p>
        <w:p w:rsidR="00F93449" w:rsidRDefault="00AD1081">
          <w:pPr>
            <w:pStyle w:val="TOC1"/>
            <w:tabs>
              <w:tab w:val="right" w:leader="dot" w:pos="9016"/>
            </w:tabs>
            <w:rPr>
              <w:rFonts w:asciiTheme="minorHAnsi" w:eastAsiaTheme="minorEastAsia" w:hAnsiTheme="minorHAnsi"/>
              <w:noProof/>
              <w:kern w:val="2"/>
              <w:szCs w:val="24"/>
            </w:rPr>
          </w:pPr>
          <w:hyperlink w:anchor="_Toc238725561" w:history="1">
            <w:r w:rsidR="00F93449" w:rsidRPr="003104C9">
              <w:rPr>
                <w:rStyle w:val="Hyperlink"/>
                <w:noProof/>
              </w:rPr>
              <w:t>Chapter 6. Discussion</w:t>
            </w:r>
            <w:r w:rsidR="00F93449">
              <w:rPr>
                <w:noProof/>
                <w:webHidden/>
              </w:rPr>
              <w:tab/>
            </w:r>
            <w:r>
              <w:rPr>
                <w:noProof/>
                <w:webHidden/>
              </w:rPr>
              <w:fldChar w:fldCharType="begin"/>
            </w:r>
            <w:r w:rsidR="00F93449">
              <w:rPr>
                <w:noProof/>
                <w:webHidden/>
              </w:rPr>
              <w:instrText xml:space="preserve"> PAGEREF _Toc238725561 \h </w:instrText>
            </w:r>
            <w:r>
              <w:rPr>
                <w:noProof/>
                <w:webHidden/>
              </w:rPr>
            </w:r>
            <w:r>
              <w:rPr>
                <w:noProof/>
                <w:webHidden/>
              </w:rPr>
              <w:fldChar w:fldCharType="separate"/>
            </w:r>
            <w:r w:rsidR="00F93449">
              <w:rPr>
                <w:noProof/>
                <w:webHidden/>
              </w:rPr>
              <w:t>42</w:t>
            </w:r>
            <w:r>
              <w:rPr>
                <w:noProof/>
                <w:webHidden/>
              </w:rPr>
              <w:fldChar w:fldCharType="end"/>
            </w:r>
          </w:hyperlink>
        </w:p>
        <w:p w:rsidR="00F93449" w:rsidRDefault="00AD1081">
          <w:pPr>
            <w:pStyle w:val="TOC2"/>
            <w:tabs>
              <w:tab w:val="right" w:leader="dot" w:pos="9016"/>
            </w:tabs>
            <w:rPr>
              <w:rFonts w:asciiTheme="minorHAnsi" w:eastAsiaTheme="minorEastAsia" w:hAnsiTheme="minorHAnsi"/>
              <w:noProof/>
              <w:kern w:val="2"/>
              <w:szCs w:val="24"/>
            </w:rPr>
          </w:pPr>
          <w:hyperlink w:anchor="_Toc238725562" w:history="1">
            <w:r w:rsidR="00F93449" w:rsidRPr="003104C9">
              <w:rPr>
                <w:rStyle w:val="Hyperlink"/>
                <w:noProof/>
              </w:rPr>
              <w:t>6.1. Introduction</w:t>
            </w:r>
            <w:r w:rsidR="00F93449">
              <w:rPr>
                <w:noProof/>
                <w:webHidden/>
              </w:rPr>
              <w:tab/>
            </w:r>
            <w:r>
              <w:rPr>
                <w:noProof/>
                <w:webHidden/>
              </w:rPr>
              <w:fldChar w:fldCharType="begin"/>
            </w:r>
            <w:r w:rsidR="00F93449">
              <w:rPr>
                <w:noProof/>
                <w:webHidden/>
              </w:rPr>
              <w:instrText xml:space="preserve"> PAGEREF _Toc238725562 \h </w:instrText>
            </w:r>
            <w:r>
              <w:rPr>
                <w:noProof/>
                <w:webHidden/>
              </w:rPr>
            </w:r>
            <w:r>
              <w:rPr>
                <w:noProof/>
                <w:webHidden/>
              </w:rPr>
              <w:fldChar w:fldCharType="separate"/>
            </w:r>
            <w:r w:rsidR="00F93449">
              <w:rPr>
                <w:noProof/>
                <w:webHidden/>
              </w:rPr>
              <w:t>42</w:t>
            </w:r>
            <w:r>
              <w:rPr>
                <w:noProof/>
                <w:webHidden/>
              </w:rPr>
              <w:fldChar w:fldCharType="end"/>
            </w:r>
          </w:hyperlink>
        </w:p>
        <w:p w:rsidR="00F93449" w:rsidRDefault="00AD1081">
          <w:pPr>
            <w:pStyle w:val="TOC2"/>
            <w:tabs>
              <w:tab w:val="right" w:leader="dot" w:pos="9016"/>
            </w:tabs>
            <w:rPr>
              <w:rFonts w:asciiTheme="minorHAnsi" w:eastAsiaTheme="minorEastAsia" w:hAnsiTheme="minorHAnsi"/>
              <w:noProof/>
              <w:kern w:val="2"/>
              <w:szCs w:val="24"/>
            </w:rPr>
          </w:pPr>
          <w:hyperlink w:anchor="_Toc238725563" w:history="1">
            <w:r w:rsidR="00F93449" w:rsidRPr="003104C9">
              <w:rPr>
                <w:rStyle w:val="Hyperlink"/>
                <w:noProof/>
              </w:rPr>
              <w:t>6.2. Discussion of Key Findings</w:t>
            </w:r>
            <w:r w:rsidR="00F93449">
              <w:rPr>
                <w:noProof/>
                <w:webHidden/>
              </w:rPr>
              <w:tab/>
            </w:r>
            <w:r>
              <w:rPr>
                <w:noProof/>
                <w:webHidden/>
              </w:rPr>
              <w:fldChar w:fldCharType="begin"/>
            </w:r>
            <w:r w:rsidR="00F93449">
              <w:rPr>
                <w:noProof/>
                <w:webHidden/>
              </w:rPr>
              <w:instrText xml:space="preserve"> PAGEREF _Toc238725563 \h </w:instrText>
            </w:r>
            <w:r>
              <w:rPr>
                <w:noProof/>
                <w:webHidden/>
              </w:rPr>
            </w:r>
            <w:r>
              <w:rPr>
                <w:noProof/>
                <w:webHidden/>
              </w:rPr>
              <w:fldChar w:fldCharType="separate"/>
            </w:r>
            <w:r w:rsidR="00F93449">
              <w:rPr>
                <w:noProof/>
                <w:webHidden/>
              </w:rPr>
              <w:t>42</w:t>
            </w:r>
            <w:r>
              <w:rPr>
                <w:noProof/>
                <w:webHidden/>
              </w:rPr>
              <w:fldChar w:fldCharType="end"/>
            </w:r>
          </w:hyperlink>
        </w:p>
        <w:p w:rsidR="00F93449" w:rsidRDefault="00AD1081">
          <w:pPr>
            <w:pStyle w:val="TOC3"/>
            <w:tabs>
              <w:tab w:val="right" w:leader="dot" w:pos="9016"/>
            </w:tabs>
            <w:rPr>
              <w:rFonts w:asciiTheme="minorHAnsi" w:eastAsiaTheme="minorEastAsia" w:hAnsiTheme="minorHAnsi"/>
              <w:noProof/>
              <w:kern w:val="2"/>
              <w:szCs w:val="24"/>
            </w:rPr>
          </w:pPr>
          <w:hyperlink w:anchor="_Toc238725564" w:history="1">
            <w:r w:rsidR="00F93449" w:rsidRPr="003104C9">
              <w:rPr>
                <w:rStyle w:val="Hyperlink"/>
                <w:noProof/>
              </w:rPr>
              <w:t>6.2.1. Initial Connection to Support</w:t>
            </w:r>
            <w:r w:rsidR="00F93449">
              <w:rPr>
                <w:noProof/>
                <w:webHidden/>
              </w:rPr>
              <w:tab/>
            </w:r>
            <w:r>
              <w:rPr>
                <w:noProof/>
                <w:webHidden/>
              </w:rPr>
              <w:fldChar w:fldCharType="begin"/>
            </w:r>
            <w:r w:rsidR="00F93449">
              <w:rPr>
                <w:noProof/>
                <w:webHidden/>
              </w:rPr>
              <w:instrText xml:space="preserve"> PAGEREF _Toc238725564 \h </w:instrText>
            </w:r>
            <w:r>
              <w:rPr>
                <w:noProof/>
                <w:webHidden/>
              </w:rPr>
            </w:r>
            <w:r>
              <w:rPr>
                <w:noProof/>
                <w:webHidden/>
              </w:rPr>
              <w:fldChar w:fldCharType="separate"/>
            </w:r>
            <w:r w:rsidR="00F93449">
              <w:rPr>
                <w:noProof/>
                <w:webHidden/>
              </w:rPr>
              <w:t>42</w:t>
            </w:r>
            <w:r>
              <w:rPr>
                <w:noProof/>
                <w:webHidden/>
              </w:rPr>
              <w:fldChar w:fldCharType="end"/>
            </w:r>
          </w:hyperlink>
        </w:p>
        <w:p w:rsidR="00F93449" w:rsidRDefault="00AD1081">
          <w:pPr>
            <w:pStyle w:val="TOC3"/>
            <w:tabs>
              <w:tab w:val="right" w:leader="dot" w:pos="9016"/>
            </w:tabs>
            <w:rPr>
              <w:rFonts w:asciiTheme="minorHAnsi" w:eastAsiaTheme="minorEastAsia" w:hAnsiTheme="minorHAnsi"/>
              <w:noProof/>
              <w:kern w:val="2"/>
              <w:szCs w:val="24"/>
            </w:rPr>
          </w:pPr>
          <w:hyperlink w:anchor="_Toc238725565" w:history="1">
            <w:r w:rsidR="00F93449" w:rsidRPr="003104C9">
              <w:rPr>
                <w:rStyle w:val="Hyperlink"/>
                <w:noProof/>
              </w:rPr>
              <w:t>6.2.2. Accessibility, Flexibility and Continuity</w:t>
            </w:r>
            <w:r w:rsidR="00F93449">
              <w:rPr>
                <w:noProof/>
                <w:webHidden/>
              </w:rPr>
              <w:tab/>
            </w:r>
            <w:r>
              <w:rPr>
                <w:noProof/>
                <w:webHidden/>
              </w:rPr>
              <w:fldChar w:fldCharType="begin"/>
            </w:r>
            <w:r w:rsidR="00F93449">
              <w:rPr>
                <w:noProof/>
                <w:webHidden/>
              </w:rPr>
              <w:instrText xml:space="preserve"> PAGEREF _Toc238725565 \h </w:instrText>
            </w:r>
            <w:r>
              <w:rPr>
                <w:noProof/>
                <w:webHidden/>
              </w:rPr>
            </w:r>
            <w:r>
              <w:rPr>
                <w:noProof/>
                <w:webHidden/>
              </w:rPr>
              <w:fldChar w:fldCharType="separate"/>
            </w:r>
            <w:r w:rsidR="00F93449">
              <w:rPr>
                <w:noProof/>
                <w:webHidden/>
              </w:rPr>
              <w:t>43</w:t>
            </w:r>
            <w:r>
              <w:rPr>
                <w:noProof/>
                <w:webHidden/>
              </w:rPr>
              <w:fldChar w:fldCharType="end"/>
            </w:r>
          </w:hyperlink>
        </w:p>
        <w:p w:rsidR="00F93449" w:rsidRDefault="00AD1081">
          <w:pPr>
            <w:pStyle w:val="TOC3"/>
            <w:tabs>
              <w:tab w:val="right" w:leader="dot" w:pos="9016"/>
            </w:tabs>
            <w:rPr>
              <w:rFonts w:asciiTheme="minorHAnsi" w:eastAsiaTheme="minorEastAsia" w:hAnsiTheme="minorHAnsi"/>
              <w:noProof/>
              <w:kern w:val="2"/>
              <w:szCs w:val="24"/>
            </w:rPr>
          </w:pPr>
          <w:hyperlink w:anchor="_Toc238725566" w:history="1">
            <w:r w:rsidR="00F93449" w:rsidRPr="003104C9">
              <w:rPr>
                <w:rStyle w:val="Hyperlink"/>
                <w:noProof/>
              </w:rPr>
              <w:t>6.2.3. Relational and Treatment Support</w:t>
            </w:r>
            <w:r w:rsidR="00F93449">
              <w:rPr>
                <w:noProof/>
                <w:webHidden/>
              </w:rPr>
              <w:tab/>
            </w:r>
            <w:r>
              <w:rPr>
                <w:noProof/>
                <w:webHidden/>
              </w:rPr>
              <w:fldChar w:fldCharType="begin"/>
            </w:r>
            <w:r w:rsidR="00F93449">
              <w:rPr>
                <w:noProof/>
                <w:webHidden/>
              </w:rPr>
              <w:instrText xml:space="preserve"> PAGEREF _Toc238725566 \h </w:instrText>
            </w:r>
            <w:r>
              <w:rPr>
                <w:noProof/>
                <w:webHidden/>
              </w:rPr>
            </w:r>
            <w:r>
              <w:rPr>
                <w:noProof/>
                <w:webHidden/>
              </w:rPr>
              <w:fldChar w:fldCharType="separate"/>
            </w:r>
            <w:r w:rsidR="00F93449">
              <w:rPr>
                <w:noProof/>
                <w:webHidden/>
              </w:rPr>
              <w:t>44</w:t>
            </w:r>
            <w:r>
              <w:rPr>
                <w:noProof/>
                <w:webHidden/>
              </w:rPr>
              <w:fldChar w:fldCharType="end"/>
            </w:r>
          </w:hyperlink>
        </w:p>
        <w:p w:rsidR="00F93449" w:rsidRDefault="00AD1081">
          <w:pPr>
            <w:pStyle w:val="TOC3"/>
            <w:tabs>
              <w:tab w:val="right" w:leader="dot" w:pos="9016"/>
            </w:tabs>
            <w:rPr>
              <w:rFonts w:asciiTheme="minorHAnsi" w:eastAsiaTheme="minorEastAsia" w:hAnsiTheme="minorHAnsi"/>
              <w:noProof/>
              <w:kern w:val="2"/>
              <w:szCs w:val="24"/>
            </w:rPr>
          </w:pPr>
          <w:hyperlink w:anchor="_Toc238725567" w:history="1">
            <w:r w:rsidR="00F93449" w:rsidRPr="003104C9">
              <w:rPr>
                <w:rStyle w:val="Hyperlink"/>
                <w:noProof/>
              </w:rPr>
              <w:t>6.2.4. Social and Personal Context</w:t>
            </w:r>
            <w:r w:rsidR="00F93449">
              <w:rPr>
                <w:noProof/>
                <w:webHidden/>
              </w:rPr>
              <w:tab/>
            </w:r>
            <w:r>
              <w:rPr>
                <w:noProof/>
                <w:webHidden/>
              </w:rPr>
              <w:fldChar w:fldCharType="begin"/>
            </w:r>
            <w:r w:rsidR="00F93449">
              <w:rPr>
                <w:noProof/>
                <w:webHidden/>
              </w:rPr>
              <w:instrText xml:space="preserve"> PAGEREF _Toc238725567 \h </w:instrText>
            </w:r>
            <w:r>
              <w:rPr>
                <w:noProof/>
                <w:webHidden/>
              </w:rPr>
            </w:r>
            <w:r>
              <w:rPr>
                <w:noProof/>
                <w:webHidden/>
              </w:rPr>
              <w:fldChar w:fldCharType="separate"/>
            </w:r>
            <w:r w:rsidR="00F93449">
              <w:rPr>
                <w:noProof/>
                <w:webHidden/>
              </w:rPr>
              <w:t>45</w:t>
            </w:r>
            <w:r>
              <w:rPr>
                <w:noProof/>
                <w:webHidden/>
              </w:rPr>
              <w:fldChar w:fldCharType="end"/>
            </w:r>
          </w:hyperlink>
        </w:p>
        <w:p w:rsidR="00F93449" w:rsidRDefault="00AD1081">
          <w:pPr>
            <w:pStyle w:val="TOC3"/>
            <w:tabs>
              <w:tab w:val="right" w:leader="dot" w:pos="9016"/>
            </w:tabs>
            <w:rPr>
              <w:rFonts w:asciiTheme="minorHAnsi" w:eastAsiaTheme="minorEastAsia" w:hAnsiTheme="minorHAnsi"/>
              <w:noProof/>
              <w:kern w:val="2"/>
              <w:szCs w:val="24"/>
            </w:rPr>
          </w:pPr>
          <w:hyperlink w:anchor="_Toc238725568" w:history="1">
            <w:r w:rsidR="00F93449" w:rsidRPr="003104C9">
              <w:rPr>
                <w:rStyle w:val="Hyperlink"/>
                <w:noProof/>
              </w:rPr>
              <w:t>6.2.5. Engagement and Quit Success</w:t>
            </w:r>
            <w:r w:rsidR="00F93449">
              <w:rPr>
                <w:noProof/>
                <w:webHidden/>
              </w:rPr>
              <w:tab/>
            </w:r>
            <w:r>
              <w:rPr>
                <w:noProof/>
                <w:webHidden/>
              </w:rPr>
              <w:fldChar w:fldCharType="begin"/>
            </w:r>
            <w:r w:rsidR="00F93449">
              <w:rPr>
                <w:noProof/>
                <w:webHidden/>
              </w:rPr>
              <w:instrText xml:space="preserve"> PAGEREF _Toc238725568 \h </w:instrText>
            </w:r>
            <w:r>
              <w:rPr>
                <w:noProof/>
                <w:webHidden/>
              </w:rPr>
            </w:r>
            <w:r>
              <w:rPr>
                <w:noProof/>
                <w:webHidden/>
              </w:rPr>
              <w:fldChar w:fldCharType="separate"/>
            </w:r>
            <w:r w:rsidR="00F93449">
              <w:rPr>
                <w:noProof/>
                <w:webHidden/>
              </w:rPr>
              <w:t>45</w:t>
            </w:r>
            <w:r>
              <w:rPr>
                <w:noProof/>
                <w:webHidden/>
              </w:rPr>
              <w:fldChar w:fldCharType="end"/>
            </w:r>
          </w:hyperlink>
        </w:p>
        <w:p w:rsidR="00F93449" w:rsidRDefault="00AD1081">
          <w:pPr>
            <w:pStyle w:val="TOC2"/>
            <w:tabs>
              <w:tab w:val="right" w:leader="dot" w:pos="9016"/>
            </w:tabs>
            <w:rPr>
              <w:rFonts w:asciiTheme="minorHAnsi" w:eastAsiaTheme="minorEastAsia" w:hAnsiTheme="minorHAnsi"/>
              <w:noProof/>
              <w:kern w:val="2"/>
              <w:szCs w:val="24"/>
            </w:rPr>
          </w:pPr>
          <w:hyperlink w:anchor="_Toc238725569" w:history="1">
            <w:r w:rsidR="00F93449" w:rsidRPr="003104C9">
              <w:rPr>
                <w:rStyle w:val="Hyperlink"/>
                <w:noProof/>
              </w:rPr>
              <w:t>6.3. Strengths and Limitations</w:t>
            </w:r>
            <w:r w:rsidR="00F93449">
              <w:rPr>
                <w:noProof/>
                <w:webHidden/>
              </w:rPr>
              <w:tab/>
            </w:r>
            <w:r>
              <w:rPr>
                <w:noProof/>
                <w:webHidden/>
              </w:rPr>
              <w:fldChar w:fldCharType="begin"/>
            </w:r>
            <w:r w:rsidR="00F93449">
              <w:rPr>
                <w:noProof/>
                <w:webHidden/>
              </w:rPr>
              <w:instrText xml:space="preserve"> PAGEREF _Toc238725569 \h </w:instrText>
            </w:r>
            <w:r>
              <w:rPr>
                <w:noProof/>
                <w:webHidden/>
              </w:rPr>
            </w:r>
            <w:r>
              <w:rPr>
                <w:noProof/>
                <w:webHidden/>
              </w:rPr>
              <w:fldChar w:fldCharType="separate"/>
            </w:r>
            <w:r w:rsidR="00F93449">
              <w:rPr>
                <w:noProof/>
                <w:webHidden/>
              </w:rPr>
              <w:t>46</w:t>
            </w:r>
            <w:r>
              <w:rPr>
                <w:noProof/>
                <w:webHidden/>
              </w:rPr>
              <w:fldChar w:fldCharType="end"/>
            </w:r>
          </w:hyperlink>
        </w:p>
        <w:p w:rsidR="00F93449" w:rsidRDefault="00AD1081">
          <w:pPr>
            <w:pStyle w:val="TOC3"/>
            <w:tabs>
              <w:tab w:val="right" w:leader="dot" w:pos="9016"/>
            </w:tabs>
            <w:rPr>
              <w:rFonts w:asciiTheme="minorHAnsi" w:eastAsiaTheme="minorEastAsia" w:hAnsiTheme="minorHAnsi"/>
              <w:noProof/>
              <w:kern w:val="2"/>
              <w:szCs w:val="24"/>
            </w:rPr>
          </w:pPr>
          <w:hyperlink w:anchor="_Toc238725570" w:history="1">
            <w:r w:rsidR="00F93449" w:rsidRPr="003104C9">
              <w:rPr>
                <w:rStyle w:val="Hyperlink"/>
                <w:noProof/>
              </w:rPr>
              <w:t>6.3.1. Chapter Summary</w:t>
            </w:r>
            <w:r w:rsidR="00F93449">
              <w:rPr>
                <w:noProof/>
                <w:webHidden/>
              </w:rPr>
              <w:tab/>
            </w:r>
            <w:r>
              <w:rPr>
                <w:noProof/>
                <w:webHidden/>
              </w:rPr>
              <w:fldChar w:fldCharType="begin"/>
            </w:r>
            <w:r w:rsidR="00F93449">
              <w:rPr>
                <w:noProof/>
                <w:webHidden/>
              </w:rPr>
              <w:instrText xml:space="preserve"> PAGEREF _Toc238725570 \h </w:instrText>
            </w:r>
            <w:r>
              <w:rPr>
                <w:noProof/>
                <w:webHidden/>
              </w:rPr>
            </w:r>
            <w:r>
              <w:rPr>
                <w:noProof/>
                <w:webHidden/>
              </w:rPr>
              <w:fldChar w:fldCharType="separate"/>
            </w:r>
            <w:r w:rsidR="00F93449">
              <w:rPr>
                <w:noProof/>
                <w:webHidden/>
              </w:rPr>
              <w:t>47</w:t>
            </w:r>
            <w:r>
              <w:rPr>
                <w:noProof/>
                <w:webHidden/>
              </w:rPr>
              <w:fldChar w:fldCharType="end"/>
            </w:r>
          </w:hyperlink>
        </w:p>
        <w:p w:rsidR="00F93449" w:rsidRDefault="00AD1081">
          <w:pPr>
            <w:pStyle w:val="TOC1"/>
            <w:tabs>
              <w:tab w:val="right" w:leader="dot" w:pos="9016"/>
            </w:tabs>
            <w:rPr>
              <w:rFonts w:asciiTheme="minorHAnsi" w:eastAsiaTheme="minorEastAsia" w:hAnsiTheme="minorHAnsi"/>
              <w:noProof/>
              <w:kern w:val="2"/>
              <w:szCs w:val="24"/>
            </w:rPr>
          </w:pPr>
          <w:hyperlink w:anchor="_Toc238725571" w:history="1">
            <w:r w:rsidR="00F93449" w:rsidRPr="003104C9">
              <w:rPr>
                <w:rStyle w:val="Hyperlink"/>
                <w:noProof/>
              </w:rPr>
              <w:t>Chapter 7. Recommendations and Conclusion</w:t>
            </w:r>
            <w:r w:rsidR="00F93449">
              <w:rPr>
                <w:noProof/>
                <w:webHidden/>
              </w:rPr>
              <w:tab/>
            </w:r>
            <w:r>
              <w:rPr>
                <w:noProof/>
                <w:webHidden/>
              </w:rPr>
              <w:fldChar w:fldCharType="begin"/>
            </w:r>
            <w:r w:rsidR="00F93449">
              <w:rPr>
                <w:noProof/>
                <w:webHidden/>
              </w:rPr>
              <w:instrText xml:space="preserve"> PAGEREF _Toc238725571 \h </w:instrText>
            </w:r>
            <w:r>
              <w:rPr>
                <w:noProof/>
                <w:webHidden/>
              </w:rPr>
            </w:r>
            <w:r>
              <w:rPr>
                <w:noProof/>
                <w:webHidden/>
              </w:rPr>
              <w:fldChar w:fldCharType="separate"/>
            </w:r>
            <w:r w:rsidR="00F93449">
              <w:rPr>
                <w:noProof/>
                <w:webHidden/>
              </w:rPr>
              <w:t>48</w:t>
            </w:r>
            <w:r>
              <w:rPr>
                <w:noProof/>
                <w:webHidden/>
              </w:rPr>
              <w:fldChar w:fldCharType="end"/>
            </w:r>
          </w:hyperlink>
        </w:p>
        <w:p w:rsidR="00F93449" w:rsidRDefault="00AD1081">
          <w:pPr>
            <w:pStyle w:val="TOC2"/>
            <w:tabs>
              <w:tab w:val="right" w:leader="dot" w:pos="9016"/>
            </w:tabs>
            <w:rPr>
              <w:rFonts w:asciiTheme="minorHAnsi" w:eastAsiaTheme="minorEastAsia" w:hAnsiTheme="minorHAnsi"/>
              <w:noProof/>
              <w:kern w:val="2"/>
              <w:szCs w:val="24"/>
            </w:rPr>
          </w:pPr>
          <w:hyperlink w:anchor="_Toc238725572" w:history="1">
            <w:r w:rsidR="00F93449" w:rsidRPr="003104C9">
              <w:rPr>
                <w:rStyle w:val="Hyperlink"/>
                <w:noProof/>
              </w:rPr>
              <w:t>7.1. Introduction</w:t>
            </w:r>
            <w:r w:rsidR="00F93449">
              <w:rPr>
                <w:noProof/>
                <w:webHidden/>
              </w:rPr>
              <w:tab/>
            </w:r>
            <w:r>
              <w:rPr>
                <w:noProof/>
                <w:webHidden/>
              </w:rPr>
              <w:fldChar w:fldCharType="begin"/>
            </w:r>
            <w:r w:rsidR="00F93449">
              <w:rPr>
                <w:noProof/>
                <w:webHidden/>
              </w:rPr>
              <w:instrText xml:space="preserve"> PAGEREF _Toc238725572 \h </w:instrText>
            </w:r>
            <w:r>
              <w:rPr>
                <w:noProof/>
                <w:webHidden/>
              </w:rPr>
            </w:r>
            <w:r>
              <w:rPr>
                <w:noProof/>
                <w:webHidden/>
              </w:rPr>
              <w:fldChar w:fldCharType="separate"/>
            </w:r>
            <w:r w:rsidR="00F93449">
              <w:rPr>
                <w:noProof/>
                <w:webHidden/>
              </w:rPr>
              <w:t>48</w:t>
            </w:r>
            <w:r>
              <w:rPr>
                <w:noProof/>
                <w:webHidden/>
              </w:rPr>
              <w:fldChar w:fldCharType="end"/>
            </w:r>
          </w:hyperlink>
        </w:p>
        <w:p w:rsidR="00F93449" w:rsidRDefault="00AD1081">
          <w:pPr>
            <w:pStyle w:val="TOC2"/>
            <w:tabs>
              <w:tab w:val="right" w:leader="dot" w:pos="9016"/>
            </w:tabs>
            <w:rPr>
              <w:rFonts w:asciiTheme="minorHAnsi" w:eastAsiaTheme="minorEastAsia" w:hAnsiTheme="minorHAnsi"/>
              <w:noProof/>
              <w:kern w:val="2"/>
              <w:szCs w:val="24"/>
            </w:rPr>
          </w:pPr>
          <w:hyperlink w:anchor="_Toc238725573" w:history="1">
            <w:r w:rsidR="00F93449" w:rsidRPr="003104C9">
              <w:rPr>
                <w:rStyle w:val="Hyperlink"/>
                <w:noProof/>
              </w:rPr>
              <w:t>7.2. Implications of Findings</w:t>
            </w:r>
            <w:r w:rsidR="00F93449">
              <w:rPr>
                <w:noProof/>
                <w:webHidden/>
              </w:rPr>
              <w:tab/>
            </w:r>
            <w:r>
              <w:rPr>
                <w:noProof/>
                <w:webHidden/>
              </w:rPr>
              <w:fldChar w:fldCharType="begin"/>
            </w:r>
            <w:r w:rsidR="00F93449">
              <w:rPr>
                <w:noProof/>
                <w:webHidden/>
              </w:rPr>
              <w:instrText xml:space="preserve"> PAGEREF _Toc238725573 \h </w:instrText>
            </w:r>
            <w:r>
              <w:rPr>
                <w:noProof/>
                <w:webHidden/>
              </w:rPr>
            </w:r>
            <w:r>
              <w:rPr>
                <w:noProof/>
                <w:webHidden/>
              </w:rPr>
              <w:fldChar w:fldCharType="separate"/>
            </w:r>
            <w:r w:rsidR="00F93449">
              <w:rPr>
                <w:noProof/>
                <w:webHidden/>
              </w:rPr>
              <w:t>48</w:t>
            </w:r>
            <w:r>
              <w:rPr>
                <w:noProof/>
                <w:webHidden/>
              </w:rPr>
              <w:fldChar w:fldCharType="end"/>
            </w:r>
          </w:hyperlink>
        </w:p>
        <w:p w:rsidR="00F93449" w:rsidRDefault="00AD1081">
          <w:pPr>
            <w:pStyle w:val="TOC2"/>
            <w:tabs>
              <w:tab w:val="right" w:leader="dot" w:pos="9016"/>
            </w:tabs>
            <w:rPr>
              <w:rFonts w:asciiTheme="minorHAnsi" w:eastAsiaTheme="minorEastAsia" w:hAnsiTheme="minorHAnsi"/>
              <w:noProof/>
              <w:kern w:val="2"/>
              <w:szCs w:val="24"/>
            </w:rPr>
          </w:pPr>
          <w:hyperlink w:anchor="_Toc238725574" w:history="1">
            <w:r w:rsidR="00F93449" w:rsidRPr="003104C9">
              <w:rPr>
                <w:rStyle w:val="Hyperlink"/>
                <w:rFonts w:ascii="Arial" w:hAnsi="Arial"/>
                <w:noProof/>
              </w:rPr>
              <w:t>7.3.</w:t>
            </w:r>
            <w:r w:rsidR="00F93449" w:rsidRPr="003104C9">
              <w:rPr>
                <w:rStyle w:val="Hyperlink"/>
                <w:noProof/>
              </w:rPr>
              <w:t xml:space="preserve"> Recommendations for Practice</w:t>
            </w:r>
            <w:r w:rsidR="00F93449">
              <w:rPr>
                <w:noProof/>
                <w:webHidden/>
              </w:rPr>
              <w:tab/>
            </w:r>
            <w:r>
              <w:rPr>
                <w:noProof/>
                <w:webHidden/>
              </w:rPr>
              <w:fldChar w:fldCharType="begin"/>
            </w:r>
            <w:r w:rsidR="00F93449">
              <w:rPr>
                <w:noProof/>
                <w:webHidden/>
              </w:rPr>
              <w:instrText xml:space="preserve"> PAGEREF _Toc238725574 \h </w:instrText>
            </w:r>
            <w:r>
              <w:rPr>
                <w:noProof/>
                <w:webHidden/>
              </w:rPr>
            </w:r>
            <w:r>
              <w:rPr>
                <w:noProof/>
                <w:webHidden/>
              </w:rPr>
              <w:fldChar w:fldCharType="separate"/>
            </w:r>
            <w:r w:rsidR="00F93449">
              <w:rPr>
                <w:noProof/>
                <w:webHidden/>
              </w:rPr>
              <w:t>50</w:t>
            </w:r>
            <w:r>
              <w:rPr>
                <w:noProof/>
                <w:webHidden/>
              </w:rPr>
              <w:fldChar w:fldCharType="end"/>
            </w:r>
          </w:hyperlink>
        </w:p>
        <w:p w:rsidR="00F93449" w:rsidRDefault="00AD1081">
          <w:pPr>
            <w:pStyle w:val="TOC2"/>
            <w:tabs>
              <w:tab w:val="right" w:leader="dot" w:pos="9016"/>
            </w:tabs>
            <w:rPr>
              <w:rFonts w:asciiTheme="minorHAnsi" w:eastAsiaTheme="minorEastAsia" w:hAnsiTheme="minorHAnsi"/>
              <w:noProof/>
              <w:kern w:val="2"/>
              <w:szCs w:val="24"/>
            </w:rPr>
          </w:pPr>
          <w:hyperlink w:anchor="_Toc238725575" w:history="1">
            <w:r w:rsidR="00F93449" w:rsidRPr="003104C9">
              <w:rPr>
                <w:rStyle w:val="Hyperlink"/>
                <w:noProof/>
              </w:rPr>
              <w:t>7.4. Recommendations for Future Research</w:t>
            </w:r>
            <w:r w:rsidR="00F93449">
              <w:rPr>
                <w:noProof/>
                <w:webHidden/>
              </w:rPr>
              <w:tab/>
            </w:r>
            <w:r>
              <w:rPr>
                <w:noProof/>
                <w:webHidden/>
              </w:rPr>
              <w:fldChar w:fldCharType="begin"/>
            </w:r>
            <w:r w:rsidR="00F93449">
              <w:rPr>
                <w:noProof/>
                <w:webHidden/>
              </w:rPr>
              <w:instrText xml:space="preserve"> PAGEREF _Toc238725575 \h </w:instrText>
            </w:r>
            <w:r>
              <w:rPr>
                <w:noProof/>
                <w:webHidden/>
              </w:rPr>
            </w:r>
            <w:r>
              <w:rPr>
                <w:noProof/>
                <w:webHidden/>
              </w:rPr>
              <w:fldChar w:fldCharType="separate"/>
            </w:r>
            <w:r w:rsidR="00F93449">
              <w:rPr>
                <w:noProof/>
                <w:webHidden/>
              </w:rPr>
              <w:t>51</w:t>
            </w:r>
            <w:r>
              <w:rPr>
                <w:noProof/>
                <w:webHidden/>
              </w:rPr>
              <w:fldChar w:fldCharType="end"/>
            </w:r>
          </w:hyperlink>
        </w:p>
        <w:p w:rsidR="00F93449" w:rsidRDefault="00AD1081">
          <w:pPr>
            <w:pStyle w:val="TOC2"/>
            <w:tabs>
              <w:tab w:val="right" w:leader="dot" w:pos="9016"/>
            </w:tabs>
            <w:rPr>
              <w:rFonts w:asciiTheme="minorHAnsi" w:eastAsiaTheme="minorEastAsia" w:hAnsiTheme="minorHAnsi"/>
              <w:noProof/>
              <w:kern w:val="2"/>
              <w:szCs w:val="24"/>
            </w:rPr>
          </w:pPr>
          <w:hyperlink w:anchor="_Toc238725576" w:history="1">
            <w:r w:rsidR="00F93449" w:rsidRPr="003104C9">
              <w:rPr>
                <w:rStyle w:val="Hyperlink"/>
                <w:noProof/>
              </w:rPr>
              <w:t>7.5. Conclusion</w:t>
            </w:r>
            <w:r w:rsidR="00F93449">
              <w:rPr>
                <w:noProof/>
                <w:webHidden/>
              </w:rPr>
              <w:tab/>
            </w:r>
            <w:r>
              <w:rPr>
                <w:noProof/>
                <w:webHidden/>
              </w:rPr>
              <w:fldChar w:fldCharType="begin"/>
            </w:r>
            <w:r w:rsidR="00F93449">
              <w:rPr>
                <w:noProof/>
                <w:webHidden/>
              </w:rPr>
              <w:instrText xml:space="preserve"> PAGEREF _Toc238725576 \h </w:instrText>
            </w:r>
            <w:r>
              <w:rPr>
                <w:noProof/>
                <w:webHidden/>
              </w:rPr>
            </w:r>
            <w:r>
              <w:rPr>
                <w:noProof/>
                <w:webHidden/>
              </w:rPr>
              <w:fldChar w:fldCharType="separate"/>
            </w:r>
            <w:r w:rsidR="00F93449">
              <w:rPr>
                <w:noProof/>
                <w:webHidden/>
              </w:rPr>
              <w:t>52</w:t>
            </w:r>
            <w:r>
              <w:rPr>
                <w:noProof/>
                <w:webHidden/>
              </w:rPr>
              <w:fldChar w:fldCharType="end"/>
            </w:r>
          </w:hyperlink>
        </w:p>
        <w:p w:rsidR="00F93449" w:rsidRDefault="00AD1081">
          <w:pPr>
            <w:pStyle w:val="TOC1"/>
            <w:tabs>
              <w:tab w:val="right" w:leader="dot" w:pos="9016"/>
            </w:tabs>
            <w:rPr>
              <w:rFonts w:asciiTheme="minorHAnsi" w:eastAsiaTheme="minorEastAsia" w:hAnsiTheme="minorHAnsi"/>
              <w:noProof/>
              <w:kern w:val="2"/>
              <w:szCs w:val="24"/>
            </w:rPr>
          </w:pPr>
          <w:hyperlink w:anchor="_Toc238725577" w:history="1">
            <w:r w:rsidR="00F93449" w:rsidRPr="003104C9">
              <w:rPr>
                <w:rStyle w:val="Hyperlink"/>
                <w:noProof/>
              </w:rPr>
              <w:t>References</w:t>
            </w:r>
            <w:r w:rsidR="00F93449">
              <w:rPr>
                <w:noProof/>
                <w:webHidden/>
              </w:rPr>
              <w:tab/>
            </w:r>
            <w:r>
              <w:rPr>
                <w:noProof/>
                <w:webHidden/>
              </w:rPr>
              <w:fldChar w:fldCharType="begin"/>
            </w:r>
            <w:r w:rsidR="00F93449">
              <w:rPr>
                <w:noProof/>
                <w:webHidden/>
              </w:rPr>
              <w:instrText xml:space="preserve"> PAGEREF _Toc238725577 \h </w:instrText>
            </w:r>
            <w:r>
              <w:rPr>
                <w:noProof/>
                <w:webHidden/>
              </w:rPr>
            </w:r>
            <w:r>
              <w:rPr>
                <w:noProof/>
                <w:webHidden/>
              </w:rPr>
              <w:fldChar w:fldCharType="separate"/>
            </w:r>
            <w:r w:rsidR="00F93449">
              <w:rPr>
                <w:noProof/>
                <w:webHidden/>
              </w:rPr>
              <w:t>53</w:t>
            </w:r>
            <w:r>
              <w:rPr>
                <w:noProof/>
                <w:webHidden/>
              </w:rPr>
              <w:fldChar w:fldCharType="end"/>
            </w:r>
          </w:hyperlink>
        </w:p>
        <w:p w:rsidR="00F93449" w:rsidRDefault="00AD1081">
          <w:pPr>
            <w:pStyle w:val="TOC1"/>
            <w:tabs>
              <w:tab w:val="right" w:leader="dot" w:pos="9016"/>
            </w:tabs>
            <w:rPr>
              <w:rFonts w:asciiTheme="minorHAnsi" w:eastAsiaTheme="minorEastAsia" w:hAnsiTheme="minorHAnsi"/>
              <w:noProof/>
              <w:kern w:val="2"/>
              <w:szCs w:val="24"/>
            </w:rPr>
          </w:pPr>
          <w:hyperlink w:anchor="_Toc238725578" w:history="1">
            <w:r w:rsidR="00F93449" w:rsidRPr="003104C9">
              <w:rPr>
                <w:rStyle w:val="Hyperlink"/>
                <w:noProof/>
              </w:rPr>
              <w:t>Appendices</w:t>
            </w:r>
            <w:r w:rsidR="00F93449">
              <w:rPr>
                <w:noProof/>
                <w:webHidden/>
              </w:rPr>
              <w:tab/>
            </w:r>
            <w:r>
              <w:rPr>
                <w:noProof/>
                <w:webHidden/>
              </w:rPr>
              <w:fldChar w:fldCharType="begin"/>
            </w:r>
            <w:r w:rsidR="00F93449">
              <w:rPr>
                <w:noProof/>
                <w:webHidden/>
              </w:rPr>
              <w:instrText xml:space="preserve"> PAGEREF _Toc238725578 \h </w:instrText>
            </w:r>
            <w:r>
              <w:rPr>
                <w:noProof/>
                <w:webHidden/>
              </w:rPr>
            </w:r>
            <w:r>
              <w:rPr>
                <w:noProof/>
                <w:webHidden/>
              </w:rPr>
              <w:fldChar w:fldCharType="separate"/>
            </w:r>
            <w:r w:rsidR="00F93449">
              <w:rPr>
                <w:noProof/>
                <w:webHidden/>
              </w:rPr>
              <w:t>64</w:t>
            </w:r>
            <w:r>
              <w:rPr>
                <w:noProof/>
                <w:webHidden/>
              </w:rPr>
              <w:fldChar w:fldCharType="end"/>
            </w:r>
          </w:hyperlink>
        </w:p>
        <w:p w:rsidR="00F93449" w:rsidRDefault="00AD1081">
          <w:pPr>
            <w:pStyle w:val="TOC2"/>
            <w:tabs>
              <w:tab w:val="right" w:leader="dot" w:pos="9016"/>
            </w:tabs>
            <w:rPr>
              <w:rFonts w:asciiTheme="minorHAnsi" w:eastAsiaTheme="minorEastAsia" w:hAnsiTheme="minorHAnsi"/>
              <w:noProof/>
              <w:kern w:val="2"/>
              <w:szCs w:val="24"/>
            </w:rPr>
          </w:pPr>
          <w:hyperlink w:anchor="_Toc238725579" w:history="1">
            <w:r w:rsidR="00F93449" w:rsidRPr="003104C9">
              <w:rPr>
                <w:rStyle w:val="Hyperlink"/>
                <w:noProof/>
              </w:rPr>
              <w:t>Appendix 4A: Data Extraction Table for Included Primary Studies</w:t>
            </w:r>
            <w:r w:rsidR="00F93449">
              <w:rPr>
                <w:noProof/>
                <w:webHidden/>
              </w:rPr>
              <w:tab/>
            </w:r>
            <w:r>
              <w:rPr>
                <w:noProof/>
                <w:webHidden/>
              </w:rPr>
              <w:fldChar w:fldCharType="begin"/>
            </w:r>
            <w:r w:rsidR="00F93449">
              <w:rPr>
                <w:noProof/>
                <w:webHidden/>
              </w:rPr>
              <w:instrText xml:space="preserve"> PAGEREF _Toc238725579 \h </w:instrText>
            </w:r>
            <w:r>
              <w:rPr>
                <w:noProof/>
                <w:webHidden/>
              </w:rPr>
            </w:r>
            <w:r>
              <w:rPr>
                <w:noProof/>
                <w:webHidden/>
              </w:rPr>
              <w:fldChar w:fldCharType="separate"/>
            </w:r>
            <w:r w:rsidR="00F93449">
              <w:rPr>
                <w:noProof/>
                <w:webHidden/>
              </w:rPr>
              <w:t>64</w:t>
            </w:r>
            <w:r>
              <w:rPr>
                <w:noProof/>
                <w:webHidden/>
              </w:rPr>
              <w:fldChar w:fldCharType="end"/>
            </w:r>
          </w:hyperlink>
        </w:p>
        <w:p w:rsidR="00F93449" w:rsidRDefault="00AD1081">
          <w:pPr>
            <w:pStyle w:val="TOC2"/>
            <w:tabs>
              <w:tab w:val="right" w:leader="dot" w:pos="9016"/>
            </w:tabs>
            <w:rPr>
              <w:rFonts w:asciiTheme="minorHAnsi" w:eastAsiaTheme="minorEastAsia" w:hAnsiTheme="minorHAnsi"/>
              <w:noProof/>
              <w:kern w:val="2"/>
              <w:szCs w:val="24"/>
            </w:rPr>
          </w:pPr>
          <w:hyperlink w:anchor="_Toc238725580" w:history="1">
            <w:r w:rsidR="00F93449" w:rsidRPr="003104C9">
              <w:rPr>
                <w:rStyle w:val="Hyperlink"/>
                <w:rFonts w:ascii="Arial" w:hAnsi="Arial"/>
                <w:noProof/>
              </w:rPr>
              <w:t>Appendix 4B: Critical Appraisal Skills Programme (CASP) Appraisal of Qualitative Studies</w:t>
            </w:r>
            <w:r w:rsidR="00F93449">
              <w:rPr>
                <w:noProof/>
                <w:webHidden/>
              </w:rPr>
              <w:tab/>
            </w:r>
            <w:r>
              <w:rPr>
                <w:noProof/>
                <w:webHidden/>
              </w:rPr>
              <w:fldChar w:fldCharType="begin"/>
            </w:r>
            <w:r w:rsidR="00F93449">
              <w:rPr>
                <w:noProof/>
                <w:webHidden/>
              </w:rPr>
              <w:instrText xml:space="preserve"> PAGEREF _Toc238725580 \h </w:instrText>
            </w:r>
            <w:r>
              <w:rPr>
                <w:noProof/>
                <w:webHidden/>
              </w:rPr>
            </w:r>
            <w:r>
              <w:rPr>
                <w:noProof/>
                <w:webHidden/>
              </w:rPr>
              <w:fldChar w:fldCharType="separate"/>
            </w:r>
            <w:r w:rsidR="00F93449">
              <w:rPr>
                <w:noProof/>
                <w:webHidden/>
              </w:rPr>
              <w:t>68</w:t>
            </w:r>
            <w:r>
              <w:rPr>
                <w:noProof/>
                <w:webHidden/>
              </w:rPr>
              <w:fldChar w:fldCharType="end"/>
            </w:r>
          </w:hyperlink>
        </w:p>
        <w:p w:rsidR="00F93449" w:rsidRDefault="00AD1081">
          <w:pPr>
            <w:pStyle w:val="TOC2"/>
            <w:tabs>
              <w:tab w:val="right" w:leader="dot" w:pos="9016"/>
            </w:tabs>
            <w:rPr>
              <w:rFonts w:asciiTheme="minorHAnsi" w:eastAsiaTheme="minorEastAsia" w:hAnsiTheme="minorHAnsi"/>
              <w:noProof/>
              <w:kern w:val="2"/>
              <w:szCs w:val="24"/>
            </w:rPr>
          </w:pPr>
          <w:hyperlink w:anchor="_Toc238725581" w:history="1">
            <w:r w:rsidR="00F93449" w:rsidRPr="003104C9">
              <w:rPr>
                <w:rStyle w:val="Hyperlink"/>
                <w:noProof/>
              </w:rPr>
              <w:t>Appendix 4C: Quality Assessment of Quantitative Studies</w:t>
            </w:r>
            <w:r w:rsidR="00F93449">
              <w:rPr>
                <w:noProof/>
                <w:webHidden/>
              </w:rPr>
              <w:tab/>
            </w:r>
            <w:r>
              <w:rPr>
                <w:noProof/>
                <w:webHidden/>
              </w:rPr>
              <w:fldChar w:fldCharType="begin"/>
            </w:r>
            <w:r w:rsidR="00F93449">
              <w:rPr>
                <w:noProof/>
                <w:webHidden/>
              </w:rPr>
              <w:instrText xml:space="preserve"> PAGEREF _Toc238725581 \h </w:instrText>
            </w:r>
            <w:r>
              <w:rPr>
                <w:noProof/>
                <w:webHidden/>
              </w:rPr>
            </w:r>
            <w:r>
              <w:rPr>
                <w:noProof/>
                <w:webHidden/>
              </w:rPr>
              <w:fldChar w:fldCharType="separate"/>
            </w:r>
            <w:r w:rsidR="00F93449">
              <w:rPr>
                <w:noProof/>
                <w:webHidden/>
              </w:rPr>
              <w:t>69</w:t>
            </w:r>
            <w:r>
              <w:rPr>
                <w:noProof/>
                <w:webHidden/>
              </w:rPr>
              <w:fldChar w:fldCharType="end"/>
            </w:r>
          </w:hyperlink>
        </w:p>
        <w:p w:rsidR="00F93449" w:rsidRDefault="00AD1081">
          <w:pPr>
            <w:pStyle w:val="TOC2"/>
            <w:tabs>
              <w:tab w:val="right" w:leader="dot" w:pos="9016"/>
            </w:tabs>
            <w:rPr>
              <w:rFonts w:asciiTheme="minorHAnsi" w:eastAsiaTheme="minorEastAsia" w:hAnsiTheme="minorHAnsi"/>
              <w:noProof/>
              <w:kern w:val="2"/>
              <w:szCs w:val="24"/>
            </w:rPr>
          </w:pPr>
          <w:hyperlink w:anchor="_Toc238725582" w:history="1">
            <w:r w:rsidR="00F93449" w:rsidRPr="003104C9">
              <w:rPr>
                <w:rStyle w:val="Hyperlink"/>
                <w:noProof/>
              </w:rPr>
              <w:t>Appendix 4D: Mixed Methods Appraisal Tool (MMAT) Appraisal of Pope et al. (2025)</w:t>
            </w:r>
            <w:r w:rsidR="00F93449">
              <w:rPr>
                <w:noProof/>
                <w:webHidden/>
              </w:rPr>
              <w:tab/>
            </w:r>
            <w:r>
              <w:rPr>
                <w:noProof/>
                <w:webHidden/>
              </w:rPr>
              <w:fldChar w:fldCharType="begin"/>
            </w:r>
            <w:r w:rsidR="00F93449">
              <w:rPr>
                <w:noProof/>
                <w:webHidden/>
              </w:rPr>
              <w:instrText xml:space="preserve"> PAGEREF _Toc238725582 \h </w:instrText>
            </w:r>
            <w:r>
              <w:rPr>
                <w:noProof/>
                <w:webHidden/>
              </w:rPr>
            </w:r>
            <w:r>
              <w:rPr>
                <w:noProof/>
                <w:webHidden/>
              </w:rPr>
              <w:fldChar w:fldCharType="separate"/>
            </w:r>
            <w:r w:rsidR="00F93449">
              <w:rPr>
                <w:noProof/>
                <w:webHidden/>
              </w:rPr>
              <w:t>70</w:t>
            </w:r>
            <w:r>
              <w:rPr>
                <w:noProof/>
                <w:webHidden/>
              </w:rPr>
              <w:fldChar w:fldCharType="end"/>
            </w:r>
          </w:hyperlink>
        </w:p>
        <w:p w:rsidR="00F93449" w:rsidRDefault="00AD1081">
          <w:pPr>
            <w:pStyle w:val="TOC2"/>
            <w:tabs>
              <w:tab w:val="right" w:leader="dot" w:pos="9016"/>
            </w:tabs>
            <w:rPr>
              <w:rFonts w:asciiTheme="minorHAnsi" w:eastAsiaTheme="minorEastAsia" w:hAnsiTheme="minorHAnsi"/>
              <w:noProof/>
              <w:kern w:val="2"/>
              <w:szCs w:val="24"/>
            </w:rPr>
          </w:pPr>
          <w:hyperlink w:anchor="_Toc238725583" w:history="1">
            <w:r w:rsidR="00F93449" w:rsidRPr="003104C9">
              <w:rPr>
                <w:rStyle w:val="Hyperlink"/>
                <w:noProof/>
              </w:rPr>
              <w:t>Appendix 5A: Coding and Theme-Development Matrix</w:t>
            </w:r>
            <w:r w:rsidR="00F93449">
              <w:rPr>
                <w:noProof/>
                <w:webHidden/>
              </w:rPr>
              <w:tab/>
            </w:r>
            <w:r>
              <w:rPr>
                <w:noProof/>
                <w:webHidden/>
              </w:rPr>
              <w:fldChar w:fldCharType="begin"/>
            </w:r>
            <w:r w:rsidR="00F93449">
              <w:rPr>
                <w:noProof/>
                <w:webHidden/>
              </w:rPr>
              <w:instrText xml:space="preserve"> PAGEREF _Toc238725583 \h </w:instrText>
            </w:r>
            <w:r>
              <w:rPr>
                <w:noProof/>
                <w:webHidden/>
              </w:rPr>
            </w:r>
            <w:r>
              <w:rPr>
                <w:noProof/>
                <w:webHidden/>
              </w:rPr>
              <w:fldChar w:fldCharType="separate"/>
            </w:r>
            <w:r w:rsidR="00F93449">
              <w:rPr>
                <w:noProof/>
                <w:webHidden/>
              </w:rPr>
              <w:t>72</w:t>
            </w:r>
            <w:r>
              <w:rPr>
                <w:noProof/>
                <w:webHidden/>
              </w:rPr>
              <w:fldChar w:fldCharType="end"/>
            </w:r>
          </w:hyperlink>
        </w:p>
        <w:p w:rsidR="00F93449" w:rsidRDefault="00AD1081">
          <w:r>
            <w:rPr>
              <w:b/>
              <w:bCs/>
              <w:noProof/>
            </w:rPr>
            <w:fldChar w:fldCharType="end"/>
          </w:r>
        </w:p>
      </w:sdtContent>
    </w:sdt>
    <w:p w:rsidR="00F93449" w:rsidRDefault="00F93449">
      <w:pPr>
        <w:spacing w:line="240" w:lineRule="auto"/>
        <w:jc w:val="left"/>
        <w:rPr>
          <w:b/>
          <w:sz w:val="32"/>
        </w:rPr>
      </w:pPr>
      <w:r>
        <w:rPr>
          <w:b/>
          <w:sz w:val="32"/>
        </w:rPr>
        <w:br w:type="page"/>
      </w:r>
    </w:p>
    <w:p w:rsidR="00F93449" w:rsidRDefault="0012332F" w:rsidP="00F93449">
      <w:pPr>
        <w:spacing w:after="240"/>
        <w:jc w:val="center"/>
      </w:pPr>
      <w:r>
        <w:rPr>
          <w:b/>
          <w:sz w:val="32"/>
        </w:rPr>
        <w:lastRenderedPageBreak/>
        <w:t>LIST OF TABLES</w:t>
      </w:r>
    </w:p>
    <w:p w:rsidR="00F93449" w:rsidRDefault="00AD1081">
      <w:pPr>
        <w:pStyle w:val="TableofFigures"/>
        <w:tabs>
          <w:tab w:val="right" w:leader="dot" w:pos="9016"/>
        </w:tabs>
        <w:rPr>
          <w:rFonts w:asciiTheme="minorHAnsi" w:eastAsiaTheme="minorEastAsia" w:hAnsiTheme="minorHAnsi"/>
          <w:noProof/>
          <w:kern w:val="2"/>
          <w:szCs w:val="24"/>
        </w:rPr>
      </w:pPr>
      <w:r>
        <w:fldChar w:fldCharType="begin"/>
      </w:r>
      <w:r w:rsidR="00F93449">
        <w:instrText xml:space="preserve"> TOC \c "Table" </w:instrText>
      </w:r>
      <w:r>
        <w:fldChar w:fldCharType="separate"/>
      </w:r>
      <w:r w:rsidR="00F93449">
        <w:rPr>
          <w:noProof/>
        </w:rPr>
        <w:t>Table 3.1. Data extraction framework</w:t>
      </w:r>
      <w:r w:rsidR="00F93449">
        <w:rPr>
          <w:noProof/>
        </w:rPr>
        <w:tab/>
      </w:r>
      <w:r>
        <w:rPr>
          <w:noProof/>
        </w:rPr>
        <w:fldChar w:fldCharType="begin"/>
      </w:r>
      <w:r w:rsidR="00F93449">
        <w:rPr>
          <w:noProof/>
        </w:rPr>
        <w:instrText xml:space="preserve"> PAGEREF _Toc238725585 \h </w:instrText>
      </w:r>
      <w:r>
        <w:rPr>
          <w:noProof/>
        </w:rPr>
      </w:r>
      <w:r>
        <w:rPr>
          <w:noProof/>
        </w:rPr>
        <w:fldChar w:fldCharType="separate"/>
      </w:r>
      <w:r w:rsidR="00F93449">
        <w:rPr>
          <w:noProof/>
        </w:rPr>
        <w:t>14</w:t>
      </w:r>
      <w:r>
        <w:rPr>
          <w:noProof/>
        </w:rPr>
        <w:fldChar w:fldCharType="end"/>
      </w:r>
    </w:p>
    <w:p w:rsidR="00F93449" w:rsidRDefault="00F93449">
      <w:pPr>
        <w:pStyle w:val="TableofFigures"/>
        <w:tabs>
          <w:tab w:val="right" w:leader="dot" w:pos="9016"/>
        </w:tabs>
        <w:rPr>
          <w:rFonts w:asciiTheme="minorHAnsi" w:eastAsiaTheme="minorEastAsia" w:hAnsiTheme="minorHAnsi"/>
          <w:noProof/>
          <w:kern w:val="2"/>
          <w:szCs w:val="24"/>
        </w:rPr>
      </w:pPr>
      <w:r>
        <w:rPr>
          <w:noProof/>
        </w:rPr>
        <w:t>Table 3.2. PECO framework for the review</w:t>
      </w:r>
      <w:r>
        <w:rPr>
          <w:noProof/>
        </w:rPr>
        <w:tab/>
      </w:r>
      <w:r w:rsidR="00AD1081">
        <w:rPr>
          <w:noProof/>
        </w:rPr>
        <w:fldChar w:fldCharType="begin"/>
      </w:r>
      <w:r>
        <w:rPr>
          <w:noProof/>
        </w:rPr>
        <w:instrText xml:space="preserve"> PAGEREF _Toc238725586 \h </w:instrText>
      </w:r>
      <w:r w:rsidR="00AD1081">
        <w:rPr>
          <w:noProof/>
        </w:rPr>
      </w:r>
      <w:r w:rsidR="00AD1081">
        <w:rPr>
          <w:noProof/>
        </w:rPr>
        <w:fldChar w:fldCharType="separate"/>
      </w:r>
      <w:r>
        <w:rPr>
          <w:noProof/>
        </w:rPr>
        <w:t>16</w:t>
      </w:r>
      <w:r w:rsidR="00AD1081">
        <w:rPr>
          <w:noProof/>
        </w:rPr>
        <w:fldChar w:fldCharType="end"/>
      </w:r>
    </w:p>
    <w:p w:rsidR="00F93449" w:rsidRDefault="00F93449">
      <w:pPr>
        <w:pStyle w:val="TableofFigures"/>
        <w:tabs>
          <w:tab w:val="right" w:leader="dot" w:pos="9016"/>
        </w:tabs>
        <w:rPr>
          <w:rFonts w:asciiTheme="minorHAnsi" w:eastAsiaTheme="minorEastAsia" w:hAnsiTheme="minorHAnsi"/>
          <w:noProof/>
          <w:kern w:val="2"/>
          <w:szCs w:val="24"/>
        </w:rPr>
      </w:pPr>
      <w:r>
        <w:rPr>
          <w:noProof/>
        </w:rPr>
        <w:t>Table 3.3. Keyword groups</w:t>
      </w:r>
      <w:r>
        <w:rPr>
          <w:noProof/>
        </w:rPr>
        <w:tab/>
      </w:r>
      <w:r w:rsidR="00AD1081">
        <w:rPr>
          <w:noProof/>
        </w:rPr>
        <w:fldChar w:fldCharType="begin"/>
      </w:r>
      <w:r>
        <w:rPr>
          <w:noProof/>
        </w:rPr>
        <w:instrText xml:space="preserve"> PAGEREF _Toc238725587 \h </w:instrText>
      </w:r>
      <w:r w:rsidR="00AD1081">
        <w:rPr>
          <w:noProof/>
        </w:rPr>
      </w:r>
      <w:r w:rsidR="00AD1081">
        <w:rPr>
          <w:noProof/>
        </w:rPr>
        <w:fldChar w:fldCharType="separate"/>
      </w:r>
      <w:r>
        <w:rPr>
          <w:noProof/>
        </w:rPr>
        <w:t>17</w:t>
      </w:r>
      <w:r w:rsidR="00AD1081">
        <w:rPr>
          <w:noProof/>
        </w:rPr>
        <w:fldChar w:fldCharType="end"/>
      </w:r>
    </w:p>
    <w:p w:rsidR="00F93449" w:rsidRDefault="00F93449">
      <w:pPr>
        <w:pStyle w:val="TableofFigures"/>
        <w:tabs>
          <w:tab w:val="right" w:leader="dot" w:pos="9016"/>
        </w:tabs>
        <w:rPr>
          <w:rFonts w:asciiTheme="minorHAnsi" w:eastAsiaTheme="minorEastAsia" w:hAnsiTheme="minorHAnsi"/>
          <w:noProof/>
          <w:kern w:val="2"/>
          <w:szCs w:val="24"/>
        </w:rPr>
      </w:pPr>
      <w:r>
        <w:rPr>
          <w:noProof/>
        </w:rPr>
        <w:t>Table 3.4. Inclusion and exclusion criteria</w:t>
      </w:r>
      <w:r>
        <w:rPr>
          <w:noProof/>
        </w:rPr>
        <w:tab/>
      </w:r>
      <w:r w:rsidR="00AD1081">
        <w:rPr>
          <w:noProof/>
        </w:rPr>
        <w:fldChar w:fldCharType="begin"/>
      </w:r>
      <w:r>
        <w:rPr>
          <w:noProof/>
        </w:rPr>
        <w:instrText xml:space="preserve"> PAGEREF _Toc238725588 \h </w:instrText>
      </w:r>
      <w:r w:rsidR="00AD1081">
        <w:rPr>
          <w:noProof/>
        </w:rPr>
      </w:r>
      <w:r w:rsidR="00AD1081">
        <w:rPr>
          <w:noProof/>
        </w:rPr>
        <w:fldChar w:fldCharType="separate"/>
      </w:r>
      <w:r>
        <w:rPr>
          <w:noProof/>
        </w:rPr>
        <w:t>18</w:t>
      </w:r>
      <w:r w:rsidR="00AD1081">
        <w:rPr>
          <w:noProof/>
        </w:rPr>
        <w:fldChar w:fldCharType="end"/>
      </w:r>
    </w:p>
    <w:p w:rsidR="00F93449" w:rsidRDefault="00F93449">
      <w:pPr>
        <w:pStyle w:val="TableofFigures"/>
        <w:tabs>
          <w:tab w:val="right" w:leader="dot" w:pos="9016"/>
        </w:tabs>
        <w:rPr>
          <w:rFonts w:asciiTheme="minorHAnsi" w:eastAsiaTheme="minorEastAsia" w:hAnsiTheme="minorHAnsi"/>
          <w:noProof/>
          <w:kern w:val="2"/>
          <w:szCs w:val="24"/>
        </w:rPr>
      </w:pPr>
      <w:r>
        <w:rPr>
          <w:noProof/>
        </w:rPr>
        <w:t>Table 5.1. Characteristics of the identified studies</w:t>
      </w:r>
      <w:r>
        <w:rPr>
          <w:noProof/>
        </w:rPr>
        <w:tab/>
      </w:r>
      <w:r w:rsidR="00AD1081">
        <w:rPr>
          <w:noProof/>
        </w:rPr>
        <w:fldChar w:fldCharType="begin"/>
      </w:r>
      <w:r>
        <w:rPr>
          <w:noProof/>
        </w:rPr>
        <w:instrText xml:space="preserve"> PAGEREF _Toc238725589 \h </w:instrText>
      </w:r>
      <w:r w:rsidR="00AD1081">
        <w:rPr>
          <w:noProof/>
        </w:rPr>
      </w:r>
      <w:r w:rsidR="00AD1081">
        <w:rPr>
          <w:noProof/>
        </w:rPr>
        <w:fldChar w:fldCharType="separate"/>
      </w:r>
      <w:r>
        <w:rPr>
          <w:noProof/>
        </w:rPr>
        <w:t>31</w:t>
      </w:r>
      <w:r w:rsidR="00AD1081">
        <w:rPr>
          <w:noProof/>
        </w:rPr>
        <w:fldChar w:fldCharType="end"/>
      </w:r>
    </w:p>
    <w:p w:rsidR="00F93449" w:rsidRDefault="00F93449">
      <w:pPr>
        <w:pStyle w:val="TableofFigures"/>
        <w:tabs>
          <w:tab w:val="right" w:leader="dot" w:pos="9016"/>
        </w:tabs>
        <w:rPr>
          <w:rFonts w:asciiTheme="minorHAnsi" w:eastAsiaTheme="minorEastAsia" w:hAnsiTheme="minorHAnsi"/>
          <w:noProof/>
          <w:kern w:val="2"/>
          <w:szCs w:val="24"/>
        </w:rPr>
      </w:pPr>
      <w:r>
        <w:rPr>
          <w:noProof/>
        </w:rPr>
        <w:t>Table 5.2. Themes, subthemes and contributing studies</w:t>
      </w:r>
      <w:r>
        <w:rPr>
          <w:noProof/>
        </w:rPr>
        <w:tab/>
      </w:r>
      <w:r w:rsidR="00AD1081">
        <w:rPr>
          <w:noProof/>
        </w:rPr>
        <w:fldChar w:fldCharType="begin"/>
      </w:r>
      <w:r>
        <w:rPr>
          <w:noProof/>
        </w:rPr>
        <w:instrText xml:space="preserve"> PAGEREF _Toc238725590 \h </w:instrText>
      </w:r>
      <w:r w:rsidR="00AD1081">
        <w:rPr>
          <w:noProof/>
        </w:rPr>
      </w:r>
      <w:r w:rsidR="00AD1081">
        <w:rPr>
          <w:noProof/>
        </w:rPr>
        <w:fldChar w:fldCharType="separate"/>
      </w:r>
      <w:r>
        <w:rPr>
          <w:noProof/>
        </w:rPr>
        <w:t>33</w:t>
      </w:r>
      <w:r w:rsidR="00AD1081">
        <w:rPr>
          <w:noProof/>
        </w:rPr>
        <w:fldChar w:fldCharType="end"/>
      </w:r>
    </w:p>
    <w:p w:rsidR="00F93449" w:rsidRDefault="00F93449">
      <w:pPr>
        <w:pStyle w:val="TableofFigures"/>
        <w:tabs>
          <w:tab w:val="right" w:leader="dot" w:pos="9016"/>
        </w:tabs>
        <w:rPr>
          <w:rFonts w:asciiTheme="minorHAnsi" w:eastAsiaTheme="minorEastAsia" w:hAnsiTheme="minorHAnsi"/>
          <w:noProof/>
          <w:kern w:val="2"/>
          <w:szCs w:val="24"/>
        </w:rPr>
      </w:pPr>
      <w:r>
        <w:rPr>
          <w:noProof/>
        </w:rPr>
        <w:t>Table 7.1. Alignment of research objectives with themes and evidence</w:t>
      </w:r>
      <w:r>
        <w:rPr>
          <w:noProof/>
        </w:rPr>
        <w:tab/>
      </w:r>
      <w:r w:rsidR="00AD1081">
        <w:rPr>
          <w:noProof/>
        </w:rPr>
        <w:fldChar w:fldCharType="begin"/>
      </w:r>
      <w:r>
        <w:rPr>
          <w:noProof/>
        </w:rPr>
        <w:instrText xml:space="preserve"> PAGEREF _Toc238725591 \h </w:instrText>
      </w:r>
      <w:r w:rsidR="00AD1081">
        <w:rPr>
          <w:noProof/>
        </w:rPr>
      </w:r>
      <w:r w:rsidR="00AD1081">
        <w:rPr>
          <w:noProof/>
        </w:rPr>
        <w:fldChar w:fldCharType="separate"/>
      </w:r>
      <w:r>
        <w:rPr>
          <w:noProof/>
        </w:rPr>
        <w:t>48</w:t>
      </w:r>
      <w:r w:rsidR="00AD1081">
        <w:rPr>
          <w:noProof/>
        </w:rPr>
        <w:fldChar w:fldCharType="end"/>
      </w:r>
    </w:p>
    <w:p w:rsidR="00F93449" w:rsidRPr="00F93449" w:rsidRDefault="00AD1081" w:rsidP="00F93449">
      <w:r>
        <w:fldChar w:fldCharType="end"/>
      </w:r>
    </w:p>
    <w:p w:rsidR="001D1FD6" w:rsidRDefault="0012332F">
      <w:r>
        <w:br w:type="page"/>
      </w:r>
    </w:p>
    <w:p w:rsidR="001D1FD6" w:rsidRDefault="0012332F">
      <w:pPr>
        <w:spacing w:after="240"/>
        <w:jc w:val="center"/>
      </w:pPr>
      <w:r>
        <w:rPr>
          <w:b/>
          <w:sz w:val="32"/>
        </w:rPr>
        <w:lastRenderedPageBreak/>
        <w:t>LIST OF FIGURES</w:t>
      </w:r>
    </w:p>
    <w:p w:rsidR="00F93449" w:rsidRDefault="00AD1081">
      <w:pPr>
        <w:pStyle w:val="TableofFigures"/>
        <w:tabs>
          <w:tab w:val="right" w:leader="dot" w:pos="9016"/>
        </w:tabs>
        <w:rPr>
          <w:rFonts w:asciiTheme="minorHAnsi" w:eastAsiaTheme="minorEastAsia" w:hAnsiTheme="minorHAnsi"/>
          <w:noProof/>
          <w:kern w:val="2"/>
          <w:szCs w:val="24"/>
        </w:rPr>
      </w:pPr>
      <w:r>
        <w:fldChar w:fldCharType="begin"/>
      </w:r>
      <w:r w:rsidR="00F93449">
        <w:instrText xml:space="preserve"> TOC \c "Figure" </w:instrText>
      </w:r>
      <w:r>
        <w:fldChar w:fldCharType="separate"/>
      </w:r>
      <w:r w:rsidR="00F93449" w:rsidRPr="005B6C94">
        <w:rPr>
          <w:i/>
          <w:noProof/>
        </w:rPr>
        <w:t>Figure 2.1. Conceptual framework for engagement with smoking cessation support and quit-related outcomes</w:t>
      </w:r>
      <w:r w:rsidR="00F93449">
        <w:rPr>
          <w:noProof/>
        </w:rPr>
        <w:tab/>
      </w:r>
      <w:r>
        <w:rPr>
          <w:noProof/>
        </w:rPr>
        <w:fldChar w:fldCharType="begin"/>
      </w:r>
      <w:r w:rsidR="00F93449">
        <w:rPr>
          <w:noProof/>
        </w:rPr>
        <w:instrText xml:space="preserve"> PAGEREF _Toc238725610 \h </w:instrText>
      </w:r>
      <w:r>
        <w:rPr>
          <w:noProof/>
        </w:rPr>
      </w:r>
      <w:r>
        <w:rPr>
          <w:noProof/>
        </w:rPr>
        <w:fldChar w:fldCharType="separate"/>
      </w:r>
      <w:r w:rsidR="00F93449">
        <w:rPr>
          <w:noProof/>
        </w:rPr>
        <w:t>11</w:t>
      </w:r>
      <w:r>
        <w:rPr>
          <w:noProof/>
        </w:rPr>
        <w:fldChar w:fldCharType="end"/>
      </w:r>
    </w:p>
    <w:p w:rsidR="00F93449" w:rsidRDefault="00F93449">
      <w:pPr>
        <w:pStyle w:val="TableofFigures"/>
        <w:tabs>
          <w:tab w:val="right" w:leader="dot" w:pos="9016"/>
        </w:tabs>
        <w:rPr>
          <w:rFonts w:asciiTheme="minorHAnsi" w:eastAsiaTheme="minorEastAsia" w:hAnsiTheme="minorHAnsi"/>
          <w:noProof/>
          <w:kern w:val="2"/>
          <w:szCs w:val="24"/>
        </w:rPr>
      </w:pPr>
      <w:r w:rsidRPr="005B6C94">
        <w:rPr>
          <w:i/>
          <w:noProof/>
        </w:rPr>
        <w:t>Figure 3.1. PRISMA 2020 flow diagram of study identification and selection</w:t>
      </w:r>
      <w:r>
        <w:rPr>
          <w:noProof/>
        </w:rPr>
        <w:tab/>
      </w:r>
      <w:r w:rsidR="00AD1081">
        <w:rPr>
          <w:noProof/>
        </w:rPr>
        <w:fldChar w:fldCharType="begin"/>
      </w:r>
      <w:r>
        <w:rPr>
          <w:noProof/>
        </w:rPr>
        <w:instrText xml:space="preserve"> PAGEREF _Toc238725611 \h </w:instrText>
      </w:r>
      <w:r w:rsidR="00AD1081">
        <w:rPr>
          <w:noProof/>
        </w:rPr>
      </w:r>
      <w:r w:rsidR="00AD1081">
        <w:rPr>
          <w:noProof/>
        </w:rPr>
        <w:fldChar w:fldCharType="separate"/>
      </w:r>
      <w:r>
        <w:rPr>
          <w:noProof/>
        </w:rPr>
        <w:t>19</w:t>
      </w:r>
      <w:r w:rsidR="00AD1081">
        <w:rPr>
          <w:noProof/>
        </w:rPr>
        <w:fldChar w:fldCharType="end"/>
      </w:r>
    </w:p>
    <w:p w:rsidR="001D1FD6" w:rsidRDefault="00AD1081">
      <w:r>
        <w:fldChar w:fldCharType="end"/>
      </w:r>
      <w:r w:rsidR="00F93449">
        <w:br w:type="page"/>
      </w:r>
    </w:p>
    <w:p w:rsidR="001D1FD6" w:rsidRDefault="0012332F">
      <w:pPr>
        <w:pStyle w:val="Heading1"/>
        <w:numPr>
          <w:ilvl w:val="0"/>
          <w:numId w:val="0"/>
        </w:numPr>
        <w:spacing w:before="0"/>
      </w:pPr>
      <w:bookmarkStart w:id="9" w:name="_Toc238559629"/>
      <w:bookmarkStart w:id="10" w:name="_Toc238725363"/>
      <w:bookmarkStart w:id="11" w:name="_Toc238725481"/>
      <w:r>
        <w:lastRenderedPageBreak/>
        <w:t>LIST OF ABBREVIATIONS</w:t>
      </w:r>
      <w:bookmarkEnd w:id="9"/>
      <w:bookmarkEnd w:id="10"/>
      <w:bookmarkEnd w:id="11"/>
    </w:p>
    <w:tbl>
      <w:tblPr>
        <w:tblStyle w:val="TableGrid"/>
        <w:tblW w:w="9026" w:type="dxa"/>
        <w:jc w:val="center"/>
        <w:tblLayout w:type="fixed"/>
        <w:tblLook w:val="04A0"/>
      </w:tblPr>
      <w:tblGrid>
        <w:gridCol w:w="2155"/>
        <w:gridCol w:w="6871"/>
      </w:tblGrid>
      <w:tr w:rsidR="001D1FD6">
        <w:trPr>
          <w:jc w:val="center"/>
        </w:trPr>
        <w:tc>
          <w:tcPr>
            <w:tcW w:w="2155" w:type="dxa"/>
            <w:vAlign w:val="center"/>
          </w:tcPr>
          <w:p w:rsidR="001D1FD6" w:rsidRDefault="0012332F">
            <w:pPr>
              <w:jc w:val="left"/>
              <w:rPr>
                <w:szCs w:val="24"/>
              </w:rPr>
            </w:pPr>
            <w:r>
              <w:rPr>
                <w:b/>
                <w:szCs w:val="24"/>
              </w:rPr>
              <w:t>ARIMA</w:t>
            </w:r>
          </w:p>
        </w:tc>
        <w:tc>
          <w:tcPr>
            <w:tcW w:w="6870" w:type="dxa"/>
            <w:vAlign w:val="center"/>
          </w:tcPr>
          <w:p w:rsidR="001D1FD6" w:rsidRDefault="0012332F">
            <w:pPr>
              <w:jc w:val="left"/>
              <w:rPr>
                <w:szCs w:val="24"/>
              </w:rPr>
            </w:pPr>
            <w:r>
              <w:rPr>
                <w:szCs w:val="24"/>
              </w:rPr>
              <w:t>Autoregressive Integrated Moving Average</w:t>
            </w:r>
          </w:p>
        </w:tc>
      </w:tr>
      <w:tr w:rsidR="001D1FD6">
        <w:trPr>
          <w:jc w:val="center"/>
        </w:trPr>
        <w:tc>
          <w:tcPr>
            <w:tcW w:w="2155" w:type="dxa"/>
            <w:vAlign w:val="center"/>
          </w:tcPr>
          <w:p w:rsidR="001D1FD6" w:rsidRDefault="0012332F">
            <w:pPr>
              <w:jc w:val="left"/>
              <w:rPr>
                <w:szCs w:val="24"/>
              </w:rPr>
            </w:pPr>
            <w:r>
              <w:rPr>
                <w:b/>
                <w:szCs w:val="24"/>
              </w:rPr>
              <w:t>CASP</w:t>
            </w:r>
          </w:p>
        </w:tc>
        <w:tc>
          <w:tcPr>
            <w:tcW w:w="6870" w:type="dxa"/>
            <w:vAlign w:val="center"/>
          </w:tcPr>
          <w:p w:rsidR="001D1FD6" w:rsidRDefault="0012332F">
            <w:pPr>
              <w:jc w:val="left"/>
              <w:rPr>
                <w:szCs w:val="24"/>
              </w:rPr>
            </w:pPr>
            <w:r>
              <w:rPr>
                <w:szCs w:val="24"/>
              </w:rPr>
              <w:t>Critical Appraisal Skills Programme</w:t>
            </w:r>
          </w:p>
        </w:tc>
      </w:tr>
      <w:tr w:rsidR="001D1FD6">
        <w:trPr>
          <w:jc w:val="center"/>
        </w:trPr>
        <w:tc>
          <w:tcPr>
            <w:tcW w:w="2155" w:type="dxa"/>
            <w:vAlign w:val="center"/>
          </w:tcPr>
          <w:p w:rsidR="001D1FD6" w:rsidRDefault="0012332F">
            <w:pPr>
              <w:jc w:val="left"/>
              <w:rPr>
                <w:szCs w:val="24"/>
              </w:rPr>
            </w:pPr>
            <w:r>
              <w:rPr>
                <w:b/>
                <w:szCs w:val="24"/>
              </w:rPr>
              <w:t>CO</w:t>
            </w:r>
          </w:p>
        </w:tc>
        <w:tc>
          <w:tcPr>
            <w:tcW w:w="6870" w:type="dxa"/>
            <w:vAlign w:val="center"/>
          </w:tcPr>
          <w:p w:rsidR="001D1FD6" w:rsidRDefault="0012332F">
            <w:pPr>
              <w:jc w:val="left"/>
              <w:rPr>
                <w:szCs w:val="24"/>
              </w:rPr>
            </w:pPr>
            <w:r>
              <w:rPr>
                <w:szCs w:val="24"/>
              </w:rPr>
              <w:t>Carbon monoxide</w:t>
            </w:r>
          </w:p>
        </w:tc>
      </w:tr>
      <w:tr w:rsidR="001D1FD6">
        <w:trPr>
          <w:jc w:val="center"/>
        </w:trPr>
        <w:tc>
          <w:tcPr>
            <w:tcW w:w="2155" w:type="dxa"/>
            <w:vAlign w:val="center"/>
          </w:tcPr>
          <w:p w:rsidR="001D1FD6" w:rsidRDefault="0012332F">
            <w:pPr>
              <w:jc w:val="left"/>
              <w:rPr>
                <w:szCs w:val="24"/>
              </w:rPr>
            </w:pPr>
            <w:r>
              <w:rPr>
                <w:b/>
                <w:szCs w:val="24"/>
              </w:rPr>
              <w:t>COM-B</w:t>
            </w:r>
          </w:p>
        </w:tc>
        <w:tc>
          <w:tcPr>
            <w:tcW w:w="6870" w:type="dxa"/>
            <w:vAlign w:val="center"/>
          </w:tcPr>
          <w:p w:rsidR="001D1FD6" w:rsidRDefault="0012332F">
            <w:pPr>
              <w:jc w:val="left"/>
              <w:rPr>
                <w:szCs w:val="24"/>
              </w:rPr>
            </w:pPr>
            <w:r>
              <w:rPr>
                <w:szCs w:val="24"/>
              </w:rPr>
              <w:t>Capability, Opportunity and Motivation - Behaviour</w:t>
            </w:r>
          </w:p>
        </w:tc>
      </w:tr>
      <w:tr w:rsidR="001D1FD6">
        <w:trPr>
          <w:jc w:val="center"/>
        </w:trPr>
        <w:tc>
          <w:tcPr>
            <w:tcW w:w="2155" w:type="dxa"/>
            <w:vAlign w:val="center"/>
          </w:tcPr>
          <w:p w:rsidR="001D1FD6" w:rsidRDefault="0012332F">
            <w:pPr>
              <w:jc w:val="left"/>
              <w:rPr>
                <w:szCs w:val="24"/>
              </w:rPr>
            </w:pPr>
            <w:r>
              <w:rPr>
                <w:b/>
                <w:szCs w:val="24"/>
              </w:rPr>
              <w:t>GAM</w:t>
            </w:r>
          </w:p>
        </w:tc>
        <w:tc>
          <w:tcPr>
            <w:tcW w:w="6870" w:type="dxa"/>
            <w:vAlign w:val="center"/>
          </w:tcPr>
          <w:p w:rsidR="001D1FD6" w:rsidRDefault="0012332F">
            <w:pPr>
              <w:jc w:val="left"/>
              <w:rPr>
                <w:szCs w:val="24"/>
              </w:rPr>
            </w:pPr>
            <w:r>
              <w:rPr>
                <w:szCs w:val="24"/>
              </w:rPr>
              <w:t>Generalised Additive Model</w:t>
            </w:r>
          </w:p>
        </w:tc>
      </w:tr>
      <w:tr w:rsidR="001D1FD6">
        <w:trPr>
          <w:jc w:val="center"/>
        </w:trPr>
        <w:tc>
          <w:tcPr>
            <w:tcW w:w="2155" w:type="dxa"/>
            <w:vAlign w:val="center"/>
          </w:tcPr>
          <w:p w:rsidR="001D1FD6" w:rsidRDefault="0012332F">
            <w:pPr>
              <w:jc w:val="left"/>
              <w:rPr>
                <w:szCs w:val="24"/>
              </w:rPr>
            </w:pPr>
            <w:r>
              <w:rPr>
                <w:b/>
                <w:szCs w:val="24"/>
              </w:rPr>
              <w:t>GEE</w:t>
            </w:r>
          </w:p>
        </w:tc>
        <w:tc>
          <w:tcPr>
            <w:tcW w:w="6870" w:type="dxa"/>
            <w:vAlign w:val="center"/>
          </w:tcPr>
          <w:p w:rsidR="001D1FD6" w:rsidRDefault="0012332F">
            <w:pPr>
              <w:jc w:val="left"/>
              <w:rPr>
                <w:szCs w:val="24"/>
              </w:rPr>
            </w:pPr>
            <w:r>
              <w:rPr>
                <w:szCs w:val="24"/>
              </w:rPr>
              <w:t>Generalised Estimating Equations</w:t>
            </w:r>
          </w:p>
        </w:tc>
      </w:tr>
      <w:tr w:rsidR="001D1FD6">
        <w:trPr>
          <w:jc w:val="center"/>
        </w:trPr>
        <w:tc>
          <w:tcPr>
            <w:tcW w:w="2155" w:type="dxa"/>
            <w:vAlign w:val="center"/>
          </w:tcPr>
          <w:p w:rsidR="001D1FD6" w:rsidRDefault="0012332F">
            <w:pPr>
              <w:jc w:val="left"/>
              <w:rPr>
                <w:szCs w:val="24"/>
              </w:rPr>
            </w:pPr>
            <w:r>
              <w:rPr>
                <w:b/>
                <w:szCs w:val="24"/>
              </w:rPr>
              <w:t>MMAT</w:t>
            </w:r>
          </w:p>
        </w:tc>
        <w:tc>
          <w:tcPr>
            <w:tcW w:w="6870" w:type="dxa"/>
            <w:vAlign w:val="center"/>
          </w:tcPr>
          <w:p w:rsidR="001D1FD6" w:rsidRDefault="0012332F">
            <w:pPr>
              <w:jc w:val="left"/>
              <w:rPr>
                <w:szCs w:val="24"/>
              </w:rPr>
            </w:pPr>
            <w:r>
              <w:rPr>
                <w:szCs w:val="24"/>
              </w:rPr>
              <w:t>Mixed Methods Appraisal Tool</w:t>
            </w:r>
          </w:p>
        </w:tc>
      </w:tr>
      <w:tr w:rsidR="001D1FD6">
        <w:trPr>
          <w:jc w:val="center"/>
        </w:trPr>
        <w:tc>
          <w:tcPr>
            <w:tcW w:w="2155" w:type="dxa"/>
            <w:vAlign w:val="center"/>
          </w:tcPr>
          <w:p w:rsidR="001D1FD6" w:rsidRDefault="0012332F">
            <w:pPr>
              <w:jc w:val="left"/>
              <w:rPr>
                <w:szCs w:val="24"/>
              </w:rPr>
            </w:pPr>
            <w:r>
              <w:rPr>
                <w:b/>
                <w:szCs w:val="24"/>
              </w:rPr>
              <w:t>NHS</w:t>
            </w:r>
          </w:p>
        </w:tc>
        <w:tc>
          <w:tcPr>
            <w:tcW w:w="6870" w:type="dxa"/>
            <w:vAlign w:val="center"/>
          </w:tcPr>
          <w:p w:rsidR="001D1FD6" w:rsidRDefault="0012332F">
            <w:pPr>
              <w:jc w:val="left"/>
              <w:rPr>
                <w:szCs w:val="24"/>
              </w:rPr>
            </w:pPr>
            <w:r>
              <w:rPr>
                <w:szCs w:val="24"/>
              </w:rPr>
              <w:t>National Health Service</w:t>
            </w:r>
          </w:p>
        </w:tc>
      </w:tr>
      <w:tr w:rsidR="001D1FD6">
        <w:trPr>
          <w:jc w:val="center"/>
        </w:trPr>
        <w:tc>
          <w:tcPr>
            <w:tcW w:w="2155" w:type="dxa"/>
            <w:vAlign w:val="center"/>
          </w:tcPr>
          <w:p w:rsidR="001D1FD6" w:rsidRDefault="0012332F">
            <w:pPr>
              <w:jc w:val="left"/>
              <w:rPr>
                <w:szCs w:val="24"/>
              </w:rPr>
            </w:pPr>
            <w:r>
              <w:rPr>
                <w:b/>
                <w:szCs w:val="24"/>
              </w:rPr>
              <w:t>NICE</w:t>
            </w:r>
          </w:p>
        </w:tc>
        <w:tc>
          <w:tcPr>
            <w:tcW w:w="6870" w:type="dxa"/>
            <w:vAlign w:val="center"/>
          </w:tcPr>
          <w:p w:rsidR="001D1FD6" w:rsidRDefault="0012332F">
            <w:pPr>
              <w:jc w:val="left"/>
              <w:rPr>
                <w:szCs w:val="24"/>
              </w:rPr>
            </w:pPr>
            <w:r>
              <w:rPr>
                <w:szCs w:val="24"/>
              </w:rPr>
              <w:t>National Institute for Health and Care Excellence</w:t>
            </w:r>
          </w:p>
        </w:tc>
      </w:tr>
      <w:tr w:rsidR="001D1FD6">
        <w:trPr>
          <w:jc w:val="center"/>
        </w:trPr>
        <w:tc>
          <w:tcPr>
            <w:tcW w:w="2155" w:type="dxa"/>
            <w:vAlign w:val="center"/>
          </w:tcPr>
          <w:p w:rsidR="001D1FD6" w:rsidRDefault="0012332F">
            <w:pPr>
              <w:jc w:val="left"/>
              <w:rPr>
                <w:szCs w:val="24"/>
              </w:rPr>
            </w:pPr>
            <w:r>
              <w:rPr>
                <w:b/>
                <w:szCs w:val="24"/>
              </w:rPr>
              <w:t>NRT</w:t>
            </w:r>
          </w:p>
        </w:tc>
        <w:tc>
          <w:tcPr>
            <w:tcW w:w="6870" w:type="dxa"/>
            <w:vAlign w:val="center"/>
          </w:tcPr>
          <w:p w:rsidR="001D1FD6" w:rsidRDefault="0012332F">
            <w:pPr>
              <w:jc w:val="left"/>
              <w:rPr>
                <w:szCs w:val="24"/>
              </w:rPr>
            </w:pPr>
            <w:r>
              <w:rPr>
                <w:szCs w:val="24"/>
              </w:rPr>
              <w:t>Nicotine Replacement Therapy</w:t>
            </w:r>
          </w:p>
        </w:tc>
      </w:tr>
      <w:tr w:rsidR="001D1FD6">
        <w:trPr>
          <w:jc w:val="center"/>
        </w:trPr>
        <w:tc>
          <w:tcPr>
            <w:tcW w:w="2155" w:type="dxa"/>
            <w:vAlign w:val="center"/>
          </w:tcPr>
          <w:p w:rsidR="001D1FD6" w:rsidRDefault="0012332F">
            <w:pPr>
              <w:jc w:val="left"/>
              <w:rPr>
                <w:szCs w:val="24"/>
              </w:rPr>
            </w:pPr>
            <w:r>
              <w:rPr>
                <w:b/>
                <w:szCs w:val="24"/>
              </w:rPr>
              <w:t>PCA</w:t>
            </w:r>
          </w:p>
        </w:tc>
        <w:tc>
          <w:tcPr>
            <w:tcW w:w="6870" w:type="dxa"/>
            <w:vAlign w:val="center"/>
          </w:tcPr>
          <w:p w:rsidR="001D1FD6" w:rsidRDefault="0012332F">
            <w:pPr>
              <w:jc w:val="left"/>
              <w:rPr>
                <w:szCs w:val="24"/>
              </w:rPr>
            </w:pPr>
            <w:r>
              <w:rPr>
                <w:szCs w:val="24"/>
              </w:rPr>
              <w:t>Principal Component Analysis</w:t>
            </w:r>
          </w:p>
        </w:tc>
      </w:tr>
      <w:tr w:rsidR="001D1FD6">
        <w:trPr>
          <w:jc w:val="center"/>
        </w:trPr>
        <w:tc>
          <w:tcPr>
            <w:tcW w:w="2155" w:type="dxa"/>
            <w:vAlign w:val="center"/>
          </w:tcPr>
          <w:p w:rsidR="001D1FD6" w:rsidRDefault="0012332F">
            <w:pPr>
              <w:jc w:val="left"/>
              <w:rPr>
                <w:szCs w:val="24"/>
              </w:rPr>
            </w:pPr>
            <w:r>
              <w:rPr>
                <w:b/>
                <w:szCs w:val="24"/>
              </w:rPr>
              <w:t>PECO</w:t>
            </w:r>
          </w:p>
        </w:tc>
        <w:tc>
          <w:tcPr>
            <w:tcW w:w="6870" w:type="dxa"/>
            <w:vAlign w:val="center"/>
          </w:tcPr>
          <w:p w:rsidR="001D1FD6" w:rsidRDefault="0012332F">
            <w:pPr>
              <w:jc w:val="left"/>
              <w:rPr>
                <w:szCs w:val="24"/>
              </w:rPr>
            </w:pPr>
            <w:r>
              <w:rPr>
                <w:szCs w:val="24"/>
              </w:rPr>
              <w:t>Population, Exposure, Comparison and Outcome</w:t>
            </w:r>
          </w:p>
        </w:tc>
      </w:tr>
      <w:tr w:rsidR="001D1FD6">
        <w:trPr>
          <w:jc w:val="center"/>
        </w:trPr>
        <w:tc>
          <w:tcPr>
            <w:tcW w:w="2155" w:type="dxa"/>
            <w:vAlign w:val="center"/>
          </w:tcPr>
          <w:p w:rsidR="001D1FD6" w:rsidRDefault="0012332F">
            <w:pPr>
              <w:jc w:val="left"/>
              <w:rPr>
                <w:szCs w:val="24"/>
              </w:rPr>
            </w:pPr>
            <w:r>
              <w:rPr>
                <w:b/>
                <w:szCs w:val="24"/>
              </w:rPr>
              <w:t>PRISMA</w:t>
            </w:r>
          </w:p>
        </w:tc>
        <w:tc>
          <w:tcPr>
            <w:tcW w:w="6870" w:type="dxa"/>
            <w:vAlign w:val="center"/>
          </w:tcPr>
          <w:p w:rsidR="001D1FD6" w:rsidRDefault="0012332F">
            <w:pPr>
              <w:jc w:val="left"/>
              <w:rPr>
                <w:szCs w:val="24"/>
              </w:rPr>
            </w:pPr>
            <w:r>
              <w:rPr>
                <w:szCs w:val="24"/>
              </w:rPr>
              <w:t>Preferred Reporting Items for Systematic Reviews and Meta-Analyses</w:t>
            </w:r>
          </w:p>
        </w:tc>
      </w:tr>
      <w:tr w:rsidR="001D1FD6">
        <w:trPr>
          <w:jc w:val="center"/>
        </w:trPr>
        <w:tc>
          <w:tcPr>
            <w:tcW w:w="2155" w:type="dxa"/>
            <w:vAlign w:val="center"/>
          </w:tcPr>
          <w:p w:rsidR="001D1FD6" w:rsidRDefault="0012332F">
            <w:pPr>
              <w:jc w:val="left"/>
              <w:rPr>
                <w:szCs w:val="24"/>
              </w:rPr>
            </w:pPr>
            <w:r>
              <w:rPr>
                <w:b/>
                <w:szCs w:val="24"/>
              </w:rPr>
              <w:t>SES</w:t>
            </w:r>
          </w:p>
        </w:tc>
        <w:tc>
          <w:tcPr>
            <w:tcW w:w="6870" w:type="dxa"/>
            <w:vAlign w:val="center"/>
          </w:tcPr>
          <w:p w:rsidR="001D1FD6" w:rsidRDefault="0012332F">
            <w:pPr>
              <w:jc w:val="left"/>
              <w:rPr>
                <w:szCs w:val="24"/>
              </w:rPr>
            </w:pPr>
            <w:r>
              <w:rPr>
                <w:szCs w:val="24"/>
              </w:rPr>
              <w:t>Socioeconomic status</w:t>
            </w:r>
          </w:p>
        </w:tc>
      </w:tr>
      <w:tr w:rsidR="001D1FD6">
        <w:trPr>
          <w:jc w:val="center"/>
        </w:trPr>
        <w:tc>
          <w:tcPr>
            <w:tcW w:w="2155" w:type="dxa"/>
            <w:vAlign w:val="center"/>
          </w:tcPr>
          <w:p w:rsidR="001D1FD6" w:rsidRDefault="0012332F">
            <w:pPr>
              <w:jc w:val="left"/>
              <w:rPr>
                <w:szCs w:val="24"/>
              </w:rPr>
            </w:pPr>
            <w:r>
              <w:rPr>
                <w:b/>
                <w:szCs w:val="24"/>
              </w:rPr>
              <w:t>SLR</w:t>
            </w:r>
          </w:p>
        </w:tc>
        <w:tc>
          <w:tcPr>
            <w:tcW w:w="6870" w:type="dxa"/>
            <w:vAlign w:val="center"/>
          </w:tcPr>
          <w:p w:rsidR="001D1FD6" w:rsidRDefault="0012332F">
            <w:pPr>
              <w:jc w:val="left"/>
              <w:rPr>
                <w:szCs w:val="24"/>
              </w:rPr>
            </w:pPr>
            <w:r>
              <w:rPr>
                <w:szCs w:val="24"/>
              </w:rPr>
              <w:t>Systematic Literature Review</w:t>
            </w:r>
          </w:p>
        </w:tc>
      </w:tr>
      <w:tr w:rsidR="001D1FD6">
        <w:trPr>
          <w:jc w:val="center"/>
        </w:trPr>
        <w:tc>
          <w:tcPr>
            <w:tcW w:w="2155" w:type="dxa"/>
            <w:vAlign w:val="center"/>
          </w:tcPr>
          <w:p w:rsidR="001D1FD6" w:rsidRDefault="0012332F">
            <w:pPr>
              <w:jc w:val="left"/>
              <w:rPr>
                <w:szCs w:val="24"/>
              </w:rPr>
            </w:pPr>
            <w:r>
              <w:rPr>
                <w:b/>
                <w:szCs w:val="24"/>
              </w:rPr>
              <w:t>SSS</w:t>
            </w:r>
          </w:p>
        </w:tc>
        <w:tc>
          <w:tcPr>
            <w:tcW w:w="6870" w:type="dxa"/>
            <w:vAlign w:val="center"/>
          </w:tcPr>
          <w:p w:rsidR="001D1FD6" w:rsidRDefault="0012332F">
            <w:pPr>
              <w:jc w:val="left"/>
              <w:rPr>
                <w:szCs w:val="24"/>
              </w:rPr>
            </w:pPr>
            <w:r>
              <w:rPr>
                <w:szCs w:val="24"/>
              </w:rPr>
              <w:t>Stop Smoking Services</w:t>
            </w:r>
          </w:p>
        </w:tc>
      </w:tr>
      <w:tr w:rsidR="001D1FD6">
        <w:trPr>
          <w:jc w:val="center"/>
        </w:trPr>
        <w:tc>
          <w:tcPr>
            <w:tcW w:w="2155" w:type="dxa"/>
            <w:vAlign w:val="center"/>
          </w:tcPr>
          <w:p w:rsidR="001D1FD6" w:rsidRDefault="0012332F">
            <w:pPr>
              <w:jc w:val="left"/>
              <w:rPr>
                <w:szCs w:val="24"/>
              </w:rPr>
            </w:pPr>
            <w:r>
              <w:rPr>
                <w:b/>
                <w:szCs w:val="24"/>
              </w:rPr>
              <w:t>TBQ</w:t>
            </w:r>
          </w:p>
        </w:tc>
        <w:tc>
          <w:tcPr>
            <w:tcW w:w="6870" w:type="dxa"/>
            <w:vAlign w:val="center"/>
          </w:tcPr>
          <w:p w:rsidR="001D1FD6" w:rsidRDefault="0012332F">
            <w:pPr>
              <w:jc w:val="left"/>
              <w:rPr>
                <w:szCs w:val="24"/>
              </w:rPr>
            </w:pPr>
            <w:r>
              <w:rPr>
                <w:szCs w:val="24"/>
              </w:rPr>
              <w:t>Treatment Barriers Questionnaire</w:t>
            </w:r>
          </w:p>
        </w:tc>
      </w:tr>
      <w:tr w:rsidR="001D1FD6">
        <w:trPr>
          <w:jc w:val="center"/>
        </w:trPr>
        <w:tc>
          <w:tcPr>
            <w:tcW w:w="2155" w:type="dxa"/>
            <w:vAlign w:val="center"/>
          </w:tcPr>
          <w:p w:rsidR="001D1FD6" w:rsidRDefault="0012332F">
            <w:pPr>
              <w:jc w:val="left"/>
              <w:rPr>
                <w:szCs w:val="24"/>
              </w:rPr>
            </w:pPr>
            <w:r>
              <w:rPr>
                <w:b/>
                <w:szCs w:val="24"/>
              </w:rPr>
              <w:t>UK</w:t>
            </w:r>
          </w:p>
        </w:tc>
        <w:tc>
          <w:tcPr>
            <w:tcW w:w="6870" w:type="dxa"/>
            <w:vAlign w:val="center"/>
          </w:tcPr>
          <w:p w:rsidR="001D1FD6" w:rsidRDefault="0012332F">
            <w:pPr>
              <w:jc w:val="left"/>
              <w:rPr>
                <w:szCs w:val="24"/>
              </w:rPr>
            </w:pPr>
            <w:r>
              <w:rPr>
                <w:szCs w:val="24"/>
              </w:rPr>
              <w:t>United Kingdom</w:t>
            </w:r>
          </w:p>
        </w:tc>
      </w:tr>
    </w:tbl>
    <w:p w:rsidR="001D1FD6" w:rsidRDefault="001D1FD6">
      <w:pPr>
        <w:sectPr w:rsidR="001D1FD6">
          <w:footerReference w:type="even" r:id="rId15"/>
          <w:footerReference w:type="default" r:id="rId16"/>
          <w:footerReference w:type="first" r:id="rId17"/>
          <w:pgSz w:w="11906" w:h="16838"/>
          <w:pgMar w:top="1440" w:right="1440" w:bottom="1440" w:left="1440" w:header="0" w:footer="720" w:gutter="0"/>
          <w:pgNumType w:fmt="lowerRoman" w:start="1"/>
          <w:cols w:space="720"/>
          <w:formProt w:val="0"/>
          <w:docGrid w:linePitch="360"/>
        </w:sectPr>
      </w:pPr>
    </w:p>
    <w:p w:rsidR="001D1FD6" w:rsidRDefault="0012332F">
      <w:pPr>
        <w:pStyle w:val="Heading1"/>
        <w:spacing w:before="0"/>
      </w:pPr>
      <w:bookmarkStart w:id="12" w:name="_Toc238559630"/>
      <w:bookmarkStart w:id="13" w:name="_Toc238725364"/>
      <w:bookmarkStart w:id="14" w:name="_Toc238725482"/>
      <w:r>
        <w:lastRenderedPageBreak/>
        <w:t>Introduction</w:t>
      </w:r>
      <w:bookmarkEnd w:id="12"/>
      <w:bookmarkEnd w:id="13"/>
      <w:bookmarkEnd w:id="14"/>
    </w:p>
    <w:p w:rsidR="001D1FD6" w:rsidRDefault="0012332F">
      <w:pPr>
        <w:pStyle w:val="Heading2"/>
      </w:pPr>
      <w:bookmarkStart w:id="15" w:name="_Toc238559631"/>
      <w:bookmarkStart w:id="16" w:name="_Toc238262468"/>
      <w:bookmarkStart w:id="17" w:name="_Toc238725365"/>
      <w:bookmarkStart w:id="18" w:name="_Toc238725483"/>
      <w:r>
        <w:t>Introduction</w:t>
      </w:r>
      <w:bookmarkEnd w:id="15"/>
      <w:bookmarkEnd w:id="16"/>
      <w:bookmarkEnd w:id="17"/>
      <w:bookmarkEnd w:id="18"/>
    </w:p>
    <w:p w:rsidR="001D1FD6" w:rsidRDefault="0012332F">
      <w:r>
        <w:t>Smoking remains an important public health concern in the United Kingdom despite a sustained decline in prevalence. The remaining burden is concentrated among groups experiencing social and economic disadvantage. Effective cessation support is therefore important for reducing preventable illness and health inequalities. However, the availability of support does not guarantee that adults will use it, remain involved or achieve lasting abstinence. Engagement can include referral uptake, service contact, attendance, treatment use, continued adviser contacts and programme completion. This thesis examines what published evidence shows about the relationship between engagement with smoking cessation support and quit success among UK adults.</w:t>
      </w:r>
    </w:p>
    <w:p w:rsidR="001D1FD6" w:rsidRDefault="0012332F">
      <w:r>
        <w:t>A systematic literature review was used to examine the published evidence and establish the study background, problem, gap, question, objectives, scope and key concepts.</w:t>
      </w:r>
    </w:p>
    <w:p w:rsidR="001D1FD6" w:rsidRDefault="0012332F">
      <w:pPr>
        <w:pStyle w:val="Heading2"/>
      </w:pPr>
      <w:bookmarkStart w:id="19" w:name="_Toc238559632"/>
      <w:bookmarkStart w:id="20" w:name="_Toc238262469"/>
      <w:bookmarkStart w:id="21" w:name="_Toc238725366"/>
      <w:bookmarkStart w:id="22" w:name="_Toc238725484"/>
      <w:r>
        <w:t>Background to the Study</w:t>
      </w:r>
      <w:bookmarkEnd w:id="19"/>
      <w:bookmarkEnd w:id="20"/>
      <w:bookmarkEnd w:id="21"/>
      <w:bookmarkEnd w:id="22"/>
    </w:p>
    <w:p w:rsidR="001873A7" w:rsidRDefault="001873A7" w:rsidP="001873A7">
      <w:r>
        <w:t>Smoking tobacco is a significant public health issue in the world. According to the World Health Organization, there are approximately 1.2 billion tobacco users in the world and tobacco kills over 7 million people a year. The burden of tobacco use is disproportionately concentrated in LMICs, accounting for approximately 80% of tobacco use, and is socially distributed (World Health Organization, 2026). Long-term cohort studies are also consistent, and there is global evidence, of how much lives can be saved by quitting smoking and how much tobacco-attributable disease (Doll et al., 2004; Pirie et al., 2013; Jha and Peto, 2014) can become preventable. GBD studies also reveal the widespread loss of life, disability and economic losses due to tobacco use (GBD 2019 Risk Factors Collaborators, 2020; GBD 2019 Tobacco Collaborators, 2021; Goodchild, Nargis and Tursand’Espaignet, 2018). These concerns are the basis of the WHO Framework Convention on Tobacco Control and subsequent policies on smoking cessation and tobacco control on a global level (World Health Organization, 2003; World Health Organization, 2019; World Health Organization, 2021; World Health Organization, 2024a).</w:t>
      </w:r>
    </w:p>
    <w:p w:rsidR="001D1FD6" w:rsidRDefault="001873A7" w:rsidP="001873A7">
      <w:r>
        <w:t xml:space="preserve">Cigarette smoking in the United Kingdom has significantly decreased, but is still a significant issue. An estimated 5.3 million adults (10.6% of all adults) were current smokers in 2024, and the prevalence of adult smoking was highest in the age group 25–34 years, with 12.6% of all adults in this age group being current smokers (Office for National Statistics, 2025). </w:t>
      </w:r>
      <w:r>
        <w:lastRenderedPageBreak/>
        <w:t>Smoking is also a major contributor to health inequalities because prevalence and harm are concentrated in disadvantaged communities, where dependence and wider social pressures can make quitting more difficult (Department of Health and Social Care, 2025).</w:t>
      </w:r>
    </w:p>
    <w:p w:rsidR="001D1FD6" w:rsidRDefault="0012332F">
      <w:r>
        <w:t>UK cessation support is delivered through local stop smoking services, primary and secondary care, pharmacies, specialist advisers, community provision, telephone and digital channels. Support may combine behavioural counselling with nicotine replacement therapy or other licensed medicines. NICE recommends evidence-based behavioural and pharmacological options, while routine statistics continue to monitor referrals, quit attempts and four-week outcomes (National Institute for Health and Care Excellence, 2025; NHS England Digital, 2025). Historical evaluations of the English treatment services documented substantial reach, short-term cessation benefit and variation between local services (Bauld et al., 2003; Judge et al., 2005; Ferguson et al., 2005; Raw, McNeill and Coleman, 2005; West et al., 2013).</w:t>
      </w:r>
    </w:p>
    <w:p w:rsidR="001D1FD6" w:rsidRDefault="0012332F">
      <w:r>
        <w:t>Evidence shows that treatment can be effective when it is received. Individual behavioural counselling improves long-term cessation compared with minimal support, while effective pharmacotherapies also increase the likelihood of sustained quitting (Lancaster and Stead, 2017; Theodoulou et al., 2023; Livingstone-Banks et al., 2023). However, UK research also identifies gaps between awareness, willingness, service contact and continued participation, particularly where practical or socioeconomic barriers are present (Kwah, Fulton and Brown, 2019; Latif et al., 2021). Equity analyses also show that services can reach disadvantaged smokers while socioeconomic gradients in sustained cessation persist (Chesterman et al., 2005; Bauld, Judge and Platt, 2007; Hiscock, Judge and Bauld, 2011; Hiscock, Dobbie and Bauld, 2015). Implementation and policy studies additionally indicate that commissioning arrangements, changes in cessation methods and fidelity of service-delivery interventions can influence how support is accessed and delivered (McLeod et al., 2015; Beard et al., 2016; Sweeney-Magee et al., 2016).</w:t>
      </w:r>
    </w:p>
    <w:p w:rsidR="001D1FD6" w:rsidRDefault="0012332F">
      <w:pPr>
        <w:pStyle w:val="Heading2"/>
      </w:pPr>
      <w:bookmarkStart w:id="23" w:name="_Toc238559633"/>
      <w:bookmarkStart w:id="24" w:name="_Toc238262470"/>
      <w:bookmarkStart w:id="25" w:name="_Toc238725367"/>
      <w:bookmarkStart w:id="26" w:name="_Toc238725485"/>
      <w:r>
        <w:t>Problem Statement</w:t>
      </w:r>
      <w:bookmarkEnd w:id="23"/>
      <w:bookmarkEnd w:id="24"/>
      <w:bookmarkEnd w:id="25"/>
      <w:bookmarkEnd w:id="26"/>
    </w:p>
    <w:p w:rsidR="001873A7" w:rsidRDefault="001873A7" w:rsidP="001873A7">
      <w:r>
        <w:t>The main issue is the disconnect between availability of cessation support and engagement. Referral/signposting can provide an opportunity but not necessarily contact, attendance, treatment use or continued participation. In the UK, informational, practical and belief-based barriers have been identified, such as lack of service knowledge, doubts about the effectiveness of services and struggles to fit services into daily life (Kwah, Fulton and Brown, 2019; Latif et al., 2021).</w:t>
      </w:r>
    </w:p>
    <w:p w:rsidR="001873A7" w:rsidRDefault="001873A7" w:rsidP="001873A7">
      <w:r>
        <w:lastRenderedPageBreak/>
        <w:t>There is no consistent definition of engagement, with attendance, repeated contact, medication use, adherence, retention/completion all being used. There are also different measures of quit success, ranging from quit attempts to short-term self-report of abstinence to biochemically verified abstinence or longer-term abstinence. These differences make it difficult to compare, as referral does not necessarily equal sustained participation and early abstinence does not equal durable abstinence.</w:t>
      </w:r>
    </w:p>
    <w:p w:rsidR="001D1FD6" w:rsidRDefault="001873A7" w:rsidP="001873A7">
      <w:r>
        <w:t>Factors that could affect engagement and quitting include motivation, nicotine dependence, prior quit attempts, social support, deprivation, and accessibility and treatment choice. This makes it difficult to draw simple causal conclusions and to be sure about which aspects of engagement are most important, in what contexts and for which UK adults.</w:t>
      </w:r>
    </w:p>
    <w:p w:rsidR="001D1FD6" w:rsidRDefault="0012332F">
      <w:pPr>
        <w:pStyle w:val="Heading2"/>
      </w:pPr>
      <w:bookmarkStart w:id="27" w:name="_Toc238559634"/>
      <w:bookmarkStart w:id="28" w:name="_Toc238262471"/>
      <w:bookmarkStart w:id="29" w:name="_Toc238725368"/>
      <w:bookmarkStart w:id="30" w:name="_Toc238725486"/>
      <w:r>
        <w:t>Research Gap</w:t>
      </w:r>
      <w:bookmarkEnd w:id="27"/>
      <w:bookmarkEnd w:id="28"/>
      <w:bookmarkEnd w:id="29"/>
      <w:bookmarkEnd w:id="30"/>
    </w:p>
    <w:p w:rsidR="001873A7" w:rsidRDefault="001873A7" w:rsidP="001873A7">
      <w:r>
        <w:t>Access for disadvantaged groups and equity in UK cessation services and willingness to use NHS Stop Smoking Services have been explored in previous reviews (Murray et al., 2009; Smith, Hill and Amos, 2020; Latif et al., 2021). Combined, they demonstrate that reach, acceptability, convenience and socioeconomic context are important, but they target various components of the engagement pathway.</w:t>
      </w:r>
    </w:p>
    <w:p w:rsidR="001873A7" w:rsidRDefault="001873A7" w:rsidP="001873A7">
      <w:r>
        <w:t>There is still no integrated account of engagement from awareness and referral to contact, attendance, treatment use and retention and how these are related to quit success. The gap is conceptual, methodological and practice related as the measurement of the engagement and cessation outcomes is inconsistent and they are often studied separately.</w:t>
      </w:r>
    </w:p>
    <w:p w:rsidR="001D1FD6" w:rsidRDefault="001873A7" w:rsidP="001873A7">
      <w:r>
        <w:t>This review will therefore focus on how engagement is defined, what influences it, and how varying levels of engagement are associated with quit attempts, abstinence and relapse, specifically examining the use and maintenance of engagement with support.</w:t>
      </w:r>
    </w:p>
    <w:p w:rsidR="001D1FD6" w:rsidRDefault="0012332F">
      <w:pPr>
        <w:pStyle w:val="Heading2"/>
      </w:pPr>
      <w:bookmarkStart w:id="31" w:name="_Toc238559635"/>
      <w:bookmarkStart w:id="32" w:name="_Toc238262472"/>
      <w:bookmarkStart w:id="33" w:name="_Toc238725369"/>
      <w:bookmarkStart w:id="34" w:name="_Toc238725487"/>
      <w:r>
        <w:t>Research Question</w:t>
      </w:r>
      <w:bookmarkEnd w:id="31"/>
      <w:bookmarkEnd w:id="32"/>
      <w:bookmarkEnd w:id="33"/>
      <w:bookmarkEnd w:id="34"/>
    </w:p>
    <w:p w:rsidR="001D1FD6" w:rsidRDefault="0012332F">
      <w:pPr>
        <w:pStyle w:val="ListParagraph"/>
        <w:numPr>
          <w:ilvl w:val="0"/>
          <w:numId w:val="2"/>
        </w:numPr>
      </w:pPr>
      <w:r>
        <w:t>What does the published evidence show about the relationship between engagement with smoking cessation support and quit success among adults in the United Kingdom?</w:t>
      </w:r>
    </w:p>
    <w:p w:rsidR="001D1FD6" w:rsidRDefault="0012332F">
      <w:pPr>
        <w:pStyle w:val="Heading2"/>
      </w:pPr>
      <w:bookmarkStart w:id="35" w:name="_Toc238559636"/>
      <w:bookmarkStart w:id="36" w:name="_Toc238262473"/>
      <w:bookmarkStart w:id="37" w:name="_Toc238725370"/>
      <w:bookmarkStart w:id="38" w:name="_Toc238725488"/>
      <w:r>
        <w:t>Research Aim</w:t>
      </w:r>
      <w:bookmarkEnd w:id="35"/>
      <w:bookmarkEnd w:id="36"/>
      <w:bookmarkEnd w:id="37"/>
      <w:bookmarkEnd w:id="38"/>
    </w:p>
    <w:p w:rsidR="001D1FD6" w:rsidRDefault="0012332F">
      <w:pPr>
        <w:pStyle w:val="ListParagraph"/>
        <w:numPr>
          <w:ilvl w:val="0"/>
          <w:numId w:val="3"/>
        </w:numPr>
      </w:pPr>
      <w:r>
        <w:t>To systematically review and synthesise published evidence on the relationship between engagement with smoking cessation support and quit success among adults in the United Kingdom.</w:t>
      </w:r>
    </w:p>
    <w:p w:rsidR="001D1FD6" w:rsidRDefault="0012332F">
      <w:pPr>
        <w:pStyle w:val="Heading2"/>
      </w:pPr>
      <w:bookmarkStart w:id="39" w:name="_Toc238559637"/>
      <w:bookmarkStart w:id="40" w:name="_Toc238262474"/>
      <w:bookmarkStart w:id="41" w:name="_Toc238725371"/>
      <w:bookmarkStart w:id="42" w:name="_Toc238725489"/>
      <w:r>
        <w:lastRenderedPageBreak/>
        <w:t>Research Objectives</w:t>
      </w:r>
      <w:bookmarkEnd w:id="39"/>
      <w:bookmarkEnd w:id="40"/>
      <w:bookmarkEnd w:id="41"/>
      <w:bookmarkEnd w:id="42"/>
    </w:p>
    <w:p w:rsidR="001D1FD6" w:rsidRDefault="0012332F">
      <w:pPr>
        <w:pStyle w:val="ListParagraph"/>
        <w:numPr>
          <w:ilvl w:val="0"/>
          <w:numId w:val="4"/>
        </w:numPr>
      </w:pPr>
      <w:r>
        <w:t>To identify smoking cessation support used by adults in the United Kingdom and the quit-related outcomes reported in the selected evidence.</w:t>
      </w:r>
    </w:p>
    <w:p w:rsidR="001D1FD6" w:rsidRDefault="0012332F">
      <w:pPr>
        <w:pStyle w:val="ListParagraph"/>
        <w:numPr>
          <w:ilvl w:val="0"/>
          <w:numId w:val="4"/>
        </w:numPr>
      </w:pPr>
      <w:r>
        <w:t>To examine how engagement with smoking cessation support is defined and measured across the selected studies.</w:t>
      </w:r>
    </w:p>
    <w:p w:rsidR="001D1FD6" w:rsidRDefault="0012332F">
      <w:pPr>
        <w:pStyle w:val="ListParagraph"/>
        <w:numPr>
          <w:ilvl w:val="0"/>
          <w:numId w:val="4"/>
        </w:numPr>
      </w:pPr>
      <w:r>
        <w:t>To synthesise evidence on whether stronger or more sustained engagement with support is associated with improved quit success.</w:t>
      </w:r>
    </w:p>
    <w:p w:rsidR="001D1FD6" w:rsidRDefault="0012332F">
      <w:pPr>
        <w:pStyle w:val="ListParagraph"/>
        <w:numPr>
          <w:ilvl w:val="0"/>
          <w:numId w:val="4"/>
        </w:numPr>
      </w:pPr>
      <w:r>
        <w:t>To identify barriers, facilitators and implications for public health practice, service design and future research.</w:t>
      </w:r>
    </w:p>
    <w:p w:rsidR="001D1FD6" w:rsidRDefault="0012332F">
      <w:pPr>
        <w:pStyle w:val="Heading2"/>
      </w:pPr>
      <w:bookmarkStart w:id="43" w:name="_Toc238559638"/>
      <w:bookmarkStart w:id="44" w:name="_Toc238262475"/>
      <w:bookmarkStart w:id="45" w:name="_Toc238725372"/>
      <w:bookmarkStart w:id="46" w:name="_Toc238725490"/>
      <w:r>
        <w:t>Significance of the Study</w:t>
      </w:r>
      <w:bookmarkEnd w:id="43"/>
      <w:bookmarkEnd w:id="44"/>
      <w:bookmarkEnd w:id="45"/>
      <w:bookmarkEnd w:id="46"/>
    </w:p>
    <w:p w:rsidR="001873A7" w:rsidRDefault="001873A7" w:rsidP="001873A7">
      <w:r>
        <w:t>The study is significant because the public health impact of effective cessation treatment will not be realised if smokers are not reached, if they are not using support, and if they do not stay in touch with support. It is important to differentiate between issues of reach, uptake, treatment continuity and retention (Kwah, Fulton and Brown, 2019; Latif et al., 2021) when understanding engagement.</w:t>
      </w:r>
    </w:p>
    <w:p w:rsidR="001873A7" w:rsidRDefault="001873A7" w:rsidP="001873A7">
      <w:r>
        <w:t>The study also has implications for issues of health inequalities. As fewer disadvantaged smokers quit, accessible support may reach smokers whilst individual quit rates are lower, and service evaluation should take into account engagement as well as quit rates as they are not interchangeable (National Institute for Health and Care Excellence, 2025; Smith, Hill and Amos, 2020).</w:t>
      </w:r>
    </w:p>
    <w:p w:rsidR="001D1FD6" w:rsidRDefault="001873A7" w:rsidP="001873A7">
      <w:r>
        <w:t>From an academic perspective, distinct separation of referral, attendance, adherence, retention and completion allows for a more straightforward comparison of heterogeneous studies and understanding of how various types of engagement are related to cessation outcomes.</w:t>
      </w:r>
    </w:p>
    <w:p w:rsidR="001D1FD6" w:rsidRDefault="0012332F">
      <w:pPr>
        <w:pStyle w:val="Heading2"/>
      </w:pPr>
      <w:bookmarkStart w:id="47" w:name="_Toc238559639"/>
      <w:bookmarkStart w:id="48" w:name="_Toc238262476"/>
      <w:bookmarkStart w:id="49" w:name="_Toc238725373"/>
      <w:bookmarkStart w:id="50" w:name="_Toc238725491"/>
      <w:r>
        <w:t>Scope and Delimitations of the Study</w:t>
      </w:r>
      <w:bookmarkEnd w:id="47"/>
      <w:bookmarkEnd w:id="48"/>
      <w:bookmarkEnd w:id="49"/>
      <w:bookmarkEnd w:id="50"/>
    </w:p>
    <w:p w:rsidR="001D1FD6" w:rsidRDefault="0012332F">
      <w:r>
        <w:t>The review focuses on UK adults aged 18 years or above and formal or structured cessation support delivered through specialist services, healthcare settings, community programmes, behavioural support, medication or related channels. It excludes children, non-UK evidence without separable UK findings, and publications without a relevant engagement or cessation-support focus.</w:t>
      </w:r>
    </w:p>
    <w:p w:rsidR="001D1FD6" w:rsidRDefault="0012332F">
      <w:r>
        <w:t xml:space="preserve">The final evidence base comprises ten primary studies. Much of the evidence comes from England, while some studies provide wider UK evidence. Where a multinational study is </w:t>
      </w:r>
      <w:r>
        <w:lastRenderedPageBreak/>
        <w:t>relevant, only separately reported UK findings are used. The review excludes children and adolescents, non-UK evidence without a separable UK component, and publications without a cessation-support or engagement focus. No new participant data or statistical meta-analysis is undertaken.</w:t>
      </w:r>
    </w:p>
    <w:p w:rsidR="001D1FD6" w:rsidRDefault="0012332F">
      <w:pPr>
        <w:pStyle w:val="Heading2"/>
      </w:pPr>
      <w:bookmarkStart w:id="51" w:name="_Toc238559640"/>
      <w:bookmarkStart w:id="52" w:name="_Toc238262477"/>
      <w:bookmarkStart w:id="53" w:name="_Toc238725374"/>
      <w:bookmarkStart w:id="54" w:name="_Toc238725492"/>
      <w:r>
        <w:t>Key Terms and Operational Definitions</w:t>
      </w:r>
      <w:bookmarkEnd w:id="51"/>
      <w:bookmarkEnd w:id="52"/>
      <w:bookmarkEnd w:id="53"/>
      <w:bookmarkEnd w:id="54"/>
    </w:p>
    <w:p w:rsidR="001D1FD6" w:rsidRDefault="0012332F">
      <w:pPr>
        <w:pStyle w:val="ListParagraph"/>
        <w:numPr>
          <w:ilvl w:val="0"/>
          <w:numId w:val="3"/>
        </w:numPr>
      </w:pPr>
      <w:r>
        <w:rPr>
          <w:b/>
        </w:rPr>
        <w:t xml:space="preserve">Smoking cessation support. </w:t>
      </w:r>
      <w:r>
        <w:t>Formal or structured assistance intended to help a person stop smoking, including behavioural counselling, specialist or primary care support, pharmacotherapy, nicotine replacement therapy, community provision, telephone support or digital services.</w:t>
      </w:r>
    </w:p>
    <w:p w:rsidR="001D1FD6" w:rsidRDefault="0012332F">
      <w:pPr>
        <w:pStyle w:val="ListParagraph"/>
        <w:numPr>
          <w:ilvl w:val="0"/>
          <w:numId w:val="3"/>
        </w:numPr>
      </w:pPr>
      <w:r>
        <w:rPr>
          <w:b/>
        </w:rPr>
        <w:t xml:space="preserve">Engagement. </w:t>
      </w:r>
      <w:r>
        <w:t>The process of becoming and remaining involved with cessation support, including referral uptake, contact, attendance, treatment use, adherence, retention, completion and continued contact.</w:t>
      </w:r>
    </w:p>
    <w:p w:rsidR="001D1FD6" w:rsidRDefault="0012332F">
      <w:pPr>
        <w:pStyle w:val="ListParagraph"/>
        <w:numPr>
          <w:ilvl w:val="0"/>
          <w:numId w:val="3"/>
        </w:numPr>
      </w:pPr>
      <w:r>
        <w:rPr>
          <w:b/>
        </w:rPr>
        <w:t xml:space="preserve">Quit success. </w:t>
      </w:r>
      <w:r>
        <w:t>A positive quit-related outcome, including a quit attempt, self-reported or biochemically verified abstinence, short-term quitting or sustained abstinence.</w:t>
      </w:r>
    </w:p>
    <w:p w:rsidR="001D1FD6" w:rsidRDefault="0012332F">
      <w:pPr>
        <w:pStyle w:val="ListParagraph"/>
        <w:numPr>
          <w:ilvl w:val="0"/>
          <w:numId w:val="3"/>
        </w:numPr>
      </w:pPr>
      <w:r>
        <w:rPr>
          <w:b/>
        </w:rPr>
        <w:t xml:space="preserve">Systematic literature review. </w:t>
      </w:r>
      <w:r>
        <w:t>A structured form of secondary research using explicit methods to identify, select, appraise and synthesise published studies to answer a defined question.</w:t>
      </w:r>
    </w:p>
    <w:p w:rsidR="001D1FD6" w:rsidRDefault="0012332F">
      <w:pPr>
        <w:pStyle w:val="ListParagraph"/>
        <w:numPr>
          <w:ilvl w:val="0"/>
          <w:numId w:val="3"/>
        </w:numPr>
      </w:pPr>
      <w:r>
        <w:rPr>
          <w:b/>
        </w:rPr>
        <w:t xml:space="preserve">Thematic analysis. </w:t>
      </w:r>
      <w:r>
        <w:t>A systematic process for identifying, organising and interpreting recurring patterns across extracted findings (Braun and Clarke, 2006).</w:t>
      </w:r>
    </w:p>
    <w:p w:rsidR="001D1FD6" w:rsidRDefault="0012332F">
      <w:pPr>
        <w:pStyle w:val="Heading2"/>
      </w:pPr>
      <w:bookmarkStart w:id="55" w:name="_Toc238559641"/>
      <w:bookmarkStart w:id="56" w:name="_Toc238262478"/>
      <w:bookmarkStart w:id="57" w:name="_Toc238725375"/>
      <w:bookmarkStart w:id="58" w:name="_Toc238725493"/>
      <w:r>
        <w:t>Organisation of the Thesis</w:t>
      </w:r>
      <w:bookmarkEnd w:id="55"/>
      <w:bookmarkEnd w:id="56"/>
      <w:bookmarkEnd w:id="57"/>
      <w:bookmarkEnd w:id="58"/>
    </w:p>
    <w:p w:rsidR="001D1FD6" w:rsidRDefault="0012332F">
      <w:r>
        <w:t>The dissertation is organised into seven chapters covering the study rationale, wider literature and theory, methodology, data extraction and appraisal, analysis and synthesis, discussion, and recommendations and conclusion.</w:t>
      </w:r>
    </w:p>
    <w:p w:rsidR="001D1FD6" w:rsidRDefault="0012332F">
      <w:pPr>
        <w:pStyle w:val="Heading2"/>
      </w:pPr>
      <w:bookmarkStart w:id="59" w:name="_Toc238559642"/>
      <w:bookmarkStart w:id="60" w:name="_Toc238262479"/>
      <w:bookmarkStart w:id="61" w:name="_Toc238725376"/>
      <w:bookmarkStart w:id="62" w:name="_Toc238725494"/>
      <w:r>
        <w:t>Chapter Summary</w:t>
      </w:r>
      <w:bookmarkEnd w:id="59"/>
      <w:bookmarkEnd w:id="60"/>
      <w:bookmarkEnd w:id="61"/>
      <w:bookmarkEnd w:id="62"/>
    </w:p>
    <w:p w:rsidR="001D1FD6" w:rsidRDefault="0012332F">
      <w:r>
        <w:t>Smoking remains a substantial and unequal public health problem, while treatment benefit depends partly on movement from awareness and referral to meaningful participation. The study addresses conceptual and methodological uncertainty about which dimensions of engagement are associated with quit success and under what conditions.</w:t>
      </w:r>
    </w:p>
    <w:p w:rsidR="001D1FD6" w:rsidRDefault="0012332F">
      <w:pPr>
        <w:spacing w:after="160" w:line="278" w:lineRule="auto"/>
        <w:rPr>
          <w:rFonts w:eastAsiaTheme="majorEastAsia" w:cstheme="majorBidi"/>
          <w:b/>
          <w:color w:val="000000" w:themeColor="text1"/>
          <w:sz w:val="32"/>
          <w:szCs w:val="40"/>
        </w:rPr>
      </w:pPr>
      <w:r>
        <w:br w:type="page"/>
      </w:r>
    </w:p>
    <w:p w:rsidR="001D1FD6" w:rsidRDefault="0012332F">
      <w:pPr>
        <w:pStyle w:val="Heading1"/>
        <w:spacing w:before="0"/>
      </w:pPr>
      <w:bookmarkStart w:id="63" w:name="_Toc238559643"/>
      <w:bookmarkStart w:id="64" w:name="_Toc238262480"/>
      <w:bookmarkStart w:id="65" w:name="_Toc238725377"/>
      <w:bookmarkStart w:id="66" w:name="_Toc238725495"/>
      <w:r>
        <w:lastRenderedPageBreak/>
        <w:t>Literature Review</w:t>
      </w:r>
      <w:bookmarkEnd w:id="63"/>
      <w:bookmarkEnd w:id="64"/>
      <w:bookmarkEnd w:id="65"/>
      <w:bookmarkEnd w:id="66"/>
    </w:p>
    <w:p w:rsidR="001D1FD6" w:rsidRDefault="0012332F">
      <w:pPr>
        <w:pStyle w:val="Heading2"/>
      </w:pPr>
      <w:bookmarkStart w:id="67" w:name="_Toc238559644"/>
      <w:bookmarkStart w:id="68" w:name="_Toc238262481"/>
      <w:bookmarkStart w:id="69" w:name="_Toc238725378"/>
      <w:bookmarkStart w:id="70" w:name="_Toc238725496"/>
      <w:r>
        <w:t>Introduction</w:t>
      </w:r>
      <w:bookmarkEnd w:id="67"/>
      <w:bookmarkEnd w:id="68"/>
      <w:bookmarkEnd w:id="69"/>
      <w:bookmarkEnd w:id="70"/>
    </w:p>
    <w:p w:rsidR="001D1FD6" w:rsidRDefault="0012332F">
      <w:r>
        <w:t>This literature review establishes the wider empirical and theoretical context for engagement with smoking cessation support and quit success among UK adults. It clarifies key concepts, examines service reach, accessibility, treatment, social context and outcome measurement, and identifies the research gap.</w:t>
      </w:r>
    </w:p>
    <w:p w:rsidR="001D1FD6" w:rsidRDefault="0012332F">
      <w:pPr>
        <w:pStyle w:val="Heading2"/>
      </w:pPr>
      <w:bookmarkStart w:id="71" w:name="_Toc238559645"/>
      <w:bookmarkStart w:id="72" w:name="_Toc238262482"/>
      <w:bookmarkStart w:id="73" w:name="_Toc238725379"/>
      <w:bookmarkStart w:id="74" w:name="_Toc238725497"/>
      <w:r>
        <w:t>Smoking and Cessation Support in the United Kingdom</w:t>
      </w:r>
      <w:bookmarkEnd w:id="71"/>
      <w:bookmarkEnd w:id="72"/>
      <w:bookmarkEnd w:id="73"/>
      <w:bookmarkEnd w:id="74"/>
    </w:p>
    <w:p w:rsidR="001D1FD6" w:rsidRDefault="0012332F">
      <w:r>
        <w:t>Evidence-based cessation treatment is effective, but treatment efficacy and service reach are different issues. Cochrane reviews show that individual behavioural counselling improves long-term cessation compared with minimal support and that effective pharmacotherapies, including nicotine replacement therapy and varenicline, improve sustained abstinence (Lancaster and Stead, 2017; Theodoulou et al., 2023; Livingstone-Banks et al., 2023). These findings establish that support can work when it is received. Evidence also supports group counselling, telephone counselling and combined behavioural-pharmacological treatment as effective components of cessation care (Stead, Carroll and Lancaster, 2017; Matkin, Ordóñez-Mena and Hartmann-Boyce, 2019; Stead et al., 2016). Digital formats can extend access, although effects vary by modality and intervention intensity (Tzelepis et al., 2019; Whittaker et al., 2019; Taylor et al., 2017; Bendotti et al., 2023).</w:t>
      </w:r>
    </w:p>
    <w:p w:rsidR="001D1FD6" w:rsidRDefault="0012332F">
      <w:r>
        <w:t xml:space="preserve">Population impact depends on whether smokers enter and remain in treatment. NHS Stop Smoking Services provide behavioural and pharmacological support, yet wider UK evidence identifies barriers involving knowledge, beliefs, convenience and social opportunity (Kwah, Fulton and Brown, 2019; Latif et al., 2021). An intervention can therefore be effective for participants while having limited population impact if uptake or retention is low. Pharmacological evidence supports nicotine replacement therapy and antidepressant options, while additional behavioural support can improve outcomes when added to medication (Hartmann-Boyce et al., 2018; Hajizadeh et al., 2023; Hartmann-Boyce et al., 2019). System-level approaches such as brief advice, professional training, electronic health-record support and treatment financing can also shape access to evidence-based cessation care (Cheng et al., 2024; Carson et al., 2012; Boyle, Solberg and Fiore, 2014; van den Brand et al., 2017; Thomas et al., 2017). Economic evaluations support investment in cessation services and scalable digital support, although cost-effectiveness depends on context and delivery (Parrott et al., 1998; Guerriero et al., 2013; Kahende et al., 2009). Current international clinical </w:t>
      </w:r>
      <w:r>
        <w:lastRenderedPageBreak/>
        <w:t>guidance similarly recommends behavioural support, evidence-based pharmacotherapy and system-level measures as complementary components of cessation care (World Health Organization, 2024b).</w:t>
      </w:r>
    </w:p>
    <w:p w:rsidR="001D1FD6" w:rsidRDefault="0012332F">
      <w:r>
        <w:t>Equity adds a further complication. Reviews show that disadvantaged groups can be reached by cessation services while still experiencing lower individual quit rates, so reach and effectiveness should be assessed separately (Murray et al., 2009; Smith, Hill and Amos, 2020).</w:t>
      </w:r>
    </w:p>
    <w:p w:rsidR="001D1FD6" w:rsidRDefault="0012332F">
      <w:pPr>
        <w:pStyle w:val="Heading2"/>
      </w:pPr>
      <w:bookmarkStart w:id="75" w:name="_Toc238559646"/>
      <w:bookmarkStart w:id="76" w:name="_Toc238262483"/>
      <w:bookmarkStart w:id="77" w:name="_Toc238725380"/>
      <w:bookmarkStart w:id="78" w:name="_Toc238725498"/>
      <w:r>
        <w:t>Conceptualising Engagement and Quit Success</w:t>
      </w:r>
      <w:bookmarkEnd w:id="75"/>
      <w:bookmarkEnd w:id="76"/>
      <w:bookmarkEnd w:id="77"/>
      <w:bookmarkEnd w:id="78"/>
    </w:p>
    <w:p w:rsidR="001873A7" w:rsidRDefault="001873A7" w:rsidP="001873A7">
      <w:r>
        <w:t>Engagement is more of a process than a binary state. Different levels of involvement are access, uptake, attendance, adherence, retention and completion. Latif et al. (2021) also outlined access via the following stages: recognising need, seeking help, reaching services and engagement with care.</w:t>
      </w:r>
    </w:p>
    <w:p w:rsidR="001873A7" w:rsidRDefault="001873A7" w:rsidP="001873A7">
      <w:r>
        <w:t>Success with quitting is also defined in various ways. Trials and reviews tend to report outcomes over longer follow-up periods and with more stringent abstinence definitions, biochemical validation adds to the measurement of outcomes, and longer follow-up can provide information on relapse and attrition (Lancaster and Stead, 2017; NHS England Digital, 2025).</w:t>
      </w:r>
    </w:p>
    <w:p w:rsidR="001D1FD6" w:rsidRDefault="001873A7" w:rsidP="001873A7">
      <w:r>
        <w:t>These differences are important as they do not necessarily reflect contact, adherence, or more quit attempts resulting in sustained abstinence. The measures of engagement, therefore, need to be carefully matched with the outcomes being interpreted.</w:t>
      </w:r>
    </w:p>
    <w:p w:rsidR="001D1FD6" w:rsidRDefault="0012332F">
      <w:pPr>
        <w:pStyle w:val="Heading2"/>
      </w:pPr>
      <w:bookmarkStart w:id="79" w:name="_Toc238559647"/>
      <w:bookmarkStart w:id="80" w:name="_Toc238262484"/>
      <w:bookmarkStart w:id="81" w:name="_Toc238725381"/>
      <w:bookmarkStart w:id="82" w:name="_Toc238725499"/>
      <w:r>
        <w:t>Initial Connection: Awareness, Referral and Uptake</w:t>
      </w:r>
      <w:bookmarkEnd w:id="79"/>
      <w:bookmarkEnd w:id="80"/>
      <w:bookmarkEnd w:id="81"/>
      <w:bookmarkEnd w:id="82"/>
    </w:p>
    <w:p w:rsidR="001D1FD6" w:rsidRDefault="0012332F">
      <w:r>
        <w:t xml:space="preserve">Initial engagement depends on whether smokers recognise that support is relevant, understand what is available and are willing to seek formal help. Kwah, Fulton and Brown (2019) identified barriers involving </w:t>
      </w:r>
      <w:r w:rsidR="001873A7">
        <w:t>limited-service</w:t>
      </w:r>
      <w:r>
        <w:t xml:space="preserve"> knowledge, low confidence in effectiveness and social opportunity. Latif et al. (2021), synthesising 17 qualitative studies, similarly found that willingness to access NHS services depended on perceived need, treatment acceptability and practical ability to reach and use support. The access literature also conceptualises engagement as a multi-stage interaction between people’s ability to seek care and services’ ability to be reached and engaged (Levesque, Harris and Russell, 2013).</w:t>
      </w:r>
    </w:p>
    <w:p w:rsidR="001D1FD6" w:rsidRDefault="0012332F">
      <w:r>
        <w:t xml:space="preserve">Agreement across qualitative and survey evidence suggests that low uptake cannot be attributed to motivation alone. Knowledge, expectations, professional recommendation and </w:t>
      </w:r>
      <w:r>
        <w:lastRenderedPageBreak/>
        <w:t>convenience also shape whether intention becomes action, although barriers vary across populations and settings.</w:t>
      </w:r>
    </w:p>
    <w:p w:rsidR="001D1FD6" w:rsidRDefault="0012332F">
      <w:r>
        <w:t>Referral can reduce the effort needed to seek help but remains only one stage. Delayed contact, poor explanation or mismatch with preferred approaches can interrupt the pathway, so exposure, recommendation, referral, successful contact and active uptake should be distinguished.</w:t>
      </w:r>
    </w:p>
    <w:p w:rsidR="001D1FD6" w:rsidRDefault="0012332F">
      <w:pPr>
        <w:pStyle w:val="Heading2"/>
      </w:pPr>
      <w:bookmarkStart w:id="83" w:name="_Toc238559648"/>
      <w:bookmarkStart w:id="84" w:name="_Toc238262485"/>
      <w:bookmarkStart w:id="85" w:name="_Toc238725382"/>
      <w:bookmarkStart w:id="86" w:name="_Toc238725500"/>
      <w:r>
        <w:t>Accessibility, Flexibility and Continuity</w:t>
      </w:r>
      <w:bookmarkEnd w:id="83"/>
      <w:bookmarkEnd w:id="84"/>
      <w:bookmarkEnd w:id="85"/>
      <w:bookmarkEnd w:id="86"/>
    </w:p>
    <w:p w:rsidR="001873A7" w:rsidRDefault="001873A7" w:rsidP="001873A7">
      <w:r>
        <w:t>Practical accessibility is whether or not support can be accessed at the time and in the form needed. Poor service fit – factors such as convenience, cost, tailoring, employment, caring responsibilities and transport can impact engagement and non-attendance may be due to these factors rather than low intention to quit (Latif et al., 2021).</w:t>
      </w:r>
    </w:p>
    <w:p w:rsidR="001873A7" w:rsidRDefault="001873A7" w:rsidP="001873A7">
      <w:r>
        <w:t>There are different options of delivery, which may be better for fit, but there is no one best delivery mode. Each of the following methods (face to face, telephone, digital and community) can both alleviate some of the barriers and introduce others. While remote provision can enhance convenience, in-person support might be better for those who prefer to have a face-to-face connection. The key question is: Are delivery options sensitive to varying needs and readiness levels? These are not the only approaches included in the wider cessation literature, with internet-based, exercise, mindfulness and electronic-cigarette interventions all demonstrating a range of effectiveness, depending on the type of intervention and the level of evidence (Taylor et al., 2017; Ussher et al., 2019; Jackson et al., 2022; Lindson et al., 2024).</w:t>
      </w:r>
    </w:p>
    <w:p w:rsidR="001873A7" w:rsidRDefault="001873A7" w:rsidP="001873A7">
      <w:r>
        <w:t>Continuity is important, as people trying to quit smoking may try many times. The intensity of behaviour is not always better - continuity is better thought of as timely follow-up, adaptation and a way back into treatment when people relapse or disengage (Lancaster and Stead, 2017).</w:t>
      </w:r>
    </w:p>
    <w:p w:rsidR="001873A7" w:rsidRDefault="001873A7" w:rsidP="001873A7">
      <w:pPr>
        <w:pStyle w:val="Heading2"/>
      </w:pPr>
      <w:bookmarkStart w:id="87" w:name="_Toc238725383"/>
      <w:bookmarkStart w:id="88" w:name="_Toc238725501"/>
      <w:r>
        <w:t>Relational and Treatment Support</w:t>
      </w:r>
      <w:bookmarkEnd w:id="87"/>
      <w:bookmarkEnd w:id="88"/>
    </w:p>
    <w:p w:rsidR="001873A7" w:rsidRDefault="001873A7" w:rsidP="001873A7">
      <w:r>
        <w:t>The relational quality may have an impact on the acceptability of formal support. Responsiveness, tailoring, trust and non-judgemental communication may be particularly crucial following unsuccessful attempts, while negative expectations can be discouraging for continued use (Latif et al., 2021).</w:t>
      </w:r>
    </w:p>
    <w:p w:rsidR="001873A7" w:rsidRDefault="001873A7" w:rsidP="001873A7">
      <w:r>
        <w:t xml:space="preserve">Relational support is in addition to the effectiveness of treatment. Behavioural counselling and effective pharmacotherapy can improve long-term cessation and combination NRT is more effective than single-form NRT, but an effective package may not be equally acceptable </w:t>
      </w:r>
      <w:r>
        <w:lastRenderedPageBreak/>
        <w:t>or accessible to all users (Lancaster and Stead, 2017; Livingstone-Banks et al., 2023; Theodoulou et al., 2023).</w:t>
      </w:r>
    </w:p>
    <w:p w:rsidR="001873A7" w:rsidRDefault="001873A7" w:rsidP="001873A7">
      <w:r>
        <w:t>Treatment engagement thus needs to be more meaningful than just getting a prescription, or going to one session. Medication needs to be acquired and administered, behavioural strategies need to be comprehended and support is acceptable over time. This may be one of the reasons why the efficacy of trials and the performance of services in the real world can differ and why delivery processes are important in addition to the treatment. Adherence to treatment is linked to treatment success, and interventions that focus on adherence may help to increase consistent use of cessation medication (Hays et al., 2010; Raupach et al., 2014; Hollands et al., 2019).</w:t>
      </w:r>
    </w:p>
    <w:p w:rsidR="001873A7" w:rsidRDefault="001873A7" w:rsidP="001873A7">
      <w:pPr>
        <w:pStyle w:val="Heading2"/>
      </w:pPr>
      <w:bookmarkStart w:id="89" w:name="_Toc238725384"/>
      <w:bookmarkStart w:id="90" w:name="_Toc238725502"/>
      <w:r>
        <w:t>Social and Personal Context</w:t>
      </w:r>
      <w:bookmarkEnd w:id="89"/>
      <w:bookmarkEnd w:id="90"/>
    </w:p>
    <w:p w:rsidR="001873A7" w:rsidRDefault="001873A7" w:rsidP="001873A7">
      <w:r>
        <w:t>Dependence, past attempts, confidence, planning and social support are also factors in engagement and quitting. These factors may impact both treatment utilization and abstinence; therefore, individuals who are more engaged are likely to be different from those who are less engaged and may drop out before treatment.</w:t>
      </w:r>
    </w:p>
    <w:p w:rsidR="001D1FD6" w:rsidRDefault="001873A7" w:rsidP="001873A7">
      <w:r>
        <w:t>Socio-economic disadvantage may impact opportunity to engage and/or ability to maintain cessation. Evidence on access for disadvantaged smokers was found to be heterogeneous (Murray et al., 2009), and UK services were found to access disadvantaged groups well, although there was a lower rate of quitting (Smith, Hill and Amos, 2020). Both reviews agree that access is not sufficient to eradicate the social gradient in outcomes. Systematic reviews of cessation barriers within disadvantaged groups across disadvantaged groups consistently find structural, social and treatment barriers (Bryant et al., 2011; Twyman et al., 2014; Kock et al., 2019). English evidence suggests the social gradient in quitting is due to differences in successful quitting, rather than differences in attempting to quit (Kotz and West, 2009).</w:t>
      </w:r>
    </w:p>
    <w:p w:rsidR="001D1FD6" w:rsidRDefault="0012332F">
      <w:r>
        <w:t>This distinction between equity of reach and equity of outcome is important for service evaluation. Stress, financial insecurity, social smoking and higher dependence may continue after treatment begins. A service may therefore engage high-need smokers effectively without producing equal abstinence rates, and judging performance only by quit rates can understate the value of reaching groups with greater baseline risk. Equity-focused tobacco-control reviews further show that intervention effects may differ by socioeconomic position, making reach and outcome equity separate issues (Hill et al., 2014; Smith, Hill and Amos, 2021).</w:t>
      </w:r>
    </w:p>
    <w:p w:rsidR="001D1FD6" w:rsidRDefault="0012332F">
      <w:pPr>
        <w:pStyle w:val="Heading2"/>
      </w:pPr>
      <w:bookmarkStart w:id="91" w:name="_Toc238559651"/>
      <w:bookmarkStart w:id="92" w:name="_Toc238262488"/>
      <w:bookmarkStart w:id="93" w:name="_Toc238725385"/>
      <w:bookmarkStart w:id="94" w:name="_Toc238725503"/>
      <w:r>
        <w:lastRenderedPageBreak/>
        <w:t>Engagement and Quit Success</w:t>
      </w:r>
      <w:bookmarkEnd w:id="91"/>
      <w:bookmarkEnd w:id="92"/>
      <w:bookmarkEnd w:id="93"/>
      <w:bookmarkEnd w:id="94"/>
    </w:p>
    <w:p w:rsidR="001D1FD6" w:rsidRDefault="0012332F">
      <w:r>
        <w:t>The wider evidence supports a relationship between meaningful treatment engagement and quit success, but the strength of that relationship depends on the level of engagement. Direct exposure to behavioural counselling or effective pharmacotherapy is supported by robust evidence for long-term cessation (Lancaster and Stead, 2017; Theodoulou et al., 2023; Livingstone-Banks et al., 2023). Awareness, referral or a single contact are weaker indicators because they do not show that treatment was received or sustained. Population evidence from England also shows that the real-world effectiveness of cessation methods can differ, reinforcing the need to distinguish treatment use from outcome (Kotz, Brown and West, 2014).</w:t>
      </w:r>
    </w:p>
    <w:p w:rsidR="001D1FD6" w:rsidRDefault="0012332F">
      <w:r>
        <w:t>Outcomes also differ by depth and duration of participation. Increased quit attempts may show successful initiation without demonstrating sustained abstinence, while early quitting can be followed by relapse. Studies of reach or initiation can therefore report improvement when evidence on long-term success remains uncertain. Comparisons must distinguish process outcomes from abstinence outcomes and consider follow-up duration. Relapse-prevention evidence further reinforces the need to distinguish early quitting from durable abstinence (Livingstone-Banks et al., 2019).</w:t>
      </w:r>
    </w:p>
    <w:p w:rsidR="001D1FD6" w:rsidRDefault="0012332F">
      <w:r>
        <w:t>Causality remains difficult because engagement is both exposure to support and a behaviour shaped by motivation, dependence, resources and social circumstances. The relationship should therefore be investigated without assuming a simple dose-response effect.</w:t>
      </w:r>
    </w:p>
    <w:p w:rsidR="001D1FD6" w:rsidRDefault="0012332F">
      <w:pPr>
        <w:pStyle w:val="Heading2"/>
      </w:pPr>
      <w:bookmarkStart w:id="95" w:name="_Toc238559652"/>
      <w:bookmarkStart w:id="96" w:name="_Toc238262489"/>
      <w:bookmarkStart w:id="97" w:name="_Toc238725386"/>
      <w:bookmarkStart w:id="98" w:name="_Toc238725504"/>
      <w:r>
        <w:t>Theoretical Framework: COM-B and the Behaviour Change Wheel</w:t>
      </w:r>
      <w:bookmarkEnd w:id="95"/>
      <w:bookmarkEnd w:id="96"/>
      <w:bookmarkEnd w:id="97"/>
      <w:bookmarkEnd w:id="98"/>
    </w:p>
    <w:p w:rsidR="001873A7" w:rsidRDefault="001873A7" w:rsidP="001873A7">
      <w:r>
        <w:t>COM-B is a conceptual framework that views behaviour as a function of capability, opportunity and motivation, and associates these with intervention functions (Michie, van Stralen and West, 2011). It is appropriate for service engagement as participation is based on knowledge and skills, practical and social access and willingness to act.</w:t>
      </w:r>
    </w:p>
    <w:p w:rsidR="001873A7" w:rsidRDefault="001873A7" w:rsidP="001873A7">
      <w:r>
        <w:t>There are other models that provide valuable but limited insights. The Health Belief Model highlights perceived threat, benefits and barriers and the Theory of Planned Behaviour highlights attitudes, social norms, perceived control and intention (Rosenstock, 1974; Godin and Kok, 1996). While these constructs are applicable to quitting, COM-B more explicitly includes service level opportunity, in addition to beliefs and motivation. The original Theory of Planned Behaviour also focuses on intention, perceived behavioural control and social norms, but does not explicitly mention service-level opportunity (Ajzen, 1991).</w:t>
      </w:r>
    </w:p>
    <w:p w:rsidR="001873A7" w:rsidRDefault="001873A7" w:rsidP="001873A7">
      <w:r>
        <w:lastRenderedPageBreak/>
        <w:t>However, COM-B cannot account for the complex socioeconomic and organisational factors and is not fully able to explain structural disadvantage or repeated relapse and re-engagement. In keeping with the recommendations of using an explanatory lens rather than a rigid coding framework for complex interventions (Craig et al., 2008; Moore et al., 2015), it has been used as an explanatory lens.</w:t>
      </w:r>
    </w:p>
    <w:p w:rsidR="001873A7" w:rsidRDefault="001873A7" w:rsidP="001873A7">
      <w:pPr>
        <w:pStyle w:val="Heading2"/>
      </w:pPr>
      <w:bookmarkStart w:id="99" w:name="_Toc238725387"/>
      <w:bookmarkStart w:id="100" w:name="_Toc238725505"/>
      <w:r>
        <w:t>Critical Synthesis and Research Gap</w:t>
      </w:r>
      <w:bookmarkEnd w:id="99"/>
      <w:bookmarkEnd w:id="100"/>
    </w:p>
    <w:p w:rsidR="001873A7" w:rsidRDefault="001873A7" w:rsidP="001873A7">
      <w:r>
        <w:t>The literature indicates that effective treatments enhance cessation rates, and that informational, practical and belief-based factors influence access, and that socioeconomic disadvantage impacts on access and outcomes (Lancaster and Stead, 2017; Latif et al., 2021; Smith, Hill and Amos, 2020). Previous reviews have looked at access and equity (Murray et al., 2009) and willingness (Smith, Hill and Amos, 2020; Latif et al., 2021) separately.</w:t>
      </w:r>
    </w:p>
    <w:p w:rsidR="001873A7" w:rsidRDefault="001873A7" w:rsidP="001873A7">
      <w:r>
        <w:t>An integrated perspective of engagement as a sequence and the association with quit success is still missing. Existing reviews fail to differentiate between referral and contact, attendance and adherence and early quitting and sustained abstinence.</w:t>
      </w:r>
    </w:p>
    <w:p w:rsidR="001D1FD6" w:rsidRDefault="001873A7" w:rsidP="001873A7">
      <w:r>
        <w:t>The review thus emphasizes stages of engagement, barriers and facilitators and how these are related to quit attempts, abstinence and relapse, and highlights potential points of failure along the path to cessation.</w:t>
      </w:r>
    </w:p>
    <w:p w:rsidR="001D1FD6" w:rsidRDefault="0012332F">
      <w:pPr>
        <w:pStyle w:val="Heading2"/>
      </w:pPr>
      <w:bookmarkStart w:id="101" w:name="_Toc238559654"/>
      <w:bookmarkStart w:id="102" w:name="_Toc238262491"/>
      <w:bookmarkStart w:id="103" w:name="_Toc238725388"/>
      <w:bookmarkStart w:id="104" w:name="_Toc238725506"/>
      <w:r>
        <w:t>Conceptual Framework</w:t>
      </w:r>
      <w:bookmarkEnd w:id="101"/>
      <w:bookmarkEnd w:id="102"/>
      <w:bookmarkEnd w:id="103"/>
      <w:bookmarkEnd w:id="104"/>
    </w:p>
    <w:p w:rsidR="001D1FD6" w:rsidRDefault="0012332F">
      <w:r>
        <w:t>The conceptual framework treats engagement as a dynamic pathway. Capability, opportunity and motivation influence movement from awareness and referral to contact, attendance, treatment use, adherence and retention. Dependence, deprivation, social networks and service design may affect several stages and outcomes, while relapse can alter confidence, support needs and later re-engagement.</w:t>
      </w:r>
    </w:p>
    <w:p w:rsidR="001D1FD6" w:rsidRDefault="001D1FD6"/>
    <w:tbl>
      <w:tblPr>
        <w:tblW w:w="9792" w:type="dxa"/>
        <w:tblLayout w:type="fixed"/>
        <w:tblLook w:val="04A0"/>
      </w:tblPr>
      <w:tblGrid>
        <w:gridCol w:w="2088"/>
        <w:gridCol w:w="434"/>
        <w:gridCol w:w="2088"/>
        <w:gridCol w:w="430"/>
        <w:gridCol w:w="2232"/>
        <w:gridCol w:w="434"/>
        <w:gridCol w:w="2086"/>
      </w:tblGrid>
      <w:tr w:rsidR="001D1FD6">
        <w:trPr>
          <w:cantSplit/>
        </w:trPr>
        <w:tc>
          <w:tcPr>
            <w:tcW w:w="2087" w:type="dxa"/>
            <w:tcBorders>
              <w:top w:val="single" w:sz="8" w:space="0" w:color="666666"/>
              <w:left w:val="single" w:sz="8" w:space="0" w:color="666666"/>
              <w:bottom w:val="single" w:sz="8" w:space="0" w:color="666666"/>
              <w:right w:val="single" w:sz="8" w:space="0" w:color="666666"/>
            </w:tcBorders>
            <w:shd w:val="clear" w:color="auto" w:fill="E7E6E6"/>
            <w:vAlign w:val="center"/>
          </w:tcPr>
          <w:p w:rsidR="001D1FD6" w:rsidRDefault="0012332F">
            <w:pPr>
              <w:jc w:val="center"/>
              <w:rPr>
                <w:rFonts w:cs="Times New Roman"/>
              </w:rPr>
            </w:pPr>
            <w:r>
              <w:rPr>
                <w:rFonts w:cs="Times New Roman"/>
                <w:b/>
              </w:rPr>
              <w:t>Contextual factors</w:t>
            </w:r>
          </w:p>
        </w:tc>
        <w:tc>
          <w:tcPr>
            <w:tcW w:w="434" w:type="dxa"/>
            <w:vAlign w:val="center"/>
          </w:tcPr>
          <w:p w:rsidR="001D1FD6" w:rsidRDefault="0012332F">
            <w:pPr>
              <w:jc w:val="center"/>
              <w:rPr>
                <w:rFonts w:cs="Times New Roman"/>
              </w:rPr>
            </w:pPr>
            <w:r>
              <w:rPr>
                <w:rFonts w:cs="Times New Roman"/>
                <w:b/>
              </w:rPr>
              <w:t>→</w:t>
            </w:r>
          </w:p>
        </w:tc>
        <w:tc>
          <w:tcPr>
            <w:tcW w:w="2088" w:type="dxa"/>
            <w:tcBorders>
              <w:top w:val="single" w:sz="8" w:space="0" w:color="666666"/>
              <w:left w:val="single" w:sz="8" w:space="0" w:color="666666"/>
              <w:bottom w:val="single" w:sz="8" w:space="0" w:color="666666"/>
              <w:right w:val="single" w:sz="8" w:space="0" w:color="666666"/>
            </w:tcBorders>
            <w:shd w:val="clear" w:color="auto" w:fill="E7E6E6"/>
            <w:vAlign w:val="center"/>
          </w:tcPr>
          <w:p w:rsidR="001D1FD6" w:rsidRDefault="0012332F">
            <w:pPr>
              <w:jc w:val="center"/>
              <w:rPr>
                <w:rFonts w:cs="Times New Roman"/>
              </w:rPr>
            </w:pPr>
            <w:r>
              <w:rPr>
                <w:rFonts w:cs="Times New Roman"/>
                <w:b/>
              </w:rPr>
              <w:t>COM-B conditions</w:t>
            </w:r>
          </w:p>
        </w:tc>
        <w:tc>
          <w:tcPr>
            <w:tcW w:w="430" w:type="dxa"/>
            <w:vAlign w:val="center"/>
          </w:tcPr>
          <w:p w:rsidR="001D1FD6" w:rsidRDefault="0012332F">
            <w:pPr>
              <w:jc w:val="center"/>
              <w:rPr>
                <w:rFonts w:cs="Times New Roman"/>
              </w:rPr>
            </w:pPr>
            <w:r>
              <w:rPr>
                <w:rFonts w:cs="Times New Roman"/>
                <w:b/>
              </w:rPr>
              <w:t>→</w:t>
            </w:r>
          </w:p>
        </w:tc>
        <w:tc>
          <w:tcPr>
            <w:tcW w:w="2232" w:type="dxa"/>
            <w:tcBorders>
              <w:top w:val="single" w:sz="8" w:space="0" w:color="666666"/>
              <w:left w:val="single" w:sz="8" w:space="0" w:color="666666"/>
              <w:bottom w:val="single" w:sz="8" w:space="0" w:color="666666"/>
              <w:right w:val="single" w:sz="8" w:space="0" w:color="666666"/>
            </w:tcBorders>
            <w:shd w:val="clear" w:color="auto" w:fill="E7E6E6"/>
            <w:vAlign w:val="center"/>
          </w:tcPr>
          <w:p w:rsidR="001D1FD6" w:rsidRDefault="0012332F">
            <w:pPr>
              <w:jc w:val="center"/>
              <w:rPr>
                <w:rFonts w:cs="Times New Roman"/>
              </w:rPr>
            </w:pPr>
            <w:r>
              <w:rPr>
                <w:rFonts w:cs="Times New Roman"/>
                <w:b/>
              </w:rPr>
              <w:t>Engagement with support</w:t>
            </w:r>
          </w:p>
        </w:tc>
        <w:tc>
          <w:tcPr>
            <w:tcW w:w="434" w:type="dxa"/>
            <w:vAlign w:val="center"/>
          </w:tcPr>
          <w:p w:rsidR="001D1FD6" w:rsidRDefault="0012332F">
            <w:pPr>
              <w:jc w:val="center"/>
              <w:rPr>
                <w:rFonts w:cs="Times New Roman"/>
              </w:rPr>
            </w:pPr>
            <w:r>
              <w:rPr>
                <w:rFonts w:cs="Times New Roman"/>
                <w:b/>
              </w:rPr>
              <w:t>→</w:t>
            </w:r>
          </w:p>
        </w:tc>
        <w:tc>
          <w:tcPr>
            <w:tcW w:w="2086" w:type="dxa"/>
            <w:tcBorders>
              <w:top w:val="single" w:sz="8" w:space="0" w:color="666666"/>
              <w:left w:val="single" w:sz="8" w:space="0" w:color="666666"/>
              <w:bottom w:val="single" w:sz="8" w:space="0" w:color="666666"/>
              <w:right w:val="single" w:sz="8" w:space="0" w:color="666666"/>
            </w:tcBorders>
            <w:shd w:val="clear" w:color="auto" w:fill="E7E6E6"/>
            <w:vAlign w:val="center"/>
          </w:tcPr>
          <w:p w:rsidR="001D1FD6" w:rsidRDefault="0012332F">
            <w:pPr>
              <w:jc w:val="center"/>
              <w:rPr>
                <w:rFonts w:cs="Times New Roman"/>
              </w:rPr>
            </w:pPr>
            <w:r>
              <w:rPr>
                <w:rFonts w:cs="Times New Roman"/>
                <w:b/>
              </w:rPr>
              <w:t>Quit-related outcomes</w:t>
            </w:r>
          </w:p>
        </w:tc>
      </w:tr>
      <w:tr w:rsidR="001D1FD6">
        <w:trPr>
          <w:cantSplit/>
        </w:trPr>
        <w:tc>
          <w:tcPr>
            <w:tcW w:w="2087" w:type="dxa"/>
            <w:tcBorders>
              <w:top w:val="single" w:sz="8" w:space="0" w:color="666666"/>
              <w:left w:val="single" w:sz="8" w:space="0" w:color="666666"/>
              <w:bottom w:val="single" w:sz="8" w:space="0" w:color="666666"/>
              <w:right w:val="single" w:sz="8" w:space="0" w:color="666666"/>
            </w:tcBorders>
            <w:shd w:val="clear" w:color="auto" w:fill="F7F7F7"/>
            <w:vAlign w:val="center"/>
          </w:tcPr>
          <w:p w:rsidR="001D1FD6" w:rsidRDefault="0012332F">
            <w:pPr>
              <w:jc w:val="center"/>
              <w:rPr>
                <w:rFonts w:cs="Times New Roman"/>
              </w:rPr>
            </w:pPr>
            <w:r>
              <w:rPr>
                <w:rFonts w:cs="Times New Roman"/>
              </w:rPr>
              <w:t>Dependence, social networks, deprivation and service context</w:t>
            </w:r>
          </w:p>
        </w:tc>
        <w:tc>
          <w:tcPr>
            <w:tcW w:w="434" w:type="dxa"/>
            <w:vAlign w:val="center"/>
          </w:tcPr>
          <w:p w:rsidR="001D1FD6" w:rsidRDefault="001D1FD6">
            <w:pPr>
              <w:jc w:val="center"/>
              <w:rPr>
                <w:rFonts w:cs="Times New Roman"/>
              </w:rPr>
            </w:pPr>
          </w:p>
        </w:tc>
        <w:tc>
          <w:tcPr>
            <w:tcW w:w="2088" w:type="dxa"/>
            <w:tcBorders>
              <w:top w:val="single" w:sz="8" w:space="0" w:color="666666"/>
              <w:left w:val="single" w:sz="8" w:space="0" w:color="666666"/>
              <w:bottom w:val="single" w:sz="8" w:space="0" w:color="666666"/>
              <w:right w:val="single" w:sz="8" w:space="0" w:color="666666"/>
            </w:tcBorders>
            <w:shd w:val="clear" w:color="auto" w:fill="F7F7F7"/>
            <w:vAlign w:val="center"/>
          </w:tcPr>
          <w:p w:rsidR="001D1FD6" w:rsidRDefault="0012332F">
            <w:pPr>
              <w:jc w:val="center"/>
              <w:rPr>
                <w:rFonts w:cs="Times New Roman"/>
              </w:rPr>
            </w:pPr>
            <w:r>
              <w:rPr>
                <w:rFonts w:cs="Times New Roman"/>
              </w:rPr>
              <w:t>Capability, opportunity and motivation</w:t>
            </w:r>
          </w:p>
        </w:tc>
        <w:tc>
          <w:tcPr>
            <w:tcW w:w="430" w:type="dxa"/>
            <w:vAlign w:val="center"/>
          </w:tcPr>
          <w:p w:rsidR="001D1FD6" w:rsidRDefault="001D1FD6">
            <w:pPr>
              <w:jc w:val="center"/>
              <w:rPr>
                <w:rFonts w:cs="Times New Roman"/>
              </w:rPr>
            </w:pPr>
          </w:p>
        </w:tc>
        <w:tc>
          <w:tcPr>
            <w:tcW w:w="2232" w:type="dxa"/>
            <w:tcBorders>
              <w:top w:val="single" w:sz="8" w:space="0" w:color="666666"/>
              <w:left w:val="single" w:sz="8" w:space="0" w:color="666666"/>
              <w:bottom w:val="single" w:sz="8" w:space="0" w:color="666666"/>
              <w:right w:val="single" w:sz="8" w:space="0" w:color="666666"/>
            </w:tcBorders>
            <w:shd w:val="clear" w:color="auto" w:fill="F7F7F7"/>
            <w:vAlign w:val="center"/>
          </w:tcPr>
          <w:p w:rsidR="001D1FD6" w:rsidRDefault="0012332F">
            <w:pPr>
              <w:jc w:val="center"/>
              <w:rPr>
                <w:rFonts w:cs="Times New Roman"/>
              </w:rPr>
            </w:pPr>
            <w:r>
              <w:rPr>
                <w:rFonts w:cs="Times New Roman"/>
              </w:rPr>
              <w:t>Awareness, referral, contact, attendance, treatment use, adherence, retention and completion</w:t>
            </w:r>
          </w:p>
        </w:tc>
        <w:tc>
          <w:tcPr>
            <w:tcW w:w="434" w:type="dxa"/>
            <w:vAlign w:val="center"/>
          </w:tcPr>
          <w:p w:rsidR="001D1FD6" w:rsidRDefault="001D1FD6">
            <w:pPr>
              <w:jc w:val="center"/>
              <w:rPr>
                <w:rFonts w:cs="Times New Roman"/>
              </w:rPr>
            </w:pPr>
          </w:p>
        </w:tc>
        <w:tc>
          <w:tcPr>
            <w:tcW w:w="2086" w:type="dxa"/>
            <w:tcBorders>
              <w:top w:val="single" w:sz="8" w:space="0" w:color="666666"/>
              <w:left w:val="single" w:sz="8" w:space="0" w:color="666666"/>
              <w:bottom w:val="single" w:sz="8" w:space="0" w:color="666666"/>
              <w:right w:val="single" w:sz="8" w:space="0" w:color="666666"/>
            </w:tcBorders>
            <w:shd w:val="clear" w:color="auto" w:fill="F7F7F7"/>
            <w:vAlign w:val="center"/>
          </w:tcPr>
          <w:p w:rsidR="001D1FD6" w:rsidRDefault="0012332F">
            <w:pPr>
              <w:jc w:val="center"/>
              <w:rPr>
                <w:rFonts w:cs="Times New Roman"/>
              </w:rPr>
            </w:pPr>
            <w:r>
              <w:rPr>
                <w:rFonts w:cs="Times New Roman"/>
              </w:rPr>
              <w:t>Quit attempts, short-term abstinence, sustained abstinence and relapse</w:t>
            </w:r>
          </w:p>
        </w:tc>
      </w:tr>
      <w:tr w:rsidR="001D1FD6">
        <w:tc>
          <w:tcPr>
            <w:tcW w:w="9791" w:type="dxa"/>
            <w:gridSpan w:val="7"/>
          </w:tcPr>
          <w:p w:rsidR="001D1FD6" w:rsidRDefault="0012332F" w:rsidP="00F93449">
            <w:pPr>
              <w:keepNext/>
              <w:jc w:val="center"/>
              <w:rPr>
                <w:rFonts w:cs="Times New Roman"/>
              </w:rPr>
            </w:pPr>
            <w:r>
              <w:rPr>
                <w:rFonts w:cs="Times New Roman"/>
              </w:rPr>
              <w:lastRenderedPageBreak/>
              <w:t>Feedback pathways: relapse or an unsuccessful quit attempt can alter capability and motivation and lead to renewed engagement. Contextual factors can influence engagement and outcomes at multiple stages.</w:t>
            </w:r>
          </w:p>
        </w:tc>
      </w:tr>
    </w:tbl>
    <w:p w:rsidR="00F93449" w:rsidRPr="00F93449" w:rsidRDefault="00F93449" w:rsidP="00F93449">
      <w:pPr>
        <w:pStyle w:val="Caption"/>
        <w:jc w:val="center"/>
        <w:rPr>
          <w:i/>
          <w:iCs w:val="0"/>
        </w:rPr>
      </w:pPr>
      <w:bookmarkStart w:id="105" w:name="_Toc238725610"/>
      <w:r w:rsidRPr="00F93449">
        <w:rPr>
          <w:i/>
          <w:iCs w:val="0"/>
        </w:rPr>
        <w:t xml:space="preserve">Figure </w:t>
      </w:r>
      <w:r w:rsidR="00AD1081">
        <w:rPr>
          <w:i/>
          <w:iCs w:val="0"/>
        </w:rPr>
        <w:fldChar w:fldCharType="begin"/>
      </w:r>
      <w:r>
        <w:rPr>
          <w:i/>
          <w:iCs w:val="0"/>
        </w:rPr>
        <w:instrText xml:space="preserve"> STYLEREF 1 \s </w:instrText>
      </w:r>
      <w:r w:rsidR="00AD1081">
        <w:rPr>
          <w:i/>
          <w:iCs w:val="0"/>
        </w:rPr>
        <w:fldChar w:fldCharType="separate"/>
      </w:r>
      <w:r>
        <w:rPr>
          <w:i/>
          <w:iCs w:val="0"/>
          <w:noProof/>
        </w:rPr>
        <w:t>2</w:t>
      </w:r>
      <w:r w:rsidR="00AD1081">
        <w:rPr>
          <w:i/>
          <w:iCs w:val="0"/>
        </w:rPr>
        <w:fldChar w:fldCharType="end"/>
      </w:r>
      <w:r>
        <w:rPr>
          <w:i/>
          <w:iCs w:val="0"/>
        </w:rPr>
        <w:t>.</w:t>
      </w:r>
      <w:r w:rsidR="00AD1081">
        <w:rPr>
          <w:i/>
          <w:iCs w:val="0"/>
        </w:rPr>
        <w:fldChar w:fldCharType="begin"/>
      </w:r>
      <w:r>
        <w:rPr>
          <w:i/>
          <w:iCs w:val="0"/>
        </w:rPr>
        <w:instrText xml:space="preserve"> SEQ Figure \* ARABIC \s 1 </w:instrText>
      </w:r>
      <w:r w:rsidR="00AD1081">
        <w:rPr>
          <w:i/>
          <w:iCs w:val="0"/>
        </w:rPr>
        <w:fldChar w:fldCharType="separate"/>
      </w:r>
      <w:r>
        <w:rPr>
          <w:i/>
          <w:iCs w:val="0"/>
          <w:noProof/>
        </w:rPr>
        <w:t>1</w:t>
      </w:r>
      <w:r w:rsidR="00AD1081">
        <w:rPr>
          <w:i/>
          <w:iCs w:val="0"/>
        </w:rPr>
        <w:fldChar w:fldCharType="end"/>
      </w:r>
      <w:r w:rsidRPr="00F93449">
        <w:rPr>
          <w:i/>
          <w:iCs w:val="0"/>
        </w:rPr>
        <w:t>. Conceptual framework for engagement with smoking cessation support and quit-related outcomes</w:t>
      </w:r>
      <w:bookmarkEnd w:id="105"/>
    </w:p>
    <w:p w:rsidR="001D1FD6" w:rsidRDefault="0012332F">
      <w:pPr>
        <w:pStyle w:val="Heading2"/>
      </w:pPr>
      <w:bookmarkStart w:id="106" w:name="_Toc238559655"/>
      <w:bookmarkStart w:id="107" w:name="_Toc238262492"/>
      <w:bookmarkStart w:id="108" w:name="_Toc238725389"/>
      <w:bookmarkStart w:id="109" w:name="_Toc238725507"/>
      <w:r>
        <w:t>Chapter Summary</w:t>
      </w:r>
      <w:bookmarkEnd w:id="106"/>
      <w:bookmarkEnd w:id="107"/>
      <w:bookmarkEnd w:id="108"/>
      <w:bookmarkEnd w:id="109"/>
    </w:p>
    <w:p w:rsidR="001D1FD6" w:rsidRDefault="0012332F">
      <w:r>
        <w:t>Evidence-based treatment can improve cessation, but population benefit depends on access and sustained engagement. Engagement is multidimensional, socioeconomic context shapes several stages, and COM-B provides a useful but broad explanatory framework. The remaining gap concerns how different stages of engagement relate to quit success.</w:t>
      </w:r>
    </w:p>
    <w:p w:rsidR="001D1FD6" w:rsidRDefault="0012332F">
      <w:pPr>
        <w:rPr>
          <w:b/>
        </w:rPr>
      </w:pPr>
      <w:r>
        <w:br w:type="page"/>
      </w:r>
    </w:p>
    <w:p w:rsidR="001D1FD6" w:rsidRDefault="0012332F">
      <w:pPr>
        <w:pStyle w:val="Heading1"/>
        <w:spacing w:before="0" w:after="240"/>
      </w:pPr>
      <w:bookmarkStart w:id="110" w:name="_Toc238559656"/>
      <w:bookmarkStart w:id="111" w:name="_Toc238262493"/>
      <w:bookmarkStart w:id="112" w:name="_Toc238725390"/>
      <w:bookmarkStart w:id="113" w:name="_Toc238725508"/>
      <w:r>
        <w:rPr>
          <w:rFonts w:eastAsia="Times New Roman"/>
        </w:rPr>
        <w:lastRenderedPageBreak/>
        <w:t>Methodology</w:t>
      </w:r>
      <w:bookmarkEnd w:id="110"/>
      <w:bookmarkEnd w:id="111"/>
      <w:bookmarkEnd w:id="112"/>
      <w:bookmarkEnd w:id="113"/>
    </w:p>
    <w:p w:rsidR="001D1FD6" w:rsidRDefault="0012332F">
      <w:pPr>
        <w:pStyle w:val="Heading2"/>
      </w:pPr>
      <w:bookmarkStart w:id="114" w:name="_Toc238559657"/>
      <w:bookmarkStart w:id="115" w:name="_Toc238262494"/>
      <w:bookmarkStart w:id="116" w:name="_Toc238725391"/>
      <w:bookmarkStart w:id="117" w:name="_Toc238725509"/>
      <w:r>
        <w:rPr>
          <w:rFonts w:eastAsia="Times New Roman"/>
        </w:rPr>
        <w:t>Introduction</w:t>
      </w:r>
      <w:bookmarkEnd w:id="114"/>
      <w:bookmarkEnd w:id="115"/>
      <w:bookmarkEnd w:id="116"/>
      <w:bookmarkEnd w:id="117"/>
    </w:p>
    <w:p w:rsidR="001D1FD6" w:rsidRDefault="0012332F">
      <w:r>
        <w:t>This chapter explains the methodology used to examine the relationship between engagement with smoking cessation support and quit success among adults in the United Kingdom. It sets out the systematic literature review design, search strategy, search terms, information sources, eligibility criteria, study-selection process, data extraction, quality appraisal, thematic analysis, ethical considerations and procedures used to support rigour. The review used a transparent and reproducible process to identify, assess and interpret the evidence rather than relying on an informal selection of literature.</w:t>
      </w:r>
    </w:p>
    <w:p w:rsidR="001D1FD6" w:rsidRDefault="0012332F">
      <w:r>
        <w:t>The study used a systematic literature review and did not involve interviews, questionnaires, focus groups, observation or direct contact with participants. The final evidence base comprised ten primary studies: two qualitative studies, seven quantitative studies and one mixed-methods study. This design was appropriate because evidence about engagement with smoking cessation support is distributed across different services, adult groups and UK settings and requires a structured process of identification, selection, appraisal and synthesis (Page et al., 2021).</w:t>
      </w:r>
    </w:p>
    <w:p w:rsidR="001D1FD6" w:rsidRDefault="0012332F">
      <w:pPr>
        <w:pStyle w:val="Heading2"/>
      </w:pPr>
      <w:bookmarkStart w:id="118" w:name="_Toc238559658"/>
      <w:bookmarkStart w:id="119" w:name="_Toc238262495"/>
      <w:bookmarkStart w:id="120" w:name="_Toc238725392"/>
      <w:bookmarkStart w:id="121" w:name="_Toc238725510"/>
      <w:r>
        <w:rPr>
          <w:rFonts w:eastAsia="Times New Roman"/>
        </w:rPr>
        <w:t>Systematic Literature Review (SLR)</w:t>
      </w:r>
      <w:bookmarkEnd w:id="118"/>
      <w:bookmarkEnd w:id="119"/>
      <w:bookmarkEnd w:id="120"/>
      <w:bookmarkEnd w:id="121"/>
    </w:p>
    <w:p w:rsidR="001D1FD6" w:rsidRDefault="0012332F">
      <w:pPr>
        <w:pStyle w:val="Heading3"/>
      </w:pPr>
      <w:bookmarkStart w:id="122" w:name="_Toc238559659"/>
      <w:bookmarkStart w:id="123" w:name="_Toc238262496"/>
      <w:bookmarkStart w:id="124" w:name="_Toc238725393"/>
      <w:bookmarkStart w:id="125" w:name="_Toc238725511"/>
      <w:r>
        <w:rPr>
          <w:rFonts w:eastAsia="Times New Roman"/>
        </w:rPr>
        <w:t>SLR Definitions and Purpose</w:t>
      </w:r>
      <w:bookmarkEnd w:id="122"/>
      <w:bookmarkEnd w:id="123"/>
      <w:bookmarkEnd w:id="124"/>
      <w:bookmarkEnd w:id="125"/>
    </w:p>
    <w:p w:rsidR="001D1FD6" w:rsidRDefault="001873A7">
      <w:r w:rsidRPr="001873A7">
        <w:t xml:space="preserve">Systematic literature review is secondary research which is planned and uses explicit and reproducible research methods to locate, select, appraise and synthesise existing studies. It differs from a traditional narrative review in that the search and selection decisions are made a priori, eligibility criteria are uniformly applied, and the rationale behind the search and selection of records to included studies is provided. This helps to minimize the chance of studies being chosen because they lead to an expected conclusion. Guidance for methodology notes the importance of making the review process clear and providing reasons for synthesis decisions when studies vary in design </w:t>
      </w:r>
      <w:r>
        <w:t>(Siddaway, Wood and Hedges, 2019; Whittemore and Knafl, 2005; Dixon-Woods et al., 2005; Pluye and Hong, 2014).</w:t>
      </w:r>
    </w:p>
    <w:p w:rsidR="001D1FD6" w:rsidRDefault="0012332F">
      <w:r>
        <w:t xml:space="preserve">The review was designed to identify primary evidence explaining how adults engage with smoking cessation support, what encourages or obstructs continued engagement and how engagement relates to quitting. Statistical pooling was not undertaken because the included studies varied in design, service setting, participant group, meaning of engagement and </w:t>
      </w:r>
      <w:r>
        <w:lastRenderedPageBreak/>
        <w:t>definition of quit success. Narrative and thematic synthesis was therefore used to compare patterns, differences and gaps across qualitative, quantitative and mixed-methods evidence (Thomas and Harden, 2008).</w:t>
      </w:r>
    </w:p>
    <w:p w:rsidR="001D1FD6" w:rsidRDefault="0012332F">
      <w:pPr>
        <w:pStyle w:val="Heading3"/>
      </w:pPr>
      <w:bookmarkStart w:id="126" w:name="_Toc238559660"/>
      <w:bookmarkStart w:id="127" w:name="_Toc238262497"/>
      <w:bookmarkStart w:id="128" w:name="_Toc238725394"/>
      <w:bookmarkStart w:id="129" w:name="_Toc238725512"/>
      <w:r>
        <w:rPr>
          <w:rFonts w:eastAsia="Times New Roman"/>
        </w:rPr>
        <w:t>Procedures to Perform the Systematic Literature Review</w:t>
      </w:r>
      <w:bookmarkEnd w:id="126"/>
      <w:bookmarkEnd w:id="127"/>
      <w:bookmarkEnd w:id="128"/>
      <w:bookmarkEnd w:id="129"/>
    </w:p>
    <w:p w:rsidR="001D1FD6" w:rsidRDefault="0012332F">
      <w:r>
        <w:t>The review followed linked stages: PECO question formulation; development of search concepts and source-specific strings; searching and deduplication; title/abstract and full-text screening; structured extraction; design-appropriate appraisal using the Critical Appraisal Skills Programme (CASP), Coughlan, Cronin and Ryan (2007) framework or Mixed Methods Appraisal Tool (MMAT); coding and theme development; and PRISMA 2020 reporting.</w:t>
      </w:r>
    </w:p>
    <w:p w:rsidR="001D1FD6" w:rsidRDefault="0012332F">
      <w:r>
        <w:t>Data extraction procedure. Data extraction recorded the same categories of information from every included study. Descriptive information, such as study design and sample, was separated from findings that directly addressed engagement and quitting. Extracted evidence included participant experiences and quotations where available, reported themes, service-use patterns, barriers and facilitators, measures of engagement, quit-related outcomes and authors’ interpretations supported by the reported data. Background statements and general discussion that were not empirical findings were not treated as review data.</w:t>
      </w:r>
    </w:p>
    <w:p w:rsidR="00F93449" w:rsidRDefault="00F93449" w:rsidP="00F93449">
      <w:pPr>
        <w:pStyle w:val="Caption"/>
        <w:keepNext/>
      </w:pPr>
      <w:bookmarkStart w:id="130" w:name="_Toc238725585"/>
      <w:r>
        <w:t xml:space="preserve">Table </w:t>
      </w:r>
      <w:r w:rsidR="00AD1081">
        <w:fldChar w:fldCharType="begin"/>
      </w:r>
      <w:r>
        <w:instrText xml:space="preserve"> STYLEREF 1 \s </w:instrText>
      </w:r>
      <w:r w:rsidR="00AD1081">
        <w:fldChar w:fldCharType="separate"/>
      </w:r>
      <w:r>
        <w:rPr>
          <w:noProof/>
        </w:rPr>
        <w:t>3</w:t>
      </w:r>
      <w:r w:rsidR="00AD1081">
        <w:fldChar w:fldCharType="end"/>
      </w:r>
      <w:r>
        <w:t>.</w:t>
      </w:r>
      <w:r w:rsidR="00AD1081">
        <w:fldChar w:fldCharType="begin"/>
      </w:r>
      <w:r>
        <w:instrText xml:space="preserve"> SEQ Table \* ARABIC \s 1 </w:instrText>
      </w:r>
      <w:r w:rsidR="00AD1081">
        <w:fldChar w:fldCharType="separate"/>
      </w:r>
      <w:r>
        <w:rPr>
          <w:noProof/>
        </w:rPr>
        <w:t>1</w:t>
      </w:r>
      <w:r w:rsidR="00AD1081">
        <w:fldChar w:fldCharType="end"/>
      </w:r>
      <w:r>
        <w:t xml:space="preserve">. </w:t>
      </w:r>
      <w:r w:rsidRPr="00634C30">
        <w:t>Data extraction framework</w:t>
      </w:r>
      <w:bookmarkEnd w:id="130"/>
    </w:p>
    <w:tbl>
      <w:tblPr>
        <w:tblStyle w:val="TableGrid"/>
        <w:tblW w:w="9016" w:type="dxa"/>
        <w:jc w:val="center"/>
        <w:tblLayout w:type="fixed"/>
        <w:tblCellMar>
          <w:top w:w="80" w:type="dxa"/>
          <w:left w:w="90" w:type="dxa"/>
          <w:bottom w:w="80" w:type="dxa"/>
          <w:right w:w="90" w:type="dxa"/>
        </w:tblCellMar>
        <w:tblLook w:val="04A0"/>
      </w:tblPr>
      <w:tblGrid>
        <w:gridCol w:w="2867"/>
        <w:gridCol w:w="6149"/>
      </w:tblGrid>
      <w:tr w:rsidR="001D1FD6">
        <w:trPr>
          <w:tblHeader/>
          <w:jc w:val="center"/>
        </w:trPr>
        <w:tc>
          <w:tcPr>
            <w:tcW w:w="2867" w:type="dxa"/>
            <w:shd w:val="clear" w:color="auto" w:fill="D9EAF7"/>
            <w:vAlign w:val="center"/>
          </w:tcPr>
          <w:p w:rsidR="001D1FD6" w:rsidRDefault="0012332F">
            <w:pPr>
              <w:jc w:val="left"/>
              <w:rPr>
                <w:szCs w:val="32"/>
              </w:rPr>
            </w:pPr>
            <w:r>
              <w:rPr>
                <w:b/>
                <w:szCs w:val="32"/>
              </w:rPr>
              <w:t>Data item</w:t>
            </w:r>
          </w:p>
        </w:tc>
        <w:tc>
          <w:tcPr>
            <w:tcW w:w="6148" w:type="dxa"/>
            <w:shd w:val="clear" w:color="auto" w:fill="D9EAF7"/>
            <w:vAlign w:val="center"/>
          </w:tcPr>
          <w:p w:rsidR="001D1FD6" w:rsidRDefault="0012332F">
            <w:pPr>
              <w:jc w:val="left"/>
              <w:rPr>
                <w:szCs w:val="32"/>
              </w:rPr>
            </w:pPr>
            <w:r>
              <w:rPr>
                <w:b/>
                <w:szCs w:val="32"/>
              </w:rPr>
              <w:t>Purpose</w:t>
            </w:r>
          </w:p>
        </w:tc>
      </w:tr>
      <w:tr w:rsidR="001D1FD6">
        <w:trPr>
          <w:jc w:val="center"/>
        </w:trPr>
        <w:tc>
          <w:tcPr>
            <w:tcW w:w="2867" w:type="dxa"/>
            <w:vAlign w:val="center"/>
          </w:tcPr>
          <w:p w:rsidR="001D1FD6" w:rsidRDefault="0012332F">
            <w:pPr>
              <w:jc w:val="left"/>
              <w:rPr>
                <w:szCs w:val="32"/>
              </w:rPr>
            </w:pPr>
            <w:r>
              <w:rPr>
                <w:szCs w:val="32"/>
              </w:rPr>
              <w:t>Author and year</w:t>
            </w:r>
          </w:p>
        </w:tc>
        <w:tc>
          <w:tcPr>
            <w:tcW w:w="6148" w:type="dxa"/>
            <w:vAlign w:val="center"/>
          </w:tcPr>
          <w:p w:rsidR="001D1FD6" w:rsidRDefault="0012332F">
            <w:pPr>
              <w:jc w:val="left"/>
              <w:rPr>
                <w:szCs w:val="32"/>
              </w:rPr>
            </w:pPr>
            <w:r>
              <w:rPr>
                <w:szCs w:val="32"/>
              </w:rPr>
              <w:t>To identify the study and support accurate citation.</w:t>
            </w:r>
          </w:p>
        </w:tc>
      </w:tr>
      <w:tr w:rsidR="001D1FD6">
        <w:trPr>
          <w:jc w:val="center"/>
        </w:trPr>
        <w:tc>
          <w:tcPr>
            <w:tcW w:w="2867" w:type="dxa"/>
            <w:vAlign w:val="center"/>
          </w:tcPr>
          <w:p w:rsidR="001D1FD6" w:rsidRDefault="0012332F">
            <w:pPr>
              <w:jc w:val="left"/>
              <w:rPr>
                <w:szCs w:val="32"/>
              </w:rPr>
            </w:pPr>
            <w:r>
              <w:rPr>
                <w:szCs w:val="32"/>
              </w:rPr>
              <w:t>UK setting</w:t>
            </w:r>
          </w:p>
        </w:tc>
        <w:tc>
          <w:tcPr>
            <w:tcW w:w="6148" w:type="dxa"/>
            <w:vAlign w:val="center"/>
          </w:tcPr>
          <w:p w:rsidR="001D1FD6" w:rsidRDefault="0012332F">
            <w:pPr>
              <w:jc w:val="left"/>
              <w:rPr>
                <w:szCs w:val="32"/>
              </w:rPr>
            </w:pPr>
            <w:r>
              <w:rPr>
                <w:szCs w:val="32"/>
              </w:rPr>
              <w:t>To record the country, region, service or community setting.</w:t>
            </w:r>
          </w:p>
        </w:tc>
      </w:tr>
      <w:tr w:rsidR="001D1FD6">
        <w:trPr>
          <w:jc w:val="center"/>
        </w:trPr>
        <w:tc>
          <w:tcPr>
            <w:tcW w:w="2867" w:type="dxa"/>
            <w:vAlign w:val="center"/>
          </w:tcPr>
          <w:p w:rsidR="001D1FD6" w:rsidRDefault="0012332F">
            <w:pPr>
              <w:jc w:val="left"/>
              <w:rPr>
                <w:szCs w:val="32"/>
              </w:rPr>
            </w:pPr>
            <w:r>
              <w:rPr>
                <w:szCs w:val="32"/>
              </w:rPr>
              <w:t>Study aim and design</w:t>
            </w:r>
          </w:p>
        </w:tc>
        <w:tc>
          <w:tcPr>
            <w:tcW w:w="6148" w:type="dxa"/>
            <w:vAlign w:val="center"/>
          </w:tcPr>
          <w:p w:rsidR="001D1FD6" w:rsidRDefault="0012332F">
            <w:pPr>
              <w:spacing w:line="240" w:lineRule="auto"/>
              <w:rPr>
                <w:szCs w:val="32"/>
              </w:rPr>
            </w:pPr>
            <w:r>
              <w:rPr>
                <w:szCs w:val="32"/>
              </w:rPr>
              <w:t>To clarify the research purpose and record the design used to generate the relevant evidence.</w:t>
            </w:r>
          </w:p>
        </w:tc>
      </w:tr>
      <w:tr w:rsidR="001D1FD6">
        <w:trPr>
          <w:jc w:val="center"/>
        </w:trPr>
        <w:tc>
          <w:tcPr>
            <w:tcW w:w="2867" w:type="dxa"/>
            <w:vAlign w:val="center"/>
          </w:tcPr>
          <w:p w:rsidR="001D1FD6" w:rsidRDefault="0012332F">
            <w:pPr>
              <w:jc w:val="left"/>
              <w:rPr>
                <w:szCs w:val="32"/>
              </w:rPr>
            </w:pPr>
            <w:r>
              <w:rPr>
                <w:szCs w:val="32"/>
              </w:rPr>
              <w:t>Sample characteristics</w:t>
            </w:r>
          </w:p>
        </w:tc>
        <w:tc>
          <w:tcPr>
            <w:tcW w:w="6148" w:type="dxa"/>
            <w:vAlign w:val="center"/>
          </w:tcPr>
          <w:p w:rsidR="001D1FD6" w:rsidRDefault="0012332F">
            <w:pPr>
              <w:jc w:val="left"/>
              <w:rPr>
                <w:szCs w:val="32"/>
              </w:rPr>
            </w:pPr>
            <w:r>
              <w:rPr>
                <w:szCs w:val="32"/>
              </w:rPr>
              <w:t>To record the adult group, sample size and relevant social or service-user characteristics.</w:t>
            </w:r>
          </w:p>
        </w:tc>
      </w:tr>
      <w:tr w:rsidR="001D1FD6">
        <w:trPr>
          <w:jc w:val="center"/>
        </w:trPr>
        <w:tc>
          <w:tcPr>
            <w:tcW w:w="2867" w:type="dxa"/>
            <w:vAlign w:val="center"/>
          </w:tcPr>
          <w:p w:rsidR="001D1FD6" w:rsidRDefault="0012332F">
            <w:pPr>
              <w:jc w:val="left"/>
              <w:rPr>
                <w:szCs w:val="32"/>
              </w:rPr>
            </w:pPr>
            <w:r>
              <w:rPr>
                <w:szCs w:val="32"/>
              </w:rPr>
              <w:t>Type of smoking cessation support</w:t>
            </w:r>
          </w:p>
        </w:tc>
        <w:tc>
          <w:tcPr>
            <w:tcW w:w="6148" w:type="dxa"/>
            <w:vAlign w:val="center"/>
          </w:tcPr>
          <w:p w:rsidR="001D1FD6" w:rsidRDefault="0012332F">
            <w:pPr>
              <w:jc w:val="left"/>
              <w:rPr>
                <w:szCs w:val="32"/>
              </w:rPr>
            </w:pPr>
            <w:r>
              <w:rPr>
                <w:szCs w:val="32"/>
              </w:rPr>
              <w:t>To identify the support examined, such as behavioural, community, primary care, digital or combined support.</w:t>
            </w:r>
          </w:p>
        </w:tc>
      </w:tr>
      <w:tr w:rsidR="001D1FD6">
        <w:trPr>
          <w:jc w:val="center"/>
        </w:trPr>
        <w:tc>
          <w:tcPr>
            <w:tcW w:w="2867" w:type="dxa"/>
            <w:vAlign w:val="center"/>
          </w:tcPr>
          <w:p w:rsidR="001D1FD6" w:rsidRDefault="0012332F">
            <w:pPr>
              <w:jc w:val="left"/>
              <w:rPr>
                <w:szCs w:val="32"/>
              </w:rPr>
            </w:pPr>
            <w:r>
              <w:rPr>
                <w:szCs w:val="32"/>
              </w:rPr>
              <w:t>Meaning of engagement</w:t>
            </w:r>
          </w:p>
        </w:tc>
        <w:tc>
          <w:tcPr>
            <w:tcW w:w="6148" w:type="dxa"/>
            <w:vAlign w:val="center"/>
          </w:tcPr>
          <w:p w:rsidR="001D1FD6" w:rsidRDefault="0012332F">
            <w:pPr>
              <w:jc w:val="left"/>
              <w:rPr>
                <w:szCs w:val="32"/>
              </w:rPr>
            </w:pPr>
            <w:r>
              <w:rPr>
                <w:szCs w:val="32"/>
              </w:rPr>
              <w:t>To record attendance, uptake, adherence, retention, completion, follow-up or continued contact.</w:t>
            </w:r>
          </w:p>
        </w:tc>
      </w:tr>
      <w:tr w:rsidR="001D1FD6">
        <w:trPr>
          <w:jc w:val="center"/>
        </w:trPr>
        <w:tc>
          <w:tcPr>
            <w:tcW w:w="2867" w:type="dxa"/>
            <w:vAlign w:val="center"/>
          </w:tcPr>
          <w:p w:rsidR="001D1FD6" w:rsidRDefault="0012332F">
            <w:pPr>
              <w:spacing w:line="240" w:lineRule="auto"/>
              <w:rPr>
                <w:szCs w:val="32"/>
              </w:rPr>
            </w:pPr>
            <w:r>
              <w:rPr>
                <w:szCs w:val="32"/>
              </w:rPr>
              <w:t>Study findings</w:t>
            </w:r>
          </w:p>
        </w:tc>
        <w:tc>
          <w:tcPr>
            <w:tcW w:w="6148" w:type="dxa"/>
            <w:vAlign w:val="center"/>
          </w:tcPr>
          <w:p w:rsidR="001D1FD6" w:rsidRDefault="0012332F">
            <w:pPr>
              <w:spacing w:line="240" w:lineRule="auto"/>
              <w:rPr>
                <w:szCs w:val="32"/>
              </w:rPr>
            </w:pPr>
            <w:r>
              <w:rPr>
                <w:szCs w:val="32"/>
              </w:rPr>
              <w:t>To extract qualitative experiences, service-use patterns, engagement indicators and quit-related results relevant to the review question.</w:t>
            </w:r>
          </w:p>
        </w:tc>
      </w:tr>
      <w:tr w:rsidR="001D1FD6">
        <w:trPr>
          <w:jc w:val="center"/>
        </w:trPr>
        <w:tc>
          <w:tcPr>
            <w:tcW w:w="2867" w:type="dxa"/>
            <w:vAlign w:val="center"/>
          </w:tcPr>
          <w:p w:rsidR="001D1FD6" w:rsidRDefault="0012332F">
            <w:pPr>
              <w:jc w:val="left"/>
              <w:rPr>
                <w:szCs w:val="32"/>
              </w:rPr>
            </w:pPr>
            <w:r>
              <w:rPr>
                <w:szCs w:val="32"/>
              </w:rPr>
              <w:lastRenderedPageBreak/>
              <w:t>Barriers and facilitators</w:t>
            </w:r>
          </w:p>
        </w:tc>
        <w:tc>
          <w:tcPr>
            <w:tcW w:w="6148" w:type="dxa"/>
            <w:vAlign w:val="center"/>
          </w:tcPr>
          <w:p w:rsidR="001D1FD6" w:rsidRDefault="0012332F">
            <w:pPr>
              <w:jc w:val="left"/>
              <w:rPr>
                <w:szCs w:val="32"/>
              </w:rPr>
            </w:pPr>
            <w:r>
              <w:rPr>
                <w:szCs w:val="32"/>
              </w:rPr>
              <w:t>To identify factors that hinder or support engagement with cessation services.</w:t>
            </w:r>
          </w:p>
        </w:tc>
      </w:tr>
      <w:tr w:rsidR="001D1FD6">
        <w:trPr>
          <w:jc w:val="center"/>
        </w:trPr>
        <w:tc>
          <w:tcPr>
            <w:tcW w:w="2867" w:type="dxa"/>
            <w:vAlign w:val="center"/>
          </w:tcPr>
          <w:p w:rsidR="001D1FD6" w:rsidRDefault="0012332F">
            <w:pPr>
              <w:jc w:val="left"/>
              <w:rPr>
                <w:szCs w:val="32"/>
              </w:rPr>
            </w:pPr>
            <w:r>
              <w:rPr>
                <w:szCs w:val="32"/>
              </w:rPr>
              <w:t>Quit-related findings</w:t>
            </w:r>
          </w:p>
        </w:tc>
        <w:tc>
          <w:tcPr>
            <w:tcW w:w="6148" w:type="dxa"/>
            <w:vAlign w:val="center"/>
          </w:tcPr>
          <w:p w:rsidR="001D1FD6" w:rsidRDefault="0012332F">
            <w:pPr>
              <w:jc w:val="left"/>
              <w:rPr>
                <w:szCs w:val="32"/>
              </w:rPr>
            </w:pPr>
            <w:r>
              <w:rPr>
                <w:szCs w:val="32"/>
              </w:rPr>
              <w:t>To record how quitting, abstinence, relapse or changes in smoking behaviour are discussed.</w:t>
            </w:r>
          </w:p>
        </w:tc>
      </w:tr>
      <w:tr w:rsidR="001D1FD6">
        <w:trPr>
          <w:jc w:val="center"/>
        </w:trPr>
        <w:tc>
          <w:tcPr>
            <w:tcW w:w="2867" w:type="dxa"/>
            <w:vAlign w:val="center"/>
          </w:tcPr>
          <w:p w:rsidR="001D1FD6" w:rsidRDefault="0012332F">
            <w:pPr>
              <w:spacing w:line="240" w:lineRule="auto"/>
              <w:rPr>
                <w:szCs w:val="32"/>
              </w:rPr>
            </w:pPr>
            <w:r>
              <w:rPr>
                <w:szCs w:val="32"/>
              </w:rPr>
              <w:t>Quality appraisal notes</w:t>
            </w:r>
          </w:p>
        </w:tc>
        <w:tc>
          <w:tcPr>
            <w:tcW w:w="6148" w:type="dxa"/>
            <w:vAlign w:val="center"/>
          </w:tcPr>
          <w:p w:rsidR="001D1FD6" w:rsidRDefault="0012332F">
            <w:pPr>
              <w:spacing w:line="240" w:lineRule="auto"/>
              <w:rPr>
                <w:szCs w:val="32"/>
              </w:rPr>
            </w:pPr>
            <w:r>
              <w:rPr>
                <w:szCs w:val="32"/>
              </w:rPr>
              <w:t>To record methodological strengths, weaknesses and design-specific appraisal judgements using CASP, the Coughlan framework or MMAT as appropriate.</w:t>
            </w:r>
          </w:p>
        </w:tc>
      </w:tr>
    </w:tbl>
    <w:p w:rsidR="001D1FD6" w:rsidRDefault="0012332F">
      <w:pPr>
        <w:pStyle w:val="Heading2"/>
      </w:pPr>
      <w:bookmarkStart w:id="131" w:name="_Toc238559661"/>
      <w:bookmarkStart w:id="132" w:name="_Toc238262498"/>
      <w:bookmarkStart w:id="133" w:name="_Toc238725395"/>
      <w:bookmarkStart w:id="134" w:name="_Toc238725513"/>
      <w:r>
        <w:rPr>
          <w:rFonts w:eastAsia="Times New Roman"/>
        </w:rPr>
        <w:t>Search Strategy</w:t>
      </w:r>
      <w:bookmarkEnd w:id="131"/>
      <w:bookmarkEnd w:id="132"/>
      <w:bookmarkEnd w:id="133"/>
      <w:bookmarkEnd w:id="134"/>
    </w:p>
    <w:p w:rsidR="001D1FD6" w:rsidRDefault="0012332F">
      <w:pPr>
        <w:pStyle w:val="Heading3"/>
        <w:numPr>
          <w:ilvl w:val="2"/>
          <w:numId w:val="10"/>
        </w:numPr>
      </w:pPr>
      <w:bookmarkStart w:id="135" w:name="_Toc238559662"/>
      <w:bookmarkStart w:id="136" w:name="_Toc238262499"/>
      <w:bookmarkStart w:id="137" w:name="_Toc238725396"/>
      <w:bookmarkStart w:id="138" w:name="_Toc238725514"/>
      <w:r>
        <w:rPr>
          <w:rFonts w:eastAsia="Times New Roman"/>
        </w:rPr>
        <w:t>Definition of Search Strategy</w:t>
      </w:r>
      <w:bookmarkEnd w:id="135"/>
      <w:bookmarkEnd w:id="136"/>
      <w:bookmarkEnd w:id="137"/>
      <w:bookmarkEnd w:id="138"/>
    </w:p>
    <w:p w:rsidR="001873A7" w:rsidRDefault="001873A7" w:rsidP="001873A7">
      <w:r>
        <w:t>A search strategy is a written plan of the concepts, keywords, synonyms, operators, limits and information sources to be used to find relevant studies. The strategy was sufficiently wide to allow for the inclusion of qualitative, quantitative and mixed methods evidence, and sufficiently narrow to focus on smoking cessation engagement and outcomes.</w:t>
      </w:r>
    </w:p>
    <w:p w:rsidR="001873A7" w:rsidRDefault="001873A7" w:rsidP="001873A7">
      <w:pPr>
        <w:pStyle w:val="Heading3"/>
      </w:pPr>
      <w:bookmarkStart w:id="139" w:name="_Toc238725397"/>
      <w:bookmarkStart w:id="140" w:name="_Toc238725515"/>
      <w:r>
        <w:t>Comprehensive Search and Time Limit Process</w:t>
      </w:r>
      <w:bookmarkEnd w:id="139"/>
      <w:bookmarkEnd w:id="140"/>
    </w:p>
    <w:p w:rsidR="001873A7" w:rsidRDefault="001873A7" w:rsidP="001873A7">
      <w:r>
        <w:t>The last eligibility period included studies published between 2007 and 2026 (the last year of the primary evidence included in the review). Only English-language studies of adults in the United Kingdom or larger studies that provided separate results for the United Kingdom were included in the studies. This range enabled the review to include key earlier evidence from the UK on service engagement and to include recent service-delivery research.</w:t>
      </w:r>
    </w:p>
    <w:p w:rsidR="001D1FD6" w:rsidRDefault="001873A7" w:rsidP="001873A7">
      <w:r>
        <w:t>The three information sources, core Boolean concepts, eligibility limits and the number of study-flows in the retained documentation were recorded. The exact dates of searches and retrieval totals and final adapted syntax were not saved and were not reconstructed afterwards. Records were deduplicated, consistently screened and reported according to PRISMA 2020 (Page et al., 2021).</w:t>
      </w:r>
    </w:p>
    <w:p w:rsidR="001D1FD6" w:rsidRDefault="0012332F">
      <w:pPr>
        <w:pStyle w:val="Heading2"/>
      </w:pPr>
      <w:bookmarkStart w:id="141" w:name="_Toc238559664"/>
      <w:bookmarkStart w:id="142" w:name="_Toc238262501"/>
      <w:bookmarkStart w:id="143" w:name="_Toc238725398"/>
      <w:bookmarkStart w:id="144" w:name="_Toc238725516"/>
      <w:r>
        <w:rPr>
          <w:rFonts w:eastAsia="Times New Roman"/>
        </w:rPr>
        <w:t>Search Terms</w:t>
      </w:r>
      <w:bookmarkEnd w:id="141"/>
      <w:bookmarkEnd w:id="142"/>
      <w:bookmarkEnd w:id="143"/>
      <w:bookmarkEnd w:id="144"/>
    </w:p>
    <w:p w:rsidR="001D1FD6" w:rsidRDefault="0012332F">
      <w:pPr>
        <w:pStyle w:val="Heading3"/>
        <w:numPr>
          <w:ilvl w:val="2"/>
          <w:numId w:val="11"/>
        </w:numPr>
      </w:pPr>
      <w:bookmarkStart w:id="145" w:name="_Toc238559665"/>
      <w:bookmarkStart w:id="146" w:name="_Toc238262502"/>
      <w:bookmarkStart w:id="147" w:name="_Toc238725399"/>
      <w:bookmarkStart w:id="148" w:name="_Toc238725517"/>
      <w:r>
        <w:rPr>
          <w:rFonts w:eastAsia="Times New Roman"/>
        </w:rPr>
        <w:t>Definition and Importance of Search Terms</w:t>
      </w:r>
      <w:bookmarkEnd w:id="145"/>
      <w:bookmarkEnd w:id="146"/>
      <w:bookmarkEnd w:id="147"/>
      <w:bookmarkEnd w:id="148"/>
    </w:p>
    <w:p w:rsidR="001D1FD6" w:rsidRDefault="0012332F">
      <w:r>
        <w:t xml:space="preserve">Search terms are words and phrases that represent the main concepts in the research question. For this review, the concepts concerned smoking cessation support, engagement with support, quit-related outcomes, adults and the United Kingdom. Each concept was represented by </w:t>
      </w:r>
      <w:r>
        <w:lastRenderedPageBreak/>
        <w:t>several terms because authors and information sources may describe the same idea differently.</w:t>
      </w:r>
    </w:p>
    <w:p w:rsidR="001D1FD6" w:rsidRDefault="0012332F">
      <w:pPr>
        <w:pStyle w:val="Heading3"/>
      </w:pPr>
      <w:bookmarkStart w:id="149" w:name="_Toc238559666"/>
      <w:bookmarkStart w:id="150" w:name="_Toc238262503"/>
      <w:bookmarkStart w:id="151" w:name="_Toc238725400"/>
      <w:bookmarkStart w:id="152" w:name="_Toc238725518"/>
      <w:r>
        <w:rPr>
          <w:rFonts w:eastAsia="Times New Roman"/>
        </w:rPr>
        <w:t>Searching with Synonyms</w:t>
      </w:r>
      <w:bookmarkEnd w:id="149"/>
      <w:bookmarkEnd w:id="150"/>
      <w:bookmarkEnd w:id="151"/>
      <w:bookmarkEnd w:id="152"/>
    </w:p>
    <w:p w:rsidR="001D1FD6" w:rsidRDefault="0012332F">
      <w:r>
        <w:t>Synonyms and related terms were connected with the Boolean operator OR to increase retrieval within each concept, and separate concept groups were connected with AND. Examples included “smoking cessation” OR “stop smoking service” OR “tobacco dependence treatment”; engagement OR attendance OR adherence OR retention OR completion OR uptake; and “quit success” OR abstinence OR relapse OR quitting. Truncation and subject headings were used where supported by the information source.</w:t>
      </w:r>
    </w:p>
    <w:p w:rsidR="001D1FD6" w:rsidRDefault="0012332F">
      <w:pPr>
        <w:pStyle w:val="Heading3"/>
      </w:pPr>
      <w:bookmarkStart w:id="153" w:name="_Toc238559667"/>
      <w:bookmarkStart w:id="154" w:name="_Toc238262504"/>
      <w:bookmarkStart w:id="155" w:name="_Toc238725401"/>
      <w:bookmarkStart w:id="156" w:name="_Toc238725519"/>
      <w:r>
        <w:rPr>
          <w:rFonts w:eastAsia="Times New Roman"/>
        </w:rPr>
        <w:t>Development of Search Terms Using the PECO Framework</w:t>
      </w:r>
      <w:bookmarkEnd w:id="153"/>
      <w:bookmarkEnd w:id="154"/>
      <w:bookmarkEnd w:id="155"/>
      <w:bookmarkEnd w:id="156"/>
    </w:p>
    <w:p w:rsidR="001D1FD6" w:rsidRDefault="0012332F">
      <w:r>
        <w:t>The PECO framework structures questions that examine an exposure and its relationship with an outcome. It is appropriate here because the central exposure is the level or form of engagement with smoking cessation support rather than a single controlled intervention. PECO also helps define the search concepts and eligibility criteria (Morgan et al., 2018).</w:t>
      </w:r>
    </w:p>
    <w:p w:rsidR="00F93449" w:rsidRDefault="00F93449" w:rsidP="00F93449">
      <w:pPr>
        <w:pStyle w:val="Caption"/>
        <w:keepNext/>
      </w:pPr>
      <w:bookmarkStart w:id="157" w:name="_Toc238725586"/>
      <w:r>
        <w:t xml:space="preserve">Table </w:t>
      </w:r>
      <w:r w:rsidR="00AD1081">
        <w:fldChar w:fldCharType="begin"/>
      </w:r>
      <w:r>
        <w:instrText xml:space="preserve"> STYLEREF 1 \s </w:instrText>
      </w:r>
      <w:r w:rsidR="00AD1081">
        <w:fldChar w:fldCharType="separate"/>
      </w:r>
      <w:r>
        <w:rPr>
          <w:noProof/>
        </w:rPr>
        <w:t>3</w:t>
      </w:r>
      <w:r w:rsidR="00AD1081">
        <w:fldChar w:fldCharType="end"/>
      </w:r>
      <w:r>
        <w:t>.</w:t>
      </w:r>
      <w:r w:rsidR="00AD1081">
        <w:fldChar w:fldCharType="begin"/>
      </w:r>
      <w:r>
        <w:instrText xml:space="preserve"> SEQ Table \* ARABIC \s 1 </w:instrText>
      </w:r>
      <w:r w:rsidR="00AD1081">
        <w:fldChar w:fldCharType="separate"/>
      </w:r>
      <w:r>
        <w:rPr>
          <w:noProof/>
        </w:rPr>
        <w:t>2</w:t>
      </w:r>
      <w:r w:rsidR="00AD1081">
        <w:fldChar w:fldCharType="end"/>
      </w:r>
      <w:r>
        <w:t xml:space="preserve">. </w:t>
      </w:r>
      <w:r w:rsidRPr="006E6DCA">
        <w:t>PECO framework for the review</w:t>
      </w:r>
      <w:bookmarkEnd w:id="157"/>
    </w:p>
    <w:tbl>
      <w:tblPr>
        <w:tblStyle w:val="TableGrid"/>
        <w:tblW w:w="9016" w:type="dxa"/>
        <w:jc w:val="center"/>
        <w:tblLayout w:type="fixed"/>
        <w:tblCellMar>
          <w:top w:w="80" w:type="dxa"/>
          <w:left w:w="90" w:type="dxa"/>
          <w:bottom w:w="80" w:type="dxa"/>
          <w:right w:w="90" w:type="dxa"/>
        </w:tblCellMar>
        <w:tblLook w:val="04A0"/>
      </w:tblPr>
      <w:tblGrid>
        <w:gridCol w:w="2079"/>
        <w:gridCol w:w="6937"/>
      </w:tblGrid>
      <w:tr w:rsidR="001D1FD6">
        <w:trPr>
          <w:tblHeader/>
          <w:jc w:val="center"/>
        </w:trPr>
        <w:tc>
          <w:tcPr>
            <w:tcW w:w="2079" w:type="dxa"/>
            <w:shd w:val="clear" w:color="auto" w:fill="D9EAF7"/>
            <w:vAlign w:val="center"/>
          </w:tcPr>
          <w:p w:rsidR="001D1FD6" w:rsidRDefault="0012332F">
            <w:pPr>
              <w:jc w:val="left"/>
              <w:rPr>
                <w:szCs w:val="28"/>
              </w:rPr>
            </w:pPr>
            <w:r>
              <w:rPr>
                <w:b/>
                <w:szCs w:val="28"/>
              </w:rPr>
              <w:t>PECO element</w:t>
            </w:r>
          </w:p>
        </w:tc>
        <w:tc>
          <w:tcPr>
            <w:tcW w:w="6936" w:type="dxa"/>
            <w:shd w:val="clear" w:color="auto" w:fill="D9EAF7"/>
            <w:vAlign w:val="center"/>
          </w:tcPr>
          <w:p w:rsidR="001D1FD6" w:rsidRDefault="0012332F">
            <w:pPr>
              <w:jc w:val="left"/>
              <w:rPr>
                <w:szCs w:val="28"/>
              </w:rPr>
            </w:pPr>
            <w:r>
              <w:rPr>
                <w:b/>
                <w:szCs w:val="28"/>
              </w:rPr>
              <w:t>Application to this review</w:t>
            </w:r>
          </w:p>
        </w:tc>
      </w:tr>
      <w:tr w:rsidR="001D1FD6">
        <w:trPr>
          <w:jc w:val="center"/>
        </w:trPr>
        <w:tc>
          <w:tcPr>
            <w:tcW w:w="2079" w:type="dxa"/>
            <w:vAlign w:val="center"/>
          </w:tcPr>
          <w:p w:rsidR="001D1FD6" w:rsidRDefault="0012332F">
            <w:pPr>
              <w:jc w:val="left"/>
              <w:rPr>
                <w:szCs w:val="28"/>
              </w:rPr>
            </w:pPr>
            <w:r>
              <w:rPr>
                <w:szCs w:val="28"/>
              </w:rPr>
              <w:t>Population</w:t>
            </w:r>
          </w:p>
        </w:tc>
        <w:tc>
          <w:tcPr>
            <w:tcW w:w="6936" w:type="dxa"/>
            <w:vAlign w:val="center"/>
          </w:tcPr>
          <w:p w:rsidR="001D1FD6" w:rsidRDefault="0012332F">
            <w:pPr>
              <w:jc w:val="left"/>
              <w:rPr>
                <w:szCs w:val="28"/>
              </w:rPr>
            </w:pPr>
            <w:r>
              <w:rPr>
                <w:szCs w:val="28"/>
              </w:rPr>
              <w:t>Adults aged 18 years and above living in the United Kingdom who smoke or are trying to stop smoking.</w:t>
            </w:r>
          </w:p>
        </w:tc>
      </w:tr>
      <w:tr w:rsidR="001D1FD6">
        <w:trPr>
          <w:jc w:val="center"/>
        </w:trPr>
        <w:tc>
          <w:tcPr>
            <w:tcW w:w="2079" w:type="dxa"/>
            <w:vAlign w:val="center"/>
          </w:tcPr>
          <w:p w:rsidR="001D1FD6" w:rsidRDefault="0012332F">
            <w:pPr>
              <w:jc w:val="left"/>
              <w:rPr>
                <w:szCs w:val="28"/>
              </w:rPr>
            </w:pPr>
            <w:r>
              <w:rPr>
                <w:szCs w:val="28"/>
              </w:rPr>
              <w:t>Exposure</w:t>
            </w:r>
          </w:p>
        </w:tc>
        <w:tc>
          <w:tcPr>
            <w:tcW w:w="6936" w:type="dxa"/>
            <w:vAlign w:val="center"/>
          </w:tcPr>
          <w:p w:rsidR="001D1FD6" w:rsidRDefault="0012332F">
            <w:pPr>
              <w:jc w:val="left"/>
              <w:rPr>
                <w:szCs w:val="28"/>
              </w:rPr>
            </w:pPr>
            <w:r>
              <w:rPr>
                <w:szCs w:val="28"/>
              </w:rPr>
              <w:t>Engagement with smoking cessation support, including referral uptake, attendance, adherence, retention, completion, follow-up or continued contact.</w:t>
            </w:r>
          </w:p>
        </w:tc>
      </w:tr>
      <w:tr w:rsidR="001D1FD6">
        <w:trPr>
          <w:jc w:val="center"/>
        </w:trPr>
        <w:tc>
          <w:tcPr>
            <w:tcW w:w="2079" w:type="dxa"/>
            <w:vAlign w:val="center"/>
          </w:tcPr>
          <w:p w:rsidR="001D1FD6" w:rsidRDefault="0012332F">
            <w:pPr>
              <w:jc w:val="left"/>
              <w:rPr>
                <w:szCs w:val="28"/>
              </w:rPr>
            </w:pPr>
            <w:r>
              <w:rPr>
                <w:szCs w:val="28"/>
              </w:rPr>
              <w:t>Comparison</w:t>
            </w:r>
          </w:p>
        </w:tc>
        <w:tc>
          <w:tcPr>
            <w:tcW w:w="6936" w:type="dxa"/>
            <w:vAlign w:val="center"/>
          </w:tcPr>
          <w:p w:rsidR="001D1FD6" w:rsidRDefault="0012332F">
            <w:pPr>
              <w:jc w:val="left"/>
              <w:rPr>
                <w:szCs w:val="28"/>
              </w:rPr>
            </w:pPr>
            <w:r>
              <w:rPr>
                <w:szCs w:val="28"/>
              </w:rPr>
              <w:t>Lower engagement, no engagement, limited attendance, non-completion or different levels and forms of engagement where reported.</w:t>
            </w:r>
          </w:p>
        </w:tc>
      </w:tr>
      <w:tr w:rsidR="001D1FD6">
        <w:trPr>
          <w:jc w:val="center"/>
        </w:trPr>
        <w:tc>
          <w:tcPr>
            <w:tcW w:w="2079" w:type="dxa"/>
            <w:vAlign w:val="center"/>
          </w:tcPr>
          <w:p w:rsidR="001D1FD6" w:rsidRDefault="0012332F">
            <w:pPr>
              <w:jc w:val="left"/>
              <w:rPr>
                <w:szCs w:val="28"/>
              </w:rPr>
            </w:pPr>
            <w:r>
              <w:rPr>
                <w:szCs w:val="28"/>
              </w:rPr>
              <w:t>Outcome</w:t>
            </w:r>
          </w:p>
        </w:tc>
        <w:tc>
          <w:tcPr>
            <w:tcW w:w="6936" w:type="dxa"/>
            <w:vAlign w:val="center"/>
          </w:tcPr>
          <w:p w:rsidR="001D1FD6" w:rsidRDefault="0012332F">
            <w:pPr>
              <w:jc w:val="left"/>
              <w:rPr>
                <w:szCs w:val="28"/>
              </w:rPr>
            </w:pPr>
            <w:r>
              <w:rPr>
                <w:szCs w:val="28"/>
              </w:rPr>
              <w:t>Quit success, abstinence, relapse, quit attempts or reported changes in smoking behaviour.</w:t>
            </w:r>
          </w:p>
        </w:tc>
      </w:tr>
    </w:tbl>
    <w:p w:rsidR="001D1FD6" w:rsidRDefault="0012332F">
      <w:pPr>
        <w:pStyle w:val="Heading2"/>
      </w:pPr>
      <w:bookmarkStart w:id="158" w:name="_Toc238559668"/>
      <w:bookmarkStart w:id="159" w:name="_Toc238262505"/>
      <w:bookmarkStart w:id="160" w:name="_Toc238725402"/>
      <w:bookmarkStart w:id="161" w:name="_Toc238725520"/>
      <w:r>
        <w:rPr>
          <w:rFonts w:eastAsia="Times New Roman"/>
        </w:rPr>
        <w:t>Keywords</w:t>
      </w:r>
      <w:bookmarkEnd w:id="158"/>
      <w:bookmarkEnd w:id="159"/>
      <w:bookmarkEnd w:id="160"/>
      <w:bookmarkEnd w:id="161"/>
    </w:p>
    <w:p w:rsidR="001D1FD6" w:rsidRDefault="0012332F">
      <w:pPr>
        <w:pStyle w:val="Heading3"/>
        <w:numPr>
          <w:ilvl w:val="2"/>
          <w:numId w:val="12"/>
        </w:numPr>
      </w:pPr>
      <w:bookmarkStart w:id="162" w:name="_Toc238559669"/>
      <w:bookmarkStart w:id="163" w:name="_Toc238262506"/>
      <w:bookmarkStart w:id="164" w:name="_Toc238725403"/>
      <w:bookmarkStart w:id="165" w:name="_Toc238725521"/>
      <w:r>
        <w:rPr>
          <w:rFonts w:eastAsia="Times New Roman"/>
        </w:rPr>
        <w:t>Importance of Keywords</w:t>
      </w:r>
      <w:bookmarkEnd w:id="162"/>
      <w:bookmarkEnd w:id="163"/>
      <w:bookmarkEnd w:id="164"/>
      <w:bookmarkEnd w:id="165"/>
    </w:p>
    <w:p w:rsidR="001D1FD6" w:rsidRDefault="0012332F">
      <w:r>
        <w:t>Grouped keywords linked the research question to each information source and were adapted to platform functions while retaining the same conceptual meaning.</w:t>
      </w:r>
    </w:p>
    <w:p w:rsidR="00F93449" w:rsidRDefault="00F93449" w:rsidP="00F93449">
      <w:pPr>
        <w:pStyle w:val="Caption"/>
        <w:keepNext/>
      </w:pPr>
      <w:bookmarkStart w:id="166" w:name="_Toc238725587"/>
      <w:r>
        <w:lastRenderedPageBreak/>
        <w:t xml:space="preserve">Table </w:t>
      </w:r>
      <w:r w:rsidR="00AD1081">
        <w:fldChar w:fldCharType="begin"/>
      </w:r>
      <w:r>
        <w:instrText xml:space="preserve"> STYLEREF 1 \s </w:instrText>
      </w:r>
      <w:r w:rsidR="00AD1081">
        <w:fldChar w:fldCharType="separate"/>
      </w:r>
      <w:r>
        <w:rPr>
          <w:noProof/>
        </w:rPr>
        <w:t>3</w:t>
      </w:r>
      <w:r w:rsidR="00AD1081">
        <w:fldChar w:fldCharType="end"/>
      </w:r>
      <w:r>
        <w:t>.</w:t>
      </w:r>
      <w:r w:rsidR="00AD1081">
        <w:fldChar w:fldCharType="begin"/>
      </w:r>
      <w:r>
        <w:instrText xml:space="preserve"> SEQ Table \* ARABIC \s 1 </w:instrText>
      </w:r>
      <w:r w:rsidR="00AD1081">
        <w:fldChar w:fldCharType="separate"/>
      </w:r>
      <w:r>
        <w:rPr>
          <w:noProof/>
        </w:rPr>
        <w:t>3</w:t>
      </w:r>
      <w:r w:rsidR="00AD1081">
        <w:fldChar w:fldCharType="end"/>
      </w:r>
      <w:r>
        <w:t xml:space="preserve">. </w:t>
      </w:r>
      <w:r w:rsidRPr="00ED2AD6">
        <w:t>Keyword groups</w:t>
      </w:r>
      <w:bookmarkEnd w:id="166"/>
    </w:p>
    <w:tbl>
      <w:tblPr>
        <w:tblStyle w:val="TableGrid"/>
        <w:tblW w:w="9016" w:type="dxa"/>
        <w:jc w:val="center"/>
        <w:tblLayout w:type="fixed"/>
        <w:tblCellMar>
          <w:top w:w="80" w:type="dxa"/>
          <w:left w:w="90" w:type="dxa"/>
          <w:bottom w:w="80" w:type="dxa"/>
          <w:right w:w="90" w:type="dxa"/>
        </w:tblCellMar>
        <w:tblLook w:val="04A0"/>
      </w:tblPr>
      <w:tblGrid>
        <w:gridCol w:w="2365"/>
        <w:gridCol w:w="6651"/>
      </w:tblGrid>
      <w:tr w:rsidR="001D1FD6">
        <w:trPr>
          <w:tblHeader/>
          <w:jc w:val="center"/>
        </w:trPr>
        <w:tc>
          <w:tcPr>
            <w:tcW w:w="2365" w:type="dxa"/>
            <w:shd w:val="clear" w:color="auto" w:fill="D9EAF7"/>
            <w:vAlign w:val="center"/>
          </w:tcPr>
          <w:p w:rsidR="001D1FD6" w:rsidRDefault="0012332F">
            <w:pPr>
              <w:jc w:val="left"/>
              <w:rPr>
                <w:szCs w:val="28"/>
              </w:rPr>
            </w:pPr>
            <w:r>
              <w:rPr>
                <w:b/>
                <w:szCs w:val="28"/>
              </w:rPr>
              <w:t>Concept</w:t>
            </w:r>
          </w:p>
        </w:tc>
        <w:tc>
          <w:tcPr>
            <w:tcW w:w="6650" w:type="dxa"/>
            <w:shd w:val="clear" w:color="auto" w:fill="D9EAF7"/>
            <w:vAlign w:val="center"/>
          </w:tcPr>
          <w:p w:rsidR="001D1FD6" w:rsidRDefault="0012332F">
            <w:pPr>
              <w:jc w:val="left"/>
              <w:rPr>
                <w:szCs w:val="28"/>
              </w:rPr>
            </w:pPr>
            <w:r>
              <w:rPr>
                <w:b/>
                <w:szCs w:val="28"/>
              </w:rPr>
              <w:t>Illustrative keywords</w:t>
            </w:r>
          </w:p>
        </w:tc>
      </w:tr>
      <w:tr w:rsidR="001D1FD6">
        <w:trPr>
          <w:jc w:val="center"/>
        </w:trPr>
        <w:tc>
          <w:tcPr>
            <w:tcW w:w="2365" w:type="dxa"/>
            <w:vAlign w:val="center"/>
          </w:tcPr>
          <w:p w:rsidR="001D1FD6" w:rsidRDefault="0012332F">
            <w:pPr>
              <w:jc w:val="left"/>
              <w:rPr>
                <w:szCs w:val="28"/>
              </w:rPr>
            </w:pPr>
            <w:r>
              <w:rPr>
                <w:szCs w:val="28"/>
              </w:rPr>
              <w:t>Smoking cessation support</w:t>
            </w:r>
          </w:p>
        </w:tc>
        <w:tc>
          <w:tcPr>
            <w:tcW w:w="6650" w:type="dxa"/>
            <w:vAlign w:val="center"/>
          </w:tcPr>
          <w:p w:rsidR="001D1FD6" w:rsidRDefault="0012332F">
            <w:pPr>
              <w:jc w:val="left"/>
              <w:rPr>
                <w:szCs w:val="28"/>
              </w:rPr>
            </w:pPr>
            <w:r>
              <w:rPr>
                <w:szCs w:val="28"/>
              </w:rPr>
              <w:t>“smoking cessation”, “stop smoking service*”, “tobacco dependence treatment”, “cessation support”</w:t>
            </w:r>
          </w:p>
        </w:tc>
      </w:tr>
      <w:tr w:rsidR="001D1FD6">
        <w:trPr>
          <w:jc w:val="center"/>
        </w:trPr>
        <w:tc>
          <w:tcPr>
            <w:tcW w:w="2365" w:type="dxa"/>
            <w:vAlign w:val="center"/>
          </w:tcPr>
          <w:p w:rsidR="001D1FD6" w:rsidRDefault="0012332F">
            <w:pPr>
              <w:jc w:val="left"/>
              <w:rPr>
                <w:szCs w:val="28"/>
              </w:rPr>
            </w:pPr>
            <w:r>
              <w:rPr>
                <w:szCs w:val="28"/>
              </w:rPr>
              <w:t>Engagement</w:t>
            </w:r>
          </w:p>
        </w:tc>
        <w:tc>
          <w:tcPr>
            <w:tcW w:w="6650" w:type="dxa"/>
            <w:vAlign w:val="center"/>
          </w:tcPr>
          <w:p w:rsidR="001D1FD6" w:rsidRDefault="0012332F">
            <w:pPr>
              <w:jc w:val="left"/>
              <w:rPr>
                <w:szCs w:val="28"/>
              </w:rPr>
            </w:pPr>
            <w:r>
              <w:rPr>
                <w:szCs w:val="28"/>
              </w:rPr>
              <w:t>engagement, attendance, adherence, retention, completion, uptake, referral, follow-up, “continued contact”</w:t>
            </w:r>
          </w:p>
        </w:tc>
      </w:tr>
      <w:tr w:rsidR="001D1FD6">
        <w:trPr>
          <w:jc w:val="center"/>
        </w:trPr>
        <w:tc>
          <w:tcPr>
            <w:tcW w:w="2365" w:type="dxa"/>
            <w:vAlign w:val="center"/>
          </w:tcPr>
          <w:p w:rsidR="001D1FD6" w:rsidRDefault="0012332F">
            <w:pPr>
              <w:jc w:val="left"/>
              <w:rPr>
                <w:szCs w:val="28"/>
              </w:rPr>
            </w:pPr>
            <w:r>
              <w:rPr>
                <w:szCs w:val="28"/>
              </w:rPr>
              <w:t>Quit-related outcomes</w:t>
            </w:r>
          </w:p>
        </w:tc>
        <w:tc>
          <w:tcPr>
            <w:tcW w:w="6650" w:type="dxa"/>
            <w:vAlign w:val="center"/>
          </w:tcPr>
          <w:p w:rsidR="001D1FD6" w:rsidRDefault="0012332F">
            <w:pPr>
              <w:jc w:val="left"/>
              <w:rPr>
                <w:szCs w:val="28"/>
              </w:rPr>
            </w:pPr>
            <w:r>
              <w:rPr>
                <w:szCs w:val="28"/>
              </w:rPr>
              <w:t>“quit success”, abstinence, relapse, quitting, “quit attempt*”, “smoking behaviour”</w:t>
            </w:r>
          </w:p>
        </w:tc>
      </w:tr>
      <w:tr w:rsidR="001D1FD6">
        <w:trPr>
          <w:jc w:val="center"/>
        </w:trPr>
        <w:tc>
          <w:tcPr>
            <w:tcW w:w="2365" w:type="dxa"/>
            <w:vAlign w:val="center"/>
          </w:tcPr>
          <w:p w:rsidR="001D1FD6" w:rsidRDefault="0012332F">
            <w:pPr>
              <w:jc w:val="left"/>
              <w:rPr>
                <w:szCs w:val="28"/>
              </w:rPr>
            </w:pPr>
            <w:r>
              <w:rPr>
                <w:szCs w:val="28"/>
              </w:rPr>
              <w:t>Population and location</w:t>
            </w:r>
          </w:p>
        </w:tc>
        <w:tc>
          <w:tcPr>
            <w:tcW w:w="6650" w:type="dxa"/>
            <w:vAlign w:val="center"/>
          </w:tcPr>
          <w:p w:rsidR="001D1FD6" w:rsidRDefault="0012332F">
            <w:pPr>
              <w:jc w:val="left"/>
              <w:rPr>
                <w:szCs w:val="28"/>
              </w:rPr>
            </w:pPr>
            <w:r>
              <w:rPr>
                <w:szCs w:val="28"/>
              </w:rPr>
              <w:t>adult*, “United Kingdom”, UK, England, Scotland, Wales, “Northern Ireland”</w:t>
            </w:r>
          </w:p>
        </w:tc>
      </w:tr>
    </w:tbl>
    <w:p w:rsidR="001D1FD6" w:rsidRDefault="0012332F">
      <w:pPr>
        <w:pStyle w:val="Heading2"/>
      </w:pPr>
      <w:bookmarkStart w:id="167" w:name="_Toc238725404"/>
      <w:bookmarkStart w:id="168" w:name="_Toc238725522"/>
      <w:r>
        <w:t>Information Sources</w:t>
      </w:r>
      <w:bookmarkEnd w:id="167"/>
      <w:bookmarkEnd w:id="168"/>
    </w:p>
    <w:p w:rsidR="001D1FD6" w:rsidRDefault="0012332F">
      <w:pPr>
        <w:pStyle w:val="Heading3"/>
        <w:numPr>
          <w:ilvl w:val="2"/>
          <w:numId w:val="13"/>
        </w:numPr>
      </w:pPr>
      <w:bookmarkStart w:id="169" w:name="_Toc238559671"/>
      <w:bookmarkStart w:id="170" w:name="_Toc238262508"/>
      <w:bookmarkStart w:id="171" w:name="_Toc238725405"/>
      <w:bookmarkStart w:id="172" w:name="_Toc238725523"/>
      <w:r>
        <w:rPr>
          <w:rFonts w:eastAsia="Times New Roman"/>
        </w:rPr>
        <w:t>Search Process</w:t>
      </w:r>
      <w:bookmarkEnd w:id="169"/>
      <w:bookmarkEnd w:id="170"/>
      <w:bookmarkEnd w:id="171"/>
      <w:bookmarkEnd w:id="172"/>
    </w:p>
    <w:p w:rsidR="001D1FD6" w:rsidRDefault="0012332F">
      <w:r>
        <w:t>Searches were conducted in PubMed and ScienceDirect, with Google Scholar used as a supplementary academic search engine. The same PECO concepts were applied across the three information sources, with syntax and filters adapted to platform functions.</w:t>
      </w:r>
    </w:p>
    <w:p w:rsidR="001D1FD6" w:rsidRDefault="0012332F">
      <w:r>
        <w:t>The retained core string combined smoking cessation terms with engagement, quit-outcome and UK terms. It was adapted across PubMed, ScienceDirect and Google Scholar, with English language, UK relevance, adult population and the 2007-2026 period applied during screening. Aggregate flow counts were retained; source-specific search dates, retrieval totals and exact adapted strings were not retained and are therefore not presented as known. Reference lists of included studies were used only as a supplementary check.</w:t>
      </w:r>
    </w:p>
    <w:p w:rsidR="001D1FD6" w:rsidRDefault="0012332F">
      <w:pPr>
        <w:pStyle w:val="Heading2"/>
      </w:pPr>
      <w:bookmarkStart w:id="173" w:name="_Toc238559672"/>
      <w:bookmarkStart w:id="174" w:name="_Toc238262509"/>
      <w:bookmarkStart w:id="175" w:name="_Toc238725406"/>
      <w:bookmarkStart w:id="176" w:name="_Toc238725524"/>
      <w:r>
        <w:rPr>
          <w:rFonts w:eastAsia="Times New Roman"/>
        </w:rPr>
        <w:t>Inclusion and Exclusion Criteria</w:t>
      </w:r>
      <w:bookmarkEnd w:id="173"/>
      <w:bookmarkEnd w:id="174"/>
      <w:bookmarkEnd w:id="175"/>
      <w:bookmarkEnd w:id="176"/>
    </w:p>
    <w:p w:rsidR="001D1FD6" w:rsidRDefault="0012332F">
      <w:r>
        <w:t>Eligibility criteria were applied consistently during title and abstract screening and full-text assessment. The criteria retained primary empirical studies that provided qualitative, quantitative or mixed-methods evidence relevant to engagement with smoking cessation support and quit-related outcomes among UK adults. Reviews, policy documents, editorials, commentaries and protocols could inform background discussion but were not treated as primary review data.</w:t>
      </w:r>
    </w:p>
    <w:p w:rsidR="00F93449" w:rsidRDefault="00F93449" w:rsidP="00F93449">
      <w:pPr>
        <w:pStyle w:val="Caption"/>
        <w:keepNext/>
      </w:pPr>
      <w:bookmarkStart w:id="177" w:name="_Toc238725588"/>
      <w:r>
        <w:lastRenderedPageBreak/>
        <w:t xml:space="preserve">Table </w:t>
      </w:r>
      <w:r w:rsidR="00AD1081">
        <w:fldChar w:fldCharType="begin"/>
      </w:r>
      <w:r>
        <w:instrText xml:space="preserve"> STYLEREF 1 \s </w:instrText>
      </w:r>
      <w:r w:rsidR="00AD1081">
        <w:fldChar w:fldCharType="separate"/>
      </w:r>
      <w:r>
        <w:rPr>
          <w:noProof/>
        </w:rPr>
        <w:t>3</w:t>
      </w:r>
      <w:r w:rsidR="00AD1081">
        <w:fldChar w:fldCharType="end"/>
      </w:r>
      <w:r>
        <w:t>.</w:t>
      </w:r>
      <w:r w:rsidR="00AD1081">
        <w:fldChar w:fldCharType="begin"/>
      </w:r>
      <w:r>
        <w:instrText xml:space="preserve"> SEQ Table \* ARABIC \s 1 </w:instrText>
      </w:r>
      <w:r w:rsidR="00AD1081">
        <w:fldChar w:fldCharType="separate"/>
      </w:r>
      <w:r>
        <w:rPr>
          <w:noProof/>
        </w:rPr>
        <w:t>4</w:t>
      </w:r>
      <w:r w:rsidR="00AD1081">
        <w:fldChar w:fldCharType="end"/>
      </w:r>
      <w:r>
        <w:t xml:space="preserve">. </w:t>
      </w:r>
      <w:r w:rsidRPr="005D2947">
        <w:t>Inclusion and exclusion criteria</w:t>
      </w:r>
      <w:bookmarkEnd w:id="177"/>
    </w:p>
    <w:tbl>
      <w:tblPr>
        <w:tblStyle w:val="TableGrid"/>
        <w:tblW w:w="9016" w:type="dxa"/>
        <w:jc w:val="center"/>
        <w:tblLayout w:type="fixed"/>
        <w:tblCellMar>
          <w:top w:w="80" w:type="dxa"/>
          <w:left w:w="90" w:type="dxa"/>
          <w:bottom w:w="80" w:type="dxa"/>
          <w:right w:w="90" w:type="dxa"/>
        </w:tblCellMar>
        <w:tblLook w:val="04A0"/>
      </w:tblPr>
      <w:tblGrid>
        <w:gridCol w:w="4507"/>
        <w:gridCol w:w="4509"/>
      </w:tblGrid>
      <w:tr w:rsidR="001D1FD6" w:rsidRPr="00F93449">
        <w:trPr>
          <w:tblHeader/>
          <w:jc w:val="center"/>
        </w:trPr>
        <w:tc>
          <w:tcPr>
            <w:tcW w:w="4507" w:type="dxa"/>
            <w:shd w:val="clear" w:color="auto" w:fill="D9EAF7"/>
            <w:vAlign w:val="center"/>
          </w:tcPr>
          <w:p w:rsidR="001D1FD6" w:rsidRPr="00F93449" w:rsidRDefault="0012332F" w:rsidP="00F93449">
            <w:pPr>
              <w:jc w:val="left"/>
              <w:rPr>
                <w:sz w:val="24"/>
                <w:szCs w:val="36"/>
              </w:rPr>
            </w:pPr>
            <w:r w:rsidRPr="00F93449">
              <w:rPr>
                <w:b/>
                <w:sz w:val="24"/>
                <w:szCs w:val="36"/>
              </w:rPr>
              <w:t>Inclusion criteria</w:t>
            </w:r>
          </w:p>
        </w:tc>
        <w:tc>
          <w:tcPr>
            <w:tcW w:w="4508" w:type="dxa"/>
            <w:shd w:val="clear" w:color="auto" w:fill="D9EAF7"/>
            <w:vAlign w:val="center"/>
          </w:tcPr>
          <w:p w:rsidR="001D1FD6" w:rsidRPr="00F93449" w:rsidRDefault="0012332F" w:rsidP="00F93449">
            <w:pPr>
              <w:jc w:val="left"/>
              <w:rPr>
                <w:sz w:val="24"/>
                <w:szCs w:val="36"/>
              </w:rPr>
            </w:pPr>
            <w:r w:rsidRPr="00F93449">
              <w:rPr>
                <w:b/>
                <w:sz w:val="24"/>
                <w:szCs w:val="36"/>
              </w:rPr>
              <w:t>Exclusion criteria</w:t>
            </w:r>
          </w:p>
        </w:tc>
      </w:tr>
      <w:tr w:rsidR="001D1FD6" w:rsidRPr="00F93449">
        <w:trPr>
          <w:jc w:val="center"/>
        </w:trPr>
        <w:tc>
          <w:tcPr>
            <w:tcW w:w="4507" w:type="dxa"/>
            <w:vAlign w:val="center"/>
          </w:tcPr>
          <w:p w:rsidR="001D1FD6" w:rsidRPr="00F93449" w:rsidRDefault="0012332F" w:rsidP="00F93449">
            <w:pPr>
              <w:jc w:val="left"/>
              <w:rPr>
                <w:sz w:val="24"/>
                <w:szCs w:val="36"/>
              </w:rPr>
            </w:pPr>
            <w:r w:rsidRPr="00F93449">
              <w:rPr>
                <w:sz w:val="24"/>
                <w:szCs w:val="36"/>
              </w:rPr>
              <w:t>Published in English.</w:t>
            </w:r>
          </w:p>
        </w:tc>
        <w:tc>
          <w:tcPr>
            <w:tcW w:w="4508" w:type="dxa"/>
            <w:vAlign w:val="center"/>
          </w:tcPr>
          <w:p w:rsidR="001D1FD6" w:rsidRPr="00F93449" w:rsidRDefault="0012332F" w:rsidP="00F93449">
            <w:pPr>
              <w:jc w:val="left"/>
              <w:rPr>
                <w:sz w:val="24"/>
                <w:szCs w:val="36"/>
              </w:rPr>
            </w:pPr>
            <w:r w:rsidRPr="00F93449">
              <w:rPr>
                <w:sz w:val="24"/>
                <w:szCs w:val="36"/>
              </w:rPr>
              <w:t>Published in a language other than English.</w:t>
            </w:r>
          </w:p>
        </w:tc>
      </w:tr>
      <w:tr w:rsidR="001D1FD6" w:rsidRPr="00F93449">
        <w:trPr>
          <w:jc w:val="center"/>
        </w:trPr>
        <w:tc>
          <w:tcPr>
            <w:tcW w:w="4507" w:type="dxa"/>
            <w:vAlign w:val="center"/>
          </w:tcPr>
          <w:p w:rsidR="001D1FD6" w:rsidRPr="00F93449" w:rsidRDefault="0012332F" w:rsidP="00F93449">
            <w:pPr>
              <w:rPr>
                <w:sz w:val="24"/>
                <w:szCs w:val="36"/>
              </w:rPr>
            </w:pPr>
            <w:r w:rsidRPr="00F93449">
              <w:rPr>
                <w:sz w:val="24"/>
                <w:szCs w:val="36"/>
              </w:rPr>
              <w:t>Published between 2007 and 2026, inclusive.</w:t>
            </w:r>
          </w:p>
        </w:tc>
        <w:tc>
          <w:tcPr>
            <w:tcW w:w="4508" w:type="dxa"/>
            <w:vAlign w:val="center"/>
          </w:tcPr>
          <w:p w:rsidR="001D1FD6" w:rsidRPr="00F93449" w:rsidRDefault="0012332F" w:rsidP="00F93449">
            <w:pPr>
              <w:rPr>
                <w:sz w:val="24"/>
                <w:szCs w:val="36"/>
              </w:rPr>
            </w:pPr>
            <w:r w:rsidRPr="00F93449">
              <w:rPr>
                <w:sz w:val="24"/>
                <w:szCs w:val="36"/>
              </w:rPr>
              <w:t>Published before 2007 or after 2026.</w:t>
            </w:r>
          </w:p>
        </w:tc>
      </w:tr>
      <w:tr w:rsidR="001D1FD6" w:rsidRPr="00F93449">
        <w:trPr>
          <w:jc w:val="center"/>
        </w:trPr>
        <w:tc>
          <w:tcPr>
            <w:tcW w:w="4507" w:type="dxa"/>
            <w:vAlign w:val="center"/>
          </w:tcPr>
          <w:p w:rsidR="001D1FD6" w:rsidRPr="00F93449" w:rsidRDefault="0012332F" w:rsidP="00F93449">
            <w:pPr>
              <w:jc w:val="left"/>
              <w:rPr>
                <w:sz w:val="24"/>
                <w:szCs w:val="36"/>
              </w:rPr>
            </w:pPr>
            <w:r w:rsidRPr="00F93449">
              <w:rPr>
                <w:sz w:val="24"/>
                <w:szCs w:val="36"/>
              </w:rPr>
              <w:t>Adults aged 18 years or above living in the United Kingdom.</w:t>
            </w:r>
          </w:p>
        </w:tc>
        <w:tc>
          <w:tcPr>
            <w:tcW w:w="4508" w:type="dxa"/>
            <w:vAlign w:val="center"/>
          </w:tcPr>
          <w:p w:rsidR="001D1FD6" w:rsidRPr="00F93449" w:rsidRDefault="0012332F" w:rsidP="00F93449">
            <w:pPr>
              <w:jc w:val="left"/>
              <w:rPr>
                <w:sz w:val="24"/>
                <w:szCs w:val="36"/>
              </w:rPr>
            </w:pPr>
            <w:r w:rsidRPr="00F93449">
              <w:rPr>
                <w:sz w:val="24"/>
                <w:szCs w:val="36"/>
              </w:rPr>
              <w:t>Studies focused only on children, adolescents or participants under 18.</w:t>
            </w:r>
          </w:p>
        </w:tc>
      </w:tr>
      <w:tr w:rsidR="001D1FD6" w:rsidRPr="00F93449">
        <w:trPr>
          <w:jc w:val="center"/>
        </w:trPr>
        <w:tc>
          <w:tcPr>
            <w:tcW w:w="4507" w:type="dxa"/>
            <w:vAlign w:val="center"/>
          </w:tcPr>
          <w:p w:rsidR="001D1FD6" w:rsidRPr="00F93449" w:rsidRDefault="0012332F" w:rsidP="00F93449">
            <w:pPr>
              <w:jc w:val="left"/>
              <w:rPr>
                <w:sz w:val="24"/>
                <w:szCs w:val="36"/>
              </w:rPr>
            </w:pPr>
            <w:r w:rsidRPr="00F93449">
              <w:rPr>
                <w:sz w:val="24"/>
                <w:szCs w:val="36"/>
              </w:rPr>
              <w:t>UK-only studies or wider studies reporting separate UK findings.</w:t>
            </w:r>
          </w:p>
        </w:tc>
        <w:tc>
          <w:tcPr>
            <w:tcW w:w="4508" w:type="dxa"/>
            <w:vAlign w:val="center"/>
          </w:tcPr>
          <w:p w:rsidR="001D1FD6" w:rsidRPr="00F93449" w:rsidRDefault="0012332F" w:rsidP="00F93449">
            <w:pPr>
              <w:jc w:val="left"/>
              <w:rPr>
                <w:sz w:val="24"/>
                <w:szCs w:val="36"/>
              </w:rPr>
            </w:pPr>
            <w:r w:rsidRPr="00F93449">
              <w:rPr>
                <w:sz w:val="24"/>
                <w:szCs w:val="36"/>
              </w:rPr>
              <w:t>Non-UK studies without separately reported UK evidence.</w:t>
            </w:r>
          </w:p>
        </w:tc>
      </w:tr>
      <w:tr w:rsidR="001D1FD6" w:rsidRPr="00F93449">
        <w:trPr>
          <w:jc w:val="center"/>
        </w:trPr>
        <w:tc>
          <w:tcPr>
            <w:tcW w:w="4507" w:type="dxa"/>
            <w:vAlign w:val="center"/>
          </w:tcPr>
          <w:p w:rsidR="001D1FD6" w:rsidRPr="00F93449" w:rsidRDefault="0012332F" w:rsidP="00F93449">
            <w:pPr>
              <w:rPr>
                <w:sz w:val="24"/>
                <w:szCs w:val="36"/>
              </w:rPr>
            </w:pPr>
            <w:r w:rsidRPr="00F93449">
              <w:rPr>
                <w:sz w:val="24"/>
                <w:szCs w:val="36"/>
              </w:rPr>
              <w:t>Primary qualitative, quantitative or mixed-methods empirical studies relevant to the review question.</w:t>
            </w:r>
          </w:p>
        </w:tc>
        <w:tc>
          <w:tcPr>
            <w:tcW w:w="4508" w:type="dxa"/>
            <w:vAlign w:val="center"/>
          </w:tcPr>
          <w:p w:rsidR="001D1FD6" w:rsidRPr="00F93449" w:rsidRDefault="0012332F" w:rsidP="00F93449">
            <w:pPr>
              <w:rPr>
                <w:sz w:val="24"/>
                <w:szCs w:val="36"/>
              </w:rPr>
            </w:pPr>
            <w:r w:rsidRPr="00F93449">
              <w:rPr>
                <w:sz w:val="24"/>
                <w:szCs w:val="36"/>
              </w:rPr>
              <w:t>Systematic reviews, narrative reviews, editorials, commentaries, protocols and other non-primary research as review data.</w:t>
            </w:r>
          </w:p>
        </w:tc>
      </w:tr>
      <w:tr w:rsidR="001D1FD6" w:rsidRPr="00F93449">
        <w:trPr>
          <w:jc w:val="center"/>
        </w:trPr>
        <w:tc>
          <w:tcPr>
            <w:tcW w:w="4507" w:type="dxa"/>
            <w:vAlign w:val="center"/>
          </w:tcPr>
          <w:p w:rsidR="001D1FD6" w:rsidRPr="00F93449" w:rsidRDefault="0012332F" w:rsidP="00F93449">
            <w:pPr>
              <w:rPr>
                <w:sz w:val="24"/>
                <w:szCs w:val="36"/>
              </w:rPr>
            </w:pPr>
            <w:r w:rsidRPr="00F93449">
              <w:rPr>
                <w:sz w:val="24"/>
                <w:szCs w:val="36"/>
              </w:rPr>
              <w:t>Focus on smoking cessation support and engagement, uptake, attendance, treatment use, adherence, retention, completion or follow-up.</w:t>
            </w:r>
          </w:p>
        </w:tc>
        <w:tc>
          <w:tcPr>
            <w:tcW w:w="4508" w:type="dxa"/>
            <w:vAlign w:val="center"/>
          </w:tcPr>
          <w:p w:rsidR="001D1FD6" w:rsidRPr="00F93449" w:rsidRDefault="0012332F" w:rsidP="00F93449">
            <w:pPr>
              <w:rPr>
                <w:sz w:val="24"/>
                <w:szCs w:val="36"/>
              </w:rPr>
            </w:pPr>
            <w:r w:rsidRPr="00F93449">
              <w:rPr>
                <w:sz w:val="24"/>
                <w:szCs w:val="36"/>
              </w:rPr>
              <w:t>No smoking cessation support component or no engagement-related findings.</w:t>
            </w:r>
          </w:p>
        </w:tc>
      </w:tr>
      <w:tr w:rsidR="001D1FD6" w:rsidRPr="00F93449">
        <w:trPr>
          <w:jc w:val="center"/>
        </w:trPr>
        <w:tc>
          <w:tcPr>
            <w:tcW w:w="4507" w:type="dxa"/>
            <w:vAlign w:val="center"/>
          </w:tcPr>
          <w:p w:rsidR="001D1FD6" w:rsidRPr="00F93449" w:rsidRDefault="0012332F" w:rsidP="00F93449">
            <w:pPr>
              <w:rPr>
                <w:sz w:val="24"/>
                <w:szCs w:val="36"/>
              </w:rPr>
            </w:pPr>
            <w:r w:rsidRPr="00F93449">
              <w:rPr>
                <w:sz w:val="24"/>
                <w:szCs w:val="36"/>
              </w:rPr>
              <w:t>Reports findings relevant to quitting, abstinence, relapse, quit attempts or changes in smoking behaviour.</w:t>
            </w:r>
          </w:p>
        </w:tc>
        <w:tc>
          <w:tcPr>
            <w:tcW w:w="4508" w:type="dxa"/>
            <w:vAlign w:val="center"/>
          </w:tcPr>
          <w:p w:rsidR="001D1FD6" w:rsidRPr="00F93449" w:rsidRDefault="0012332F" w:rsidP="00F93449">
            <w:pPr>
              <w:rPr>
                <w:sz w:val="24"/>
                <w:szCs w:val="36"/>
              </w:rPr>
            </w:pPr>
            <w:r w:rsidRPr="00F93449">
              <w:rPr>
                <w:sz w:val="24"/>
                <w:szCs w:val="36"/>
              </w:rPr>
              <w:t>No findings relevant to quitting or smoking-behaviour change.</w:t>
            </w:r>
          </w:p>
        </w:tc>
      </w:tr>
    </w:tbl>
    <w:p w:rsidR="001D1FD6" w:rsidRDefault="0012332F">
      <w:pPr>
        <w:pStyle w:val="Heading2"/>
      </w:pPr>
      <w:bookmarkStart w:id="178" w:name="_Toc238559673"/>
      <w:bookmarkStart w:id="179" w:name="_Toc238262510"/>
      <w:bookmarkStart w:id="180" w:name="_Toc238725407"/>
      <w:bookmarkStart w:id="181" w:name="_Toc238725525"/>
      <w:r>
        <w:rPr>
          <w:rFonts w:eastAsia="Times New Roman"/>
        </w:rPr>
        <w:t>Search Results</w:t>
      </w:r>
      <w:bookmarkEnd w:id="178"/>
      <w:bookmarkEnd w:id="179"/>
      <w:bookmarkEnd w:id="180"/>
      <w:bookmarkEnd w:id="181"/>
    </w:p>
    <w:p w:rsidR="001D1FD6" w:rsidRDefault="0012332F">
      <w:r>
        <w:t>The retained records documented 400 items across PubMed, ScienceDirect and Google Scholar. After 200 duplicates were removed, 200 titles and abstracts were screened and 150 excluded. Fifty reports were sought; ten were not retrieved, leaving 40 for full-text assessment. Thirty were excluded against eligibility criteria and ten primary studies were included. Source-specific retrieval totals were not retained.</w:t>
      </w:r>
    </w:p>
    <w:p w:rsidR="001D1FD6" w:rsidRDefault="0012332F">
      <w:pPr>
        <w:pStyle w:val="Heading3"/>
        <w:numPr>
          <w:ilvl w:val="2"/>
          <w:numId w:val="14"/>
        </w:numPr>
      </w:pPr>
      <w:bookmarkStart w:id="182" w:name="_Toc238559674"/>
      <w:bookmarkStart w:id="183" w:name="_Toc238725408"/>
      <w:bookmarkStart w:id="184" w:name="_Toc238725526"/>
      <w:r>
        <w:t>PRISMA Flow Diagram</w:t>
      </w:r>
      <w:bookmarkEnd w:id="182"/>
      <w:bookmarkEnd w:id="183"/>
      <w:bookmarkEnd w:id="184"/>
    </w:p>
    <w:p w:rsidR="001D1FD6" w:rsidRDefault="0012332F">
      <w:r>
        <w:t>The identification and selection process is presented in Figure 3.1 in accordance with PRISMA 2020 (Page et al., 2021).</w:t>
      </w:r>
    </w:p>
    <w:p w:rsidR="00F93449" w:rsidRDefault="0012332F" w:rsidP="00F93449">
      <w:pPr>
        <w:keepNext/>
        <w:jc w:val="center"/>
      </w:pPr>
      <w:r>
        <w:rPr>
          <w:noProof/>
        </w:rPr>
        <w:lastRenderedPageBreak/>
        <w:drawing>
          <wp:inline distT="0" distB="0" distL="0" distR="0">
            <wp:extent cx="5257800" cy="5629275"/>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2"/>
                    <pic:cNvPicPr>
                      <a:picLocks noChangeAspect="1" noChangeArrowheads="1"/>
                    </pic:cNvPicPr>
                  </pic:nvPicPr>
                  <pic:blipFill>
                    <a:blip r:embed="rId18"/>
                    <a:srcRect b="19703"/>
                    <a:stretch>
                      <a:fillRect/>
                    </a:stretch>
                  </pic:blipFill>
                  <pic:spPr bwMode="auto">
                    <a:xfrm>
                      <a:off x="0" y="0"/>
                      <a:ext cx="5257800" cy="5629275"/>
                    </a:xfrm>
                    <a:prstGeom prst="rect">
                      <a:avLst/>
                    </a:prstGeom>
                    <a:noFill/>
                  </pic:spPr>
                </pic:pic>
              </a:graphicData>
            </a:graphic>
          </wp:inline>
        </w:drawing>
      </w:r>
    </w:p>
    <w:p w:rsidR="001D1FD6" w:rsidRPr="00F93449" w:rsidRDefault="00F93449" w:rsidP="00F93449">
      <w:pPr>
        <w:pStyle w:val="Caption"/>
        <w:jc w:val="center"/>
        <w:rPr>
          <w:i/>
          <w:iCs w:val="0"/>
        </w:rPr>
      </w:pPr>
      <w:bookmarkStart w:id="185" w:name="_Toc238725611"/>
      <w:r w:rsidRPr="00F93449">
        <w:rPr>
          <w:i/>
          <w:iCs w:val="0"/>
        </w:rPr>
        <w:t xml:space="preserve">Figure </w:t>
      </w:r>
      <w:r w:rsidR="00AD1081" w:rsidRPr="00F93449">
        <w:rPr>
          <w:i/>
          <w:iCs w:val="0"/>
        </w:rPr>
        <w:fldChar w:fldCharType="begin"/>
      </w:r>
      <w:r w:rsidRPr="00F93449">
        <w:rPr>
          <w:i/>
          <w:iCs w:val="0"/>
        </w:rPr>
        <w:instrText xml:space="preserve"> STYLEREF 1 \s </w:instrText>
      </w:r>
      <w:r w:rsidR="00AD1081" w:rsidRPr="00F93449">
        <w:rPr>
          <w:i/>
          <w:iCs w:val="0"/>
        </w:rPr>
        <w:fldChar w:fldCharType="separate"/>
      </w:r>
      <w:r w:rsidRPr="00F93449">
        <w:rPr>
          <w:i/>
          <w:iCs w:val="0"/>
          <w:noProof/>
        </w:rPr>
        <w:t>3</w:t>
      </w:r>
      <w:r w:rsidR="00AD1081" w:rsidRPr="00F93449">
        <w:rPr>
          <w:i/>
          <w:iCs w:val="0"/>
        </w:rPr>
        <w:fldChar w:fldCharType="end"/>
      </w:r>
      <w:r w:rsidRPr="00F93449">
        <w:rPr>
          <w:i/>
          <w:iCs w:val="0"/>
        </w:rPr>
        <w:t>.</w:t>
      </w:r>
      <w:r w:rsidR="00AD1081" w:rsidRPr="00F93449">
        <w:rPr>
          <w:i/>
          <w:iCs w:val="0"/>
        </w:rPr>
        <w:fldChar w:fldCharType="begin"/>
      </w:r>
      <w:r w:rsidRPr="00F93449">
        <w:rPr>
          <w:i/>
          <w:iCs w:val="0"/>
        </w:rPr>
        <w:instrText xml:space="preserve"> SEQ Figure \* ARABIC \s 1 </w:instrText>
      </w:r>
      <w:r w:rsidR="00AD1081" w:rsidRPr="00F93449">
        <w:rPr>
          <w:i/>
          <w:iCs w:val="0"/>
        </w:rPr>
        <w:fldChar w:fldCharType="separate"/>
      </w:r>
      <w:r w:rsidRPr="00F93449">
        <w:rPr>
          <w:i/>
          <w:iCs w:val="0"/>
          <w:noProof/>
        </w:rPr>
        <w:t>1</w:t>
      </w:r>
      <w:r w:rsidR="00AD1081" w:rsidRPr="00F93449">
        <w:rPr>
          <w:i/>
          <w:iCs w:val="0"/>
        </w:rPr>
        <w:fldChar w:fldCharType="end"/>
      </w:r>
      <w:r w:rsidRPr="00F93449">
        <w:rPr>
          <w:i/>
          <w:iCs w:val="0"/>
        </w:rPr>
        <w:t>. PRISMA 2020 flow diagram of study identification and selection</w:t>
      </w:r>
      <w:bookmarkEnd w:id="185"/>
    </w:p>
    <w:p w:rsidR="001D1FD6" w:rsidRDefault="0012332F">
      <w:pPr>
        <w:pStyle w:val="Heading2"/>
        <w:spacing w:before="0"/>
      </w:pPr>
      <w:bookmarkStart w:id="186" w:name="_Toc238559675"/>
      <w:bookmarkStart w:id="187" w:name="_Toc238262512"/>
      <w:bookmarkStart w:id="188" w:name="_Toc238725409"/>
      <w:bookmarkStart w:id="189" w:name="_Toc238725527"/>
      <w:r>
        <w:rPr>
          <w:rFonts w:eastAsia="Times New Roman"/>
        </w:rPr>
        <w:t>Quality Appraisal</w:t>
      </w:r>
      <w:bookmarkEnd w:id="186"/>
      <w:bookmarkEnd w:id="187"/>
      <w:bookmarkEnd w:id="188"/>
      <w:bookmarkEnd w:id="189"/>
    </w:p>
    <w:p w:rsidR="001D1FD6" w:rsidRDefault="0012332F">
      <w:r>
        <w:t xml:space="preserve">Methodological quality was assessed with tools appropriate to study design. The two qualitative studies were appraised using the Critical Appraisal Skills Programme (CASP) Qualitative Studies Checklist 2024, which examines aims, methodological fit, recruitment, data collection, reflexivity, ethics, analytical rigour, clarity of findings and research value (Critical Appraisal Skills Programme, 2024). CASP provides a transparent and accessible structure for qualitative appraisal, although several judgements remain interpretive and the checklist does not generate a validated numerical quality score. The seven quantitative studies were assessed using the structured domains described by Coughlan, Cronin and Ryan (2007), including design, sampling, measurement, ethical considerations, analysis, </w:t>
      </w:r>
      <w:r>
        <w:lastRenderedPageBreak/>
        <w:t>presentation and limitations. This framework supports consistent critical review across heterogeneous quantitative designs, but it is broader than design-specific risk-of-bias tools and therefore requires reviewer judgement when considering particular sources of bias. Pope et al. (2025), which combined quantitative and qualitative components, was appraised using the Mixed Methods Appraisal Tool (MMAT) (Hong et al., 2018). MMAT enables both components and their integration to be considered within one framework, although the quality of appraisal remains dependent on the completeness of study reporting. Appraisal findings informed the weight placed on each study rather than being converted into a single numerical score. Critical appraisal in heterogeneous reviews requires design-sensitive judgement rather than a single undifferentiated score (Olaghere, Wilson and Kimbrell, 2023; Guyatt et al., 2008; Alonso-Coello et al., 2016). Equity-focused reporting guidance also supports explicit consideration of social gradients during review interpretation (Welch et al., 2012).</w:t>
      </w:r>
    </w:p>
    <w:p w:rsidR="001D1FD6" w:rsidRDefault="0012332F">
      <w:pPr>
        <w:pStyle w:val="Heading2"/>
      </w:pPr>
      <w:bookmarkStart w:id="190" w:name="_Toc238559676"/>
      <w:bookmarkStart w:id="191" w:name="_Toc238262513"/>
      <w:bookmarkStart w:id="192" w:name="_Toc238725410"/>
      <w:bookmarkStart w:id="193" w:name="_Toc238725528"/>
      <w:r>
        <w:rPr>
          <w:rFonts w:eastAsia="Times New Roman"/>
        </w:rPr>
        <w:t>Data Synthesis and Analysis</w:t>
      </w:r>
      <w:bookmarkEnd w:id="190"/>
      <w:bookmarkEnd w:id="191"/>
      <w:bookmarkEnd w:id="192"/>
      <w:bookmarkEnd w:id="193"/>
    </w:p>
    <w:p w:rsidR="001D1FD6" w:rsidRDefault="0012332F">
      <w:r>
        <w:t>The extracted findings were synthesised narratively and analysed thematically. The analysis was mainly inductive while remaining focused on the research question and PECO concepts. Qualitative findings were coded directly, while quantitative results were translated into conceptual patterns such as low uptake, referral loss, stronger outcomes with supported quitting, relapse over time and barriers to attendance; these patterns could then be compared with qualitative explanations without statistical pooling. Familiarisation, coding, category development, construction of candidate themes, review of theme coherence and final theme definition followed the general stages described by Braun and Clarke (2006) and the logic of thematic synthesis described by Thomas and Harden (2008). Mixed-evidence synthesis can transform quantitative descriptive findings into comparable concepts while preserving the distinct contribution of qualitative evidence (Sandelowski, Voils and Barroso, 2006; Sandelowski, Barroso and Voils, 2007).</w:t>
      </w:r>
    </w:p>
    <w:p w:rsidR="001D1FD6" w:rsidRDefault="0012332F">
      <w:r>
        <w:t>The synthesis compared participant experiences, study-level findings, service-use patterns and quit-related results, preserving similarities, differences and contradictions. Quantitative findings were not reanalysed statistically, and associations were distinguished from causal claims. Guidance on mixed-evidence integration and synthesis without meta-analysis informed how evidence was grouped and interpreted (Stern et al., 2020; Ferguson, Kerrigan and Hovey, 2020; Campbell et al., 2020; Melendez-Torres et al., 2017).</w:t>
      </w:r>
    </w:p>
    <w:p w:rsidR="001D1FD6" w:rsidRDefault="0012332F">
      <w:pPr>
        <w:pStyle w:val="Heading2"/>
      </w:pPr>
      <w:bookmarkStart w:id="194" w:name="_Toc238559677"/>
      <w:bookmarkStart w:id="195" w:name="_Toc238262514"/>
      <w:bookmarkStart w:id="196" w:name="_Toc238725411"/>
      <w:bookmarkStart w:id="197" w:name="_Toc238725529"/>
      <w:r>
        <w:rPr>
          <w:rFonts w:eastAsia="Times New Roman"/>
        </w:rPr>
        <w:lastRenderedPageBreak/>
        <w:t>Ethical Considerations</w:t>
      </w:r>
      <w:bookmarkEnd w:id="194"/>
      <w:bookmarkEnd w:id="195"/>
      <w:bookmarkEnd w:id="196"/>
      <w:bookmarkEnd w:id="197"/>
    </w:p>
    <w:p w:rsidR="00E221F5" w:rsidRDefault="00E221F5" w:rsidP="00E221F5">
      <w:r>
        <w:t>The study was not associated with any direct ethical risk as it did not recruit participants or new personal data were not collected. No interviews, questionnaires, observations, recordings or direct contact with the service users was done. As such, informed consent, withdrawal and participant de-briefing were not mandated for this review.</w:t>
      </w:r>
    </w:p>
    <w:p w:rsidR="00E221F5" w:rsidRDefault="00E221F5" w:rsidP="00E221F5">
      <w:r>
        <w:t>Academic integrity and the appropriate use of evidence were the two main ethical issues. Sources were cited appropriately and published findings were reported fairly, and review search, screening and exclusion decisions were documented to the extent possible given the available review records. No selective reporting or conclusions were made in the review. Quotes by participants were only used if they were relevant to the analysis and they were attributed to the original study without any attempt at identifying the individuals.</w:t>
      </w:r>
    </w:p>
    <w:p w:rsidR="00E221F5" w:rsidRDefault="00E221F5" w:rsidP="00E221F5">
      <w:r>
        <w:t>Stigma and social disadvantage can be linked to smoking and nicotine dependence and quitting. The synthesis therefore employed respectful language and refrained from assigning blame to individuals for the lack of engagement and/or ineffective quit attempts. Results of deprivation and other sensitive situations were analysed in the context of the service and social situation that the original studies reported.</w:t>
      </w:r>
    </w:p>
    <w:p w:rsidR="00E221F5" w:rsidRDefault="00E221F5" w:rsidP="00E221F5">
      <w:r>
        <w:t>Search logs, screening records, extraction tables and appraisal records and draft chapters were kept in password protected folders and on university approved storage, where possible. There was no participant level data identified. Only the researcher, supervisor and authorised University personnel (where necessary for supervision, assessment and examination).</w:t>
      </w:r>
    </w:p>
    <w:p w:rsidR="00E221F5" w:rsidRDefault="00E221F5" w:rsidP="00E221F5">
      <w:pPr>
        <w:pStyle w:val="Heading2"/>
      </w:pPr>
      <w:bookmarkStart w:id="198" w:name="_Toc238725412"/>
      <w:bookmarkStart w:id="199" w:name="_Toc238725530"/>
      <w:r>
        <w:t>Trustworthiness and Rigour</w:t>
      </w:r>
      <w:bookmarkEnd w:id="198"/>
      <w:bookmarkEnd w:id="199"/>
    </w:p>
    <w:p w:rsidR="00E221F5" w:rsidRDefault="00E221F5" w:rsidP="00E221F5">
      <w:r>
        <w:t>Rigour was ensured by the consistent eligibility criteria, PRISMA reporting, structured data extraction and design appropriate appraisal. Decisions on coding and development of themes were documented to establish an audit trail. Reflexivity was facilitated by comparing interpretations with the evidence that was extracted, by identifying strong patterns and tentative findings and by discussing key methodological choices in supervision. These procedures enhanced transparency and minimised selective interpretation, but it is recognised as a reporting limitation not to have a complete source specific search history.</w:t>
      </w:r>
    </w:p>
    <w:p w:rsidR="00E221F5" w:rsidRDefault="00E221F5" w:rsidP="00E221F5">
      <w:pPr>
        <w:pStyle w:val="Heading2"/>
      </w:pPr>
      <w:bookmarkStart w:id="200" w:name="_Toc238725413"/>
      <w:bookmarkStart w:id="201" w:name="_Toc238725531"/>
      <w:r>
        <w:t>Chapter Summary</w:t>
      </w:r>
      <w:bookmarkEnd w:id="200"/>
      <w:bookmarkEnd w:id="201"/>
    </w:p>
    <w:p w:rsidR="001D1FD6" w:rsidRDefault="00E221F5" w:rsidP="00E221F5">
      <w:r>
        <w:t xml:space="preserve">The review involved searching with PECO-informed searching in PubMed, ScienceDirect and Google Scholar, included ten primary studies, used design appropriate appraisal and </w:t>
      </w:r>
      <w:r>
        <w:lastRenderedPageBreak/>
        <w:t>integrated findings using narrative and thematic synthesis. Ethical responsibilities and procedures, which are conducive to transparency and rigour, were dealt with throughout.</w:t>
      </w:r>
    </w:p>
    <w:p w:rsidR="001D1FD6" w:rsidRDefault="0012332F">
      <w:pPr>
        <w:spacing w:after="200" w:line="276" w:lineRule="auto"/>
        <w:jc w:val="left"/>
        <w:rPr>
          <w:rFonts w:cstheme="majorBidi"/>
          <w:b/>
          <w:bCs/>
          <w:color w:val="000000"/>
          <w:sz w:val="28"/>
          <w:szCs w:val="26"/>
        </w:rPr>
      </w:pPr>
      <w:r>
        <w:br w:type="page"/>
      </w:r>
    </w:p>
    <w:p w:rsidR="001D1FD6" w:rsidRDefault="0012332F">
      <w:pPr>
        <w:pStyle w:val="Heading1"/>
        <w:spacing w:before="0"/>
      </w:pPr>
      <w:bookmarkStart w:id="202" w:name="_Toc238559680"/>
      <w:bookmarkStart w:id="203" w:name="_Toc238262517"/>
      <w:bookmarkStart w:id="204" w:name="_Toc238725414"/>
      <w:bookmarkStart w:id="205" w:name="_Toc238725532"/>
      <w:r>
        <w:lastRenderedPageBreak/>
        <w:t>Data Extraction and Evaluation</w:t>
      </w:r>
      <w:bookmarkEnd w:id="202"/>
      <w:bookmarkEnd w:id="203"/>
      <w:bookmarkEnd w:id="204"/>
      <w:bookmarkEnd w:id="205"/>
    </w:p>
    <w:p w:rsidR="001D1FD6" w:rsidRDefault="0012332F">
      <w:pPr>
        <w:pStyle w:val="Heading2"/>
      </w:pPr>
      <w:bookmarkStart w:id="206" w:name="_Toc238559681"/>
      <w:bookmarkStart w:id="207" w:name="_Toc238262518"/>
      <w:bookmarkStart w:id="208" w:name="_Toc238725415"/>
      <w:bookmarkStart w:id="209" w:name="_Toc238725533"/>
      <w:r>
        <w:t>Introduction</w:t>
      </w:r>
      <w:bookmarkEnd w:id="206"/>
      <w:bookmarkEnd w:id="207"/>
      <w:bookmarkEnd w:id="208"/>
      <w:bookmarkEnd w:id="209"/>
    </w:p>
    <w:p w:rsidR="00E221F5" w:rsidRDefault="00E221F5" w:rsidP="00E221F5">
      <w:r>
        <w:t>Ten primary studies were identified and structured extraction and critical appraisal were carried out. Evidence ranged from qualitative interviews and surveys to prospective cohorts of services and an interrupted time-series analysis and one mixed-methods study. Study characteristics, bias, analytical rigour and relevance were assessed using a common framework of extraction and a design-appropriate set of appraisal tools.</w:t>
      </w:r>
    </w:p>
    <w:p w:rsidR="00E221F5" w:rsidRDefault="00E221F5" w:rsidP="00E221F5">
      <w:pPr>
        <w:pStyle w:val="Heading2"/>
      </w:pPr>
      <w:bookmarkStart w:id="210" w:name="_Toc238725416"/>
      <w:bookmarkStart w:id="211" w:name="_Toc238725534"/>
      <w:r>
        <w:t>Data Extraction</w:t>
      </w:r>
      <w:bookmarkEnd w:id="210"/>
      <w:bookmarkEnd w:id="211"/>
    </w:p>
    <w:p w:rsidR="001D1FD6" w:rsidRDefault="00E221F5" w:rsidP="00E221F5">
      <w:r>
        <w:t>A set form was used for the extraction of information for author/year, setting, sample, design, cessation support, engagement indicator, quit outcome, key findings and reported limitations. Selective emphasis was minimized and design and outcome differences were made evident by employing the same fields. The table for all 10 major studies has been completed and is included in Appendix 4A.</w:t>
      </w:r>
    </w:p>
    <w:p w:rsidR="001D1FD6" w:rsidRDefault="0012332F">
      <w:pPr>
        <w:pStyle w:val="Heading2"/>
      </w:pPr>
      <w:bookmarkStart w:id="212" w:name="_Toc238559683"/>
      <w:bookmarkStart w:id="213" w:name="_Toc238262520"/>
      <w:bookmarkStart w:id="214" w:name="_Toc238725417"/>
      <w:bookmarkStart w:id="215" w:name="_Toc238725535"/>
      <w:r>
        <w:t>Critical Appraisal and Paper Quality Assessment</w:t>
      </w:r>
      <w:bookmarkEnd w:id="212"/>
      <w:bookmarkEnd w:id="213"/>
      <w:bookmarkEnd w:id="214"/>
      <w:bookmarkEnd w:id="215"/>
    </w:p>
    <w:p w:rsidR="001D1FD6" w:rsidRDefault="0012332F">
      <w:r>
        <w:t>Critical appraisal examined the trustworthiness, relevance and methodological quality of each study. Because designs differed in sampling, measurement and follow-up, appraisal considered design-specific risks such as selection bias, self-report, attrition, reflexivity and analytical detail. Judgements focused on how well methods addressed each study aim rather than reducing evidence to a simple numerical quality label (Coughlan, Cronin and Ryan, 2007; Critical Appraisal Skills Programme, 2024; Hong et al., 2018).</w:t>
      </w:r>
    </w:p>
    <w:p w:rsidR="001D1FD6" w:rsidRDefault="0012332F">
      <w:pPr>
        <w:pStyle w:val="Heading2"/>
      </w:pPr>
      <w:bookmarkStart w:id="216" w:name="_Toc238559684"/>
      <w:bookmarkStart w:id="217" w:name="_Toc238262521"/>
      <w:bookmarkStart w:id="218" w:name="_Toc238725418"/>
      <w:bookmarkStart w:id="219" w:name="_Toc238725536"/>
      <w:r>
        <w:t>Critical Appraisal Tools</w:t>
      </w:r>
      <w:bookmarkEnd w:id="216"/>
      <w:bookmarkEnd w:id="217"/>
      <w:bookmarkEnd w:id="218"/>
      <w:bookmarkEnd w:id="219"/>
    </w:p>
    <w:p w:rsidR="001D1FD6" w:rsidRDefault="0012332F">
      <w:r>
        <w:t xml:space="preserve">Three appraisal approaches were selected because the evidence base contained different primary study designs. The Critical Appraisal Skills Programme (CASP) Qualitative Studies Checklist was used for Robinson et al. (2019) and Smith et al. (2026) because both studies used qualitative methods to explore experiences, beliefs, barriers and facilitators, and the CASP checklist is specifically structured to judge the appropriateness and rigour of qualitative research. The Critical Appraisal Skills Programme (CASP) examines aims, methodological fit, design, recruitment, data collection, researcher-participant relationships, ethics, analytical rigour, clarity of findings and research value (Critical Appraisal Skills Programme, 2024). A major strength of the Critical Appraisal Skills Programme (CASP) is </w:t>
      </w:r>
      <w:r>
        <w:lastRenderedPageBreak/>
        <w:t>its clear, systematic and accessible structure, which supports transparent consideration of the main methodological features of qualitative studies. Its main weaknesses are that it does not provide a validated numerical quality score and some criteria depend on reviewer judgement, which can introduce subjectivity into appraisal.</w:t>
      </w:r>
    </w:p>
    <w:p w:rsidR="001D1FD6" w:rsidRDefault="0012332F">
      <w:r>
        <w:t>Seven quantitative primary studies were appraised using the domains described by Coughlan, Cronin and Ryan (2007): Bauld et al. (2012), Bauld et al. (2016), Edwards et al. (2007), Gibson et al. (2010), Jackson et al. (2021), Kale, Gilbert and Sutton (2019), and Kotz, Fidler and West (2009). The framework considers clarity of purpose, study design, sampling, measurement, ethical issues, analysis, presentation of results and limitations. Its main strength is a clear and consistent structure that can be applied across heterogeneous quantitative designs and makes methodological strengths and weaknesses transparent. Its main limitation is that it is a broad critical-appraisal guide rather than a design-specific risk-of-bias instrument, so some judgements depend on reviewer interpretation and may not capture every source of bias with equal precision.</w:t>
      </w:r>
    </w:p>
    <w:p w:rsidR="00E221F5" w:rsidRDefault="00E221F5" w:rsidP="00E221F5">
      <w:r>
        <w:t>Pope et al. (2025) was appraised using the Mixed Methods Appraisal Tool (MMAT) which examines the qualitative and quantitative parts and how they are combined (Hong et al., 2018). MMAT offers one unified framework, but judgements are based on completeness of reporting and the interpretation of the reviewers.</w:t>
      </w:r>
    </w:p>
    <w:p w:rsidR="00E221F5" w:rsidRDefault="00E221F5" w:rsidP="00E221F5">
      <w:pPr>
        <w:pStyle w:val="Heading2"/>
      </w:pPr>
      <w:bookmarkStart w:id="220" w:name="_Toc238725419"/>
      <w:bookmarkStart w:id="221" w:name="_Toc238725537"/>
      <w:r>
        <w:t>Evaluation of Qualitative Studies</w:t>
      </w:r>
      <w:bookmarkEnd w:id="220"/>
      <w:bookmarkEnd w:id="221"/>
    </w:p>
    <w:p w:rsidR="001D1FD6" w:rsidRDefault="00E221F5" w:rsidP="00E221F5">
      <w:r>
        <w:t>The two primary studies that were included were qualitative studies: Robinson et al. (2019) and Smith et al. (2026). Both had well-defined objectives and employed qualitative techniques in a suitable manner to investigate experiences, beliefs and barriers that could not be adequately addressed using outcome measures alone. Robinson et al. (2019) evaluated experiences of a Cut-Down-To-Stop intervention using interviews with 18 service users and a focus group with nine practitioners. The design was very much in line with the evaluation aim as it was based on the user and practitioner's view of a service for smokers who found it hard to quit smoking. The recruitment was related to the intervention, data collection was directly related to the research question, and ethical approval and written consent were reported. Thematic analysis was described and findings were presented clearly around practical and relational aspects of participation.</w:t>
      </w:r>
    </w:p>
    <w:p w:rsidR="001D1FD6" w:rsidRDefault="0012332F">
      <w:r>
        <w:t xml:space="preserve">Robinson et al. (2019) was limited by a small single-service sample and possible participation bias because interviewees may have had more positive or sustained experiences. Reflexivity was also limited. The study is therefore most useful for explaining how trust, flexibility and </w:t>
      </w:r>
      <w:r>
        <w:lastRenderedPageBreak/>
        <w:t>continued contact may shape engagement rather than estimating how common those experiences are.</w:t>
      </w:r>
    </w:p>
    <w:p w:rsidR="001D1FD6" w:rsidRDefault="0012332F">
      <w:r>
        <w:t>Smith et al. (2026) provided a larger and geographically broader qualitative contribution. Semi-structured telephone interviews were conducted with 114 adults from lower socioeconomic groups across England, Scotland, Wales and Northern Ireland. The sampling strategy was relevant to the aim of understanding barriers and facilitators among groups with high smoking burden, and recruitment through several routes increased the range of participants. The analysis was systematic and linked thematic findings with the Behaviour Change Wheel, while more than one researcher contributed to analytical development. Ethical approval and informed consent were clearly documented. The large qualitative sample and coverage of all four UK nations strengthened the study's relevance to service engagement across different contexts.</w:t>
      </w:r>
    </w:p>
    <w:p w:rsidR="001D1FD6" w:rsidRDefault="0012332F">
      <w:r>
        <w:t>Important limitations remained. People younger than 35 and some minority ethnic groups were under-represented, which restricts confidence that all disadvantaged populations were adequately represented. The published report contained limited reflexive detail about how researcher positions may have influenced interviewing and interpretation. Use of the Behaviour Change Wheel added theoretical structure, but theory-led mapping can also shape how findings are organised. Overall, both qualitative studies were methodologically appropriate and valuable, with Smith et al. (2026) offering broader transferability and Robinson et al. (2019) offering detailed intervention-specific insight. The complete Critical Appraisal Skills Programme (CASP) judgements are provided in Appendix 4B.</w:t>
      </w:r>
    </w:p>
    <w:p w:rsidR="001D1FD6" w:rsidRDefault="0012332F">
      <w:pPr>
        <w:pStyle w:val="Heading2"/>
      </w:pPr>
      <w:bookmarkStart w:id="222" w:name="_Toc238559686"/>
      <w:bookmarkStart w:id="223" w:name="_Toc238262523"/>
      <w:bookmarkStart w:id="224" w:name="_Toc238725420"/>
      <w:bookmarkStart w:id="225" w:name="_Toc238725538"/>
      <w:r>
        <w:t>Evaluation of Quantitative Studies</w:t>
      </w:r>
      <w:bookmarkEnd w:id="222"/>
      <w:bookmarkEnd w:id="223"/>
      <w:bookmarkEnd w:id="224"/>
      <w:bookmarkEnd w:id="225"/>
    </w:p>
    <w:p w:rsidR="001D1FD6" w:rsidRDefault="0012332F">
      <w:r>
        <w:t>Seven quantitative studies were appraised: Bauld et al. (2012), Bauld et al. (2016), Edwards et al. (2007), Gibson et al. (2010), Jackson et al. (2021), Kale, Gilbert and Sutton (2019), and Kotz, Fidler and West (2009). Their designs were appropriate to measuring service use, barriers and quit outcomes but differed in evidential strength. Detailed judgements are provided in Appendix 4C.</w:t>
      </w:r>
    </w:p>
    <w:p w:rsidR="001D1FD6" w:rsidRDefault="0012332F">
      <w:pPr>
        <w:pStyle w:val="Heading3"/>
      </w:pPr>
      <w:bookmarkStart w:id="226" w:name="_Toc238559687"/>
      <w:bookmarkStart w:id="227" w:name="_Toc238262524"/>
      <w:bookmarkStart w:id="228" w:name="_Toc238725421"/>
      <w:bookmarkStart w:id="229" w:name="_Toc238725539"/>
      <w:r>
        <w:t>Bauld et al. (2012)</w:t>
      </w:r>
      <w:bookmarkEnd w:id="226"/>
      <w:bookmarkEnd w:id="227"/>
      <w:bookmarkEnd w:id="228"/>
      <w:bookmarkEnd w:id="229"/>
    </w:p>
    <w:p w:rsidR="001D1FD6" w:rsidRDefault="0012332F">
      <w:r>
        <w:t xml:space="preserve">Bauld et al. (2012) evaluated 2,585 clients using a drop-in rolling-group service in Liverpool and Knowsley. The prospective observational design was well suited to measuring real-world service outcomes in a highly disadvantaged population. Data included service characteristics, behavioural support, medication and carbon monoxide validation of abstinence, allowing </w:t>
      </w:r>
      <w:r>
        <w:lastRenderedPageBreak/>
        <w:t>short- and long-term outcomes to be compared. The study's main contribution was ecological validity because it reflected routine provision rather than an artificially controlled intervention. However, the single-service setting limited generalisability, and the observational design meant that differences in outcomes could reflect client characteristics as well as service effects. Follow-up was difficult and not every long-term quit outcome was biochemically validated, while loss to follow-up also complicated interpretation. The study therefore provides credible evidence about long-term performance and relapse within this service model, but causal conclusions about the rolling-group format should remain cautious.</w:t>
      </w:r>
    </w:p>
    <w:p w:rsidR="001D1FD6" w:rsidRDefault="0012332F">
      <w:pPr>
        <w:pStyle w:val="Heading3"/>
      </w:pPr>
      <w:bookmarkStart w:id="230" w:name="_Toc238559688"/>
      <w:bookmarkStart w:id="231" w:name="_Toc238262525"/>
      <w:bookmarkStart w:id="232" w:name="_Toc238725422"/>
      <w:bookmarkStart w:id="233" w:name="_Toc238725540"/>
      <w:r>
        <w:t>Bauld et al. (2016)</w:t>
      </w:r>
      <w:bookmarkEnd w:id="230"/>
      <w:bookmarkEnd w:id="231"/>
      <w:bookmarkEnd w:id="232"/>
      <w:bookmarkEnd w:id="233"/>
    </w:p>
    <w:p w:rsidR="001D1FD6" w:rsidRDefault="0012332F">
      <w:r>
        <w:t>Bauld et al. (2016) strengthened the long-term service evidence through a prospective cohort of 3,057 clients from nine areas of England. The multi-area design improved generalisability compared with a single-service evaluation, and 52-week follow-up with carbon monoxide validation strengthened outcome measurement. The analysis used weighting and logistic regression to address differences in recruitment and examine factors associated with abstinence. Ethical approval and recruitment procedures were reported. Important limitations remained because recruitment was lower than expected, participating services recruited different proportions of their client base, and some treatment variables could not be modelled completely. Most importantly, the observational design leaves residual confounding: people attending specialist or group support may differ systematically from those using generalist settings. The reported associations between service type and long-term abstinence are therefore informative but should not be interpreted as randomised comparisons.</w:t>
      </w:r>
    </w:p>
    <w:p w:rsidR="001D1FD6" w:rsidRDefault="0012332F">
      <w:pPr>
        <w:pStyle w:val="Heading3"/>
      </w:pPr>
      <w:bookmarkStart w:id="234" w:name="_Toc238559689"/>
      <w:bookmarkStart w:id="235" w:name="_Toc238262526"/>
      <w:bookmarkStart w:id="236" w:name="_Toc238725423"/>
      <w:bookmarkStart w:id="237" w:name="_Toc238725541"/>
      <w:r>
        <w:t>Edwards et al. (2007)</w:t>
      </w:r>
      <w:bookmarkEnd w:id="234"/>
      <w:bookmarkEnd w:id="235"/>
      <w:bookmarkEnd w:id="236"/>
      <w:bookmarkEnd w:id="237"/>
    </w:p>
    <w:p w:rsidR="00E221F5" w:rsidRDefault="00E221F5" w:rsidP="00E221F5">
      <w:r>
        <w:t xml:space="preserve">The research conducted by Edwards et al. (2007) was a random stratified cross sectional postal survey which targeted deprived areas in South Derbyshire. The design was appropriate for the description of smoking, awareness and use of smoking cessation services, by socioeconomic groups. Sampling procedures and the population in the study were reported and ethical approval was received. An explicit comparison of disadvantaged/non-disadvantaged areas was a significant strength. But there was a significant variation in response rates, and the response rate was low among younger men, which may have resulted in non-response bias. The sample was also restricted to certain age groups and the socioeconomic indicator was not a standard individual-level indicator. There is also imprecision in the estimates based on self-reported service awareness and quitting within </w:t>
      </w:r>
      <w:r>
        <w:lastRenderedPageBreak/>
        <w:t>itself. As such the study offers valuable information on service availability and inequity, but less confidence on prevalence in the overall population and on causality.</w:t>
      </w:r>
    </w:p>
    <w:p w:rsidR="00E221F5" w:rsidRDefault="00E221F5" w:rsidP="00E221F5">
      <w:pPr>
        <w:pStyle w:val="Heading3"/>
      </w:pPr>
      <w:bookmarkStart w:id="238" w:name="_Toc238725424"/>
      <w:bookmarkStart w:id="239" w:name="_Toc238725542"/>
      <w:r>
        <w:t>Gibson et al. (2010)</w:t>
      </w:r>
      <w:bookmarkEnd w:id="238"/>
      <w:bookmarkEnd w:id="239"/>
    </w:p>
    <w:p w:rsidR="001D1FD6" w:rsidRDefault="00E221F5" w:rsidP="00E221F5">
      <w:r>
        <w:t>Gibson et al. (2010) applied prospective International Tobacco Control Four Country Survey data to make comparisons between smokers in the UK and other countries (Australia, Canada and the USA). The future direction and standardisation of measurements and repeated follow up observations enhanced the capability to explore cessation assistance across quit attempts over time. Repeated observations were accounted for and a statistical modelling approach was used which enabled a comparison of estimates across countries. An ethics review was reported. Especially, limitations to consider included using the telephone as the method of recruitment (which may have been excluding some groups); attrition (some participants were lost to follow-up); sample (replacement participants may have changed the sample composition); and the use of support (which was not always matched to a particular quit attempt). The majority of outcomes were self-reported. The patterns of differences between countries might also be the result of variation in population and policy factors in addition to the cessation strategies implemented. However, the study has only been able to suggest associations for comparisons between support use and abstinence, and cannot be entirely confident about the impact of the UK strategy alone.</w:t>
      </w:r>
    </w:p>
    <w:p w:rsidR="001D1FD6" w:rsidRDefault="0012332F">
      <w:pPr>
        <w:pStyle w:val="Heading3"/>
      </w:pPr>
      <w:bookmarkStart w:id="240" w:name="_Toc238559691"/>
      <w:bookmarkStart w:id="241" w:name="_Toc238262528"/>
      <w:bookmarkStart w:id="242" w:name="_Toc238725425"/>
      <w:bookmarkStart w:id="243" w:name="_Toc238725543"/>
      <w:r>
        <w:t>Jackson et al. (2021)</w:t>
      </w:r>
      <w:bookmarkEnd w:id="240"/>
      <w:bookmarkEnd w:id="241"/>
      <w:bookmarkEnd w:id="242"/>
      <w:bookmarkEnd w:id="243"/>
    </w:p>
    <w:p w:rsidR="001D1FD6" w:rsidRDefault="0012332F">
      <w:r>
        <w:t>Jackson et al. (2021) evaluated the London Smoking Cessation Transformation Programme using repeated cross-sectional Smoking Toolkit Study data and an interrupted time-series comparison between London and the rest of England. The large sample, repeated monthly measurement and use of two modelling approaches were methodological strengths. The design was appropriate for assessing a population intervention that could not readily be randomised, and ethical approval and informed consent were reported for the underlying survey. The principal limitation was exposure classification: living in London did not confirm exposure to programme components or use of cessation support. Quit attempts and success were self-reported, and the study could not formally demonstrate whether any programme effect operated through greater service engagement. Secular trends or London-specific influences may also have contributed despite the comparator series. The study therefore provides relatively strong evidence of a temporal change in quit attempts but weaker evidence concerning the mechanism and effect on quit success.</w:t>
      </w:r>
    </w:p>
    <w:p w:rsidR="001D1FD6" w:rsidRDefault="0012332F">
      <w:pPr>
        <w:pStyle w:val="Heading3"/>
      </w:pPr>
      <w:bookmarkStart w:id="244" w:name="_Toc238559692"/>
      <w:bookmarkStart w:id="245" w:name="_Toc238262529"/>
      <w:bookmarkStart w:id="246" w:name="_Toc238725426"/>
      <w:bookmarkStart w:id="247" w:name="_Toc238725544"/>
      <w:r>
        <w:lastRenderedPageBreak/>
        <w:t>Kale, Gilbert and Sutton (2019)</w:t>
      </w:r>
      <w:bookmarkEnd w:id="244"/>
      <w:bookmarkEnd w:id="245"/>
      <w:bookmarkEnd w:id="246"/>
      <w:bookmarkEnd w:id="247"/>
    </w:p>
    <w:p w:rsidR="001D1FD6" w:rsidRDefault="0012332F">
      <w:r>
        <w:t>Kale, Gilbert and Sutton (2019) focused specifically on non-attendance at English Stop Smoking Services. The adapted Treatment Barriers Questionnaire was distributed to smokers who had not attended after participation in the Start2quit programme, and principal component analysis followed by regression was used to identify clusters of barriers and associated characteristics. The study directly addressed an important engagement problem and used an analytical approach capable of identifying underlying dimensions within multiple questionnaire items. Ethical approval was reported. Nevertheless, the sample came from a previous intervention population rather than an unrestricted national group of smokers, limiting generalisability. Questionnaire participation introduced additional selection, and the reported barrier measures depended on self-report. Adaptation of a questionnaire developed in the United States also required careful interpretation in an English service context. The study is strongest for identifying plausible categories of non-attendance rather than estimating their prevalence across all smokers.</w:t>
      </w:r>
    </w:p>
    <w:p w:rsidR="001D1FD6" w:rsidRDefault="0012332F">
      <w:pPr>
        <w:pStyle w:val="Heading3"/>
      </w:pPr>
      <w:bookmarkStart w:id="248" w:name="_Toc238559693"/>
      <w:bookmarkStart w:id="249" w:name="_Toc238262530"/>
      <w:bookmarkStart w:id="250" w:name="_Toc238725427"/>
      <w:bookmarkStart w:id="251" w:name="_Toc238725545"/>
      <w:r>
        <w:t>Kotz, Fidler and West (2009)</w:t>
      </w:r>
      <w:bookmarkEnd w:id="248"/>
      <w:bookmarkEnd w:id="249"/>
      <w:bookmarkEnd w:id="250"/>
      <w:bookmarkEnd w:id="251"/>
    </w:p>
    <w:p w:rsidR="001D1FD6" w:rsidRDefault="0012332F">
      <w:r>
        <w:t>Kotz, Fidler and West (2009) analysed 3,767 English smokers who reported a serious quit attempt within the previous year using data from the Smoking Toolkit Study. The large national household sample and clear categorisation of treatment use were important strengths. Multivariable analysis allowed the authors to examine associations with age, sex, dependence and quit planning rather than relying only on unadjusted comparisons. The cross-sectional design was appropriate for identifying correlates of cessation-aid use, but treatment use and quit attempts were self-reported and could be affected by recall over a 12-month period. Temporal direction is also uncertain because exposure and outcome information were collected retrospectively at the same survey point. The findings are therefore useful for identifying patterns of service and medication use but cannot establish why particular smokers chose support or whether support caused later success.</w:t>
      </w:r>
    </w:p>
    <w:p w:rsidR="001D1FD6" w:rsidRDefault="0012332F">
      <w:pPr>
        <w:pStyle w:val="Heading3"/>
      </w:pPr>
      <w:bookmarkStart w:id="252" w:name="_Toc238559694"/>
      <w:bookmarkStart w:id="253" w:name="_Toc238262531"/>
      <w:bookmarkStart w:id="254" w:name="_Toc238725428"/>
      <w:bookmarkStart w:id="255" w:name="_Toc238725546"/>
      <w:r>
        <w:t>Overall Quantitative Quality</w:t>
      </w:r>
      <w:bookmarkEnd w:id="252"/>
      <w:bookmarkEnd w:id="253"/>
      <w:bookmarkEnd w:id="254"/>
      <w:bookmarkEnd w:id="255"/>
    </w:p>
    <w:p w:rsidR="001D1FD6" w:rsidRDefault="0012332F">
      <w:r>
        <w:t>Measurement varied across studies. Carbon monoxide validation strengthened the Bauld cohorts, while several surveys relied on participant recall. Engagement also ranged from awareness and treatment use to adviser type or population-programme exposure, so estimates should be interpreted as evidence from different stages of the engagement pathway rather than as equivalent measures.</w:t>
      </w:r>
    </w:p>
    <w:p w:rsidR="001D1FD6" w:rsidRDefault="0012332F">
      <w:r>
        <w:lastRenderedPageBreak/>
        <w:t>Generalisability varied from national surveys to local service cohorts. Older studies remain useful for recurring relationships but absolute rates of awareness, service use or quitting may not reflect current provision because policy, service configuration and treatments have changed.</w:t>
      </w:r>
    </w:p>
    <w:p w:rsidR="001D1FD6" w:rsidRDefault="0012332F">
      <w:r>
        <w:t>Across the seven quantitative studies, aims were clear and analytical methods were generally appropriate to the stated research questions. Large samples, prospective follow-up, repeated population surveys and biochemical validation strengthened several studies. Common weaknesses were self-reported exposure or outcomes, non-response or attrition, observational confounding and variation in how engagement was measured. These issues are particularly important because engagement may be influenced by motivation, nicotine dependence and socioeconomic circumstances before support begins. The quantitative evidence is therefore sufficiently robust to identify consistent patterns of service use and outcome association, but it does not provide a single causal estimate of the effect of engagement on quitting. Greater confidence can be placed in repeated patterns across independently conducted studies than in any isolated estimate.</w:t>
      </w:r>
    </w:p>
    <w:p w:rsidR="001D1FD6" w:rsidRDefault="0012332F">
      <w:r>
        <w:t xml:space="preserve">Studies contributed unequally to the review question. </w:t>
      </w:r>
      <w:r w:rsidRPr="00467909">
        <w:rPr>
          <w:lang w:val="de-CH"/>
        </w:rPr>
        <w:t xml:space="preserve">Gibson et al. (2010), Bauld et al. </w:t>
      </w:r>
      <w:r>
        <w:t>(2012) and Bauld et al. (2016) provided the most direct engagement-outcome evidence. Edwards et al. (2007), Kotz, Fidler and West (2009) and Jackson et al. (2021) provided supportive evidence on awareness, treatment use, quit attempts or programme exposure, while Kale, Gilbert and Sutton (2019) contributed contextual evidence on non-attendance. This distinction informed evidential weighting.</w:t>
      </w:r>
    </w:p>
    <w:p w:rsidR="001D1FD6" w:rsidRDefault="0012332F">
      <w:pPr>
        <w:pStyle w:val="Heading2"/>
      </w:pPr>
      <w:bookmarkStart w:id="256" w:name="_Toc238559695"/>
      <w:bookmarkStart w:id="257" w:name="_Toc238262532"/>
      <w:bookmarkStart w:id="258" w:name="_Toc238725429"/>
      <w:bookmarkStart w:id="259" w:name="_Toc238725547"/>
      <w:r>
        <w:t>Evaluation of the Mixed-Methods Primary Study</w:t>
      </w:r>
      <w:bookmarkEnd w:id="256"/>
      <w:bookmarkEnd w:id="257"/>
      <w:bookmarkEnd w:id="258"/>
      <w:bookmarkEnd w:id="259"/>
    </w:p>
    <w:p w:rsidR="001D1FD6" w:rsidRDefault="0012332F">
      <w:r>
        <w:t>Pope et al. (2025) examined engagement after emergency-department referral or signposting. Combining participant reports, service records and qualitative interviews appropriately captured both measurable referral pathways and explanations for why contact did or did not become service use.</w:t>
      </w:r>
    </w:p>
    <w:p w:rsidR="001D1FD6" w:rsidRDefault="0012332F">
      <w:r>
        <w:t>MMAT appraisal identified incomplete and inconsistent service reporting, one service with no data and discrepancies between participant and service records. The purposive qualitative sample over-represented quitters, and the brief report limited methodological detail, reducing confidence in exact engagement estimates and site comparisons.</w:t>
      </w:r>
    </w:p>
    <w:p w:rsidR="001D1FD6" w:rsidRDefault="0012332F">
      <w:r>
        <w:t xml:space="preserve">Integration nevertheless added value by linking low recorded engagement with accounts of failed contact, appointment difficulties and service fit. Pope et al. (2025) therefore provides directly relevant evidence, although confidence is greater in the conclusion that referral does </w:t>
      </w:r>
      <w:r>
        <w:lastRenderedPageBreak/>
        <w:t>not reliably become active participation than in the precise engagement rate. Full MMAT assessment is in Appendix 4D.</w:t>
      </w:r>
    </w:p>
    <w:p w:rsidR="001D1FD6" w:rsidRDefault="0012332F">
      <w:r>
        <w:t>Methodological diversity increased breadth but limited direct comparison. Confidence was greatest where findings converged across designs and narrower where evidence depended on local samples, incomplete follow-up or self-report.</w:t>
      </w:r>
    </w:p>
    <w:p w:rsidR="001D1FD6" w:rsidRDefault="0012332F">
      <w:pPr>
        <w:pStyle w:val="Heading2"/>
      </w:pPr>
      <w:bookmarkStart w:id="260" w:name="_Toc238559696"/>
      <w:bookmarkStart w:id="261" w:name="_Toc238262533"/>
      <w:bookmarkStart w:id="262" w:name="_Toc238725430"/>
      <w:bookmarkStart w:id="263" w:name="_Toc238725548"/>
      <w:r>
        <w:t>Chapter Summary</w:t>
      </w:r>
      <w:bookmarkEnd w:id="260"/>
      <w:bookmarkEnd w:id="261"/>
      <w:bookmarkEnd w:id="262"/>
      <w:bookmarkEnd w:id="263"/>
    </w:p>
    <w:p w:rsidR="001D1FD6" w:rsidRDefault="0012332F">
      <w:r>
        <w:t>The ten primary studies provided a methodologically varied but usable evidence base. The qualitative studies offered explanatory evidence about barriers, service relationships and engagement experiences, while the quantitative studies contributed direct, supportive and contextual evidence at different stages of the engagement pathway. Direct evidence on the engagement-quit-success relationship was strongest in studies linking active support use or service format with abstinence outcomes, whereas other studies primarily informed objectives concerning awareness, treatment use, non-attendance, referral or contextual barriers. Strengths included large samples, prospective follow-up, multi-area recruitment, repeated population surveys and biochemical validation in some cohorts. Common limitations were self-report, selection and non-response, attrition, observational confounding, variable definitions of engagement and incomplete service data. The Critical Appraisal Skills Programme (CASP), Coughlan, Cronin and Ryan framework and Mixed Methods Appraisal Tool (MMAT) therefore informed how much weight was placed on each contribution rather than implying that all ten studies answered the central relationship equally directly.</w:t>
      </w:r>
    </w:p>
    <w:p w:rsidR="001D1FD6" w:rsidRDefault="0012332F">
      <w:pPr>
        <w:spacing w:after="160" w:line="278" w:lineRule="auto"/>
        <w:jc w:val="left"/>
      </w:pPr>
      <w:r>
        <w:br w:type="page"/>
      </w:r>
    </w:p>
    <w:p w:rsidR="001D1FD6" w:rsidRDefault="0012332F">
      <w:pPr>
        <w:pStyle w:val="Heading1"/>
        <w:spacing w:before="0"/>
      </w:pPr>
      <w:bookmarkStart w:id="264" w:name="_Toc238559697"/>
      <w:bookmarkStart w:id="265" w:name="_Toc238262534"/>
      <w:bookmarkStart w:id="266" w:name="_Toc238725431"/>
      <w:bookmarkStart w:id="267" w:name="_Toc238725549"/>
      <w:r>
        <w:lastRenderedPageBreak/>
        <w:t>Data Analysis and Synthesis</w:t>
      </w:r>
      <w:bookmarkEnd w:id="264"/>
      <w:bookmarkEnd w:id="265"/>
      <w:bookmarkEnd w:id="266"/>
      <w:bookmarkEnd w:id="267"/>
    </w:p>
    <w:p w:rsidR="001D1FD6" w:rsidRDefault="0012332F">
      <w:pPr>
        <w:pStyle w:val="Heading2"/>
      </w:pPr>
      <w:bookmarkStart w:id="268" w:name="_Toc238559698"/>
      <w:bookmarkStart w:id="269" w:name="_Toc238262535"/>
      <w:bookmarkStart w:id="270" w:name="_Toc238725432"/>
      <w:bookmarkStart w:id="271" w:name="_Toc238725550"/>
      <w:r>
        <w:t>Introduction</w:t>
      </w:r>
      <w:bookmarkEnd w:id="268"/>
      <w:bookmarkEnd w:id="269"/>
      <w:bookmarkEnd w:id="270"/>
      <w:bookmarkEnd w:id="271"/>
    </w:p>
    <w:p w:rsidR="001D1FD6" w:rsidRDefault="0012332F">
      <w:r>
        <w:t>The ten primary studies were analysed through thematic and narrative synthesis. Qualitative findings were coded directly, while quantitative results were converted into conceptual patterns such as service uptake, referral attrition, attendance barriers, relapse and outcomes of supported quit attempts. Patterns were compared across studies rather than statistically pooled, preserving differences in design and measurement.</w:t>
      </w:r>
    </w:p>
    <w:p w:rsidR="001D1FD6" w:rsidRDefault="0012332F">
      <w:pPr>
        <w:pStyle w:val="Heading2"/>
      </w:pPr>
      <w:bookmarkStart w:id="272" w:name="_Toc238559699"/>
      <w:bookmarkStart w:id="273" w:name="_Toc238262536"/>
      <w:bookmarkStart w:id="274" w:name="_Toc238725433"/>
      <w:bookmarkStart w:id="275" w:name="_Toc238725551"/>
      <w:r>
        <w:t>Thematic Analysis</w:t>
      </w:r>
      <w:bookmarkEnd w:id="272"/>
      <w:bookmarkEnd w:id="273"/>
      <w:bookmarkEnd w:id="274"/>
      <w:bookmarkEnd w:id="275"/>
    </w:p>
    <w:p w:rsidR="001D1FD6" w:rsidRDefault="0012332F">
      <w:r>
        <w:t>Thematic analysis identifies and reports recurring patterns within data (Braun and Clarke, 2006). It suited a heterogeneous evidence base because quantitative findings could be translated into concise conceptual statements and compared with qualitative explanations of why engagement was sustained or interrupted. This approach is consistent with thematic synthesis, which develops descriptive and analytical patterns while retaining individual-study contributions (Thomas and Harden, 2008). No new statistical analysis was undertaken.</w:t>
      </w:r>
    </w:p>
    <w:p w:rsidR="001D1FD6" w:rsidRDefault="0012332F">
      <w:pPr>
        <w:pStyle w:val="Heading2"/>
      </w:pPr>
      <w:bookmarkStart w:id="276" w:name="_Toc238559700"/>
      <w:bookmarkStart w:id="277" w:name="_Toc238262537"/>
      <w:bookmarkStart w:id="278" w:name="_Toc238725434"/>
      <w:bookmarkStart w:id="279" w:name="_Toc238725552"/>
      <w:r>
        <w:t>Data Analysis Tool</w:t>
      </w:r>
      <w:bookmarkEnd w:id="276"/>
      <w:bookmarkEnd w:id="277"/>
      <w:bookmarkEnd w:id="278"/>
      <w:bookmarkEnd w:id="279"/>
    </w:p>
    <w:p w:rsidR="001D1FD6" w:rsidRDefault="0012332F">
      <w:r>
        <w:t>Braun and Clarke’s (2006) six phases guided familiarisation, coding, category development, candidate themes, review, and final definition and naming. Similar findings were combined, while contrasting or qualifying results were retained. The coding and theme-development matrix is provided in Appendix 5A.</w:t>
      </w:r>
    </w:p>
    <w:p w:rsidR="001D1FD6" w:rsidRDefault="0012332F">
      <w:pPr>
        <w:pStyle w:val="Heading2"/>
      </w:pPr>
      <w:bookmarkStart w:id="280" w:name="_Toc238559701"/>
      <w:bookmarkStart w:id="281" w:name="_Toc238262538"/>
      <w:bookmarkStart w:id="282" w:name="_Toc238725435"/>
      <w:bookmarkStart w:id="283" w:name="_Toc238725553"/>
      <w:r>
        <w:t>Characteristics of the Identified Studies</w:t>
      </w:r>
      <w:bookmarkEnd w:id="280"/>
      <w:bookmarkEnd w:id="281"/>
      <w:bookmarkEnd w:id="282"/>
      <w:bookmarkEnd w:id="283"/>
    </w:p>
    <w:p w:rsidR="00F93449" w:rsidRDefault="00F93449" w:rsidP="00F93449">
      <w:pPr>
        <w:pStyle w:val="Caption"/>
        <w:keepNext/>
      </w:pPr>
      <w:bookmarkStart w:id="284" w:name="_Toc238725589"/>
      <w:r>
        <w:t xml:space="preserve">Table </w:t>
      </w:r>
      <w:r w:rsidR="00AD1081">
        <w:fldChar w:fldCharType="begin"/>
      </w:r>
      <w:r>
        <w:instrText xml:space="preserve"> STYLEREF 1 \s </w:instrText>
      </w:r>
      <w:r w:rsidR="00AD1081">
        <w:fldChar w:fldCharType="separate"/>
      </w:r>
      <w:r>
        <w:rPr>
          <w:noProof/>
        </w:rPr>
        <w:t>5</w:t>
      </w:r>
      <w:r w:rsidR="00AD1081">
        <w:fldChar w:fldCharType="end"/>
      </w:r>
      <w:r>
        <w:t>.</w:t>
      </w:r>
      <w:r w:rsidR="00AD1081">
        <w:fldChar w:fldCharType="begin"/>
      </w:r>
      <w:r>
        <w:instrText xml:space="preserve"> SEQ Table \* ARABIC \s 1 </w:instrText>
      </w:r>
      <w:r w:rsidR="00AD1081">
        <w:fldChar w:fldCharType="separate"/>
      </w:r>
      <w:r>
        <w:rPr>
          <w:noProof/>
        </w:rPr>
        <w:t>1</w:t>
      </w:r>
      <w:r w:rsidR="00AD1081">
        <w:fldChar w:fldCharType="end"/>
      </w:r>
      <w:r>
        <w:t xml:space="preserve">. </w:t>
      </w:r>
      <w:r w:rsidRPr="00314F8C">
        <w:t>Characteristics of the identified studies</w:t>
      </w:r>
      <w:bookmarkEnd w:id="284"/>
    </w:p>
    <w:tbl>
      <w:tblPr>
        <w:tblStyle w:val="TableGrid"/>
        <w:tblW w:w="9016" w:type="dxa"/>
        <w:tblLayout w:type="fixed"/>
        <w:tblLook w:val="04A0"/>
      </w:tblPr>
      <w:tblGrid>
        <w:gridCol w:w="2051"/>
        <w:gridCol w:w="2249"/>
        <w:gridCol w:w="2127"/>
        <w:gridCol w:w="2589"/>
      </w:tblGrid>
      <w:tr w:rsidR="001D1FD6">
        <w:trPr>
          <w:tblHeader/>
        </w:trPr>
        <w:tc>
          <w:tcPr>
            <w:tcW w:w="2050" w:type="dxa"/>
            <w:shd w:val="clear" w:color="auto" w:fill="D9EAF7"/>
          </w:tcPr>
          <w:p w:rsidR="001D1FD6" w:rsidRDefault="0012332F">
            <w:pPr>
              <w:jc w:val="center"/>
              <w:rPr>
                <w:b/>
                <w:bCs/>
                <w:szCs w:val="24"/>
              </w:rPr>
            </w:pPr>
            <w:r>
              <w:rPr>
                <w:b/>
                <w:bCs/>
                <w:szCs w:val="24"/>
              </w:rPr>
              <w:t>Study</w:t>
            </w:r>
          </w:p>
        </w:tc>
        <w:tc>
          <w:tcPr>
            <w:tcW w:w="2249" w:type="dxa"/>
            <w:shd w:val="clear" w:color="auto" w:fill="D9EAF7"/>
          </w:tcPr>
          <w:p w:rsidR="001D1FD6" w:rsidRDefault="0012332F">
            <w:pPr>
              <w:jc w:val="center"/>
              <w:rPr>
                <w:b/>
                <w:bCs/>
                <w:szCs w:val="24"/>
              </w:rPr>
            </w:pPr>
            <w:r>
              <w:rPr>
                <w:b/>
                <w:bCs/>
                <w:szCs w:val="24"/>
              </w:rPr>
              <w:t>Setting</w:t>
            </w:r>
          </w:p>
        </w:tc>
        <w:tc>
          <w:tcPr>
            <w:tcW w:w="2127" w:type="dxa"/>
            <w:shd w:val="clear" w:color="auto" w:fill="D9EAF7"/>
          </w:tcPr>
          <w:p w:rsidR="001D1FD6" w:rsidRDefault="0012332F">
            <w:pPr>
              <w:jc w:val="center"/>
              <w:rPr>
                <w:b/>
                <w:bCs/>
                <w:szCs w:val="24"/>
              </w:rPr>
            </w:pPr>
            <w:r>
              <w:rPr>
                <w:b/>
                <w:bCs/>
                <w:szCs w:val="24"/>
              </w:rPr>
              <w:t>Design</w:t>
            </w:r>
          </w:p>
        </w:tc>
        <w:tc>
          <w:tcPr>
            <w:tcW w:w="2589" w:type="dxa"/>
            <w:shd w:val="clear" w:color="auto" w:fill="D9EAF7"/>
          </w:tcPr>
          <w:p w:rsidR="001D1FD6" w:rsidRDefault="0012332F">
            <w:pPr>
              <w:jc w:val="center"/>
              <w:rPr>
                <w:b/>
                <w:bCs/>
                <w:szCs w:val="24"/>
              </w:rPr>
            </w:pPr>
            <w:r>
              <w:rPr>
                <w:b/>
                <w:bCs/>
                <w:szCs w:val="24"/>
              </w:rPr>
              <w:t>Engagement/cessation focus</w:t>
            </w:r>
          </w:p>
        </w:tc>
      </w:tr>
      <w:tr w:rsidR="001D1FD6">
        <w:tc>
          <w:tcPr>
            <w:tcW w:w="2050" w:type="dxa"/>
          </w:tcPr>
          <w:p w:rsidR="001D1FD6" w:rsidRDefault="0012332F">
            <w:pPr>
              <w:rPr>
                <w:szCs w:val="24"/>
              </w:rPr>
            </w:pPr>
            <w:r>
              <w:rPr>
                <w:szCs w:val="24"/>
              </w:rPr>
              <w:t>Edwards et al. (2007)</w:t>
            </w:r>
          </w:p>
        </w:tc>
        <w:tc>
          <w:tcPr>
            <w:tcW w:w="2249" w:type="dxa"/>
          </w:tcPr>
          <w:p w:rsidR="001D1FD6" w:rsidRDefault="0012332F">
            <w:pPr>
              <w:rPr>
                <w:szCs w:val="24"/>
              </w:rPr>
            </w:pPr>
            <w:r>
              <w:rPr>
                <w:szCs w:val="24"/>
              </w:rPr>
              <w:t>South Derbyshire, England</w:t>
            </w:r>
          </w:p>
        </w:tc>
        <w:tc>
          <w:tcPr>
            <w:tcW w:w="2127" w:type="dxa"/>
          </w:tcPr>
          <w:p w:rsidR="001D1FD6" w:rsidRDefault="0012332F">
            <w:pPr>
              <w:rPr>
                <w:szCs w:val="24"/>
              </w:rPr>
            </w:pPr>
            <w:r>
              <w:rPr>
                <w:szCs w:val="24"/>
              </w:rPr>
              <w:t>Cross-sectional postal survey</w:t>
            </w:r>
          </w:p>
        </w:tc>
        <w:tc>
          <w:tcPr>
            <w:tcW w:w="2589" w:type="dxa"/>
          </w:tcPr>
          <w:p w:rsidR="001D1FD6" w:rsidRDefault="0012332F">
            <w:pPr>
              <w:rPr>
                <w:szCs w:val="24"/>
              </w:rPr>
            </w:pPr>
            <w:r>
              <w:rPr>
                <w:szCs w:val="24"/>
              </w:rPr>
              <w:t>Awareness and use of NHS cessation services</w:t>
            </w:r>
          </w:p>
        </w:tc>
      </w:tr>
      <w:tr w:rsidR="001D1FD6">
        <w:tc>
          <w:tcPr>
            <w:tcW w:w="2050" w:type="dxa"/>
          </w:tcPr>
          <w:p w:rsidR="001D1FD6" w:rsidRDefault="0012332F">
            <w:pPr>
              <w:rPr>
                <w:szCs w:val="24"/>
              </w:rPr>
            </w:pPr>
            <w:r>
              <w:rPr>
                <w:szCs w:val="24"/>
              </w:rPr>
              <w:t>Kotz, Fidler and West (2009)</w:t>
            </w:r>
          </w:p>
        </w:tc>
        <w:tc>
          <w:tcPr>
            <w:tcW w:w="2249" w:type="dxa"/>
          </w:tcPr>
          <w:p w:rsidR="001D1FD6" w:rsidRDefault="0012332F">
            <w:pPr>
              <w:rPr>
                <w:szCs w:val="24"/>
              </w:rPr>
            </w:pPr>
            <w:r>
              <w:rPr>
                <w:szCs w:val="24"/>
              </w:rPr>
              <w:t>England</w:t>
            </w:r>
          </w:p>
        </w:tc>
        <w:tc>
          <w:tcPr>
            <w:tcW w:w="2127" w:type="dxa"/>
          </w:tcPr>
          <w:p w:rsidR="001D1FD6" w:rsidRDefault="0012332F">
            <w:pPr>
              <w:rPr>
                <w:szCs w:val="24"/>
              </w:rPr>
            </w:pPr>
            <w:r>
              <w:rPr>
                <w:szCs w:val="24"/>
              </w:rPr>
              <w:t>Cross-sectional household survey</w:t>
            </w:r>
          </w:p>
        </w:tc>
        <w:tc>
          <w:tcPr>
            <w:tcW w:w="2589" w:type="dxa"/>
          </w:tcPr>
          <w:p w:rsidR="001D1FD6" w:rsidRDefault="0012332F">
            <w:pPr>
              <w:rPr>
                <w:szCs w:val="24"/>
              </w:rPr>
            </w:pPr>
            <w:r>
              <w:rPr>
                <w:szCs w:val="24"/>
              </w:rPr>
              <w:t>Use of cessation aids and NHS Stop Smoking Services</w:t>
            </w:r>
          </w:p>
        </w:tc>
      </w:tr>
      <w:tr w:rsidR="001D1FD6">
        <w:tc>
          <w:tcPr>
            <w:tcW w:w="2050" w:type="dxa"/>
          </w:tcPr>
          <w:p w:rsidR="001D1FD6" w:rsidRDefault="0012332F">
            <w:pPr>
              <w:rPr>
                <w:szCs w:val="24"/>
              </w:rPr>
            </w:pPr>
            <w:r>
              <w:rPr>
                <w:szCs w:val="24"/>
              </w:rPr>
              <w:t>Gibson et al. (2010)</w:t>
            </w:r>
          </w:p>
        </w:tc>
        <w:tc>
          <w:tcPr>
            <w:tcW w:w="2249" w:type="dxa"/>
          </w:tcPr>
          <w:p w:rsidR="001D1FD6" w:rsidRDefault="0012332F">
            <w:pPr>
              <w:rPr>
                <w:szCs w:val="24"/>
              </w:rPr>
            </w:pPr>
            <w:r>
              <w:rPr>
                <w:szCs w:val="24"/>
              </w:rPr>
              <w:t>UK subgroup of four-country cohort</w:t>
            </w:r>
          </w:p>
        </w:tc>
        <w:tc>
          <w:tcPr>
            <w:tcW w:w="2127" w:type="dxa"/>
          </w:tcPr>
          <w:p w:rsidR="001D1FD6" w:rsidRDefault="0012332F">
            <w:pPr>
              <w:rPr>
                <w:szCs w:val="24"/>
              </w:rPr>
            </w:pPr>
            <w:r>
              <w:rPr>
                <w:szCs w:val="24"/>
              </w:rPr>
              <w:t>Prospective survey</w:t>
            </w:r>
          </w:p>
        </w:tc>
        <w:tc>
          <w:tcPr>
            <w:tcW w:w="2589" w:type="dxa"/>
          </w:tcPr>
          <w:p w:rsidR="001D1FD6" w:rsidRDefault="0012332F">
            <w:pPr>
              <w:rPr>
                <w:szCs w:val="24"/>
              </w:rPr>
            </w:pPr>
            <w:r>
              <w:rPr>
                <w:szCs w:val="24"/>
              </w:rPr>
              <w:t xml:space="preserve">Use of pharmacotherapy and </w:t>
            </w:r>
            <w:r>
              <w:rPr>
                <w:szCs w:val="24"/>
              </w:rPr>
              <w:lastRenderedPageBreak/>
              <w:t>behavioural/professional support during quit attempts</w:t>
            </w:r>
          </w:p>
        </w:tc>
      </w:tr>
      <w:tr w:rsidR="001D1FD6">
        <w:tc>
          <w:tcPr>
            <w:tcW w:w="2050" w:type="dxa"/>
          </w:tcPr>
          <w:p w:rsidR="001D1FD6" w:rsidRDefault="0012332F">
            <w:pPr>
              <w:rPr>
                <w:szCs w:val="24"/>
              </w:rPr>
            </w:pPr>
            <w:r>
              <w:rPr>
                <w:szCs w:val="24"/>
              </w:rPr>
              <w:lastRenderedPageBreak/>
              <w:t>Bauld et al. (2012)</w:t>
            </w:r>
          </w:p>
        </w:tc>
        <w:tc>
          <w:tcPr>
            <w:tcW w:w="2249" w:type="dxa"/>
          </w:tcPr>
          <w:p w:rsidR="001D1FD6" w:rsidRDefault="0012332F">
            <w:pPr>
              <w:rPr>
                <w:szCs w:val="24"/>
              </w:rPr>
            </w:pPr>
            <w:r>
              <w:rPr>
                <w:szCs w:val="24"/>
              </w:rPr>
              <w:t>Liverpool and Knowsley</w:t>
            </w:r>
          </w:p>
        </w:tc>
        <w:tc>
          <w:tcPr>
            <w:tcW w:w="2127" w:type="dxa"/>
          </w:tcPr>
          <w:p w:rsidR="001D1FD6" w:rsidRDefault="0012332F">
            <w:pPr>
              <w:rPr>
                <w:szCs w:val="24"/>
              </w:rPr>
            </w:pPr>
            <w:r>
              <w:rPr>
                <w:szCs w:val="24"/>
              </w:rPr>
              <w:t>Prospective service cohort</w:t>
            </w:r>
          </w:p>
        </w:tc>
        <w:tc>
          <w:tcPr>
            <w:tcW w:w="2589" w:type="dxa"/>
          </w:tcPr>
          <w:p w:rsidR="001D1FD6" w:rsidRDefault="0012332F">
            <w:pPr>
              <w:rPr>
                <w:szCs w:val="24"/>
              </w:rPr>
            </w:pPr>
            <w:r>
              <w:rPr>
                <w:szCs w:val="24"/>
              </w:rPr>
              <w:t>Rolling-group behavioural support, medication and long-term abstinence</w:t>
            </w:r>
          </w:p>
        </w:tc>
      </w:tr>
      <w:tr w:rsidR="001D1FD6">
        <w:tc>
          <w:tcPr>
            <w:tcW w:w="2050" w:type="dxa"/>
          </w:tcPr>
          <w:p w:rsidR="001D1FD6" w:rsidRDefault="0012332F">
            <w:pPr>
              <w:rPr>
                <w:szCs w:val="24"/>
              </w:rPr>
            </w:pPr>
            <w:r>
              <w:rPr>
                <w:szCs w:val="24"/>
              </w:rPr>
              <w:t>Bauld et al. (2016)</w:t>
            </w:r>
          </w:p>
        </w:tc>
        <w:tc>
          <w:tcPr>
            <w:tcW w:w="2249" w:type="dxa"/>
          </w:tcPr>
          <w:p w:rsidR="001D1FD6" w:rsidRDefault="0012332F">
            <w:pPr>
              <w:rPr>
                <w:szCs w:val="24"/>
              </w:rPr>
            </w:pPr>
            <w:r>
              <w:rPr>
                <w:szCs w:val="24"/>
              </w:rPr>
              <w:t>Nine areas of England</w:t>
            </w:r>
          </w:p>
        </w:tc>
        <w:tc>
          <w:tcPr>
            <w:tcW w:w="2127" w:type="dxa"/>
          </w:tcPr>
          <w:p w:rsidR="001D1FD6" w:rsidRDefault="0012332F">
            <w:pPr>
              <w:rPr>
                <w:szCs w:val="24"/>
              </w:rPr>
            </w:pPr>
            <w:r>
              <w:rPr>
                <w:szCs w:val="24"/>
              </w:rPr>
              <w:t>Prospective service cohort</w:t>
            </w:r>
          </w:p>
        </w:tc>
        <w:tc>
          <w:tcPr>
            <w:tcW w:w="2589" w:type="dxa"/>
          </w:tcPr>
          <w:p w:rsidR="001D1FD6" w:rsidRDefault="0012332F">
            <w:pPr>
              <w:rPr>
                <w:szCs w:val="24"/>
              </w:rPr>
            </w:pPr>
            <w:r>
              <w:rPr>
                <w:szCs w:val="24"/>
              </w:rPr>
              <w:t>Specialist/generalist support, treatment and 52-week outcomes</w:t>
            </w:r>
          </w:p>
        </w:tc>
      </w:tr>
      <w:tr w:rsidR="001D1FD6">
        <w:tc>
          <w:tcPr>
            <w:tcW w:w="2050" w:type="dxa"/>
          </w:tcPr>
          <w:p w:rsidR="001D1FD6" w:rsidRDefault="0012332F">
            <w:pPr>
              <w:rPr>
                <w:szCs w:val="24"/>
              </w:rPr>
            </w:pPr>
            <w:r>
              <w:rPr>
                <w:szCs w:val="24"/>
              </w:rPr>
              <w:t>Kale, Gilbert and Sutton (2019)</w:t>
            </w:r>
          </w:p>
        </w:tc>
        <w:tc>
          <w:tcPr>
            <w:tcW w:w="2249" w:type="dxa"/>
          </w:tcPr>
          <w:p w:rsidR="001D1FD6" w:rsidRDefault="0012332F">
            <w:pPr>
              <w:rPr>
                <w:szCs w:val="24"/>
              </w:rPr>
            </w:pPr>
            <w:r>
              <w:rPr>
                <w:szCs w:val="24"/>
              </w:rPr>
              <w:t>England</w:t>
            </w:r>
          </w:p>
        </w:tc>
        <w:tc>
          <w:tcPr>
            <w:tcW w:w="2127" w:type="dxa"/>
          </w:tcPr>
          <w:p w:rsidR="001D1FD6" w:rsidRDefault="0012332F">
            <w:pPr>
              <w:rPr>
                <w:szCs w:val="24"/>
              </w:rPr>
            </w:pPr>
            <w:r>
              <w:rPr>
                <w:szCs w:val="24"/>
              </w:rPr>
              <w:t>Questionnaire study of non-attenders</w:t>
            </w:r>
          </w:p>
        </w:tc>
        <w:tc>
          <w:tcPr>
            <w:tcW w:w="2589" w:type="dxa"/>
          </w:tcPr>
          <w:p w:rsidR="001D1FD6" w:rsidRDefault="0012332F">
            <w:pPr>
              <w:rPr>
                <w:szCs w:val="24"/>
              </w:rPr>
            </w:pPr>
            <w:r>
              <w:rPr>
                <w:szCs w:val="24"/>
              </w:rPr>
              <w:t>Barriers to attendance at Stop Smoking Services</w:t>
            </w:r>
          </w:p>
        </w:tc>
      </w:tr>
      <w:tr w:rsidR="001D1FD6">
        <w:tc>
          <w:tcPr>
            <w:tcW w:w="2050" w:type="dxa"/>
          </w:tcPr>
          <w:p w:rsidR="001D1FD6" w:rsidRDefault="0012332F">
            <w:pPr>
              <w:rPr>
                <w:szCs w:val="24"/>
              </w:rPr>
            </w:pPr>
            <w:r>
              <w:rPr>
                <w:szCs w:val="24"/>
              </w:rPr>
              <w:t>Robinson et al. (2019)</w:t>
            </w:r>
          </w:p>
        </w:tc>
        <w:tc>
          <w:tcPr>
            <w:tcW w:w="2249" w:type="dxa"/>
          </w:tcPr>
          <w:p w:rsidR="001D1FD6" w:rsidRDefault="0012332F">
            <w:pPr>
              <w:rPr>
                <w:szCs w:val="24"/>
              </w:rPr>
            </w:pPr>
            <w:r>
              <w:rPr>
                <w:szCs w:val="24"/>
              </w:rPr>
              <w:t>London</w:t>
            </w:r>
          </w:p>
        </w:tc>
        <w:tc>
          <w:tcPr>
            <w:tcW w:w="2127" w:type="dxa"/>
          </w:tcPr>
          <w:p w:rsidR="001D1FD6" w:rsidRDefault="0012332F">
            <w:pPr>
              <w:rPr>
                <w:szCs w:val="24"/>
              </w:rPr>
            </w:pPr>
            <w:r>
              <w:rPr>
                <w:szCs w:val="24"/>
              </w:rPr>
              <w:t>Qualitative service evaluation</w:t>
            </w:r>
          </w:p>
        </w:tc>
        <w:tc>
          <w:tcPr>
            <w:tcW w:w="2589" w:type="dxa"/>
          </w:tcPr>
          <w:p w:rsidR="001D1FD6" w:rsidRDefault="0012332F">
            <w:pPr>
              <w:rPr>
                <w:szCs w:val="24"/>
              </w:rPr>
            </w:pPr>
            <w:r>
              <w:rPr>
                <w:szCs w:val="24"/>
              </w:rPr>
              <w:t>Experiences of a Cut-Down-To-Stop intervention</w:t>
            </w:r>
          </w:p>
        </w:tc>
      </w:tr>
      <w:tr w:rsidR="001D1FD6">
        <w:tc>
          <w:tcPr>
            <w:tcW w:w="2050" w:type="dxa"/>
          </w:tcPr>
          <w:p w:rsidR="001D1FD6" w:rsidRDefault="0012332F">
            <w:pPr>
              <w:rPr>
                <w:szCs w:val="24"/>
              </w:rPr>
            </w:pPr>
            <w:r>
              <w:rPr>
                <w:szCs w:val="24"/>
              </w:rPr>
              <w:t>Jackson et al. (2021)</w:t>
            </w:r>
          </w:p>
        </w:tc>
        <w:tc>
          <w:tcPr>
            <w:tcW w:w="2249" w:type="dxa"/>
          </w:tcPr>
          <w:p w:rsidR="001D1FD6" w:rsidRDefault="0012332F">
            <w:pPr>
              <w:rPr>
                <w:szCs w:val="24"/>
              </w:rPr>
            </w:pPr>
            <w:r>
              <w:rPr>
                <w:szCs w:val="24"/>
              </w:rPr>
              <w:t>London versus rest of England</w:t>
            </w:r>
          </w:p>
        </w:tc>
        <w:tc>
          <w:tcPr>
            <w:tcW w:w="2127" w:type="dxa"/>
          </w:tcPr>
          <w:p w:rsidR="001D1FD6" w:rsidRDefault="0012332F">
            <w:pPr>
              <w:rPr>
                <w:szCs w:val="24"/>
              </w:rPr>
            </w:pPr>
            <w:r>
              <w:rPr>
                <w:szCs w:val="24"/>
              </w:rPr>
              <w:t>Interrupted time-series</w:t>
            </w:r>
          </w:p>
        </w:tc>
        <w:tc>
          <w:tcPr>
            <w:tcW w:w="2589" w:type="dxa"/>
          </w:tcPr>
          <w:p w:rsidR="001D1FD6" w:rsidRDefault="0012332F">
            <w:pPr>
              <w:rPr>
                <w:szCs w:val="24"/>
              </w:rPr>
            </w:pPr>
            <w:r>
              <w:rPr>
                <w:szCs w:val="24"/>
              </w:rPr>
              <w:t>Population cessation programme, quit attempts and quit success</w:t>
            </w:r>
          </w:p>
        </w:tc>
      </w:tr>
      <w:tr w:rsidR="001D1FD6">
        <w:tc>
          <w:tcPr>
            <w:tcW w:w="2050" w:type="dxa"/>
          </w:tcPr>
          <w:p w:rsidR="001D1FD6" w:rsidRDefault="0012332F">
            <w:pPr>
              <w:rPr>
                <w:szCs w:val="24"/>
              </w:rPr>
            </w:pPr>
            <w:r>
              <w:rPr>
                <w:szCs w:val="24"/>
              </w:rPr>
              <w:t>Pope et al. (2025)</w:t>
            </w:r>
          </w:p>
        </w:tc>
        <w:tc>
          <w:tcPr>
            <w:tcW w:w="2249" w:type="dxa"/>
          </w:tcPr>
          <w:p w:rsidR="001D1FD6" w:rsidRDefault="0012332F">
            <w:pPr>
              <w:rPr>
                <w:szCs w:val="24"/>
              </w:rPr>
            </w:pPr>
            <w:r>
              <w:rPr>
                <w:szCs w:val="24"/>
              </w:rPr>
              <w:t>Multiple UK emergency departments/services</w:t>
            </w:r>
          </w:p>
        </w:tc>
        <w:tc>
          <w:tcPr>
            <w:tcW w:w="2127" w:type="dxa"/>
          </w:tcPr>
          <w:p w:rsidR="001D1FD6" w:rsidRDefault="0012332F">
            <w:pPr>
              <w:rPr>
                <w:szCs w:val="24"/>
              </w:rPr>
            </w:pPr>
            <w:r>
              <w:rPr>
                <w:szCs w:val="24"/>
              </w:rPr>
              <w:t>Mixed-methods primary study</w:t>
            </w:r>
          </w:p>
        </w:tc>
        <w:tc>
          <w:tcPr>
            <w:tcW w:w="2589" w:type="dxa"/>
          </w:tcPr>
          <w:p w:rsidR="001D1FD6" w:rsidRDefault="0012332F">
            <w:pPr>
              <w:rPr>
                <w:szCs w:val="24"/>
              </w:rPr>
            </w:pPr>
            <w:r>
              <w:rPr>
                <w:szCs w:val="24"/>
              </w:rPr>
              <w:t>Referral, contact, service engagement and barriers</w:t>
            </w:r>
          </w:p>
        </w:tc>
      </w:tr>
      <w:tr w:rsidR="001D1FD6">
        <w:tc>
          <w:tcPr>
            <w:tcW w:w="2050" w:type="dxa"/>
          </w:tcPr>
          <w:p w:rsidR="001D1FD6" w:rsidRDefault="0012332F">
            <w:pPr>
              <w:rPr>
                <w:szCs w:val="24"/>
              </w:rPr>
            </w:pPr>
            <w:r>
              <w:rPr>
                <w:szCs w:val="24"/>
              </w:rPr>
              <w:t>Smith et al. (2026)</w:t>
            </w:r>
          </w:p>
        </w:tc>
        <w:tc>
          <w:tcPr>
            <w:tcW w:w="2249" w:type="dxa"/>
          </w:tcPr>
          <w:p w:rsidR="001D1FD6" w:rsidRDefault="0012332F">
            <w:pPr>
              <w:rPr>
                <w:szCs w:val="24"/>
              </w:rPr>
            </w:pPr>
            <w:r>
              <w:rPr>
                <w:szCs w:val="24"/>
              </w:rPr>
              <w:t>England, Scotland, Wales and Northern Ireland</w:t>
            </w:r>
          </w:p>
        </w:tc>
        <w:tc>
          <w:tcPr>
            <w:tcW w:w="2127" w:type="dxa"/>
          </w:tcPr>
          <w:p w:rsidR="001D1FD6" w:rsidRDefault="0012332F">
            <w:pPr>
              <w:rPr>
                <w:szCs w:val="24"/>
              </w:rPr>
            </w:pPr>
            <w:r>
              <w:rPr>
                <w:szCs w:val="24"/>
              </w:rPr>
              <w:t>Qualitative interview study</w:t>
            </w:r>
          </w:p>
        </w:tc>
        <w:tc>
          <w:tcPr>
            <w:tcW w:w="2589" w:type="dxa"/>
          </w:tcPr>
          <w:p w:rsidR="001D1FD6" w:rsidRDefault="0012332F">
            <w:pPr>
              <w:rPr>
                <w:szCs w:val="24"/>
              </w:rPr>
            </w:pPr>
            <w:r>
              <w:rPr>
                <w:szCs w:val="24"/>
              </w:rPr>
              <w:t>Barriers and facilitators among lower socioeconomic groups</w:t>
            </w:r>
          </w:p>
        </w:tc>
      </w:tr>
    </w:tbl>
    <w:p w:rsidR="001D1FD6" w:rsidRDefault="0012332F">
      <w:r>
        <w:t>The ten studies contributed complementary evidence from surveys, service cohorts, qualitative evaluations, an interrupted time-series analysis and a mixed-methods study. Table 5.1 summarises their settings, designs and engagement or cessation focus.</w:t>
      </w:r>
    </w:p>
    <w:p w:rsidR="001D1FD6" w:rsidRDefault="0012332F">
      <w:pPr>
        <w:pStyle w:val="Heading2"/>
      </w:pPr>
      <w:bookmarkStart w:id="285" w:name="_Toc238559702"/>
      <w:bookmarkStart w:id="286" w:name="_Toc238262539"/>
      <w:bookmarkStart w:id="287" w:name="_Toc238725436"/>
      <w:bookmarkStart w:id="288" w:name="_Toc238725554"/>
      <w:r>
        <w:t>Emerging Themes from Included Studies</w:t>
      </w:r>
      <w:bookmarkEnd w:id="285"/>
      <w:bookmarkEnd w:id="286"/>
      <w:bookmarkEnd w:id="287"/>
      <w:bookmarkEnd w:id="288"/>
    </w:p>
    <w:p w:rsidR="001D1FD6" w:rsidRDefault="0012332F">
      <w:r>
        <w:t>Five themes and fourteen subthemes described engagement as a pathway beginning before service attendance and shaped by practical, relational, personal and social conditions throughout quitting.</w:t>
      </w:r>
    </w:p>
    <w:p w:rsidR="00F93449" w:rsidRDefault="00F93449" w:rsidP="00F93449">
      <w:pPr>
        <w:pStyle w:val="Caption"/>
        <w:keepNext/>
      </w:pPr>
      <w:bookmarkStart w:id="289" w:name="_Toc238725590"/>
      <w:r>
        <w:t xml:space="preserve">Table </w:t>
      </w:r>
      <w:r w:rsidR="00AD1081">
        <w:fldChar w:fldCharType="begin"/>
      </w:r>
      <w:r>
        <w:instrText xml:space="preserve"> STYLEREF 1 \s </w:instrText>
      </w:r>
      <w:r w:rsidR="00AD1081">
        <w:fldChar w:fldCharType="separate"/>
      </w:r>
      <w:r>
        <w:rPr>
          <w:noProof/>
        </w:rPr>
        <w:t>5</w:t>
      </w:r>
      <w:r w:rsidR="00AD1081">
        <w:fldChar w:fldCharType="end"/>
      </w:r>
      <w:r>
        <w:t>.</w:t>
      </w:r>
      <w:r w:rsidR="00AD1081">
        <w:fldChar w:fldCharType="begin"/>
      </w:r>
      <w:r>
        <w:instrText xml:space="preserve"> SEQ Table \* ARABIC \s 1 </w:instrText>
      </w:r>
      <w:r w:rsidR="00AD1081">
        <w:fldChar w:fldCharType="separate"/>
      </w:r>
      <w:r>
        <w:rPr>
          <w:noProof/>
        </w:rPr>
        <w:t>2</w:t>
      </w:r>
      <w:r w:rsidR="00AD1081">
        <w:fldChar w:fldCharType="end"/>
      </w:r>
      <w:r>
        <w:t xml:space="preserve">. </w:t>
      </w:r>
      <w:r w:rsidRPr="003C01B1">
        <w:t>Themes, subthemes and contributing studies</w:t>
      </w:r>
      <w:bookmarkEnd w:id="289"/>
    </w:p>
    <w:tbl>
      <w:tblPr>
        <w:tblStyle w:val="TableGrid"/>
        <w:tblW w:w="8856" w:type="dxa"/>
        <w:jc w:val="center"/>
        <w:tblLayout w:type="fixed"/>
        <w:tblCellMar>
          <w:top w:w="40" w:type="dxa"/>
          <w:left w:w="70" w:type="dxa"/>
          <w:bottom w:w="40" w:type="dxa"/>
          <w:right w:w="70" w:type="dxa"/>
        </w:tblCellMar>
        <w:tblLook w:val="04A0"/>
      </w:tblPr>
      <w:tblGrid>
        <w:gridCol w:w="2088"/>
        <w:gridCol w:w="2804"/>
        <w:gridCol w:w="3964"/>
      </w:tblGrid>
      <w:tr w:rsidR="001D1FD6">
        <w:trPr>
          <w:tblHeader/>
          <w:jc w:val="center"/>
        </w:trPr>
        <w:tc>
          <w:tcPr>
            <w:tcW w:w="2088" w:type="dxa"/>
            <w:shd w:val="clear" w:color="auto" w:fill="D9EAF7"/>
            <w:vAlign w:val="center"/>
          </w:tcPr>
          <w:p w:rsidR="001D1FD6" w:rsidRDefault="0012332F">
            <w:pPr>
              <w:jc w:val="center"/>
              <w:rPr>
                <w:b/>
                <w:bCs/>
                <w:szCs w:val="24"/>
              </w:rPr>
            </w:pPr>
            <w:r>
              <w:rPr>
                <w:b/>
                <w:bCs/>
                <w:szCs w:val="24"/>
              </w:rPr>
              <w:t>Theme</w:t>
            </w:r>
          </w:p>
        </w:tc>
        <w:tc>
          <w:tcPr>
            <w:tcW w:w="2804" w:type="dxa"/>
            <w:shd w:val="clear" w:color="auto" w:fill="D9EAF7"/>
            <w:vAlign w:val="center"/>
          </w:tcPr>
          <w:p w:rsidR="001D1FD6" w:rsidRDefault="0012332F">
            <w:pPr>
              <w:jc w:val="center"/>
              <w:rPr>
                <w:b/>
                <w:bCs/>
                <w:szCs w:val="24"/>
              </w:rPr>
            </w:pPr>
            <w:r>
              <w:rPr>
                <w:b/>
                <w:bCs/>
                <w:szCs w:val="24"/>
              </w:rPr>
              <w:t>Subthemes</w:t>
            </w:r>
          </w:p>
        </w:tc>
        <w:tc>
          <w:tcPr>
            <w:tcW w:w="3964" w:type="dxa"/>
            <w:shd w:val="clear" w:color="auto" w:fill="D9EAF7"/>
            <w:vAlign w:val="center"/>
          </w:tcPr>
          <w:p w:rsidR="001D1FD6" w:rsidRDefault="0012332F">
            <w:pPr>
              <w:jc w:val="center"/>
              <w:rPr>
                <w:b/>
                <w:bCs/>
                <w:szCs w:val="24"/>
              </w:rPr>
            </w:pPr>
            <w:r>
              <w:rPr>
                <w:b/>
                <w:bCs/>
                <w:szCs w:val="24"/>
              </w:rPr>
              <w:t>Articles</w:t>
            </w:r>
          </w:p>
        </w:tc>
      </w:tr>
      <w:tr w:rsidR="001D1FD6">
        <w:trPr>
          <w:jc w:val="center"/>
        </w:trPr>
        <w:tc>
          <w:tcPr>
            <w:tcW w:w="2088" w:type="dxa"/>
            <w:tcMar>
              <w:top w:w="0" w:type="dxa"/>
              <w:left w:w="108" w:type="dxa"/>
              <w:bottom w:w="0" w:type="dxa"/>
              <w:right w:w="108" w:type="dxa"/>
            </w:tcMar>
          </w:tcPr>
          <w:p w:rsidR="001D1FD6" w:rsidRDefault="0012332F">
            <w:pPr>
              <w:rPr>
                <w:szCs w:val="24"/>
              </w:rPr>
            </w:pPr>
            <w:r>
              <w:rPr>
                <w:szCs w:val="24"/>
              </w:rPr>
              <w:lastRenderedPageBreak/>
              <w:t>5.5.1 Theme 1: Initial Connection to Support</w:t>
            </w:r>
          </w:p>
        </w:tc>
        <w:tc>
          <w:tcPr>
            <w:tcW w:w="2804" w:type="dxa"/>
            <w:tcMar>
              <w:top w:w="0" w:type="dxa"/>
              <w:left w:w="108" w:type="dxa"/>
              <w:bottom w:w="0" w:type="dxa"/>
              <w:right w:w="108" w:type="dxa"/>
            </w:tcMar>
          </w:tcPr>
          <w:p w:rsidR="001D1FD6" w:rsidRDefault="0012332F">
            <w:pPr>
              <w:rPr>
                <w:szCs w:val="24"/>
              </w:rPr>
            </w:pPr>
            <w:r>
              <w:rPr>
                <w:szCs w:val="24"/>
              </w:rPr>
              <w:t>5.5.1.1 Awareness and Understanding</w:t>
            </w:r>
          </w:p>
        </w:tc>
        <w:tc>
          <w:tcPr>
            <w:tcW w:w="3964" w:type="dxa"/>
            <w:tcMar>
              <w:top w:w="0" w:type="dxa"/>
              <w:left w:w="108" w:type="dxa"/>
              <w:bottom w:w="0" w:type="dxa"/>
              <w:right w:w="108" w:type="dxa"/>
            </w:tcMar>
          </w:tcPr>
          <w:p w:rsidR="001D1FD6" w:rsidRDefault="0012332F">
            <w:pPr>
              <w:rPr>
                <w:szCs w:val="24"/>
              </w:rPr>
            </w:pPr>
            <w:r>
              <w:rPr>
                <w:szCs w:val="24"/>
              </w:rPr>
              <w:t>Edwards et al. (2007); Kotz, Fidler and West (2009); Kale, Gilbert and Sutton (2019); Smith et al. (2026)</w:t>
            </w:r>
          </w:p>
        </w:tc>
      </w:tr>
      <w:tr w:rsidR="001D1FD6">
        <w:trPr>
          <w:jc w:val="center"/>
        </w:trPr>
        <w:tc>
          <w:tcPr>
            <w:tcW w:w="2088" w:type="dxa"/>
            <w:tcMar>
              <w:top w:w="0" w:type="dxa"/>
              <w:left w:w="108" w:type="dxa"/>
              <w:bottom w:w="0" w:type="dxa"/>
              <w:right w:w="108" w:type="dxa"/>
            </w:tcMar>
          </w:tcPr>
          <w:p w:rsidR="001D1FD6" w:rsidRDefault="0012332F">
            <w:pPr>
              <w:rPr>
                <w:szCs w:val="24"/>
              </w:rPr>
            </w:pPr>
            <w:r>
              <w:rPr>
                <w:szCs w:val="24"/>
              </w:rPr>
              <w:t>5.5.1 Theme 1: Initial Connection to Support</w:t>
            </w:r>
          </w:p>
        </w:tc>
        <w:tc>
          <w:tcPr>
            <w:tcW w:w="2804" w:type="dxa"/>
            <w:tcMar>
              <w:top w:w="0" w:type="dxa"/>
              <w:left w:w="108" w:type="dxa"/>
              <w:bottom w:w="0" w:type="dxa"/>
              <w:right w:w="108" w:type="dxa"/>
            </w:tcMar>
          </w:tcPr>
          <w:p w:rsidR="001D1FD6" w:rsidRDefault="0012332F">
            <w:pPr>
              <w:rPr>
                <w:szCs w:val="24"/>
              </w:rPr>
            </w:pPr>
            <w:r>
              <w:rPr>
                <w:szCs w:val="24"/>
              </w:rPr>
              <w:t>5.5.1.2 Confidence and Beliefs about Services</w:t>
            </w:r>
          </w:p>
        </w:tc>
        <w:tc>
          <w:tcPr>
            <w:tcW w:w="3964" w:type="dxa"/>
            <w:tcMar>
              <w:top w:w="0" w:type="dxa"/>
              <w:left w:w="108" w:type="dxa"/>
              <w:bottom w:w="0" w:type="dxa"/>
              <w:right w:w="108" w:type="dxa"/>
            </w:tcMar>
          </w:tcPr>
          <w:p w:rsidR="001D1FD6" w:rsidRDefault="0012332F">
            <w:pPr>
              <w:rPr>
                <w:szCs w:val="24"/>
              </w:rPr>
            </w:pPr>
            <w:r>
              <w:rPr>
                <w:szCs w:val="24"/>
              </w:rPr>
              <w:t>Kale, Gilbert and Sutton (2019); Smith et al. (2026)</w:t>
            </w:r>
          </w:p>
        </w:tc>
      </w:tr>
      <w:tr w:rsidR="001D1FD6">
        <w:trPr>
          <w:jc w:val="center"/>
        </w:trPr>
        <w:tc>
          <w:tcPr>
            <w:tcW w:w="2088" w:type="dxa"/>
            <w:tcMar>
              <w:top w:w="0" w:type="dxa"/>
              <w:left w:w="108" w:type="dxa"/>
              <w:bottom w:w="0" w:type="dxa"/>
              <w:right w:w="108" w:type="dxa"/>
            </w:tcMar>
          </w:tcPr>
          <w:p w:rsidR="001D1FD6" w:rsidRDefault="0012332F">
            <w:pPr>
              <w:rPr>
                <w:szCs w:val="24"/>
              </w:rPr>
            </w:pPr>
            <w:r>
              <w:rPr>
                <w:szCs w:val="24"/>
              </w:rPr>
              <w:t>5.5.1 Theme 1: Initial Connection to Support</w:t>
            </w:r>
          </w:p>
        </w:tc>
        <w:tc>
          <w:tcPr>
            <w:tcW w:w="2804" w:type="dxa"/>
            <w:tcMar>
              <w:top w:w="0" w:type="dxa"/>
              <w:left w:w="108" w:type="dxa"/>
              <w:bottom w:w="0" w:type="dxa"/>
              <w:right w:w="108" w:type="dxa"/>
            </w:tcMar>
          </w:tcPr>
          <w:p w:rsidR="001D1FD6" w:rsidRDefault="0012332F">
            <w:pPr>
              <w:rPr>
                <w:szCs w:val="24"/>
              </w:rPr>
            </w:pPr>
            <w:r>
              <w:rPr>
                <w:szCs w:val="24"/>
              </w:rPr>
              <w:t>5.5.1.3 Routes into Support: Referral, Active Contact and Promotion</w:t>
            </w:r>
          </w:p>
        </w:tc>
        <w:tc>
          <w:tcPr>
            <w:tcW w:w="3964" w:type="dxa"/>
            <w:tcMar>
              <w:top w:w="0" w:type="dxa"/>
              <w:left w:w="108" w:type="dxa"/>
              <w:bottom w:w="0" w:type="dxa"/>
              <w:right w:w="108" w:type="dxa"/>
            </w:tcMar>
          </w:tcPr>
          <w:p w:rsidR="001D1FD6" w:rsidRDefault="0012332F">
            <w:pPr>
              <w:rPr>
                <w:szCs w:val="24"/>
              </w:rPr>
            </w:pPr>
            <w:r>
              <w:rPr>
                <w:szCs w:val="24"/>
              </w:rPr>
              <w:t>Gibson et al. (2010); Jackson et al. (2021); Pope et al. (2025)</w:t>
            </w:r>
          </w:p>
        </w:tc>
      </w:tr>
      <w:tr w:rsidR="001D1FD6">
        <w:trPr>
          <w:jc w:val="center"/>
        </w:trPr>
        <w:tc>
          <w:tcPr>
            <w:tcW w:w="2088" w:type="dxa"/>
            <w:tcMar>
              <w:top w:w="0" w:type="dxa"/>
              <w:left w:w="108" w:type="dxa"/>
              <w:bottom w:w="0" w:type="dxa"/>
              <w:right w:w="108" w:type="dxa"/>
            </w:tcMar>
          </w:tcPr>
          <w:p w:rsidR="001D1FD6" w:rsidRDefault="0012332F">
            <w:pPr>
              <w:rPr>
                <w:szCs w:val="24"/>
              </w:rPr>
            </w:pPr>
            <w:r>
              <w:rPr>
                <w:szCs w:val="24"/>
              </w:rPr>
              <w:t>5.5.2 Theme 2: Accessibility, Flexibility and Continuity</w:t>
            </w:r>
          </w:p>
        </w:tc>
        <w:tc>
          <w:tcPr>
            <w:tcW w:w="2804" w:type="dxa"/>
            <w:tcMar>
              <w:top w:w="0" w:type="dxa"/>
              <w:left w:w="108" w:type="dxa"/>
              <w:bottom w:w="0" w:type="dxa"/>
              <w:right w:w="108" w:type="dxa"/>
            </w:tcMar>
          </w:tcPr>
          <w:p w:rsidR="001D1FD6" w:rsidRDefault="0012332F">
            <w:pPr>
              <w:rPr>
                <w:szCs w:val="24"/>
              </w:rPr>
            </w:pPr>
            <w:r>
              <w:rPr>
                <w:szCs w:val="24"/>
              </w:rPr>
              <w:t>5.5.2.1 Time and Practical Barriers</w:t>
            </w:r>
          </w:p>
        </w:tc>
        <w:tc>
          <w:tcPr>
            <w:tcW w:w="3964" w:type="dxa"/>
            <w:tcMar>
              <w:top w:w="0" w:type="dxa"/>
              <w:left w:w="108" w:type="dxa"/>
              <w:bottom w:w="0" w:type="dxa"/>
              <w:right w:w="108" w:type="dxa"/>
            </w:tcMar>
          </w:tcPr>
          <w:p w:rsidR="001D1FD6" w:rsidRDefault="0012332F">
            <w:pPr>
              <w:rPr>
                <w:szCs w:val="24"/>
              </w:rPr>
            </w:pPr>
            <w:r>
              <w:rPr>
                <w:szCs w:val="24"/>
              </w:rPr>
              <w:t>Kale, Gilbert and Sutton (2019); Pope et al. (2025); Smith et al. (2026)</w:t>
            </w:r>
          </w:p>
        </w:tc>
      </w:tr>
      <w:tr w:rsidR="001D1FD6">
        <w:trPr>
          <w:jc w:val="center"/>
        </w:trPr>
        <w:tc>
          <w:tcPr>
            <w:tcW w:w="2088" w:type="dxa"/>
            <w:tcMar>
              <w:top w:w="0" w:type="dxa"/>
              <w:left w:w="108" w:type="dxa"/>
              <w:bottom w:w="0" w:type="dxa"/>
              <w:right w:w="108" w:type="dxa"/>
            </w:tcMar>
          </w:tcPr>
          <w:p w:rsidR="001D1FD6" w:rsidRDefault="0012332F">
            <w:pPr>
              <w:rPr>
                <w:szCs w:val="24"/>
              </w:rPr>
            </w:pPr>
            <w:r>
              <w:rPr>
                <w:szCs w:val="24"/>
              </w:rPr>
              <w:t>5.5.2 Theme 2: Accessibility, Flexibility and Continuity</w:t>
            </w:r>
          </w:p>
        </w:tc>
        <w:tc>
          <w:tcPr>
            <w:tcW w:w="2804" w:type="dxa"/>
            <w:tcMar>
              <w:top w:w="0" w:type="dxa"/>
              <w:left w:w="108" w:type="dxa"/>
              <w:bottom w:w="0" w:type="dxa"/>
              <w:right w:w="108" w:type="dxa"/>
            </w:tcMar>
          </w:tcPr>
          <w:p w:rsidR="001D1FD6" w:rsidRDefault="0012332F">
            <w:pPr>
              <w:rPr>
                <w:szCs w:val="24"/>
              </w:rPr>
            </w:pPr>
            <w:r>
              <w:rPr>
                <w:szCs w:val="24"/>
              </w:rPr>
              <w:t>5.5.2.2 Flexibility and Mode of Delivery</w:t>
            </w:r>
          </w:p>
        </w:tc>
        <w:tc>
          <w:tcPr>
            <w:tcW w:w="3964" w:type="dxa"/>
            <w:tcMar>
              <w:top w:w="0" w:type="dxa"/>
              <w:left w:w="108" w:type="dxa"/>
              <w:bottom w:w="0" w:type="dxa"/>
              <w:right w:w="108" w:type="dxa"/>
            </w:tcMar>
          </w:tcPr>
          <w:p w:rsidR="001D1FD6" w:rsidRDefault="0012332F">
            <w:pPr>
              <w:rPr>
                <w:szCs w:val="24"/>
              </w:rPr>
            </w:pPr>
            <w:r>
              <w:rPr>
                <w:szCs w:val="24"/>
              </w:rPr>
              <w:t>Robinson et al. (2019); Pope et al. (2025); Smith et al. (2026)</w:t>
            </w:r>
          </w:p>
        </w:tc>
      </w:tr>
      <w:tr w:rsidR="001D1FD6">
        <w:trPr>
          <w:jc w:val="center"/>
        </w:trPr>
        <w:tc>
          <w:tcPr>
            <w:tcW w:w="2088" w:type="dxa"/>
            <w:tcMar>
              <w:top w:w="0" w:type="dxa"/>
              <w:left w:w="108" w:type="dxa"/>
              <w:bottom w:w="0" w:type="dxa"/>
              <w:right w:w="108" w:type="dxa"/>
            </w:tcMar>
          </w:tcPr>
          <w:p w:rsidR="001D1FD6" w:rsidRDefault="0012332F">
            <w:pPr>
              <w:rPr>
                <w:szCs w:val="24"/>
              </w:rPr>
            </w:pPr>
            <w:r>
              <w:rPr>
                <w:szCs w:val="24"/>
              </w:rPr>
              <w:t>5.5.2 Theme 2: Accessibility, Flexibility and Continuity</w:t>
            </w:r>
          </w:p>
        </w:tc>
        <w:tc>
          <w:tcPr>
            <w:tcW w:w="2804" w:type="dxa"/>
            <w:tcMar>
              <w:top w:w="0" w:type="dxa"/>
              <w:left w:w="108" w:type="dxa"/>
              <w:bottom w:w="0" w:type="dxa"/>
              <w:right w:w="108" w:type="dxa"/>
            </w:tcMar>
          </w:tcPr>
          <w:p w:rsidR="001D1FD6" w:rsidRDefault="0012332F">
            <w:pPr>
              <w:rPr>
                <w:szCs w:val="24"/>
              </w:rPr>
            </w:pPr>
            <w:r>
              <w:rPr>
                <w:szCs w:val="24"/>
              </w:rPr>
              <w:t>5.5.2.3 Continuity, Follow-up and Re-engagement</w:t>
            </w:r>
          </w:p>
        </w:tc>
        <w:tc>
          <w:tcPr>
            <w:tcW w:w="3964" w:type="dxa"/>
            <w:tcMar>
              <w:top w:w="0" w:type="dxa"/>
              <w:left w:w="108" w:type="dxa"/>
              <w:bottom w:w="0" w:type="dxa"/>
              <w:right w:w="108" w:type="dxa"/>
            </w:tcMar>
          </w:tcPr>
          <w:p w:rsidR="001D1FD6" w:rsidRDefault="0012332F">
            <w:pPr>
              <w:rPr>
                <w:szCs w:val="24"/>
              </w:rPr>
            </w:pPr>
            <w:r>
              <w:rPr>
                <w:szCs w:val="24"/>
              </w:rPr>
              <w:t>Bauld et al. (2012); Robinson et al. (2019); Smith et al. (2026)</w:t>
            </w:r>
          </w:p>
        </w:tc>
      </w:tr>
      <w:tr w:rsidR="001D1FD6">
        <w:trPr>
          <w:jc w:val="center"/>
        </w:trPr>
        <w:tc>
          <w:tcPr>
            <w:tcW w:w="2088" w:type="dxa"/>
            <w:tcMar>
              <w:top w:w="0" w:type="dxa"/>
              <w:left w:w="108" w:type="dxa"/>
              <w:bottom w:w="0" w:type="dxa"/>
              <w:right w:w="108" w:type="dxa"/>
            </w:tcMar>
          </w:tcPr>
          <w:p w:rsidR="001D1FD6" w:rsidRDefault="0012332F">
            <w:pPr>
              <w:rPr>
                <w:szCs w:val="24"/>
              </w:rPr>
            </w:pPr>
            <w:r>
              <w:rPr>
                <w:szCs w:val="24"/>
              </w:rPr>
              <w:t>5.5.3 Theme 3: Relational and Treatment Support</w:t>
            </w:r>
          </w:p>
        </w:tc>
        <w:tc>
          <w:tcPr>
            <w:tcW w:w="2804" w:type="dxa"/>
            <w:tcMar>
              <w:top w:w="0" w:type="dxa"/>
              <w:left w:w="108" w:type="dxa"/>
              <w:bottom w:w="0" w:type="dxa"/>
              <w:right w:w="108" w:type="dxa"/>
            </w:tcMar>
          </w:tcPr>
          <w:p w:rsidR="001D1FD6" w:rsidRDefault="0012332F">
            <w:pPr>
              <w:rPr>
                <w:szCs w:val="24"/>
              </w:rPr>
            </w:pPr>
            <w:r>
              <w:rPr>
                <w:szCs w:val="24"/>
              </w:rPr>
              <w:t>5.5.3.1 Trust and Adviser Relationships</w:t>
            </w:r>
          </w:p>
        </w:tc>
        <w:tc>
          <w:tcPr>
            <w:tcW w:w="3964" w:type="dxa"/>
            <w:tcMar>
              <w:top w:w="0" w:type="dxa"/>
              <w:left w:w="108" w:type="dxa"/>
              <w:bottom w:w="0" w:type="dxa"/>
              <w:right w:w="108" w:type="dxa"/>
            </w:tcMar>
          </w:tcPr>
          <w:p w:rsidR="001D1FD6" w:rsidRDefault="0012332F">
            <w:pPr>
              <w:rPr>
                <w:szCs w:val="24"/>
              </w:rPr>
            </w:pPr>
            <w:r>
              <w:rPr>
                <w:szCs w:val="24"/>
              </w:rPr>
              <w:t>Robinson et al. (2019); Smith et al. (2026)</w:t>
            </w:r>
          </w:p>
        </w:tc>
      </w:tr>
      <w:tr w:rsidR="001D1FD6">
        <w:trPr>
          <w:jc w:val="center"/>
        </w:trPr>
        <w:tc>
          <w:tcPr>
            <w:tcW w:w="2088" w:type="dxa"/>
            <w:tcMar>
              <w:top w:w="0" w:type="dxa"/>
              <w:left w:w="108" w:type="dxa"/>
              <w:bottom w:w="0" w:type="dxa"/>
              <w:right w:w="108" w:type="dxa"/>
            </w:tcMar>
          </w:tcPr>
          <w:p w:rsidR="001D1FD6" w:rsidRDefault="0012332F">
            <w:pPr>
              <w:rPr>
                <w:szCs w:val="24"/>
              </w:rPr>
            </w:pPr>
            <w:r>
              <w:rPr>
                <w:szCs w:val="24"/>
              </w:rPr>
              <w:t>5.5.3 Theme 3: Relational and Treatment Support</w:t>
            </w:r>
          </w:p>
        </w:tc>
        <w:tc>
          <w:tcPr>
            <w:tcW w:w="2804" w:type="dxa"/>
            <w:tcMar>
              <w:top w:w="0" w:type="dxa"/>
              <w:left w:w="108" w:type="dxa"/>
              <w:bottom w:w="0" w:type="dxa"/>
              <w:right w:w="108" w:type="dxa"/>
            </w:tcMar>
          </w:tcPr>
          <w:p w:rsidR="001D1FD6" w:rsidRDefault="0012332F">
            <w:pPr>
              <w:rPr>
                <w:szCs w:val="24"/>
              </w:rPr>
            </w:pPr>
            <w:r>
              <w:rPr>
                <w:szCs w:val="24"/>
              </w:rPr>
              <w:t>5.5.3.2 Specialist and Group Behavioural Support</w:t>
            </w:r>
          </w:p>
        </w:tc>
        <w:tc>
          <w:tcPr>
            <w:tcW w:w="3964" w:type="dxa"/>
            <w:tcMar>
              <w:top w:w="0" w:type="dxa"/>
              <w:left w:w="108" w:type="dxa"/>
              <w:bottom w:w="0" w:type="dxa"/>
              <w:right w:w="108" w:type="dxa"/>
            </w:tcMar>
          </w:tcPr>
          <w:p w:rsidR="001D1FD6" w:rsidRDefault="0012332F">
            <w:pPr>
              <w:rPr>
                <w:szCs w:val="24"/>
              </w:rPr>
            </w:pPr>
            <w:r>
              <w:rPr>
                <w:szCs w:val="24"/>
                <w:lang w:val="de-CH"/>
              </w:rPr>
              <w:t xml:space="preserve">Bauld et al. (2012); Bauld et al. </w:t>
            </w:r>
            <w:r>
              <w:rPr>
                <w:szCs w:val="24"/>
              </w:rPr>
              <w:t>(2016)</w:t>
            </w:r>
          </w:p>
        </w:tc>
      </w:tr>
      <w:tr w:rsidR="001D1FD6">
        <w:trPr>
          <w:jc w:val="center"/>
        </w:trPr>
        <w:tc>
          <w:tcPr>
            <w:tcW w:w="2088" w:type="dxa"/>
            <w:tcMar>
              <w:top w:w="0" w:type="dxa"/>
              <w:left w:w="108" w:type="dxa"/>
              <w:bottom w:w="0" w:type="dxa"/>
              <w:right w:w="108" w:type="dxa"/>
            </w:tcMar>
          </w:tcPr>
          <w:p w:rsidR="001D1FD6" w:rsidRDefault="0012332F">
            <w:pPr>
              <w:rPr>
                <w:szCs w:val="24"/>
              </w:rPr>
            </w:pPr>
            <w:r>
              <w:rPr>
                <w:szCs w:val="24"/>
              </w:rPr>
              <w:t>5.5.3 Theme 3: Relational and Treatment Support</w:t>
            </w:r>
          </w:p>
        </w:tc>
        <w:tc>
          <w:tcPr>
            <w:tcW w:w="2804" w:type="dxa"/>
            <w:tcMar>
              <w:top w:w="0" w:type="dxa"/>
              <w:left w:w="108" w:type="dxa"/>
              <w:bottom w:w="0" w:type="dxa"/>
              <w:right w:w="108" w:type="dxa"/>
            </w:tcMar>
          </w:tcPr>
          <w:p w:rsidR="001D1FD6" w:rsidRDefault="0012332F">
            <w:pPr>
              <w:rPr>
                <w:szCs w:val="24"/>
              </w:rPr>
            </w:pPr>
            <w:r>
              <w:rPr>
                <w:szCs w:val="24"/>
              </w:rPr>
              <w:t>5.5.3.3 Medication and Treatment Support</w:t>
            </w:r>
          </w:p>
        </w:tc>
        <w:tc>
          <w:tcPr>
            <w:tcW w:w="3964" w:type="dxa"/>
            <w:tcMar>
              <w:top w:w="0" w:type="dxa"/>
              <w:left w:w="108" w:type="dxa"/>
              <w:bottom w:w="0" w:type="dxa"/>
              <w:right w:w="108" w:type="dxa"/>
            </w:tcMar>
          </w:tcPr>
          <w:p w:rsidR="001D1FD6" w:rsidRDefault="0012332F">
            <w:pPr>
              <w:rPr>
                <w:szCs w:val="24"/>
              </w:rPr>
            </w:pPr>
            <w:r>
              <w:rPr>
                <w:szCs w:val="24"/>
                <w:lang w:val="de-CH"/>
              </w:rPr>
              <w:t xml:space="preserve">Gibson et al. (2010); Bauld et al. </w:t>
            </w:r>
            <w:r>
              <w:rPr>
                <w:szCs w:val="24"/>
              </w:rPr>
              <w:t>(2016); Robinson et al. (2019); Smith et al. (2026)</w:t>
            </w:r>
          </w:p>
        </w:tc>
      </w:tr>
      <w:tr w:rsidR="001D1FD6">
        <w:trPr>
          <w:jc w:val="center"/>
        </w:trPr>
        <w:tc>
          <w:tcPr>
            <w:tcW w:w="2088" w:type="dxa"/>
            <w:tcMar>
              <w:top w:w="0" w:type="dxa"/>
              <w:left w:w="108" w:type="dxa"/>
              <w:bottom w:w="0" w:type="dxa"/>
              <w:right w:w="108" w:type="dxa"/>
            </w:tcMar>
          </w:tcPr>
          <w:p w:rsidR="001D1FD6" w:rsidRDefault="0012332F">
            <w:pPr>
              <w:rPr>
                <w:szCs w:val="24"/>
              </w:rPr>
            </w:pPr>
            <w:r>
              <w:rPr>
                <w:szCs w:val="24"/>
              </w:rPr>
              <w:t>5.5.4 Theme 4: Social and Personal Context</w:t>
            </w:r>
          </w:p>
        </w:tc>
        <w:tc>
          <w:tcPr>
            <w:tcW w:w="2804" w:type="dxa"/>
            <w:tcMar>
              <w:top w:w="0" w:type="dxa"/>
              <w:left w:w="108" w:type="dxa"/>
              <w:bottom w:w="0" w:type="dxa"/>
              <w:right w:w="108" w:type="dxa"/>
            </w:tcMar>
          </w:tcPr>
          <w:p w:rsidR="001D1FD6" w:rsidRDefault="0012332F">
            <w:pPr>
              <w:rPr>
                <w:szCs w:val="24"/>
              </w:rPr>
            </w:pPr>
            <w:r>
              <w:rPr>
                <w:szCs w:val="24"/>
              </w:rPr>
              <w:t>5.5.4.1 Socioeconomic Disadvantage</w:t>
            </w:r>
          </w:p>
        </w:tc>
        <w:tc>
          <w:tcPr>
            <w:tcW w:w="3964" w:type="dxa"/>
            <w:tcMar>
              <w:top w:w="0" w:type="dxa"/>
              <w:left w:w="108" w:type="dxa"/>
              <w:bottom w:w="0" w:type="dxa"/>
              <w:right w:w="108" w:type="dxa"/>
            </w:tcMar>
          </w:tcPr>
          <w:p w:rsidR="001D1FD6" w:rsidRDefault="0012332F">
            <w:pPr>
              <w:rPr>
                <w:szCs w:val="24"/>
              </w:rPr>
            </w:pPr>
            <w:r>
              <w:rPr>
                <w:szCs w:val="24"/>
              </w:rPr>
              <w:t>Edwards et al. (2007); Bauld et al. (2012); Smith et al. (2026)</w:t>
            </w:r>
          </w:p>
        </w:tc>
      </w:tr>
      <w:tr w:rsidR="001D1FD6">
        <w:trPr>
          <w:jc w:val="center"/>
        </w:trPr>
        <w:tc>
          <w:tcPr>
            <w:tcW w:w="2088" w:type="dxa"/>
            <w:tcMar>
              <w:top w:w="0" w:type="dxa"/>
              <w:left w:w="108" w:type="dxa"/>
              <w:bottom w:w="0" w:type="dxa"/>
              <w:right w:w="108" w:type="dxa"/>
            </w:tcMar>
          </w:tcPr>
          <w:p w:rsidR="001D1FD6" w:rsidRDefault="0012332F">
            <w:pPr>
              <w:rPr>
                <w:szCs w:val="24"/>
              </w:rPr>
            </w:pPr>
            <w:r>
              <w:rPr>
                <w:szCs w:val="24"/>
              </w:rPr>
              <w:t xml:space="preserve">5.5.4 Theme 4: Social and Personal </w:t>
            </w:r>
            <w:r>
              <w:rPr>
                <w:szCs w:val="24"/>
              </w:rPr>
              <w:lastRenderedPageBreak/>
              <w:t>Context</w:t>
            </w:r>
          </w:p>
        </w:tc>
        <w:tc>
          <w:tcPr>
            <w:tcW w:w="2804" w:type="dxa"/>
            <w:tcMar>
              <w:top w:w="0" w:type="dxa"/>
              <w:left w:w="108" w:type="dxa"/>
              <w:bottom w:w="0" w:type="dxa"/>
              <w:right w:w="108" w:type="dxa"/>
            </w:tcMar>
          </w:tcPr>
          <w:p w:rsidR="001D1FD6" w:rsidRDefault="0012332F">
            <w:pPr>
              <w:rPr>
                <w:szCs w:val="24"/>
              </w:rPr>
            </w:pPr>
            <w:r>
              <w:rPr>
                <w:szCs w:val="24"/>
              </w:rPr>
              <w:lastRenderedPageBreak/>
              <w:t xml:space="preserve">5.5.4.2 Motivation, Dependence and </w:t>
            </w:r>
            <w:r>
              <w:rPr>
                <w:szCs w:val="24"/>
              </w:rPr>
              <w:lastRenderedPageBreak/>
              <w:t>Social/Individual Characteristics</w:t>
            </w:r>
          </w:p>
        </w:tc>
        <w:tc>
          <w:tcPr>
            <w:tcW w:w="3964" w:type="dxa"/>
            <w:tcMar>
              <w:top w:w="0" w:type="dxa"/>
              <w:left w:w="108" w:type="dxa"/>
              <w:bottom w:w="0" w:type="dxa"/>
              <w:right w:w="108" w:type="dxa"/>
            </w:tcMar>
          </w:tcPr>
          <w:p w:rsidR="001D1FD6" w:rsidRDefault="0012332F">
            <w:pPr>
              <w:rPr>
                <w:szCs w:val="24"/>
              </w:rPr>
            </w:pPr>
            <w:r>
              <w:rPr>
                <w:szCs w:val="24"/>
              </w:rPr>
              <w:lastRenderedPageBreak/>
              <w:t xml:space="preserve">Kotz, Fidler and West (2009); Bauld et al. (2012); Bauld et al. (2016); Kale, Gilbert </w:t>
            </w:r>
            <w:r>
              <w:rPr>
                <w:szCs w:val="24"/>
              </w:rPr>
              <w:lastRenderedPageBreak/>
              <w:t>and Sutton (2019)</w:t>
            </w:r>
          </w:p>
        </w:tc>
      </w:tr>
      <w:tr w:rsidR="001D1FD6">
        <w:trPr>
          <w:jc w:val="center"/>
        </w:trPr>
        <w:tc>
          <w:tcPr>
            <w:tcW w:w="2088" w:type="dxa"/>
            <w:tcMar>
              <w:top w:w="0" w:type="dxa"/>
              <w:left w:w="108" w:type="dxa"/>
              <w:bottom w:w="0" w:type="dxa"/>
              <w:right w:w="108" w:type="dxa"/>
            </w:tcMar>
          </w:tcPr>
          <w:p w:rsidR="001D1FD6" w:rsidRDefault="0012332F">
            <w:pPr>
              <w:rPr>
                <w:szCs w:val="24"/>
              </w:rPr>
            </w:pPr>
            <w:r>
              <w:rPr>
                <w:szCs w:val="24"/>
              </w:rPr>
              <w:lastRenderedPageBreak/>
              <w:t>5.5.5 Theme 5: Engagement and Quit Success</w:t>
            </w:r>
          </w:p>
        </w:tc>
        <w:tc>
          <w:tcPr>
            <w:tcW w:w="2804" w:type="dxa"/>
            <w:tcMar>
              <w:top w:w="0" w:type="dxa"/>
              <w:left w:w="108" w:type="dxa"/>
              <w:bottom w:w="0" w:type="dxa"/>
              <w:right w:w="108" w:type="dxa"/>
            </w:tcMar>
          </w:tcPr>
          <w:p w:rsidR="001D1FD6" w:rsidRDefault="0012332F">
            <w:pPr>
              <w:rPr>
                <w:szCs w:val="24"/>
              </w:rPr>
            </w:pPr>
            <w:r>
              <w:rPr>
                <w:szCs w:val="24"/>
              </w:rPr>
              <w:t>5.5.5.1 Supported and Unsupported Quit Attempts</w:t>
            </w:r>
          </w:p>
        </w:tc>
        <w:tc>
          <w:tcPr>
            <w:tcW w:w="3964" w:type="dxa"/>
            <w:tcMar>
              <w:top w:w="0" w:type="dxa"/>
              <w:left w:w="108" w:type="dxa"/>
              <w:bottom w:w="0" w:type="dxa"/>
              <w:right w:w="108" w:type="dxa"/>
            </w:tcMar>
          </w:tcPr>
          <w:p w:rsidR="001D1FD6" w:rsidRDefault="0012332F">
            <w:pPr>
              <w:rPr>
                <w:szCs w:val="24"/>
              </w:rPr>
            </w:pPr>
            <w:r>
              <w:rPr>
                <w:szCs w:val="24"/>
                <w:lang w:val="de-CH"/>
              </w:rPr>
              <w:t xml:space="preserve">Gibson et al. (2010); Bauld et al. </w:t>
            </w:r>
            <w:r>
              <w:rPr>
                <w:szCs w:val="24"/>
              </w:rPr>
              <w:t>(2016)</w:t>
            </w:r>
          </w:p>
        </w:tc>
      </w:tr>
      <w:tr w:rsidR="001D1FD6">
        <w:trPr>
          <w:jc w:val="center"/>
        </w:trPr>
        <w:tc>
          <w:tcPr>
            <w:tcW w:w="2088" w:type="dxa"/>
            <w:tcMar>
              <w:top w:w="0" w:type="dxa"/>
              <w:left w:w="108" w:type="dxa"/>
              <w:bottom w:w="0" w:type="dxa"/>
              <w:right w:w="108" w:type="dxa"/>
            </w:tcMar>
          </w:tcPr>
          <w:p w:rsidR="001D1FD6" w:rsidRDefault="0012332F">
            <w:pPr>
              <w:rPr>
                <w:szCs w:val="24"/>
              </w:rPr>
            </w:pPr>
            <w:r>
              <w:rPr>
                <w:szCs w:val="24"/>
              </w:rPr>
              <w:t>5.5.5 Theme 5: Engagement and Quit Success</w:t>
            </w:r>
          </w:p>
        </w:tc>
        <w:tc>
          <w:tcPr>
            <w:tcW w:w="2804" w:type="dxa"/>
            <w:tcMar>
              <w:top w:w="0" w:type="dxa"/>
              <w:left w:w="108" w:type="dxa"/>
              <w:bottom w:w="0" w:type="dxa"/>
              <w:right w:w="108" w:type="dxa"/>
            </w:tcMar>
          </w:tcPr>
          <w:p w:rsidR="001D1FD6" w:rsidRDefault="0012332F">
            <w:pPr>
              <w:rPr>
                <w:szCs w:val="24"/>
              </w:rPr>
            </w:pPr>
            <w:r>
              <w:rPr>
                <w:szCs w:val="24"/>
              </w:rPr>
              <w:t>5.5.5.2 Short-term and Long-term Abstinence</w:t>
            </w:r>
          </w:p>
        </w:tc>
        <w:tc>
          <w:tcPr>
            <w:tcW w:w="3964" w:type="dxa"/>
            <w:tcMar>
              <w:top w:w="0" w:type="dxa"/>
              <w:left w:w="108" w:type="dxa"/>
              <w:bottom w:w="0" w:type="dxa"/>
              <w:right w:w="108" w:type="dxa"/>
            </w:tcMar>
          </w:tcPr>
          <w:p w:rsidR="001D1FD6" w:rsidRDefault="0012332F">
            <w:pPr>
              <w:rPr>
                <w:szCs w:val="24"/>
              </w:rPr>
            </w:pPr>
            <w:r>
              <w:rPr>
                <w:szCs w:val="24"/>
                <w:lang w:val="de-CH"/>
              </w:rPr>
              <w:t xml:space="preserve">Bauld et al. (2012); Bauld et al. </w:t>
            </w:r>
            <w:r>
              <w:rPr>
                <w:szCs w:val="24"/>
              </w:rPr>
              <w:t>(2016)</w:t>
            </w:r>
          </w:p>
        </w:tc>
      </w:tr>
      <w:tr w:rsidR="001D1FD6">
        <w:trPr>
          <w:jc w:val="center"/>
        </w:trPr>
        <w:tc>
          <w:tcPr>
            <w:tcW w:w="2088" w:type="dxa"/>
            <w:tcMar>
              <w:top w:w="0" w:type="dxa"/>
              <w:left w:w="108" w:type="dxa"/>
              <w:bottom w:w="0" w:type="dxa"/>
              <w:right w:w="108" w:type="dxa"/>
            </w:tcMar>
          </w:tcPr>
          <w:p w:rsidR="001D1FD6" w:rsidRDefault="0012332F">
            <w:pPr>
              <w:rPr>
                <w:szCs w:val="24"/>
              </w:rPr>
            </w:pPr>
            <w:r>
              <w:rPr>
                <w:szCs w:val="24"/>
              </w:rPr>
              <w:t>5.5.5 Theme 5: Engagement and Quit Success</w:t>
            </w:r>
          </w:p>
        </w:tc>
        <w:tc>
          <w:tcPr>
            <w:tcW w:w="2804" w:type="dxa"/>
            <w:tcMar>
              <w:top w:w="0" w:type="dxa"/>
              <w:left w:w="108" w:type="dxa"/>
              <w:bottom w:w="0" w:type="dxa"/>
              <w:right w:w="108" w:type="dxa"/>
            </w:tcMar>
          </w:tcPr>
          <w:p w:rsidR="001D1FD6" w:rsidRDefault="0012332F">
            <w:pPr>
              <w:rPr>
                <w:szCs w:val="24"/>
              </w:rPr>
            </w:pPr>
            <w:r>
              <w:rPr>
                <w:szCs w:val="24"/>
              </w:rPr>
              <w:t>5.5.5.3 Limits of the Engagement-Outcome Relationship</w:t>
            </w:r>
          </w:p>
        </w:tc>
        <w:tc>
          <w:tcPr>
            <w:tcW w:w="3964" w:type="dxa"/>
            <w:tcMar>
              <w:top w:w="0" w:type="dxa"/>
              <w:left w:w="108" w:type="dxa"/>
              <w:bottom w:w="0" w:type="dxa"/>
              <w:right w:w="108" w:type="dxa"/>
            </w:tcMar>
          </w:tcPr>
          <w:p w:rsidR="001D1FD6" w:rsidRDefault="0012332F">
            <w:pPr>
              <w:rPr>
                <w:szCs w:val="24"/>
              </w:rPr>
            </w:pPr>
            <w:r>
              <w:rPr>
                <w:szCs w:val="24"/>
              </w:rPr>
              <w:t>Jackson et al. (2021); Pope et al. (2025)</w:t>
            </w:r>
          </w:p>
        </w:tc>
      </w:tr>
    </w:tbl>
    <w:p w:rsidR="001D1FD6" w:rsidRDefault="0012332F">
      <w:pPr>
        <w:pStyle w:val="Heading3"/>
      </w:pPr>
      <w:bookmarkStart w:id="290" w:name="_Toc238559703"/>
      <w:bookmarkStart w:id="291" w:name="_Toc238262540"/>
      <w:bookmarkStart w:id="292" w:name="_Toc238725437"/>
      <w:bookmarkStart w:id="293" w:name="_Toc238725555"/>
      <w:r>
        <w:t>Theme 1: Initial Connection to Support</w:t>
      </w:r>
      <w:bookmarkEnd w:id="290"/>
      <w:bookmarkEnd w:id="291"/>
      <w:bookmarkEnd w:id="292"/>
      <w:bookmarkEnd w:id="293"/>
    </w:p>
    <w:p w:rsidR="001D1FD6" w:rsidRDefault="0012332F">
      <w:r>
        <w:t>The first theme concerns the point at which adults become aware of cessation support and move towards using it. Three related subthemes were identified: awareness and understanding; confidence and beliefs about services; and routes into support through referral, active contact and promotion.</w:t>
      </w:r>
    </w:p>
    <w:p w:rsidR="001D1FD6" w:rsidRDefault="0012332F">
      <w:pPr>
        <w:rPr>
          <w:b/>
          <w:bCs/>
          <w:i/>
          <w:iCs/>
        </w:rPr>
      </w:pPr>
      <w:r>
        <w:rPr>
          <w:b/>
          <w:bCs/>
          <w:i/>
          <w:iCs/>
        </w:rPr>
        <w:t>5.5.1.1 Awareness and Understanding</w:t>
      </w:r>
    </w:p>
    <w:p w:rsidR="001D1FD6" w:rsidRDefault="0012332F">
      <w:r>
        <w:t>Awareness of available support did not consistently lead to use. Edwards et al. (2007) found that awareness of NHS cessation services was about 30% among smokers and recent quitters in South Derbyshire, while use was about 5%. Kotz et al. (2009) similarly found that 51.2% of English smokers making a serious quit attempt had used some form of treatment, but only 6.2% had used the NHS Stop Smoking Service. More recent evidence showed that information remained important: Kale et al. (2019) identified lack of information and perceived availability as a barrier factor, while Smith et al. (2026) reported limited awareness of the availability and content of services among lower socioeconomic groups. Across these studies, knowing that help existed was distinct from understanding what the service offered and deciding to use it.</w:t>
      </w:r>
    </w:p>
    <w:p w:rsidR="001D1FD6" w:rsidRDefault="0012332F">
      <w:r>
        <w:t xml:space="preserve">The pattern across time is notable because older and newer studies identify a similar separation between knowing that services exist and understanding or using them. Edwards et al. (2007) and Kotz et al. (2009) quantified limited specialist-service use, whereas Kale et al. (2019) and Smith et al. (2026) showed how information deficits and perceived availability can continue to restrict entry. The evidence therefore converges on awareness as an initial condition rather than evidence of active engagement. The studies differed in design, setting </w:t>
      </w:r>
      <w:r>
        <w:lastRenderedPageBreak/>
        <w:t>and population, from local surveys to a questionnaire study and a recent UK-wide qualitative study, so the convergence is conceptual rather than a direct comparison of equivalent measures.</w:t>
      </w:r>
    </w:p>
    <w:p w:rsidR="001D1FD6" w:rsidRDefault="0012332F">
      <w:pPr>
        <w:rPr>
          <w:b/>
          <w:bCs/>
          <w:i/>
          <w:iCs/>
        </w:rPr>
      </w:pPr>
      <w:r>
        <w:rPr>
          <w:b/>
          <w:bCs/>
          <w:i/>
          <w:iCs/>
        </w:rPr>
        <w:t>5.5.1.2 Confidence and Beliefs about Services</w:t>
      </w:r>
    </w:p>
    <w:p w:rsidR="001D1FD6" w:rsidRDefault="0012332F">
      <w:r>
        <w:t>Beliefs about the usefulness of formal support also influenced initial engagement. Kale et al. (2019) identified barriers including the view that smokers should quit on their own and the belief that nothing could help. Smith et al. (2026) reported a similar pattern, with negative beliefs about the effectiveness of stop smoking service support reducing motivation to engage. The two studies therefore converged in showing that access problems were not only practical. Some adults remained outside services because they did not expect formal support to add value to their quit attempt.</w:t>
      </w:r>
    </w:p>
    <w:p w:rsidR="001D1FD6" w:rsidRDefault="0012332F">
      <w:r>
        <w:t>The similarity between the non-attender questionnaire and later qualitative interviews strengthens this subtheme because the same issue was identified using different methods. Practical access can be present while psychological distance remains. Beliefs that quitting should be achieved independently, uncertainty about effectiveness and previous unsuccessful attempts can all reduce the likelihood that information is converted into service use. Confidence in formal support therefore operates as a separate step between awareness and participation.</w:t>
      </w:r>
    </w:p>
    <w:p w:rsidR="001D1FD6" w:rsidRDefault="0012332F">
      <w:pPr>
        <w:rPr>
          <w:b/>
          <w:bCs/>
          <w:i/>
          <w:iCs/>
        </w:rPr>
      </w:pPr>
      <w:r>
        <w:rPr>
          <w:b/>
        </w:rPr>
        <w:t>5.5.1.3 Routes into Support: Referral, Active Contact and Promotion</w:t>
      </w:r>
    </w:p>
    <w:p w:rsidR="001D1FD6" w:rsidRDefault="0012332F">
      <w:r>
        <w:t>Routes into support differed in form but showed the same distinction between exposure and active participation. Pope et al. (2025) found substantial loss between referral and engagement: among participants referred to the five services that supplied records, 316 referrals were received, 279 people were contacted, 43 engaged and 15 were recorded as quitting with service support. Jackson et al. (2021) found that the London Smoking Cessation Transformation Programme increased quit attempts, while Gibson et al. (2010) reported comparatively high use of pharmacotherapy and professional support among UK smokers. Together, these studies show that organised referral and promotion can create opportunities to engage, but the pathway still depends on successful contact and subsequent participation.</w:t>
      </w:r>
    </w:p>
    <w:p w:rsidR="001D1FD6" w:rsidRDefault="0012332F">
      <w:r>
        <w:t>Together, referral, service-use and population evidence distinguish creating an opportunity to engage from achieving meaningful participation; none shows that referral or promotion alone produces sustained abstinence (Gibson et al., 2010; Jackson et al., 2021; Pope et al., 2025).</w:t>
      </w:r>
    </w:p>
    <w:p w:rsidR="001D1FD6" w:rsidRDefault="0012332F">
      <w:pPr>
        <w:pStyle w:val="Heading3"/>
      </w:pPr>
      <w:bookmarkStart w:id="294" w:name="_Toc238559704"/>
      <w:bookmarkStart w:id="295" w:name="_Toc238262541"/>
      <w:bookmarkStart w:id="296" w:name="_Toc238725438"/>
      <w:bookmarkStart w:id="297" w:name="_Toc238725556"/>
      <w:r>
        <w:lastRenderedPageBreak/>
        <w:t>Theme 2: Accessibility, Flexibility and Continuity</w:t>
      </w:r>
      <w:bookmarkEnd w:id="294"/>
      <w:bookmarkEnd w:id="295"/>
      <w:bookmarkEnd w:id="296"/>
      <w:bookmarkEnd w:id="297"/>
    </w:p>
    <w:p w:rsidR="001D1FD6" w:rsidRDefault="0012332F">
      <w:r>
        <w:t>The second theme concerns whether support can be accessed in a form that fits everyday circumstances and whether contact continues for long enough to maintain engagement.</w:t>
      </w:r>
    </w:p>
    <w:p w:rsidR="001D1FD6" w:rsidRDefault="0012332F">
      <w:pPr>
        <w:rPr>
          <w:b/>
          <w:bCs/>
          <w:i/>
          <w:iCs/>
        </w:rPr>
      </w:pPr>
      <w:r>
        <w:rPr>
          <w:b/>
          <w:bCs/>
          <w:i/>
          <w:iCs/>
        </w:rPr>
        <w:t>5.5.2.1 Time and Practical Barriers</w:t>
      </w:r>
    </w:p>
    <w:p w:rsidR="001D1FD6" w:rsidRDefault="0012332F">
      <w:r>
        <w:t>Time and competing responsibilities were repeatedly identified as barriers. Kale et al. (2019) found a distinct work and time constraints factor among non-attenders. Smith et al. (2026) similarly reported that limited free time reduced the ability of lower socioeconomic participants to access services. Pope et al. (2025) added a service-level example, with some participants describing difficulty obtaining appointments or NRT after referral. The studies therefore indicate that formal availability does not ensure practical accessibility when support cannot be obtained at a convenient time or when expected.</w:t>
      </w:r>
    </w:p>
    <w:p w:rsidR="001D1FD6" w:rsidRDefault="0012332F">
      <w:r>
        <w:t>The convergence of questionnaire, interview and referral evidence suggests that practical barriers are not confined to one service model. Work and time pressures can prevent attendance before treatment starts, while appointment and medication difficulties can interrupt engagement after referral. Accessibility is therefore better understood as the ability to obtain support at the point it is needed, not merely the existence of a service within a local area.</w:t>
      </w:r>
    </w:p>
    <w:p w:rsidR="001D1FD6" w:rsidRDefault="0012332F">
      <w:pPr>
        <w:rPr>
          <w:b/>
          <w:bCs/>
          <w:i/>
          <w:iCs/>
        </w:rPr>
      </w:pPr>
      <w:r>
        <w:rPr>
          <w:b/>
          <w:bCs/>
          <w:i/>
          <w:iCs/>
        </w:rPr>
        <w:t>5.5.2.2 Flexibility and Mode of Delivery</w:t>
      </w:r>
    </w:p>
    <w:p w:rsidR="001D1FD6" w:rsidRDefault="0012332F">
      <w:r>
        <w:t>Flexible delivery was viewed more positively than a single fixed model. Robinson et al. (2019) found that the Cut-Down-To-Stop approach allowed clients to progress at their own pace rather than disengaging after an unsuccessful abrupt quit. Smith et al. (2026) found support for flexible contact using different modes, with preferences varying between remote and face-to-face delivery. Pope et al. (2025) provided a contrasting example in which some participants felt that the support offered did not match how they wanted to quit. The combined evidence supports flexibility in timing, mode and quitting approach as a way of improving service fit.</w:t>
      </w:r>
    </w:p>
    <w:p w:rsidR="001D1FD6" w:rsidRDefault="0012332F">
      <w:r>
        <w:t>These studies suggest that flexible delivery may improve service fit, but they mainly report experiences rather than experimental effects, so flexibility cannot be assumed to cause stronger engagement (Robinson et al., 2019; Pope et al., 2025; Smith et al., 2026).</w:t>
      </w:r>
    </w:p>
    <w:p w:rsidR="001D1FD6" w:rsidRDefault="0012332F">
      <w:pPr>
        <w:rPr>
          <w:b/>
          <w:bCs/>
          <w:i/>
          <w:iCs/>
        </w:rPr>
      </w:pPr>
      <w:r>
        <w:rPr>
          <w:b/>
          <w:bCs/>
          <w:i/>
          <w:iCs/>
        </w:rPr>
        <w:t>5.5.2.3 Continuity, Follow-up and Re-engagement</w:t>
      </w:r>
    </w:p>
    <w:p w:rsidR="001D1FD6" w:rsidRDefault="0012332F">
      <w:r>
        <w:t xml:space="preserve">Continued contact was another consistent facilitator. Robinson et al. (2019) reported that ongoing practitioner contact helped keep clients involved and was perceived to increase the possibility of quitting or re-engaging in a future attempt. Smith et al. (2026) also identified </w:t>
      </w:r>
      <w:r>
        <w:lastRenderedPageBreak/>
        <w:t>more frequent and continued support as a facilitator. Bauld et al. (2012) showed that a drop-in rolling-group model could reach a highly disadvantaged population, but the marked decline between four-week and 52-week abstinence demonstrated that initial participation did not remove the need for longer-term support. Continuity therefore appeared important both during the quit attempt and after early cessation.</w:t>
      </w:r>
    </w:p>
    <w:p w:rsidR="001D1FD6" w:rsidRDefault="0012332F">
      <w:r>
        <w:t>The evidence distinguishes initial access from sustained participation and supports viewing re-engagement after difficulty or relapse as part of the cessation pathway rather than as evidence that earlier support had no value.</w:t>
      </w:r>
    </w:p>
    <w:p w:rsidR="001D1FD6" w:rsidRDefault="0012332F">
      <w:pPr>
        <w:pStyle w:val="Heading3"/>
      </w:pPr>
      <w:bookmarkStart w:id="298" w:name="_Toc238559705"/>
      <w:bookmarkStart w:id="299" w:name="_Toc238262542"/>
      <w:bookmarkStart w:id="300" w:name="_Toc238725439"/>
      <w:bookmarkStart w:id="301" w:name="_Toc238725557"/>
      <w:r>
        <w:t>Theme 3: Relational and Treatment Support</w:t>
      </w:r>
      <w:bookmarkEnd w:id="298"/>
      <w:bookmarkEnd w:id="299"/>
      <w:bookmarkEnd w:id="300"/>
      <w:bookmarkEnd w:id="301"/>
    </w:p>
    <w:p w:rsidR="001D1FD6" w:rsidRDefault="0012332F">
      <w:r>
        <w:t>The third theme describes how the quality of professional relationships and the treatment package influenced continued engagement and cessation outcomes.</w:t>
      </w:r>
    </w:p>
    <w:p w:rsidR="001D1FD6" w:rsidRDefault="0012332F">
      <w:pPr>
        <w:rPr>
          <w:b/>
          <w:bCs/>
          <w:i/>
          <w:iCs/>
        </w:rPr>
      </w:pPr>
      <w:r>
        <w:rPr>
          <w:b/>
          <w:bCs/>
          <w:i/>
          <w:iCs/>
        </w:rPr>
        <w:t>5.5.3.1 Trust and Adviser Relationships</w:t>
      </w:r>
    </w:p>
    <w:p w:rsidR="001D1FD6" w:rsidRDefault="0012332F">
      <w:r>
        <w:t>Robinson et al. (2019) found that trust and empathy between service users and practitioners were central features of the Cut-Down-To-Stop intervention. Participants valued non-judgemental support and the ability to continue working towards cessation after difficulty. Smith et al. (2026) reported a similar finding, identifying rapport with the adviser as a facilitator of engagement. These qualitative studies agree that the interpersonal quality of support can influence whether service users remain involved, particularly when quitting is difficult or setbacks occur.</w:t>
      </w:r>
    </w:p>
    <w:p w:rsidR="001D1FD6" w:rsidRDefault="0012332F">
      <w:r>
        <w:t>Across different populations and settings, trust and non-judgemental communication appeared to support continued participation by making setbacks discussable and reducing withdrawal from care (Robinson et al., 2019; Smith et al., 2026).</w:t>
      </w:r>
    </w:p>
    <w:p w:rsidR="001D1FD6" w:rsidRDefault="0012332F">
      <w:pPr>
        <w:rPr>
          <w:b/>
          <w:bCs/>
          <w:i/>
          <w:iCs/>
        </w:rPr>
      </w:pPr>
      <w:r>
        <w:rPr>
          <w:b/>
          <w:bCs/>
          <w:i/>
          <w:iCs/>
        </w:rPr>
        <w:t>5.5.3.2 Specialist and Group Behavioural Support</w:t>
      </w:r>
    </w:p>
    <w:p w:rsidR="001D1FD6" w:rsidRDefault="0012332F">
      <w:r>
        <w:t>Quantitative outcome evidence also suggested that the type of behavioural support mattered. Bauld et al. (2016) found that clients receiving specialist one-to-one support had more than twice the odds of long-term abstinence compared with general practice or pharmacy-based support, while group specialist support was associated with still higher odds. Bauld et al. (2012) showed that a rolling-group service reached a large disadvantaged population but achieved a CO-validated 52-week abstinence rate of 5.6%. The studies therefore support the value of structured behavioural contact, while also showing that service format alone does not guarantee lasting abstinence.</w:t>
      </w:r>
    </w:p>
    <w:p w:rsidR="001D1FD6" w:rsidRDefault="0012332F">
      <w:r>
        <w:t xml:space="preserve">The service cohorts show that specialist or group settings may be associated with stronger outcomes while long-term relapse remains substantial; observational designs prevent these </w:t>
      </w:r>
      <w:r>
        <w:lastRenderedPageBreak/>
        <w:t>differences being interpreted as causal effects of treatment setting (Bauld et al., 2012; Bauld et al., 2016).</w:t>
      </w:r>
    </w:p>
    <w:p w:rsidR="001D1FD6" w:rsidRDefault="0012332F">
      <w:pPr>
        <w:rPr>
          <w:b/>
          <w:bCs/>
          <w:i/>
          <w:iCs/>
        </w:rPr>
      </w:pPr>
      <w:r>
        <w:rPr>
          <w:b/>
          <w:bCs/>
          <w:i/>
          <w:iCs/>
        </w:rPr>
        <w:t>5.5.3.3 Medication and Treatment Support</w:t>
      </w:r>
    </w:p>
    <w:p w:rsidR="001D1FD6" w:rsidRDefault="0012332F">
      <w:r>
        <w:t>Medication formed part of engagement in several studies. Gibson et al. (2010) reported higher odds of 28-day abstinence among quit attempts involving pharmacotherapy, behavioural help, or both, with the combined category showing the strongest overall association. Bauld et al. (2016) found higher 52-week quit rates among clients who started their attempt with varenicline than among those for whom varenicline was not recorded. Robinson et al. (2019) described medication experimentation as a useful part of a gradual quitting pathway, while Smith et al. (2026) identified access to free NRT as a facilitator. Across qualitative and quantitative evidence, treatment engagement therefore involved both behavioural support and access to appropriate medication.</w:t>
      </w:r>
    </w:p>
    <w:p w:rsidR="001D1FD6" w:rsidRDefault="0012332F">
      <w:r>
        <w:t>Medication was embedded within broader supported quitting rather than functioning as a stand-alone form of engagement. Outcome and qualitative evidence together indicate that treatment use depends on access, acceptability, adviser contact and continued participation.</w:t>
      </w:r>
    </w:p>
    <w:p w:rsidR="001D1FD6" w:rsidRDefault="0012332F">
      <w:pPr>
        <w:pStyle w:val="Heading3"/>
      </w:pPr>
      <w:bookmarkStart w:id="302" w:name="_Toc238559706"/>
      <w:bookmarkStart w:id="303" w:name="_Toc238262543"/>
      <w:bookmarkStart w:id="304" w:name="_Toc238725440"/>
      <w:bookmarkStart w:id="305" w:name="_Toc238725558"/>
      <w:r>
        <w:t>Theme 4: Social and Personal Context</w:t>
      </w:r>
      <w:bookmarkEnd w:id="302"/>
      <w:bookmarkEnd w:id="303"/>
      <w:bookmarkEnd w:id="304"/>
      <w:bookmarkEnd w:id="305"/>
    </w:p>
    <w:p w:rsidR="001D1FD6" w:rsidRDefault="0012332F">
      <w:r>
        <w:t>The fourth theme shows that engagement and quitting occurred within wider personal and social circumstances that could either support or restrict success.</w:t>
      </w:r>
    </w:p>
    <w:p w:rsidR="001D1FD6" w:rsidRDefault="0012332F">
      <w:pPr>
        <w:rPr>
          <w:b/>
          <w:bCs/>
          <w:i/>
          <w:iCs/>
        </w:rPr>
      </w:pPr>
      <w:r>
        <w:rPr>
          <w:b/>
          <w:bCs/>
          <w:i/>
          <w:iCs/>
        </w:rPr>
        <w:t>5.5.4.1 Socioeconomic Disadvantage</w:t>
      </w:r>
    </w:p>
    <w:p w:rsidR="00E221F5" w:rsidRDefault="0012332F" w:rsidP="00E221F5">
      <w:r>
        <w:t xml:space="preserve">Socioeconomic disadvantage affected outcomes even when motivation or service access was present. Edwards et al. (2007) found that motivation to quit varied little by socioeconomic status and that lower socioeconomic groups often accessed cessation services more, yet their quit rates were generally lower. Bauld et al. (2012) similarly studied a highly disadvantaged service population, with 68% living in the most deprived decile, and found that higher socioeconomic status within the sample predicted long-term quitting. Smith et al. (2026) added qualitative evidence that time pressure, limited awareness and practical constraints affected lower socioeconomic groups. </w:t>
      </w:r>
      <w:r w:rsidR="00E221F5">
        <w:t>The studies consistently demonstrate that engagement occurs in the context of unequal social conditions, that can influence the likelihood of sustaining cessation.</w:t>
      </w:r>
    </w:p>
    <w:p w:rsidR="00E221F5" w:rsidRDefault="00E221F5" w:rsidP="00E221F5">
      <w:r>
        <w:t>In studies, the motivation and ability to use support was not consistently lower among disadvantaged smokers, but sustained abstinence was more difficult. Socioeconomic context can thus impact engagement and outcomes following contact with services.</w:t>
      </w:r>
    </w:p>
    <w:p w:rsidR="00E221F5" w:rsidRPr="00E221F5" w:rsidRDefault="00E221F5" w:rsidP="00E221F5">
      <w:pPr>
        <w:rPr>
          <w:b/>
          <w:bCs/>
          <w:i/>
          <w:iCs/>
        </w:rPr>
      </w:pPr>
      <w:r w:rsidRPr="00E221F5">
        <w:rPr>
          <w:b/>
          <w:bCs/>
          <w:i/>
          <w:iCs/>
        </w:rPr>
        <w:t>5.5.4.2 Motivation, Dependence and Social/Individual Characteristics</w:t>
      </w:r>
    </w:p>
    <w:p w:rsidR="00E221F5" w:rsidRDefault="00E221F5" w:rsidP="00E221F5">
      <w:r>
        <w:lastRenderedPageBreak/>
        <w:t>Service use and outcomes were impacted by motivation, dependence and social circumstances. Kotz, Fidler and West (2009) reported higher rates of use of cessation aids among women, older smokers, heavier smokers and smokers who planned to quit, and Kale, Gilbert and Sutton (2019) reported different barrier patterns were associated with age, motivation, and confidence. Less nicotine dependence and greater quit motivation were associated with long-term abstinence (Bauld et al., 2012); and having fewer smokers in social networks and having a spouse or partner were associated with abstinence (Bauld et al., 2016). These results indicate that individual motivation and dependence are in addition to the social environment.</w:t>
      </w:r>
    </w:p>
    <w:p w:rsidR="00E221F5" w:rsidRDefault="00E221F5" w:rsidP="00E221F5">
      <w:r>
        <w:t>These factors are interacting: planning can lead to more treatment use, more dependence can lead to greater need and less likelihood of quitting, and supportive social networks can help to reinforce quit attempts. This is a good example of why it is not possible to conclude that there is a purely causal relationship between engagement and success.</w:t>
      </w:r>
    </w:p>
    <w:p w:rsidR="001D1FD6" w:rsidRDefault="001D1FD6"/>
    <w:p w:rsidR="001D1FD6" w:rsidRDefault="0012332F">
      <w:pPr>
        <w:pStyle w:val="Heading3"/>
      </w:pPr>
      <w:bookmarkStart w:id="306" w:name="_Toc238559707"/>
      <w:bookmarkStart w:id="307" w:name="_Toc238262544"/>
      <w:bookmarkStart w:id="308" w:name="_Toc238725441"/>
      <w:bookmarkStart w:id="309" w:name="_Toc238725559"/>
      <w:r>
        <w:t>Theme 5: Engagement and Quit Success</w:t>
      </w:r>
      <w:bookmarkEnd w:id="306"/>
      <w:bookmarkEnd w:id="307"/>
      <w:bookmarkEnd w:id="308"/>
      <w:bookmarkEnd w:id="309"/>
    </w:p>
    <w:p w:rsidR="001D1FD6" w:rsidRDefault="0012332F">
      <w:r>
        <w:t>The final theme brings together evidence on how different forms of engagement related to quit outcomes and therefore addresses the central research question most directly. Gibson et al. (2010) and the Bauld service cohorts provided the most direct engagement-outcome evidence by linking active support use or service format with abstinence. Jackson et al. (2021) and Pope et al. (2025) provided more indirect or qualifying evidence by examining quit attempts, programme exposure and referral conversion. Three subthemes were identified: supported and unsupported quit attempts, short-term and long-term abstinence, and limits of the engagement-outcome relationship.</w:t>
      </w:r>
    </w:p>
    <w:p w:rsidR="001D1FD6" w:rsidRDefault="0012332F">
      <w:pPr>
        <w:rPr>
          <w:b/>
          <w:bCs/>
          <w:i/>
          <w:iCs/>
        </w:rPr>
      </w:pPr>
      <w:r>
        <w:rPr>
          <w:b/>
          <w:bCs/>
          <w:i/>
          <w:iCs/>
        </w:rPr>
        <w:t>5.5.5.1 Supported and Unsupported Quit Attempts</w:t>
      </w:r>
    </w:p>
    <w:p w:rsidR="001D1FD6" w:rsidRDefault="0012332F">
      <w:r>
        <w:t>Gibson et al. (2010) found that UK smokers making quit attempts were more likely to use cessation support and more likely to achieve 28-day abstinence than smokers in Australia, Canada and the United States. Within the pooled analysis, pharmacotherapy and behavioural support were each associated with higher odds of short-term abstinence, and the combination of pharmacotherapy with help from a clinic, helpline or health professional showed the strongest association. Bauld et al. (2016) similarly found better long-term outcomes among clients receiving specialist and group support. The direction of these findings indicates that active participation in evidence-based support is associated with stronger quit outcomes than minimal or unsupported contact.</w:t>
      </w:r>
    </w:p>
    <w:p w:rsidR="001D1FD6" w:rsidRDefault="0012332F">
      <w:r>
        <w:lastRenderedPageBreak/>
        <w:t>The direction of evidence was consistent with meaningful participation being associated with better quitting prospects, especially where behavioural and pharmacological support were combined. However, the studies were not randomised comparisons of engagement levels, so the synthesis supports association rather than a causal dose-response effect.</w:t>
      </w:r>
    </w:p>
    <w:p w:rsidR="001D1FD6" w:rsidRDefault="0012332F">
      <w:pPr>
        <w:rPr>
          <w:b/>
          <w:bCs/>
          <w:i/>
          <w:iCs/>
        </w:rPr>
      </w:pPr>
      <w:r>
        <w:rPr>
          <w:b/>
          <w:bCs/>
          <w:i/>
          <w:iCs/>
        </w:rPr>
        <w:t>5.5.5.2 Short-term and Long-term Abstinence</w:t>
      </w:r>
    </w:p>
    <w:p w:rsidR="001D1FD6" w:rsidRDefault="0012332F">
      <w:r>
        <w:t>The relationship between engagement and success became less favourable over longer follow-up. Bauld et al. (2012) reported CO-validated abstinence of 30.7% at four weeks but 5.6% at 52 weeks, equivalent to substantial relapse after early success. Bauld et al. (2016) reported a weighted CO-validated 52-week quit rate of 7.7% across nine English areas. The two cohort studies therefore agree that stop smoking services can support long-term cessation for a proportion of clients, but early quit outcomes substantially overstate durable abstinence. Quit success should consequently be interpreted according to the length and method of follow-up.</w:t>
      </w:r>
    </w:p>
    <w:p w:rsidR="001D1FD6" w:rsidRDefault="0012332F">
      <w:r>
        <w:t>Longer follow-up substantially reduced apparent success, showing that early abstinence does not establish durable cessation. This highlights a later stage of the pathway in which relapse, continued support and re-engagement become important (Bauld et al., 2012; Bauld et al., 2016).</w:t>
      </w:r>
    </w:p>
    <w:p w:rsidR="001D1FD6" w:rsidRDefault="0012332F">
      <w:pPr>
        <w:rPr>
          <w:b/>
          <w:bCs/>
          <w:i/>
          <w:iCs/>
        </w:rPr>
      </w:pPr>
      <w:r>
        <w:rPr>
          <w:b/>
          <w:bCs/>
          <w:i/>
          <w:iCs/>
        </w:rPr>
        <w:t>5.5.5.3 Limits of the Engagement-Outcome Relationship</w:t>
      </w:r>
    </w:p>
    <w:p w:rsidR="001D1FD6" w:rsidRDefault="0012332F">
      <w:r>
        <w:t>Not every increase in contact or quitting activity produced clear evidence of improved quit success. Jackson et al. (2021) found a significant increase in quit attempts after the London programme, but the observed increase in success among those who tried was not statistically significant. Pope et al. (2025) found very low engagement after referral or signposting, and most participants who reported six-month abstinence in the wider trial had quit without recorded stop smoking service support. These studies show a distinction between exposure, referral, engagement and successful cessation. Across the evidence, stronger engagement was generally associated with better outcomes, but referral or promotion alone could not be treated as proof of successful quitting.</w:t>
      </w:r>
    </w:p>
    <w:p w:rsidR="001D1FD6" w:rsidRDefault="0012332F">
      <w:r>
        <w:t>Increased quit attempts and referral exposure did not always translate into improved success or active service use. Engagement is therefore positive but conditional: exposure, referral, contact, treatment use and sustained participation are related but distinct stages (Jackson et al., 2021; Pope et al., 2025).</w:t>
      </w:r>
    </w:p>
    <w:p w:rsidR="001D1FD6" w:rsidRDefault="0012332F">
      <w:r>
        <w:t xml:space="preserve">Across themes, engagement narrowed progressively from awareness and referral to active contact and sustained participation. Service fit, relationships, treatment access and social </w:t>
      </w:r>
      <w:r>
        <w:lastRenderedPageBreak/>
        <w:t>context shaped whether opportunities became meaningful engagement, while longer follow-up revealed relapse and the limits of brief contact.</w:t>
      </w:r>
    </w:p>
    <w:p w:rsidR="001D1FD6" w:rsidRDefault="0012332F">
      <w:pPr>
        <w:pStyle w:val="Heading2"/>
      </w:pPr>
      <w:bookmarkStart w:id="310" w:name="_Toc238559708"/>
      <w:bookmarkStart w:id="311" w:name="_Toc238262545"/>
      <w:bookmarkStart w:id="312" w:name="_Toc238725442"/>
      <w:bookmarkStart w:id="313" w:name="_Toc238725560"/>
      <w:r>
        <w:t>Chapter Summary</w:t>
      </w:r>
      <w:bookmarkEnd w:id="310"/>
      <w:bookmarkEnd w:id="311"/>
      <w:bookmarkEnd w:id="312"/>
      <w:bookmarkEnd w:id="313"/>
    </w:p>
    <w:p w:rsidR="001D1FD6" w:rsidRDefault="0012332F">
      <w:r>
        <w:t>F</w:t>
      </w:r>
      <w:r w:rsidR="00E221F5" w:rsidRPr="00E221F5">
        <w:t xml:space="preserve"> Four interrelated themes revealed that engagement is a process that includes awareness, contact, participation, and treatment use and continuity. Practical access, service fit, relationships and treatment influenced participation, and socioeconomic conditions, dependence and social networks continued to be influential. A higher level of sustained engagement was generally correlated with higher quit rates, although the rates of relapse and poor conversion of referrals made it difficult to draw a simple causal conclusion.</w:t>
      </w:r>
    </w:p>
    <w:p w:rsidR="001D1FD6" w:rsidRDefault="0012332F">
      <w:pPr>
        <w:spacing w:after="160" w:line="278" w:lineRule="auto"/>
        <w:jc w:val="left"/>
      </w:pPr>
      <w:r>
        <w:br w:type="page"/>
      </w:r>
    </w:p>
    <w:p w:rsidR="001D1FD6" w:rsidRDefault="0012332F">
      <w:pPr>
        <w:pStyle w:val="Heading1"/>
        <w:spacing w:before="0"/>
        <w:rPr>
          <w:szCs w:val="28"/>
        </w:rPr>
      </w:pPr>
      <w:bookmarkStart w:id="314" w:name="_Toc238559709"/>
      <w:bookmarkStart w:id="315" w:name="_Toc238262546"/>
      <w:bookmarkStart w:id="316" w:name="_Toc238725443"/>
      <w:bookmarkStart w:id="317" w:name="_Toc238725561"/>
      <w:r>
        <w:lastRenderedPageBreak/>
        <w:t>Discussion</w:t>
      </w:r>
      <w:bookmarkEnd w:id="314"/>
      <w:bookmarkEnd w:id="315"/>
      <w:bookmarkEnd w:id="316"/>
      <w:bookmarkEnd w:id="317"/>
    </w:p>
    <w:p w:rsidR="001D1FD6" w:rsidRDefault="0012332F">
      <w:pPr>
        <w:pStyle w:val="Heading2"/>
      </w:pPr>
      <w:bookmarkStart w:id="318" w:name="_Toc238559710"/>
      <w:bookmarkStart w:id="319" w:name="_Toc238262547"/>
      <w:bookmarkStart w:id="320" w:name="_Toc238725444"/>
      <w:bookmarkStart w:id="321" w:name="_Toc238725562"/>
      <w:r>
        <w:t>Introduction</w:t>
      </w:r>
      <w:bookmarkEnd w:id="318"/>
      <w:bookmarkEnd w:id="319"/>
      <w:bookmarkEnd w:id="320"/>
      <w:bookmarkEnd w:id="321"/>
    </w:p>
    <w:p w:rsidR="004F6971" w:rsidRDefault="004F6971" w:rsidP="004F6971">
      <w:r>
        <w:t>Evidence suggests that trying to quit smoking is not a one-time event: it is a progressive one. Five related problems need to be interpreted: the initial connection to support, accessibility and continuity, relational and treatment support, social and personal context and association between engagement and quit success. These findings are explored in the context of previous research, the COM-B framework, current UK practice in quitting and identified areas of commonalities, limitations and ambiguity.</w:t>
      </w:r>
    </w:p>
    <w:p w:rsidR="004F6971" w:rsidRDefault="004F6971" w:rsidP="004F6971">
      <w:pPr>
        <w:pStyle w:val="Heading2"/>
      </w:pPr>
      <w:bookmarkStart w:id="322" w:name="_Toc238725445"/>
      <w:bookmarkStart w:id="323" w:name="_Toc238725563"/>
      <w:r>
        <w:t>Discussion of Key Findings</w:t>
      </w:r>
      <w:bookmarkEnd w:id="322"/>
      <w:bookmarkEnd w:id="323"/>
    </w:p>
    <w:p w:rsidR="004F6971" w:rsidRDefault="004F6971" w:rsidP="004F6971">
      <w:r>
        <w:t>Five key findings emerged from the review: a good first point of contact is key to initiate meaningful engagement; practical accessibility, flexibility, and continuity influence whether or not meaningful engagement can be sustained; the quality of the relationship and treatment experienced influences the level of engagement; and social and personal factors are likely to influence actual engagement rates and cessation; and the current evidence for a simple linear relationship between deeper and longer engagement and better quit outcomes is limited.</w:t>
      </w:r>
    </w:p>
    <w:p w:rsidR="004F6971" w:rsidRDefault="004F6971" w:rsidP="004F6971">
      <w:pPr>
        <w:pStyle w:val="Heading3"/>
      </w:pPr>
      <w:bookmarkStart w:id="324" w:name="_Toc238725446"/>
      <w:bookmarkStart w:id="325" w:name="_Toc238725564"/>
      <w:r>
        <w:t>Initial Connection to Support</w:t>
      </w:r>
      <w:bookmarkEnd w:id="324"/>
      <w:bookmarkEnd w:id="325"/>
    </w:p>
    <w:p w:rsidR="004F6971" w:rsidRDefault="004F6971" w:rsidP="004F6971">
      <w:r>
        <w:t>A major finding is that availability of services does not lead to engagement. Evidence included in this study revealed that there was always a gap between awareness and confidence in formal supports and the use of formal services. This aligns with evidence across the UK which demonstrated that smokers' appropriateness to using the NHS Stop Smoking Services is influenced by the perceived need and knowledge, treatment acceptability and expectation of support (Latif et al., 2021). Kwah, Fulton and Brown (2019) also discussed the capability and motivational barriers in accessing services. The convergence indicates that mere availability of a service is not enough to explain low uptake and that the psychological capability and motivation of a person is important to make availability meaningful access.</w:t>
      </w:r>
    </w:p>
    <w:p w:rsidR="004F6971" w:rsidRDefault="004F6971" w:rsidP="004F6971">
      <w:r>
        <w:t xml:space="preserve">Similarly, there were cases where referral was not followed-up and used as contact. Pope et al. (2025) reported loss between referral, contact and service participation and Jackson et al. (2021) reported no clear evidence of increased quit success following a population programme and increased quit attempts. It refines the whole idea of exposure and referral, it is an opportunity but really, we need to have contact and participation for it to be effective </w:t>
      </w:r>
      <w:r>
        <w:lastRenderedPageBreak/>
        <w:t>engagement. In COM-B, referral can lead to an increase in physical opportunity, but capability and motivation affect the likelihood of the person understanding and accepting and acting on a referral to support (Michie, van Stralen and West, 2011).</w:t>
      </w:r>
    </w:p>
    <w:p w:rsidR="004F6971" w:rsidRDefault="004F6971" w:rsidP="004F6971">
      <w:r>
        <w:t>Equity is also impacted by this difference between population “reach” and effective engagement. Smith, Hill and Amos (2020) concluded that disadvantaged smokers might be targeted through smoking cessation support even if quit rates are not higher or that access is a multi-stage issue among disadvantaged groups (Murray et al., 2009). Successful engagement should not then be gauged by the number of viewers or referrals that the campaign brings. A better understanding of these is to refer to the extent of adult understanding of what support provides, whether adults think that it is relevant and whether an initial contact opportunity is being put into practice.</w:t>
      </w:r>
    </w:p>
    <w:p w:rsidR="004F6971" w:rsidRDefault="004F6971" w:rsidP="004F6971">
      <w:pPr>
        <w:pStyle w:val="Heading3"/>
      </w:pPr>
      <w:bookmarkStart w:id="326" w:name="_Toc238725447"/>
      <w:bookmarkStart w:id="327" w:name="_Toc238725565"/>
      <w:r>
        <w:t>Accessibility, Flexibility and Continuity</w:t>
      </w:r>
      <w:bookmarkEnd w:id="326"/>
      <w:bookmarkEnd w:id="327"/>
    </w:p>
    <w:p w:rsidR="004F6971" w:rsidRDefault="004F6971" w:rsidP="004F6971">
      <w:r>
        <w:t>Another you can consider to be a significant finding is that even people among the grown-up populace who plan on quitting cannot be effortlessly reached for the sake of their plan. Certain themes emerged throughout the included evidence such as time pressure, work commitments and difficulty gaining appointments, which are also highlighted as factors influencing access to services in a larger qualitative synthesis of the UK evidence (Latif et al., 2021). These are mostly opportunity constraints, that is, while there may be motivation to participate, it will be difficult to do so because service delivery times do not fit in with day-to-day commitments (Michie, van Stralen and West, 2011). This interpretation contradicts the explanations that are mainly based on low motivation for not attending.</w:t>
      </w:r>
    </w:p>
    <w:p w:rsidR="004F6971" w:rsidRDefault="004F6971" w:rsidP="004F6971">
      <w:r>
        <w:t>The perception of flexibility was found to enhance the service fit and, however, there is no evidence that any one of the delivery modes leads to greater engagement. Robinson et al. (2019) reported on the acceptability of a ‘gradual pathway’ and Smith et al. (2026) found a range of preferences for remote and face-to-face contact. There is also broader evidence that whether or not support can be integrated into users' lives is a key factor in accessibility (Kwah, Fulton and Brown, 2019; National Institute for Health and Care Excellence, 2025). Therefore, flexibility is best thought of as a means to expand opportunity/choice and not as a test proven intervention effect.</w:t>
      </w:r>
    </w:p>
    <w:p w:rsidR="004F6971" w:rsidRDefault="004F6971" w:rsidP="004F6971">
      <w:r>
        <w:t xml:space="preserve">Continuation is especially significant as sometimes early abstinence is not long term. Behavioural counselling evidence indicates that ongoing structured contact is important for effective cessation care (Lancaster and Stead, 2017) and Bauld et al. (2012) demonstrated significant reductions between 4-52 weeks abstinence. The study didn't demonstrate that </w:t>
      </w:r>
      <w:r>
        <w:lastRenderedPageBreak/>
        <w:t>longer follow-up prevents relapse but it does show that for smokers who need multiple attempts, a brief time of contact may not be sufficient. Thus, continuity and the return to treatment can be seen as continuity of opportunity for treatment, not as continuous abstinence.</w:t>
      </w:r>
    </w:p>
    <w:p w:rsidR="004F6971" w:rsidRDefault="004F6971" w:rsidP="004F6971">
      <w:pPr>
        <w:pStyle w:val="Heading3"/>
      </w:pPr>
      <w:bookmarkStart w:id="328" w:name="_Toc238725448"/>
      <w:bookmarkStart w:id="329" w:name="_Toc238725566"/>
      <w:r>
        <w:t>Relational and Treatment Support</w:t>
      </w:r>
      <w:bookmarkEnd w:id="328"/>
      <w:bookmarkEnd w:id="329"/>
    </w:p>
    <w:p w:rsidR="004F6971" w:rsidRDefault="004F6971" w:rsidP="004F6971">
      <w:r>
        <w:t>Another important finding is that the quality of the relationships can influence whether or not they continue. Further qualitative evidence suggests that the quality and acceptability of support are central to accessing services (Latif et al., 2021), whilst Robinson et al. (2019) and Smith et al. (2026) both explained that establishing a relationship of trust and empathy with the adviser and a lack of judgement towards the student also facilitated engagement. Supportive relationships in COM-B can help improve social opportunity and increase the social motivation to seek help because of easier access to disclosure of difficulties, increased confidence and persistence when setbacks happen (Michie, van Stralen and West, 2011). This is based primarily on experiential evidence and cannot be used as evidence of better rates of quitters in their adviser style approach.</w:t>
      </w:r>
    </w:p>
    <w:p w:rsidR="004F6971" w:rsidRDefault="004F6971" w:rsidP="004F6971">
      <w:r>
        <w:t>The Relational findings are complemented by a second mechanism via treatments, which require evidence of effectiveness. Structured behavioural and pharmacological support has been linked to better quit outcomes (Gibson et al., 2010; Bauld et al., 2016) and broader reviews have revealed that structured behavioural support or effective pharmacotherapies offer better quit outcomes than minimal or no support (Lancaster and Stead, 2017; Livingstone-Banks et al., 2023; Theodoulou et al., 2023). While trust and rapport deal mostly with engagement in the treatment, the results address the effectiveness of the treatment, as well as exposure to evidence-based support. This distinction will prevent attributing the treatment effects to engagement effects.</w:t>
      </w:r>
    </w:p>
    <w:p w:rsidR="004F6971" w:rsidRDefault="004F6971" w:rsidP="004F6971">
      <w:r>
        <w:t>Hence, the apparent benefit of specialist and group support must be taken with a pinch of salt. The service studies included in the report were observational studies and thus will have been subject to some self-selection and dependence, as well as case mix and motivation differences, that may explain some of the differences in outcomes between the different services. There is no evidence to suggest that there is a universal hierarchy of the effectiveness of different formats of behavioural input and continuity, with specialist advisers providing more structured input and continuity. A safer assumption to be made is that services should make evidence-based behaviour and pharmacological interventions available to users and support their continued access to a format that is somewhat tolerable for them.</w:t>
      </w:r>
    </w:p>
    <w:p w:rsidR="004F6971" w:rsidRDefault="004F6971" w:rsidP="004F6971">
      <w:pPr>
        <w:pStyle w:val="Heading3"/>
      </w:pPr>
      <w:bookmarkStart w:id="330" w:name="_Toc238725449"/>
      <w:bookmarkStart w:id="331" w:name="_Toc238725567"/>
      <w:r>
        <w:lastRenderedPageBreak/>
        <w:t>Social and Personal Context</w:t>
      </w:r>
      <w:bookmarkEnd w:id="330"/>
      <w:bookmarkEnd w:id="331"/>
    </w:p>
    <w:p w:rsidR="004F6971" w:rsidRDefault="004F6971" w:rsidP="004F6971">
      <w:r>
        <w:t>A second important finding is that socioeconomic disadvantage can impact the association of engagement to quit success. However, the motivation was not necessarily lower in disadvantaged smokers nor was the use of support less likely, but there was a higher level of disadvantage in relation to long-term abstinence. This is in line with other evidence revealing that declaring more quit rates in disadvantaged populations are associated with higher participation in quitting services (Murray et al., 2009; Smith, Hill and Amos, 2020). What the implication here is, that is, is that inequalities in engagement and outcomes can be correlated, but they do not necessarily convey a foregone increase in dependence and stress or changes in resource levels or smoking environments.</w:t>
      </w:r>
    </w:p>
    <w:p w:rsidR="004F6971" w:rsidRDefault="004F6971" w:rsidP="004F6971">
      <w:r>
        <w:t>There are also significant confounding factors due to personal and social factors. The level of dependence could lead to more treatment seeking and less likelihood of remaining abstinent, while planning and self-efficacy could be associated with greater levels of treatment-seeking and more successful abstinence, and partner and social network support could be an independent factor. COM-B links with the organisation of these influences as socioeconomic determinants are likely to impact on opportunity, dependence, confidence and previous experience can impact on capability and motivation (Michie, van Stralen and West, 2011). Thus, it is likely that the apparent link between engagement and quit could be an effect of treatment exposure, as well as a natural cocktails effect of preexisting factors between those who had high and low engagement.</w:t>
      </w:r>
    </w:p>
    <w:p w:rsidR="004F6971" w:rsidRDefault="004F6971" w:rsidP="004F6971">
      <w:r>
        <w:t>This plays a part directly in interpretation of the performance of services. When individual smoking cessation rates are used to assess the quality of services working with highly disadvantaged smokers, low smoking cessation rates might be interpreted as a poor quality of service, when in fact they may be due to a more challenging case mix. Evidence from an equity perspective, however, suggests it is worth exploring reach to high burden populations in conjunction with engagement and sustained impact (Smith, Hill and Amos, 2020). Socioeconomics can, therefore, be a hindrance to engagement and can also change the positive effect that engagement may be able to offer.</w:t>
      </w:r>
    </w:p>
    <w:p w:rsidR="004F6971" w:rsidRDefault="004F6971" w:rsidP="004F6971">
      <w:pPr>
        <w:pStyle w:val="Heading3"/>
      </w:pPr>
      <w:bookmarkStart w:id="332" w:name="_Toc238725450"/>
      <w:bookmarkStart w:id="333" w:name="_Toc238725568"/>
      <w:r>
        <w:t>Engagement and Quit Success</w:t>
      </w:r>
      <w:bookmarkEnd w:id="332"/>
      <w:bookmarkEnd w:id="333"/>
    </w:p>
    <w:p w:rsidR="004F6971" w:rsidRDefault="004F6971" w:rsidP="004F6971">
      <w:r>
        <w:t xml:space="preserve">The most consistent research findings with respect to the question are that the higher and longer the involvement with smoking cessation, the better the quit success, but the evidence is not as purly causal as it could be. Direct evidence was largely from the Bauld service cohorts and Gibson et al. (2010) with evidence of active use or form of support associated </w:t>
      </w:r>
      <w:r>
        <w:lastRenderedPageBreak/>
        <w:t>with abstinence. Other studies offered supportive and/or contextual evidence on awareness, treatment use, quit attempts, referrals conversion and barriers. This hierarchy is important since an increase in an early engagement indicator does not necessarily mean that it is equal to evidence of sustained engagement or long-term quitting.</w:t>
      </w:r>
    </w:p>
    <w:p w:rsidR="004F6971" w:rsidRDefault="004F6971" w:rsidP="004F6971">
      <w:r>
        <w:t>COM-B offers an explanation for the conditional nature of the association, instead of automatic (Michie, van Stralen and West, 2011). Low awareness or level of understanding about treatment can limit capability, inflexible appointments or cost can limit opportunity, lack of follow up with referrals or social unsupportive can reduce motivation, lack of confidence or unsuccessful treatment or negative beliefs can reduce motivation. All of these components are integrated throughout the entire engagement pathway. This interpretation is supported by Smith et al. (2026) who directly applied the Behaviour Change Wheel and spread barriers and facilitators across the domains of capability, opportunity and motivation instead of focusing them on one domain.</w:t>
      </w:r>
    </w:p>
    <w:p w:rsidR="004F6971" w:rsidRDefault="004F6971" w:rsidP="004F6971">
      <w:r>
        <w:t>The biggest drawback in understanding the engagement-outcome relationship is the causal uncertainty. Exposure to support and engagement can predict quitting and engagement is a behaviour which can be influenced by readiness, dependence, confidence and resources, which are all independent predictors of quitting. Observational associations can thus represent the effects of treatment, and self-selection and residual confounding. But there are elements of convergence between qualitative explanations, cohorts of services, and population evidence to suggest engagement is not irrelevant. Sustained engagement is likely to lead to greater exposure to EBS, and individual and structural conditions are likely to affect how much benefit can be achieved from this exposure.</w:t>
      </w:r>
    </w:p>
    <w:p w:rsidR="004F6971" w:rsidRDefault="004F6971" w:rsidP="004F6971">
      <w:r>
        <w:t>Short term service performance measures also need to be differentiated from what is evidence of sustained cessation. Cohorts of longer duration of abstinence had high rates of relapse after 52 weeks, whereas four-week abstinence was clinically convenient for early monitoring. Programmes are thus able to enhance early quitting without necessarily showing sustained abstinence, and referral pathways can boost contact without necessarily resulting in sustained engagement. Assess not only other early service indicators, but also outcomes for behaviour cessation a longer time after the service ends to avoid confusing early success with permanent change in behaviours.</w:t>
      </w:r>
    </w:p>
    <w:p w:rsidR="004F6971" w:rsidRDefault="004F6971" w:rsidP="004F6971">
      <w:pPr>
        <w:pStyle w:val="Heading2"/>
      </w:pPr>
      <w:bookmarkStart w:id="334" w:name="_Toc238725451"/>
      <w:bookmarkStart w:id="335" w:name="_Toc238725569"/>
      <w:r>
        <w:t>Strengths and Limitations</w:t>
      </w:r>
      <w:bookmarkEnd w:id="334"/>
      <w:bookmarkEnd w:id="335"/>
    </w:p>
    <w:p w:rsidR="004F6971" w:rsidRDefault="004F6971" w:rsidP="004F6971">
      <w:r>
        <w:t xml:space="preserve">There are a number of strengths to the review. A clear focus research question and PECO framework ensured that population, engagement and quit-related outcomes were well linked, </w:t>
      </w:r>
      <w:r>
        <w:lastRenderedPageBreak/>
        <w:t>and the search strategy and eligibility criteria were well documented as was the PRISMA reporting. The use of qualitative, quantitative and mixed-methods primary studies enabled the examination of the different stages of the engagement pathway from different perspectives, with quantitative-based primary studies providing data on service use, quit attempts and abstinence and qualitative-based studies providing data regarding barriers, facilitators, and user experiences at each stage. Evaluation of methodological quality of different types of design was enhanced using the Critical Appraisal Skills Programme (CASP), Cronin and Ryan framework and Mixed Methods Appraisal Tool (MMAT).</w:t>
      </w:r>
    </w:p>
    <w:p w:rsidR="004F6971" w:rsidRDefault="004F6971" w:rsidP="004F6971">
      <w:r>
        <w:t>There are a number of caveats to the conclusions. Definitions of engagement varied from referral, attendance, to treatment use and continued contact and programme participation, and quit success at varying time points and validated to varying degrees. Many studies were self-report and the observational studies were susceptible to self-selection and confounding factors as motivation, dependence and socioeconomic factors can affect engagement and quitting. Even using a structured audit trail, there were areas of researcher judgement needed in the thematic coding. The methodological and outcome heterogeneity precluded the use of metaanalysis, but the findings suggest that the relationship proceeded in the direction of the manuscript results and depended on the characteristics of those results. Another reporting limitation is that the search dates, adapted search strings and retrieval totals were not retained in the available record of the search, and should be reported if the original search log can be recovered, to allow for full reproduction of the search.</w:t>
      </w:r>
    </w:p>
    <w:p w:rsidR="004F6971" w:rsidRDefault="004F6971" w:rsidP="004F6971">
      <w:pPr>
        <w:pStyle w:val="Heading3"/>
      </w:pPr>
      <w:bookmarkStart w:id="336" w:name="_Toc238725452"/>
      <w:bookmarkStart w:id="337" w:name="_Toc238725570"/>
      <w:r>
        <w:t>Chapter Summary</w:t>
      </w:r>
      <w:bookmarkEnd w:id="336"/>
      <w:bookmarkEnd w:id="337"/>
    </w:p>
    <w:p w:rsidR="001D1FD6" w:rsidRDefault="004F6971" w:rsidP="004F6971">
      <w:r>
        <w:t>Referral/attendance is not enough to ensure meaningful engagement with smoking cessation support. Awareness and confidence are linked to capacity and motivation; access and continuity are linked to opportunity; the social opportunity and motivation can be supported by the person's relationships and socioeconomic conditions are linked to engagement and cessation. While more and better engagement usually correlates with improved quit rates, especially when evidence-based behavioural and pharmacological interventions are implemented, a causal relationship cannot simply be inferred due to the effects of relapse, dependence, self-selection and social disadvantage. Hence, engagement should assume a central role as an integral mechanism by which cessation support can function rather than a mechanism per se that ensures success in quitting.</w:t>
      </w:r>
    </w:p>
    <w:p w:rsidR="001D1FD6" w:rsidRDefault="0012332F">
      <w:pPr>
        <w:spacing w:after="160" w:line="278" w:lineRule="auto"/>
        <w:jc w:val="left"/>
      </w:pPr>
      <w:r>
        <w:br w:type="page"/>
      </w:r>
    </w:p>
    <w:p w:rsidR="001D1FD6" w:rsidRDefault="0012332F">
      <w:pPr>
        <w:pStyle w:val="Heading1"/>
        <w:spacing w:before="0"/>
      </w:pPr>
      <w:bookmarkStart w:id="338" w:name="_Toc238559719"/>
      <w:bookmarkStart w:id="339" w:name="_Toc238262556"/>
      <w:bookmarkStart w:id="340" w:name="_Toc238725453"/>
      <w:bookmarkStart w:id="341" w:name="_Toc238725571"/>
      <w:r>
        <w:lastRenderedPageBreak/>
        <w:t>Recommendations and Conclusion</w:t>
      </w:r>
      <w:bookmarkEnd w:id="338"/>
      <w:bookmarkEnd w:id="339"/>
      <w:bookmarkEnd w:id="340"/>
      <w:bookmarkEnd w:id="341"/>
    </w:p>
    <w:p w:rsidR="001D1FD6" w:rsidRDefault="0012332F">
      <w:pPr>
        <w:pStyle w:val="Heading2"/>
      </w:pPr>
      <w:bookmarkStart w:id="342" w:name="_Toc238559720"/>
      <w:bookmarkStart w:id="343" w:name="_Toc238262557"/>
      <w:bookmarkStart w:id="344" w:name="_Toc238725454"/>
      <w:bookmarkStart w:id="345" w:name="_Toc238725572"/>
      <w:r>
        <w:t>Introduction</w:t>
      </w:r>
      <w:bookmarkEnd w:id="342"/>
      <w:bookmarkEnd w:id="343"/>
      <w:bookmarkEnd w:id="344"/>
      <w:bookmarkEnd w:id="345"/>
    </w:p>
    <w:p w:rsidR="001D1FD6" w:rsidRDefault="0012332F">
      <w:r>
        <w:t>The evidence supports a set of practical and research implications for improving engagement with smoking cessation support and sustaining quit outcomes among UK adults. Recommendations focus on strengthening the transition from referral to active participation, improving flexibility and continuity, maintaining effective behavioural and pharmacological support, and reducing barriers faced by disadvantaged smokers. The final conclusion addresses the research question by drawing together the main patterns identified across the ten primary studies.</w:t>
      </w:r>
    </w:p>
    <w:p w:rsidR="001D1FD6" w:rsidRDefault="0012332F">
      <w:pPr>
        <w:pStyle w:val="Heading2"/>
      </w:pPr>
      <w:bookmarkStart w:id="346" w:name="_Toc238559721"/>
      <w:bookmarkStart w:id="347" w:name="_Toc238262558"/>
      <w:bookmarkStart w:id="348" w:name="_Toc238725455"/>
      <w:bookmarkStart w:id="349" w:name="_Toc238725573"/>
      <w:r>
        <w:t>Implications of Findings</w:t>
      </w:r>
      <w:bookmarkEnd w:id="346"/>
      <w:bookmarkEnd w:id="347"/>
      <w:bookmarkEnd w:id="348"/>
      <w:bookmarkEnd w:id="349"/>
    </w:p>
    <w:p w:rsidR="00F93449" w:rsidRDefault="00F93449" w:rsidP="00F93449">
      <w:pPr>
        <w:pStyle w:val="Caption"/>
        <w:keepNext/>
      </w:pPr>
      <w:bookmarkStart w:id="350" w:name="_Toc238725591"/>
      <w:r>
        <w:t xml:space="preserve">Table </w:t>
      </w:r>
      <w:r w:rsidR="00AD1081">
        <w:fldChar w:fldCharType="begin"/>
      </w:r>
      <w:r>
        <w:instrText xml:space="preserve"> STYLEREF 1 \s </w:instrText>
      </w:r>
      <w:r w:rsidR="00AD1081">
        <w:fldChar w:fldCharType="separate"/>
      </w:r>
      <w:r>
        <w:rPr>
          <w:noProof/>
        </w:rPr>
        <w:t>7</w:t>
      </w:r>
      <w:r w:rsidR="00AD1081">
        <w:fldChar w:fldCharType="end"/>
      </w:r>
      <w:r>
        <w:t>.</w:t>
      </w:r>
      <w:r w:rsidR="00AD1081">
        <w:fldChar w:fldCharType="begin"/>
      </w:r>
      <w:r>
        <w:instrText xml:space="preserve"> SEQ Table \* ARABIC \s 1 </w:instrText>
      </w:r>
      <w:r w:rsidR="00AD1081">
        <w:fldChar w:fldCharType="separate"/>
      </w:r>
      <w:r>
        <w:rPr>
          <w:noProof/>
        </w:rPr>
        <w:t>1</w:t>
      </w:r>
      <w:r w:rsidR="00AD1081">
        <w:fldChar w:fldCharType="end"/>
      </w:r>
      <w:r>
        <w:t xml:space="preserve">. </w:t>
      </w:r>
      <w:r w:rsidRPr="00560BC0">
        <w:t>Alignment of research objectives with themes and evidence</w:t>
      </w:r>
      <w:bookmarkEnd w:id="350"/>
    </w:p>
    <w:tbl>
      <w:tblPr>
        <w:tblW w:w="9014" w:type="dxa"/>
        <w:jc w:val="center"/>
        <w:tblLayout w:type="fixed"/>
        <w:tblCellMar>
          <w:top w:w="70" w:type="dxa"/>
          <w:left w:w="70" w:type="dxa"/>
          <w:bottom w:w="70" w:type="dxa"/>
          <w:right w:w="70" w:type="dxa"/>
        </w:tblCellMar>
        <w:tblLook w:val="04A0"/>
      </w:tblPr>
      <w:tblGrid>
        <w:gridCol w:w="2231"/>
        <w:gridCol w:w="1774"/>
        <w:gridCol w:w="2561"/>
        <w:gridCol w:w="2448"/>
      </w:tblGrid>
      <w:tr w:rsidR="00F93449" w:rsidTr="00F93449">
        <w:trPr>
          <w:cantSplit/>
          <w:tblHeader/>
          <w:jc w:val="center"/>
        </w:trPr>
        <w:tc>
          <w:tcPr>
            <w:tcW w:w="2231" w:type="dxa"/>
            <w:tcBorders>
              <w:top w:val="single" w:sz="4" w:space="0" w:color="000000"/>
              <w:left w:val="single" w:sz="4" w:space="0" w:color="000000"/>
              <w:bottom w:val="single" w:sz="4" w:space="0" w:color="000000"/>
              <w:right w:val="single" w:sz="4" w:space="0" w:color="000000"/>
            </w:tcBorders>
            <w:shd w:val="clear" w:color="auto" w:fill="D9EAF7"/>
          </w:tcPr>
          <w:p w:rsidR="00F93449" w:rsidRDefault="00F93449">
            <w:pPr>
              <w:jc w:val="center"/>
              <w:rPr>
                <w:b/>
                <w:bCs/>
              </w:rPr>
            </w:pPr>
            <w:r>
              <w:rPr>
                <w:b/>
                <w:bCs/>
              </w:rPr>
              <w:t>Research Objective</w:t>
            </w:r>
          </w:p>
        </w:tc>
        <w:tc>
          <w:tcPr>
            <w:tcW w:w="1774" w:type="dxa"/>
            <w:tcBorders>
              <w:top w:val="single" w:sz="4" w:space="0" w:color="000000"/>
              <w:left w:val="single" w:sz="4" w:space="0" w:color="000000"/>
              <w:bottom w:val="single" w:sz="4" w:space="0" w:color="000000"/>
              <w:right w:val="single" w:sz="4" w:space="0" w:color="000000"/>
            </w:tcBorders>
            <w:shd w:val="clear" w:color="auto" w:fill="D9EAF7"/>
          </w:tcPr>
          <w:p w:rsidR="00F93449" w:rsidRDefault="00F93449">
            <w:pPr>
              <w:jc w:val="center"/>
              <w:rPr>
                <w:b/>
                <w:bCs/>
              </w:rPr>
            </w:pPr>
            <w:r>
              <w:rPr>
                <w:b/>
                <w:bCs/>
              </w:rPr>
              <w:t>Related Key Finding</w:t>
            </w:r>
          </w:p>
        </w:tc>
        <w:tc>
          <w:tcPr>
            <w:tcW w:w="2561" w:type="dxa"/>
            <w:tcBorders>
              <w:top w:val="single" w:sz="4" w:space="0" w:color="000000"/>
              <w:left w:val="single" w:sz="4" w:space="0" w:color="000000"/>
              <w:bottom w:val="single" w:sz="4" w:space="0" w:color="000000"/>
              <w:right w:val="single" w:sz="4" w:space="0" w:color="000000"/>
            </w:tcBorders>
            <w:shd w:val="clear" w:color="auto" w:fill="D9EAF7"/>
          </w:tcPr>
          <w:p w:rsidR="00F93449" w:rsidRDefault="00F93449">
            <w:pPr>
              <w:jc w:val="center"/>
              <w:rPr>
                <w:b/>
                <w:bCs/>
              </w:rPr>
            </w:pPr>
            <w:r>
              <w:rPr>
                <w:b/>
                <w:bCs/>
              </w:rPr>
              <w:t>Sub-Key Findings</w:t>
            </w:r>
          </w:p>
        </w:tc>
        <w:tc>
          <w:tcPr>
            <w:tcW w:w="2448" w:type="dxa"/>
            <w:tcBorders>
              <w:top w:val="single" w:sz="4" w:space="0" w:color="000000"/>
              <w:left w:val="single" w:sz="4" w:space="0" w:color="000000"/>
              <w:bottom w:val="single" w:sz="4" w:space="0" w:color="000000"/>
              <w:right w:val="single" w:sz="4" w:space="0" w:color="000000"/>
            </w:tcBorders>
            <w:shd w:val="clear" w:color="auto" w:fill="D9EAF7"/>
          </w:tcPr>
          <w:p w:rsidR="00F93449" w:rsidRDefault="00F93449">
            <w:pPr>
              <w:jc w:val="center"/>
              <w:rPr>
                <w:b/>
                <w:bCs/>
              </w:rPr>
            </w:pPr>
            <w:r>
              <w:rPr>
                <w:b/>
                <w:bCs/>
              </w:rPr>
              <w:t>Evidence Source</w:t>
            </w:r>
          </w:p>
        </w:tc>
      </w:tr>
      <w:tr w:rsidR="00F93449" w:rsidTr="00F93449">
        <w:trPr>
          <w:jc w:val="center"/>
        </w:trPr>
        <w:tc>
          <w:tcPr>
            <w:tcW w:w="223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F93449" w:rsidRDefault="00F93449">
            <w:r>
              <w:t>Objective 1: Identify smoking cessation support used by UK adults and the quit-related outcomes reported in the selected evidence.</w:t>
            </w:r>
          </w:p>
        </w:tc>
        <w:tc>
          <w:tcPr>
            <w:tcW w:w="177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F93449" w:rsidRDefault="00F93449">
            <w:r>
              <w:t>Theme 3 (5.5.3): Relational and Treatment Support; Theme 5 (5.5.5): Engagement and Quit Success</w:t>
            </w:r>
          </w:p>
        </w:tc>
        <w:tc>
          <w:tcPr>
            <w:tcW w:w="256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F93449" w:rsidRDefault="00F93449">
            <w:r>
              <w:t>5.5.3.1 Trust and Adviser Relationships; 5.5.3.2 Specialist and Group Behavioural Support; 5.5.3.3 Medication and Treatment Support; 5.5.5.1 Supported and Unsupported Quit Attempts; 5.5.5.2 Short-term and Long-term Abstinence; 5.5.5.3 Limits of the Engagement-Outcome Relationship.</w:t>
            </w:r>
          </w:p>
        </w:tc>
        <w:tc>
          <w:tcPr>
            <w:tcW w:w="2448"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F93449" w:rsidRDefault="00F93449">
            <w:r>
              <w:rPr>
                <w:lang w:val="de-CH"/>
              </w:rPr>
              <w:t xml:space="preserve">Gibson et al. (2010); Bauld et al. </w:t>
            </w:r>
            <w:r>
              <w:t>(2012); Bauld et al. (2016); Robinson et al. (2019); Jackson et al. (2021); Pope et al. (2025); Smith et al. (2026).</w:t>
            </w:r>
          </w:p>
        </w:tc>
      </w:tr>
      <w:tr w:rsidR="00F93449" w:rsidTr="00F93449">
        <w:trPr>
          <w:jc w:val="center"/>
        </w:trPr>
        <w:tc>
          <w:tcPr>
            <w:tcW w:w="223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F93449" w:rsidRDefault="00F93449">
            <w:r>
              <w:t xml:space="preserve">Objective 2: Examine how engagement with </w:t>
            </w:r>
            <w:r>
              <w:lastRenderedPageBreak/>
              <w:t>smoking cessation support is defined and measured.</w:t>
            </w:r>
          </w:p>
        </w:tc>
        <w:tc>
          <w:tcPr>
            <w:tcW w:w="177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F93449" w:rsidRDefault="00F93449">
            <w:r>
              <w:lastRenderedPageBreak/>
              <w:t xml:space="preserve">Themes 1 (5.5.1), 2 (5.5.2), 3 </w:t>
            </w:r>
            <w:r>
              <w:lastRenderedPageBreak/>
              <w:t>(5.5.3) and 5 (5.5.5)</w:t>
            </w:r>
          </w:p>
        </w:tc>
        <w:tc>
          <w:tcPr>
            <w:tcW w:w="256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F93449" w:rsidRDefault="00F93449">
            <w:r>
              <w:lastRenderedPageBreak/>
              <w:t xml:space="preserve">Engagement ranged from awareness, referral and active contact </w:t>
            </w:r>
            <w:r>
              <w:lastRenderedPageBreak/>
              <w:t>(5.5.1) to practical access and continuity (5.5.2), adviser/treatment participation (5.5.3), and supported attempts, abstinence and limits of engagement-outcome measures (5.5.5).</w:t>
            </w:r>
          </w:p>
        </w:tc>
        <w:tc>
          <w:tcPr>
            <w:tcW w:w="2448"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F93449" w:rsidRDefault="00F93449">
            <w:r>
              <w:lastRenderedPageBreak/>
              <w:t xml:space="preserve">Edwards et al. (2007); Kotz, Fidler and West (2009); Gibson et al. </w:t>
            </w:r>
            <w:r>
              <w:lastRenderedPageBreak/>
              <w:t>(2010); Bauld et al. (2012); Bauld et al. (2016); Kale, Gilbert and Sutton (2019); Robinson et al. (2019); Jackson et al. (2021); Pope et al. (2025); Smith et al. (2026).</w:t>
            </w:r>
          </w:p>
        </w:tc>
      </w:tr>
      <w:tr w:rsidR="00F93449" w:rsidTr="00F93449">
        <w:trPr>
          <w:jc w:val="center"/>
        </w:trPr>
        <w:tc>
          <w:tcPr>
            <w:tcW w:w="223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F93449" w:rsidRDefault="00F93449">
            <w:r>
              <w:lastRenderedPageBreak/>
              <w:t>Objective 3: Synthesise whether stronger or more sustained engagement is associated with improved quit success.</w:t>
            </w:r>
          </w:p>
        </w:tc>
        <w:tc>
          <w:tcPr>
            <w:tcW w:w="177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F93449" w:rsidRDefault="00F93449">
            <w:r>
              <w:t>Theme 5 (5.5.5): Engagement and Quit Success</w:t>
            </w:r>
          </w:p>
        </w:tc>
        <w:tc>
          <w:tcPr>
            <w:tcW w:w="256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F93449" w:rsidRDefault="00F93449">
            <w:r>
              <w:t>5.5.5.1 Supported and Unsupported Quit Attempts; 5.5.5.2 Short-term and Long-term Abstinence; 5.5.5.3 Limits of the Engagement-Outcome Relationship.</w:t>
            </w:r>
          </w:p>
        </w:tc>
        <w:tc>
          <w:tcPr>
            <w:tcW w:w="2448"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F93449" w:rsidRDefault="00F93449">
            <w:r>
              <w:rPr>
                <w:lang w:val="de-CH"/>
              </w:rPr>
              <w:t xml:space="preserve">Gibson et al. (2010); Bauld et al. </w:t>
            </w:r>
            <w:r>
              <w:t>(2012); Bauld et al. (2016); Jackson et al. (2021); Pope et al. (2025).</w:t>
            </w:r>
          </w:p>
        </w:tc>
      </w:tr>
      <w:tr w:rsidR="00F93449" w:rsidTr="00F93449">
        <w:trPr>
          <w:jc w:val="center"/>
        </w:trPr>
        <w:tc>
          <w:tcPr>
            <w:tcW w:w="223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F93449" w:rsidRDefault="00F93449">
            <w:r>
              <w:t>Objective 4: Identify barriers, facilitators and implications for public health practice, service design and future research.</w:t>
            </w:r>
          </w:p>
        </w:tc>
        <w:tc>
          <w:tcPr>
            <w:tcW w:w="177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F93449" w:rsidRDefault="00F93449">
            <w:r>
              <w:t>Theme 1 (5.5.1), Theme 2 (5.5.2), Theme 3 (5.5.3) and Theme 4 (5.5.4)</w:t>
            </w:r>
          </w:p>
        </w:tc>
        <w:tc>
          <w:tcPr>
            <w:tcW w:w="256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F93449" w:rsidRDefault="00F93449">
            <w:r>
              <w:t xml:space="preserve">5.5.1.1 Awareness and Understanding; 5.5.1.2 Confidence and Beliefs; 5.5.1.3 Routes into Support; 5.5.2.1 Time and Practical Barriers; 5.5.2.2 Flexibility and Mode; 5.5.2.3 Continuity and Re-engagement; 5.5.3.1-5.5.3.3 Relational/Treatment Support; 5.5.4.1 Socioeconomic </w:t>
            </w:r>
            <w:r>
              <w:lastRenderedPageBreak/>
              <w:t>Disadvantage; 5.5.4.2 Motivation, Dependence and Social/Individual Characteristics.</w:t>
            </w:r>
          </w:p>
        </w:tc>
        <w:tc>
          <w:tcPr>
            <w:tcW w:w="2448"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F93449" w:rsidRDefault="00F93449">
            <w:r>
              <w:lastRenderedPageBreak/>
              <w:t>Edwards et al. (2007); Kotz, Fidler and West (2009); Bauld et al. (2012); Bauld et al. (2016); Kale, Gilbert and Sutton (2019); Robinson et al. (2019); Pope et al. (2025); Smith et al. (2026).</w:t>
            </w:r>
          </w:p>
        </w:tc>
      </w:tr>
    </w:tbl>
    <w:p w:rsidR="001D1FD6" w:rsidRDefault="0012332F">
      <w:pPr>
        <w:pStyle w:val="Heading2"/>
        <w:rPr>
          <w:rFonts w:ascii="Arial" w:hAnsi="Arial"/>
          <w:sz w:val="26"/>
        </w:rPr>
      </w:pPr>
      <w:bookmarkStart w:id="351" w:name="_Toc238559722"/>
      <w:bookmarkStart w:id="352" w:name="_Toc238262559"/>
      <w:bookmarkStart w:id="353" w:name="_Toc238725456"/>
      <w:bookmarkStart w:id="354" w:name="_Toc238725574"/>
      <w:r>
        <w:lastRenderedPageBreak/>
        <w:t>Recommendations for Practice</w:t>
      </w:r>
      <w:bookmarkEnd w:id="351"/>
      <w:bookmarkEnd w:id="352"/>
      <w:bookmarkEnd w:id="353"/>
      <w:bookmarkEnd w:id="354"/>
    </w:p>
    <w:p w:rsidR="001D1FD6" w:rsidRDefault="0012332F">
      <w:pPr>
        <w:pStyle w:val="ListParagraph"/>
        <w:numPr>
          <w:ilvl w:val="0"/>
          <w:numId w:val="3"/>
        </w:numPr>
        <w:spacing w:after="80"/>
      </w:pPr>
      <w:r>
        <w:t>Stop smoking services should consider active referral processes that confirm successful contact rather than relying on signposting alone, because substantial loss can occur between referral, contact and actual service participation (Pope et al., 2025).</w:t>
      </w:r>
    </w:p>
    <w:p w:rsidR="001D1FD6" w:rsidRDefault="0012332F">
      <w:pPr>
        <w:pStyle w:val="ListParagraph"/>
        <w:numPr>
          <w:ilvl w:val="0"/>
          <w:numId w:val="3"/>
        </w:numPr>
        <w:spacing w:after="80"/>
      </w:pPr>
      <w:r>
        <w:t>Services may benefit from offering appropriate choices in appointment timing and delivery mode, including face-to-face, telephone, digital and community options, because practical constraints and service fit were repeatedly identified as influences on engagement (Kale, Gilbert and Sutton, 2019; Pope et al., 2025; Smith et al., 2026).</w:t>
      </w:r>
    </w:p>
    <w:p w:rsidR="001D1FD6" w:rsidRDefault="0012332F">
      <w:pPr>
        <w:pStyle w:val="ListParagraph"/>
        <w:numPr>
          <w:ilvl w:val="0"/>
          <w:numId w:val="3"/>
        </w:numPr>
        <w:spacing w:after="80"/>
      </w:pPr>
      <w:r>
        <w:t>The findings support consideration of continued follow-up and clear routes for re-engagement after unsuccessful attempts or relapse, while recognising that the available evidence suggests potential value rather than proving that longer follow-up prevents relapse (Bauld et al., 2012; Robinson et al., 2019; Smith et al., 2026).</w:t>
      </w:r>
    </w:p>
    <w:p w:rsidR="001D1FD6" w:rsidRDefault="0012332F">
      <w:pPr>
        <w:pStyle w:val="ListParagraph"/>
        <w:numPr>
          <w:ilvl w:val="0"/>
          <w:numId w:val="3"/>
        </w:numPr>
        <w:spacing w:after="80"/>
      </w:pPr>
      <w:r>
        <w:t>Behavioural support should remain available alongside appropriate pharmacological treatment because structured or combined support was associated with stronger quit outcomes and wider evidence supports both behavioural counselling and effective pharmacotherapy (Gibson et al., 2010; Bauld et al., 2016; Lancaster and Stead, 2017; Theodoulou et al., 2023).</w:t>
      </w:r>
    </w:p>
    <w:p w:rsidR="001D1FD6" w:rsidRDefault="0012332F">
      <w:pPr>
        <w:pStyle w:val="ListParagraph"/>
        <w:numPr>
          <w:ilvl w:val="0"/>
          <w:numId w:val="3"/>
        </w:numPr>
        <w:spacing w:after="80"/>
      </w:pPr>
      <w:r>
        <w:t>Adviser development may benefit from emphasisingnon-judgemental and collaborative relationships, although this recommendation is informed primarily by qualitative evidence about service-user experience rather than trials of adviser training itself (Robinson et al., 2019; Smith et al., 2026).</w:t>
      </w:r>
    </w:p>
    <w:p w:rsidR="001D1FD6" w:rsidRDefault="0012332F">
      <w:pPr>
        <w:pStyle w:val="ListParagraph"/>
        <w:numPr>
          <w:ilvl w:val="0"/>
          <w:numId w:val="3"/>
        </w:numPr>
        <w:spacing w:after="80"/>
      </w:pPr>
      <w:r>
        <w:t xml:space="preserve">Service monitoring should consider referral conversion, attendance, treatment use, retention and longer-term outcomes together, particularly for populations experiencing socioeconomic disadvantage, because reach and individual quit success </w:t>
      </w:r>
      <w:r>
        <w:lastRenderedPageBreak/>
        <w:t>may not move in parallel (Edwards et al., 2007; Bauld et al., 2012; Smith, Hill and Amos, 2020; Pope et al., 2025).</w:t>
      </w:r>
    </w:p>
    <w:p w:rsidR="001D1FD6" w:rsidRDefault="0012332F">
      <w:pPr>
        <w:pStyle w:val="ListParagraph"/>
        <w:numPr>
          <w:ilvl w:val="0"/>
          <w:numId w:val="3"/>
        </w:numPr>
        <w:spacing w:after="80"/>
      </w:pPr>
      <w:r>
        <w:t>Services may consider tailoring the intensity and continuity of support to individual need, while recognising that the included studies do not establish an optimal duration or intensity of treatment (Bauld et al., 2012; Bauld et al., 2016).</w:t>
      </w:r>
    </w:p>
    <w:p w:rsidR="001D1FD6" w:rsidRDefault="0012332F">
      <w:pPr>
        <w:pStyle w:val="ListParagraph"/>
        <w:numPr>
          <w:ilvl w:val="0"/>
          <w:numId w:val="3"/>
        </w:numPr>
        <w:spacing w:after="80"/>
      </w:pPr>
      <w:r>
        <w:t>Clear communication about treatment options and routes back into support after setbacks may help normalise repeated quit attempts and preserve engagement among smokers who do not achieve immediate abstinence (Robinson et al., 2019; Smith et al., 2026).</w:t>
      </w:r>
    </w:p>
    <w:p w:rsidR="001D1FD6" w:rsidRDefault="0012332F">
      <w:pPr>
        <w:pStyle w:val="Heading2"/>
      </w:pPr>
      <w:bookmarkStart w:id="355" w:name="_Toc238559723"/>
      <w:bookmarkStart w:id="356" w:name="_Toc238262560"/>
      <w:bookmarkStart w:id="357" w:name="_Toc238725457"/>
      <w:bookmarkStart w:id="358" w:name="_Toc238725575"/>
      <w:r>
        <w:t>Recommendations for Future Research</w:t>
      </w:r>
      <w:bookmarkEnd w:id="355"/>
      <w:bookmarkEnd w:id="356"/>
      <w:bookmarkEnd w:id="357"/>
      <w:bookmarkEnd w:id="358"/>
    </w:p>
    <w:p w:rsidR="001D1FD6" w:rsidRDefault="0012332F">
      <w:r>
        <w:t>Future studies should use clearer and more consistent definitions of engagement that distinguish referral, successful contact, attendance, treatment use, retention and completion, because the included studies operationalised these stages differently (Edwards et al., 2007; Kotz, Fidler and West, 2009; Pope et al., 2025). Greater primary evidence is needed from Scotland, Wales and Northern Ireland because much of the current evidence is based on English services, despite the more recent UK-wide qualitative contribution (Smith et al., 2026). Longer follow-up and validated abstinence measures should be prioritised because early cessation rates declined substantially at 52 weeks and outcome measurement varied across studies (Bauld et al., 2012; Bauld et al., 2016). Stronger longitudinal or experimental designs are also needed to separate the effect of engagement from pre-existing differences in motivation, nicotine dependence, socioeconomic circumstances and social support (Kotz, Fidler and West, 2009; Bauld et al., 2016).</w:t>
      </w:r>
    </w:p>
    <w:p w:rsidR="001D1FD6" w:rsidRDefault="0012332F">
      <w:r>
        <w:t>Future evaluations should report engagement as a sequence rather than a binary variable because referral, contact and active participation can diverge substantially (Pope et al., 2025). Studies should also examine re-engagement after unsuccessful attempts and compare flexible delivery models because qualitative evidence indicates that preferences and barriers vary between users (Robinson et al., 2019; Smith et al., 2026). Where possible, process measures should be combined with longer-term abstinence and qualitative accounts so that service loss points can be related to both sustained outcomes and explanations of why engagement was maintained or interrupted (Bauld et al., 2012; Pope et al., 2025; Smith et al., 2026).</w:t>
      </w:r>
    </w:p>
    <w:p w:rsidR="001D1FD6" w:rsidRDefault="0012332F">
      <w:pPr>
        <w:pStyle w:val="Heading2"/>
      </w:pPr>
      <w:bookmarkStart w:id="359" w:name="_Toc238559724"/>
      <w:bookmarkStart w:id="360" w:name="_Toc238262561"/>
      <w:bookmarkStart w:id="361" w:name="_Toc238725458"/>
      <w:bookmarkStart w:id="362" w:name="_Toc238725576"/>
      <w:r>
        <w:lastRenderedPageBreak/>
        <w:t>Conclusion</w:t>
      </w:r>
      <w:bookmarkEnd w:id="359"/>
      <w:bookmarkEnd w:id="360"/>
      <w:bookmarkEnd w:id="361"/>
      <w:bookmarkEnd w:id="362"/>
    </w:p>
    <w:p w:rsidR="001D1FD6" w:rsidRDefault="0012332F">
      <w:r>
        <w:t>This systematic literature review examined what published evidence shows about the relationship between engagement with smoking cessation support and quit success among adults in the United Kingdom. Ten primary studies provided evidence from population surveys, stop smoking services, qualitative interviews, prospective cohorts, referral pathways and a citywide cessation programme. Across these different designs, engagement was shown to be multidimensional. It included awareness of support, successful contact after referral, attendance, behavioural participation, medication use, continued adviser contact and retention over time.</w:t>
      </w:r>
    </w:p>
    <w:p w:rsidR="001D1FD6" w:rsidRDefault="0012332F">
      <w:r>
        <w:t>The central conclusion is that stronger and more sustained engagement is generally associated with better quit prospects, particularly when behavioural support and appropriate pharmacological treatment are combined. However, referral or brief contact alone cannot be treated as meaningful engagement, and early abstinence does not guarantee long-term cessation. Substantial relapse at longer follow-up and low conversion from some referral pathways demonstrate that the depth and continuity of participation matter. The relationship is therefore positive but conditional rather than automatic or independently causal.</w:t>
      </w:r>
    </w:p>
    <w:p w:rsidR="001D1FD6" w:rsidRDefault="0012332F">
      <w:r>
        <w:t>Quit outcomes also remain influenced by nicotine dependence, motivation, planning, socioeconomic circumstances and social networks. These factors help explain why disadvantaged smokers may access support yet experience lower sustained quit rates. Effective cessation provision consequently requires more than making services available. Adults need clear information, an effective route into support, practical access, trusted professional relationships, appropriate treatment and opportunities to remain engaged or return after setbacks. Services that respond to capability, opportunity and motivation are better positioned to support this pathway.</w:t>
      </w:r>
    </w:p>
    <w:p w:rsidR="001D1FD6" w:rsidRDefault="0012332F">
      <w:r>
        <w:t>The findings are significant for UK public health because they show that engagement should be assessed through both reach and continuity. Improving referral conversion, service flexibility, adviser support and treatment access may increase the opportunity for evidence-based cessation support to work, particularly among populations carrying a higher smoking burden. At the same time, service evaluation should recognise that quitting occurs within wider personal and social conditions. Meaningful engagement is therefore an important component of successful cessation, but durable quit outcomes depend on the interaction between service quality, individual circumstances and sustained support over time.</w:t>
      </w:r>
    </w:p>
    <w:p w:rsidR="001D1FD6" w:rsidRDefault="0012332F">
      <w:r>
        <w:br w:type="page"/>
      </w:r>
    </w:p>
    <w:p w:rsidR="001D1FD6" w:rsidRDefault="0012332F">
      <w:pPr>
        <w:pStyle w:val="Heading1"/>
        <w:numPr>
          <w:ilvl w:val="0"/>
          <w:numId w:val="0"/>
        </w:numPr>
        <w:spacing w:before="0"/>
        <w:jc w:val="both"/>
      </w:pPr>
      <w:bookmarkStart w:id="363" w:name="_Toc238559725"/>
      <w:bookmarkStart w:id="364" w:name="_Toc238262562"/>
      <w:bookmarkStart w:id="365" w:name="_Toc238725459"/>
      <w:bookmarkStart w:id="366" w:name="_Toc238725577"/>
      <w:r>
        <w:lastRenderedPageBreak/>
        <w:t>References</w:t>
      </w:r>
      <w:bookmarkEnd w:id="363"/>
      <w:bookmarkEnd w:id="364"/>
      <w:bookmarkEnd w:id="365"/>
      <w:bookmarkEnd w:id="366"/>
    </w:p>
    <w:p w:rsidR="001D1FD6" w:rsidRDefault="0012332F">
      <w:r>
        <w:t xml:space="preserve">Ajzen, I. (1991) ‘The theory of planned behavior’, </w:t>
      </w:r>
      <w:r>
        <w:rPr>
          <w:i/>
          <w:iCs/>
        </w:rPr>
        <w:t>Organizational Behavior and Human Decision Processes</w:t>
      </w:r>
      <w:r>
        <w:t xml:space="preserve">, 50(2), pp. 179–211. Available at: </w:t>
      </w:r>
      <w:hyperlink r:id="rId19">
        <w:r w:rsidR="001D1FD6">
          <w:rPr>
            <w:rStyle w:val="Hyperlink"/>
          </w:rPr>
          <w:t>https://doi.org/10.1016/0749-5978(91)90020-T</w:t>
        </w:r>
      </w:hyperlink>
      <w:r>
        <w:t>.</w:t>
      </w:r>
    </w:p>
    <w:p w:rsidR="001D1FD6" w:rsidRDefault="0012332F">
      <w:r>
        <w:t xml:space="preserve">Alonso-Coello, P., Schünemann, H.J., Moberg, J., Brignardello-Petersen, R., Akl, E.A., Davoli, M. </w:t>
      </w:r>
      <w:r>
        <w:rPr>
          <w:i/>
          <w:iCs/>
        </w:rPr>
        <w:t>et al.</w:t>
      </w:r>
      <w:r>
        <w:t xml:space="preserve"> (2016) ‘GRADE Evidence to Decision (EtD) frameworks: a systematic and transparent approach to making well informed healthcare choices. 1: Introduction’, </w:t>
      </w:r>
      <w:r>
        <w:rPr>
          <w:i/>
          <w:iCs/>
        </w:rPr>
        <w:t>BMJ</w:t>
      </w:r>
      <w:r>
        <w:t xml:space="preserve">, 353, i2016. Available at: </w:t>
      </w:r>
      <w:hyperlink r:id="rId20">
        <w:r w:rsidR="001D1FD6">
          <w:rPr>
            <w:rStyle w:val="Hyperlink"/>
          </w:rPr>
          <w:t>https://doi.org/10.1136/bmj.i2016</w:t>
        </w:r>
      </w:hyperlink>
      <w:r>
        <w:t>.</w:t>
      </w:r>
    </w:p>
    <w:p w:rsidR="001D1FD6" w:rsidRDefault="0012332F">
      <w:r>
        <w:t xml:space="preserve">Bauld, L., Chesterman, J., Judge, K., Pound, E. and Coleman, T. (2003) ‘Impact of UK National Health Service smoking cessation services: variations in outcomes in England’, </w:t>
      </w:r>
      <w:r>
        <w:rPr>
          <w:i/>
          <w:iCs/>
        </w:rPr>
        <w:t>Tobacco Control</w:t>
      </w:r>
      <w:r>
        <w:t xml:space="preserve">, 12(3), pp. 296–301. Available at: </w:t>
      </w:r>
      <w:hyperlink r:id="rId21">
        <w:r w:rsidR="001D1FD6">
          <w:rPr>
            <w:rStyle w:val="Hyperlink"/>
          </w:rPr>
          <w:t>https://doi.org/10.1136/tc.12.3.296</w:t>
        </w:r>
      </w:hyperlink>
      <w:r>
        <w:t>.</w:t>
      </w:r>
    </w:p>
    <w:p w:rsidR="001D1FD6" w:rsidRDefault="0012332F">
      <w:r>
        <w:t xml:space="preserve">Bauld, L., Ferguson, J., McEwen, A. and Hiscock, R. (2012) ‘Evaluation of a drop-in rolling-group model of support to stop smoking’, </w:t>
      </w:r>
      <w:r>
        <w:rPr>
          <w:i/>
          <w:iCs/>
        </w:rPr>
        <w:t>Addiction</w:t>
      </w:r>
      <w:r>
        <w:t xml:space="preserve">, 107(9), pp. 1687–1695. Available at: </w:t>
      </w:r>
      <w:hyperlink r:id="rId22">
        <w:r w:rsidR="001D1FD6">
          <w:rPr>
            <w:rStyle w:val="Hyperlink"/>
          </w:rPr>
          <w:t>https://doi.org/10.1111/j.1360-0443.2012.03861.x</w:t>
        </w:r>
      </w:hyperlink>
      <w:r>
        <w:t>.</w:t>
      </w:r>
    </w:p>
    <w:p w:rsidR="001D1FD6" w:rsidRDefault="0012332F">
      <w:r>
        <w:t xml:space="preserve">Bauld, L., Hiscock, R., Dobbie, F., Aveyard, P., Coleman, T., Leonardi-Bee, J., McRobbie, H. and McEwen, A. (2016) ‘English stop-smoking services: one-year outcomes’, </w:t>
      </w:r>
      <w:r>
        <w:rPr>
          <w:i/>
          <w:iCs/>
        </w:rPr>
        <w:t>International Journal of Environmental Research and Public Health</w:t>
      </w:r>
      <w:r>
        <w:t xml:space="preserve">, 13(12), 1175. Available at: </w:t>
      </w:r>
      <w:hyperlink r:id="rId23">
        <w:r w:rsidR="001D1FD6">
          <w:rPr>
            <w:rStyle w:val="Hyperlink"/>
          </w:rPr>
          <w:t>https://doi.org/10.3390/ijerph13121175</w:t>
        </w:r>
      </w:hyperlink>
      <w:r>
        <w:t>.</w:t>
      </w:r>
    </w:p>
    <w:p w:rsidR="001D1FD6" w:rsidRDefault="0012332F">
      <w:r>
        <w:t xml:space="preserve">Bauld, L., Judge, K. and Platt, S. (2007) ‘Assessing the impact of smoking cessation services on reducing health inequalities in England: observational study’, </w:t>
      </w:r>
      <w:r>
        <w:rPr>
          <w:i/>
          <w:iCs/>
        </w:rPr>
        <w:t>Tobacco Control</w:t>
      </w:r>
      <w:r>
        <w:t xml:space="preserve">, 16(6), pp. 400–404. Available at: </w:t>
      </w:r>
      <w:hyperlink r:id="rId24">
        <w:r w:rsidR="001D1FD6">
          <w:rPr>
            <w:rStyle w:val="Hyperlink"/>
          </w:rPr>
          <w:t>https://doi.org/10.1136/tc.2007.021626</w:t>
        </w:r>
      </w:hyperlink>
      <w:r>
        <w:t>.</w:t>
      </w:r>
    </w:p>
    <w:p w:rsidR="001D1FD6" w:rsidRDefault="0012332F">
      <w:r>
        <w:t xml:space="preserve">Beard, E., West, R., Michie, S. and Brown, J. (2016) ‘Association between electronic cigarette use and changes in quit attempts, success of quit attempts, use of smoking cessation pharmacotherapy, and use of stop smoking services in England: time series analysis of population trends’, </w:t>
      </w:r>
      <w:r>
        <w:rPr>
          <w:i/>
          <w:iCs/>
        </w:rPr>
        <w:t>BMJ</w:t>
      </w:r>
      <w:r>
        <w:t xml:space="preserve">, 354, i4645. Available at: </w:t>
      </w:r>
      <w:hyperlink r:id="rId25">
        <w:r w:rsidR="001D1FD6">
          <w:rPr>
            <w:rStyle w:val="Hyperlink"/>
          </w:rPr>
          <w:t>https://doi.org/10.1136/bmj.i4645</w:t>
        </w:r>
      </w:hyperlink>
      <w:r>
        <w:t>.</w:t>
      </w:r>
    </w:p>
    <w:p w:rsidR="001D1FD6" w:rsidRDefault="0012332F">
      <w:r>
        <w:t xml:space="preserve">Bendotti, H., Lawler, S., Chan, G.C.K., Gartner, C., Ireland, D. and Marshall, H.M. (2023) ‘Conversational artificial intelligence interventions to support smoking cessation: a systematic review and meta-analysis’, </w:t>
      </w:r>
      <w:r>
        <w:rPr>
          <w:i/>
          <w:iCs/>
        </w:rPr>
        <w:t>Digital Health</w:t>
      </w:r>
      <w:r>
        <w:t xml:space="preserve">, 9, 20552076231211634. Available at: </w:t>
      </w:r>
      <w:hyperlink r:id="rId26">
        <w:r w:rsidR="001D1FD6">
          <w:rPr>
            <w:rStyle w:val="Hyperlink"/>
          </w:rPr>
          <w:t>https://doi.org/10.1177/20552076231211634</w:t>
        </w:r>
      </w:hyperlink>
      <w:r>
        <w:t>.</w:t>
      </w:r>
    </w:p>
    <w:p w:rsidR="001D1FD6" w:rsidRDefault="0012332F">
      <w:r>
        <w:t xml:space="preserve">Boyle, R., Solberg, L. and Fiore, M. (2014) ‘Use of electronic health records to support smoking cessation’, </w:t>
      </w:r>
      <w:r>
        <w:rPr>
          <w:i/>
          <w:iCs/>
        </w:rPr>
        <w:t>Cochrane Database of Systematic Reviews</w:t>
      </w:r>
      <w:r>
        <w:t xml:space="preserve">, 12, CD008743. Available at: </w:t>
      </w:r>
      <w:hyperlink r:id="rId27">
        <w:r w:rsidR="001D1FD6">
          <w:rPr>
            <w:rStyle w:val="Hyperlink"/>
          </w:rPr>
          <w:t>https://doi.org/10.1002/14651858.CD008743.pub3</w:t>
        </w:r>
      </w:hyperlink>
      <w:r>
        <w:t>.</w:t>
      </w:r>
    </w:p>
    <w:p w:rsidR="001D1FD6" w:rsidRDefault="0012332F">
      <w:r>
        <w:lastRenderedPageBreak/>
        <w:t xml:space="preserve">Braun, V. and Clarke, V. (2006) ‘Using thematic analysis in psychology’, </w:t>
      </w:r>
      <w:r>
        <w:rPr>
          <w:i/>
          <w:iCs/>
        </w:rPr>
        <w:t>Qualitative Research in Psychology</w:t>
      </w:r>
      <w:r>
        <w:t xml:space="preserve">, 3(2), pp. 77–101. Available at: </w:t>
      </w:r>
      <w:hyperlink r:id="rId28">
        <w:r w:rsidR="001D1FD6">
          <w:rPr>
            <w:rStyle w:val="Hyperlink"/>
          </w:rPr>
          <w:t>https://doi.org/10.1191/1478088706qp063oa</w:t>
        </w:r>
      </w:hyperlink>
      <w:r>
        <w:t>.</w:t>
      </w:r>
    </w:p>
    <w:p w:rsidR="001D1FD6" w:rsidRDefault="0012332F">
      <w:r>
        <w:t xml:space="preserve">Bryant, J., Bonevski, B., Paul, C., McElduff, P. and Attia, J. (2011) ‘A systematic review and meta-analysis of the effectiveness of behavioural smoking cessation interventions in selected disadvantaged groups’, </w:t>
      </w:r>
      <w:r>
        <w:rPr>
          <w:i/>
          <w:iCs/>
        </w:rPr>
        <w:t>Addiction</w:t>
      </w:r>
      <w:r>
        <w:t xml:space="preserve">, 106(9), pp. 1568–1585. Available at: </w:t>
      </w:r>
      <w:hyperlink r:id="rId29">
        <w:r w:rsidR="001D1FD6">
          <w:rPr>
            <w:rStyle w:val="Hyperlink"/>
          </w:rPr>
          <w:t>https://doi.org/10.1111/j.1360-0443.2011.03467.x</w:t>
        </w:r>
      </w:hyperlink>
      <w:r>
        <w:t>.</w:t>
      </w:r>
    </w:p>
    <w:p w:rsidR="001D1FD6" w:rsidRDefault="0012332F">
      <w:r>
        <w:t xml:space="preserve">Campbell, M., McKenzie, J.E., Sowden, A., Katikireddi, S.V., Brennan, S.E., Ellis, S., Hartmann-Boyce, J., Ryan, R., Shepperd, S., Thomas, J., Welch, V. and Thomson, H. (2020) ‘Synthesis without meta-analysis (SWiM) in systematic reviews: reporting guideline’, </w:t>
      </w:r>
      <w:r>
        <w:rPr>
          <w:i/>
          <w:iCs/>
        </w:rPr>
        <w:t>BMJ</w:t>
      </w:r>
      <w:r>
        <w:t xml:space="preserve">, 368, l6890. Available at: </w:t>
      </w:r>
      <w:hyperlink r:id="rId30">
        <w:r w:rsidR="001D1FD6">
          <w:rPr>
            <w:rStyle w:val="Hyperlink"/>
          </w:rPr>
          <w:t>https://doi.org/10.1136/bmj.l6890</w:t>
        </w:r>
      </w:hyperlink>
      <w:r>
        <w:t>.</w:t>
      </w:r>
    </w:p>
    <w:p w:rsidR="001D1FD6" w:rsidRDefault="0012332F">
      <w:r>
        <w:t xml:space="preserve">Carson, K.V., Verbiest, M.E.A., Crone, M.R., Brinn, M.P., Esterman, A.J., Assendelft, W.J.J. </w:t>
      </w:r>
      <w:r>
        <w:rPr>
          <w:i/>
          <w:iCs/>
        </w:rPr>
        <w:t>et al.</w:t>
      </w:r>
      <w:r>
        <w:t xml:space="preserve"> (2012) ‘Training health professionals in smoking cessation’, </w:t>
      </w:r>
      <w:r>
        <w:rPr>
          <w:i/>
          <w:iCs/>
        </w:rPr>
        <w:t>Cochrane Database of Systematic Reviews</w:t>
      </w:r>
      <w:r>
        <w:t xml:space="preserve">, 5, CD000214. Available at: </w:t>
      </w:r>
      <w:hyperlink r:id="rId31">
        <w:r w:rsidR="001D1FD6">
          <w:rPr>
            <w:rStyle w:val="Hyperlink"/>
          </w:rPr>
          <w:t>https://doi.org/10.1002/14651858.CD000214.pub2</w:t>
        </w:r>
      </w:hyperlink>
      <w:r>
        <w:t>.</w:t>
      </w:r>
    </w:p>
    <w:p w:rsidR="001D1FD6" w:rsidRDefault="0012332F">
      <w:r>
        <w:t xml:space="preserve">Cheng, C.C.W., He, W.J.A., Gouda, H., Zhang, M.J., Luk, T.T., Wang, M.P. </w:t>
      </w:r>
      <w:r>
        <w:rPr>
          <w:i/>
          <w:iCs/>
        </w:rPr>
        <w:t>et al.</w:t>
      </w:r>
      <w:r>
        <w:t xml:space="preserve"> (2024) ‘Effectiveness of very brief advice on tobacco cessation: a systematic review and meta-analysis’, </w:t>
      </w:r>
      <w:r>
        <w:rPr>
          <w:i/>
          <w:iCs/>
        </w:rPr>
        <w:t>Journal of General Internal Medicine</w:t>
      </w:r>
      <w:r>
        <w:t xml:space="preserve">, 39(9), pp. 1721–1734. Available at: </w:t>
      </w:r>
      <w:hyperlink r:id="rId32">
        <w:r w:rsidR="001D1FD6">
          <w:rPr>
            <w:rStyle w:val="Hyperlink"/>
          </w:rPr>
          <w:t>https://doi.org/10.1007/s11606-024-08786-8</w:t>
        </w:r>
      </w:hyperlink>
      <w:r>
        <w:t>.</w:t>
      </w:r>
    </w:p>
    <w:p w:rsidR="001D1FD6" w:rsidRDefault="0012332F">
      <w:r>
        <w:t xml:space="preserve">Chesterman, J., Judge, K., Bauld, L. and Ferguson, J. (2005) ‘How effective are the English smoking treatment services in reaching disadvantaged smokers?’, </w:t>
      </w:r>
      <w:r>
        <w:rPr>
          <w:i/>
          <w:iCs/>
        </w:rPr>
        <w:t>Addiction</w:t>
      </w:r>
      <w:r>
        <w:t xml:space="preserve">, 100(Suppl. 2), pp. 36–45. Available at: </w:t>
      </w:r>
      <w:hyperlink r:id="rId33">
        <w:r w:rsidR="001D1FD6">
          <w:rPr>
            <w:rStyle w:val="Hyperlink"/>
          </w:rPr>
          <w:t>https://doi.org/10.1111/j.1360-0443.2005.01026.x</w:t>
        </w:r>
      </w:hyperlink>
      <w:r>
        <w:t>.</w:t>
      </w:r>
    </w:p>
    <w:p w:rsidR="001D1FD6" w:rsidRDefault="0012332F">
      <w:r>
        <w:t xml:space="preserve">Coughlan, M., Cronin, P. and Ryan, F. (2007) ‘Step-by-step guide to critiquing research. Part 1: quantitative research’, </w:t>
      </w:r>
      <w:r>
        <w:rPr>
          <w:i/>
          <w:iCs/>
        </w:rPr>
        <w:t>British Journal of Nursing</w:t>
      </w:r>
      <w:r>
        <w:t xml:space="preserve">, 16(11), pp. 658–663. Available at: </w:t>
      </w:r>
      <w:hyperlink r:id="rId34">
        <w:r w:rsidR="001D1FD6">
          <w:rPr>
            <w:rStyle w:val="Hyperlink"/>
          </w:rPr>
          <w:t>https://doi.org/10.12968/bjon.2007.16.11.23681</w:t>
        </w:r>
      </w:hyperlink>
      <w:r>
        <w:t>.</w:t>
      </w:r>
    </w:p>
    <w:p w:rsidR="001D1FD6" w:rsidRDefault="0012332F">
      <w:r>
        <w:t xml:space="preserve">Craig, P., Dieppe, P., Macintyre, S., Michie, S., Nazareth, I. and Petticrew, M. (2008) ‘Developing and evaluating complex interventions: the new Medical Research Council guidance’, </w:t>
      </w:r>
      <w:r>
        <w:rPr>
          <w:i/>
          <w:iCs/>
        </w:rPr>
        <w:t>BMJ</w:t>
      </w:r>
      <w:r>
        <w:t xml:space="preserve">, 337, a1655. Available at: </w:t>
      </w:r>
      <w:hyperlink r:id="rId35">
        <w:r w:rsidR="001D1FD6">
          <w:rPr>
            <w:rStyle w:val="Hyperlink"/>
          </w:rPr>
          <w:t>https://doi.org/10.1136/bmj.a1655</w:t>
        </w:r>
      </w:hyperlink>
      <w:r>
        <w:t>.</w:t>
      </w:r>
    </w:p>
    <w:p w:rsidR="001D1FD6" w:rsidRDefault="0012332F">
      <w:r>
        <w:t xml:space="preserve">Critical Appraisal Skills Programme (CASP) (2024) </w:t>
      </w:r>
      <w:r>
        <w:rPr>
          <w:i/>
          <w:iCs/>
        </w:rPr>
        <w:t>CASP Qualitative Studies Checklist</w:t>
      </w:r>
      <w:r>
        <w:t xml:space="preserve">. Oxford: Critical Appraisal Skills Programme. Available at: </w:t>
      </w:r>
      <w:hyperlink r:id="rId36">
        <w:r w:rsidR="001D1FD6">
          <w:rPr>
            <w:rStyle w:val="Hyperlink"/>
          </w:rPr>
          <w:t>https://casp-uk.net/casp-tools-checklists/qualitative-studies-checklist/</w:t>
        </w:r>
      </w:hyperlink>
      <w:r>
        <w:t xml:space="preserve"> (Accessed: 1 August 2026).</w:t>
      </w:r>
    </w:p>
    <w:p w:rsidR="001D1FD6" w:rsidRDefault="0012332F">
      <w:r>
        <w:t xml:space="preserve">Department of Health and Social Care (2025) </w:t>
      </w:r>
      <w:r>
        <w:rPr>
          <w:i/>
          <w:iCs/>
        </w:rPr>
        <w:t>Smoking and tobacco: applying All Our Health</w:t>
      </w:r>
      <w:r>
        <w:t xml:space="preserve">. Available at: </w:t>
      </w:r>
      <w:hyperlink r:id="rId37">
        <w:r w:rsidR="001D1FD6">
          <w:rPr>
            <w:rStyle w:val="Hyperlink"/>
          </w:rPr>
          <w:t>https://www.gov.uk/government/publications/smoking-and-tobacco-applying-all-our-health/smoking-and-tobacco-applying-all-our-health</w:t>
        </w:r>
      </w:hyperlink>
      <w:r>
        <w:t>.</w:t>
      </w:r>
    </w:p>
    <w:p w:rsidR="001D1FD6" w:rsidRDefault="0012332F">
      <w:r>
        <w:lastRenderedPageBreak/>
        <w:t xml:space="preserve">Dixon-Woods, M., Agarwal, S., Jones, D., Young, B. and Sutton, A. (2005) ‘Synthesising qualitative and quantitative evidence: a review of possible methods’, </w:t>
      </w:r>
      <w:r>
        <w:rPr>
          <w:i/>
          <w:iCs/>
        </w:rPr>
        <w:t>Journal of Health Services Research &amp; Policy</w:t>
      </w:r>
      <w:r>
        <w:t xml:space="preserve">, 10(1), pp. 45–53. Available at: </w:t>
      </w:r>
      <w:hyperlink r:id="rId38">
        <w:r w:rsidR="001D1FD6">
          <w:rPr>
            <w:rStyle w:val="Hyperlink"/>
          </w:rPr>
          <w:t>https://doi.org/10.1177/135581960501000110</w:t>
        </w:r>
      </w:hyperlink>
      <w:r>
        <w:t>.</w:t>
      </w:r>
    </w:p>
    <w:p w:rsidR="001D1FD6" w:rsidRDefault="0012332F">
      <w:r>
        <w:t xml:space="preserve">Doll, R., Peto, R., Boreham, J. and Sutherland, I. (2004) ‘Mortality in relation to smoking: 50 years’ observations on male British doctors’, </w:t>
      </w:r>
      <w:r>
        <w:rPr>
          <w:i/>
          <w:iCs/>
        </w:rPr>
        <w:t>BMJ</w:t>
      </w:r>
      <w:r>
        <w:t xml:space="preserve">, 328(7455), 1519. Available at: </w:t>
      </w:r>
      <w:hyperlink r:id="rId39">
        <w:r w:rsidR="001D1FD6">
          <w:rPr>
            <w:rStyle w:val="Hyperlink"/>
          </w:rPr>
          <w:t>https://doi.org/10.1136/bmj.38142.554479.AE</w:t>
        </w:r>
      </w:hyperlink>
      <w:r>
        <w:t>.</w:t>
      </w:r>
    </w:p>
    <w:p w:rsidR="001D1FD6" w:rsidRDefault="0012332F">
      <w:r>
        <w:t xml:space="preserve">Edwards, R., McElduff, P., Jenner, D., Heller, R.F. and Langley, J. (2007) ‘Smoking, smoking cessation, and use of smoking cessation aids and support services in South Derbyshire, England’, </w:t>
      </w:r>
      <w:r>
        <w:rPr>
          <w:i/>
          <w:iCs/>
        </w:rPr>
        <w:t>Public Health</w:t>
      </w:r>
      <w:r>
        <w:t xml:space="preserve">, 121(5), pp. 321–332. Available at: </w:t>
      </w:r>
      <w:hyperlink r:id="rId40">
        <w:r w:rsidR="001D1FD6">
          <w:rPr>
            <w:rStyle w:val="Hyperlink"/>
          </w:rPr>
          <w:t>https://doi.org/10.1016/j.puhe.2006.11.002</w:t>
        </w:r>
      </w:hyperlink>
      <w:r>
        <w:t>.</w:t>
      </w:r>
    </w:p>
    <w:p w:rsidR="001D1FD6" w:rsidRDefault="0012332F">
      <w:r>
        <w:t xml:space="preserve">Ferguson, J., Bauld, L., Chesterman, J. and Judge, K. (2005) ‘The English smoking treatment services: one-year outcomes’, </w:t>
      </w:r>
      <w:r>
        <w:rPr>
          <w:i/>
          <w:iCs/>
        </w:rPr>
        <w:t>Addiction</w:t>
      </w:r>
      <w:r>
        <w:t xml:space="preserve">, 100(Suppl. 2), pp. 59–69. Available at: </w:t>
      </w:r>
      <w:hyperlink r:id="rId41">
        <w:r w:rsidR="001D1FD6">
          <w:rPr>
            <w:rStyle w:val="Hyperlink"/>
          </w:rPr>
          <w:t>https://doi.org/10.1111/j.1360-0443.2005.01028.x</w:t>
        </w:r>
      </w:hyperlink>
      <w:r>
        <w:t>.</w:t>
      </w:r>
    </w:p>
    <w:p w:rsidR="001D1FD6" w:rsidRDefault="0012332F">
      <w:r>
        <w:t xml:space="preserve">Ferguson, S.L., Kerrigan, M.R. and Hovey, K.A. (2020) ‘Leveraging the opportunities of mixed methods in research synthesis: key decisions in systematic mixed studies review methodology’, </w:t>
      </w:r>
      <w:r>
        <w:rPr>
          <w:i/>
          <w:iCs/>
        </w:rPr>
        <w:t>Research Synthesis Methods</w:t>
      </w:r>
      <w:r>
        <w:t xml:space="preserve">, 11(5), pp. 580–593. Available at: </w:t>
      </w:r>
      <w:hyperlink r:id="rId42">
        <w:r w:rsidR="001D1FD6">
          <w:rPr>
            <w:rStyle w:val="Hyperlink"/>
          </w:rPr>
          <w:t>https://doi.org/10.1002/jrsm.1436</w:t>
        </w:r>
      </w:hyperlink>
      <w:r>
        <w:t>.</w:t>
      </w:r>
    </w:p>
    <w:p w:rsidR="001D1FD6" w:rsidRDefault="0012332F">
      <w:r>
        <w:t xml:space="preserve">GBD 2019 Risk Factors Collaborators (2020) ‘Global burden of 87 risk factors in 204 countries and territories, 1990–2019: a systematic analysis for the Global Burden of Disease Study 2019’, </w:t>
      </w:r>
      <w:r>
        <w:rPr>
          <w:i/>
          <w:iCs/>
        </w:rPr>
        <w:t>The Lancet</w:t>
      </w:r>
      <w:r>
        <w:t xml:space="preserve">, 396(10258), pp. 1223–1249. Available at: </w:t>
      </w:r>
      <w:hyperlink r:id="rId43">
        <w:r w:rsidR="001D1FD6">
          <w:rPr>
            <w:rStyle w:val="Hyperlink"/>
          </w:rPr>
          <w:t>https://doi.org/10.1016/S0140-6736(20)30752-2</w:t>
        </w:r>
      </w:hyperlink>
      <w:r>
        <w:t>.</w:t>
      </w:r>
    </w:p>
    <w:p w:rsidR="001D1FD6" w:rsidRDefault="0012332F">
      <w:r>
        <w:t xml:space="preserve">GBD 2019 Tobacco Collaborators (2021) ‘Spatial, temporal, and demographic patterns in prevalence of smoking tobacco use and attributable disease burden in 204 countries and territories, 1990–2019: a systematic analysis from the Global Burden of Disease Study 2019’, </w:t>
      </w:r>
      <w:r>
        <w:rPr>
          <w:i/>
          <w:iCs/>
        </w:rPr>
        <w:t>The Lancet</w:t>
      </w:r>
      <w:r>
        <w:t xml:space="preserve">, 397(10292), pp. 2337–2360. Available at: </w:t>
      </w:r>
      <w:hyperlink r:id="rId44">
        <w:r w:rsidR="001D1FD6">
          <w:rPr>
            <w:rStyle w:val="Hyperlink"/>
          </w:rPr>
          <w:t>https://doi.org/10.1016/S0140-6736(21)01169-7</w:t>
        </w:r>
      </w:hyperlink>
      <w:r>
        <w:t>.</w:t>
      </w:r>
    </w:p>
    <w:p w:rsidR="001D1FD6" w:rsidRDefault="0012332F">
      <w:r>
        <w:t xml:space="preserve">Gibson, J.E., Murray, R.L., Borland, R., Cummings, K.M., Fong, G.T., Hammond, D. and McNeill, A. (2010) ‘The impact of the United Kingdom’s national smoking cessation strategy on quit attempts and use of cessation services: findings from the International Tobacco Control Four Country Survey’, </w:t>
      </w:r>
      <w:r>
        <w:rPr>
          <w:i/>
          <w:iCs/>
        </w:rPr>
        <w:t>Nicotine &amp; Tobacco Research</w:t>
      </w:r>
      <w:r>
        <w:t xml:space="preserve">, 12(Suppl. 1), pp. S64–S71. Available at: </w:t>
      </w:r>
      <w:hyperlink r:id="rId45">
        <w:r w:rsidR="001D1FD6">
          <w:rPr>
            <w:rStyle w:val="Hyperlink"/>
          </w:rPr>
          <w:t>https://doi.org/10.1093/ntr/ntq119</w:t>
        </w:r>
      </w:hyperlink>
      <w:r>
        <w:t>.</w:t>
      </w:r>
    </w:p>
    <w:p w:rsidR="001D1FD6" w:rsidRDefault="0012332F">
      <w:r>
        <w:lastRenderedPageBreak/>
        <w:t xml:space="preserve">Godin, G. and Kok, G. (1996) ‘The Theory of Planned Behavior: a review of its applications to health-related behaviors’, </w:t>
      </w:r>
      <w:r>
        <w:rPr>
          <w:i/>
          <w:iCs/>
        </w:rPr>
        <w:t>American Journal of Health Promotion</w:t>
      </w:r>
      <w:r>
        <w:t xml:space="preserve">, 11(2), pp. 87–98. Available at: </w:t>
      </w:r>
      <w:hyperlink r:id="rId46">
        <w:r w:rsidR="001D1FD6">
          <w:rPr>
            <w:rStyle w:val="Hyperlink"/>
          </w:rPr>
          <w:t>https://doi.org/10.4278/0890-1171-11.2.87</w:t>
        </w:r>
      </w:hyperlink>
      <w:r>
        <w:t>.</w:t>
      </w:r>
    </w:p>
    <w:p w:rsidR="001D1FD6" w:rsidRDefault="0012332F">
      <w:r>
        <w:t xml:space="preserve">Goodchild, M., Nargis, N. and Tursand’Espaignet, E. (2018) ‘Global economic cost of smoking-attributable diseases’, </w:t>
      </w:r>
      <w:r>
        <w:rPr>
          <w:i/>
          <w:iCs/>
        </w:rPr>
        <w:t>Tobacco Control</w:t>
      </w:r>
      <w:r>
        <w:t xml:space="preserve">, 27(1), pp. 58–64. Available at: </w:t>
      </w:r>
      <w:hyperlink r:id="rId47">
        <w:r w:rsidR="001D1FD6">
          <w:rPr>
            <w:rStyle w:val="Hyperlink"/>
          </w:rPr>
          <w:t>https://doi.org/10.1136/tobaccocontrol-2016-053305</w:t>
        </w:r>
      </w:hyperlink>
      <w:r>
        <w:t>.</w:t>
      </w:r>
    </w:p>
    <w:p w:rsidR="001D1FD6" w:rsidRDefault="0012332F">
      <w:r>
        <w:t xml:space="preserve">Guerriero, C., Cairns, J., Roberts, I., Rodgers, A., Whittaker, R. and Free, C. (2013) ‘The cost-effectiveness of smoking cessation support delivered by mobile phone text messaging: Txt2stop’, </w:t>
      </w:r>
      <w:r>
        <w:rPr>
          <w:i/>
          <w:iCs/>
        </w:rPr>
        <w:t>European Journal of Health Economics</w:t>
      </w:r>
      <w:r>
        <w:t xml:space="preserve">, 14, pp. 789–797. Available at: </w:t>
      </w:r>
      <w:hyperlink r:id="rId48">
        <w:r w:rsidR="001D1FD6">
          <w:rPr>
            <w:rStyle w:val="Hyperlink"/>
          </w:rPr>
          <w:t>https://doi.org/10.1007/s10198-012-0424-5</w:t>
        </w:r>
      </w:hyperlink>
      <w:r>
        <w:t>.</w:t>
      </w:r>
    </w:p>
    <w:p w:rsidR="001D1FD6" w:rsidRDefault="0012332F">
      <w:r>
        <w:t xml:space="preserve">Guyatt, G.H., Oxman, A.D., Vist, G.E., Kunz, R., Falck-Ytter, Y., Alonso-Coello, P. </w:t>
      </w:r>
      <w:r>
        <w:rPr>
          <w:i/>
          <w:iCs/>
        </w:rPr>
        <w:t>et al.</w:t>
      </w:r>
      <w:r>
        <w:t xml:space="preserve"> (2008) ‘GRADE: an emerging consensus on rating quality of evidence and strength of recommendations’, </w:t>
      </w:r>
      <w:r>
        <w:rPr>
          <w:i/>
          <w:iCs/>
        </w:rPr>
        <w:t>BMJ</w:t>
      </w:r>
      <w:r>
        <w:t xml:space="preserve">, 336(7650), pp. 924–926. Available at: </w:t>
      </w:r>
      <w:hyperlink r:id="rId49">
        <w:r w:rsidR="001D1FD6">
          <w:rPr>
            <w:rStyle w:val="Hyperlink"/>
          </w:rPr>
          <w:t>https://doi.org/10.1136/bmj.39489.470347.AD</w:t>
        </w:r>
      </w:hyperlink>
      <w:r>
        <w:t>.</w:t>
      </w:r>
    </w:p>
    <w:p w:rsidR="001D1FD6" w:rsidRDefault="0012332F">
      <w:r>
        <w:t xml:space="preserve">Hajizadeh, A., Howes, S., Theodoulou, A., Klemperer, E., Hartmann-Boyce, J., Livingstone-Banks, J. </w:t>
      </w:r>
      <w:r>
        <w:rPr>
          <w:i/>
          <w:iCs/>
        </w:rPr>
        <w:t>et al.</w:t>
      </w:r>
      <w:r>
        <w:t xml:space="preserve"> (2023) ‘Antidepressants for smoking cessation’, </w:t>
      </w:r>
      <w:r>
        <w:rPr>
          <w:i/>
          <w:iCs/>
        </w:rPr>
        <w:t>Cochrane Database of Systematic Reviews</w:t>
      </w:r>
      <w:r>
        <w:t xml:space="preserve">, 5, CD000031. Available at: </w:t>
      </w:r>
      <w:hyperlink r:id="rId50">
        <w:r w:rsidR="001D1FD6">
          <w:rPr>
            <w:rStyle w:val="Hyperlink"/>
          </w:rPr>
          <w:t>https://doi.org/10.1002/14651858.CD000031.pub6</w:t>
        </w:r>
      </w:hyperlink>
      <w:r>
        <w:t>.</w:t>
      </w:r>
    </w:p>
    <w:p w:rsidR="001D1FD6" w:rsidRDefault="0012332F">
      <w:r>
        <w:t xml:space="preserve">Hartmann-Boyce, J., Chepkin, S.C., Ye, W., Bullen, C. and Lancaster, T. (2018) ‘Nicotine replacement therapy versus control for smoking cessation’, </w:t>
      </w:r>
      <w:r>
        <w:rPr>
          <w:i/>
          <w:iCs/>
        </w:rPr>
        <w:t>Cochrane Database of Systematic Reviews</w:t>
      </w:r>
      <w:r>
        <w:t xml:space="preserve">, 5, CD000146. Available at: </w:t>
      </w:r>
      <w:hyperlink r:id="rId51">
        <w:r w:rsidR="001D1FD6">
          <w:rPr>
            <w:rStyle w:val="Hyperlink"/>
          </w:rPr>
          <w:t>https://doi.org/10.1002/14651858.CD000146.pub5</w:t>
        </w:r>
      </w:hyperlink>
      <w:r>
        <w:t>.</w:t>
      </w:r>
    </w:p>
    <w:p w:rsidR="001D1FD6" w:rsidRDefault="0012332F">
      <w:r>
        <w:t xml:space="preserve">Hartmann-Boyce, J., Hong, B., Livingstone-Banks, J., Wheat, H. and Fanshawe, T.R. (2019) ‘Additional behavioural support as an adjunct to pharmacotherapy for smoking cessation’, </w:t>
      </w:r>
      <w:r>
        <w:rPr>
          <w:i/>
          <w:iCs/>
        </w:rPr>
        <w:t>Cochrane Database of Systematic Reviews</w:t>
      </w:r>
      <w:r>
        <w:t xml:space="preserve">, 6, CD009670. Available at: </w:t>
      </w:r>
      <w:hyperlink r:id="rId52">
        <w:r w:rsidR="001D1FD6">
          <w:rPr>
            <w:rStyle w:val="Hyperlink"/>
          </w:rPr>
          <w:t>https://doi.org/10.1002/14651858.CD009670.pub4</w:t>
        </w:r>
      </w:hyperlink>
      <w:r>
        <w:t>.</w:t>
      </w:r>
    </w:p>
    <w:p w:rsidR="001D1FD6" w:rsidRDefault="0012332F">
      <w:r>
        <w:t xml:space="preserve">Hays, J.T., Leischow, S.J., Lawrence, D. and Lee, T.C. (2010) ‘Adherence to treatment for tobacco dependence: association with smoking abstinence and predictors of adherence’, </w:t>
      </w:r>
      <w:r>
        <w:rPr>
          <w:i/>
          <w:iCs/>
        </w:rPr>
        <w:t>Nicotine &amp; Tobacco Research</w:t>
      </w:r>
      <w:r>
        <w:t xml:space="preserve">, 12(6), pp. 574–581. Available at: </w:t>
      </w:r>
      <w:hyperlink r:id="rId53">
        <w:r w:rsidR="001D1FD6">
          <w:rPr>
            <w:rStyle w:val="Hyperlink"/>
          </w:rPr>
          <w:t>https://doi.org/10.1093/ntr/ntq047</w:t>
        </w:r>
      </w:hyperlink>
      <w:r>
        <w:t>.</w:t>
      </w:r>
    </w:p>
    <w:p w:rsidR="001D1FD6" w:rsidRDefault="0012332F">
      <w:r>
        <w:t xml:space="preserve">Hill, S., Amos, A., Clifford, D. and Platt, S. (2014) ‘Impact of tobacco control interventions on socioeconomic inequalities in smoking: review of the evidence’, </w:t>
      </w:r>
      <w:r>
        <w:rPr>
          <w:i/>
          <w:iCs/>
        </w:rPr>
        <w:t>Tobacco Control</w:t>
      </w:r>
      <w:r>
        <w:t xml:space="preserve">, 23(e2), pp. e89–e97. Available at: </w:t>
      </w:r>
      <w:hyperlink r:id="rId54">
        <w:r w:rsidR="001D1FD6">
          <w:rPr>
            <w:rStyle w:val="Hyperlink"/>
          </w:rPr>
          <w:t>https://doi.org/10.1136/tobaccocontrol-2013-051110</w:t>
        </w:r>
      </w:hyperlink>
      <w:r>
        <w:t>.</w:t>
      </w:r>
    </w:p>
    <w:p w:rsidR="001D1FD6" w:rsidRDefault="0012332F">
      <w:r>
        <w:t xml:space="preserve">Hiscock, R., Dobbie, F. and Bauld, L. (2015) ‘Smoking cessation and socioeconomic status: an update of existing evidence from a national evaluation of English Stop Smoking Services’, </w:t>
      </w:r>
      <w:r>
        <w:rPr>
          <w:i/>
          <w:iCs/>
        </w:rPr>
        <w:lastRenderedPageBreak/>
        <w:t>BioMed Research International</w:t>
      </w:r>
      <w:r>
        <w:t xml:space="preserve">, 2015, 274056. Available at: </w:t>
      </w:r>
      <w:hyperlink r:id="rId55">
        <w:r w:rsidR="001D1FD6">
          <w:rPr>
            <w:rStyle w:val="Hyperlink"/>
          </w:rPr>
          <w:t>https://doi.org/10.1155/2015/274056</w:t>
        </w:r>
      </w:hyperlink>
      <w:r>
        <w:t>.</w:t>
      </w:r>
    </w:p>
    <w:p w:rsidR="001D1FD6" w:rsidRDefault="0012332F">
      <w:r>
        <w:t xml:space="preserve">Hiscock, R., Judge, K. and Bauld, L. (2011) ‘Social inequalities in quitting smoking: what factors mediate the relationship between socioeconomic position and smoking cessation?’, </w:t>
      </w:r>
      <w:r>
        <w:rPr>
          <w:i/>
          <w:iCs/>
        </w:rPr>
        <w:t>Journal of Public Health</w:t>
      </w:r>
      <w:r>
        <w:t xml:space="preserve">, 33(1), pp. 39–47. Available at: </w:t>
      </w:r>
      <w:hyperlink r:id="rId56">
        <w:r w:rsidR="001D1FD6">
          <w:rPr>
            <w:rStyle w:val="Hyperlink"/>
          </w:rPr>
          <w:t>https://doi.org/10.1093/pubmed/fdq097</w:t>
        </w:r>
      </w:hyperlink>
      <w:r>
        <w:t>.</w:t>
      </w:r>
    </w:p>
    <w:p w:rsidR="001D1FD6" w:rsidRDefault="0012332F">
      <w:r>
        <w:t xml:space="preserve">Hollands, G.J., Naughton, F., Farley, A., Lindson, N. and Aveyard, P. (2019) ‘Interventions to increase adherence to medications for tobacco dependence’, </w:t>
      </w:r>
      <w:r>
        <w:rPr>
          <w:i/>
          <w:iCs/>
        </w:rPr>
        <w:t>Cochrane Database of Systematic Reviews</w:t>
      </w:r>
      <w:r>
        <w:t xml:space="preserve">, 8, CD009164. Available at: </w:t>
      </w:r>
      <w:hyperlink r:id="rId57">
        <w:r w:rsidR="001D1FD6">
          <w:rPr>
            <w:rStyle w:val="Hyperlink"/>
          </w:rPr>
          <w:t>https://doi.org/10.1002/14651858.CD009164.pub3</w:t>
        </w:r>
      </w:hyperlink>
      <w:r>
        <w:t>.</w:t>
      </w:r>
    </w:p>
    <w:p w:rsidR="001D1FD6" w:rsidRDefault="0012332F">
      <w:r>
        <w:t xml:space="preserve">Hong, Q.N., Fàbregues, S., Bartlett, G., Boardman, F., Cargo, M., Dagenais, P., Gagnon, M.P., Griffiths, F., Nicolau, B., O’Cathain, A., Rousseau, M.C., Vedel, I. and Pluye, P. (2018) ‘The Mixed Methods Appraisal Tool (MMAT) version 2018 for information professionals and researchers’, </w:t>
      </w:r>
      <w:r>
        <w:rPr>
          <w:i/>
          <w:iCs/>
        </w:rPr>
        <w:t>Education for Information</w:t>
      </w:r>
      <w:r>
        <w:t xml:space="preserve">, 34(4), pp. 285–291. Available at: </w:t>
      </w:r>
      <w:hyperlink r:id="rId58">
        <w:r w:rsidR="001D1FD6">
          <w:rPr>
            <w:rStyle w:val="Hyperlink"/>
          </w:rPr>
          <w:t>https://doi.org/10.3233/EFI-180221</w:t>
        </w:r>
      </w:hyperlink>
      <w:r>
        <w:t>.</w:t>
      </w:r>
    </w:p>
    <w:p w:rsidR="001D1FD6" w:rsidRDefault="0012332F">
      <w:r>
        <w:t xml:space="preserve">Jackson, S., Brown, J., Norris, E., Livingstone-Banks, J., Hayes, E. and Lindson, N. (2022) ‘Mindfulness for smoking cessation’, </w:t>
      </w:r>
      <w:r>
        <w:rPr>
          <w:i/>
          <w:iCs/>
        </w:rPr>
        <w:t>Cochrane Database of Systematic Reviews</w:t>
      </w:r>
      <w:r>
        <w:t xml:space="preserve">, 4, CD013696. Available at: </w:t>
      </w:r>
      <w:hyperlink r:id="rId59">
        <w:r w:rsidR="001D1FD6">
          <w:rPr>
            <w:rStyle w:val="Hyperlink"/>
          </w:rPr>
          <w:t>https://doi.org/10.1002/14651858.CD013696.pub2</w:t>
        </w:r>
      </w:hyperlink>
      <w:r>
        <w:t>.</w:t>
      </w:r>
    </w:p>
    <w:p w:rsidR="001D1FD6" w:rsidRDefault="0012332F">
      <w:r>
        <w:t xml:space="preserve">Jackson, S.E., Beard, E., West, R. and Brown, J. (2021) ‘Evaluation of the London Smoking Cessation Transformation Programme: a time-series analysis’, </w:t>
      </w:r>
      <w:r>
        <w:rPr>
          <w:i/>
          <w:iCs/>
        </w:rPr>
        <w:t>Addiction</w:t>
      </w:r>
      <w:r>
        <w:t xml:space="preserve">, 116(6), pp. 1558–1568. Available at: </w:t>
      </w:r>
      <w:hyperlink r:id="rId60">
        <w:r w:rsidR="001D1FD6">
          <w:rPr>
            <w:rStyle w:val="Hyperlink"/>
          </w:rPr>
          <w:t>https://doi.org/10.1111/add.15367</w:t>
        </w:r>
      </w:hyperlink>
      <w:r>
        <w:t>.</w:t>
      </w:r>
    </w:p>
    <w:p w:rsidR="001D1FD6" w:rsidRDefault="0012332F">
      <w:r>
        <w:t xml:space="preserve">Jha, P. and Peto, R. (2014) ‘Global effects of smoking, of quitting, and of taxing tobacco’, </w:t>
      </w:r>
      <w:r>
        <w:rPr>
          <w:i/>
          <w:iCs/>
        </w:rPr>
        <w:t>New England Journal of Medicine</w:t>
      </w:r>
      <w:r>
        <w:t xml:space="preserve">, 370(1), pp. 60–68. Available at: </w:t>
      </w:r>
      <w:hyperlink r:id="rId61">
        <w:r w:rsidR="001D1FD6">
          <w:rPr>
            <w:rStyle w:val="Hyperlink"/>
          </w:rPr>
          <w:t>https://doi.org/10.1056/NEJMra1308383</w:t>
        </w:r>
      </w:hyperlink>
      <w:r>
        <w:t>.</w:t>
      </w:r>
    </w:p>
    <w:p w:rsidR="001D1FD6" w:rsidRDefault="0012332F">
      <w:r>
        <w:t xml:space="preserve">Judge, K., Bauld, L., Chesterman, J. and Ferguson, J. (2005) ‘The English smoking treatment services: short-term outcomes’, </w:t>
      </w:r>
      <w:r>
        <w:rPr>
          <w:i/>
          <w:iCs/>
        </w:rPr>
        <w:t>Addiction</w:t>
      </w:r>
      <w:r>
        <w:t xml:space="preserve">, 100(Suppl. 2), pp. 46–58. Available at: </w:t>
      </w:r>
      <w:hyperlink r:id="rId62">
        <w:r w:rsidR="001D1FD6">
          <w:rPr>
            <w:rStyle w:val="Hyperlink"/>
          </w:rPr>
          <w:t>https://doi.org/10.1111/j.1360-0443.2005.01027.x</w:t>
        </w:r>
      </w:hyperlink>
      <w:r>
        <w:t>.</w:t>
      </w:r>
    </w:p>
    <w:p w:rsidR="001D1FD6" w:rsidRDefault="0012332F">
      <w:r>
        <w:t xml:space="preserve">Kahende, J.W., Loomis, B.R., Adhikari, B. and Marshall, L. (2009) ‘A review of economic evaluations of tobacco control programs’, </w:t>
      </w:r>
      <w:r>
        <w:rPr>
          <w:i/>
          <w:iCs/>
        </w:rPr>
        <w:t>International Journal of Environmental Research and Public Health</w:t>
      </w:r>
      <w:r>
        <w:t xml:space="preserve">, 6(1), pp. 51–68. Available at: </w:t>
      </w:r>
      <w:hyperlink r:id="rId63">
        <w:r w:rsidR="001D1FD6">
          <w:rPr>
            <w:rStyle w:val="Hyperlink"/>
          </w:rPr>
          <w:t>https://doi.org/10.3390/ijerph6010051</w:t>
        </w:r>
      </w:hyperlink>
      <w:r>
        <w:t>.</w:t>
      </w:r>
    </w:p>
    <w:p w:rsidR="001D1FD6" w:rsidRDefault="0012332F">
      <w:r>
        <w:t xml:space="preserve">Kale, D., Gilbert, H. and Sutton, S. (2019) ‘An exploration of the barriers to attendance at the English Stop Smoking Services’, </w:t>
      </w:r>
      <w:r>
        <w:rPr>
          <w:i/>
          <w:iCs/>
        </w:rPr>
        <w:t>Addictive Behaviors Reports</w:t>
      </w:r>
      <w:r>
        <w:t xml:space="preserve">, 9, 100141. Available at: </w:t>
      </w:r>
      <w:hyperlink r:id="rId64">
        <w:r w:rsidR="001D1FD6">
          <w:rPr>
            <w:rStyle w:val="Hyperlink"/>
          </w:rPr>
          <w:t>https://doi.org/10.1016/j.abrep.2018.10.005</w:t>
        </w:r>
      </w:hyperlink>
      <w:r>
        <w:t>.</w:t>
      </w:r>
    </w:p>
    <w:p w:rsidR="001D1FD6" w:rsidRDefault="0012332F">
      <w:r>
        <w:lastRenderedPageBreak/>
        <w:t xml:space="preserve">Kock, L., Brown, J., Hiscock, R., Tattan-Birch, H., Smith, C. and Shahab, L. (2019) ‘Individual-level behavioural smoking cessation interventions tailored for disadvantaged socioeconomic position: a systematic review and meta-regression’, </w:t>
      </w:r>
      <w:r>
        <w:rPr>
          <w:i/>
          <w:iCs/>
        </w:rPr>
        <w:t>The Lancet Public Health</w:t>
      </w:r>
      <w:r>
        <w:t xml:space="preserve">, 4(12), pp. e628–e644. Available at: </w:t>
      </w:r>
      <w:hyperlink r:id="rId65">
        <w:r w:rsidR="001D1FD6">
          <w:rPr>
            <w:rStyle w:val="Hyperlink"/>
          </w:rPr>
          <w:t>https://doi.org/10.1016/S2468-2667(19)30220-8</w:t>
        </w:r>
      </w:hyperlink>
      <w:r>
        <w:t>.</w:t>
      </w:r>
    </w:p>
    <w:p w:rsidR="001D1FD6" w:rsidRDefault="0012332F">
      <w:r>
        <w:t xml:space="preserve">Kotz, D. and West, R. (2009) ‘Explaining the social gradient in smoking cessation: it’s not in the trying, but in the succeeding’, </w:t>
      </w:r>
      <w:r>
        <w:rPr>
          <w:i/>
          <w:iCs/>
        </w:rPr>
        <w:t>Tobacco Control</w:t>
      </w:r>
      <w:r>
        <w:t xml:space="preserve">, 18(1), pp. 43–46. Available at: </w:t>
      </w:r>
      <w:hyperlink r:id="rId66">
        <w:r w:rsidR="001D1FD6">
          <w:rPr>
            <w:rStyle w:val="Hyperlink"/>
          </w:rPr>
          <w:t>https://doi.org/10.1136/tc.2008.025981</w:t>
        </w:r>
      </w:hyperlink>
      <w:r>
        <w:t>.</w:t>
      </w:r>
    </w:p>
    <w:p w:rsidR="001D1FD6" w:rsidRDefault="0012332F">
      <w:r>
        <w:t xml:space="preserve">Kotz, D., Brown, J. and West, R. (2014) ‘Real-world effectiveness of smoking cessation treatments: a population study’, </w:t>
      </w:r>
      <w:r>
        <w:rPr>
          <w:i/>
          <w:iCs/>
        </w:rPr>
        <w:t>Addiction</w:t>
      </w:r>
      <w:r>
        <w:t xml:space="preserve">, 109(3), pp. 491–499. Available at: </w:t>
      </w:r>
      <w:hyperlink r:id="rId67">
        <w:r w:rsidR="001D1FD6">
          <w:rPr>
            <w:rStyle w:val="Hyperlink"/>
          </w:rPr>
          <w:t>https://doi.org/10.1111/add.12429</w:t>
        </w:r>
      </w:hyperlink>
      <w:r>
        <w:t>.</w:t>
      </w:r>
    </w:p>
    <w:p w:rsidR="001D1FD6" w:rsidRDefault="0012332F">
      <w:r>
        <w:t xml:space="preserve">Kotz, D., Fidler, J. and West, R. (2009) ‘Factors associated with the use of aids to cessation in English smokers’, </w:t>
      </w:r>
      <w:r>
        <w:rPr>
          <w:i/>
          <w:iCs/>
        </w:rPr>
        <w:t>Addiction</w:t>
      </w:r>
      <w:r>
        <w:t xml:space="preserve">, 104(8), pp. 1403–1410. Available at: </w:t>
      </w:r>
      <w:hyperlink r:id="rId68">
        <w:r w:rsidR="001D1FD6">
          <w:rPr>
            <w:rStyle w:val="Hyperlink"/>
          </w:rPr>
          <w:t>https://doi.org/10.1111/j.1360-0443.2009.02639.x</w:t>
        </w:r>
      </w:hyperlink>
      <w:r>
        <w:t>.</w:t>
      </w:r>
    </w:p>
    <w:p w:rsidR="001D1FD6" w:rsidRDefault="0012332F">
      <w:r>
        <w:t xml:space="preserve">Kwah, K.L., Fulton, E.A. and Brown, K.E. (2019) ‘Accessing National Health Service Stop Smoking Services in the UK: a COM-B analysis of barriers and facilitators perceived by smokers, ex-smokers and stop smoking advisors’, </w:t>
      </w:r>
      <w:r>
        <w:rPr>
          <w:i/>
          <w:iCs/>
        </w:rPr>
        <w:t>Public Health</w:t>
      </w:r>
      <w:r>
        <w:t xml:space="preserve">, 171, pp. 123–130. Available at: </w:t>
      </w:r>
      <w:hyperlink r:id="rId69">
        <w:r w:rsidR="001D1FD6">
          <w:rPr>
            <w:rStyle w:val="Hyperlink"/>
          </w:rPr>
          <w:t>https://doi.org/10.1016/j.puhe.2019.03.012</w:t>
        </w:r>
      </w:hyperlink>
      <w:r>
        <w:t>.</w:t>
      </w:r>
    </w:p>
    <w:p w:rsidR="001D1FD6" w:rsidRDefault="0012332F">
      <w:r>
        <w:t xml:space="preserve">Lancaster, T. and Stead, L.F. (2017) ‘Individual behavioural counselling for smoking cessation’, </w:t>
      </w:r>
      <w:r>
        <w:rPr>
          <w:i/>
          <w:iCs/>
        </w:rPr>
        <w:t>Cochrane Database of Systematic Reviews</w:t>
      </w:r>
      <w:r>
        <w:t xml:space="preserve">, 3, CD001292. Available at: </w:t>
      </w:r>
      <w:hyperlink r:id="rId70">
        <w:r w:rsidR="001D1FD6">
          <w:rPr>
            <w:rStyle w:val="Hyperlink"/>
          </w:rPr>
          <w:t>https://doi.org/10.1002/14651858.CD001292.pub3</w:t>
        </w:r>
      </w:hyperlink>
      <w:r>
        <w:t>.</w:t>
      </w:r>
    </w:p>
    <w:p w:rsidR="001D1FD6" w:rsidRDefault="0012332F">
      <w:r>
        <w:t xml:space="preserve">Latif, A., Murray, R.L., Waters, C. and Leonardi-Bee, J. (2021) ‘Understanding willingness to access and experiences of NHS Stop Smoking Services: a qualitative systematic review with meta-aggregation synthesis’, </w:t>
      </w:r>
      <w:r>
        <w:rPr>
          <w:i/>
          <w:iCs/>
        </w:rPr>
        <w:t>Public Health</w:t>
      </w:r>
      <w:r>
        <w:t xml:space="preserve">, 194, pp. 216–222. Available at: </w:t>
      </w:r>
      <w:hyperlink r:id="rId71">
        <w:r w:rsidR="001D1FD6">
          <w:rPr>
            <w:rStyle w:val="Hyperlink"/>
          </w:rPr>
          <w:t>https://doi.org/10.1016/j.puhe.2021.03.003</w:t>
        </w:r>
      </w:hyperlink>
      <w:r>
        <w:t>.</w:t>
      </w:r>
    </w:p>
    <w:p w:rsidR="001D1FD6" w:rsidRDefault="0012332F">
      <w:r>
        <w:t xml:space="preserve">Levesque, J.-F., Harris, M.F. and Russell, G. (2013) ‘Patient-centred access to health care: conceptualising access at the interface of health systems and populations’, </w:t>
      </w:r>
      <w:r>
        <w:rPr>
          <w:i/>
          <w:iCs/>
        </w:rPr>
        <w:t>International Journal for Equity in Health</w:t>
      </w:r>
      <w:r>
        <w:t xml:space="preserve">, 12, 18. Available at: </w:t>
      </w:r>
      <w:hyperlink r:id="rId72">
        <w:r w:rsidR="001D1FD6">
          <w:rPr>
            <w:rStyle w:val="Hyperlink"/>
          </w:rPr>
          <w:t>https://doi.org/10.1186/1475-9276-12-18</w:t>
        </w:r>
      </w:hyperlink>
      <w:r>
        <w:t>.</w:t>
      </w:r>
    </w:p>
    <w:p w:rsidR="001D1FD6" w:rsidRDefault="0012332F">
      <w:r>
        <w:t xml:space="preserve">Lindson, N., Butler, A.R., McRobbie, H., Bullen, C., Hajek, P., Begh, R., Theodoulou, A., Notley, C., Rigotti, N.A., Turner, T., Livingstone-Banks, J., Morris, T. and Hartmann-Boyce, J. (2024) ‘Electronic cigarettes for smoking cessation’, </w:t>
      </w:r>
      <w:r>
        <w:rPr>
          <w:i/>
          <w:iCs/>
        </w:rPr>
        <w:t>Cochrane Database of Systematic Reviews</w:t>
      </w:r>
      <w:r>
        <w:t xml:space="preserve">, 1, CD010216. Available at: </w:t>
      </w:r>
      <w:hyperlink r:id="rId73">
        <w:r w:rsidR="001D1FD6">
          <w:rPr>
            <w:rStyle w:val="Hyperlink"/>
          </w:rPr>
          <w:t>https://doi.org/10.1002/14651858.CD010216.pub8</w:t>
        </w:r>
      </w:hyperlink>
      <w:r>
        <w:t>.</w:t>
      </w:r>
    </w:p>
    <w:p w:rsidR="001D1FD6" w:rsidRDefault="0012332F">
      <w:r>
        <w:t xml:space="preserve">Livingstone-Banks, J., Fanshawe, T.R., Thomas, K.H., Theodoulou, A., Hajizadeh, A., Hartman, L. and Lindson, N. (2023) ‘Nicotine receptor partial agonists for smoking </w:t>
      </w:r>
      <w:r>
        <w:lastRenderedPageBreak/>
        <w:t xml:space="preserve">cessation’, </w:t>
      </w:r>
      <w:r>
        <w:rPr>
          <w:i/>
          <w:iCs/>
        </w:rPr>
        <w:t>Cochrane Database of Systematic Reviews</w:t>
      </w:r>
      <w:r>
        <w:t xml:space="preserve">, 6, CD006103. Available at: </w:t>
      </w:r>
      <w:hyperlink r:id="rId74">
        <w:r w:rsidR="001D1FD6">
          <w:rPr>
            <w:rStyle w:val="Hyperlink"/>
          </w:rPr>
          <w:t>https://doi.org/10.1002/14651858.CD006103.pub9</w:t>
        </w:r>
      </w:hyperlink>
      <w:r>
        <w:t>.</w:t>
      </w:r>
    </w:p>
    <w:p w:rsidR="001D1FD6" w:rsidRDefault="0012332F">
      <w:r>
        <w:t xml:space="preserve">Livingstone-Banks, J., Norris, E., Hartmann-Boyce, J., West, R., Jarvis, M., Chubb, E. and Hajek, P. (2019) ‘Relapse prevention interventions for smoking cessation’, </w:t>
      </w:r>
      <w:r>
        <w:rPr>
          <w:i/>
          <w:iCs/>
        </w:rPr>
        <w:t>Cochrane Database of Systematic Reviews</w:t>
      </w:r>
      <w:r>
        <w:t xml:space="preserve">, 10, CD003999. Available at: </w:t>
      </w:r>
      <w:hyperlink r:id="rId75">
        <w:r w:rsidR="001D1FD6">
          <w:rPr>
            <w:rStyle w:val="Hyperlink"/>
          </w:rPr>
          <w:t>https://doi.org/10.1002/14651858.CD003999.pub6</w:t>
        </w:r>
      </w:hyperlink>
      <w:r>
        <w:t>.</w:t>
      </w:r>
    </w:p>
    <w:p w:rsidR="001D1FD6" w:rsidRDefault="0012332F">
      <w:r>
        <w:t xml:space="preserve">Matkin, W., Ordóñez-Mena, J.M. and Hartmann-Boyce, J. (2019) ‘Telephone counselling for smoking cessation’, </w:t>
      </w:r>
      <w:r>
        <w:rPr>
          <w:i/>
          <w:iCs/>
        </w:rPr>
        <w:t>Cochrane Database of Systematic Reviews</w:t>
      </w:r>
      <w:r>
        <w:t xml:space="preserve">, 5, CD002850. Available at: </w:t>
      </w:r>
      <w:hyperlink r:id="rId76">
        <w:r w:rsidR="001D1FD6">
          <w:rPr>
            <w:rStyle w:val="Hyperlink"/>
          </w:rPr>
          <w:t>https://doi.org/10.1002/14651858.CD002850.pub4</w:t>
        </w:r>
      </w:hyperlink>
      <w:r>
        <w:t>.</w:t>
      </w:r>
    </w:p>
    <w:p w:rsidR="001D1FD6" w:rsidRDefault="0012332F">
      <w:r>
        <w:t xml:space="preserve">McLeod, H., Blissett, D., Wyatt, S. and Mohammed, M.A. (2015) ‘Effect of pay-for-outcomes and encouraging new providers on National Health Service smoking cessation services in England: a cluster controlled study’, </w:t>
      </w:r>
      <w:r>
        <w:rPr>
          <w:i/>
          <w:iCs/>
        </w:rPr>
        <w:t>PLoS ONE</w:t>
      </w:r>
      <w:r>
        <w:t xml:space="preserve">, 10(4), e0123349. Available at: </w:t>
      </w:r>
      <w:hyperlink r:id="rId77">
        <w:r w:rsidR="001D1FD6">
          <w:rPr>
            <w:rStyle w:val="Hyperlink"/>
          </w:rPr>
          <w:t>https://doi.org/10.1371/journal.pone.0123349</w:t>
        </w:r>
      </w:hyperlink>
      <w:r>
        <w:t>.</w:t>
      </w:r>
    </w:p>
    <w:p w:rsidR="001D1FD6" w:rsidRDefault="0012332F">
      <w:r>
        <w:t xml:space="preserve">Melendez-Torres, G.J., O’Mara-Eves, A., Thomas, J., Brunton, G., Caird, J. and Petticrew, M. (2017) ‘Interpretive analysis of 85 systematic reviews suggests that narrative syntheses and meta-analyses are incommensurate in argumentation’, </w:t>
      </w:r>
      <w:r>
        <w:rPr>
          <w:i/>
          <w:iCs/>
        </w:rPr>
        <w:t>Research Synthesis Methods</w:t>
      </w:r>
      <w:r>
        <w:t xml:space="preserve">, 8(1), pp. 109–118. Available at: </w:t>
      </w:r>
      <w:hyperlink r:id="rId78">
        <w:r w:rsidR="001D1FD6">
          <w:rPr>
            <w:rStyle w:val="Hyperlink"/>
          </w:rPr>
          <w:t>https://doi.org/10.1002/jrsm.1231</w:t>
        </w:r>
      </w:hyperlink>
      <w:r>
        <w:t>.</w:t>
      </w:r>
    </w:p>
    <w:p w:rsidR="001D1FD6" w:rsidRDefault="0012332F">
      <w:r>
        <w:t xml:space="preserve">Michie, S., van Stralen, M.M. and West, R. (2011) ‘The behaviour change wheel: a new method for characterising and designing behaviour change interventions’, </w:t>
      </w:r>
      <w:r>
        <w:rPr>
          <w:i/>
          <w:iCs/>
        </w:rPr>
        <w:t>Implementation Science</w:t>
      </w:r>
      <w:r>
        <w:t xml:space="preserve">, 6, 42. Available at: </w:t>
      </w:r>
      <w:hyperlink r:id="rId79">
        <w:r w:rsidR="001D1FD6">
          <w:rPr>
            <w:rStyle w:val="Hyperlink"/>
          </w:rPr>
          <w:t>https://doi.org/10.1186/1748-5908-6-42</w:t>
        </w:r>
      </w:hyperlink>
      <w:r>
        <w:t>.</w:t>
      </w:r>
    </w:p>
    <w:p w:rsidR="001D1FD6" w:rsidRDefault="0012332F">
      <w:r>
        <w:t xml:space="preserve">Moore, G.F., Audrey, S., Barker, M., Bond, L., Bonell, C., Hardeman, W., Moore, L., O’Cathain, A., Tinati, T., Wight, D. and Baird, J. (2015) ‘Process evaluation of complex interventions: Medical Research Council guidance’, </w:t>
      </w:r>
      <w:r>
        <w:rPr>
          <w:i/>
          <w:iCs/>
        </w:rPr>
        <w:t>BMJ</w:t>
      </w:r>
      <w:r>
        <w:t xml:space="preserve">, 350, h1258. Available at: </w:t>
      </w:r>
      <w:hyperlink r:id="rId80">
        <w:r w:rsidR="001D1FD6">
          <w:rPr>
            <w:rStyle w:val="Hyperlink"/>
          </w:rPr>
          <w:t>https://doi.org/10.1136/bmj.h1258</w:t>
        </w:r>
      </w:hyperlink>
      <w:r>
        <w:t>.</w:t>
      </w:r>
    </w:p>
    <w:p w:rsidR="001D1FD6" w:rsidRDefault="0012332F">
      <w:r>
        <w:t xml:space="preserve">Morgan, R.L., Whaley, P., Thayer, K.A. and Schünemann, H.J. (2018) ‘Identifying the PECO: a framework for formulating good questions to explore the association of environmental and other exposures with health outcomes’, </w:t>
      </w:r>
      <w:r>
        <w:rPr>
          <w:i/>
          <w:iCs/>
        </w:rPr>
        <w:t>Environment International</w:t>
      </w:r>
      <w:r>
        <w:t xml:space="preserve">, 121, pp. 1027–1031. Available at: </w:t>
      </w:r>
      <w:hyperlink r:id="rId81">
        <w:r w:rsidR="001D1FD6">
          <w:rPr>
            <w:rStyle w:val="Hyperlink"/>
          </w:rPr>
          <w:t>https://doi.org/10.1016/j.envint.2018.07.015</w:t>
        </w:r>
      </w:hyperlink>
      <w:r>
        <w:t>.</w:t>
      </w:r>
    </w:p>
    <w:p w:rsidR="001D1FD6" w:rsidRDefault="0012332F">
      <w:r>
        <w:t xml:space="preserve">Murray, R.L., Bauld, L., Hackshaw, L.E. and McNeill, A. (2009) ‘Improving access to smoking cessation services for disadvantaged groups: a systematic review’, </w:t>
      </w:r>
      <w:r>
        <w:rPr>
          <w:i/>
          <w:iCs/>
        </w:rPr>
        <w:t>Journal of Public Health</w:t>
      </w:r>
      <w:r>
        <w:t xml:space="preserve">, 31(2), pp. 258–277. Available at: </w:t>
      </w:r>
      <w:hyperlink r:id="rId82">
        <w:r w:rsidR="001D1FD6">
          <w:rPr>
            <w:rStyle w:val="Hyperlink"/>
          </w:rPr>
          <w:t>https://doi.org/10.1093/pubmed/fdp008</w:t>
        </w:r>
      </w:hyperlink>
      <w:r>
        <w:t>.</w:t>
      </w:r>
    </w:p>
    <w:p w:rsidR="001D1FD6" w:rsidRDefault="0012332F">
      <w:r>
        <w:t xml:space="preserve">National Institute for Health and Care Excellence (2025) </w:t>
      </w:r>
      <w:r>
        <w:rPr>
          <w:i/>
          <w:iCs/>
        </w:rPr>
        <w:t>Tobacco: preventing uptake, promoting quitting and treating dependence (NG209)</w:t>
      </w:r>
      <w:r>
        <w:t xml:space="preserve">. Available at: </w:t>
      </w:r>
      <w:hyperlink r:id="rId83">
        <w:r w:rsidR="001D1FD6">
          <w:rPr>
            <w:rStyle w:val="Hyperlink"/>
          </w:rPr>
          <w:t>https://www.nice.org.uk/guidance/ng209</w:t>
        </w:r>
      </w:hyperlink>
      <w:r>
        <w:t xml:space="preserve"> (Accessed: 3 August 2026).</w:t>
      </w:r>
    </w:p>
    <w:p w:rsidR="001D1FD6" w:rsidRDefault="0012332F">
      <w:r>
        <w:lastRenderedPageBreak/>
        <w:t xml:space="preserve">NHS England Digital (2025) </w:t>
      </w:r>
      <w:r>
        <w:rPr>
          <w:i/>
          <w:iCs/>
        </w:rPr>
        <w:t>Statistics on Local Stop Smoking Services in England, April 2024 to March 2025 (Q4, annual)</w:t>
      </w:r>
      <w:r>
        <w:t xml:space="preserve">. Available at: </w:t>
      </w:r>
      <w:hyperlink r:id="rId84">
        <w:r w:rsidR="001D1FD6">
          <w:rPr>
            <w:rStyle w:val="Hyperlink"/>
          </w:rPr>
          <w:t>https://digital.nhs.uk/data-and-information/publications/statistical/statistics-on-nhs-stop-smoking-services-in-england/april-2024-to-march-2025-q4-annual</w:t>
        </w:r>
      </w:hyperlink>
      <w:r>
        <w:t xml:space="preserve"> (Accessed: 3 August 2026).</w:t>
      </w:r>
    </w:p>
    <w:p w:rsidR="001D1FD6" w:rsidRDefault="0012332F">
      <w:r>
        <w:t xml:space="preserve">Office for National Statistics (2025) </w:t>
      </w:r>
      <w:r>
        <w:rPr>
          <w:i/>
          <w:iCs/>
        </w:rPr>
        <w:t>Adult smoking habits in the UK: 2024</w:t>
      </w:r>
      <w:r>
        <w:t xml:space="preserve">. Available at: </w:t>
      </w:r>
      <w:hyperlink r:id="rId85">
        <w:r w:rsidR="001D1FD6">
          <w:rPr>
            <w:rStyle w:val="Hyperlink"/>
          </w:rPr>
          <w:t>https://www.ons.gov.uk/peoplepopulationandcommunity/healthandsocialcare/healthandlifeexpectancies/bulletins/adultsmokinghabitsingreatbritain/2024</w:t>
        </w:r>
      </w:hyperlink>
      <w:r>
        <w:t xml:space="preserve"> (Accessed: 3 August 2026).</w:t>
      </w:r>
    </w:p>
    <w:p w:rsidR="001D1FD6" w:rsidRDefault="0012332F">
      <w:r>
        <w:t xml:space="preserve">Olaghere, A., Wilson, D.B. and Kimbrell, C. (2023) ‘Inclusive critical appraisal of qualitative and quantitative findings in evidence synthesis’, </w:t>
      </w:r>
      <w:r>
        <w:rPr>
          <w:i/>
          <w:iCs/>
        </w:rPr>
        <w:t>Research Synthesis Methods</w:t>
      </w:r>
      <w:r>
        <w:t xml:space="preserve">, 14(6), pp. 847–852. Available at: </w:t>
      </w:r>
      <w:hyperlink r:id="rId86">
        <w:r w:rsidR="001D1FD6">
          <w:rPr>
            <w:rStyle w:val="Hyperlink"/>
          </w:rPr>
          <w:t>https://doi.org/10.1002/jrsm.1659</w:t>
        </w:r>
      </w:hyperlink>
      <w:r>
        <w:t>.</w:t>
      </w:r>
    </w:p>
    <w:p w:rsidR="001D1FD6" w:rsidRDefault="0012332F">
      <w:r>
        <w:t xml:space="preserve">Page, M.J., McKenzie, J.E., Bossuyt, P.M., Boutron, I., Hoffmann, T.C., Mulrow, C.D., Shamseer, L., Tetzlaff, J.M., Akl, E.A., Brennan, S.E., Chou, R., Glanville, J., Grimshaw, J.M., Hróbjartsson, A., Lalu, M.M., Li, T., Loder, E.W., Mayo-Wilson, E., McDonald, S., McGuinness, L.A., Stewart, L.A., Thomas, J., Tricco, A.C., Welch, V.A., Whiting, P. and Moher, D. (2021) ‘The PRISMA 2020 statement: an updated guideline for reporting systematic reviews’, </w:t>
      </w:r>
      <w:r>
        <w:rPr>
          <w:i/>
          <w:iCs/>
        </w:rPr>
        <w:t>BMJ</w:t>
      </w:r>
      <w:r>
        <w:t xml:space="preserve">, 372, n71. Available at: </w:t>
      </w:r>
      <w:hyperlink r:id="rId87">
        <w:r w:rsidR="001D1FD6">
          <w:rPr>
            <w:rStyle w:val="Hyperlink"/>
          </w:rPr>
          <w:t>https://doi.org/10.1136/bmj.n71</w:t>
        </w:r>
      </w:hyperlink>
      <w:r>
        <w:t>.</w:t>
      </w:r>
    </w:p>
    <w:p w:rsidR="001D1FD6" w:rsidRDefault="0012332F">
      <w:r>
        <w:t xml:space="preserve">Parrott, S., Godfrey, C., Raw, M., West, R. and McNeill, A. (1998) ‘Guidance for commissioners on the cost effectiveness of smoking cessation interventions’, </w:t>
      </w:r>
      <w:r>
        <w:rPr>
          <w:i/>
          <w:iCs/>
        </w:rPr>
        <w:t>Thorax</w:t>
      </w:r>
      <w:r>
        <w:t>, 53(Suppl. 5, Pt 2), pp. S1–S38.</w:t>
      </w:r>
    </w:p>
    <w:p w:rsidR="001D1FD6" w:rsidRDefault="0012332F">
      <w:r>
        <w:t xml:space="preserve">Pirie, K., Peto, R., Reeves, G.K., Green, J. and Beral, V. (2013) ‘The 21st century hazards of smoking and benefits of stopping: a prospective study of one million women in the UK’, </w:t>
      </w:r>
      <w:r>
        <w:rPr>
          <w:i/>
          <w:iCs/>
        </w:rPr>
        <w:t>The Lancet</w:t>
      </w:r>
      <w:r>
        <w:t xml:space="preserve">, 381(9861), pp. 133–141. Available at: </w:t>
      </w:r>
      <w:hyperlink r:id="rId88">
        <w:r w:rsidR="001D1FD6">
          <w:rPr>
            <w:rStyle w:val="Hyperlink"/>
          </w:rPr>
          <w:t>https://doi.org/10.1016/S0140-6736(12)61720-6</w:t>
        </w:r>
      </w:hyperlink>
      <w:r>
        <w:t>.</w:t>
      </w:r>
    </w:p>
    <w:p w:rsidR="001D1FD6" w:rsidRDefault="0012332F">
      <w:r>
        <w:t xml:space="preserve">Pluye, P. and Hong, Q.N. (2014) ‘Combining the power of stories and the power of numbers: mixed methods research and mixed studies reviews’, </w:t>
      </w:r>
      <w:r>
        <w:rPr>
          <w:i/>
          <w:iCs/>
        </w:rPr>
        <w:t>Annual Review of Public Health</w:t>
      </w:r>
      <w:r>
        <w:t xml:space="preserve">, 35, pp. 29–45. Available at: </w:t>
      </w:r>
      <w:hyperlink r:id="rId89">
        <w:r w:rsidR="001D1FD6">
          <w:rPr>
            <w:rStyle w:val="Hyperlink"/>
          </w:rPr>
          <w:t>https://doi.org/10.1146/annurev-publhealth-032013-182440</w:t>
        </w:r>
      </w:hyperlink>
      <w:r>
        <w:t>.</w:t>
      </w:r>
    </w:p>
    <w:p w:rsidR="001D1FD6" w:rsidRDefault="0012332F">
      <w:r>
        <w:t xml:space="preserve">Pope, I., Rashid, S., Iqbal, H., Belderson, P., Ward, E., Clark, L., Conway, T., Stirling, S., Clark, A., Agrawal, S., Bauld, L. and Notley, C. (2025) ‘Engagement with stop smoking services after referral or signposting: a mixed-methods study’, </w:t>
      </w:r>
      <w:r>
        <w:rPr>
          <w:i/>
          <w:iCs/>
        </w:rPr>
        <w:t>Nicotine &amp; Tobacco Research</w:t>
      </w:r>
      <w:r>
        <w:t xml:space="preserve">, 27(2), pp. 360–363. Available at: </w:t>
      </w:r>
      <w:hyperlink r:id="rId90">
        <w:r w:rsidR="001D1FD6">
          <w:rPr>
            <w:rStyle w:val="Hyperlink"/>
          </w:rPr>
          <w:t>https://doi.org/10.1093/ntr/ntae159</w:t>
        </w:r>
      </w:hyperlink>
      <w:r>
        <w:t>.</w:t>
      </w:r>
    </w:p>
    <w:p w:rsidR="001D1FD6" w:rsidRDefault="0012332F">
      <w:r>
        <w:t xml:space="preserve">Raupach, T., Brown, J., Herbec, A., Brose, L. and West, R. (2014) ‘A systematic review of studies assessing the association between adherence to smoking cessation medication and treatment success’, </w:t>
      </w:r>
      <w:r>
        <w:rPr>
          <w:i/>
          <w:iCs/>
        </w:rPr>
        <w:t>Addiction</w:t>
      </w:r>
      <w:r>
        <w:t xml:space="preserve">, 109(1), pp. 35–43. Available at: </w:t>
      </w:r>
      <w:hyperlink r:id="rId91">
        <w:r w:rsidR="001D1FD6">
          <w:rPr>
            <w:rStyle w:val="Hyperlink"/>
          </w:rPr>
          <w:t>https://doi.org/10.1111/add.12319</w:t>
        </w:r>
      </w:hyperlink>
      <w:r>
        <w:t>.</w:t>
      </w:r>
    </w:p>
    <w:p w:rsidR="001D1FD6" w:rsidRDefault="0012332F">
      <w:r>
        <w:lastRenderedPageBreak/>
        <w:t xml:space="preserve">Raw, M., McNeill, A. and Coleman, T. (2005) ‘Lessons from the English smoking treatment services’, </w:t>
      </w:r>
      <w:r>
        <w:rPr>
          <w:i/>
          <w:iCs/>
        </w:rPr>
        <w:t>Addiction</w:t>
      </w:r>
      <w:r>
        <w:t xml:space="preserve">, 100(Suppl. 2), pp. 84–91. Available at: </w:t>
      </w:r>
      <w:hyperlink r:id="rId92">
        <w:r w:rsidR="001D1FD6">
          <w:rPr>
            <w:rStyle w:val="Hyperlink"/>
          </w:rPr>
          <w:t>https://doi.org/10.1111/j.1360-0443.2005.01029.x</w:t>
        </w:r>
      </w:hyperlink>
      <w:r>
        <w:t>.</w:t>
      </w:r>
    </w:p>
    <w:p w:rsidR="001D1FD6" w:rsidRDefault="0012332F">
      <w:r>
        <w:t xml:space="preserve">Robinson, J., McEwen, A., Heah, R. and Papadakis, S. (2019) ‘A Cut-Down-To-Stop intervention for smokers who find it hard to quit: a qualitative evaluation’, </w:t>
      </w:r>
      <w:r>
        <w:rPr>
          <w:i/>
          <w:iCs/>
        </w:rPr>
        <w:t>BMC Public Health</w:t>
      </w:r>
      <w:r>
        <w:t xml:space="preserve">, 19, 403. Available at: </w:t>
      </w:r>
      <w:hyperlink r:id="rId93">
        <w:r w:rsidR="001D1FD6">
          <w:rPr>
            <w:rStyle w:val="Hyperlink"/>
          </w:rPr>
          <w:t>https://doi.org/10.1186/s12889-019-6738-9</w:t>
        </w:r>
      </w:hyperlink>
      <w:r>
        <w:t>.</w:t>
      </w:r>
    </w:p>
    <w:p w:rsidR="001D1FD6" w:rsidRDefault="0012332F">
      <w:r>
        <w:t xml:space="preserve">Rosenstock, I.M. (1974) ‘The Health Belief Model and preventive health behavior’, </w:t>
      </w:r>
      <w:r>
        <w:rPr>
          <w:i/>
          <w:iCs/>
        </w:rPr>
        <w:t>Health Education Monographs</w:t>
      </w:r>
      <w:r>
        <w:t xml:space="preserve">, 2(4), pp. 354–386. Available at: </w:t>
      </w:r>
      <w:hyperlink r:id="rId94">
        <w:r w:rsidR="001D1FD6">
          <w:rPr>
            <w:rStyle w:val="Hyperlink"/>
          </w:rPr>
          <w:t>https://doi.org/10.1177/109019817400200405</w:t>
        </w:r>
      </w:hyperlink>
      <w:r>
        <w:t>.</w:t>
      </w:r>
    </w:p>
    <w:p w:rsidR="001D1FD6" w:rsidRDefault="0012332F">
      <w:r>
        <w:t xml:space="preserve">Sandelowski, M., Barroso, J. and Voils, C.I. (2007) ‘Using qualitative metasummary to synthesize qualitative and quantitative descriptive findings’, </w:t>
      </w:r>
      <w:r>
        <w:rPr>
          <w:i/>
          <w:iCs/>
        </w:rPr>
        <w:t>Research in Nursing &amp; Health</w:t>
      </w:r>
      <w:r>
        <w:t xml:space="preserve">, 30(1), pp. 99–111. Available at: </w:t>
      </w:r>
      <w:hyperlink r:id="rId95">
        <w:r w:rsidR="001D1FD6">
          <w:rPr>
            <w:rStyle w:val="Hyperlink"/>
          </w:rPr>
          <w:t>https://doi.org/10.1002/nur.20176</w:t>
        </w:r>
      </w:hyperlink>
      <w:r>
        <w:t>.</w:t>
      </w:r>
    </w:p>
    <w:p w:rsidR="001D1FD6" w:rsidRDefault="0012332F">
      <w:r>
        <w:t xml:space="preserve">Sandelowski, M., Voils, C.I. and Barroso, J. (2006) ‘Defining and designing mixed research synthesis studies’, </w:t>
      </w:r>
      <w:r>
        <w:rPr>
          <w:i/>
          <w:iCs/>
        </w:rPr>
        <w:t>Research in the Schools</w:t>
      </w:r>
      <w:r>
        <w:t>, 13(1), pp. 29–40.</w:t>
      </w:r>
    </w:p>
    <w:p w:rsidR="001D1FD6" w:rsidRDefault="0012332F">
      <w:r>
        <w:t xml:space="preserve">Siddaway, A.P., Wood, A.M. and Hedges, L.V. (2019) ‘How to do a systematic review: a best practice guide for conducting and reporting narrative reviews, meta-analyses, and meta-syntheses’, </w:t>
      </w:r>
      <w:r>
        <w:rPr>
          <w:i/>
          <w:iCs/>
        </w:rPr>
        <w:t>Annual Review of Psychology</w:t>
      </w:r>
      <w:r>
        <w:t xml:space="preserve">, 70, pp. 747–770. Available at: </w:t>
      </w:r>
      <w:hyperlink r:id="rId96">
        <w:r w:rsidR="001D1FD6">
          <w:rPr>
            <w:rStyle w:val="Hyperlink"/>
          </w:rPr>
          <w:t>https://doi.org/10.1146/annurev-psych-010418-102803</w:t>
        </w:r>
      </w:hyperlink>
      <w:r>
        <w:t>.</w:t>
      </w:r>
    </w:p>
    <w:p w:rsidR="001D1FD6" w:rsidRDefault="0012332F">
      <w:r>
        <w:t xml:space="preserve">Smith, C.E., Hill, S.E. and Amos, A. (2020) ‘Impact of specialist and primary care stop smoking support on socio-economic inequalities in cessation in the United Kingdom: a systematic review and national equity analysis’, </w:t>
      </w:r>
      <w:r>
        <w:rPr>
          <w:i/>
          <w:iCs/>
        </w:rPr>
        <w:t>Addiction</w:t>
      </w:r>
      <w:r>
        <w:t xml:space="preserve">, 115(1), pp. 34–46. Available at: </w:t>
      </w:r>
      <w:hyperlink r:id="rId97">
        <w:r w:rsidR="001D1FD6">
          <w:rPr>
            <w:rStyle w:val="Hyperlink"/>
          </w:rPr>
          <w:t>https://doi.org/10.1111/add.14760</w:t>
        </w:r>
      </w:hyperlink>
      <w:r>
        <w:t>.</w:t>
      </w:r>
    </w:p>
    <w:p w:rsidR="001D1FD6" w:rsidRDefault="0012332F">
      <w:r>
        <w:t xml:space="preserve">Smith, C.E., Hill, S.E. and Amos, A. (2021) ‘Impact of population tobacco control interventions on socioeconomic inequalities in smoking: a systematic review and appraisal of future research directions’, </w:t>
      </w:r>
      <w:r>
        <w:rPr>
          <w:i/>
          <w:iCs/>
        </w:rPr>
        <w:t>Tobacco Control</w:t>
      </w:r>
      <w:r>
        <w:t xml:space="preserve">, 30(e2), pp. e87–e95. Available at: </w:t>
      </w:r>
      <w:hyperlink r:id="rId98">
        <w:r w:rsidR="001D1FD6">
          <w:rPr>
            <w:rStyle w:val="Hyperlink"/>
          </w:rPr>
          <w:t>https://doi.org/10.1136/tobaccocontrol-2020-055874</w:t>
        </w:r>
      </w:hyperlink>
      <w:r>
        <w:t>.</w:t>
      </w:r>
    </w:p>
    <w:p w:rsidR="001D1FD6" w:rsidRDefault="0012332F">
      <w:r>
        <w:t xml:space="preserve">Smith, P., Dahlby, L., Plotnikova, E., Williams, R.-B., Thorley, R., Murray, R., Dobbie, F., Langley, T., Bogdanovica, I., Brain, K. and Jayes, L. (2026) ‘Enhancing engagement with stop smoking services among lower socioeconomic groups across the UK: a qualitative study using the Behaviour Change Wheel’, </w:t>
      </w:r>
      <w:r>
        <w:rPr>
          <w:i/>
          <w:iCs/>
        </w:rPr>
        <w:t>Nicotine &amp; Tobacco Research</w:t>
      </w:r>
      <w:r>
        <w:t xml:space="preserve">, 28(5), pp. 857–863. Available at: </w:t>
      </w:r>
      <w:hyperlink r:id="rId99">
        <w:r w:rsidR="001D1FD6">
          <w:rPr>
            <w:rStyle w:val="Hyperlink"/>
          </w:rPr>
          <w:t>https://doi.org/10.1093/ntr/ntaf256</w:t>
        </w:r>
      </w:hyperlink>
      <w:r>
        <w:t>.</w:t>
      </w:r>
    </w:p>
    <w:p w:rsidR="001D1FD6" w:rsidRDefault="0012332F">
      <w:r>
        <w:t xml:space="preserve">Stead, L.F., Carroll, A.J. and Lancaster, T. (2017) ‘Group behaviour therapy programmes for smoking cessation’, </w:t>
      </w:r>
      <w:r>
        <w:rPr>
          <w:i/>
          <w:iCs/>
        </w:rPr>
        <w:t>Cochrane Database of Systematic Reviews</w:t>
      </w:r>
      <w:r>
        <w:t xml:space="preserve">, 3, CD001007. Available at: </w:t>
      </w:r>
      <w:hyperlink r:id="rId100">
        <w:r w:rsidR="001D1FD6">
          <w:rPr>
            <w:rStyle w:val="Hyperlink"/>
          </w:rPr>
          <w:t>https://doi.org/10.1002/14651858.CD001007.pub3</w:t>
        </w:r>
      </w:hyperlink>
      <w:r>
        <w:t>.</w:t>
      </w:r>
    </w:p>
    <w:p w:rsidR="001D1FD6" w:rsidRDefault="0012332F">
      <w:r>
        <w:lastRenderedPageBreak/>
        <w:t xml:space="preserve">Stead, L.F., Koilpillai, P., Fanshawe, T.R. and Lancaster, T. (2016) ‘Combined pharmacotherapy and behavioural interventions for smoking cessation’, </w:t>
      </w:r>
      <w:r>
        <w:rPr>
          <w:i/>
          <w:iCs/>
        </w:rPr>
        <w:t>Cochrane Database of Systematic Reviews</w:t>
      </w:r>
      <w:r>
        <w:t xml:space="preserve">, 3, CD008286. Available at: </w:t>
      </w:r>
      <w:hyperlink r:id="rId101">
        <w:r w:rsidR="001D1FD6">
          <w:rPr>
            <w:rStyle w:val="Hyperlink"/>
          </w:rPr>
          <w:t>https://doi.org/10.1002/14651858.CD008286.pub3</w:t>
        </w:r>
      </w:hyperlink>
      <w:r>
        <w:t>.</w:t>
      </w:r>
    </w:p>
    <w:p w:rsidR="001D1FD6" w:rsidRDefault="0012332F">
      <w:r>
        <w:t xml:space="preserve">Stern, C., Lizarondo, L., Carrier, J., Godfrey, C., Rieger, K., Salmond, S., Apóstolo, J., Kirkpatrick, P. and Loveday, H. (2020) ‘Methodological guidance for the conduct of mixed methods systematic reviews’, </w:t>
      </w:r>
      <w:r>
        <w:rPr>
          <w:i/>
          <w:iCs/>
        </w:rPr>
        <w:t>JBI Evidence Synthesis</w:t>
      </w:r>
      <w:r>
        <w:t xml:space="preserve">, 18(10), pp. 2108–2118. Available at: </w:t>
      </w:r>
      <w:hyperlink r:id="rId102">
        <w:r w:rsidR="001D1FD6">
          <w:rPr>
            <w:rStyle w:val="Hyperlink"/>
          </w:rPr>
          <w:t>https://doi.org/10.11124/JBISRIR-D-19-00169</w:t>
        </w:r>
      </w:hyperlink>
      <w:r>
        <w:t>.</w:t>
      </w:r>
    </w:p>
    <w:p w:rsidR="001D1FD6" w:rsidRDefault="0012332F">
      <w:r>
        <w:t xml:space="preserve">Sweeney-Magee, M., Kale, D., Galton, S., Hamill, A. and Gilbert, H. (2016) ‘Assessing the fidelity of delivery of an intervention to increase attendance at the English Stop Smoking Services’, </w:t>
      </w:r>
      <w:r>
        <w:rPr>
          <w:i/>
          <w:iCs/>
        </w:rPr>
        <w:t>Implementation Science</w:t>
      </w:r>
      <w:r>
        <w:t xml:space="preserve">, 11, 166. Available at: </w:t>
      </w:r>
      <w:hyperlink r:id="rId103">
        <w:r w:rsidR="001D1FD6">
          <w:rPr>
            <w:rStyle w:val="Hyperlink"/>
          </w:rPr>
          <w:t>https://doi.org/10.1186/s13012-016-0498-z</w:t>
        </w:r>
      </w:hyperlink>
      <w:r>
        <w:t>.</w:t>
      </w:r>
    </w:p>
    <w:p w:rsidR="001D1FD6" w:rsidRDefault="0012332F">
      <w:r>
        <w:t xml:space="preserve">Taylor, G.M.J., Dalili, M.N., Semwal, M., Civljak, M., Sheikh, A. and Car, J. (2017) ‘Internet-based interventions for smoking cessation’, </w:t>
      </w:r>
      <w:r>
        <w:rPr>
          <w:i/>
          <w:iCs/>
        </w:rPr>
        <w:t>Cochrane Database of Systematic Reviews</w:t>
      </w:r>
      <w:r>
        <w:t xml:space="preserve">, 9, CD007078. Available at: </w:t>
      </w:r>
      <w:hyperlink r:id="rId104">
        <w:r w:rsidR="001D1FD6">
          <w:rPr>
            <w:rStyle w:val="Hyperlink"/>
          </w:rPr>
          <w:t>https://doi.org/10.1002/14651858.CD007078.pub5</w:t>
        </w:r>
      </w:hyperlink>
      <w:r>
        <w:t>.</w:t>
      </w:r>
    </w:p>
    <w:p w:rsidR="001D1FD6" w:rsidRDefault="0012332F">
      <w:r>
        <w:t xml:space="preserve">Theodoulou, A., Chepkin, S.C., Ye, W., Fanshawe, T.R., Bullen, C., Hartmann-Boyce, J., Livingstone-Banks, J., Hajizadeh, A. and Lindson, N. (2023) ‘Different doses, durations and modes of delivery of nicotine replacement therapy for smoking cessation’, </w:t>
      </w:r>
      <w:r>
        <w:rPr>
          <w:i/>
          <w:iCs/>
        </w:rPr>
        <w:t>Cochrane Database of Systematic Reviews</w:t>
      </w:r>
      <w:r>
        <w:t xml:space="preserve">, 6, CD013308. Available at: </w:t>
      </w:r>
      <w:hyperlink r:id="rId105">
        <w:r w:rsidR="001D1FD6">
          <w:rPr>
            <w:rStyle w:val="Hyperlink"/>
          </w:rPr>
          <w:t>https://doi.org/10.1002/14651858.CD013308.pub2</w:t>
        </w:r>
      </w:hyperlink>
      <w:r>
        <w:t>.</w:t>
      </w:r>
    </w:p>
    <w:p w:rsidR="001D1FD6" w:rsidRDefault="0012332F">
      <w:r>
        <w:t xml:space="preserve">Thomas, D., Abramson, M.J., Bonevski, B. and George, J. (2017) ‘System change interventions for smoking cessation’, </w:t>
      </w:r>
      <w:r>
        <w:rPr>
          <w:i/>
          <w:iCs/>
        </w:rPr>
        <w:t>Cochrane Database of Systematic Reviews</w:t>
      </w:r>
      <w:r>
        <w:t xml:space="preserve">, 2, CD010742. Available at: </w:t>
      </w:r>
      <w:hyperlink r:id="rId106">
        <w:r w:rsidR="001D1FD6">
          <w:rPr>
            <w:rStyle w:val="Hyperlink"/>
          </w:rPr>
          <w:t>https://doi.org/10.1002/14651858.CD010742.pub2</w:t>
        </w:r>
      </w:hyperlink>
      <w:r>
        <w:t>.</w:t>
      </w:r>
    </w:p>
    <w:p w:rsidR="001D1FD6" w:rsidRDefault="0012332F">
      <w:r>
        <w:t xml:space="preserve">Thomas, J. and Harden, A. (2008) ‘Methods for the thematic synthesis of qualitative research in systematic reviews’, </w:t>
      </w:r>
      <w:r>
        <w:rPr>
          <w:i/>
          <w:iCs/>
        </w:rPr>
        <w:t>BMC Medical Research Methodology</w:t>
      </w:r>
      <w:r>
        <w:t xml:space="preserve">, 8, 45. Available at: </w:t>
      </w:r>
      <w:hyperlink r:id="rId107">
        <w:r w:rsidR="001D1FD6">
          <w:rPr>
            <w:rStyle w:val="Hyperlink"/>
          </w:rPr>
          <w:t>https://doi.org/10.1186/1471-2288-8-45</w:t>
        </w:r>
      </w:hyperlink>
      <w:r>
        <w:t>.</w:t>
      </w:r>
    </w:p>
    <w:p w:rsidR="001D1FD6" w:rsidRDefault="0012332F">
      <w:r>
        <w:t xml:space="preserve">Twyman, L., Bonevski, B., Paul, C. and Bryant, J. (2014) ‘Perceived barriers to smoking cessation in selected vulnerable groups: a systematic review of the qualitative and quantitative literature’, </w:t>
      </w:r>
      <w:r>
        <w:rPr>
          <w:i/>
          <w:iCs/>
        </w:rPr>
        <w:t>BMJ Open</w:t>
      </w:r>
      <w:r>
        <w:t xml:space="preserve">, 4(12), e006414. Available at: </w:t>
      </w:r>
      <w:hyperlink r:id="rId108">
        <w:r w:rsidR="001D1FD6">
          <w:rPr>
            <w:rStyle w:val="Hyperlink"/>
          </w:rPr>
          <w:t>https://doi.org/10.1136/bmjopen-2014-006414</w:t>
        </w:r>
      </w:hyperlink>
      <w:r>
        <w:t>.</w:t>
      </w:r>
    </w:p>
    <w:p w:rsidR="001D1FD6" w:rsidRDefault="0012332F">
      <w:r>
        <w:t xml:space="preserve">Tzelepis, F., Paul, C.L., Williams, C.M., Gilligan, C., Regan, T., Daly, J. </w:t>
      </w:r>
      <w:r>
        <w:rPr>
          <w:i/>
          <w:iCs/>
        </w:rPr>
        <w:t>et al.</w:t>
      </w:r>
      <w:r>
        <w:t xml:space="preserve"> (2019) ‘Real-time video counselling for smoking cessation’, </w:t>
      </w:r>
      <w:r>
        <w:rPr>
          <w:i/>
          <w:iCs/>
        </w:rPr>
        <w:t>Cochrane Database of Systematic Reviews</w:t>
      </w:r>
      <w:r>
        <w:t xml:space="preserve">, 10, CD012659. Available at: </w:t>
      </w:r>
      <w:hyperlink r:id="rId109">
        <w:r w:rsidR="001D1FD6">
          <w:rPr>
            <w:rStyle w:val="Hyperlink"/>
          </w:rPr>
          <w:t>https://doi.org/10.1002/14651858.CD012659.pub2</w:t>
        </w:r>
      </w:hyperlink>
      <w:r>
        <w:t>.</w:t>
      </w:r>
    </w:p>
    <w:p w:rsidR="001D1FD6" w:rsidRDefault="0012332F">
      <w:r>
        <w:lastRenderedPageBreak/>
        <w:t xml:space="preserve">Ussher, M.H., Faulkner, G.E.J., Angus, K., Hartmann-Boyce, J. and Taylor, A.H. (2019) ‘Exercise interventions for smoking cessation’, </w:t>
      </w:r>
      <w:r>
        <w:rPr>
          <w:i/>
          <w:iCs/>
        </w:rPr>
        <w:t>Cochrane Database of Systematic Reviews</w:t>
      </w:r>
      <w:r>
        <w:t xml:space="preserve">, 10, CD002295. Available at: </w:t>
      </w:r>
      <w:hyperlink r:id="rId110">
        <w:r w:rsidR="001D1FD6">
          <w:rPr>
            <w:rStyle w:val="Hyperlink"/>
          </w:rPr>
          <w:t>https://doi.org/10.1002/14651858.CD002295.pub6</w:t>
        </w:r>
      </w:hyperlink>
      <w:r>
        <w:t>.</w:t>
      </w:r>
    </w:p>
    <w:p w:rsidR="001D1FD6" w:rsidRDefault="0012332F">
      <w:r>
        <w:t xml:space="preserve">van den Brand, F.A., Nagelhout, G.E., Reda, A.A., Winkens, B., Evers, S.M.A.A., Kotz, D. </w:t>
      </w:r>
      <w:r>
        <w:rPr>
          <w:i/>
          <w:iCs/>
        </w:rPr>
        <w:t>et al.</w:t>
      </w:r>
      <w:r>
        <w:t xml:space="preserve"> (2017) ‘Healthcare financing systems for increasing the use of tobacco dependence treatment’, </w:t>
      </w:r>
      <w:r>
        <w:rPr>
          <w:i/>
          <w:iCs/>
        </w:rPr>
        <w:t>Cochrane Database of Systematic Reviews</w:t>
      </w:r>
      <w:r>
        <w:t xml:space="preserve">, 9, CD004305. Available at: </w:t>
      </w:r>
      <w:hyperlink r:id="rId111">
        <w:r w:rsidR="001D1FD6">
          <w:rPr>
            <w:rStyle w:val="Hyperlink"/>
          </w:rPr>
          <w:t>https://doi.org/10.1002/14651858.CD004305.pub5</w:t>
        </w:r>
      </w:hyperlink>
      <w:r>
        <w:t>.</w:t>
      </w:r>
    </w:p>
    <w:p w:rsidR="001D1FD6" w:rsidRDefault="0012332F">
      <w:r>
        <w:t xml:space="preserve">Welch, V., Petticrew, M., Tugwell, P. </w:t>
      </w:r>
      <w:r>
        <w:rPr>
          <w:i/>
          <w:iCs/>
        </w:rPr>
        <w:t>et al.</w:t>
      </w:r>
      <w:r>
        <w:t xml:space="preserve"> (2012) ‘PRISMA-Equity 2012 extension: reporting guidelines for systematic reviews with a focus on health equity’, </w:t>
      </w:r>
      <w:r>
        <w:rPr>
          <w:i/>
          <w:iCs/>
        </w:rPr>
        <w:t>PLoS Medicine</w:t>
      </w:r>
      <w:r>
        <w:t xml:space="preserve">, 9(10), e1001333. Available at: </w:t>
      </w:r>
      <w:hyperlink r:id="rId112">
        <w:r w:rsidR="001D1FD6">
          <w:rPr>
            <w:rStyle w:val="Hyperlink"/>
          </w:rPr>
          <w:t>https://doi.org/10.1371/journal.pmed.1001333</w:t>
        </w:r>
      </w:hyperlink>
      <w:r>
        <w:t>.</w:t>
      </w:r>
    </w:p>
    <w:p w:rsidR="001D1FD6" w:rsidRDefault="0012332F">
      <w:r>
        <w:t xml:space="preserve">West, R., May, S., West, M., Croghan, E. and McEwen, A. (2013) ‘Performance of English stop smoking services in first 10 years: analysis of service monitoring data’, </w:t>
      </w:r>
      <w:r>
        <w:rPr>
          <w:i/>
          <w:iCs/>
        </w:rPr>
        <w:t>BMJ</w:t>
      </w:r>
      <w:r>
        <w:t xml:space="preserve">, 347, f4921. Available at: </w:t>
      </w:r>
      <w:hyperlink r:id="rId113">
        <w:r w:rsidR="001D1FD6">
          <w:rPr>
            <w:rStyle w:val="Hyperlink"/>
          </w:rPr>
          <w:t>https://doi.org/10.1136/bmj.f4921</w:t>
        </w:r>
      </w:hyperlink>
      <w:r>
        <w:t>.</w:t>
      </w:r>
    </w:p>
    <w:p w:rsidR="001D1FD6" w:rsidRDefault="0012332F">
      <w:r>
        <w:t xml:space="preserve">Whittaker, R., McRobbie, H., Bullen, C., Rodgers, A., Gu, Y. and Dobson, R. (2019) ‘Mobile phone text messaging and app-based interventions for smoking cessation’, </w:t>
      </w:r>
      <w:r>
        <w:rPr>
          <w:i/>
          <w:iCs/>
        </w:rPr>
        <w:t>Cochrane Database of Systematic Reviews</w:t>
      </w:r>
      <w:r>
        <w:t xml:space="preserve">, 10, CD006611. Available at: </w:t>
      </w:r>
      <w:hyperlink r:id="rId114">
        <w:r w:rsidR="001D1FD6">
          <w:rPr>
            <w:rStyle w:val="Hyperlink"/>
          </w:rPr>
          <w:t>https://doi.org/10.1002/14651858.CD006611.pub5</w:t>
        </w:r>
      </w:hyperlink>
      <w:r>
        <w:t>.</w:t>
      </w:r>
    </w:p>
    <w:p w:rsidR="001D1FD6" w:rsidRDefault="0012332F">
      <w:r>
        <w:t xml:space="preserve">Whittemore, R. and Knafl, K. (2005) ‘The integrative review: updated methodology’, </w:t>
      </w:r>
      <w:r>
        <w:rPr>
          <w:i/>
          <w:iCs/>
        </w:rPr>
        <w:t>Journal of Advanced Nursing</w:t>
      </w:r>
      <w:r>
        <w:t xml:space="preserve">, 52(5), pp. 546–553. Available at: </w:t>
      </w:r>
      <w:hyperlink r:id="rId115">
        <w:r w:rsidR="001D1FD6">
          <w:rPr>
            <w:rStyle w:val="Hyperlink"/>
          </w:rPr>
          <w:t>https://doi.org/10.1111/j.1365-2648.2005.03621.x</w:t>
        </w:r>
      </w:hyperlink>
      <w:r>
        <w:t>.</w:t>
      </w:r>
    </w:p>
    <w:p w:rsidR="001D1FD6" w:rsidRDefault="0012332F">
      <w:r>
        <w:t xml:space="preserve">World Health Organization (2003) </w:t>
      </w:r>
      <w:r>
        <w:rPr>
          <w:i/>
          <w:iCs/>
        </w:rPr>
        <w:t>Framework Convention on Tobacco Control</w:t>
      </w:r>
      <w:r>
        <w:t>. Geneva: World Health Organization.</w:t>
      </w:r>
    </w:p>
    <w:p w:rsidR="001D1FD6" w:rsidRDefault="0012332F">
      <w:r>
        <w:t xml:space="preserve">World Health Organization (2019) </w:t>
      </w:r>
      <w:r>
        <w:rPr>
          <w:i/>
          <w:iCs/>
        </w:rPr>
        <w:t>WHO report on the global tobacco epidemic, 2019: offer help to quit tobacco use</w:t>
      </w:r>
      <w:r>
        <w:t>. Geneva: World Health Organization.</w:t>
      </w:r>
    </w:p>
    <w:p w:rsidR="001D1FD6" w:rsidRDefault="0012332F">
      <w:r>
        <w:t xml:space="preserve">World Health Organization (2021) </w:t>
      </w:r>
      <w:r>
        <w:rPr>
          <w:i/>
          <w:iCs/>
        </w:rPr>
        <w:t>WHO report on the global tobacco epidemic 2021: addressing new and emerging products</w:t>
      </w:r>
      <w:r>
        <w:t>. Geneva: World Health Organization.</w:t>
      </w:r>
    </w:p>
    <w:p w:rsidR="001D1FD6" w:rsidRDefault="0012332F">
      <w:r>
        <w:t xml:space="preserve">World Health Organization (2024a) </w:t>
      </w:r>
      <w:r>
        <w:rPr>
          <w:i/>
          <w:iCs/>
        </w:rPr>
        <w:t>WHO global report on trends in prevalence of tobacco use 2000–2030</w:t>
      </w:r>
      <w:r>
        <w:t>. Geneva: World Health Organization.</w:t>
      </w:r>
    </w:p>
    <w:p w:rsidR="001D1FD6" w:rsidRDefault="0012332F">
      <w:r>
        <w:t xml:space="preserve">World Health Organization (2024b) </w:t>
      </w:r>
      <w:r>
        <w:rPr>
          <w:i/>
          <w:iCs/>
        </w:rPr>
        <w:t>WHO clinical treatment guideline for tobacco cessation in adults</w:t>
      </w:r>
      <w:r>
        <w:t>. Geneva: World Health Organization.</w:t>
      </w:r>
    </w:p>
    <w:p w:rsidR="001D1FD6" w:rsidRDefault="0012332F">
      <w:r>
        <w:t xml:space="preserve">World Health Organization (2026) </w:t>
      </w:r>
      <w:r>
        <w:rPr>
          <w:i/>
          <w:iCs/>
        </w:rPr>
        <w:t>Tobacco and nicotine</w:t>
      </w:r>
      <w:r>
        <w:t xml:space="preserve">. Available at: </w:t>
      </w:r>
      <w:hyperlink r:id="rId116">
        <w:r w:rsidR="001D1FD6">
          <w:rPr>
            <w:rStyle w:val="Hyperlink"/>
          </w:rPr>
          <w:t>https://www.who.int/news-room/fact-sheets/detail/tobacco</w:t>
        </w:r>
      </w:hyperlink>
      <w:r>
        <w:t xml:space="preserve"> (Accessed: 22 August 2026).</w:t>
      </w:r>
    </w:p>
    <w:p w:rsidR="001D1FD6" w:rsidRDefault="001D1FD6"/>
    <w:p w:rsidR="001D1FD6" w:rsidRDefault="001D1FD6">
      <w:pPr>
        <w:spacing w:after="60" w:line="276" w:lineRule="auto"/>
        <w:ind w:left="432" w:hanging="432"/>
      </w:pPr>
    </w:p>
    <w:p w:rsidR="001D1FD6" w:rsidRDefault="001D1FD6">
      <w:pPr>
        <w:sectPr w:rsidR="001D1FD6">
          <w:footerReference w:type="even" r:id="rId117"/>
          <w:footerReference w:type="default" r:id="rId118"/>
          <w:footerReference w:type="first" r:id="rId119"/>
          <w:pgSz w:w="11906" w:h="16838"/>
          <w:pgMar w:top="1440" w:right="1440" w:bottom="1440" w:left="1440" w:header="0" w:footer="720" w:gutter="0"/>
          <w:pgNumType w:start="1"/>
          <w:cols w:space="720"/>
          <w:formProt w:val="0"/>
          <w:docGrid w:linePitch="360"/>
        </w:sectPr>
      </w:pPr>
    </w:p>
    <w:p w:rsidR="001D1FD6" w:rsidRDefault="001D1FD6">
      <w:pPr>
        <w:sectPr w:rsidR="001D1FD6">
          <w:type w:val="continuous"/>
          <w:pgSz w:w="11906" w:h="16838"/>
          <w:pgMar w:top="1440" w:right="1440" w:bottom="1440" w:left="1440" w:header="0" w:footer="720" w:gutter="0"/>
          <w:cols w:space="720"/>
          <w:formProt w:val="0"/>
          <w:docGrid w:linePitch="360"/>
        </w:sectPr>
      </w:pPr>
    </w:p>
    <w:p w:rsidR="001D1FD6" w:rsidRDefault="0012332F">
      <w:pPr>
        <w:pStyle w:val="Heading1"/>
        <w:numPr>
          <w:ilvl w:val="0"/>
          <w:numId w:val="0"/>
        </w:numPr>
        <w:jc w:val="both"/>
      </w:pPr>
      <w:bookmarkStart w:id="367" w:name="_Toc238262563"/>
      <w:bookmarkStart w:id="368" w:name="_Toc238559726"/>
      <w:bookmarkStart w:id="369" w:name="_Toc238725460"/>
      <w:bookmarkStart w:id="370" w:name="_Toc238725578"/>
      <w:r>
        <w:lastRenderedPageBreak/>
        <w:t>Appendices</w:t>
      </w:r>
      <w:bookmarkEnd w:id="367"/>
      <w:bookmarkEnd w:id="368"/>
      <w:bookmarkEnd w:id="369"/>
      <w:bookmarkEnd w:id="370"/>
    </w:p>
    <w:p w:rsidR="001D1FD6" w:rsidRDefault="0012332F">
      <w:pPr>
        <w:pStyle w:val="Heading2"/>
        <w:numPr>
          <w:ilvl w:val="0"/>
          <w:numId w:val="0"/>
        </w:numPr>
      </w:pPr>
      <w:bookmarkStart w:id="371" w:name="_Toc238559727"/>
      <w:bookmarkStart w:id="372" w:name="_Toc238262564"/>
      <w:bookmarkStart w:id="373" w:name="_Toc238725461"/>
      <w:bookmarkStart w:id="374" w:name="_Toc238725579"/>
      <w:r>
        <w:t>Appendix 4A: Data Extraction Table for Included Primary Studies</w:t>
      </w:r>
      <w:bookmarkEnd w:id="371"/>
      <w:bookmarkEnd w:id="372"/>
      <w:bookmarkEnd w:id="373"/>
      <w:bookmarkEnd w:id="374"/>
    </w:p>
    <w:p w:rsidR="001D1FD6" w:rsidRDefault="0012332F">
      <w:r>
        <w:t>Structured extraction of the ten included primary studies.</w:t>
      </w:r>
    </w:p>
    <w:tbl>
      <w:tblPr>
        <w:tblStyle w:val="TableGrid"/>
        <w:tblW w:w="13956" w:type="dxa"/>
        <w:jc w:val="center"/>
        <w:tblLayout w:type="fixed"/>
        <w:tblLook w:val="04A0"/>
      </w:tblPr>
      <w:tblGrid>
        <w:gridCol w:w="1276"/>
        <w:gridCol w:w="2106"/>
        <w:gridCol w:w="1785"/>
        <w:gridCol w:w="2350"/>
        <w:gridCol w:w="1689"/>
        <w:gridCol w:w="2653"/>
        <w:gridCol w:w="2097"/>
      </w:tblGrid>
      <w:tr w:rsidR="001D1FD6">
        <w:trPr>
          <w:cantSplit/>
          <w:trHeight w:val="159"/>
          <w:tblHeader/>
          <w:jc w:val="center"/>
        </w:trPr>
        <w:tc>
          <w:tcPr>
            <w:tcW w:w="1275" w:type="dxa"/>
            <w:shd w:val="clear" w:color="auto" w:fill="D9E1F2"/>
          </w:tcPr>
          <w:p w:rsidR="001D1FD6" w:rsidRDefault="0012332F">
            <w:pPr>
              <w:spacing w:after="40"/>
              <w:jc w:val="center"/>
              <w:rPr>
                <w:rFonts w:cs="Times New Roman"/>
                <w:b/>
                <w:bCs/>
                <w:szCs w:val="24"/>
              </w:rPr>
            </w:pPr>
            <w:r>
              <w:rPr>
                <w:rFonts w:cs="Times New Roman"/>
                <w:b/>
                <w:bCs/>
                <w:szCs w:val="24"/>
              </w:rPr>
              <w:t>Study</w:t>
            </w:r>
          </w:p>
        </w:tc>
        <w:tc>
          <w:tcPr>
            <w:tcW w:w="2106" w:type="dxa"/>
            <w:shd w:val="clear" w:color="auto" w:fill="D9E1F2"/>
          </w:tcPr>
          <w:p w:rsidR="001D1FD6" w:rsidRDefault="0012332F">
            <w:pPr>
              <w:spacing w:after="40"/>
              <w:jc w:val="center"/>
              <w:rPr>
                <w:rFonts w:cs="Times New Roman"/>
                <w:b/>
                <w:bCs/>
                <w:szCs w:val="24"/>
              </w:rPr>
            </w:pPr>
            <w:r>
              <w:rPr>
                <w:rFonts w:cs="Times New Roman"/>
                <w:b/>
                <w:bCs/>
                <w:szCs w:val="24"/>
              </w:rPr>
              <w:t>Location and sample</w:t>
            </w:r>
          </w:p>
        </w:tc>
        <w:tc>
          <w:tcPr>
            <w:tcW w:w="1785" w:type="dxa"/>
            <w:shd w:val="clear" w:color="auto" w:fill="D9E1F2"/>
          </w:tcPr>
          <w:p w:rsidR="001D1FD6" w:rsidRDefault="0012332F">
            <w:pPr>
              <w:spacing w:after="40"/>
              <w:jc w:val="center"/>
              <w:rPr>
                <w:rFonts w:cs="Times New Roman"/>
                <w:b/>
                <w:bCs/>
                <w:szCs w:val="24"/>
              </w:rPr>
            </w:pPr>
            <w:r>
              <w:rPr>
                <w:rFonts w:cs="Times New Roman"/>
                <w:b/>
                <w:bCs/>
                <w:szCs w:val="24"/>
              </w:rPr>
              <w:t>Design</w:t>
            </w:r>
          </w:p>
        </w:tc>
        <w:tc>
          <w:tcPr>
            <w:tcW w:w="2350" w:type="dxa"/>
            <w:shd w:val="clear" w:color="auto" w:fill="D9E1F2"/>
          </w:tcPr>
          <w:p w:rsidR="001D1FD6" w:rsidRDefault="0012332F">
            <w:pPr>
              <w:spacing w:after="40"/>
              <w:jc w:val="center"/>
              <w:rPr>
                <w:rFonts w:cs="Times New Roman"/>
                <w:b/>
                <w:bCs/>
                <w:szCs w:val="24"/>
              </w:rPr>
            </w:pPr>
            <w:r>
              <w:rPr>
                <w:rFonts w:cs="Times New Roman"/>
                <w:b/>
                <w:bCs/>
                <w:szCs w:val="24"/>
              </w:rPr>
              <w:t>Support/engagement focus</w:t>
            </w:r>
          </w:p>
        </w:tc>
        <w:tc>
          <w:tcPr>
            <w:tcW w:w="1689" w:type="dxa"/>
            <w:shd w:val="clear" w:color="auto" w:fill="D9E1F2"/>
          </w:tcPr>
          <w:p w:rsidR="001D1FD6" w:rsidRDefault="0012332F">
            <w:pPr>
              <w:spacing w:after="40"/>
              <w:jc w:val="center"/>
              <w:rPr>
                <w:rFonts w:cs="Times New Roman"/>
                <w:b/>
                <w:bCs/>
                <w:szCs w:val="24"/>
              </w:rPr>
            </w:pPr>
            <w:r>
              <w:rPr>
                <w:rFonts w:cs="Times New Roman"/>
                <w:b/>
                <w:bCs/>
                <w:szCs w:val="24"/>
              </w:rPr>
              <w:t>Outcome or measure</w:t>
            </w:r>
          </w:p>
        </w:tc>
        <w:tc>
          <w:tcPr>
            <w:tcW w:w="2653" w:type="dxa"/>
            <w:shd w:val="clear" w:color="auto" w:fill="D9E1F2"/>
          </w:tcPr>
          <w:p w:rsidR="001D1FD6" w:rsidRDefault="0012332F">
            <w:pPr>
              <w:spacing w:after="40"/>
              <w:jc w:val="center"/>
              <w:rPr>
                <w:rFonts w:cs="Times New Roman"/>
                <w:b/>
                <w:bCs/>
                <w:szCs w:val="24"/>
              </w:rPr>
            </w:pPr>
            <w:r>
              <w:rPr>
                <w:rFonts w:cs="Times New Roman"/>
                <w:b/>
                <w:bCs/>
                <w:szCs w:val="24"/>
              </w:rPr>
              <w:t>Key finding</w:t>
            </w:r>
          </w:p>
        </w:tc>
        <w:tc>
          <w:tcPr>
            <w:tcW w:w="2097" w:type="dxa"/>
            <w:shd w:val="clear" w:color="auto" w:fill="D9E1F2"/>
          </w:tcPr>
          <w:p w:rsidR="001D1FD6" w:rsidRDefault="0012332F">
            <w:pPr>
              <w:spacing w:after="40"/>
              <w:jc w:val="center"/>
              <w:rPr>
                <w:rFonts w:cs="Times New Roman"/>
                <w:b/>
                <w:bCs/>
                <w:szCs w:val="24"/>
              </w:rPr>
            </w:pPr>
            <w:r>
              <w:rPr>
                <w:rFonts w:cs="Times New Roman"/>
                <w:b/>
                <w:bCs/>
                <w:szCs w:val="24"/>
              </w:rPr>
              <w:t>Main limitation</w:t>
            </w:r>
          </w:p>
        </w:tc>
      </w:tr>
      <w:tr w:rsidR="001D1FD6">
        <w:trPr>
          <w:cantSplit/>
          <w:trHeight w:val="516"/>
          <w:jc w:val="center"/>
        </w:trPr>
        <w:tc>
          <w:tcPr>
            <w:tcW w:w="1275" w:type="dxa"/>
          </w:tcPr>
          <w:p w:rsidR="001D1FD6" w:rsidRDefault="0012332F">
            <w:pPr>
              <w:spacing w:after="40"/>
              <w:rPr>
                <w:rFonts w:cs="Times New Roman"/>
                <w:szCs w:val="24"/>
              </w:rPr>
            </w:pPr>
            <w:r>
              <w:rPr>
                <w:rFonts w:cs="Times New Roman"/>
                <w:szCs w:val="24"/>
              </w:rPr>
              <w:t>Edwards et al. (2007)</w:t>
            </w:r>
          </w:p>
        </w:tc>
        <w:tc>
          <w:tcPr>
            <w:tcW w:w="2106" w:type="dxa"/>
          </w:tcPr>
          <w:p w:rsidR="001D1FD6" w:rsidRDefault="0012332F">
            <w:pPr>
              <w:spacing w:after="40"/>
              <w:rPr>
                <w:rFonts w:cs="Times New Roman"/>
                <w:szCs w:val="24"/>
              </w:rPr>
            </w:pPr>
            <w:r>
              <w:rPr>
                <w:rFonts w:cs="Times New Roman"/>
                <w:szCs w:val="24"/>
              </w:rPr>
              <w:t>South Derbyshire; adults aged 25-44 and 65-74; disadvantaged areas oversampled</w:t>
            </w:r>
          </w:p>
        </w:tc>
        <w:tc>
          <w:tcPr>
            <w:tcW w:w="1785" w:type="dxa"/>
          </w:tcPr>
          <w:p w:rsidR="001D1FD6" w:rsidRDefault="0012332F">
            <w:pPr>
              <w:spacing w:after="40"/>
              <w:rPr>
                <w:rFonts w:cs="Times New Roman"/>
                <w:szCs w:val="24"/>
              </w:rPr>
            </w:pPr>
            <w:r>
              <w:rPr>
                <w:rFonts w:cs="Times New Roman"/>
                <w:szCs w:val="24"/>
              </w:rPr>
              <w:t>Cross-sectional stratified postal survey</w:t>
            </w:r>
          </w:p>
        </w:tc>
        <w:tc>
          <w:tcPr>
            <w:tcW w:w="2350" w:type="dxa"/>
          </w:tcPr>
          <w:p w:rsidR="001D1FD6" w:rsidRDefault="0012332F">
            <w:pPr>
              <w:spacing w:after="40"/>
              <w:rPr>
                <w:rFonts w:cs="Times New Roman"/>
                <w:szCs w:val="24"/>
              </w:rPr>
            </w:pPr>
            <w:r>
              <w:rPr>
                <w:rFonts w:cs="Times New Roman"/>
                <w:szCs w:val="24"/>
              </w:rPr>
              <w:t>Awareness and use of NHS cessation services; advice from health professionals</w:t>
            </w:r>
          </w:p>
        </w:tc>
        <w:tc>
          <w:tcPr>
            <w:tcW w:w="1689" w:type="dxa"/>
          </w:tcPr>
          <w:p w:rsidR="001D1FD6" w:rsidRDefault="0012332F">
            <w:pPr>
              <w:spacing w:after="40"/>
              <w:rPr>
                <w:rFonts w:cs="Times New Roman"/>
                <w:szCs w:val="24"/>
              </w:rPr>
            </w:pPr>
            <w:r>
              <w:rPr>
                <w:rFonts w:cs="Times New Roman"/>
                <w:szCs w:val="24"/>
              </w:rPr>
              <w:t>Awareness, service use, recent quitting</w:t>
            </w:r>
          </w:p>
        </w:tc>
        <w:tc>
          <w:tcPr>
            <w:tcW w:w="2653" w:type="dxa"/>
          </w:tcPr>
          <w:p w:rsidR="001D1FD6" w:rsidRDefault="0012332F">
            <w:pPr>
              <w:spacing w:after="40"/>
              <w:rPr>
                <w:rFonts w:cs="Times New Roman"/>
                <w:szCs w:val="24"/>
              </w:rPr>
            </w:pPr>
            <w:r>
              <w:rPr>
                <w:rFonts w:cs="Times New Roman"/>
                <w:szCs w:val="24"/>
              </w:rPr>
              <w:t>Awareness about 30% and use about 5%; lower SES groups often accessed services more but had lower quit rates</w:t>
            </w:r>
          </w:p>
        </w:tc>
        <w:tc>
          <w:tcPr>
            <w:tcW w:w="2097" w:type="dxa"/>
          </w:tcPr>
          <w:p w:rsidR="001D1FD6" w:rsidRDefault="0012332F">
            <w:pPr>
              <w:spacing w:after="40"/>
              <w:rPr>
                <w:rFonts w:cs="Times New Roman"/>
                <w:szCs w:val="24"/>
              </w:rPr>
            </w:pPr>
            <w:r>
              <w:rPr>
                <w:rFonts w:cs="Times New Roman"/>
                <w:szCs w:val="24"/>
              </w:rPr>
              <w:t>Low response among younger men; some age groups excluded; SES measure not standardised</w:t>
            </w:r>
          </w:p>
        </w:tc>
      </w:tr>
      <w:tr w:rsidR="001D1FD6">
        <w:trPr>
          <w:cantSplit/>
          <w:trHeight w:val="516"/>
          <w:jc w:val="center"/>
        </w:trPr>
        <w:tc>
          <w:tcPr>
            <w:tcW w:w="1275" w:type="dxa"/>
          </w:tcPr>
          <w:p w:rsidR="001D1FD6" w:rsidRDefault="0012332F">
            <w:pPr>
              <w:spacing w:after="40"/>
              <w:rPr>
                <w:rFonts w:cs="Times New Roman"/>
                <w:szCs w:val="24"/>
              </w:rPr>
            </w:pPr>
            <w:r>
              <w:rPr>
                <w:rFonts w:cs="Times New Roman"/>
                <w:szCs w:val="24"/>
              </w:rPr>
              <w:t>Kotz et al. (2009)</w:t>
            </w:r>
          </w:p>
        </w:tc>
        <w:tc>
          <w:tcPr>
            <w:tcW w:w="2106" w:type="dxa"/>
          </w:tcPr>
          <w:p w:rsidR="001D1FD6" w:rsidRDefault="0012332F">
            <w:pPr>
              <w:spacing w:after="40"/>
              <w:rPr>
                <w:rFonts w:cs="Times New Roman"/>
                <w:szCs w:val="24"/>
              </w:rPr>
            </w:pPr>
            <w:r>
              <w:rPr>
                <w:rFonts w:cs="Times New Roman"/>
                <w:szCs w:val="24"/>
              </w:rPr>
              <w:t>England; 3,767 smokers making a serious quit attempt in previous year</w:t>
            </w:r>
          </w:p>
        </w:tc>
        <w:tc>
          <w:tcPr>
            <w:tcW w:w="1785" w:type="dxa"/>
          </w:tcPr>
          <w:p w:rsidR="001D1FD6" w:rsidRDefault="0012332F">
            <w:pPr>
              <w:spacing w:after="40"/>
              <w:rPr>
                <w:rFonts w:cs="Times New Roman"/>
                <w:szCs w:val="24"/>
              </w:rPr>
            </w:pPr>
            <w:r>
              <w:rPr>
                <w:rFonts w:cs="Times New Roman"/>
                <w:szCs w:val="24"/>
              </w:rPr>
              <w:t>Cross-sectional Smoking Toolkit Study household survey</w:t>
            </w:r>
          </w:p>
        </w:tc>
        <w:tc>
          <w:tcPr>
            <w:tcW w:w="2350" w:type="dxa"/>
          </w:tcPr>
          <w:p w:rsidR="001D1FD6" w:rsidRDefault="0012332F">
            <w:pPr>
              <w:spacing w:after="40"/>
              <w:rPr>
                <w:rFonts w:cs="Times New Roman"/>
                <w:szCs w:val="24"/>
              </w:rPr>
            </w:pPr>
            <w:r>
              <w:rPr>
                <w:rFonts w:cs="Times New Roman"/>
                <w:szCs w:val="24"/>
              </w:rPr>
              <w:t>NRT, bupropion, varenicline, telephone support, NHS SSS</w:t>
            </w:r>
          </w:p>
        </w:tc>
        <w:tc>
          <w:tcPr>
            <w:tcW w:w="1689" w:type="dxa"/>
          </w:tcPr>
          <w:p w:rsidR="001D1FD6" w:rsidRDefault="0012332F">
            <w:pPr>
              <w:spacing w:after="40"/>
              <w:rPr>
                <w:rFonts w:cs="Times New Roman"/>
                <w:szCs w:val="24"/>
              </w:rPr>
            </w:pPr>
            <w:r>
              <w:rPr>
                <w:rFonts w:cs="Times New Roman"/>
                <w:szCs w:val="24"/>
              </w:rPr>
              <w:t>Use of cessation aids during quit attempts</w:t>
            </w:r>
          </w:p>
        </w:tc>
        <w:tc>
          <w:tcPr>
            <w:tcW w:w="2653" w:type="dxa"/>
          </w:tcPr>
          <w:p w:rsidR="001D1FD6" w:rsidRDefault="0012332F">
            <w:pPr>
              <w:spacing w:after="40"/>
              <w:rPr>
                <w:rFonts w:cs="Times New Roman"/>
                <w:szCs w:val="24"/>
              </w:rPr>
            </w:pPr>
            <w:r>
              <w:rPr>
                <w:rFonts w:cs="Times New Roman"/>
                <w:szCs w:val="24"/>
              </w:rPr>
              <w:t>51.2% used any treatment; 6.2% used NHS SSS; use higher with age, female sex, heavier smoking and planned attempts</w:t>
            </w:r>
          </w:p>
        </w:tc>
        <w:tc>
          <w:tcPr>
            <w:tcW w:w="2097" w:type="dxa"/>
          </w:tcPr>
          <w:p w:rsidR="001D1FD6" w:rsidRDefault="0012332F">
            <w:pPr>
              <w:spacing w:after="40"/>
              <w:rPr>
                <w:rFonts w:cs="Times New Roman"/>
                <w:szCs w:val="24"/>
              </w:rPr>
            </w:pPr>
            <w:r>
              <w:rPr>
                <w:rFonts w:cs="Times New Roman"/>
                <w:szCs w:val="24"/>
              </w:rPr>
              <w:t>Cross-sectional self-report; 12-month recall bias possible</w:t>
            </w:r>
          </w:p>
        </w:tc>
      </w:tr>
      <w:tr w:rsidR="001D1FD6">
        <w:trPr>
          <w:cantSplit/>
          <w:trHeight w:val="516"/>
          <w:jc w:val="center"/>
        </w:trPr>
        <w:tc>
          <w:tcPr>
            <w:tcW w:w="1275" w:type="dxa"/>
          </w:tcPr>
          <w:p w:rsidR="001D1FD6" w:rsidRDefault="0012332F">
            <w:pPr>
              <w:spacing w:after="40"/>
              <w:rPr>
                <w:rFonts w:cs="Times New Roman"/>
                <w:szCs w:val="24"/>
              </w:rPr>
            </w:pPr>
            <w:r>
              <w:rPr>
                <w:rFonts w:cs="Times New Roman"/>
                <w:szCs w:val="24"/>
              </w:rPr>
              <w:lastRenderedPageBreak/>
              <w:t>Gibson et al. (2010)</w:t>
            </w:r>
          </w:p>
        </w:tc>
        <w:tc>
          <w:tcPr>
            <w:tcW w:w="2106" w:type="dxa"/>
          </w:tcPr>
          <w:p w:rsidR="001D1FD6" w:rsidRDefault="0012332F">
            <w:pPr>
              <w:spacing w:after="40"/>
              <w:rPr>
                <w:rFonts w:cs="Times New Roman"/>
                <w:szCs w:val="24"/>
              </w:rPr>
            </w:pPr>
            <w:r>
              <w:rPr>
                <w:rFonts w:cs="Times New Roman"/>
                <w:szCs w:val="24"/>
              </w:rPr>
              <w:t>UK group within four-country adult smoker cohort</w:t>
            </w:r>
          </w:p>
        </w:tc>
        <w:tc>
          <w:tcPr>
            <w:tcW w:w="1785" w:type="dxa"/>
          </w:tcPr>
          <w:p w:rsidR="001D1FD6" w:rsidRDefault="0012332F">
            <w:pPr>
              <w:spacing w:after="40"/>
              <w:rPr>
                <w:rFonts w:cs="Times New Roman"/>
                <w:szCs w:val="24"/>
              </w:rPr>
            </w:pPr>
            <w:r>
              <w:rPr>
                <w:rFonts w:cs="Times New Roman"/>
                <w:szCs w:val="24"/>
              </w:rPr>
              <w:t>Prospective International Tobacco Control survey</w:t>
            </w:r>
          </w:p>
        </w:tc>
        <w:tc>
          <w:tcPr>
            <w:tcW w:w="2350" w:type="dxa"/>
          </w:tcPr>
          <w:p w:rsidR="001D1FD6" w:rsidRDefault="0012332F">
            <w:pPr>
              <w:spacing w:after="40"/>
              <w:rPr>
                <w:rFonts w:cs="Times New Roman"/>
                <w:szCs w:val="24"/>
              </w:rPr>
            </w:pPr>
            <w:r>
              <w:rPr>
                <w:rFonts w:cs="Times New Roman"/>
                <w:szCs w:val="24"/>
              </w:rPr>
              <w:t>Pharmacotherapy; clinic, helpline and health-professional support</w:t>
            </w:r>
          </w:p>
        </w:tc>
        <w:tc>
          <w:tcPr>
            <w:tcW w:w="1689" w:type="dxa"/>
          </w:tcPr>
          <w:p w:rsidR="001D1FD6" w:rsidRDefault="0012332F">
            <w:pPr>
              <w:spacing w:after="40"/>
              <w:rPr>
                <w:rFonts w:cs="Times New Roman"/>
                <w:szCs w:val="24"/>
              </w:rPr>
            </w:pPr>
            <w:r>
              <w:rPr>
                <w:rFonts w:cs="Times New Roman"/>
                <w:szCs w:val="24"/>
              </w:rPr>
              <w:t>Support use and 28-day abstinence</w:t>
            </w:r>
          </w:p>
        </w:tc>
        <w:tc>
          <w:tcPr>
            <w:tcW w:w="2653" w:type="dxa"/>
          </w:tcPr>
          <w:p w:rsidR="001D1FD6" w:rsidRDefault="0012332F">
            <w:pPr>
              <w:spacing w:after="40"/>
              <w:rPr>
                <w:rFonts w:cs="Times New Roman"/>
                <w:szCs w:val="24"/>
              </w:rPr>
            </w:pPr>
            <w:r>
              <w:rPr>
                <w:rFonts w:cs="Times New Roman"/>
                <w:szCs w:val="24"/>
              </w:rPr>
              <w:t>UK smokers used more support and had higher 28-day abstinence than comparison countries; combined support showed strongest association</w:t>
            </w:r>
          </w:p>
        </w:tc>
        <w:tc>
          <w:tcPr>
            <w:tcW w:w="2097" w:type="dxa"/>
          </w:tcPr>
          <w:p w:rsidR="001D1FD6" w:rsidRDefault="0012332F">
            <w:pPr>
              <w:spacing w:after="40"/>
              <w:rPr>
                <w:rFonts w:cs="Times New Roman"/>
                <w:szCs w:val="24"/>
              </w:rPr>
            </w:pPr>
            <w:r>
              <w:rPr>
                <w:rFonts w:cs="Times New Roman"/>
                <w:szCs w:val="24"/>
              </w:rPr>
              <w:t>Fixed-line sampling; self-report; attrition; support could not always be linked to a specific quit attempt</w:t>
            </w:r>
          </w:p>
        </w:tc>
      </w:tr>
      <w:tr w:rsidR="001D1FD6">
        <w:trPr>
          <w:cantSplit/>
          <w:trHeight w:val="516"/>
          <w:jc w:val="center"/>
        </w:trPr>
        <w:tc>
          <w:tcPr>
            <w:tcW w:w="1275" w:type="dxa"/>
          </w:tcPr>
          <w:p w:rsidR="001D1FD6" w:rsidRDefault="0012332F">
            <w:pPr>
              <w:spacing w:after="40"/>
              <w:rPr>
                <w:rFonts w:cs="Times New Roman"/>
                <w:szCs w:val="24"/>
              </w:rPr>
            </w:pPr>
            <w:r>
              <w:rPr>
                <w:rFonts w:cs="Times New Roman"/>
                <w:szCs w:val="24"/>
              </w:rPr>
              <w:t>Bauld et al. (2012)</w:t>
            </w:r>
          </w:p>
        </w:tc>
        <w:tc>
          <w:tcPr>
            <w:tcW w:w="2106" w:type="dxa"/>
          </w:tcPr>
          <w:p w:rsidR="001D1FD6" w:rsidRDefault="0012332F">
            <w:pPr>
              <w:spacing w:after="40"/>
              <w:rPr>
                <w:rFonts w:cs="Times New Roman"/>
                <w:szCs w:val="24"/>
              </w:rPr>
            </w:pPr>
            <w:r>
              <w:rPr>
                <w:rFonts w:cs="Times New Roman"/>
                <w:szCs w:val="24"/>
              </w:rPr>
              <w:t>Liverpool and Knowsley; 2,585 clients aged 16+ setting a quit date</w:t>
            </w:r>
          </w:p>
        </w:tc>
        <w:tc>
          <w:tcPr>
            <w:tcW w:w="1785" w:type="dxa"/>
          </w:tcPr>
          <w:p w:rsidR="001D1FD6" w:rsidRDefault="0012332F">
            <w:pPr>
              <w:spacing w:after="40"/>
              <w:rPr>
                <w:rFonts w:cs="Times New Roman"/>
                <w:szCs w:val="24"/>
              </w:rPr>
            </w:pPr>
            <w:r>
              <w:rPr>
                <w:rFonts w:cs="Times New Roman"/>
                <w:szCs w:val="24"/>
              </w:rPr>
              <w:t>Prospective observational service cohort</w:t>
            </w:r>
          </w:p>
        </w:tc>
        <w:tc>
          <w:tcPr>
            <w:tcW w:w="2350" w:type="dxa"/>
          </w:tcPr>
          <w:p w:rsidR="001D1FD6" w:rsidRDefault="0012332F">
            <w:pPr>
              <w:spacing w:after="40"/>
              <w:rPr>
                <w:rFonts w:cs="Times New Roman"/>
                <w:szCs w:val="24"/>
              </w:rPr>
            </w:pPr>
            <w:r>
              <w:rPr>
                <w:rFonts w:cs="Times New Roman"/>
                <w:szCs w:val="24"/>
              </w:rPr>
              <w:t>Fag Ends drop-in rolling-group behavioural support plus medication</w:t>
            </w:r>
          </w:p>
        </w:tc>
        <w:tc>
          <w:tcPr>
            <w:tcW w:w="1689" w:type="dxa"/>
          </w:tcPr>
          <w:p w:rsidR="001D1FD6" w:rsidRDefault="0012332F">
            <w:pPr>
              <w:spacing w:after="40"/>
              <w:rPr>
                <w:rFonts w:cs="Times New Roman"/>
                <w:szCs w:val="24"/>
              </w:rPr>
            </w:pPr>
            <w:r>
              <w:rPr>
                <w:rFonts w:cs="Times New Roman"/>
                <w:szCs w:val="24"/>
              </w:rPr>
              <w:t>Attendance and CO-validated abstinence at 4 and 52 weeks</w:t>
            </w:r>
          </w:p>
        </w:tc>
        <w:tc>
          <w:tcPr>
            <w:tcW w:w="2653" w:type="dxa"/>
          </w:tcPr>
          <w:p w:rsidR="001D1FD6" w:rsidRDefault="0012332F">
            <w:pPr>
              <w:spacing w:after="40"/>
              <w:rPr>
                <w:rFonts w:cs="Times New Roman"/>
                <w:szCs w:val="24"/>
              </w:rPr>
            </w:pPr>
            <w:r>
              <w:rPr>
                <w:rFonts w:cs="Times New Roman"/>
                <w:szCs w:val="24"/>
              </w:rPr>
              <w:t>CO-validated abstinence fell from 30.7% at 4 weeks to 5.6% at 52 weeks; socioeconomic and smoking factors predicted outcome</w:t>
            </w:r>
          </w:p>
        </w:tc>
        <w:tc>
          <w:tcPr>
            <w:tcW w:w="2097" w:type="dxa"/>
          </w:tcPr>
          <w:p w:rsidR="001D1FD6" w:rsidRDefault="0012332F">
            <w:pPr>
              <w:spacing w:after="40"/>
              <w:rPr>
                <w:rFonts w:cs="Times New Roman"/>
                <w:szCs w:val="24"/>
              </w:rPr>
            </w:pPr>
            <w:r>
              <w:rPr>
                <w:rFonts w:cs="Times New Roman"/>
                <w:szCs w:val="24"/>
              </w:rPr>
              <w:t>Observational design; single service; only around two-thirds of long-term outcomes CO validated</w:t>
            </w:r>
          </w:p>
        </w:tc>
      </w:tr>
      <w:tr w:rsidR="001D1FD6">
        <w:trPr>
          <w:cantSplit/>
          <w:trHeight w:val="516"/>
          <w:jc w:val="center"/>
        </w:trPr>
        <w:tc>
          <w:tcPr>
            <w:tcW w:w="1275" w:type="dxa"/>
          </w:tcPr>
          <w:p w:rsidR="001D1FD6" w:rsidRDefault="0012332F">
            <w:pPr>
              <w:spacing w:after="40"/>
              <w:rPr>
                <w:rFonts w:cs="Times New Roman"/>
                <w:szCs w:val="24"/>
              </w:rPr>
            </w:pPr>
            <w:r>
              <w:rPr>
                <w:rFonts w:cs="Times New Roman"/>
                <w:szCs w:val="24"/>
              </w:rPr>
              <w:t>Bauld et al. (2016)</w:t>
            </w:r>
          </w:p>
        </w:tc>
        <w:tc>
          <w:tcPr>
            <w:tcW w:w="2106" w:type="dxa"/>
          </w:tcPr>
          <w:p w:rsidR="001D1FD6" w:rsidRDefault="0012332F">
            <w:pPr>
              <w:spacing w:after="40"/>
              <w:rPr>
                <w:rFonts w:cs="Times New Roman"/>
                <w:szCs w:val="24"/>
              </w:rPr>
            </w:pPr>
            <w:r>
              <w:rPr>
                <w:rFonts w:cs="Times New Roman"/>
                <w:szCs w:val="24"/>
              </w:rPr>
              <w:t>Nine areas of England; 3,057 stop smoking service clients</w:t>
            </w:r>
          </w:p>
        </w:tc>
        <w:tc>
          <w:tcPr>
            <w:tcW w:w="1785" w:type="dxa"/>
          </w:tcPr>
          <w:p w:rsidR="001D1FD6" w:rsidRDefault="0012332F">
            <w:pPr>
              <w:spacing w:after="40"/>
              <w:rPr>
                <w:rFonts w:cs="Times New Roman"/>
                <w:szCs w:val="24"/>
              </w:rPr>
            </w:pPr>
            <w:r>
              <w:rPr>
                <w:rFonts w:cs="Times New Roman"/>
                <w:szCs w:val="24"/>
              </w:rPr>
              <w:t>Prospective cohort with 52-week follow-up</w:t>
            </w:r>
          </w:p>
        </w:tc>
        <w:tc>
          <w:tcPr>
            <w:tcW w:w="2350" w:type="dxa"/>
          </w:tcPr>
          <w:p w:rsidR="001D1FD6" w:rsidRDefault="0012332F">
            <w:pPr>
              <w:spacing w:after="40"/>
              <w:rPr>
                <w:rFonts w:cs="Times New Roman"/>
                <w:szCs w:val="24"/>
              </w:rPr>
            </w:pPr>
            <w:r>
              <w:rPr>
                <w:rFonts w:cs="Times New Roman"/>
                <w:szCs w:val="24"/>
              </w:rPr>
              <w:t>Specialist/generalist advisers; group/one-to-one support; medication</w:t>
            </w:r>
          </w:p>
        </w:tc>
        <w:tc>
          <w:tcPr>
            <w:tcW w:w="1689" w:type="dxa"/>
          </w:tcPr>
          <w:p w:rsidR="001D1FD6" w:rsidRDefault="0012332F">
            <w:pPr>
              <w:spacing w:after="40"/>
              <w:rPr>
                <w:rFonts w:cs="Times New Roman"/>
                <w:szCs w:val="24"/>
              </w:rPr>
            </w:pPr>
            <w:r>
              <w:rPr>
                <w:rFonts w:cs="Times New Roman"/>
                <w:szCs w:val="24"/>
              </w:rPr>
              <w:t>CO-validated 52-week abstinence</w:t>
            </w:r>
          </w:p>
        </w:tc>
        <w:tc>
          <w:tcPr>
            <w:tcW w:w="2653" w:type="dxa"/>
          </w:tcPr>
          <w:p w:rsidR="001D1FD6" w:rsidRDefault="0012332F">
            <w:pPr>
              <w:spacing w:after="40"/>
              <w:rPr>
                <w:rFonts w:cs="Times New Roman"/>
                <w:szCs w:val="24"/>
              </w:rPr>
            </w:pPr>
            <w:r>
              <w:rPr>
                <w:rFonts w:cs="Times New Roman"/>
                <w:szCs w:val="24"/>
              </w:rPr>
              <w:t>Weighted 52-week validated quit rate 7.7%; specialist and group support associated with higher odds of abstinence</w:t>
            </w:r>
          </w:p>
        </w:tc>
        <w:tc>
          <w:tcPr>
            <w:tcW w:w="2097" w:type="dxa"/>
          </w:tcPr>
          <w:p w:rsidR="001D1FD6" w:rsidRDefault="0012332F">
            <w:pPr>
              <w:spacing w:after="40"/>
              <w:rPr>
                <w:rFonts w:cs="Times New Roman"/>
                <w:szCs w:val="24"/>
              </w:rPr>
            </w:pPr>
            <w:r>
              <w:rPr>
                <w:rFonts w:cs="Times New Roman"/>
                <w:szCs w:val="24"/>
              </w:rPr>
              <w:t>Observational confounding; lower-than-anticipated recruitment; NRT could not be fully modelled</w:t>
            </w:r>
          </w:p>
        </w:tc>
      </w:tr>
      <w:tr w:rsidR="001D1FD6">
        <w:trPr>
          <w:cantSplit/>
          <w:trHeight w:val="516"/>
          <w:jc w:val="center"/>
        </w:trPr>
        <w:tc>
          <w:tcPr>
            <w:tcW w:w="1275" w:type="dxa"/>
          </w:tcPr>
          <w:p w:rsidR="001D1FD6" w:rsidRDefault="0012332F">
            <w:pPr>
              <w:spacing w:after="40"/>
              <w:rPr>
                <w:rFonts w:cs="Times New Roman"/>
                <w:szCs w:val="24"/>
              </w:rPr>
            </w:pPr>
            <w:r>
              <w:rPr>
                <w:rFonts w:cs="Times New Roman"/>
                <w:szCs w:val="24"/>
              </w:rPr>
              <w:lastRenderedPageBreak/>
              <w:t>Kale et al. (2019)</w:t>
            </w:r>
          </w:p>
        </w:tc>
        <w:tc>
          <w:tcPr>
            <w:tcW w:w="2106" w:type="dxa"/>
          </w:tcPr>
          <w:p w:rsidR="001D1FD6" w:rsidRDefault="0012332F">
            <w:pPr>
              <w:spacing w:after="40"/>
              <w:rPr>
                <w:rFonts w:cs="Times New Roman"/>
                <w:szCs w:val="24"/>
              </w:rPr>
            </w:pPr>
            <w:r>
              <w:rPr>
                <w:rFonts w:cs="Times New Roman"/>
                <w:szCs w:val="24"/>
              </w:rPr>
              <w:t>England; 672 smokers who had not attended SSS following Start2quit follow-up</w:t>
            </w:r>
          </w:p>
        </w:tc>
        <w:tc>
          <w:tcPr>
            <w:tcW w:w="1785" w:type="dxa"/>
          </w:tcPr>
          <w:p w:rsidR="001D1FD6" w:rsidRDefault="0012332F">
            <w:pPr>
              <w:spacing w:after="40"/>
              <w:rPr>
                <w:rFonts w:cs="Times New Roman"/>
                <w:szCs w:val="24"/>
              </w:rPr>
            </w:pPr>
            <w:r>
              <w:rPr>
                <w:rFonts w:cs="Times New Roman"/>
                <w:szCs w:val="24"/>
              </w:rPr>
              <w:t>Questionnaire study; PCA and regression</w:t>
            </w:r>
          </w:p>
        </w:tc>
        <w:tc>
          <w:tcPr>
            <w:tcW w:w="2350" w:type="dxa"/>
          </w:tcPr>
          <w:p w:rsidR="001D1FD6" w:rsidRDefault="0012332F">
            <w:pPr>
              <w:spacing w:after="40"/>
              <w:rPr>
                <w:rFonts w:cs="Times New Roman"/>
                <w:szCs w:val="24"/>
              </w:rPr>
            </w:pPr>
            <w:r>
              <w:rPr>
                <w:rFonts w:cs="Times New Roman"/>
                <w:szCs w:val="24"/>
              </w:rPr>
              <w:t>Perceived barriers to English SSS attendance</w:t>
            </w:r>
          </w:p>
        </w:tc>
        <w:tc>
          <w:tcPr>
            <w:tcW w:w="1689" w:type="dxa"/>
          </w:tcPr>
          <w:p w:rsidR="001D1FD6" w:rsidRDefault="0012332F">
            <w:pPr>
              <w:spacing w:after="40"/>
              <w:rPr>
                <w:rFonts w:cs="Times New Roman"/>
                <w:szCs w:val="24"/>
              </w:rPr>
            </w:pPr>
            <w:r>
              <w:rPr>
                <w:rFonts w:cs="Times New Roman"/>
                <w:szCs w:val="24"/>
              </w:rPr>
              <w:t>Non-attendance and barrier factors</w:t>
            </w:r>
          </w:p>
        </w:tc>
        <w:tc>
          <w:tcPr>
            <w:tcW w:w="2653" w:type="dxa"/>
          </w:tcPr>
          <w:p w:rsidR="001D1FD6" w:rsidRDefault="0012332F">
            <w:pPr>
              <w:spacing w:after="40"/>
              <w:rPr>
                <w:rFonts w:cs="Times New Roman"/>
                <w:szCs w:val="24"/>
              </w:rPr>
            </w:pPr>
            <w:r>
              <w:rPr>
                <w:rFonts w:cs="Times New Roman"/>
                <w:szCs w:val="24"/>
              </w:rPr>
              <w:t>Seven barrier factors included work/time, quitting alone, low confidence, privacy, social support and information/availability</w:t>
            </w:r>
          </w:p>
        </w:tc>
        <w:tc>
          <w:tcPr>
            <w:tcW w:w="2097" w:type="dxa"/>
          </w:tcPr>
          <w:p w:rsidR="001D1FD6" w:rsidRDefault="0012332F">
            <w:pPr>
              <w:spacing w:after="40"/>
              <w:rPr>
                <w:rFonts w:cs="Times New Roman"/>
                <w:szCs w:val="24"/>
              </w:rPr>
            </w:pPr>
            <w:r>
              <w:rPr>
                <w:rFonts w:cs="Times New Roman"/>
                <w:szCs w:val="24"/>
              </w:rPr>
              <w:t>Selected trial population; 47.5% mailed-questionnaire response; self-reported barriers</w:t>
            </w:r>
          </w:p>
        </w:tc>
      </w:tr>
      <w:tr w:rsidR="001D1FD6">
        <w:trPr>
          <w:cantSplit/>
          <w:trHeight w:val="501"/>
          <w:jc w:val="center"/>
        </w:trPr>
        <w:tc>
          <w:tcPr>
            <w:tcW w:w="1275" w:type="dxa"/>
          </w:tcPr>
          <w:p w:rsidR="001D1FD6" w:rsidRDefault="0012332F">
            <w:pPr>
              <w:spacing w:after="40"/>
              <w:rPr>
                <w:rFonts w:cs="Times New Roman"/>
                <w:szCs w:val="24"/>
              </w:rPr>
            </w:pPr>
            <w:r>
              <w:rPr>
                <w:rFonts w:cs="Times New Roman"/>
                <w:szCs w:val="24"/>
              </w:rPr>
              <w:t>Robinson et al. (2019)</w:t>
            </w:r>
          </w:p>
        </w:tc>
        <w:tc>
          <w:tcPr>
            <w:tcW w:w="2106" w:type="dxa"/>
          </w:tcPr>
          <w:p w:rsidR="001D1FD6" w:rsidRDefault="0012332F">
            <w:pPr>
              <w:spacing w:after="40"/>
              <w:rPr>
                <w:rFonts w:cs="Times New Roman"/>
                <w:szCs w:val="24"/>
              </w:rPr>
            </w:pPr>
            <w:r>
              <w:rPr>
                <w:rFonts w:cs="Times New Roman"/>
                <w:szCs w:val="24"/>
              </w:rPr>
              <w:t>London; 18 service users and 9 practitioners</w:t>
            </w:r>
          </w:p>
        </w:tc>
        <w:tc>
          <w:tcPr>
            <w:tcW w:w="1785" w:type="dxa"/>
          </w:tcPr>
          <w:p w:rsidR="001D1FD6" w:rsidRDefault="0012332F">
            <w:pPr>
              <w:spacing w:after="40"/>
              <w:rPr>
                <w:rFonts w:cs="Times New Roman"/>
                <w:szCs w:val="24"/>
              </w:rPr>
            </w:pPr>
            <w:r>
              <w:rPr>
                <w:rFonts w:cs="Times New Roman"/>
                <w:szCs w:val="24"/>
              </w:rPr>
              <w:t>Qualitative interviews and practitioner focus group</w:t>
            </w:r>
          </w:p>
        </w:tc>
        <w:tc>
          <w:tcPr>
            <w:tcW w:w="2350" w:type="dxa"/>
          </w:tcPr>
          <w:p w:rsidR="001D1FD6" w:rsidRDefault="0012332F">
            <w:pPr>
              <w:spacing w:after="40"/>
              <w:rPr>
                <w:rFonts w:cs="Times New Roman"/>
                <w:szCs w:val="24"/>
              </w:rPr>
            </w:pPr>
            <w:r>
              <w:rPr>
                <w:rFonts w:cs="Times New Roman"/>
                <w:szCs w:val="24"/>
              </w:rPr>
              <w:t>Cut-Down-To-Stop tailored support, medication and continued contact</w:t>
            </w:r>
          </w:p>
        </w:tc>
        <w:tc>
          <w:tcPr>
            <w:tcW w:w="1689" w:type="dxa"/>
          </w:tcPr>
          <w:p w:rsidR="001D1FD6" w:rsidRDefault="0012332F">
            <w:pPr>
              <w:spacing w:after="40"/>
              <w:rPr>
                <w:rFonts w:cs="Times New Roman"/>
                <w:szCs w:val="24"/>
              </w:rPr>
            </w:pPr>
            <w:r>
              <w:rPr>
                <w:rFonts w:cs="Times New Roman"/>
                <w:szCs w:val="24"/>
              </w:rPr>
              <w:t>Experience of engagement and re-engagement</w:t>
            </w:r>
          </w:p>
        </w:tc>
        <w:tc>
          <w:tcPr>
            <w:tcW w:w="2653" w:type="dxa"/>
          </w:tcPr>
          <w:p w:rsidR="001D1FD6" w:rsidRDefault="0012332F">
            <w:pPr>
              <w:spacing w:after="40"/>
              <w:rPr>
                <w:rFonts w:cs="Times New Roman"/>
                <w:szCs w:val="24"/>
              </w:rPr>
            </w:pPr>
            <w:r>
              <w:rPr>
                <w:rFonts w:cs="Times New Roman"/>
                <w:szCs w:val="24"/>
              </w:rPr>
              <w:t>Trust, empathy, flexibility, progressive goals, medication experimentation and ongoing contact supported engagement</w:t>
            </w:r>
          </w:p>
        </w:tc>
        <w:tc>
          <w:tcPr>
            <w:tcW w:w="2097" w:type="dxa"/>
          </w:tcPr>
          <w:p w:rsidR="001D1FD6" w:rsidRDefault="0012332F">
            <w:pPr>
              <w:spacing w:after="40"/>
              <w:rPr>
                <w:rFonts w:cs="Times New Roman"/>
                <w:szCs w:val="24"/>
              </w:rPr>
            </w:pPr>
            <w:r>
              <w:rPr>
                <w:rFonts w:cs="Times New Roman"/>
                <w:szCs w:val="24"/>
              </w:rPr>
              <w:t>One service; small qualitative sample; possible positive selection</w:t>
            </w:r>
          </w:p>
        </w:tc>
      </w:tr>
      <w:tr w:rsidR="001D1FD6">
        <w:trPr>
          <w:cantSplit/>
          <w:trHeight w:val="516"/>
          <w:jc w:val="center"/>
        </w:trPr>
        <w:tc>
          <w:tcPr>
            <w:tcW w:w="1275" w:type="dxa"/>
          </w:tcPr>
          <w:p w:rsidR="001D1FD6" w:rsidRDefault="0012332F">
            <w:pPr>
              <w:spacing w:after="40"/>
              <w:rPr>
                <w:rFonts w:cs="Times New Roman"/>
                <w:szCs w:val="24"/>
              </w:rPr>
            </w:pPr>
            <w:r>
              <w:rPr>
                <w:rFonts w:cs="Times New Roman"/>
                <w:szCs w:val="24"/>
              </w:rPr>
              <w:t>Jackson et al. (2021)</w:t>
            </w:r>
          </w:p>
        </w:tc>
        <w:tc>
          <w:tcPr>
            <w:tcW w:w="2106" w:type="dxa"/>
          </w:tcPr>
          <w:p w:rsidR="001D1FD6" w:rsidRDefault="0012332F">
            <w:pPr>
              <w:spacing w:after="40"/>
              <w:rPr>
                <w:rFonts w:cs="Times New Roman"/>
                <w:szCs w:val="24"/>
              </w:rPr>
            </w:pPr>
            <w:r>
              <w:rPr>
                <w:rFonts w:cs="Times New Roman"/>
                <w:szCs w:val="24"/>
              </w:rPr>
              <w:t>London versus rest of England; 55,528 past-year adult smokers</w:t>
            </w:r>
          </w:p>
        </w:tc>
        <w:tc>
          <w:tcPr>
            <w:tcW w:w="1785" w:type="dxa"/>
          </w:tcPr>
          <w:p w:rsidR="001D1FD6" w:rsidRDefault="0012332F">
            <w:pPr>
              <w:spacing w:after="40"/>
              <w:rPr>
                <w:rFonts w:cs="Times New Roman"/>
                <w:szCs w:val="24"/>
              </w:rPr>
            </w:pPr>
            <w:r>
              <w:rPr>
                <w:rFonts w:cs="Times New Roman"/>
                <w:szCs w:val="24"/>
              </w:rPr>
              <w:t>Interrupted time-series analysis of repeated population surveys</w:t>
            </w:r>
          </w:p>
        </w:tc>
        <w:tc>
          <w:tcPr>
            <w:tcW w:w="2350" w:type="dxa"/>
          </w:tcPr>
          <w:p w:rsidR="001D1FD6" w:rsidRDefault="0012332F">
            <w:pPr>
              <w:spacing w:after="40"/>
              <w:rPr>
                <w:rFonts w:cs="Times New Roman"/>
                <w:szCs w:val="24"/>
              </w:rPr>
            </w:pPr>
            <w:r>
              <w:rPr>
                <w:rFonts w:cs="Times New Roman"/>
                <w:szCs w:val="24"/>
              </w:rPr>
              <w:t>Citywide campaign, online portal, helpline and local support</w:t>
            </w:r>
          </w:p>
        </w:tc>
        <w:tc>
          <w:tcPr>
            <w:tcW w:w="1689" w:type="dxa"/>
          </w:tcPr>
          <w:p w:rsidR="001D1FD6" w:rsidRDefault="0012332F">
            <w:pPr>
              <w:spacing w:after="40"/>
              <w:rPr>
                <w:rFonts w:cs="Times New Roman"/>
                <w:szCs w:val="24"/>
              </w:rPr>
            </w:pPr>
            <w:r>
              <w:rPr>
                <w:rFonts w:cs="Times New Roman"/>
                <w:szCs w:val="24"/>
              </w:rPr>
              <w:t>Quit attempts and quit success</w:t>
            </w:r>
          </w:p>
        </w:tc>
        <w:tc>
          <w:tcPr>
            <w:tcW w:w="2653" w:type="dxa"/>
          </w:tcPr>
          <w:p w:rsidR="001D1FD6" w:rsidRDefault="0012332F">
            <w:pPr>
              <w:spacing w:after="40"/>
              <w:rPr>
                <w:rFonts w:cs="Times New Roman"/>
                <w:szCs w:val="24"/>
              </w:rPr>
            </w:pPr>
            <w:r>
              <w:rPr>
                <w:rFonts w:cs="Times New Roman"/>
                <w:szCs w:val="24"/>
              </w:rPr>
              <w:t>Quit attempts increased relative to rest of England; effect on quit success was inconclusive</w:t>
            </w:r>
          </w:p>
        </w:tc>
        <w:tc>
          <w:tcPr>
            <w:tcW w:w="2097" w:type="dxa"/>
          </w:tcPr>
          <w:p w:rsidR="001D1FD6" w:rsidRDefault="0012332F">
            <w:pPr>
              <w:spacing w:after="40"/>
              <w:rPr>
                <w:rFonts w:cs="Times New Roman"/>
                <w:szCs w:val="24"/>
              </w:rPr>
            </w:pPr>
            <w:r>
              <w:rPr>
                <w:rFonts w:cs="Times New Roman"/>
                <w:szCs w:val="24"/>
              </w:rPr>
              <w:t>Self-report; London residence imperfect measure of exposure; unable to formally assess change in support use</w:t>
            </w:r>
          </w:p>
        </w:tc>
      </w:tr>
      <w:tr w:rsidR="001D1FD6">
        <w:trPr>
          <w:cantSplit/>
          <w:trHeight w:val="516"/>
          <w:jc w:val="center"/>
        </w:trPr>
        <w:tc>
          <w:tcPr>
            <w:tcW w:w="1275" w:type="dxa"/>
          </w:tcPr>
          <w:p w:rsidR="001D1FD6" w:rsidRDefault="0012332F">
            <w:pPr>
              <w:spacing w:after="40"/>
              <w:rPr>
                <w:rFonts w:cs="Times New Roman"/>
                <w:szCs w:val="24"/>
              </w:rPr>
            </w:pPr>
            <w:r>
              <w:rPr>
                <w:rFonts w:cs="Times New Roman"/>
                <w:szCs w:val="24"/>
              </w:rPr>
              <w:lastRenderedPageBreak/>
              <w:t>Pope et al. (2025)</w:t>
            </w:r>
          </w:p>
        </w:tc>
        <w:tc>
          <w:tcPr>
            <w:tcW w:w="2106" w:type="dxa"/>
          </w:tcPr>
          <w:p w:rsidR="001D1FD6" w:rsidRDefault="0012332F">
            <w:pPr>
              <w:spacing w:after="40"/>
              <w:rPr>
                <w:rFonts w:cs="Times New Roman"/>
                <w:szCs w:val="24"/>
              </w:rPr>
            </w:pPr>
            <w:r>
              <w:rPr>
                <w:rFonts w:cs="Times New Roman"/>
                <w:szCs w:val="24"/>
              </w:rPr>
              <w:t>Multicentre UK emergency departments linked to six SSS; 1,007 trial participants; 33 interviews</w:t>
            </w:r>
          </w:p>
        </w:tc>
        <w:tc>
          <w:tcPr>
            <w:tcW w:w="1785" w:type="dxa"/>
          </w:tcPr>
          <w:p w:rsidR="001D1FD6" w:rsidRDefault="0012332F">
            <w:pPr>
              <w:spacing w:after="40"/>
              <w:rPr>
                <w:rFonts w:cs="Times New Roman"/>
                <w:szCs w:val="24"/>
              </w:rPr>
            </w:pPr>
            <w:r>
              <w:rPr>
                <w:rFonts w:cs="Times New Roman"/>
                <w:szCs w:val="24"/>
              </w:rPr>
              <w:t>Primary study combining service records, participant reports and qualitative interviews</w:t>
            </w:r>
          </w:p>
        </w:tc>
        <w:tc>
          <w:tcPr>
            <w:tcW w:w="2350" w:type="dxa"/>
          </w:tcPr>
          <w:p w:rsidR="001D1FD6" w:rsidRDefault="0012332F">
            <w:pPr>
              <w:spacing w:after="40"/>
              <w:rPr>
                <w:rFonts w:cs="Times New Roman"/>
                <w:szCs w:val="24"/>
              </w:rPr>
            </w:pPr>
            <w:r>
              <w:rPr>
                <w:rFonts w:cs="Times New Roman"/>
                <w:szCs w:val="24"/>
              </w:rPr>
              <w:t>Referral or signposting to local SSS</w:t>
            </w:r>
          </w:p>
        </w:tc>
        <w:tc>
          <w:tcPr>
            <w:tcW w:w="1689" w:type="dxa"/>
          </w:tcPr>
          <w:p w:rsidR="001D1FD6" w:rsidRDefault="0012332F">
            <w:pPr>
              <w:spacing w:after="40"/>
              <w:rPr>
                <w:rFonts w:cs="Times New Roman"/>
                <w:szCs w:val="24"/>
              </w:rPr>
            </w:pPr>
            <w:r>
              <w:rPr>
                <w:rFonts w:cs="Times New Roman"/>
                <w:szCs w:val="24"/>
              </w:rPr>
              <w:t>Contact, engagement and quitting with SSS support</w:t>
            </w:r>
          </w:p>
        </w:tc>
        <w:tc>
          <w:tcPr>
            <w:tcW w:w="2653" w:type="dxa"/>
          </w:tcPr>
          <w:p w:rsidR="001D1FD6" w:rsidRDefault="0012332F">
            <w:pPr>
              <w:spacing w:after="40"/>
              <w:rPr>
                <w:rFonts w:cs="Times New Roman"/>
                <w:szCs w:val="24"/>
              </w:rPr>
            </w:pPr>
            <w:r>
              <w:rPr>
                <w:rFonts w:cs="Times New Roman"/>
                <w:szCs w:val="24"/>
              </w:rPr>
              <w:t>Engagement was very low; barriers included failed contact, inflexibility and poor fit with preferred quitting methods</w:t>
            </w:r>
          </w:p>
        </w:tc>
        <w:tc>
          <w:tcPr>
            <w:tcW w:w="2097" w:type="dxa"/>
          </w:tcPr>
          <w:p w:rsidR="001D1FD6" w:rsidRDefault="0012332F">
            <w:pPr>
              <w:spacing w:after="40"/>
              <w:rPr>
                <w:rFonts w:cs="Times New Roman"/>
                <w:szCs w:val="24"/>
              </w:rPr>
            </w:pPr>
            <w:r>
              <w:rPr>
                <w:rFonts w:cs="Times New Roman"/>
                <w:szCs w:val="24"/>
              </w:rPr>
              <w:t>Missing data; inconsistent service reporting; one service supplied no data; purposive interview sample</w:t>
            </w:r>
          </w:p>
        </w:tc>
      </w:tr>
      <w:tr w:rsidR="001D1FD6">
        <w:trPr>
          <w:cantSplit/>
          <w:trHeight w:val="516"/>
          <w:jc w:val="center"/>
        </w:trPr>
        <w:tc>
          <w:tcPr>
            <w:tcW w:w="1275" w:type="dxa"/>
          </w:tcPr>
          <w:p w:rsidR="001D1FD6" w:rsidRDefault="0012332F">
            <w:pPr>
              <w:spacing w:after="40"/>
              <w:rPr>
                <w:rFonts w:cs="Times New Roman"/>
                <w:szCs w:val="24"/>
              </w:rPr>
            </w:pPr>
            <w:r>
              <w:rPr>
                <w:rFonts w:cs="Times New Roman"/>
                <w:szCs w:val="24"/>
              </w:rPr>
              <w:t>Smith et al. (2026)</w:t>
            </w:r>
          </w:p>
        </w:tc>
        <w:tc>
          <w:tcPr>
            <w:tcW w:w="2106" w:type="dxa"/>
          </w:tcPr>
          <w:p w:rsidR="001D1FD6" w:rsidRDefault="0012332F">
            <w:pPr>
              <w:spacing w:after="40"/>
              <w:rPr>
                <w:rFonts w:cs="Times New Roman"/>
                <w:szCs w:val="24"/>
              </w:rPr>
            </w:pPr>
            <w:r>
              <w:rPr>
                <w:rFonts w:cs="Times New Roman"/>
                <w:szCs w:val="24"/>
              </w:rPr>
              <w:t>England, Scotland, Wales and Northern Ireland; 114 adults from lower socioeconomic groups</w:t>
            </w:r>
          </w:p>
        </w:tc>
        <w:tc>
          <w:tcPr>
            <w:tcW w:w="1785" w:type="dxa"/>
          </w:tcPr>
          <w:p w:rsidR="001D1FD6" w:rsidRDefault="0012332F">
            <w:pPr>
              <w:spacing w:after="40"/>
              <w:rPr>
                <w:rFonts w:cs="Times New Roman"/>
                <w:szCs w:val="24"/>
              </w:rPr>
            </w:pPr>
            <w:r>
              <w:rPr>
                <w:rFonts w:cs="Times New Roman"/>
                <w:szCs w:val="24"/>
              </w:rPr>
              <w:t>Semi-structured telephone interviews; thematic analysis</w:t>
            </w:r>
          </w:p>
        </w:tc>
        <w:tc>
          <w:tcPr>
            <w:tcW w:w="2350" w:type="dxa"/>
          </w:tcPr>
          <w:p w:rsidR="001D1FD6" w:rsidRDefault="0012332F">
            <w:pPr>
              <w:spacing w:after="40"/>
              <w:rPr>
                <w:rFonts w:cs="Times New Roman"/>
                <w:szCs w:val="24"/>
              </w:rPr>
            </w:pPr>
            <w:r>
              <w:rPr>
                <w:rFonts w:cs="Times New Roman"/>
                <w:szCs w:val="24"/>
              </w:rPr>
              <w:t>SSS behavioural support, NRT, community and flexible delivery</w:t>
            </w:r>
          </w:p>
        </w:tc>
        <w:tc>
          <w:tcPr>
            <w:tcW w:w="1689" w:type="dxa"/>
          </w:tcPr>
          <w:p w:rsidR="001D1FD6" w:rsidRDefault="0012332F">
            <w:pPr>
              <w:spacing w:after="40"/>
              <w:rPr>
                <w:rFonts w:cs="Times New Roman"/>
                <w:szCs w:val="24"/>
              </w:rPr>
            </w:pPr>
            <w:r>
              <w:rPr>
                <w:rFonts w:cs="Times New Roman"/>
                <w:szCs w:val="24"/>
              </w:rPr>
              <w:t>Barriers and facilitators to engagement</w:t>
            </w:r>
          </w:p>
        </w:tc>
        <w:tc>
          <w:tcPr>
            <w:tcW w:w="2653" w:type="dxa"/>
          </w:tcPr>
          <w:p w:rsidR="001D1FD6" w:rsidRDefault="0012332F">
            <w:pPr>
              <w:spacing w:after="40"/>
              <w:rPr>
                <w:rFonts w:cs="Times New Roman"/>
                <w:szCs w:val="24"/>
              </w:rPr>
            </w:pPr>
            <w:r>
              <w:rPr>
                <w:rFonts w:cs="Times New Roman"/>
                <w:szCs w:val="24"/>
              </w:rPr>
              <w:t>Low awareness, time pressure and negative beliefs were barriers; flexible continued support, free NRT and adviser rapport were facilitators</w:t>
            </w:r>
          </w:p>
        </w:tc>
        <w:tc>
          <w:tcPr>
            <w:tcW w:w="2097" w:type="dxa"/>
          </w:tcPr>
          <w:p w:rsidR="001D1FD6" w:rsidRDefault="0012332F">
            <w:pPr>
              <w:spacing w:after="40"/>
              <w:rPr>
                <w:rFonts w:cs="Times New Roman"/>
                <w:szCs w:val="24"/>
              </w:rPr>
            </w:pPr>
            <w:r>
              <w:rPr>
                <w:rFonts w:cs="Times New Roman"/>
                <w:szCs w:val="24"/>
              </w:rPr>
              <w:t>Under-representation of people under 35 and some ethnic groups; limited reflexivity reporting</w:t>
            </w:r>
          </w:p>
        </w:tc>
      </w:tr>
    </w:tbl>
    <w:p w:rsidR="001D1FD6" w:rsidRDefault="001D1FD6">
      <w:pPr>
        <w:rPr>
          <w:rFonts w:ascii="Arial" w:hAnsi="Arial"/>
          <w:sz w:val="26"/>
        </w:rPr>
      </w:pPr>
    </w:p>
    <w:p w:rsidR="001D1FD6" w:rsidRDefault="0012332F">
      <w:pPr>
        <w:spacing w:after="160" w:line="278" w:lineRule="auto"/>
        <w:jc w:val="left"/>
        <w:rPr>
          <w:rFonts w:ascii="Arial" w:eastAsiaTheme="majorEastAsia" w:hAnsi="Arial" w:cstheme="majorBidi"/>
          <w:b/>
          <w:sz w:val="26"/>
          <w:szCs w:val="32"/>
        </w:rPr>
      </w:pPr>
      <w:r>
        <w:br w:type="page"/>
      </w:r>
    </w:p>
    <w:p w:rsidR="001D1FD6" w:rsidRPr="00F93449" w:rsidRDefault="0012332F" w:rsidP="00F93449">
      <w:pPr>
        <w:pStyle w:val="Heading2"/>
        <w:numPr>
          <w:ilvl w:val="0"/>
          <w:numId w:val="0"/>
        </w:numPr>
      </w:pPr>
      <w:bookmarkStart w:id="375" w:name="_Toc238559728"/>
      <w:bookmarkStart w:id="376" w:name="_Toc238262565"/>
      <w:bookmarkStart w:id="377" w:name="_Toc238725462"/>
      <w:bookmarkStart w:id="378" w:name="_Toc238725580"/>
      <w:r w:rsidRPr="00F93449">
        <w:lastRenderedPageBreak/>
        <w:t>Appendix 4B: Critical Appraisal Skills Programme (CASP) Appraisal of Qualitative Studies</w:t>
      </w:r>
      <w:bookmarkEnd w:id="375"/>
      <w:bookmarkEnd w:id="376"/>
      <w:bookmarkEnd w:id="377"/>
      <w:bookmarkEnd w:id="378"/>
    </w:p>
    <w:tbl>
      <w:tblPr>
        <w:tblStyle w:val="TableGrid"/>
        <w:tblW w:w="13948" w:type="dxa"/>
        <w:jc w:val="center"/>
        <w:tblLayout w:type="fixed"/>
        <w:tblLook w:val="04A0"/>
      </w:tblPr>
      <w:tblGrid>
        <w:gridCol w:w="3001"/>
        <w:gridCol w:w="5638"/>
        <w:gridCol w:w="5309"/>
      </w:tblGrid>
      <w:tr w:rsidR="001D1FD6">
        <w:trPr>
          <w:cantSplit/>
          <w:tblHeader/>
          <w:jc w:val="center"/>
        </w:trPr>
        <w:tc>
          <w:tcPr>
            <w:tcW w:w="3001" w:type="dxa"/>
            <w:shd w:val="clear" w:color="auto" w:fill="D9E1F2"/>
          </w:tcPr>
          <w:p w:rsidR="001D1FD6" w:rsidRDefault="0012332F">
            <w:pPr>
              <w:jc w:val="center"/>
              <w:rPr>
                <w:b/>
                <w:bCs/>
                <w:szCs w:val="24"/>
              </w:rPr>
            </w:pPr>
            <w:r>
              <w:rPr>
                <w:b/>
                <w:bCs/>
                <w:szCs w:val="24"/>
              </w:rPr>
              <w:t>Critical Appraisal Skills Programme (CASP) question</w:t>
            </w:r>
          </w:p>
        </w:tc>
        <w:tc>
          <w:tcPr>
            <w:tcW w:w="5638" w:type="dxa"/>
            <w:shd w:val="clear" w:color="auto" w:fill="D9E1F2"/>
          </w:tcPr>
          <w:p w:rsidR="001D1FD6" w:rsidRDefault="0012332F">
            <w:pPr>
              <w:jc w:val="center"/>
              <w:rPr>
                <w:b/>
                <w:bCs/>
                <w:szCs w:val="24"/>
              </w:rPr>
            </w:pPr>
            <w:r>
              <w:rPr>
                <w:b/>
                <w:bCs/>
                <w:szCs w:val="24"/>
              </w:rPr>
              <w:t>Robinson et al. (2019)</w:t>
            </w:r>
          </w:p>
        </w:tc>
        <w:tc>
          <w:tcPr>
            <w:tcW w:w="5309" w:type="dxa"/>
            <w:shd w:val="clear" w:color="auto" w:fill="D9E1F2"/>
          </w:tcPr>
          <w:p w:rsidR="001D1FD6" w:rsidRDefault="0012332F">
            <w:pPr>
              <w:jc w:val="center"/>
              <w:rPr>
                <w:b/>
                <w:bCs/>
                <w:szCs w:val="24"/>
              </w:rPr>
            </w:pPr>
            <w:r>
              <w:rPr>
                <w:b/>
                <w:bCs/>
                <w:szCs w:val="24"/>
              </w:rPr>
              <w:t>Smith et al. (2026)</w:t>
            </w:r>
          </w:p>
        </w:tc>
      </w:tr>
      <w:tr w:rsidR="001D1FD6">
        <w:trPr>
          <w:cantSplit/>
          <w:jc w:val="center"/>
        </w:trPr>
        <w:tc>
          <w:tcPr>
            <w:tcW w:w="3001" w:type="dxa"/>
          </w:tcPr>
          <w:p w:rsidR="001D1FD6" w:rsidRDefault="0012332F">
            <w:pPr>
              <w:rPr>
                <w:szCs w:val="24"/>
              </w:rPr>
            </w:pPr>
            <w:r>
              <w:rPr>
                <w:szCs w:val="24"/>
              </w:rPr>
              <w:t>1. Clear statement of aims</w:t>
            </w:r>
          </w:p>
        </w:tc>
        <w:tc>
          <w:tcPr>
            <w:tcW w:w="5638" w:type="dxa"/>
          </w:tcPr>
          <w:p w:rsidR="001D1FD6" w:rsidRDefault="0012332F">
            <w:pPr>
              <w:rPr>
                <w:szCs w:val="24"/>
              </w:rPr>
            </w:pPr>
            <w:r>
              <w:rPr>
                <w:szCs w:val="24"/>
              </w:rPr>
              <w:t>Yes - experiences of the Cut-Down-To-Stop pilot were clearly specified.</w:t>
            </w:r>
          </w:p>
        </w:tc>
        <w:tc>
          <w:tcPr>
            <w:tcW w:w="5309" w:type="dxa"/>
          </w:tcPr>
          <w:p w:rsidR="001D1FD6" w:rsidRDefault="0012332F">
            <w:pPr>
              <w:rPr>
                <w:szCs w:val="24"/>
              </w:rPr>
            </w:pPr>
            <w:r>
              <w:rPr>
                <w:szCs w:val="24"/>
              </w:rPr>
              <w:t>Yes - barriers and facilitators to engagement among lower socioeconomic groups were explicit.</w:t>
            </w:r>
          </w:p>
        </w:tc>
      </w:tr>
      <w:tr w:rsidR="001D1FD6">
        <w:trPr>
          <w:cantSplit/>
          <w:jc w:val="center"/>
        </w:trPr>
        <w:tc>
          <w:tcPr>
            <w:tcW w:w="3001" w:type="dxa"/>
          </w:tcPr>
          <w:p w:rsidR="001D1FD6" w:rsidRDefault="0012332F">
            <w:pPr>
              <w:rPr>
                <w:szCs w:val="24"/>
              </w:rPr>
            </w:pPr>
            <w:r>
              <w:rPr>
                <w:szCs w:val="24"/>
              </w:rPr>
              <w:t>2. Qualitative methodology appropriate</w:t>
            </w:r>
          </w:p>
        </w:tc>
        <w:tc>
          <w:tcPr>
            <w:tcW w:w="5638" w:type="dxa"/>
          </w:tcPr>
          <w:p w:rsidR="001D1FD6" w:rsidRDefault="0012332F">
            <w:pPr>
              <w:rPr>
                <w:szCs w:val="24"/>
              </w:rPr>
            </w:pPr>
            <w:r>
              <w:rPr>
                <w:szCs w:val="24"/>
              </w:rPr>
              <w:t>Yes - experiences and perceptions required qualitative enquiry.</w:t>
            </w:r>
          </w:p>
        </w:tc>
        <w:tc>
          <w:tcPr>
            <w:tcW w:w="5309" w:type="dxa"/>
          </w:tcPr>
          <w:p w:rsidR="001D1FD6" w:rsidRDefault="0012332F">
            <w:pPr>
              <w:rPr>
                <w:szCs w:val="24"/>
              </w:rPr>
            </w:pPr>
            <w:r>
              <w:rPr>
                <w:szCs w:val="24"/>
              </w:rPr>
              <w:t>Yes - interviews were appropriate for exploring beliefs and service experiences.</w:t>
            </w:r>
          </w:p>
        </w:tc>
      </w:tr>
      <w:tr w:rsidR="001D1FD6">
        <w:trPr>
          <w:cantSplit/>
          <w:jc w:val="center"/>
        </w:trPr>
        <w:tc>
          <w:tcPr>
            <w:tcW w:w="3001" w:type="dxa"/>
          </w:tcPr>
          <w:p w:rsidR="001D1FD6" w:rsidRDefault="0012332F">
            <w:pPr>
              <w:rPr>
                <w:szCs w:val="24"/>
              </w:rPr>
            </w:pPr>
            <w:r>
              <w:rPr>
                <w:szCs w:val="24"/>
              </w:rPr>
              <w:t>3. Research design appropriate</w:t>
            </w:r>
          </w:p>
        </w:tc>
        <w:tc>
          <w:tcPr>
            <w:tcW w:w="5638" w:type="dxa"/>
          </w:tcPr>
          <w:p w:rsidR="001D1FD6" w:rsidRDefault="0012332F">
            <w:pPr>
              <w:rPr>
                <w:szCs w:val="24"/>
              </w:rPr>
            </w:pPr>
            <w:r>
              <w:rPr>
                <w:szCs w:val="24"/>
              </w:rPr>
              <w:t>Yes - interviews and a practitioner focus group addressed the evaluation aim.</w:t>
            </w:r>
          </w:p>
        </w:tc>
        <w:tc>
          <w:tcPr>
            <w:tcW w:w="5309" w:type="dxa"/>
          </w:tcPr>
          <w:p w:rsidR="001D1FD6" w:rsidRDefault="0012332F">
            <w:pPr>
              <w:rPr>
                <w:szCs w:val="24"/>
              </w:rPr>
            </w:pPr>
            <w:r>
              <w:rPr>
                <w:szCs w:val="24"/>
              </w:rPr>
              <w:t>Yes - semi-structured interviews across four nations supported the study aim.</w:t>
            </w:r>
          </w:p>
        </w:tc>
      </w:tr>
      <w:tr w:rsidR="001D1FD6">
        <w:trPr>
          <w:cantSplit/>
          <w:jc w:val="center"/>
        </w:trPr>
        <w:tc>
          <w:tcPr>
            <w:tcW w:w="3001" w:type="dxa"/>
          </w:tcPr>
          <w:p w:rsidR="001D1FD6" w:rsidRDefault="0012332F">
            <w:pPr>
              <w:rPr>
                <w:szCs w:val="24"/>
              </w:rPr>
            </w:pPr>
            <w:r>
              <w:rPr>
                <w:szCs w:val="24"/>
              </w:rPr>
              <w:t>4. Recruitment strategy appropriate</w:t>
            </w:r>
          </w:p>
        </w:tc>
        <w:tc>
          <w:tcPr>
            <w:tcW w:w="5638" w:type="dxa"/>
          </w:tcPr>
          <w:p w:rsidR="001D1FD6" w:rsidRDefault="0012332F">
            <w:pPr>
              <w:rPr>
                <w:szCs w:val="24"/>
              </w:rPr>
            </w:pPr>
            <w:r>
              <w:rPr>
                <w:szCs w:val="24"/>
              </w:rPr>
              <w:t>Yes, with limitations - relevant users and practitioners were recruited from the pilot, but one service and volunteer selection limit range.</w:t>
            </w:r>
          </w:p>
        </w:tc>
        <w:tc>
          <w:tcPr>
            <w:tcW w:w="5309" w:type="dxa"/>
          </w:tcPr>
          <w:p w:rsidR="001D1FD6" w:rsidRDefault="0012332F">
            <w:pPr>
              <w:rPr>
                <w:szCs w:val="24"/>
              </w:rPr>
            </w:pPr>
            <w:r>
              <w:rPr>
                <w:szCs w:val="24"/>
              </w:rPr>
              <w:t>Yes, with limitations - purposive recruitment was relevant, but under-35s and some ethnic groups were difficult to recruit.</w:t>
            </w:r>
          </w:p>
        </w:tc>
      </w:tr>
      <w:tr w:rsidR="001D1FD6">
        <w:trPr>
          <w:cantSplit/>
          <w:jc w:val="center"/>
        </w:trPr>
        <w:tc>
          <w:tcPr>
            <w:tcW w:w="3001" w:type="dxa"/>
          </w:tcPr>
          <w:p w:rsidR="001D1FD6" w:rsidRDefault="0012332F">
            <w:pPr>
              <w:rPr>
                <w:szCs w:val="24"/>
              </w:rPr>
            </w:pPr>
            <w:r>
              <w:rPr>
                <w:szCs w:val="24"/>
              </w:rPr>
              <w:t>5. Data collection addressed the issue</w:t>
            </w:r>
          </w:p>
        </w:tc>
        <w:tc>
          <w:tcPr>
            <w:tcW w:w="5638" w:type="dxa"/>
          </w:tcPr>
          <w:p w:rsidR="001D1FD6" w:rsidRDefault="0012332F">
            <w:pPr>
              <w:rPr>
                <w:szCs w:val="24"/>
              </w:rPr>
            </w:pPr>
            <w:r>
              <w:rPr>
                <w:szCs w:val="24"/>
              </w:rPr>
              <w:t>Yes - telephone interviews and focus group produced detailed accounts of delivery and engagement.</w:t>
            </w:r>
          </w:p>
        </w:tc>
        <w:tc>
          <w:tcPr>
            <w:tcW w:w="5309" w:type="dxa"/>
          </w:tcPr>
          <w:p w:rsidR="001D1FD6" w:rsidRDefault="0012332F">
            <w:pPr>
              <w:rPr>
                <w:szCs w:val="24"/>
              </w:rPr>
            </w:pPr>
            <w:r>
              <w:rPr>
                <w:szCs w:val="24"/>
              </w:rPr>
              <w:t>Yes - theory-informed telephone interviews examined barriers and facilitators directly.</w:t>
            </w:r>
          </w:p>
        </w:tc>
      </w:tr>
      <w:tr w:rsidR="001D1FD6">
        <w:trPr>
          <w:cantSplit/>
          <w:jc w:val="center"/>
        </w:trPr>
        <w:tc>
          <w:tcPr>
            <w:tcW w:w="3001" w:type="dxa"/>
          </w:tcPr>
          <w:p w:rsidR="001D1FD6" w:rsidRDefault="0012332F">
            <w:pPr>
              <w:rPr>
                <w:szCs w:val="24"/>
              </w:rPr>
            </w:pPr>
            <w:r>
              <w:rPr>
                <w:szCs w:val="24"/>
              </w:rPr>
              <w:t>6. Researcher-participant relationship considered</w:t>
            </w:r>
          </w:p>
        </w:tc>
        <w:tc>
          <w:tcPr>
            <w:tcW w:w="5638" w:type="dxa"/>
          </w:tcPr>
          <w:p w:rsidR="001D1FD6" w:rsidRDefault="0012332F">
            <w:pPr>
              <w:rPr>
                <w:szCs w:val="24"/>
              </w:rPr>
            </w:pPr>
            <w:r>
              <w:rPr>
                <w:szCs w:val="24"/>
              </w:rPr>
              <w:t>Can't tell fully - researcher influence and reflexivity were not explored in depth.</w:t>
            </w:r>
          </w:p>
        </w:tc>
        <w:tc>
          <w:tcPr>
            <w:tcW w:w="5309" w:type="dxa"/>
          </w:tcPr>
          <w:p w:rsidR="001D1FD6" w:rsidRDefault="0012332F">
            <w:pPr>
              <w:rPr>
                <w:szCs w:val="24"/>
              </w:rPr>
            </w:pPr>
            <w:r>
              <w:rPr>
                <w:szCs w:val="24"/>
              </w:rPr>
              <w:t>Can't tell fully - team processes were reported, but reflexivity was limited in the published account.</w:t>
            </w:r>
          </w:p>
        </w:tc>
      </w:tr>
      <w:tr w:rsidR="001D1FD6">
        <w:trPr>
          <w:cantSplit/>
          <w:jc w:val="center"/>
        </w:trPr>
        <w:tc>
          <w:tcPr>
            <w:tcW w:w="3001" w:type="dxa"/>
          </w:tcPr>
          <w:p w:rsidR="001D1FD6" w:rsidRDefault="0012332F">
            <w:pPr>
              <w:rPr>
                <w:szCs w:val="24"/>
              </w:rPr>
            </w:pPr>
            <w:r>
              <w:rPr>
                <w:szCs w:val="24"/>
              </w:rPr>
              <w:t>7. Ethical issues considered</w:t>
            </w:r>
          </w:p>
        </w:tc>
        <w:tc>
          <w:tcPr>
            <w:tcW w:w="5638" w:type="dxa"/>
          </w:tcPr>
          <w:p w:rsidR="001D1FD6" w:rsidRDefault="0012332F">
            <w:pPr>
              <w:rPr>
                <w:szCs w:val="24"/>
              </w:rPr>
            </w:pPr>
            <w:r>
              <w:rPr>
                <w:szCs w:val="24"/>
              </w:rPr>
              <w:t>Yes - ethics approval and participant consent were reported.</w:t>
            </w:r>
          </w:p>
        </w:tc>
        <w:tc>
          <w:tcPr>
            <w:tcW w:w="5309" w:type="dxa"/>
          </w:tcPr>
          <w:p w:rsidR="001D1FD6" w:rsidRDefault="0012332F">
            <w:pPr>
              <w:rPr>
                <w:szCs w:val="24"/>
              </w:rPr>
            </w:pPr>
            <w:r>
              <w:rPr>
                <w:szCs w:val="24"/>
              </w:rPr>
              <w:t>Yes - ethics approval and informed consent were reported.</w:t>
            </w:r>
          </w:p>
        </w:tc>
      </w:tr>
      <w:tr w:rsidR="001D1FD6">
        <w:trPr>
          <w:cantSplit/>
          <w:jc w:val="center"/>
        </w:trPr>
        <w:tc>
          <w:tcPr>
            <w:tcW w:w="3001" w:type="dxa"/>
          </w:tcPr>
          <w:p w:rsidR="001D1FD6" w:rsidRDefault="0012332F">
            <w:pPr>
              <w:rPr>
                <w:szCs w:val="24"/>
              </w:rPr>
            </w:pPr>
            <w:r>
              <w:rPr>
                <w:szCs w:val="24"/>
              </w:rPr>
              <w:t>8. Data analysis sufficiently rigorous</w:t>
            </w:r>
          </w:p>
        </w:tc>
        <w:tc>
          <w:tcPr>
            <w:tcW w:w="5638" w:type="dxa"/>
          </w:tcPr>
          <w:p w:rsidR="001D1FD6" w:rsidRDefault="0012332F">
            <w:pPr>
              <w:rPr>
                <w:szCs w:val="24"/>
              </w:rPr>
            </w:pPr>
            <w:r>
              <w:rPr>
                <w:szCs w:val="24"/>
              </w:rPr>
              <w:t>Yes, with limitations - thematic analysis and staged analysis were described.</w:t>
            </w:r>
          </w:p>
        </w:tc>
        <w:tc>
          <w:tcPr>
            <w:tcW w:w="5309" w:type="dxa"/>
          </w:tcPr>
          <w:p w:rsidR="001D1FD6" w:rsidRDefault="0012332F">
            <w:pPr>
              <w:rPr>
                <w:szCs w:val="24"/>
              </w:rPr>
            </w:pPr>
            <w:r>
              <w:rPr>
                <w:szCs w:val="24"/>
              </w:rPr>
              <w:t>Yes - thematic analysis and Behaviour Change Wheel mapping were systematic and involved more than one researcher.</w:t>
            </w:r>
          </w:p>
        </w:tc>
      </w:tr>
      <w:tr w:rsidR="001D1FD6">
        <w:trPr>
          <w:cantSplit/>
          <w:jc w:val="center"/>
        </w:trPr>
        <w:tc>
          <w:tcPr>
            <w:tcW w:w="3001" w:type="dxa"/>
          </w:tcPr>
          <w:p w:rsidR="001D1FD6" w:rsidRDefault="0012332F">
            <w:pPr>
              <w:rPr>
                <w:szCs w:val="24"/>
              </w:rPr>
            </w:pPr>
            <w:r>
              <w:rPr>
                <w:szCs w:val="24"/>
              </w:rPr>
              <w:t>9. Clear statement of findings</w:t>
            </w:r>
          </w:p>
        </w:tc>
        <w:tc>
          <w:tcPr>
            <w:tcW w:w="5638" w:type="dxa"/>
          </w:tcPr>
          <w:p w:rsidR="001D1FD6" w:rsidRDefault="0012332F">
            <w:pPr>
              <w:rPr>
                <w:szCs w:val="24"/>
              </w:rPr>
            </w:pPr>
            <w:r>
              <w:rPr>
                <w:szCs w:val="24"/>
              </w:rPr>
              <w:t>Yes - findings were clearly organised around the intervention experience.</w:t>
            </w:r>
          </w:p>
        </w:tc>
        <w:tc>
          <w:tcPr>
            <w:tcW w:w="5309" w:type="dxa"/>
          </w:tcPr>
          <w:p w:rsidR="001D1FD6" w:rsidRDefault="0012332F">
            <w:pPr>
              <w:rPr>
                <w:szCs w:val="24"/>
              </w:rPr>
            </w:pPr>
            <w:r>
              <w:rPr>
                <w:szCs w:val="24"/>
              </w:rPr>
              <w:t>Yes - barriers, facilitators and proposed intervention functions were clearly reported.</w:t>
            </w:r>
          </w:p>
        </w:tc>
      </w:tr>
      <w:tr w:rsidR="001D1FD6">
        <w:trPr>
          <w:cantSplit/>
          <w:jc w:val="center"/>
        </w:trPr>
        <w:tc>
          <w:tcPr>
            <w:tcW w:w="3001" w:type="dxa"/>
          </w:tcPr>
          <w:p w:rsidR="001D1FD6" w:rsidRDefault="0012332F">
            <w:pPr>
              <w:rPr>
                <w:szCs w:val="24"/>
              </w:rPr>
            </w:pPr>
            <w:r>
              <w:rPr>
                <w:szCs w:val="24"/>
              </w:rPr>
              <w:lastRenderedPageBreak/>
              <w:t>10. Value of research</w:t>
            </w:r>
          </w:p>
        </w:tc>
        <w:tc>
          <w:tcPr>
            <w:tcW w:w="5638" w:type="dxa"/>
          </w:tcPr>
          <w:p w:rsidR="001D1FD6" w:rsidRDefault="0012332F">
            <w:pPr>
              <w:rPr>
                <w:szCs w:val="24"/>
              </w:rPr>
            </w:pPr>
            <w:r>
              <w:rPr>
                <w:szCs w:val="24"/>
              </w:rPr>
              <w:t>Yes - provides practical evidence on keeping difficult-to-quit smokers engaged.</w:t>
            </w:r>
          </w:p>
        </w:tc>
        <w:tc>
          <w:tcPr>
            <w:tcW w:w="5309" w:type="dxa"/>
          </w:tcPr>
          <w:p w:rsidR="001D1FD6" w:rsidRDefault="0012332F">
            <w:pPr>
              <w:rPr>
                <w:szCs w:val="24"/>
              </w:rPr>
            </w:pPr>
            <w:r>
              <w:rPr>
                <w:szCs w:val="24"/>
              </w:rPr>
              <w:t>Yes - provides UK-wide evidence relevant to improving engagement among lower socioeconomic groups.</w:t>
            </w:r>
          </w:p>
        </w:tc>
      </w:tr>
    </w:tbl>
    <w:p w:rsidR="001D1FD6" w:rsidRDefault="0012332F">
      <w:pPr>
        <w:pStyle w:val="Heading2"/>
        <w:numPr>
          <w:ilvl w:val="0"/>
          <w:numId w:val="0"/>
        </w:numPr>
      </w:pPr>
      <w:bookmarkStart w:id="379" w:name="_Toc238559729"/>
      <w:bookmarkStart w:id="380" w:name="_Toc238262566"/>
      <w:bookmarkStart w:id="381" w:name="_Toc238725463"/>
      <w:bookmarkStart w:id="382" w:name="_Toc238725581"/>
      <w:r>
        <w:t>Appendix 4C: Quality Assessment of Quantitative Studies</w:t>
      </w:r>
      <w:bookmarkEnd w:id="379"/>
      <w:bookmarkEnd w:id="380"/>
      <w:bookmarkEnd w:id="381"/>
      <w:bookmarkEnd w:id="382"/>
    </w:p>
    <w:tbl>
      <w:tblPr>
        <w:tblStyle w:val="TableGrid"/>
        <w:tblW w:w="13948" w:type="dxa"/>
        <w:jc w:val="center"/>
        <w:tblLayout w:type="fixed"/>
        <w:tblLook w:val="04A0"/>
      </w:tblPr>
      <w:tblGrid>
        <w:gridCol w:w="2366"/>
        <w:gridCol w:w="1521"/>
        <w:gridCol w:w="1603"/>
        <w:gridCol w:w="1619"/>
        <w:gridCol w:w="1666"/>
        <w:gridCol w:w="1664"/>
        <w:gridCol w:w="1860"/>
        <w:gridCol w:w="1649"/>
      </w:tblGrid>
      <w:tr w:rsidR="001D1FD6">
        <w:trPr>
          <w:cantSplit/>
          <w:trHeight w:val="157"/>
          <w:tblHeader/>
          <w:jc w:val="center"/>
        </w:trPr>
        <w:tc>
          <w:tcPr>
            <w:tcW w:w="2365" w:type="dxa"/>
            <w:shd w:val="clear" w:color="auto" w:fill="D9E1F2"/>
          </w:tcPr>
          <w:p w:rsidR="001D1FD6" w:rsidRDefault="0012332F">
            <w:pPr>
              <w:spacing w:after="40" w:line="240" w:lineRule="auto"/>
              <w:jc w:val="center"/>
              <w:rPr>
                <w:rFonts w:cs="Times New Roman"/>
                <w:b/>
                <w:bCs/>
                <w:szCs w:val="24"/>
              </w:rPr>
            </w:pPr>
            <w:r>
              <w:rPr>
                <w:rFonts w:cs="Times New Roman"/>
                <w:b/>
                <w:bCs/>
                <w:szCs w:val="24"/>
              </w:rPr>
              <w:t>Criterion</w:t>
            </w:r>
          </w:p>
        </w:tc>
        <w:tc>
          <w:tcPr>
            <w:tcW w:w="1520" w:type="dxa"/>
            <w:shd w:val="clear" w:color="auto" w:fill="D9E1F2"/>
          </w:tcPr>
          <w:p w:rsidR="001D1FD6" w:rsidRDefault="0012332F">
            <w:pPr>
              <w:spacing w:after="40" w:line="240" w:lineRule="auto"/>
              <w:jc w:val="center"/>
              <w:rPr>
                <w:rFonts w:cs="Times New Roman"/>
                <w:b/>
                <w:bCs/>
                <w:szCs w:val="24"/>
              </w:rPr>
            </w:pPr>
            <w:r>
              <w:rPr>
                <w:rFonts w:cs="Times New Roman"/>
                <w:b/>
                <w:bCs/>
                <w:szCs w:val="24"/>
              </w:rPr>
              <w:t>Edwards et al. (2007)</w:t>
            </w:r>
          </w:p>
        </w:tc>
        <w:tc>
          <w:tcPr>
            <w:tcW w:w="1603" w:type="dxa"/>
            <w:shd w:val="clear" w:color="auto" w:fill="D9E1F2"/>
          </w:tcPr>
          <w:p w:rsidR="001D1FD6" w:rsidRDefault="0012332F">
            <w:pPr>
              <w:spacing w:after="40" w:line="240" w:lineRule="auto"/>
              <w:jc w:val="center"/>
              <w:rPr>
                <w:rFonts w:cs="Times New Roman"/>
                <w:b/>
                <w:bCs/>
                <w:szCs w:val="24"/>
              </w:rPr>
            </w:pPr>
            <w:r>
              <w:rPr>
                <w:rFonts w:cs="Times New Roman"/>
                <w:b/>
                <w:bCs/>
                <w:szCs w:val="24"/>
              </w:rPr>
              <w:t>Kotz et al. (2009)</w:t>
            </w:r>
          </w:p>
        </w:tc>
        <w:tc>
          <w:tcPr>
            <w:tcW w:w="1619" w:type="dxa"/>
            <w:shd w:val="clear" w:color="auto" w:fill="D9E1F2"/>
          </w:tcPr>
          <w:p w:rsidR="001D1FD6" w:rsidRDefault="0012332F">
            <w:pPr>
              <w:spacing w:after="40" w:line="240" w:lineRule="auto"/>
              <w:jc w:val="center"/>
              <w:rPr>
                <w:rFonts w:cs="Times New Roman"/>
                <w:b/>
                <w:bCs/>
                <w:szCs w:val="24"/>
              </w:rPr>
            </w:pPr>
            <w:r>
              <w:rPr>
                <w:rFonts w:cs="Times New Roman"/>
                <w:b/>
                <w:bCs/>
                <w:szCs w:val="24"/>
              </w:rPr>
              <w:t>Gibson et al. (2010)</w:t>
            </w:r>
          </w:p>
        </w:tc>
        <w:tc>
          <w:tcPr>
            <w:tcW w:w="1666" w:type="dxa"/>
            <w:shd w:val="clear" w:color="auto" w:fill="D9E1F2"/>
          </w:tcPr>
          <w:p w:rsidR="001D1FD6" w:rsidRDefault="0012332F">
            <w:pPr>
              <w:spacing w:after="40" w:line="240" w:lineRule="auto"/>
              <w:jc w:val="center"/>
              <w:rPr>
                <w:rFonts w:cs="Times New Roman"/>
                <w:b/>
                <w:bCs/>
                <w:szCs w:val="24"/>
              </w:rPr>
            </w:pPr>
            <w:r>
              <w:rPr>
                <w:rFonts w:cs="Times New Roman"/>
                <w:b/>
                <w:bCs/>
                <w:szCs w:val="24"/>
              </w:rPr>
              <w:t>Bauld et al. (2012)</w:t>
            </w:r>
          </w:p>
        </w:tc>
        <w:tc>
          <w:tcPr>
            <w:tcW w:w="1664" w:type="dxa"/>
            <w:shd w:val="clear" w:color="auto" w:fill="D9E1F2"/>
          </w:tcPr>
          <w:p w:rsidR="001D1FD6" w:rsidRDefault="0012332F">
            <w:pPr>
              <w:spacing w:after="40" w:line="240" w:lineRule="auto"/>
              <w:jc w:val="center"/>
              <w:rPr>
                <w:rFonts w:cs="Times New Roman"/>
                <w:b/>
                <w:bCs/>
                <w:szCs w:val="24"/>
              </w:rPr>
            </w:pPr>
            <w:r>
              <w:rPr>
                <w:rFonts w:cs="Times New Roman"/>
                <w:b/>
                <w:bCs/>
                <w:szCs w:val="24"/>
              </w:rPr>
              <w:t>Bauld et al. (2016)</w:t>
            </w:r>
          </w:p>
        </w:tc>
        <w:tc>
          <w:tcPr>
            <w:tcW w:w="1860" w:type="dxa"/>
            <w:shd w:val="clear" w:color="auto" w:fill="D9E1F2"/>
          </w:tcPr>
          <w:p w:rsidR="001D1FD6" w:rsidRDefault="0012332F">
            <w:pPr>
              <w:spacing w:after="40" w:line="240" w:lineRule="auto"/>
              <w:jc w:val="center"/>
              <w:rPr>
                <w:rFonts w:cs="Times New Roman"/>
                <w:b/>
                <w:bCs/>
                <w:szCs w:val="24"/>
              </w:rPr>
            </w:pPr>
            <w:r>
              <w:rPr>
                <w:rFonts w:cs="Times New Roman"/>
                <w:b/>
                <w:bCs/>
                <w:szCs w:val="24"/>
              </w:rPr>
              <w:t>Kale et al. (2019)</w:t>
            </w:r>
          </w:p>
        </w:tc>
        <w:tc>
          <w:tcPr>
            <w:tcW w:w="1649" w:type="dxa"/>
            <w:shd w:val="clear" w:color="auto" w:fill="D9E1F2"/>
          </w:tcPr>
          <w:p w:rsidR="001D1FD6" w:rsidRDefault="0012332F">
            <w:pPr>
              <w:spacing w:after="40" w:line="240" w:lineRule="auto"/>
              <w:jc w:val="center"/>
              <w:rPr>
                <w:rFonts w:cs="Times New Roman"/>
                <w:b/>
                <w:bCs/>
                <w:szCs w:val="24"/>
              </w:rPr>
            </w:pPr>
            <w:r>
              <w:rPr>
                <w:rFonts w:cs="Times New Roman"/>
                <w:b/>
                <w:bCs/>
                <w:szCs w:val="24"/>
              </w:rPr>
              <w:t>Jackson et al. (2021)</w:t>
            </w:r>
          </w:p>
        </w:tc>
      </w:tr>
      <w:tr w:rsidR="001D1FD6">
        <w:trPr>
          <w:cantSplit/>
          <w:trHeight w:val="157"/>
          <w:jc w:val="center"/>
        </w:trPr>
        <w:tc>
          <w:tcPr>
            <w:tcW w:w="2365" w:type="dxa"/>
          </w:tcPr>
          <w:p w:rsidR="001D1FD6" w:rsidRDefault="0012332F">
            <w:pPr>
              <w:spacing w:after="40" w:line="240" w:lineRule="auto"/>
              <w:rPr>
                <w:rFonts w:cs="Times New Roman"/>
                <w:szCs w:val="24"/>
              </w:rPr>
            </w:pPr>
            <w:r>
              <w:rPr>
                <w:rFonts w:cs="Times New Roman"/>
                <w:szCs w:val="24"/>
              </w:rPr>
              <w:t>Research purpose and aims</w:t>
            </w:r>
          </w:p>
        </w:tc>
        <w:tc>
          <w:tcPr>
            <w:tcW w:w="1520" w:type="dxa"/>
          </w:tcPr>
          <w:p w:rsidR="001D1FD6" w:rsidRDefault="0012332F">
            <w:pPr>
              <w:spacing w:after="40" w:line="240" w:lineRule="auto"/>
              <w:rPr>
                <w:rFonts w:cs="Times New Roman"/>
                <w:szCs w:val="24"/>
              </w:rPr>
            </w:pPr>
            <w:r>
              <w:rPr>
                <w:rFonts w:cs="Times New Roman"/>
                <w:szCs w:val="24"/>
              </w:rPr>
              <w:t>Clear</w:t>
            </w:r>
          </w:p>
        </w:tc>
        <w:tc>
          <w:tcPr>
            <w:tcW w:w="1603" w:type="dxa"/>
          </w:tcPr>
          <w:p w:rsidR="001D1FD6" w:rsidRDefault="0012332F">
            <w:pPr>
              <w:spacing w:after="40" w:line="240" w:lineRule="auto"/>
              <w:rPr>
                <w:rFonts w:cs="Times New Roman"/>
                <w:szCs w:val="24"/>
              </w:rPr>
            </w:pPr>
            <w:r>
              <w:rPr>
                <w:rFonts w:cs="Times New Roman"/>
                <w:szCs w:val="24"/>
              </w:rPr>
              <w:t>Clear</w:t>
            </w:r>
          </w:p>
        </w:tc>
        <w:tc>
          <w:tcPr>
            <w:tcW w:w="1619" w:type="dxa"/>
          </w:tcPr>
          <w:p w:rsidR="001D1FD6" w:rsidRDefault="0012332F">
            <w:pPr>
              <w:spacing w:after="40" w:line="240" w:lineRule="auto"/>
              <w:rPr>
                <w:rFonts w:cs="Times New Roman"/>
                <w:szCs w:val="24"/>
              </w:rPr>
            </w:pPr>
            <w:r>
              <w:rPr>
                <w:rFonts w:cs="Times New Roman"/>
                <w:szCs w:val="24"/>
              </w:rPr>
              <w:t>Clear</w:t>
            </w:r>
          </w:p>
        </w:tc>
        <w:tc>
          <w:tcPr>
            <w:tcW w:w="1666" w:type="dxa"/>
          </w:tcPr>
          <w:p w:rsidR="001D1FD6" w:rsidRDefault="0012332F">
            <w:pPr>
              <w:spacing w:after="40" w:line="240" w:lineRule="auto"/>
              <w:rPr>
                <w:rFonts w:cs="Times New Roman"/>
                <w:szCs w:val="24"/>
              </w:rPr>
            </w:pPr>
            <w:r>
              <w:rPr>
                <w:rFonts w:cs="Times New Roman"/>
                <w:szCs w:val="24"/>
              </w:rPr>
              <w:t>Clear</w:t>
            </w:r>
          </w:p>
        </w:tc>
        <w:tc>
          <w:tcPr>
            <w:tcW w:w="1664" w:type="dxa"/>
          </w:tcPr>
          <w:p w:rsidR="001D1FD6" w:rsidRDefault="0012332F">
            <w:pPr>
              <w:spacing w:after="40" w:line="240" w:lineRule="auto"/>
              <w:rPr>
                <w:rFonts w:cs="Times New Roman"/>
                <w:szCs w:val="24"/>
              </w:rPr>
            </w:pPr>
            <w:r>
              <w:rPr>
                <w:rFonts w:cs="Times New Roman"/>
                <w:szCs w:val="24"/>
              </w:rPr>
              <w:t>Clear</w:t>
            </w:r>
          </w:p>
        </w:tc>
        <w:tc>
          <w:tcPr>
            <w:tcW w:w="1860" w:type="dxa"/>
          </w:tcPr>
          <w:p w:rsidR="001D1FD6" w:rsidRDefault="0012332F">
            <w:pPr>
              <w:spacing w:after="40" w:line="240" w:lineRule="auto"/>
              <w:rPr>
                <w:rFonts w:cs="Times New Roman"/>
                <w:szCs w:val="24"/>
              </w:rPr>
            </w:pPr>
            <w:r>
              <w:rPr>
                <w:rFonts w:cs="Times New Roman"/>
                <w:szCs w:val="24"/>
              </w:rPr>
              <w:t>Clear</w:t>
            </w:r>
          </w:p>
        </w:tc>
        <w:tc>
          <w:tcPr>
            <w:tcW w:w="1649" w:type="dxa"/>
          </w:tcPr>
          <w:p w:rsidR="001D1FD6" w:rsidRDefault="0012332F">
            <w:pPr>
              <w:spacing w:after="40" w:line="240" w:lineRule="auto"/>
              <w:rPr>
                <w:rFonts w:cs="Times New Roman"/>
                <w:szCs w:val="24"/>
              </w:rPr>
            </w:pPr>
            <w:r>
              <w:rPr>
                <w:rFonts w:cs="Times New Roman"/>
                <w:szCs w:val="24"/>
              </w:rPr>
              <w:t>Clear</w:t>
            </w:r>
          </w:p>
        </w:tc>
      </w:tr>
      <w:tr w:rsidR="001D1FD6">
        <w:trPr>
          <w:cantSplit/>
          <w:trHeight w:val="329"/>
          <w:jc w:val="center"/>
        </w:trPr>
        <w:tc>
          <w:tcPr>
            <w:tcW w:w="2365" w:type="dxa"/>
          </w:tcPr>
          <w:p w:rsidR="001D1FD6" w:rsidRDefault="0012332F">
            <w:pPr>
              <w:spacing w:after="40" w:line="240" w:lineRule="auto"/>
              <w:rPr>
                <w:rFonts w:cs="Times New Roman"/>
                <w:szCs w:val="24"/>
              </w:rPr>
            </w:pPr>
            <w:r>
              <w:rPr>
                <w:rFonts w:cs="Times New Roman"/>
                <w:szCs w:val="24"/>
              </w:rPr>
              <w:t>Design appropriate to aim</w:t>
            </w:r>
          </w:p>
        </w:tc>
        <w:tc>
          <w:tcPr>
            <w:tcW w:w="1520" w:type="dxa"/>
          </w:tcPr>
          <w:p w:rsidR="001D1FD6" w:rsidRDefault="0012332F">
            <w:pPr>
              <w:spacing w:after="40" w:line="240" w:lineRule="auto"/>
              <w:rPr>
                <w:rFonts w:cs="Times New Roman"/>
                <w:szCs w:val="24"/>
              </w:rPr>
            </w:pPr>
            <w:r>
              <w:rPr>
                <w:rFonts w:cs="Times New Roman"/>
                <w:szCs w:val="24"/>
              </w:rPr>
              <w:t>Yes - cross-sectional descriptive comparison</w:t>
            </w:r>
          </w:p>
        </w:tc>
        <w:tc>
          <w:tcPr>
            <w:tcW w:w="1603" w:type="dxa"/>
          </w:tcPr>
          <w:p w:rsidR="001D1FD6" w:rsidRDefault="0012332F">
            <w:pPr>
              <w:spacing w:after="40" w:line="240" w:lineRule="auto"/>
              <w:rPr>
                <w:rFonts w:cs="Times New Roman"/>
                <w:szCs w:val="24"/>
              </w:rPr>
            </w:pPr>
            <w:r>
              <w:rPr>
                <w:rFonts w:cs="Times New Roman"/>
                <w:szCs w:val="24"/>
              </w:rPr>
              <w:t>Yes - cross-sectional survey</w:t>
            </w:r>
          </w:p>
        </w:tc>
        <w:tc>
          <w:tcPr>
            <w:tcW w:w="1619" w:type="dxa"/>
          </w:tcPr>
          <w:p w:rsidR="001D1FD6" w:rsidRDefault="0012332F">
            <w:pPr>
              <w:spacing w:after="40" w:line="240" w:lineRule="auto"/>
              <w:rPr>
                <w:rFonts w:cs="Times New Roman"/>
                <w:szCs w:val="24"/>
              </w:rPr>
            </w:pPr>
            <w:r>
              <w:rPr>
                <w:rFonts w:cs="Times New Roman"/>
                <w:szCs w:val="24"/>
              </w:rPr>
              <w:t>Yes - prospective cohort survey</w:t>
            </w:r>
          </w:p>
        </w:tc>
        <w:tc>
          <w:tcPr>
            <w:tcW w:w="1666" w:type="dxa"/>
          </w:tcPr>
          <w:p w:rsidR="001D1FD6" w:rsidRDefault="0012332F">
            <w:pPr>
              <w:spacing w:after="40" w:line="240" w:lineRule="auto"/>
              <w:rPr>
                <w:rFonts w:cs="Times New Roman"/>
                <w:szCs w:val="24"/>
              </w:rPr>
            </w:pPr>
            <w:r>
              <w:rPr>
                <w:rFonts w:cs="Times New Roman"/>
                <w:szCs w:val="24"/>
              </w:rPr>
              <w:t>Yes - prospective observational cohort</w:t>
            </w:r>
          </w:p>
        </w:tc>
        <w:tc>
          <w:tcPr>
            <w:tcW w:w="1664" w:type="dxa"/>
          </w:tcPr>
          <w:p w:rsidR="001D1FD6" w:rsidRDefault="0012332F">
            <w:pPr>
              <w:spacing w:after="40" w:line="240" w:lineRule="auto"/>
              <w:rPr>
                <w:rFonts w:cs="Times New Roman"/>
                <w:szCs w:val="24"/>
              </w:rPr>
            </w:pPr>
            <w:r>
              <w:rPr>
                <w:rFonts w:cs="Times New Roman"/>
                <w:szCs w:val="24"/>
              </w:rPr>
              <w:t>Yes - prospective service cohort</w:t>
            </w:r>
          </w:p>
        </w:tc>
        <w:tc>
          <w:tcPr>
            <w:tcW w:w="1860" w:type="dxa"/>
          </w:tcPr>
          <w:p w:rsidR="001D1FD6" w:rsidRDefault="0012332F">
            <w:pPr>
              <w:spacing w:after="40" w:line="240" w:lineRule="auto"/>
              <w:rPr>
                <w:rFonts w:cs="Times New Roman"/>
                <w:szCs w:val="24"/>
              </w:rPr>
            </w:pPr>
            <w:r>
              <w:rPr>
                <w:rFonts w:cs="Times New Roman"/>
                <w:szCs w:val="24"/>
              </w:rPr>
              <w:t>Yes - questionnaire with PCA/regression</w:t>
            </w:r>
          </w:p>
        </w:tc>
        <w:tc>
          <w:tcPr>
            <w:tcW w:w="1649" w:type="dxa"/>
          </w:tcPr>
          <w:p w:rsidR="001D1FD6" w:rsidRDefault="0012332F">
            <w:pPr>
              <w:spacing w:after="40" w:line="240" w:lineRule="auto"/>
              <w:rPr>
                <w:rFonts w:cs="Times New Roman"/>
                <w:szCs w:val="24"/>
              </w:rPr>
            </w:pPr>
            <w:r>
              <w:rPr>
                <w:rFonts w:cs="Times New Roman"/>
                <w:szCs w:val="24"/>
              </w:rPr>
              <w:t>Yes - interrupted time-series</w:t>
            </w:r>
          </w:p>
        </w:tc>
      </w:tr>
      <w:tr w:rsidR="001D1FD6">
        <w:trPr>
          <w:cantSplit/>
          <w:trHeight w:val="157"/>
          <w:jc w:val="center"/>
        </w:trPr>
        <w:tc>
          <w:tcPr>
            <w:tcW w:w="2365" w:type="dxa"/>
          </w:tcPr>
          <w:p w:rsidR="001D1FD6" w:rsidRDefault="0012332F">
            <w:pPr>
              <w:spacing w:after="40" w:line="240" w:lineRule="auto"/>
              <w:rPr>
                <w:rFonts w:cs="Times New Roman"/>
                <w:szCs w:val="24"/>
              </w:rPr>
            </w:pPr>
            <w:r>
              <w:rPr>
                <w:rFonts w:cs="Times New Roman"/>
                <w:szCs w:val="24"/>
              </w:rPr>
              <w:t>Sample/population described</w:t>
            </w:r>
          </w:p>
        </w:tc>
        <w:tc>
          <w:tcPr>
            <w:tcW w:w="1520" w:type="dxa"/>
          </w:tcPr>
          <w:p w:rsidR="001D1FD6" w:rsidRDefault="0012332F">
            <w:pPr>
              <w:spacing w:after="40" w:line="240" w:lineRule="auto"/>
              <w:rPr>
                <w:rFonts w:cs="Times New Roman"/>
                <w:szCs w:val="24"/>
              </w:rPr>
            </w:pPr>
            <w:r>
              <w:rPr>
                <w:rFonts w:cs="Times New Roman"/>
                <w:szCs w:val="24"/>
              </w:rPr>
              <w:t>Yes</w:t>
            </w:r>
          </w:p>
        </w:tc>
        <w:tc>
          <w:tcPr>
            <w:tcW w:w="1603" w:type="dxa"/>
          </w:tcPr>
          <w:p w:rsidR="001D1FD6" w:rsidRDefault="0012332F">
            <w:pPr>
              <w:spacing w:after="40" w:line="240" w:lineRule="auto"/>
              <w:rPr>
                <w:rFonts w:cs="Times New Roman"/>
                <w:szCs w:val="24"/>
              </w:rPr>
            </w:pPr>
            <w:r>
              <w:rPr>
                <w:rFonts w:cs="Times New Roman"/>
                <w:szCs w:val="24"/>
              </w:rPr>
              <w:t>Yes</w:t>
            </w:r>
          </w:p>
        </w:tc>
        <w:tc>
          <w:tcPr>
            <w:tcW w:w="1619" w:type="dxa"/>
          </w:tcPr>
          <w:p w:rsidR="001D1FD6" w:rsidRDefault="0012332F">
            <w:pPr>
              <w:spacing w:after="40" w:line="240" w:lineRule="auto"/>
              <w:rPr>
                <w:rFonts w:cs="Times New Roman"/>
                <w:szCs w:val="24"/>
              </w:rPr>
            </w:pPr>
            <w:r>
              <w:rPr>
                <w:rFonts w:cs="Times New Roman"/>
                <w:szCs w:val="24"/>
              </w:rPr>
              <w:t>Yes</w:t>
            </w:r>
          </w:p>
        </w:tc>
        <w:tc>
          <w:tcPr>
            <w:tcW w:w="1666" w:type="dxa"/>
          </w:tcPr>
          <w:p w:rsidR="001D1FD6" w:rsidRDefault="0012332F">
            <w:pPr>
              <w:spacing w:after="40" w:line="240" w:lineRule="auto"/>
              <w:rPr>
                <w:rFonts w:cs="Times New Roman"/>
                <w:szCs w:val="24"/>
              </w:rPr>
            </w:pPr>
            <w:r>
              <w:rPr>
                <w:rFonts w:cs="Times New Roman"/>
                <w:szCs w:val="24"/>
              </w:rPr>
              <w:t>Yes</w:t>
            </w:r>
          </w:p>
        </w:tc>
        <w:tc>
          <w:tcPr>
            <w:tcW w:w="1664" w:type="dxa"/>
          </w:tcPr>
          <w:p w:rsidR="001D1FD6" w:rsidRDefault="0012332F">
            <w:pPr>
              <w:spacing w:after="40" w:line="240" w:lineRule="auto"/>
              <w:rPr>
                <w:rFonts w:cs="Times New Roman"/>
                <w:szCs w:val="24"/>
              </w:rPr>
            </w:pPr>
            <w:r>
              <w:rPr>
                <w:rFonts w:cs="Times New Roman"/>
                <w:szCs w:val="24"/>
              </w:rPr>
              <w:t>Yes</w:t>
            </w:r>
          </w:p>
        </w:tc>
        <w:tc>
          <w:tcPr>
            <w:tcW w:w="1860" w:type="dxa"/>
          </w:tcPr>
          <w:p w:rsidR="001D1FD6" w:rsidRDefault="0012332F">
            <w:pPr>
              <w:spacing w:after="40" w:line="240" w:lineRule="auto"/>
              <w:rPr>
                <w:rFonts w:cs="Times New Roman"/>
                <w:szCs w:val="24"/>
              </w:rPr>
            </w:pPr>
            <w:r>
              <w:rPr>
                <w:rFonts w:cs="Times New Roman"/>
                <w:szCs w:val="24"/>
              </w:rPr>
              <w:t>Yes</w:t>
            </w:r>
          </w:p>
        </w:tc>
        <w:tc>
          <w:tcPr>
            <w:tcW w:w="1649" w:type="dxa"/>
          </w:tcPr>
          <w:p w:rsidR="001D1FD6" w:rsidRDefault="0012332F">
            <w:pPr>
              <w:spacing w:after="40" w:line="240" w:lineRule="auto"/>
              <w:rPr>
                <w:rFonts w:cs="Times New Roman"/>
                <w:szCs w:val="24"/>
              </w:rPr>
            </w:pPr>
            <w:r>
              <w:rPr>
                <w:rFonts w:cs="Times New Roman"/>
                <w:szCs w:val="24"/>
              </w:rPr>
              <w:t>Yes</w:t>
            </w:r>
          </w:p>
        </w:tc>
      </w:tr>
      <w:tr w:rsidR="001D1FD6">
        <w:trPr>
          <w:cantSplit/>
          <w:trHeight w:val="329"/>
          <w:jc w:val="center"/>
        </w:trPr>
        <w:tc>
          <w:tcPr>
            <w:tcW w:w="2365" w:type="dxa"/>
          </w:tcPr>
          <w:p w:rsidR="001D1FD6" w:rsidRDefault="0012332F">
            <w:pPr>
              <w:spacing w:after="40" w:line="240" w:lineRule="auto"/>
              <w:rPr>
                <w:rFonts w:cs="Times New Roman"/>
                <w:szCs w:val="24"/>
              </w:rPr>
            </w:pPr>
            <w:r>
              <w:rPr>
                <w:rFonts w:cs="Times New Roman"/>
                <w:szCs w:val="24"/>
              </w:rPr>
              <w:t>Sampling/recruitment adequately reported</w:t>
            </w:r>
          </w:p>
        </w:tc>
        <w:tc>
          <w:tcPr>
            <w:tcW w:w="1520" w:type="dxa"/>
          </w:tcPr>
          <w:p w:rsidR="001D1FD6" w:rsidRDefault="0012332F">
            <w:pPr>
              <w:spacing w:after="40" w:line="240" w:lineRule="auto"/>
              <w:rPr>
                <w:rFonts w:cs="Times New Roman"/>
                <w:szCs w:val="24"/>
              </w:rPr>
            </w:pPr>
            <w:r>
              <w:rPr>
                <w:rFonts w:cs="Times New Roman"/>
                <w:szCs w:val="24"/>
              </w:rPr>
              <w:t>Partial - low response in younger men</w:t>
            </w:r>
          </w:p>
        </w:tc>
        <w:tc>
          <w:tcPr>
            <w:tcW w:w="1603" w:type="dxa"/>
          </w:tcPr>
          <w:p w:rsidR="001D1FD6" w:rsidRDefault="0012332F">
            <w:pPr>
              <w:spacing w:after="40" w:line="240" w:lineRule="auto"/>
              <w:rPr>
                <w:rFonts w:cs="Times New Roman"/>
                <w:szCs w:val="24"/>
              </w:rPr>
            </w:pPr>
            <w:r>
              <w:rPr>
                <w:rFonts w:cs="Times New Roman"/>
                <w:szCs w:val="24"/>
              </w:rPr>
              <w:t>Yes - national household sampling described</w:t>
            </w:r>
          </w:p>
        </w:tc>
        <w:tc>
          <w:tcPr>
            <w:tcW w:w="1619" w:type="dxa"/>
          </w:tcPr>
          <w:p w:rsidR="001D1FD6" w:rsidRDefault="0012332F">
            <w:pPr>
              <w:spacing w:after="40" w:line="240" w:lineRule="auto"/>
              <w:rPr>
                <w:rFonts w:cs="Times New Roman"/>
                <w:szCs w:val="24"/>
              </w:rPr>
            </w:pPr>
            <w:r>
              <w:rPr>
                <w:rFonts w:cs="Times New Roman"/>
                <w:szCs w:val="24"/>
              </w:rPr>
              <w:t>Partial - fixed-line sampling and attrition</w:t>
            </w:r>
          </w:p>
        </w:tc>
        <w:tc>
          <w:tcPr>
            <w:tcW w:w="1666" w:type="dxa"/>
          </w:tcPr>
          <w:p w:rsidR="001D1FD6" w:rsidRDefault="0012332F">
            <w:pPr>
              <w:spacing w:after="40" w:line="240" w:lineRule="auto"/>
              <w:rPr>
                <w:rFonts w:cs="Times New Roman"/>
                <w:szCs w:val="24"/>
              </w:rPr>
            </w:pPr>
            <w:r>
              <w:rPr>
                <w:rFonts w:cs="Times New Roman"/>
                <w:szCs w:val="24"/>
              </w:rPr>
              <w:t>Yes - service clients setting quit date</w:t>
            </w:r>
          </w:p>
        </w:tc>
        <w:tc>
          <w:tcPr>
            <w:tcW w:w="1664" w:type="dxa"/>
          </w:tcPr>
          <w:p w:rsidR="001D1FD6" w:rsidRDefault="0012332F">
            <w:pPr>
              <w:spacing w:after="40" w:line="240" w:lineRule="auto"/>
              <w:rPr>
                <w:rFonts w:cs="Times New Roman"/>
                <w:szCs w:val="24"/>
              </w:rPr>
            </w:pPr>
            <w:r>
              <w:rPr>
                <w:rFonts w:cs="Times New Roman"/>
                <w:szCs w:val="24"/>
              </w:rPr>
              <w:t>Partial - lower recruitment than planned</w:t>
            </w:r>
          </w:p>
        </w:tc>
        <w:tc>
          <w:tcPr>
            <w:tcW w:w="1860" w:type="dxa"/>
          </w:tcPr>
          <w:p w:rsidR="001D1FD6" w:rsidRDefault="0012332F">
            <w:pPr>
              <w:spacing w:after="40" w:line="240" w:lineRule="auto"/>
              <w:rPr>
                <w:rFonts w:cs="Times New Roman"/>
                <w:szCs w:val="24"/>
              </w:rPr>
            </w:pPr>
            <w:r>
              <w:rPr>
                <w:rFonts w:cs="Times New Roman"/>
                <w:szCs w:val="24"/>
              </w:rPr>
              <w:t>Partial - selected from Start2quit non-attenders</w:t>
            </w:r>
          </w:p>
        </w:tc>
        <w:tc>
          <w:tcPr>
            <w:tcW w:w="1649" w:type="dxa"/>
          </w:tcPr>
          <w:p w:rsidR="001D1FD6" w:rsidRDefault="0012332F">
            <w:pPr>
              <w:spacing w:after="40" w:line="240" w:lineRule="auto"/>
              <w:rPr>
                <w:rFonts w:cs="Times New Roman"/>
                <w:szCs w:val="24"/>
              </w:rPr>
            </w:pPr>
            <w:r>
              <w:rPr>
                <w:rFonts w:cs="Times New Roman"/>
                <w:szCs w:val="24"/>
              </w:rPr>
              <w:t>Yes - repeated nationally representative surveys</w:t>
            </w:r>
          </w:p>
        </w:tc>
      </w:tr>
      <w:tr w:rsidR="001D1FD6">
        <w:trPr>
          <w:cantSplit/>
          <w:trHeight w:val="315"/>
          <w:jc w:val="center"/>
        </w:trPr>
        <w:tc>
          <w:tcPr>
            <w:tcW w:w="2365" w:type="dxa"/>
          </w:tcPr>
          <w:p w:rsidR="001D1FD6" w:rsidRDefault="0012332F">
            <w:pPr>
              <w:spacing w:after="40" w:line="240" w:lineRule="auto"/>
              <w:rPr>
                <w:rFonts w:cs="Times New Roman"/>
                <w:szCs w:val="24"/>
              </w:rPr>
            </w:pPr>
            <w:r>
              <w:rPr>
                <w:rFonts w:cs="Times New Roman"/>
                <w:szCs w:val="24"/>
              </w:rPr>
              <w:t>Measures/data collection suitable</w:t>
            </w:r>
          </w:p>
        </w:tc>
        <w:tc>
          <w:tcPr>
            <w:tcW w:w="1520" w:type="dxa"/>
          </w:tcPr>
          <w:p w:rsidR="001D1FD6" w:rsidRDefault="0012332F">
            <w:pPr>
              <w:spacing w:after="40" w:line="240" w:lineRule="auto"/>
              <w:rPr>
                <w:rFonts w:cs="Times New Roman"/>
                <w:szCs w:val="24"/>
              </w:rPr>
            </w:pPr>
            <w:r>
              <w:rPr>
                <w:rFonts w:cs="Times New Roman"/>
                <w:szCs w:val="24"/>
              </w:rPr>
              <w:t>Yes - survey measures, but SES measure not standard</w:t>
            </w:r>
          </w:p>
        </w:tc>
        <w:tc>
          <w:tcPr>
            <w:tcW w:w="1603" w:type="dxa"/>
          </w:tcPr>
          <w:p w:rsidR="001D1FD6" w:rsidRDefault="0012332F">
            <w:pPr>
              <w:spacing w:after="40" w:line="240" w:lineRule="auto"/>
              <w:rPr>
                <w:rFonts w:cs="Times New Roman"/>
                <w:szCs w:val="24"/>
              </w:rPr>
            </w:pPr>
            <w:r>
              <w:rPr>
                <w:rFonts w:cs="Times New Roman"/>
                <w:szCs w:val="24"/>
              </w:rPr>
              <w:t>Yes - standard smoking and treatment-use questions</w:t>
            </w:r>
          </w:p>
        </w:tc>
        <w:tc>
          <w:tcPr>
            <w:tcW w:w="1619" w:type="dxa"/>
          </w:tcPr>
          <w:p w:rsidR="001D1FD6" w:rsidRDefault="0012332F">
            <w:pPr>
              <w:spacing w:after="40" w:line="240" w:lineRule="auto"/>
              <w:rPr>
                <w:rFonts w:cs="Times New Roman"/>
                <w:szCs w:val="24"/>
              </w:rPr>
            </w:pPr>
            <w:r>
              <w:rPr>
                <w:rFonts w:cs="Times New Roman"/>
                <w:szCs w:val="24"/>
              </w:rPr>
              <w:t>Yes - standardised ITC measures</w:t>
            </w:r>
          </w:p>
        </w:tc>
        <w:tc>
          <w:tcPr>
            <w:tcW w:w="1666" w:type="dxa"/>
          </w:tcPr>
          <w:p w:rsidR="001D1FD6" w:rsidRDefault="0012332F">
            <w:pPr>
              <w:spacing w:after="40" w:line="240" w:lineRule="auto"/>
              <w:rPr>
                <w:rFonts w:cs="Times New Roman"/>
                <w:szCs w:val="24"/>
              </w:rPr>
            </w:pPr>
            <w:r>
              <w:rPr>
                <w:rFonts w:cs="Times New Roman"/>
                <w:szCs w:val="24"/>
              </w:rPr>
              <w:t>Yes - service data, survey data and CO validation</w:t>
            </w:r>
          </w:p>
        </w:tc>
        <w:tc>
          <w:tcPr>
            <w:tcW w:w="1664" w:type="dxa"/>
          </w:tcPr>
          <w:p w:rsidR="001D1FD6" w:rsidRDefault="0012332F">
            <w:pPr>
              <w:spacing w:after="40" w:line="240" w:lineRule="auto"/>
              <w:rPr>
                <w:rFonts w:cs="Times New Roman"/>
                <w:szCs w:val="24"/>
              </w:rPr>
            </w:pPr>
            <w:r>
              <w:rPr>
                <w:rFonts w:cs="Times New Roman"/>
                <w:szCs w:val="24"/>
              </w:rPr>
              <w:t>Yes - service data and CO validation</w:t>
            </w:r>
          </w:p>
        </w:tc>
        <w:tc>
          <w:tcPr>
            <w:tcW w:w="1860" w:type="dxa"/>
          </w:tcPr>
          <w:p w:rsidR="001D1FD6" w:rsidRDefault="0012332F">
            <w:pPr>
              <w:spacing w:after="40" w:line="240" w:lineRule="auto"/>
              <w:rPr>
                <w:rFonts w:cs="Times New Roman"/>
                <w:szCs w:val="24"/>
              </w:rPr>
            </w:pPr>
            <w:r>
              <w:rPr>
                <w:rFonts w:cs="Times New Roman"/>
                <w:szCs w:val="24"/>
              </w:rPr>
              <w:t>Yes - adapted TBQ; structure assessed with PCA</w:t>
            </w:r>
          </w:p>
        </w:tc>
        <w:tc>
          <w:tcPr>
            <w:tcW w:w="1649" w:type="dxa"/>
          </w:tcPr>
          <w:p w:rsidR="001D1FD6" w:rsidRDefault="0012332F">
            <w:pPr>
              <w:spacing w:after="40" w:line="240" w:lineRule="auto"/>
              <w:rPr>
                <w:rFonts w:cs="Times New Roman"/>
                <w:szCs w:val="24"/>
              </w:rPr>
            </w:pPr>
            <w:r>
              <w:rPr>
                <w:rFonts w:cs="Times New Roman"/>
                <w:szCs w:val="24"/>
              </w:rPr>
              <w:t>Yes - repeated survey measures</w:t>
            </w:r>
          </w:p>
        </w:tc>
      </w:tr>
      <w:tr w:rsidR="001D1FD6">
        <w:trPr>
          <w:cantSplit/>
          <w:trHeight w:val="171"/>
          <w:jc w:val="center"/>
        </w:trPr>
        <w:tc>
          <w:tcPr>
            <w:tcW w:w="2365" w:type="dxa"/>
          </w:tcPr>
          <w:p w:rsidR="001D1FD6" w:rsidRDefault="0012332F">
            <w:pPr>
              <w:spacing w:after="40" w:line="240" w:lineRule="auto"/>
              <w:rPr>
                <w:rFonts w:cs="Times New Roman"/>
                <w:szCs w:val="24"/>
              </w:rPr>
            </w:pPr>
            <w:r>
              <w:rPr>
                <w:rFonts w:cs="Times New Roman"/>
                <w:szCs w:val="24"/>
              </w:rPr>
              <w:t>Ethical considerations reported</w:t>
            </w:r>
          </w:p>
        </w:tc>
        <w:tc>
          <w:tcPr>
            <w:tcW w:w="1520" w:type="dxa"/>
          </w:tcPr>
          <w:p w:rsidR="001D1FD6" w:rsidRDefault="0012332F">
            <w:pPr>
              <w:spacing w:after="40" w:line="240" w:lineRule="auto"/>
              <w:rPr>
                <w:rFonts w:cs="Times New Roman"/>
                <w:szCs w:val="24"/>
              </w:rPr>
            </w:pPr>
            <w:r>
              <w:rPr>
                <w:rFonts w:cs="Times New Roman"/>
                <w:szCs w:val="24"/>
              </w:rPr>
              <w:t>Yes</w:t>
            </w:r>
          </w:p>
        </w:tc>
        <w:tc>
          <w:tcPr>
            <w:tcW w:w="1603" w:type="dxa"/>
          </w:tcPr>
          <w:p w:rsidR="001D1FD6" w:rsidRDefault="0012332F">
            <w:pPr>
              <w:spacing w:after="40" w:line="240" w:lineRule="auto"/>
              <w:rPr>
                <w:rFonts w:cs="Times New Roman"/>
                <w:szCs w:val="24"/>
              </w:rPr>
            </w:pPr>
            <w:r>
              <w:rPr>
                <w:rFonts w:cs="Times New Roman"/>
                <w:szCs w:val="24"/>
              </w:rPr>
              <w:t>Not prominent in report</w:t>
            </w:r>
          </w:p>
        </w:tc>
        <w:tc>
          <w:tcPr>
            <w:tcW w:w="1619" w:type="dxa"/>
          </w:tcPr>
          <w:p w:rsidR="001D1FD6" w:rsidRDefault="0012332F">
            <w:pPr>
              <w:spacing w:after="40" w:line="240" w:lineRule="auto"/>
              <w:rPr>
                <w:rFonts w:cs="Times New Roman"/>
                <w:szCs w:val="24"/>
              </w:rPr>
            </w:pPr>
            <w:r>
              <w:rPr>
                <w:rFonts w:cs="Times New Roman"/>
                <w:szCs w:val="24"/>
              </w:rPr>
              <w:t>Yes</w:t>
            </w:r>
          </w:p>
        </w:tc>
        <w:tc>
          <w:tcPr>
            <w:tcW w:w="1666" w:type="dxa"/>
          </w:tcPr>
          <w:p w:rsidR="001D1FD6" w:rsidRDefault="0012332F">
            <w:pPr>
              <w:spacing w:after="40" w:line="240" w:lineRule="auto"/>
              <w:rPr>
                <w:rFonts w:cs="Times New Roman"/>
                <w:szCs w:val="24"/>
              </w:rPr>
            </w:pPr>
            <w:r>
              <w:rPr>
                <w:rFonts w:cs="Times New Roman"/>
                <w:szCs w:val="24"/>
              </w:rPr>
              <w:t>Yes</w:t>
            </w:r>
          </w:p>
        </w:tc>
        <w:tc>
          <w:tcPr>
            <w:tcW w:w="1664" w:type="dxa"/>
          </w:tcPr>
          <w:p w:rsidR="001D1FD6" w:rsidRDefault="0012332F">
            <w:pPr>
              <w:spacing w:after="40" w:line="240" w:lineRule="auto"/>
              <w:rPr>
                <w:rFonts w:cs="Times New Roman"/>
                <w:szCs w:val="24"/>
              </w:rPr>
            </w:pPr>
            <w:r>
              <w:rPr>
                <w:rFonts w:cs="Times New Roman"/>
                <w:szCs w:val="24"/>
              </w:rPr>
              <w:t>Yes</w:t>
            </w:r>
          </w:p>
        </w:tc>
        <w:tc>
          <w:tcPr>
            <w:tcW w:w="1860" w:type="dxa"/>
          </w:tcPr>
          <w:p w:rsidR="001D1FD6" w:rsidRDefault="0012332F">
            <w:pPr>
              <w:spacing w:after="40" w:line="240" w:lineRule="auto"/>
              <w:rPr>
                <w:rFonts w:cs="Times New Roman"/>
                <w:szCs w:val="24"/>
              </w:rPr>
            </w:pPr>
            <w:r>
              <w:rPr>
                <w:rFonts w:cs="Times New Roman"/>
                <w:szCs w:val="24"/>
              </w:rPr>
              <w:t>Yes</w:t>
            </w:r>
          </w:p>
        </w:tc>
        <w:tc>
          <w:tcPr>
            <w:tcW w:w="1649" w:type="dxa"/>
          </w:tcPr>
          <w:p w:rsidR="001D1FD6" w:rsidRDefault="0012332F">
            <w:pPr>
              <w:spacing w:after="40" w:line="240" w:lineRule="auto"/>
              <w:rPr>
                <w:rFonts w:cs="Times New Roman"/>
                <w:szCs w:val="24"/>
              </w:rPr>
            </w:pPr>
            <w:r>
              <w:rPr>
                <w:rFonts w:cs="Times New Roman"/>
                <w:szCs w:val="24"/>
              </w:rPr>
              <w:t>Yes</w:t>
            </w:r>
          </w:p>
        </w:tc>
      </w:tr>
      <w:tr w:rsidR="001D1FD6">
        <w:trPr>
          <w:cantSplit/>
          <w:trHeight w:val="315"/>
          <w:jc w:val="center"/>
        </w:trPr>
        <w:tc>
          <w:tcPr>
            <w:tcW w:w="2365" w:type="dxa"/>
          </w:tcPr>
          <w:p w:rsidR="001D1FD6" w:rsidRDefault="0012332F">
            <w:pPr>
              <w:spacing w:after="40" w:line="240" w:lineRule="auto"/>
              <w:rPr>
                <w:rFonts w:cs="Times New Roman"/>
                <w:szCs w:val="24"/>
              </w:rPr>
            </w:pPr>
            <w:r>
              <w:rPr>
                <w:rFonts w:cs="Times New Roman"/>
                <w:szCs w:val="24"/>
              </w:rPr>
              <w:t>Analysis appropriate</w:t>
            </w:r>
          </w:p>
        </w:tc>
        <w:tc>
          <w:tcPr>
            <w:tcW w:w="1520" w:type="dxa"/>
          </w:tcPr>
          <w:p w:rsidR="001D1FD6" w:rsidRDefault="0012332F">
            <w:pPr>
              <w:spacing w:after="40" w:line="240" w:lineRule="auto"/>
              <w:rPr>
                <w:rFonts w:cs="Times New Roman"/>
                <w:szCs w:val="24"/>
              </w:rPr>
            </w:pPr>
            <w:r>
              <w:rPr>
                <w:rFonts w:cs="Times New Roman"/>
                <w:szCs w:val="24"/>
              </w:rPr>
              <w:t>Yes</w:t>
            </w:r>
          </w:p>
        </w:tc>
        <w:tc>
          <w:tcPr>
            <w:tcW w:w="1603" w:type="dxa"/>
          </w:tcPr>
          <w:p w:rsidR="001D1FD6" w:rsidRDefault="0012332F">
            <w:pPr>
              <w:spacing w:after="40" w:line="240" w:lineRule="auto"/>
              <w:rPr>
                <w:rFonts w:cs="Times New Roman"/>
                <w:szCs w:val="24"/>
              </w:rPr>
            </w:pPr>
            <w:r>
              <w:rPr>
                <w:rFonts w:cs="Times New Roman"/>
                <w:szCs w:val="24"/>
              </w:rPr>
              <w:t>Yes - multivariable analysis</w:t>
            </w:r>
          </w:p>
        </w:tc>
        <w:tc>
          <w:tcPr>
            <w:tcW w:w="1619" w:type="dxa"/>
          </w:tcPr>
          <w:p w:rsidR="001D1FD6" w:rsidRDefault="0012332F">
            <w:pPr>
              <w:spacing w:after="40" w:line="240" w:lineRule="auto"/>
              <w:rPr>
                <w:rFonts w:cs="Times New Roman"/>
                <w:szCs w:val="24"/>
              </w:rPr>
            </w:pPr>
            <w:r>
              <w:rPr>
                <w:rFonts w:cs="Times New Roman"/>
                <w:szCs w:val="24"/>
              </w:rPr>
              <w:t>Yes - GEE models</w:t>
            </w:r>
          </w:p>
        </w:tc>
        <w:tc>
          <w:tcPr>
            <w:tcW w:w="1666" w:type="dxa"/>
          </w:tcPr>
          <w:p w:rsidR="001D1FD6" w:rsidRDefault="0012332F">
            <w:pPr>
              <w:spacing w:after="40" w:line="240" w:lineRule="auto"/>
              <w:rPr>
                <w:rFonts w:cs="Times New Roman"/>
                <w:szCs w:val="24"/>
              </w:rPr>
            </w:pPr>
            <w:r>
              <w:rPr>
                <w:rFonts w:cs="Times New Roman"/>
                <w:szCs w:val="24"/>
              </w:rPr>
              <w:t>Yes - multivariable analysis</w:t>
            </w:r>
          </w:p>
        </w:tc>
        <w:tc>
          <w:tcPr>
            <w:tcW w:w="1664" w:type="dxa"/>
          </w:tcPr>
          <w:p w:rsidR="001D1FD6" w:rsidRDefault="0012332F">
            <w:pPr>
              <w:spacing w:after="40" w:line="240" w:lineRule="auto"/>
              <w:rPr>
                <w:rFonts w:cs="Times New Roman"/>
                <w:szCs w:val="24"/>
              </w:rPr>
            </w:pPr>
            <w:r>
              <w:rPr>
                <w:rFonts w:cs="Times New Roman"/>
                <w:szCs w:val="24"/>
              </w:rPr>
              <w:t>Yes - weighted rates and logistic regression</w:t>
            </w:r>
          </w:p>
        </w:tc>
        <w:tc>
          <w:tcPr>
            <w:tcW w:w="1860" w:type="dxa"/>
          </w:tcPr>
          <w:p w:rsidR="001D1FD6" w:rsidRDefault="0012332F">
            <w:pPr>
              <w:spacing w:after="40" w:line="240" w:lineRule="auto"/>
              <w:rPr>
                <w:rFonts w:cs="Times New Roman"/>
                <w:szCs w:val="24"/>
              </w:rPr>
            </w:pPr>
            <w:r>
              <w:rPr>
                <w:rFonts w:cs="Times New Roman"/>
                <w:szCs w:val="24"/>
              </w:rPr>
              <w:t>Yes - PCA and regression</w:t>
            </w:r>
          </w:p>
        </w:tc>
        <w:tc>
          <w:tcPr>
            <w:tcW w:w="1649" w:type="dxa"/>
          </w:tcPr>
          <w:p w:rsidR="001D1FD6" w:rsidRDefault="0012332F">
            <w:pPr>
              <w:spacing w:after="40" w:line="240" w:lineRule="auto"/>
              <w:rPr>
                <w:rFonts w:cs="Times New Roman"/>
                <w:szCs w:val="24"/>
              </w:rPr>
            </w:pPr>
            <w:r>
              <w:rPr>
                <w:rFonts w:cs="Times New Roman"/>
                <w:szCs w:val="24"/>
              </w:rPr>
              <w:t>Yes - ARIMA and GAM</w:t>
            </w:r>
          </w:p>
        </w:tc>
      </w:tr>
      <w:tr w:rsidR="001D1FD6">
        <w:trPr>
          <w:cantSplit/>
          <w:trHeight w:val="157"/>
          <w:jc w:val="center"/>
        </w:trPr>
        <w:tc>
          <w:tcPr>
            <w:tcW w:w="2365" w:type="dxa"/>
          </w:tcPr>
          <w:p w:rsidR="001D1FD6" w:rsidRDefault="0012332F">
            <w:pPr>
              <w:spacing w:after="40" w:line="240" w:lineRule="auto"/>
              <w:rPr>
                <w:rFonts w:cs="Times New Roman"/>
                <w:szCs w:val="24"/>
              </w:rPr>
            </w:pPr>
            <w:r>
              <w:rPr>
                <w:rFonts w:cs="Times New Roman"/>
                <w:szCs w:val="24"/>
              </w:rPr>
              <w:lastRenderedPageBreak/>
              <w:t>Results clearly presented</w:t>
            </w:r>
          </w:p>
        </w:tc>
        <w:tc>
          <w:tcPr>
            <w:tcW w:w="1520" w:type="dxa"/>
          </w:tcPr>
          <w:p w:rsidR="001D1FD6" w:rsidRDefault="0012332F">
            <w:pPr>
              <w:spacing w:after="40" w:line="240" w:lineRule="auto"/>
              <w:rPr>
                <w:rFonts w:cs="Times New Roman"/>
                <w:szCs w:val="24"/>
              </w:rPr>
            </w:pPr>
            <w:r>
              <w:rPr>
                <w:rFonts w:cs="Times New Roman"/>
                <w:szCs w:val="24"/>
              </w:rPr>
              <w:t>Yes</w:t>
            </w:r>
          </w:p>
        </w:tc>
        <w:tc>
          <w:tcPr>
            <w:tcW w:w="1603" w:type="dxa"/>
          </w:tcPr>
          <w:p w:rsidR="001D1FD6" w:rsidRDefault="0012332F">
            <w:pPr>
              <w:spacing w:after="40" w:line="240" w:lineRule="auto"/>
              <w:rPr>
                <w:rFonts w:cs="Times New Roman"/>
                <w:szCs w:val="24"/>
              </w:rPr>
            </w:pPr>
            <w:r>
              <w:rPr>
                <w:rFonts w:cs="Times New Roman"/>
                <w:szCs w:val="24"/>
              </w:rPr>
              <w:t>Yes</w:t>
            </w:r>
          </w:p>
        </w:tc>
        <w:tc>
          <w:tcPr>
            <w:tcW w:w="1619" w:type="dxa"/>
          </w:tcPr>
          <w:p w:rsidR="001D1FD6" w:rsidRDefault="0012332F">
            <w:pPr>
              <w:spacing w:after="40" w:line="240" w:lineRule="auto"/>
              <w:rPr>
                <w:rFonts w:cs="Times New Roman"/>
                <w:szCs w:val="24"/>
              </w:rPr>
            </w:pPr>
            <w:r>
              <w:rPr>
                <w:rFonts w:cs="Times New Roman"/>
                <w:szCs w:val="24"/>
              </w:rPr>
              <w:t>Yes</w:t>
            </w:r>
          </w:p>
        </w:tc>
        <w:tc>
          <w:tcPr>
            <w:tcW w:w="1666" w:type="dxa"/>
          </w:tcPr>
          <w:p w:rsidR="001D1FD6" w:rsidRDefault="0012332F">
            <w:pPr>
              <w:spacing w:after="40" w:line="240" w:lineRule="auto"/>
              <w:rPr>
                <w:rFonts w:cs="Times New Roman"/>
                <w:szCs w:val="24"/>
              </w:rPr>
            </w:pPr>
            <w:r>
              <w:rPr>
                <w:rFonts w:cs="Times New Roman"/>
                <w:szCs w:val="24"/>
              </w:rPr>
              <w:t>Yes</w:t>
            </w:r>
          </w:p>
        </w:tc>
        <w:tc>
          <w:tcPr>
            <w:tcW w:w="1664" w:type="dxa"/>
          </w:tcPr>
          <w:p w:rsidR="001D1FD6" w:rsidRDefault="0012332F">
            <w:pPr>
              <w:spacing w:after="40" w:line="240" w:lineRule="auto"/>
              <w:rPr>
                <w:rFonts w:cs="Times New Roman"/>
                <w:szCs w:val="24"/>
              </w:rPr>
            </w:pPr>
            <w:r>
              <w:rPr>
                <w:rFonts w:cs="Times New Roman"/>
                <w:szCs w:val="24"/>
              </w:rPr>
              <w:t>Yes</w:t>
            </w:r>
          </w:p>
        </w:tc>
        <w:tc>
          <w:tcPr>
            <w:tcW w:w="1860" w:type="dxa"/>
          </w:tcPr>
          <w:p w:rsidR="001D1FD6" w:rsidRDefault="0012332F">
            <w:pPr>
              <w:spacing w:after="40" w:line="240" w:lineRule="auto"/>
              <w:rPr>
                <w:rFonts w:cs="Times New Roman"/>
                <w:szCs w:val="24"/>
              </w:rPr>
            </w:pPr>
            <w:r>
              <w:rPr>
                <w:rFonts w:cs="Times New Roman"/>
                <w:szCs w:val="24"/>
              </w:rPr>
              <w:t>Yes</w:t>
            </w:r>
          </w:p>
        </w:tc>
        <w:tc>
          <w:tcPr>
            <w:tcW w:w="1649" w:type="dxa"/>
          </w:tcPr>
          <w:p w:rsidR="001D1FD6" w:rsidRDefault="0012332F">
            <w:pPr>
              <w:spacing w:after="40" w:line="240" w:lineRule="auto"/>
              <w:rPr>
                <w:rFonts w:cs="Times New Roman"/>
                <w:szCs w:val="24"/>
              </w:rPr>
            </w:pPr>
            <w:r>
              <w:rPr>
                <w:rFonts w:cs="Times New Roman"/>
                <w:szCs w:val="24"/>
              </w:rPr>
              <w:t>Yes</w:t>
            </w:r>
          </w:p>
        </w:tc>
      </w:tr>
      <w:tr w:rsidR="001D1FD6">
        <w:trPr>
          <w:cantSplit/>
          <w:trHeight w:val="171"/>
          <w:jc w:val="center"/>
        </w:trPr>
        <w:tc>
          <w:tcPr>
            <w:tcW w:w="2365" w:type="dxa"/>
          </w:tcPr>
          <w:p w:rsidR="001D1FD6" w:rsidRDefault="0012332F">
            <w:pPr>
              <w:spacing w:after="40" w:line="240" w:lineRule="auto"/>
              <w:rPr>
                <w:rFonts w:cs="Times New Roman"/>
                <w:szCs w:val="24"/>
              </w:rPr>
            </w:pPr>
            <w:r>
              <w:rPr>
                <w:rFonts w:cs="Times New Roman"/>
                <w:szCs w:val="24"/>
              </w:rPr>
              <w:t>Limitations acknowledged</w:t>
            </w:r>
          </w:p>
        </w:tc>
        <w:tc>
          <w:tcPr>
            <w:tcW w:w="1520" w:type="dxa"/>
          </w:tcPr>
          <w:p w:rsidR="001D1FD6" w:rsidRDefault="0012332F">
            <w:pPr>
              <w:spacing w:after="40" w:line="240" w:lineRule="auto"/>
              <w:rPr>
                <w:rFonts w:cs="Times New Roman"/>
                <w:szCs w:val="24"/>
              </w:rPr>
            </w:pPr>
            <w:r>
              <w:rPr>
                <w:rFonts w:cs="Times New Roman"/>
                <w:szCs w:val="24"/>
              </w:rPr>
              <w:t>Yes</w:t>
            </w:r>
          </w:p>
        </w:tc>
        <w:tc>
          <w:tcPr>
            <w:tcW w:w="1603" w:type="dxa"/>
          </w:tcPr>
          <w:p w:rsidR="001D1FD6" w:rsidRDefault="0012332F">
            <w:pPr>
              <w:spacing w:after="40" w:line="240" w:lineRule="auto"/>
              <w:rPr>
                <w:rFonts w:cs="Times New Roman"/>
                <w:szCs w:val="24"/>
              </w:rPr>
            </w:pPr>
            <w:r>
              <w:rPr>
                <w:rFonts w:cs="Times New Roman"/>
                <w:szCs w:val="24"/>
              </w:rPr>
              <w:t>Yes</w:t>
            </w:r>
          </w:p>
        </w:tc>
        <w:tc>
          <w:tcPr>
            <w:tcW w:w="1619" w:type="dxa"/>
          </w:tcPr>
          <w:p w:rsidR="001D1FD6" w:rsidRDefault="0012332F">
            <w:pPr>
              <w:spacing w:after="40" w:line="240" w:lineRule="auto"/>
              <w:rPr>
                <w:rFonts w:cs="Times New Roman"/>
                <w:szCs w:val="24"/>
              </w:rPr>
            </w:pPr>
            <w:r>
              <w:rPr>
                <w:rFonts w:cs="Times New Roman"/>
                <w:szCs w:val="24"/>
              </w:rPr>
              <w:t>Yes</w:t>
            </w:r>
          </w:p>
        </w:tc>
        <w:tc>
          <w:tcPr>
            <w:tcW w:w="1666" w:type="dxa"/>
          </w:tcPr>
          <w:p w:rsidR="001D1FD6" w:rsidRDefault="0012332F">
            <w:pPr>
              <w:spacing w:after="40" w:line="240" w:lineRule="auto"/>
              <w:rPr>
                <w:rFonts w:cs="Times New Roman"/>
                <w:szCs w:val="24"/>
              </w:rPr>
            </w:pPr>
            <w:r>
              <w:rPr>
                <w:rFonts w:cs="Times New Roman"/>
                <w:szCs w:val="24"/>
              </w:rPr>
              <w:t>Yes</w:t>
            </w:r>
          </w:p>
        </w:tc>
        <w:tc>
          <w:tcPr>
            <w:tcW w:w="1664" w:type="dxa"/>
          </w:tcPr>
          <w:p w:rsidR="001D1FD6" w:rsidRDefault="0012332F">
            <w:pPr>
              <w:spacing w:after="40" w:line="240" w:lineRule="auto"/>
              <w:rPr>
                <w:rFonts w:cs="Times New Roman"/>
                <w:szCs w:val="24"/>
              </w:rPr>
            </w:pPr>
            <w:r>
              <w:rPr>
                <w:rFonts w:cs="Times New Roman"/>
                <w:szCs w:val="24"/>
              </w:rPr>
              <w:t>Yes</w:t>
            </w:r>
          </w:p>
        </w:tc>
        <w:tc>
          <w:tcPr>
            <w:tcW w:w="1860" w:type="dxa"/>
          </w:tcPr>
          <w:p w:rsidR="001D1FD6" w:rsidRDefault="0012332F">
            <w:pPr>
              <w:spacing w:after="40" w:line="240" w:lineRule="auto"/>
              <w:rPr>
                <w:rFonts w:cs="Times New Roman"/>
                <w:szCs w:val="24"/>
              </w:rPr>
            </w:pPr>
            <w:r>
              <w:rPr>
                <w:rFonts w:cs="Times New Roman"/>
                <w:szCs w:val="24"/>
              </w:rPr>
              <w:t>Yes</w:t>
            </w:r>
          </w:p>
        </w:tc>
        <w:tc>
          <w:tcPr>
            <w:tcW w:w="1649" w:type="dxa"/>
          </w:tcPr>
          <w:p w:rsidR="001D1FD6" w:rsidRDefault="0012332F">
            <w:pPr>
              <w:spacing w:after="40" w:line="240" w:lineRule="auto"/>
              <w:rPr>
                <w:rFonts w:cs="Times New Roman"/>
                <w:szCs w:val="24"/>
              </w:rPr>
            </w:pPr>
            <w:r>
              <w:rPr>
                <w:rFonts w:cs="Times New Roman"/>
                <w:szCs w:val="24"/>
              </w:rPr>
              <w:t>Yes</w:t>
            </w:r>
          </w:p>
        </w:tc>
      </w:tr>
      <w:tr w:rsidR="001D1FD6">
        <w:trPr>
          <w:cantSplit/>
          <w:trHeight w:val="473"/>
          <w:jc w:val="center"/>
        </w:trPr>
        <w:tc>
          <w:tcPr>
            <w:tcW w:w="2365" w:type="dxa"/>
          </w:tcPr>
          <w:p w:rsidR="001D1FD6" w:rsidRDefault="0012332F">
            <w:pPr>
              <w:spacing w:after="40" w:line="240" w:lineRule="auto"/>
              <w:rPr>
                <w:rFonts w:cs="Times New Roman"/>
                <w:szCs w:val="24"/>
              </w:rPr>
            </w:pPr>
            <w:r>
              <w:rPr>
                <w:rFonts w:cs="Times New Roman"/>
                <w:szCs w:val="24"/>
              </w:rPr>
              <w:t>Main appraisal issue</w:t>
            </w:r>
          </w:p>
        </w:tc>
        <w:tc>
          <w:tcPr>
            <w:tcW w:w="1520" w:type="dxa"/>
          </w:tcPr>
          <w:p w:rsidR="001D1FD6" w:rsidRDefault="0012332F">
            <w:pPr>
              <w:spacing w:after="40" w:line="240" w:lineRule="auto"/>
              <w:rPr>
                <w:rFonts w:cs="Times New Roman"/>
                <w:szCs w:val="24"/>
              </w:rPr>
            </w:pPr>
            <w:r>
              <w:rPr>
                <w:rFonts w:cs="Times New Roman"/>
                <w:szCs w:val="24"/>
              </w:rPr>
              <w:t>Age exclusions, low response in younger men and non-standard SES measure</w:t>
            </w:r>
          </w:p>
        </w:tc>
        <w:tc>
          <w:tcPr>
            <w:tcW w:w="1603" w:type="dxa"/>
          </w:tcPr>
          <w:p w:rsidR="001D1FD6" w:rsidRDefault="0012332F">
            <w:pPr>
              <w:spacing w:after="40" w:line="240" w:lineRule="auto"/>
              <w:rPr>
                <w:rFonts w:cs="Times New Roman"/>
                <w:szCs w:val="24"/>
              </w:rPr>
            </w:pPr>
            <w:r>
              <w:rPr>
                <w:rFonts w:cs="Times New Roman"/>
                <w:szCs w:val="24"/>
              </w:rPr>
              <w:t>Cross-sectional self-report and recall bias</w:t>
            </w:r>
          </w:p>
        </w:tc>
        <w:tc>
          <w:tcPr>
            <w:tcW w:w="1619" w:type="dxa"/>
          </w:tcPr>
          <w:p w:rsidR="001D1FD6" w:rsidRDefault="0012332F">
            <w:pPr>
              <w:spacing w:after="40" w:line="240" w:lineRule="auto"/>
              <w:rPr>
                <w:rFonts w:cs="Times New Roman"/>
                <w:szCs w:val="24"/>
              </w:rPr>
            </w:pPr>
            <w:r>
              <w:rPr>
                <w:rFonts w:cs="Times New Roman"/>
                <w:szCs w:val="24"/>
              </w:rPr>
              <w:t>Self-report, fixed-line sampling, attrition and imperfect linkage of support to attempts</w:t>
            </w:r>
          </w:p>
        </w:tc>
        <w:tc>
          <w:tcPr>
            <w:tcW w:w="1666" w:type="dxa"/>
          </w:tcPr>
          <w:p w:rsidR="001D1FD6" w:rsidRDefault="0012332F">
            <w:pPr>
              <w:spacing w:after="40" w:line="240" w:lineRule="auto"/>
              <w:rPr>
                <w:rFonts w:cs="Times New Roman"/>
                <w:szCs w:val="24"/>
              </w:rPr>
            </w:pPr>
            <w:r>
              <w:rPr>
                <w:rFonts w:cs="Times New Roman"/>
                <w:szCs w:val="24"/>
              </w:rPr>
              <w:t>Observational design and incomplete CO validation</w:t>
            </w:r>
          </w:p>
        </w:tc>
        <w:tc>
          <w:tcPr>
            <w:tcW w:w="1664" w:type="dxa"/>
          </w:tcPr>
          <w:p w:rsidR="001D1FD6" w:rsidRDefault="0012332F">
            <w:pPr>
              <w:spacing w:after="40" w:line="240" w:lineRule="auto"/>
              <w:rPr>
                <w:rFonts w:cs="Times New Roman"/>
                <w:szCs w:val="24"/>
              </w:rPr>
            </w:pPr>
            <w:r>
              <w:rPr>
                <w:rFonts w:cs="Times New Roman"/>
                <w:szCs w:val="24"/>
              </w:rPr>
              <w:t>Observational confounding and lower recruitment</w:t>
            </w:r>
          </w:p>
        </w:tc>
        <w:tc>
          <w:tcPr>
            <w:tcW w:w="1860" w:type="dxa"/>
          </w:tcPr>
          <w:p w:rsidR="001D1FD6" w:rsidRDefault="0012332F">
            <w:pPr>
              <w:spacing w:after="40" w:line="240" w:lineRule="auto"/>
              <w:rPr>
                <w:rFonts w:cs="Times New Roman"/>
                <w:szCs w:val="24"/>
              </w:rPr>
            </w:pPr>
            <w:r>
              <w:rPr>
                <w:rFonts w:cs="Times New Roman"/>
                <w:szCs w:val="24"/>
              </w:rPr>
              <w:t>Selected trial population and 47.5% questionnaire response</w:t>
            </w:r>
          </w:p>
        </w:tc>
        <w:tc>
          <w:tcPr>
            <w:tcW w:w="1649" w:type="dxa"/>
          </w:tcPr>
          <w:p w:rsidR="001D1FD6" w:rsidRDefault="0012332F">
            <w:pPr>
              <w:spacing w:after="40" w:line="240" w:lineRule="auto"/>
              <w:rPr>
                <w:rFonts w:cs="Times New Roman"/>
                <w:szCs w:val="24"/>
              </w:rPr>
            </w:pPr>
            <w:r>
              <w:rPr>
                <w:rFonts w:cs="Times New Roman"/>
                <w:szCs w:val="24"/>
              </w:rPr>
              <w:t>Self-report and imperfect exposure classification</w:t>
            </w:r>
          </w:p>
        </w:tc>
      </w:tr>
    </w:tbl>
    <w:p w:rsidR="001D1FD6" w:rsidRDefault="0012332F">
      <w:pPr>
        <w:pStyle w:val="Heading2"/>
        <w:numPr>
          <w:ilvl w:val="0"/>
          <w:numId w:val="0"/>
        </w:numPr>
      </w:pPr>
      <w:bookmarkStart w:id="383" w:name="_Toc238559730"/>
      <w:bookmarkStart w:id="384" w:name="_Toc238262567"/>
      <w:bookmarkStart w:id="385" w:name="_Toc238725464"/>
      <w:bookmarkStart w:id="386" w:name="_Toc238725582"/>
      <w:r>
        <w:t>Appendix 4D: Mixed Methods Appraisal Tool (MMAT) Appraisal of Pope et al. (2025)</w:t>
      </w:r>
      <w:bookmarkEnd w:id="383"/>
      <w:bookmarkEnd w:id="384"/>
      <w:bookmarkEnd w:id="385"/>
      <w:bookmarkEnd w:id="386"/>
    </w:p>
    <w:tbl>
      <w:tblPr>
        <w:tblStyle w:val="TableGrid"/>
        <w:tblW w:w="13948" w:type="dxa"/>
        <w:jc w:val="center"/>
        <w:tblLayout w:type="fixed"/>
        <w:tblLook w:val="04A0"/>
      </w:tblPr>
      <w:tblGrid>
        <w:gridCol w:w="3965"/>
        <w:gridCol w:w="2565"/>
        <w:gridCol w:w="7418"/>
      </w:tblGrid>
      <w:tr w:rsidR="001D1FD6">
        <w:trPr>
          <w:cantSplit/>
          <w:trHeight w:val="410"/>
          <w:tblHeader/>
          <w:jc w:val="center"/>
        </w:trPr>
        <w:tc>
          <w:tcPr>
            <w:tcW w:w="3965" w:type="dxa"/>
            <w:shd w:val="clear" w:color="auto" w:fill="D9E1F2"/>
          </w:tcPr>
          <w:p w:rsidR="001D1FD6" w:rsidRDefault="0012332F">
            <w:pPr>
              <w:jc w:val="center"/>
              <w:rPr>
                <w:b/>
                <w:bCs/>
                <w:szCs w:val="24"/>
              </w:rPr>
            </w:pPr>
            <w:r>
              <w:rPr>
                <w:b/>
                <w:bCs/>
                <w:szCs w:val="24"/>
              </w:rPr>
              <w:t>Mixed Methods Appraisal Tool (MMAT) criterion</w:t>
            </w:r>
          </w:p>
        </w:tc>
        <w:tc>
          <w:tcPr>
            <w:tcW w:w="2565" w:type="dxa"/>
            <w:shd w:val="clear" w:color="auto" w:fill="D9E1F2"/>
          </w:tcPr>
          <w:p w:rsidR="001D1FD6" w:rsidRDefault="0012332F">
            <w:pPr>
              <w:jc w:val="center"/>
              <w:rPr>
                <w:b/>
                <w:bCs/>
                <w:szCs w:val="24"/>
              </w:rPr>
            </w:pPr>
            <w:r>
              <w:rPr>
                <w:b/>
                <w:bCs/>
                <w:szCs w:val="24"/>
              </w:rPr>
              <w:t>Judgement</w:t>
            </w:r>
          </w:p>
        </w:tc>
        <w:tc>
          <w:tcPr>
            <w:tcW w:w="7418" w:type="dxa"/>
            <w:shd w:val="clear" w:color="auto" w:fill="D9E1F2"/>
          </w:tcPr>
          <w:p w:rsidR="001D1FD6" w:rsidRDefault="0012332F">
            <w:pPr>
              <w:jc w:val="center"/>
              <w:rPr>
                <w:b/>
                <w:bCs/>
                <w:szCs w:val="24"/>
              </w:rPr>
            </w:pPr>
            <w:r>
              <w:rPr>
                <w:b/>
                <w:bCs/>
                <w:szCs w:val="24"/>
              </w:rPr>
              <w:t>Evidence from the paper</w:t>
            </w:r>
          </w:p>
        </w:tc>
      </w:tr>
      <w:tr w:rsidR="001D1FD6">
        <w:trPr>
          <w:cantSplit/>
          <w:trHeight w:val="835"/>
          <w:jc w:val="center"/>
        </w:trPr>
        <w:tc>
          <w:tcPr>
            <w:tcW w:w="3965" w:type="dxa"/>
          </w:tcPr>
          <w:p w:rsidR="001D1FD6" w:rsidRDefault="0012332F">
            <w:pPr>
              <w:rPr>
                <w:szCs w:val="24"/>
              </w:rPr>
            </w:pPr>
            <w:r>
              <w:rPr>
                <w:szCs w:val="24"/>
              </w:rPr>
              <w:t>Screening 1: Clear research question</w:t>
            </w:r>
          </w:p>
        </w:tc>
        <w:tc>
          <w:tcPr>
            <w:tcW w:w="2565" w:type="dxa"/>
          </w:tcPr>
          <w:p w:rsidR="001D1FD6" w:rsidRDefault="0012332F">
            <w:pPr>
              <w:rPr>
                <w:szCs w:val="24"/>
              </w:rPr>
            </w:pPr>
            <w:r>
              <w:rPr>
                <w:szCs w:val="24"/>
              </w:rPr>
              <w:t>Yes</w:t>
            </w:r>
          </w:p>
        </w:tc>
        <w:tc>
          <w:tcPr>
            <w:tcW w:w="7418" w:type="dxa"/>
          </w:tcPr>
          <w:p w:rsidR="001D1FD6" w:rsidRDefault="0012332F">
            <w:pPr>
              <w:rPr>
                <w:szCs w:val="24"/>
              </w:rPr>
            </w:pPr>
            <w:r>
              <w:rPr>
                <w:szCs w:val="24"/>
              </w:rPr>
              <w:t>The study clearly examined engagement with stop smoking services after referral or signposting.</w:t>
            </w:r>
          </w:p>
        </w:tc>
      </w:tr>
      <w:tr w:rsidR="001D1FD6">
        <w:trPr>
          <w:cantSplit/>
          <w:trHeight w:val="1261"/>
          <w:jc w:val="center"/>
        </w:trPr>
        <w:tc>
          <w:tcPr>
            <w:tcW w:w="3965" w:type="dxa"/>
          </w:tcPr>
          <w:p w:rsidR="001D1FD6" w:rsidRDefault="0012332F">
            <w:pPr>
              <w:rPr>
                <w:szCs w:val="24"/>
              </w:rPr>
            </w:pPr>
            <w:r>
              <w:rPr>
                <w:szCs w:val="24"/>
              </w:rPr>
              <w:t>Screening 2: Collected data address the question</w:t>
            </w:r>
          </w:p>
        </w:tc>
        <w:tc>
          <w:tcPr>
            <w:tcW w:w="2565" w:type="dxa"/>
          </w:tcPr>
          <w:p w:rsidR="001D1FD6" w:rsidRDefault="0012332F">
            <w:pPr>
              <w:rPr>
                <w:szCs w:val="24"/>
              </w:rPr>
            </w:pPr>
            <w:r>
              <w:rPr>
                <w:szCs w:val="24"/>
              </w:rPr>
              <w:t>Yes</w:t>
            </w:r>
          </w:p>
        </w:tc>
        <w:tc>
          <w:tcPr>
            <w:tcW w:w="7418" w:type="dxa"/>
          </w:tcPr>
          <w:p w:rsidR="001D1FD6" w:rsidRDefault="0012332F">
            <w:pPr>
              <w:rPr>
                <w:szCs w:val="24"/>
              </w:rPr>
            </w:pPr>
            <w:r>
              <w:rPr>
                <w:szCs w:val="24"/>
              </w:rPr>
              <w:t>Participant reports, service records and interviews directly addressed contact, engagement and barriers.</w:t>
            </w:r>
          </w:p>
        </w:tc>
      </w:tr>
      <w:tr w:rsidR="001D1FD6">
        <w:trPr>
          <w:cantSplit/>
          <w:trHeight w:val="1245"/>
          <w:jc w:val="center"/>
        </w:trPr>
        <w:tc>
          <w:tcPr>
            <w:tcW w:w="3965" w:type="dxa"/>
          </w:tcPr>
          <w:p w:rsidR="001D1FD6" w:rsidRDefault="0012332F">
            <w:pPr>
              <w:rPr>
                <w:szCs w:val="24"/>
              </w:rPr>
            </w:pPr>
            <w:r>
              <w:rPr>
                <w:szCs w:val="24"/>
              </w:rPr>
              <w:t>Rationale for combining components</w:t>
            </w:r>
          </w:p>
        </w:tc>
        <w:tc>
          <w:tcPr>
            <w:tcW w:w="2565" w:type="dxa"/>
          </w:tcPr>
          <w:p w:rsidR="001D1FD6" w:rsidRDefault="0012332F">
            <w:pPr>
              <w:rPr>
                <w:szCs w:val="24"/>
              </w:rPr>
            </w:pPr>
            <w:r>
              <w:rPr>
                <w:szCs w:val="24"/>
              </w:rPr>
              <w:t>Yes</w:t>
            </w:r>
          </w:p>
        </w:tc>
        <w:tc>
          <w:tcPr>
            <w:tcW w:w="7418" w:type="dxa"/>
          </w:tcPr>
          <w:p w:rsidR="001D1FD6" w:rsidRDefault="0012332F">
            <w:pPr>
              <w:rPr>
                <w:szCs w:val="24"/>
              </w:rPr>
            </w:pPr>
            <w:r>
              <w:rPr>
                <w:szCs w:val="24"/>
              </w:rPr>
              <w:t>Quantitative data measured engagement rates while interviews explained reasons for engagement or non-engagement.</w:t>
            </w:r>
          </w:p>
        </w:tc>
      </w:tr>
      <w:tr w:rsidR="001D1FD6">
        <w:trPr>
          <w:cantSplit/>
          <w:trHeight w:val="1261"/>
          <w:jc w:val="center"/>
        </w:trPr>
        <w:tc>
          <w:tcPr>
            <w:tcW w:w="3965" w:type="dxa"/>
          </w:tcPr>
          <w:p w:rsidR="001D1FD6" w:rsidRDefault="0012332F">
            <w:pPr>
              <w:rPr>
                <w:szCs w:val="24"/>
              </w:rPr>
            </w:pPr>
            <w:r>
              <w:rPr>
                <w:szCs w:val="24"/>
              </w:rPr>
              <w:lastRenderedPageBreak/>
              <w:t>Components effectively integrated</w:t>
            </w:r>
          </w:p>
        </w:tc>
        <w:tc>
          <w:tcPr>
            <w:tcW w:w="2565" w:type="dxa"/>
          </w:tcPr>
          <w:p w:rsidR="001D1FD6" w:rsidRDefault="0012332F">
            <w:pPr>
              <w:rPr>
                <w:szCs w:val="24"/>
              </w:rPr>
            </w:pPr>
            <w:r>
              <w:rPr>
                <w:szCs w:val="24"/>
              </w:rPr>
              <w:t>Yes</w:t>
            </w:r>
          </w:p>
        </w:tc>
        <w:tc>
          <w:tcPr>
            <w:tcW w:w="7418" w:type="dxa"/>
          </w:tcPr>
          <w:p w:rsidR="001D1FD6" w:rsidRDefault="0012332F">
            <w:pPr>
              <w:rPr>
                <w:szCs w:val="24"/>
              </w:rPr>
            </w:pPr>
            <w:r>
              <w:rPr>
                <w:szCs w:val="24"/>
              </w:rPr>
              <w:t>Service records, participant reports and interview findings were compared in the results and discussion.</w:t>
            </w:r>
          </w:p>
        </w:tc>
      </w:tr>
      <w:tr w:rsidR="001D1FD6">
        <w:trPr>
          <w:cantSplit/>
          <w:trHeight w:val="820"/>
          <w:jc w:val="center"/>
        </w:trPr>
        <w:tc>
          <w:tcPr>
            <w:tcW w:w="3965" w:type="dxa"/>
          </w:tcPr>
          <w:p w:rsidR="001D1FD6" w:rsidRDefault="0012332F">
            <w:pPr>
              <w:rPr>
                <w:szCs w:val="24"/>
              </w:rPr>
            </w:pPr>
            <w:r>
              <w:rPr>
                <w:szCs w:val="24"/>
              </w:rPr>
              <w:t>Integrated outputs adequately interpreted</w:t>
            </w:r>
          </w:p>
        </w:tc>
        <w:tc>
          <w:tcPr>
            <w:tcW w:w="2565" w:type="dxa"/>
          </w:tcPr>
          <w:p w:rsidR="001D1FD6" w:rsidRDefault="0012332F">
            <w:pPr>
              <w:rPr>
                <w:szCs w:val="24"/>
              </w:rPr>
            </w:pPr>
            <w:r>
              <w:rPr>
                <w:szCs w:val="24"/>
              </w:rPr>
              <w:t>Yes</w:t>
            </w:r>
          </w:p>
        </w:tc>
        <w:tc>
          <w:tcPr>
            <w:tcW w:w="7418" w:type="dxa"/>
          </w:tcPr>
          <w:p w:rsidR="001D1FD6" w:rsidRDefault="0012332F">
            <w:pPr>
              <w:rPr>
                <w:szCs w:val="24"/>
              </w:rPr>
            </w:pPr>
            <w:r>
              <w:rPr>
                <w:szCs w:val="24"/>
              </w:rPr>
              <w:t>Low engagement was interpreted alongside failed contact, inflexibility and service fit.</w:t>
            </w:r>
          </w:p>
        </w:tc>
      </w:tr>
      <w:tr w:rsidR="001D1FD6">
        <w:trPr>
          <w:cantSplit/>
          <w:trHeight w:val="1261"/>
          <w:jc w:val="center"/>
        </w:trPr>
        <w:tc>
          <w:tcPr>
            <w:tcW w:w="3965" w:type="dxa"/>
          </w:tcPr>
          <w:p w:rsidR="001D1FD6" w:rsidRDefault="0012332F">
            <w:pPr>
              <w:rPr>
                <w:szCs w:val="24"/>
              </w:rPr>
            </w:pPr>
            <w:r>
              <w:rPr>
                <w:szCs w:val="24"/>
              </w:rPr>
              <w:t>Divergences/inconsistencies considered</w:t>
            </w:r>
          </w:p>
        </w:tc>
        <w:tc>
          <w:tcPr>
            <w:tcW w:w="2565" w:type="dxa"/>
          </w:tcPr>
          <w:p w:rsidR="001D1FD6" w:rsidRDefault="0012332F">
            <w:pPr>
              <w:rPr>
                <w:szCs w:val="24"/>
              </w:rPr>
            </w:pPr>
            <w:r>
              <w:rPr>
                <w:szCs w:val="24"/>
              </w:rPr>
              <w:t>Yes, with limitations</w:t>
            </w:r>
          </w:p>
        </w:tc>
        <w:tc>
          <w:tcPr>
            <w:tcW w:w="7418" w:type="dxa"/>
          </w:tcPr>
          <w:p w:rsidR="001D1FD6" w:rsidRDefault="0012332F">
            <w:pPr>
              <w:rPr>
                <w:szCs w:val="24"/>
              </w:rPr>
            </w:pPr>
            <w:r>
              <w:rPr>
                <w:szCs w:val="24"/>
              </w:rPr>
              <w:t>Differences between participant-reported and service-recorded engagement were acknowledged, although service reporting was inconsistent.</w:t>
            </w:r>
          </w:p>
        </w:tc>
      </w:tr>
      <w:tr w:rsidR="001D1FD6">
        <w:trPr>
          <w:cantSplit/>
          <w:trHeight w:val="1671"/>
          <w:jc w:val="center"/>
        </w:trPr>
        <w:tc>
          <w:tcPr>
            <w:tcW w:w="3965" w:type="dxa"/>
          </w:tcPr>
          <w:p w:rsidR="001D1FD6" w:rsidRDefault="0012332F">
            <w:pPr>
              <w:rPr>
                <w:szCs w:val="24"/>
              </w:rPr>
            </w:pPr>
            <w:r>
              <w:rPr>
                <w:szCs w:val="24"/>
              </w:rPr>
              <w:t>Each component meets relevant quality expectations</w:t>
            </w:r>
          </w:p>
        </w:tc>
        <w:tc>
          <w:tcPr>
            <w:tcW w:w="2565" w:type="dxa"/>
          </w:tcPr>
          <w:p w:rsidR="001D1FD6" w:rsidRDefault="0012332F">
            <w:pPr>
              <w:rPr>
                <w:szCs w:val="24"/>
              </w:rPr>
            </w:pPr>
            <w:r>
              <w:rPr>
                <w:szCs w:val="24"/>
              </w:rPr>
              <w:t>Partly</w:t>
            </w:r>
          </w:p>
        </w:tc>
        <w:tc>
          <w:tcPr>
            <w:tcW w:w="7418" w:type="dxa"/>
          </w:tcPr>
          <w:p w:rsidR="001D1FD6" w:rsidRDefault="0012332F">
            <w:pPr>
              <w:rPr>
                <w:szCs w:val="24"/>
              </w:rPr>
            </w:pPr>
            <w:r>
              <w:rPr>
                <w:szCs w:val="24"/>
              </w:rPr>
              <w:t>The quantitative component was limited by missing/inconsistent service data; the qualitative component used purposive sampling and brief reporting.</w:t>
            </w:r>
          </w:p>
        </w:tc>
      </w:tr>
      <w:tr w:rsidR="001D1FD6">
        <w:trPr>
          <w:cantSplit/>
          <w:trHeight w:val="1671"/>
          <w:jc w:val="center"/>
        </w:trPr>
        <w:tc>
          <w:tcPr>
            <w:tcW w:w="3965" w:type="dxa"/>
          </w:tcPr>
          <w:p w:rsidR="001D1FD6" w:rsidRDefault="0012332F">
            <w:pPr>
              <w:rPr>
                <w:szCs w:val="24"/>
              </w:rPr>
            </w:pPr>
            <w:r>
              <w:rPr>
                <w:szCs w:val="24"/>
              </w:rPr>
              <w:t>Overall appraisal</w:t>
            </w:r>
          </w:p>
        </w:tc>
        <w:tc>
          <w:tcPr>
            <w:tcW w:w="2565" w:type="dxa"/>
          </w:tcPr>
          <w:p w:rsidR="001D1FD6" w:rsidRDefault="0012332F">
            <w:pPr>
              <w:rPr>
                <w:szCs w:val="24"/>
              </w:rPr>
            </w:pPr>
            <w:r>
              <w:rPr>
                <w:szCs w:val="24"/>
              </w:rPr>
              <w:t>Appropriate contribution with limitations</w:t>
            </w:r>
          </w:p>
        </w:tc>
        <w:tc>
          <w:tcPr>
            <w:tcW w:w="7418" w:type="dxa"/>
          </w:tcPr>
          <w:p w:rsidR="001D1FD6" w:rsidRDefault="0012332F">
            <w:pPr>
              <w:rPr>
                <w:szCs w:val="24"/>
              </w:rPr>
            </w:pPr>
            <w:r>
              <w:rPr>
                <w:szCs w:val="24"/>
              </w:rPr>
              <w:t>The integration was relevant and useful, but missing data, one non-reporting service and purposive interview sampling require cautious interpretation.</w:t>
            </w:r>
          </w:p>
        </w:tc>
      </w:tr>
    </w:tbl>
    <w:p w:rsidR="001D1FD6" w:rsidRDefault="001D1FD6">
      <w:pPr>
        <w:sectPr w:rsidR="001D1FD6">
          <w:footerReference w:type="default" r:id="rId120"/>
          <w:pgSz w:w="16838" w:h="11906" w:orient="landscape"/>
          <w:pgMar w:top="1440" w:right="1440" w:bottom="1440" w:left="1440" w:header="0" w:footer="720" w:gutter="0"/>
          <w:cols w:space="720"/>
          <w:formProt w:val="0"/>
          <w:docGrid w:linePitch="360"/>
        </w:sectPr>
      </w:pPr>
    </w:p>
    <w:p w:rsidR="001D1FD6" w:rsidRDefault="0012332F">
      <w:pPr>
        <w:pStyle w:val="Heading2"/>
        <w:numPr>
          <w:ilvl w:val="0"/>
          <w:numId w:val="0"/>
        </w:numPr>
      </w:pPr>
      <w:bookmarkStart w:id="387" w:name="_Toc238559731"/>
      <w:bookmarkStart w:id="388" w:name="_Toc238262568"/>
      <w:bookmarkStart w:id="389" w:name="_Toc238725465"/>
      <w:bookmarkStart w:id="390" w:name="_Toc238725583"/>
      <w:r>
        <w:lastRenderedPageBreak/>
        <w:t>Appendix 5A: Coding and Theme-Development Matrix</w:t>
      </w:r>
      <w:bookmarkEnd w:id="387"/>
      <w:bookmarkEnd w:id="388"/>
      <w:bookmarkEnd w:id="389"/>
      <w:bookmarkEnd w:id="390"/>
    </w:p>
    <w:tbl>
      <w:tblPr>
        <w:tblStyle w:val="TableGrid"/>
        <w:tblW w:w="9016" w:type="dxa"/>
        <w:jc w:val="center"/>
        <w:tblLayout w:type="fixed"/>
        <w:tblLook w:val="04A0"/>
      </w:tblPr>
      <w:tblGrid>
        <w:gridCol w:w="2025"/>
        <w:gridCol w:w="2725"/>
        <w:gridCol w:w="2244"/>
        <w:gridCol w:w="2022"/>
      </w:tblGrid>
      <w:tr w:rsidR="001D1FD6">
        <w:trPr>
          <w:cantSplit/>
          <w:trHeight w:val="204"/>
          <w:tblHeader/>
          <w:jc w:val="center"/>
        </w:trPr>
        <w:tc>
          <w:tcPr>
            <w:tcW w:w="2024" w:type="dxa"/>
            <w:shd w:val="clear" w:color="auto" w:fill="D9E1F2"/>
          </w:tcPr>
          <w:p w:rsidR="001D1FD6" w:rsidRDefault="0012332F">
            <w:pPr>
              <w:rPr>
                <w:b/>
                <w:bCs/>
                <w:szCs w:val="24"/>
              </w:rPr>
            </w:pPr>
            <w:r>
              <w:rPr>
                <w:b/>
                <w:bCs/>
                <w:szCs w:val="24"/>
              </w:rPr>
              <w:t>Initial code</w:t>
            </w:r>
          </w:p>
        </w:tc>
        <w:tc>
          <w:tcPr>
            <w:tcW w:w="2725" w:type="dxa"/>
            <w:shd w:val="clear" w:color="auto" w:fill="D9E1F2"/>
          </w:tcPr>
          <w:p w:rsidR="001D1FD6" w:rsidRDefault="0012332F">
            <w:pPr>
              <w:rPr>
                <w:b/>
                <w:bCs/>
                <w:szCs w:val="24"/>
              </w:rPr>
            </w:pPr>
            <w:r>
              <w:rPr>
                <w:b/>
                <w:bCs/>
                <w:szCs w:val="24"/>
              </w:rPr>
              <w:t>Meaning in the evidence</w:t>
            </w:r>
          </w:p>
        </w:tc>
        <w:tc>
          <w:tcPr>
            <w:tcW w:w="2244" w:type="dxa"/>
            <w:shd w:val="clear" w:color="auto" w:fill="D9E1F2"/>
          </w:tcPr>
          <w:p w:rsidR="001D1FD6" w:rsidRDefault="0012332F">
            <w:pPr>
              <w:rPr>
                <w:b/>
                <w:bCs/>
                <w:szCs w:val="24"/>
              </w:rPr>
            </w:pPr>
            <w:r>
              <w:rPr>
                <w:b/>
                <w:bCs/>
                <w:szCs w:val="24"/>
              </w:rPr>
              <w:t>Supporting studies</w:t>
            </w:r>
          </w:p>
        </w:tc>
        <w:tc>
          <w:tcPr>
            <w:tcW w:w="2022" w:type="dxa"/>
            <w:shd w:val="clear" w:color="auto" w:fill="D9E1F2"/>
          </w:tcPr>
          <w:p w:rsidR="001D1FD6" w:rsidRDefault="0012332F">
            <w:pPr>
              <w:rPr>
                <w:b/>
                <w:bCs/>
                <w:szCs w:val="24"/>
              </w:rPr>
            </w:pPr>
            <w:r>
              <w:rPr>
                <w:b/>
                <w:bCs/>
                <w:szCs w:val="24"/>
              </w:rPr>
              <w:t>Final theme</w:t>
            </w:r>
          </w:p>
        </w:tc>
      </w:tr>
      <w:tr w:rsidR="001D1FD6">
        <w:trPr>
          <w:cantSplit/>
          <w:trHeight w:val="204"/>
          <w:jc w:val="center"/>
        </w:trPr>
        <w:tc>
          <w:tcPr>
            <w:tcW w:w="2024" w:type="dxa"/>
          </w:tcPr>
          <w:p w:rsidR="001D1FD6" w:rsidRDefault="0012332F">
            <w:pPr>
              <w:rPr>
                <w:szCs w:val="24"/>
              </w:rPr>
            </w:pPr>
            <w:r>
              <w:rPr>
                <w:szCs w:val="24"/>
              </w:rPr>
              <w:t>Low awareness</w:t>
            </w:r>
          </w:p>
        </w:tc>
        <w:tc>
          <w:tcPr>
            <w:tcW w:w="2725" w:type="dxa"/>
          </w:tcPr>
          <w:p w:rsidR="001D1FD6" w:rsidRDefault="0012332F">
            <w:pPr>
              <w:rPr>
                <w:szCs w:val="24"/>
              </w:rPr>
            </w:pPr>
            <w:r>
              <w:rPr>
                <w:szCs w:val="24"/>
              </w:rPr>
              <w:t>Limited knowledge of service availability or content</w:t>
            </w:r>
          </w:p>
        </w:tc>
        <w:tc>
          <w:tcPr>
            <w:tcW w:w="2244" w:type="dxa"/>
          </w:tcPr>
          <w:p w:rsidR="001D1FD6" w:rsidRDefault="0012332F">
            <w:pPr>
              <w:rPr>
                <w:szCs w:val="24"/>
              </w:rPr>
            </w:pPr>
            <w:r>
              <w:rPr>
                <w:szCs w:val="24"/>
                <w:lang w:val="de-CH"/>
              </w:rPr>
              <w:t xml:space="preserve">Edwards et al. (2007); Kale et al. </w:t>
            </w:r>
            <w:r>
              <w:rPr>
                <w:szCs w:val="24"/>
              </w:rPr>
              <w:t>(2019); Smith et al. (2026)</w:t>
            </w:r>
          </w:p>
        </w:tc>
        <w:tc>
          <w:tcPr>
            <w:tcW w:w="2022" w:type="dxa"/>
          </w:tcPr>
          <w:p w:rsidR="001D1FD6" w:rsidRDefault="0012332F">
            <w:pPr>
              <w:rPr>
                <w:szCs w:val="24"/>
              </w:rPr>
            </w:pPr>
            <w:r>
              <w:rPr>
                <w:szCs w:val="24"/>
              </w:rPr>
              <w:t>Initial connection to support</w:t>
            </w:r>
          </w:p>
        </w:tc>
      </w:tr>
      <w:tr w:rsidR="001D1FD6">
        <w:trPr>
          <w:cantSplit/>
          <w:trHeight w:val="204"/>
          <w:jc w:val="center"/>
        </w:trPr>
        <w:tc>
          <w:tcPr>
            <w:tcW w:w="2024" w:type="dxa"/>
          </w:tcPr>
          <w:p w:rsidR="001D1FD6" w:rsidRDefault="0012332F">
            <w:pPr>
              <w:rPr>
                <w:szCs w:val="24"/>
              </w:rPr>
            </w:pPr>
            <w:r>
              <w:rPr>
                <w:szCs w:val="24"/>
              </w:rPr>
              <w:t>Low confidence in formal support</w:t>
            </w:r>
          </w:p>
        </w:tc>
        <w:tc>
          <w:tcPr>
            <w:tcW w:w="2725" w:type="dxa"/>
          </w:tcPr>
          <w:p w:rsidR="001D1FD6" w:rsidRDefault="0012332F">
            <w:pPr>
              <w:rPr>
                <w:szCs w:val="24"/>
              </w:rPr>
            </w:pPr>
            <w:r>
              <w:rPr>
                <w:szCs w:val="24"/>
              </w:rPr>
              <w:t>Belief that services will not help or quitting should be done alone</w:t>
            </w:r>
          </w:p>
        </w:tc>
        <w:tc>
          <w:tcPr>
            <w:tcW w:w="2244" w:type="dxa"/>
          </w:tcPr>
          <w:p w:rsidR="001D1FD6" w:rsidRDefault="0012332F">
            <w:pPr>
              <w:rPr>
                <w:szCs w:val="24"/>
              </w:rPr>
            </w:pPr>
            <w:r>
              <w:rPr>
                <w:szCs w:val="24"/>
                <w:lang w:val="de-CH"/>
              </w:rPr>
              <w:t xml:space="preserve">Kale et al. (2019); Smith et al. </w:t>
            </w:r>
            <w:r>
              <w:rPr>
                <w:szCs w:val="24"/>
              </w:rPr>
              <w:t>(2026)</w:t>
            </w:r>
          </w:p>
        </w:tc>
        <w:tc>
          <w:tcPr>
            <w:tcW w:w="2022" w:type="dxa"/>
          </w:tcPr>
          <w:p w:rsidR="001D1FD6" w:rsidRDefault="0012332F">
            <w:pPr>
              <w:rPr>
                <w:szCs w:val="24"/>
              </w:rPr>
            </w:pPr>
            <w:r>
              <w:rPr>
                <w:szCs w:val="24"/>
              </w:rPr>
              <w:t>Initial connection to support</w:t>
            </w:r>
          </w:p>
        </w:tc>
      </w:tr>
      <w:tr w:rsidR="001D1FD6">
        <w:trPr>
          <w:cantSplit/>
          <w:trHeight w:val="204"/>
          <w:jc w:val="center"/>
        </w:trPr>
        <w:tc>
          <w:tcPr>
            <w:tcW w:w="2024" w:type="dxa"/>
          </w:tcPr>
          <w:p w:rsidR="001D1FD6" w:rsidRDefault="0012332F">
            <w:pPr>
              <w:rPr>
                <w:szCs w:val="24"/>
              </w:rPr>
            </w:pPr>
            <w:r>
              <w:rPr>
                <w:szCs w:val="24"/>
              </w:rPr>
              <w:t>Referral without engagement</w:t>
            </w:r>
          </w:p>
        </w:tc>
        <w:tc>
          <w:tcPr>
            <w:tcW w:w="2725" w:type="dxa"/>
          </w:tcPr>
          <w:p w:rsidR="001D1FD6" w:rsidRDefault="0012332F">
            <w:pPr>
              <w:rPr>
                <w:szCs w:val="24"/>
              </w:rPr>
            </w:pPr>
            <w:r>
              <w:rPr>
                <w:szCs w:val="24"/>
              </w:rPr>
              <w:t>People are lost between referral, contact and participation</w:t>
            </w:r>
          </w:p>
        </w:tc>
        <w:tc>
          <w:tcPr>
            <w:tcW w:w="2244" w:type="dxa"/>
          </w:tcPr>
          <w:p w:rsidR="001D1FD6" w:rsidRDefault="0012332F">
            <w:pPr>
              <w:rPr>
                <w:szCs w:val="24"/>
              </w:rPr>
            </w:pPr>
            <w:r>
              <w:rPr>
                <w:szCs w:val="24"/>
              </w:rPr>
              <w:t>Pope et al. (2025)</w:t>
            </w:r>
          </w:p>
        </w:tc>
        <w:tc>
          <w:tcPr>
            <w:tcW w:w="2022" w:type="dxa"/>
          </w:tcPr>
          <w:p w:rsidR="001D1FD6" w:rsidRDefault="0012332F">
            <w:pPr>
              <w:rPr>
                <w:szCs w:val="24"/>
              </w:rPr>
            </w:pPr>
            <w:r>
              <w:rPr>
                <w:szCs w:val="24"/>
              </w:rPr>
              <w:t>Initial connection to support</w:t>
            </w:r>
          </w:p>
        </w:tc>
      </w:tr>
      <w:tr w:rsidR="001D1FD6">
        <w:trPr>
          <w:cantSplit/>
          <w:trHeight w:val="204"/>
          <w:jc w:val="center"/>
        </w:trPr>
        <w:tc>
          <w:tcPr>
            <w:tcW w:w="2024" w:type="dxa"/>
          </w:tcPr>
          <w:p w:rsidR="001D1FD6" w:rsidRDefault="0012332F">
            <w:pPr>
              <w:rPr>
                <w:szCs w:val="24"/>
              </w:rPr>
            </w:pPr>
            <w:r>
              <w:rPr>
                <w:szCs w:val="24"/>
              </w:rPr>
              <w:t>Promotion initiates attempts</w:t>
            </w:r>
          </w:p>
        </w:tc>
        <w:tc>
          <w:tcPr>
            <w:tcW w:w="2725" w:type="dxa"/>
          </w:tcPr>
          <w:p w:rsidR="001D1FD6" w:rsidRDefault="0012332F">
            <w:pPr>
              <w:rPr>
                <w:szCs w:val="24"/>
              </w:rPr>
            </w:pPr>
            <w:r>
              <w:rPr>
                <w:szCs w:val="24"/>
              </w:rPr>
              <w:t>Population promotion increases quit attempts or use of support</w:t>
            </w:r>
          </w:p>
        </w:tc>
        <w:tc>
          <w:tcPr>
            <w:tcW w:w="2244" w:type="dxa"/>
          </w:tcPr>
          <w:p w:rsidR="001D1FD6" w:rsidRDefault="0012332F">
            <w:pPr>
              <w:rPr>
                <w:szCs w:val="24"/>
              </w:rPr>
            </w:pPr>
            <w:r>
              <w:rPr>
                <w:szCs w:val="24"/>
              </w:rPr>
              <w:t>Gibson et al. (2010); Jackson et al. (2021)</w:t>
            </w:r>
          </w:p>
        </w:tc>
        <w:tc>
          <w:tcPr>
            <w:tcW w:w="2022" w:type="dxa"/>
          </w:tcPr>
          <w:p w:rsidR="001D1FD6" w:rsidRDefault="0012332F">
            <w:pPr>
              <w:rPr>
                <w:szCs w:val="24"/>
              </w:rPr>
            </w:pPr>
            <w:r>
              <w:rPr>
                <w:szCs w:val="24"/>
              </w:rPr>
              <w:t>Initial connection to support</w:t>
            </w:r>
          </w:p>
        </w:tc>
      </w:tr>
      <w:tr w:rsidR="001D1FD6">
        <w:trPr>
          <w:cantSplit/>
          <w:trHeight w:val="204"/>
          <w:jc w:val="center"/>
        </w:trPr>
        <w:tc>
          <w:tcPr>
            <w:tcW w:w="2024" w:type="dxa"/>
          </w:tcPr>
          <w:p w:rsidR="001D1FD6" w:rsidRDefault="0012332F">
            <w:pPr>
              <w:rPr>
                <w:szCs w:val="24"/>
              </w:rPr>
            </w:pPr>
            <w:r>
              <w:rPr>
                <w:szCs w:val="24"/>
              </w:rPr>
              <w:t>Time and work constraints</w:t>
            </w:r>
          </w:p>
        </w:tc>
        <w:tc>
          <w:tcPr>
            <w:tcW w:w="2725" w:type="dxa"/>
          </w:tcPr>
          <w:p w:rsidR="001D1FD6" w:rsidRDefault="0012332F">
            <w:pPr>
              <w:rPr>
                <w:szCs w:val="24"/>
              </w:rPr>
            </w:pPr>
            <w:r>
              <w:rPr>
                <w:szCs w:val="24"/>
              </w:rPr>
              <w:t>Competing responsibilities make attendance difficult</w:t>
            </w:r>
          </w:p>
        </w:tc>
        <w:tc>
          <w:tcPr>
            <w:tcW w:w="2244" w:type="dxa"/>
          </w:tcPr>
          <w:p w:rsidR="001D1FD6" w:rsidRDefault="0012332F">
            <w:pPr>
              <w:rPr>
                <w:szCs w:val="24"/>
              </w:rPr>
            </w:pPr>
            <w:r>
              <w:rPr>
                <w:szCs w:val="24"/>
                <w:lang w:val="de-CH"/>
              </w:rPr>
              <w:t xml:space="preserve">Kale et al. (2019); Smith et al. </w:t>
            </w:r>
            <w:r>
              <w:rPr>
                <w:szCs w:val="24"/>
              </w:rPr>
              <w:t>(2026)</w:t>
            </w:r>
          </w:p>
        </w:tc>
        <w:tc>
          <w:tcPr>
            <w:tcW w:w="2022" w:type="dxa"/>
          </w:tcPr>
          <w:p w:rsidR="001D1FD6" w:rsidRDefault="0012332F">
            <w:pPr>
              <w:rPr>
                <w:szCs w:val="24"/>
              </w:rPr>
            </w:pPr>
            <w:r>
              <w:rPr>
                <w:szCs w:val="24"/>
              </w:rPr>
              <w:t>Accessibility, flexibility and continuity</w:t>
            </w:r>
          </w:p>
        </w:tc>
      </w:tr>
      <w:tr w:rsidR="001D1FD6">
        <w:trPr>
          <w:cantSplit/>
          <w:trHeight w:val="204"/>
          <w:jc w:val="center"/>
        </w:trPr>
        <w:tc>
          <w:tcPr>
            <w:tcW w:w="2024" w:type="dxa"/>
          </w:tcPr>
          <w:p w:rsidR="001D1FD6" w:rsidRDefault="0012332F">
            <w:pPr>
              <w:rPr>
                <w:szCs w:val="24"/>
              </w:rPr>
            </w:pPr>
            <w:r>
              <w:rPr>
                <w:szCs w:val="24"/>
              </w:rPr>
              <w:t>Flexible delivery</w:t>
            </w:r>
          </w:p>
        </w:tc>
        <w:tc>
          <w:tcPr>
            <w:tcW w:w="2725" w:type="dxa"/>
          </w:tcPr>
          <w:p w:rsidR="001D1FD6" w:rsidRDefault="0012332F">
            <w:pPr>
              <w:rPr>
                <w:szCs w:val="24"/>
              </w:rPr>
            </w:pPr>
            <w:r>
              <w:rPr>
                <w:szCs w:val="24"/>
              </w:rPr>
              <w:t>Choice of timing, mode or quitting approach improves fit</w:t>
            </w:r>
          </w:p>
        </w:tc>
        <w:tc>
          <w:tcPr>
            <w:tcW w:w="2244" w:type="dxa"/>
          </w:tcPr>
          <w:p w:rsidR="001D1FD6" w:rsidRDefault="0012332F">
            <w:pPr>
              <w:rPr>
                <w:szCs w:val="24"/>
              </w:rPr>
            </w:pPr>
            <w:r>
              <w:rPr>
                <w:szCs w:val="24"/>
              </w:rPr>
              <w:t>Robinson et al. (2019); Pope et al. (2025); Smith et al. (2026)</w:t>
            </w:r>
          </w:p>
        </w:tc>
        <w:tc>
          <w:tcPr>
            <w:tcW w:w="2022" w:type="dxa"/>
          </w:tcPr>
          <w:p w:rsidR="001D1FD6" w:rsidRDefault="0012332F">
            <w:pPr>
              <w:rPr>
                <w:szCs w:val="24"/>
              </w:rPr>
            </w:pPr>
            <w:r>
              <w:rPr>
                <w:szCs w:val="24"/>
              </w:rPr>
              <w:t>Accessibility, flexibility and continuity</w:t>
            </w:r>
          </w:p>
        </w:tc>
      </w:tr>
      <w:tr w:rsidR="001D1FD6">
        <w:trPr>
          <w:cantSplit/>
          <w:trHeight w:val="187"/>
          <w:jc w:val="center"/>
        </w:trPr>
        <w:tc>
          <w:tcPr>
            <w:tcW w:w="2024" w:type="dxa"/>
          </w:tcPr>
          <w:p w:rsidR="001D1FD6" w:rsidRDefault="0012332F">
            <w:pPr>
              <w:rPr>
                <w:szCs w:val="24"/>
              </w:rPr>
            </w:pPr>
            <w:r>
              <w:rPr>
                <w:szCs w:val="24"/>
              </w:rPr>
              <w:t>Continued follow-up</w:t>
            </w:r>
          </w:p>
        </w:tc>
        <w:tc>
          <w:tcPr>
            <w:tcW w:w="2725" w:type="dxa"/>
          </w:tcPr>
          <w:p w:rsidR="001D1FD6" w:rsidRDefault="0012332F">
            <w:pPr>
              <w:rPr>
                <w:szCs w:val="24"/>
              </w:rPr>
            </w:pPr>
            <w:r>
              <w:rPr>
                <w:szCs w:val="24"/>
              </w:rPr>
              <w:t>Ongoing contact supports retention and re-engagement</w:t>
            </w:r>
          </w:p>
        </w:tc>
        <w:tc>
          <w:tcPr>
            <w:tcW w:w="2244" w:type="dxa"/>
          </w:tcPr>
          <w:p w:rsidR="001D1FD6" w:rsidRDefault="0012332F">
            <w:pPr>
              <w:rPr>
                <w:szCs w:val="24"/>
              </w:rPr>
            </w:pPr>
            <w:r>
              <w:rPr>
                <w:szCs w:val="24"/>
              </w:rPr>
              <w:t>Robinson et al. (2019); Smith et al. (2026)</w:t>
            </w:r>
          </w:p>
        </w:tc>
        <w:tc>
          <w:tcPr>
            <w:tcW w:w="2022" w:type="dxa"/>
          </w:tcPr>
          <w:p w:rsidR="001D1FD6" w:rsidRDefault="0012332F">
            <w:pPr>
              <w:rPr>
                <w:szCs w:val="24"/>
              </w:rPr>
            </w:pPr>
            <w:r>
              <w:rPr>
                <w:szCs w:val="24"/>
              </w:rPr>
              <w:t>Accessibility, flexibility and continuity</w:t>
            </w:r>
          </w:p>
        </w:tc>
      </w:tr>
      <w:tr w:rsidR="001D1FD6">
        <w:trPr>
          <w:cantSplit/>
          <w:trHeight w:val="204"/>
          <w:jc w:val="center"/>
        </w:trPr>
        <w:tc>
          <w:tcPr>
            <w:tcW w:w="2024" w:type="dxa"/>
          </w:tcPr>
          <w:p w:rsidR="001D1FD6" w:rsidRDefault="0012332F">
            <w:pPr>
              <w:rPr>
                <w:szCs w:val="24"/>
              </w:rPr>
            </w:pPr>
            <w:r>
              <w:rPr>
                <w:szCs w:val="24"/>
              </w:rPr>
              <w:t>Trust and empathy</w:t>
            </w:r>
          </w:p>
        </w:tc>
        <w:tc>
          <w:tcPr>
            <w:tcW w:w="2725" w:type="dxa"/>
          </w:tcPr>
          <w:p w:rsidR="001D1FD6" w:rsidRDefault="0012332F">
            <w:pPr>
              <w:rPr>
                <w:szCs w:val="24"/>
              </w:rPr>
            </w:pPr>
            <w:r>
              <w:rPr>
                <w:szCs w:val="24"/>
              </w:rPr>
              <w:t>Supportive adviser relationships encourage continued participation</w:t>
            </w:r>
          </w:p>
        </w:tc>
        <w:tc>
          <w:tcPr>
            <w:tcW w:w="2244" w:type="dxa"/>
          </w:tcPr>
          <w:p w:rsidR="001D1FD6" w:rsidRDefault="0012332F">
            <w:pPr>
              <w:rPr>
                <w:szCs w:val="24"/>
              </w:rPr>
            </w:pPr>
            <w:r>
              <w:rPr>
                <w:szCs w:val="24"/>
              </w:rPr>
              <w:t>Robinson et al. (2019); Smith et al. (2026)</w:t>
            </w:r>
          </w:p>
        </w:tc>
        <w:tc>
          <w:tcPr>
            <w:tcW w:w="2022" w:type="dxa"/>
          </w:tcPr>
          <w:p w:rsidR="001D1FD6" w:rsidRDefault="0012332F">
            <w:pPr>
              <w:rPr>
                <w:szCs w:val="24"/>
              </w:rPr>
            </w:pPr>
            <w:r>
              <w:rPr>
                <w:szCs w:val="24"/>
              </w:rPr>
              <w:t>Relational and treatment support</w:t>
            </w:r>
          </w:p>
        </w:tc>
      </w:tr>
      <w:tr w:rsidR="001D1FD6">
        <w:trPr>
          <w:cantSplit/>
          <w:trHeight w:val="204"/>
          <w:jc w:val="center"/>
        </w:trPr>
        <w:tc>
          <w:tcPr>
            <w:tcW w:w="2024" w:type="dxa"/>
          </w:tcPr>
          <w:p w:rsidR="001D1FD6" w:rsidRDefault="0012332F">
            <w:pPr>
              <w:rPr>
                <w:szCs w:val="24"/>
              </w:rPr>
            </w:pPr>
            <w:r>
              <w:rPr>
                <w:szCs w:val="24"/>
              </w:rPr>
              <w:t>Specialist/group behavioural input</w:t>
            </w:r>
          </w:p>
        </w:tc>
        <w:tc>
          <w:tcPr>
            <w:tcW w:w="2725" w:type="dxa"/>
          </w:tcPr>
          <w:p w:rsidR="001D1FD6" w:rsidRDefault="0012332F">
            <w:pPr>
              <w:rPr>
                <w:szCs w:val="24"/>
              </w:rPr>
            </w:pPr>
            <w:r>
              <w:rPr>
                <w:szCs w:val="24"/>
              </w:rPr>
              <w:t>More structured specialist support is associated with stronger outcomes</w:t>
            </w:r>
          </w:p>
        </w:tc>
        <w:tc>
          <w:tcPr>
            <w:tcW w:w="2244" w:type="dxa"/>
          </w:tcPr>
          <w:p w:rsidR="001D1FD6" w:rsidRDefault="0012332F">
            <w:pPr>
              <w:rPr>
                <w:szCs w:val="24"/>
              </w:rPr>
            </w:pPr>
            <w:r>
              <w:rPr>
                <w:szCs w:val="24"/>
                <w:lang w:val="de-CH"/>
              </w:rPr>
              <w:t xml:space="preserve">Bauld et al. (2012); Bauld et al. </w:t>
            </w:r>
            <w:r>
              <w:rPr>
                <w:szCs w:val="24"/>
              </w:rPr>
              <w:t>(2016)</w:t>
            </w:r>
          </w:p>
        </w:tc>
        <w:tc>
          <w:tcPr>
            <w:tcW w:w="2022" w:type="dxa"/>
          </w:tcPr>
          <w:p w:rsidR="001D1FD6" w:rsidRDefault="0012332F">
            <w:pPr>
              <w:rPr>
                <w:szCs w:val="24"/>
              </w:rPr>
            </w:pPr>
            <w:r>
              <w:rPr>
                <w:szCs w:val="24"/>
              </w:rPr>
              <w:t>Relational and treatment support</w:t>
            </w:r>
          </w:p>
        </w:tc>
      </w:tr>
      <w:tr w:rsidR="001D1FD6">
        <w:trPr>
          <w:cantSplit/>
          <w:trHeight w:val="426"/>
          <w:jc w:val="center"/>
        </w:trPr>
        <w:tc>
          <w:tcPr>
            <w:tcW w:w="2024" w:type="dxa"/>
          </w:tcPr>
          <w:p w:rsidR="001D1FD6" w:rsidRDefault="0012332F">
            <w:pPr>
              <w:rPr>
                <w:szCs w:val="24"/>
              </w:rPr>
            </w:pPr>
            <w:r>
              <w:rPr>
                <w:szCs w:val="24"/>
              </w:rPr>
              <w:t>Medication access and use</w:t>
            </w:r>
          </w:p>
        </w:tc>
        <w:tc>
          <w:tcPr>
            <w:tcW w:w="2725" w:type="dxa"/>
          </w:tcPr>
          <w:p w:rsidR="001D1FD6" w:rsidRDefault="0012332F">
            <w:pPr>
              <w:rPr>
                <w:szCs w:val="24"/>
              </w:rPr>
            </w:pPr>
            <w:r>
              <w:rPr>
                <w:szCs w:val="24"/>
              </w:rPr>
              <w:t>NRT, varenicline and combined treatment form part of supported quitting</w:t>
            </w:r>
          </w:p>
        </w:tc>
        <w:tc>
          <w:tcPr>
            <w:tcW w:w="2244" w:type="dxa"/>
          </w:tcPr>
          <w:p w:rsidR="001D1FD6" w:rsidRDefault="0012332F">
            <w:pPr>
              <w:rPr>
                <w:szCs w:val="24"/>
              </w:rPr>
            </w:pPr>
            <w:r>
              <w:rPr>
                <w:szCs w:val="24"/>
                <w:lang w:val="de-CH"/>
              </w:rPr>
              <w:t xml:space="preserve">Gibson et al. (2010); Bauld et al. </w:t>
            </w:r>
            <w:r>
              <w:rPr>
                <w:szCs w:val="24"/>
              </w:rPr>
              <w:t>(2016); Robinson et al. (2019); Smith et al. (2026)</w:t>
            </w:r>
          </w:p>
        </w:tc>
        <w:tc>
          <w:tcPr>
            <w:tcW w:w="2022" w:type="dxa"/>
          </w:tcPr>
          <w:p w:rsidR="001D1FD6" w:rsidRDefault="0012332F">
            <w:pPr>
              <w:rPr>
                <w:szCs w:val="24"/>
              </w:rPr>
            </w:pPr>
            <w:r>
              <w:rPr>
                <w:szCs w:val="24"/>
              </w:rPr>
              <w:t>Relational and treatment support</w:t>
            </w:r>
          </w:p>
        </w:tc>
      </w:tr>
      <w:tr w:rsidR="001D1FD6">
        <w:trPr>
          <w:cantSplit/>
          <w:trHeight w:val="409"/>
          <w:jc w:val="center"/>
        </w:trPr>
        <w:tc>
          <w:tcPr>
            <w:tcW w:w="2024" w:type="dxa"/>
          </w:tcPr>
          <w:p w:rsidR="001D1FD6" w:rsidRDefault="0012332F">
            <w:pPr>
              <w:rPr>
                <w:szCs w:val="24"/>
              </w:rPr>
            </w:pPr>
            <w:r>
              <w:rPr>
                <w:szCs w:val="24"/>
              </w:rPr>
              <w:lastRenderedPageBreak/>
              <w:t>Socioeconomic disadvantage</w:t>
            </w:r>
          </w:p>
        </w:tc>
        <w:tc>
          <w:tcPr>
            <w:tcW w:w="2725" w:type="dxa"/>
          </w:tcPr>
          <w:p w:rsidR="001D1FD6" w:rsidRDefault="0012332F">
            <w:pPr>
              <w:rPr>
                <w:szCs w:val="24"/>
              </w:rPr>
            </w:pPr>
            <w:r>
              <w:rPr>
                <w:szCs w:val="24"/>
              </w:rPr>
              <w:t>Disadvantaged smokers may access support yet have lower sustained quit rates</w:t>
            </w:r>
          </w:p>
        </w:tc>
        <w:tc>
          <w:tcPr>
            <w:tcW w:w="2244" w:type="dxa"/>
          </w:tcPr>
          <w:p w:rsidR="001D1FD6" w:rsidRDefault="0012332F">
            <w:pPr>
              <w:rPr>
                <w:szCs w:val="24"/>
              </w:rPr>
            </w:pPr>
            <w:r>
              <w:rPr>
                <w:szCs w:val="24"/>
              </w:rPr>
              <w:t>Edwards et al. (2007); Bauld et al. (2012); Smith et al. (2026)</w:t>
            </w:r>
          </w:p>
        </w:tc>
        <w:tc>
          <w:tcPr>
            <w:tcW w:w="2022" w:type="dxa"/>
          </w:tcPr>
          <w:p w:rsidR="001D1FD6" w:rsidRDefault="0012332F">
            <w:pPr>
              <w:rPr>
                <w:szCs w:val="24"/>
              </w:rPr>
            </w:pPr>
            <w:r>
              <w:rPr>
                <w:szCs w:val="24"/>
              </w:rPr>
              <w:t>Social and personal context</w:t>
            </w:r>
          </w:p>
        </w:tc>
      </w:tr>
      <w:tr w:rsidR="001D1FD6">
        <w:trPr>
          <w:cantSplit/>
          <w:trHeight w:val="204"/>
          <w:jc w:val="center"/>
        </w:trPr>
        <w:tc>
          <w:tcPr>
            <w:tcW w:w="2024" w:type="dxa"/>
          </w:tcPr>
          <w:p w:rsidR="001D1FD6" w:rsidRDefault="0012332F">
            <w:pPr>
              <w:rPr>
                <w:szCs w:val="24"/>
              </w:rPr>
            </w:pPr>
            <w:r>
              <w:rPr>
                <w:szCs w:val="24"/>
              </w:rPr>
              <w:t>Planning, motivation and dependence</w:t>
            </w:r>
          </w:p>
        </w:tc>
        <w:tc>
          <w:tcPr>
            <w:tcW w:w="2725" w:type="dxa"/>
          </w:tcPr>
          <w:p w:rsidR="001D1FD6" w:rsidRDefault="0012332F">
            <w:pPr>
              <w:rPr>
                <w:szCs w:val="24"/>
              </w:rPr>
            </w:pPr>
            <w:r>
              <w:rPr>
                <w:szCs w:val="24"/>
              </w:rPr>
              <w:t>Preparation and dependence influence treatment use and outcomes</w:t>
            </w:r>
          </w:p>
        </w:tc>
        <w:tc>
          <w:tcPr>
            <w:tcW w:w="2244" w:type="dxa"/>
          </w:tcPr>
          <w:p w:rsidR="001D1FD6" w:rsidRDefault="0012332F">
            <w:pPr>
              <w:rPr>
                <w:szCs w:val="24"/>
              </w:rPr>
            </w:pPr>
            <w:r>
              <w:rPr>
                <w:szCs w:val="24"/>
                <w:lang w:val="de-CH"/>
              </w:rPr>
              <w:t xml:space="preserve">Kotz et al. (2009); Bauld et al. </w:t>
            </w:r>
            <w:r>
              <w:rPr>
                <w:szCs w:val="24"/>
              </w:rPr>
              <w:t>(2012); Kale et al. (2019)</w:t>
            </w:r>
          </w:p>
        </w:tc>
        <w:tc>
          <w:tcPr>
            <w:tcW w:w="2022" w:type="dxa"/>
          </w:tcPr>
          <w:p w:rsidR="001D1FD6" w:rsidRDefault="0012332F">
            <w:pPr>
              <w:rPr>
                <w:szCs w:val="24"/>
              </w:rPr>
            </w:pPr>
            <w:r>
              <w:rPr>
                <w:szCs w:val="24"/>
              </w:rPr>
              <w:t>Social and personal context</w:t>
            </w:r>
          </w:p>
        </w:tc>
      </w:tr>
      <w:tr w:rsidR="001D1FD6">
        <w:trPr>
          <w:cantSplit/>
          <w:trHeight w:val="204"/>
          <w:jc w:val="center"/>
        </w:trPr>
        <w:tc>
          <w:tcPr>
            <w:tcW w:w="2024" w:type="dxa"/>
          </w:tcPr>
          <w:p w:rsidR="001D1FD6" w:rsidRDefault="0012332F">
            <w:pPr>
              <w:rPr>
                <w:szCs w:val="24"/>
              </w:rPr>
            </w:pPr>
            <w:r>
              <w:rPr>
                <w:szCs w:val="24"/>
              </w:rPr>
              <w:t>Social-network influence</w:t>
            </w:r>
          </w:p>
        </w:tc>
        <w:tc>
          <w:tcPr>
            <w:tcW w:w="2725" w:type="dxa"/>
          </w:tcPr>
          <w:p w:rsidR="001D1FD6" w:rsidRDefault="0012332F">
            <w:pPr>
              <w:rPr>
                <w:szCs w:val="24"/>
              </w:rPr>
            </w:pPr>
            <w:r>
              <w:rPr>
                <w:szCs w:val="24"/>
              </w:rPr>
              <w:t>Partner support and fewer smokers in the network support abstinence</w:t>
            </w:r>
          </w:p>
        </w:tc>
        <w:tc>
          <w:tcPr>
            <w:tcW w:w="2244" w:type="dxa"/>
          </w:tcPr>
          <w:p w:rsidR="001D1FD6" w:rsidRDefault="0012332F">
            <w:pPr>
              <w:rPr>
                <w:szCs w:val="24"/>
              </w:rPr>
            </w:pPr>
            <w:r>
              <w:rPr>
                <w:szCs w:val="24"/>
              </w:rPr>
              <w:t>Bauld et al. (2016)</w:t>
            </w:r>
          </w:p>
        </w:tc>
        <w:tc>
          <w:tcPr>
            <w:tcW w:w="2022" w:type="dxa"/>
          </w:tcPr>
          <w:p w:rsidR="001D1FD6" w:rsidRDefault="0012332F">
            <w:pPr>
              <w:rPr>
                <w:szCs w:val="24"/>
              </w:rPr>
            </w:pPr>
            <w:r>
              <w:rPr>
                <w:szCs w:val="24"/>
              </w:rPr>
              <w:t>Social and personal context</w:t>
            </w:r>
          </w:p>
        </w:tc>
      </w:tr>
      <w:tr w:rsidR="001D1FD6">
        <w:trPr>
          <w:cantSplit/>
          <w:trHeight w:val="409"/>
          <w:jc w:val="center"/>
        </w:trPr>
        <w:tc>
          <w:tcPr>
            <w:tcW w:w="2024" w:type="dxa"/>
          </w:tcPr>
          <w:p w:rsidR="001D1FD6" w:rsidRDefault="0012332F">
            <w:pPr>
              <w:rPr>
                <w:szCs w:val="24"/>
              </w:rPr>
            </w:pPr>
            <w:r>
              <w:rPr>
                <w:szCs w:val="24"/>
              </w:rPr>
              <w:t>Supported attempts have stronger outcomes</w:t>
            </w:r>
          </w:p>
        </w:tc>
        <w:tc>
          <w:tcPr>
            <w:tcW w:w="2725" w:type="dxa"/>
          </w:tcPr>
          <w:p w:rsidR="001D1FD6" w:rsidRDefault="0012332F">
            <w:pPr>
              <w:rPr>
                <w:szCs w:val="24"/>
              </w:rPr>
            </w:pPr>
            <w:r>
              <w:rPr>
                <w:szCs w:val="24"/>
              </w:rPr>
              <w:t>Behavioural and pharmacological support are associated with abstinence</w:t>
            </w:r>
          </w:p>
        </w:tc>
        <w:tc>
          <w:tcPr>
            <w:tcW w:w="2244" w:type="dxa"/>
          </w:tcPr>
          <w:p w:rsidR="001D1FD6" w:rsidRDefault="0012332F">
            <w:pPr>
              <w:rPr>
                <w:szCs w:val="24"/>
              </w:rPr>
            </w:pPr>
            <w:r>
              <w:rPr>
                <w:szCs w:val="24"/>
                <w:lang w:val="de-CH"/>
              </w:rPr>
              <w:t xml:space="preserve">Gibson et al. (2010); Bauld et al. </w:t>
            </w:r>
            <w:r>
              <w:rPr>
                <w:szCs w:val="24"/>
              </w:rPr>
              <w:t>(2016)</w:t>
            </w:r>
          </w:p>
        </w:tc>
        <w:tc>
          <w:tcPr>
            <w:tcW w:w="2022" w:type="dxa"/>
          </w:tcPr>
          <w:p w:rsidR="001D1FD6" w:rsidRDefault="0012332F">
            <w:pPr>
              <w:rPr>
                <w:szCs w:val="24"/>
              </w:rPr>
            </w:pPr>
            <w:r>
              <w:rPr>
                <w:szCs w:val="24"/>
              </w:rPr>
              <w:t>Engagement and quit success</w:t>
            </w:r>
          </w:p>
        </w:tc>
      </w:tr>
      <w:tr w:rsidR="001D1FD6">
        <w:trPr>
          <w:cantSplit/>
          <w:trHeight w:val="204"/>
          <w:jc w:val="center"/>
        </w:trPr>
        <w:tc>
          <w:tcPr>
            <w:tcW w:w="2024" w:type="dxa"/>
          </w:tcPr>
          <w:p w:rsidR="001D1FD6" w:rsidRDefault="0012332F">
            <w:pPr>
              <w:rPr>
                <w:szCs w:val="24"/>
              </w:rPr>
            </w:pPr>
            <w:r>
              <w:rPr>
                <w:szCs w:val="24"/>
              </w:rPr>
              <w:t>Long-term relapse</w:t>
            </w:r>
          </w:p>
        </w:tc>
        <w:tc>
          <w:tcPr>
            <w:tcW w:w="2725" w:type="dxa"/>
          </w:tcPr>
          <w:p w:rsidR="001D1FD6" w:rsidRDefault="0012332F">
            <w:pPr>
              <w:rPr>
                <w:szCs w:val="24"/>
              </w:rPr>
            </w:pPr>
            <w:r>
              <w:rPr>
                <w:szCs w:val="24"/>
              </w:rPr>
              <w:t>Early abstinence falls substantially at longer follow-up</w:t>
            </w:r>
          </w:p>
        </w:tc>
        <w:tc>
          <w:tcPr>
            <w:tcW w:w="2244" w:type="dxa"/>
          </w:tcPr>
          <w:p w:rsidR="001D1FD6" w:rsidRDefault="0012332F">
            <w:pPr>
              <w:rPr>
                <w:szCs w:val="24"/>
              </w:rPr>
            </w:pPr>
            <w:r>
              <w:rPr>
                <w:szCs w:val="24"/>
                <w:lang w:val="de-CH"/>
              </w:rPr>
              <w:t xml:space="preserve">Bauld et al. (2012); Bauld et al. </w:t>
            </w:r>
            <w:r>
              <w:rPr>
                <w:szCs w:val="24"/>
              </w:rPr>
              <w:t>(2016)</w:t>
            </w:r>
          </w:p>
        </w:tc>
        <w:tc>
          <w:tcPr>
            <w:tcW w:w="2022" w:type="dxa"/>
          </w:tcPr>
          <w:p w:rsidR="001D1FD6" w:rsidRDefault="0012332F">
            <w:pPr>
              <w:rPr>
                <w:szCs w:val="24"/>
              </w:rPr>
            </w:pPr>
            <w:r>
              <w:rPr>
                <w:szCs w:val="24"/>
              </w:rPr>
              <w:t>Engagement and quit success</w:t>
            </w:r>
          </w:p>
        </w:tc>
      </w:tr>
      <w:tr w:rsidR="001D1FD6">
        <w:trPr>
          <w:cantSplit/>
          <w:trHeight w:val="409"/>
          <w:jc w:val="center"/>
        </w:trPr>
        <w:tc>
          <w:tcPr>
            <w:tcW w:w="2024" w:type="dxa"/>
          </w:tcPr>
          <w:p w:rsidR="001D1FD6" w:rsidRDefault="0012332F">
            <w:pPr>
              <w:rPr>
                <w:szCs w:val="24"/>
              </w:rPr>
            </w:pPr>
            <w:r>
              <w:rPr>
                <w:szCs w:val="24"/>
              </w:rPr>
              <w:t>Exposure is not equal to success</w:t>
            </w:r>
          </w:p>
        </w:tc>
        <w:tc>
          <w:tcPr>
            <w:tcW w:w="2725" w:type="dxa"/>
          </w:tcPr>
          <w:p w:rsidR="001D1FD6" w:rsidRDefault="0012332F">
            <w:pPr>
              <w:rPr>
                <w:szCs w:val="24"/>
              </w:rPr>
            </w:pPr>
            <w:r>
              <w:rPr>
                <w:szCs w:val="24"/>
              </w:rPr>
              <w:t>Promotion or referral can increase attempts/exposure without clear service-supported success</w:t>
            </w:r>
          </w:p>
        </w:tc>
        <w:tc>
          <w:tcPr>
            <w:tcW w:w="2244" w:type="dxa"/>
          </w:tcPr>
          <w:p w:rsidR="001D1FD6" w:rsidRDefault="0012332F">
            <w:pPr>
              <w:rPr>
                <w:szCs w:val="24"/>
              </w:rPr>
            </w:pPr>
            <w:r>
              <w:rPr>
                <w:szCs w:val="24"/>
              </w:rPr>
              <w:t>Jackson et al. (2021); Pope et al. (2025)</w:t>
            </w:r>
          </w:p>
        </w:tc>
        <w:tc>
          <w:tcPr>
            <w:tcW w:w="2022" w:type="dxa"/>
          </w:tcPr>
          <w:p w:rsidR="001D1FD6" w:rsidRDefault="0012332F">
            <w:pPr>
              <w:rPr>
                <w:szCs w:val="24"/>
              </w:rPr>
            </w:pPr>
            <w:r>
              <w:rPr>
                <w:szCs w:val="24"/>
              </w:rPr>
              <w:t>Engagement and quit success</w:t>
            </w:r>
          </w:p>
        </w:tc>
      </w:tr>
    </w:tbl>
    <w:p w:rsidR="001D1FD6" w:rsidRDefault="001D1FD6"/>
    <w:p w:rsidR="001D1FD6" w:rsidRDefault="001D1FD6">
      <w:pPr>
        <w:spacing w:after="160" w:line="278" w:lineRule="auto"/>
        <w:jc w:val="left"/>
        <w:rPr>
          <w:rFonts w:eastAsiaTheme="majorEastAsia" w:cstheme="majorBidi"/>
          <w:b/>
          <w:color w:val="000000" w:themeColor="text1"/>
          <w:sz w:val="32"/>
          <w:szCs w:val="40"/>
        </w:rPr>
      </w:pPr>
    </w:p>
    <w:sectPr w:rsidR="001D1FD6" w:rsidSect="002A7036">
      <w:footerReference w:type="even" r:id="rId121"/>
      <w:footerReference w:type="default" r:id="rId122"/>
      <w:footerReference w:type="first" r:id="rId123"/>
      <w:pgSz w:w="11906" w:h="16838"/>
      <w:pgMar w:top="1440" w:right="1440" w:bottom="1440" w:left="1440" w:header="0" w:footer="720" w:gutter="0"/>
      <w:cols w:space="720"/>
      <w:formProt w:val="0"/>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FF73CD" w:rsidRDefault="00FF73CD">
      <w:pPr>
        <w:spacing w:line="240" w:lineRule="auto"/>
      </w:pPr>
      <w:r>
        <w:separator/>
      </w:r>
    </w:p>
  </w:endnote>
  <w:endnote w:type="continuationSeparator" w:id="1">
    <w:p w:rsidR="00FF73CD" w:rsidRDefault="00FF73CD">
      <w:pPr>
        <w:spacing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Liberation Sans">
    <w:altName w:val="Arial"/>
    <w:charset w:val="00"/>
    <w:family w:val="swiss"/>
    <w:pitch w:val="variable"/>
    <w:sig w:usb0="00000000" w:usb1="00000000" w:usb2="00000000" w:usb3="00000000" w:csb0="00000000" w:csb1="00000000"/>
  </w:font>
  <w:font w:name="Noto Sans CJK SC">
    <w:panose1 w:val="00000000000000000000"/>
    <w:charset w:val="00"/>
    <w:family w:val="roman"/>
    <w:notTrueType/>
    <w:pitch w:val="default"/>
    <w:sig w:usb0="00000000" w:usb1="00000000" w:usb2="00000000" w:usb3="00000000" w:csb0="00000000" w:csb1="00000000"/>
  </w:font>
  <w:font w:name="Lohit Devanagari">
    <w:altName w:val="Times New Roman"/>
    <w:panose1 w:val="00000000000000000000"/>
    <w:charset w:val="00"/>
    <w:family w:val="roman"/>
    <w:notTrueType/>
    <w:pitch w:val="default"/>
    <w:sig w:usb0="00000000" w:usb1="00000000" w:usb2="00000000" w:usb3="00000000" w:csb0="00000000" w:csb1="00000000"/>
  </w:font>
  <w:font w:name="Tahoma">
    <w:panose1 w:val="020B0604030504040204"/>
    <w:charset w:val="00"/>
    <w:family w:val="swiss"/>
    <w:notTrueType/>
    <w:pitch w:val="variable"/>
    <w:sig w:usb0="00000003" w:usb1="00000000" w:usb2="00000000" w:usb3="00000000" w:csb0="00000001"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1D1FD6" w:rsidRDefault="001D1FD6">
    <w:pPr>
      <w:pStyle w:val="Footer"/>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1D1FD6" w:rsidRDefault="001D1FD6">
    <w:pPr>
      <w:pStyle w:val="Footer"/>
    </w:pP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1D1FD6" w:rsidRDefault="001D1FD6">
    <w:pPr>
      <w:pStyle w:val="Footer"/>
    </w:pPr>
  </w:p>
</w:ftr>
</file>

<file path=word/footer4.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1D1FD6" w:rsidRDefault="001D1FD6">
    <w:pPr>
      <w:pStyle w:val="Footer"/>
    </w:pPr>
  </w:p>
</w:ftr>
</file>

<file path=word/footer5.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1D1FD6" w:rsidRDefault="001D1FD6">
    <w:pPr>
      <w:pStyle w:val="Footer"/>
    </w:pPr>
  </w:p>
</w:ftr>
</file>

<file path=word/footer6.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1D1FD6" w:rsidRDefault="001D1FD6">
    <w:pPr>
      <w:pStyle w:val="Footer"/>
    </w:pPr>
  </w:p>
</w:ftr>
</file>

<file path=word/footer7.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1D1FD6" w:rsidRDefault="001D1FD6">
    <w:pPr>
      <w:pStyle w:val="Footer"/>
    </w:pPr>
  </w:p>
</w:ftr>
</file>

<file path=word/footer8.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147123714"/>
      <w:docPartObj>
        <w:docPartGallery w:val="Page Numbers (Bottom of Page)"/>
        <w:docPartUnique/>
      </w:docPartObj>
    </w:sdtPr>
    <w:sdtContent>
      <w:p w:rsidR="001D1FD6" w:rsidRDefault="00AD1081">
        <w:pPr>
          <w:pStyle w:val="Footer"/>
          <w:jc w:val="center"/>
        </w:pPr>
        <w:r>
          <w:fldChar w:fldCharType="begin"/>
        </w:r>
        <w:r w:rsidR="0012332F">
          <w:instrText xml:space="preserve"> PAGE </w:instrText>
        </w:r>
        <w:r>
          <w:fldChar w:fldCharType="separate"/>
        </w:r>
        <w:r w:rsidR="00C35649">
          <w:rPr>
            <w:noProof/>
          </w:rPr>
          <w:t>xi</w:t>
        </w:r>
        <w:r>
          <w:fldChar w:fldCharType="end"/>
        </w:r>
      </w:p>
    </w:sdtContent>
  </w:sdt>
  <w:p w:rsidR="001D1FD6" w:rsidRDefault="001D1FD6">
    <w:pPr>
      <w:pStyle w:val="Footer"/>
    </w:pPr>
  </w:p>
</w:ftr>
</file>

<file path=word/footer9.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663058461"/>
      <w:docPartObj>
        <w:docPartGallery w:val="Page Numbers (Bottom of Page)"/>
        <w:docPartUnique/>
      </w:docPartObj>
    </w:sdtPr>
    <w:sdtContent>
      <w:p w:rsidR="001D1FD6" w:rsidRDefault="00AD1081">
        <w:pPr>
          <w:pStyle w:val="Footer"/>
          <w:jc w:val="center"/>
        </w:pPr>
        <w:r>
          <w:fldChar w:fldCharType="begin"/>
        </w:r>
        <w:r w:rsidR="0012332F">
          <w:instrText xml:space="preserve"> PAGE </w:instrText>
        </w:r>
        <w:r>
          <w:fldChar w:fldCharType="separate"/>
        </w:r>
        <w:r w:rsidR="0012332F">
          <w:t>xi</w:t>
        </w:r>
        <w:r>
          <w:fldChar w:fldCharType="end"/>
        </w:r>
      </w:p>
    </w:sdtContent>
  </w:sdt>
  <w:p w:rsidR="001D1FD6" w:rsidRDefault="001D1FD6">
    <w:pPr>
      <w:pStyle w:val="Footer"/>
    </w:pPr>
  </w:p>
</w:ftr>
</file>

<file path=word/footer10.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1D1FD6" w:rsidRDefault="001D1FD6">
    <w:pPr>
      <w:pStyle w:val="Footer"/>
    </w:pPr>
  </w:p>
</w:ftr>
</file>

<file path=word/footer1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1D1FD6" w:rsidRDefault="00AD1081">
    <w:pPr>
      <w:pStyle w:val="Footer"/>
      <w:jc w:val="center"/>
    </w:pPr>
    <w:r>
      <w:fldChar w:fldCharType="begin"/>
    </w:r>
    <w:r w:rsidR="0012332F">
      <w:instrText xml:space="preserve"> PAGE </w:instrText>
    </w:r>
    <w:r>
      <w:fldChar w:fldCharType="separate"/>
    </w:r>
    <w:r w:rsidR="00C35649">
      <w:rPr>
        <w:noProof/>
      </w:rPr>
      <w:t>1</w:t>
    </w:r>
    <w:r>
      <w:fldChar w:fldCharType="end"/>
    </w:r>
  </w:p>
</w:ftr>
</file>

<file path=word/footer1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1D1FD6" w:rsidRDefault="00AD1081">
    <w:pPr>
      <w:pStyle w:val="Footer"/>
      <w:jc w:val="center"/>
    </w:pPr>
    <w:r>
      <w:fldChar w:fldCharType="begin"/>
    </w:r>
    <w:r w:rsidR="0012332F">
      <w:instrText xml:space="preserve"> PAGE </w:instrText>
    </w:r>
    <w:r>
      <w:fldChar w:fldCharType="separate"/>
    </w:r>
    <w:r w:rsidR="0012332F">
      <w:t>63</w:t>
    </w:r>
    <w:r>
      <w:fldChar w:fldCharType="end"/>
    </w:r>
  </w:p>
</w:ftr>
</file>

<file path=word/footer1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1D1FD6" w:rsidRDefault="00AD1081">
    <w:pPr>
      <w:pStyle w:val="Footer"/>
      <w:jc w:val="center"/>
    </w:pPr>
    <w:r>
      <w:fldChar w:fldCharType="begin"/>
    </w:r>
    <w:r w:rsidR="0012332F">
      <w:instrText xml:space="preserve"> PAGE </w:instrText>
    </w:r>
    <w:r>
      <w:fldChar w:fldCharType="separate"/>
    </w:r>
    <w:r w:rsidR="00C35649">
      <w:rPr>
        <w:noProof/>
      </w:rPr>
      <w:t>71</w:t>
    </w:r>
    <w:r>
      <w:fldChar w:fldCharType="end"/>
    </w:r>
  </w:p>
</w:ftr>
</file>

<file path=word/footer14.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1D1FD6" w:rsidRDefault="001D1FD6">
    <w:pPr>
      <w:pStyle w:val="Footer"/>
    </w:pPr>
  </w:p>
</w:ftr>
</file>

<file path=word/footer15.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1D1FD6" w:rsidRDefault="00AD1081">
    <w:pPr>
      <w:pStyle w:val="Footer"/>
      <w:jc w:val="center"/>
    </w:pPr>
    <w:r>
      <w:fldChar w:fldCharType="begin"/>
    </w:r>
    <w:r w:rsidR="0012332F">
      <w:instrText xml:space="preserve"> PAGE </w:instrText>
    </w:r>
    <w:r>
      <w:fldChar w:fldCharType="separate"/>
    </w:r>
    <w:r w:rsidR="00C35649">
      <w:rPr>
        <w:noProof/>
      </w:rPr>
      <w:t>73</w:t>
    </w:r>
    <w:r>
      <w:fldChar w:fldCharType="end"/>
    </w:r>
  </w:p>
</w:ftr>
</file>

<file path=word/footer16.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1D1FD6" w:rsidRDefault="00AD1081">
    <w:pPr>
      <w:pStyle w:val="Footer"/>
      <w:jc w:val="center"/>
    </w:pPr>
    <w:r>
      <w:fldChar w:fldCharType="begin"/>
    </w:r>
    <w:r w:rsidR="0012332F">
      <w:instrText xml:space="preserve"> PAGE </w:instrText>
    </w:r>
    <w:r>
      <w:fldChar w:fldCharType="separate"/>
    </w:r>
    <w:r w:rsidR="0012332F">
      <w:t>73</w:t>
    </w:r>
    <w:r>
      <w:fldChar w:fldCharType="end"/>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FF73CD" w:rsidRDefault="00FF73CD">
      <w:pPr>
        <w:spacing w:line="240" w:lineRule="auto"/>
      </w:pPr>
      <w:r>
        <w:separator/>
      </w:r>
    </w:p>
  </w:footnote>
  <w:footnote w:type="continuationSeparator" w:id="1">
    <w:p w:rsidR="00FF73CD" w:rsidRDefault="00FF73CD">
      <w:pPr>
        <w:spacing w:line="240" w:lineRule="auto"/>
      </w:pPr>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83F7800"/>
    <w:multiLevelType w:val="multilevel"/>
    <w:tmpl w:val="B10A50C0"/>
    <w:lvl w:ilvl="0">
      <w:start w:val="1"/>
      <w:numFmt w:val="decimal"/>
      <w:suff w:val="space"/>
      <w:lvlText w:val="Chapter %1."/>
      <w:lvlJc w:val="left"/>
      <w:pPr>
        <w:tabs>
          <w:tab w:val="num" w:pos="0"/>
        </w:tabs>
        <w:ind w:left="0" w:firstLine="0"/>
      </w:pPr>
    </w:lvl>
    <w:lvl w:ilvl="1">
      <w:start w:val="1"/>
      <w:numFmt w:val="decimal"/>
      <w:suff w:val="space"/>
      <w:lvlText w:val="%1.%2."/>
      <w:lvlJc w:val="left"/>
      <w:pPr>
        <w:tabs>
          <w:tab w:val="num" w:pos="0"/>
        </w:tabs>
        <w:ind w:left="0" w:firstLine="0"/>
      </w:pPr>
    </w:lvl>
    <w:lvl w:ilvl="2">
      <w:start w:val="1"/>
      <w:numFmt w:val="decimal"/>
      <w:suff w:val="space"/>
      <w:lvlText w:val="%1.%2.%3."/>
      <w:lvlJc w:val="left"/>
      <w:pPr>
        <w:tabs>
          <w:tab w:val="num" w:pos="0"/>
        </w:tabs>
        <w:ind w:left="0" w:firstLine="0"/>
      </w:pPr>
    </w:lvl>
    <w:lvl w:ilvl="3">
      <w:start w:val="1"/>
      <w:numFmt w:val="decimal"/>
      <w:lvlText w:val="%1.%2.%3.%4"/>
      <w:lvlJc w:val="left"/>
      <w:pPr>
        <w:tabs>
          <w:tab w:val="num" w:pos="0"/>
        </w:tabs>
        <w:ind w:left="864" w:hanging="864"/>
      </w:pPr>
    </w:lvl>
    <w:lvl w:ilvl="4">
      <w:start w:val="1"/>
      <w:numFmt w:val="decimal"/>
      <w:lvlText w:val="%1.%2.%3.%4.%5"/>
      <w:lvlJc w:val="left"/>
      <w:pPr>
        <w:tabs>
          <w:tab w:val="num" w:pos="0"/>
        </w:tabs>
        <w:ind w:left="1008" w:hanging="1008"/>
      </w:pPr>
    </w:lvl>
    <w:lvl w:ilvl="5">
      <w:start w:val="1"/>
      <w:numFmt w:val="decimal"/>
      <w:lvlText w:val="%1.%2.%3.%4.%5.%6"/>
      <w:lvlJc w:val="left"/>
      <w:pPr>
        <w:tabs>
          <w:tab w:val="num" w:pos="0"/>
        </w:tabs>
        <w:ind w:left="1152" w:hanging="1152"/>
      </w:pPr>
    </w:lvl>
    <w:lvl w:ilvl="6">
      <w:start w:val="1"/>
      <w:numFmt w:val="decimal"/>
      <w:lvlText w:val="%1.%2.%3.%4.%5.%6.%7"/>
      <w:lvlJc w:val="left"/>
      <w:pPr>
        <w:tabs>
          <w:tab w:val="num" w:pos="0"/>
        </w:tabs>
        <w:ind w:left="1296" w:hanging="1296"/>
      </w:pPr>
    </w:lvl>
    <w:lvl w:ilvl="7">
      <w:start w:val="1"/>
      <w:numFmt w:val="decimal"/>
      <w:lvlText w:val="%1.%2.%3.%4.%5.%6.%7.%8"/>
      <w:lvlJc w:val="left"/>
      <w:pPr>
        <w:tabs>
          <w:tab w:val="num" w:pos="0"/>
        </w:tabs>
        <w:ind w:left="1440" w:hanging="1440"/>
      </w:pPr>
    </w:lvl>
    <w:lvl w:ilvl="8">
      <w:start w:val="1"/>
      <w:numFmt w:val="decimal"/>
      <w:lvlText w:val="%1.%2.%3.%4.%5.%6.%7.%8.%9"/>
      <w:lvlJc w:val="left"/>
      <w:pPr>
        <w:tabs>
          <w:tab w:val="num" w:pos="0"/>
        </w:tabs>
        <w:ind w:left="1584" w:hanging="1584"/>
      </w:pPr>
    </w:lvl>
  </w:abstractNum>
  <w:abstractNum w:abstractNumId="1">
    <w:nsid w:val="10F40215"/>
    <w:multiLevelType w:val="multilevel"/>
    <w:tmpl w:val="3AFC2410"/>
    <w:lvl w:ilvl="0">
      <w:start w:val="1"/>
      <w:numFmt w:val="decimal"/>
      <w:lvlText w:val="%1."/>
      <w:lvlJc w:val="left"/>
      <w:pPr>
        <w:tabs>
          <w:tab w:val="num" w:pos="0"/>
        </w:tabs>
        <w:ind w:left="720" w:hanging="360"/>
      </w:p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2">
    <w:nsid w:val="18F23DD6"/>
    <w:multiLevelType w:val="multilevel"/>
    <w:tmpl w:val="DE585FD0"/>
    <w:lvl w:ilvl="0">
      <w:start w:val="1"/>
      <w:numFmt w:val="decimal"/>
      <w:suff w:val="space"/>
      <w:lvlText w:val="Chapter %1."/>
      <w:lvlJc w:val="left"/>
      <w:pPr>
        <w:tabs>
          <w:tab w:val="num" w:pos="0"/>
        </w:tabs>
        <w:ind w:left="0" w:firstLine="0"/>
      </w:pPr>
    </w:lvl>
    <w:lvl w:ilvl="1">
      <w:start w:val="1"/>
      <w:numFmt w:val="decimal"/>
      <w:suff w:val="space"/>
      <w:lvlText w:val="%1.%2."/>
      <w:lvlJc w:val="left"/>
      <w:pPr>
        <w:tabs>
          <w:tab w:val="num" w:pos="0"/>
        </w:tabs>
        <w:ind w:left="0" w:firstLine="0"/>
      </w:pPr>
    </w:lvl>
    <w:lvl w:ilvl="2">
      <w:start w:val="1"/>
      <w:numFmt w:val="decimal"/>
      <w:suff w:val="space"/>
      <w:lvlText w:val="%1.%2.%3."/>
      <w:lvlJc w:val="left"/>
      <w:pPr>
        <w:tabs>
          <w:tab w:val="num" w:pos="0"/>
        </w:tabs>
        <w:ind w:left="0" w:firstLine="0"/>
      </w:pPr>
    </w:lvl>
    <w:lvl w:ilvl="3">
      <w:start w:val="1"/>
      <w:numFmt w:val="decimal"/>
      <w:lvlText w:val="%1.%2.%3.%4"/>
      <w:lvlJc w:val="left"/>
      <w:pPr>
        <w:tabs>
          <w:tab w:val="num" w:pos="0"/>
        </w:tabs>
        <w:ind w:left="864" w:hanging="864"/>
      </w:pPr>
    </w:lvl>
    <w:lvl w:ilvl="4">
      <w:start w:val="1"/>
      <w:numFmt w:val="decimal"/>
      <w:lvlText w:val="%1.%2.%3.%4.%5"/>
      <w:lvlJc w:val="left"/>
      <w:pPr>
        <w:tabs>
          <w:tab w:val="num" w:pos="0"/>
        </w:tabs>
        <w:ind w:left="1008" w:hanging="1008"/>
      </w:pPr>
    </w:lvl>
    <w:lvl w:ilvl="5">
      <w:start w:val="1"/>
      <w:numFmt w:val="decimal"/>
      <w:lvlText w:val="%1.%2.%3.%4.%5.%6"/>
      <w:lvlJc w:val="left"/>
      <w:pPr>
        <w:tabs>
          <w:tab w:val="num" w:pos="0"/>
        </w:tabs>
        <w:ind w:left="1152" w:hanging="1152"/>
      </w:pPr>
    </w:lvl>
    <w:lvl w:ilvl="6">
      <w:start w:val="1"/>
      <w:numFmt w:val="decimal"/>
      <w:lvlText w:val="%1.%2.%3.%4.%5.%6.%7"/>
      <w:lvlJc w:val="left"/>
      <w:pPr>
        <w:tabs>
          <w:tab w:val="num" w:pos="0"/>
        </w:tabs>
        <w:ind w:left="1296" w:hanging="1296"/>
      </w:pPr>
    </w:lvl>
    <w:lvl w:ilvl="7">
      <w:start w:val="1"/>
      <w:numFmt w:val="decimal"/>
      <w:lvlText w:val="%1.%2.%3.%4.%5.%6.%7.%8"/>
      <w:lvlJc w:val="left"/>
      <w:pPr>
        <w:tabs>
          <w:tab w:val="num" w:pos="0"/>
        </w:tabs>
        <w:ind w:left="1440" w:hanging="1440"/>
      </w:pPr>
    </w:lvl>
    <w:lvl w:ilvl="8">
      <w:start w:val="1"/>
      <w:numFmt w:val="decimal"/>
      <w:lvlText w:val="%1.%2.%3.%4.%5.%6.%7.%8.%9"/>
      <w:lvlJc w:val="left"/>
      <w:pPr>
        <w:tabs>
          <w:tab w:val="num" w:pos="0"/>
        </w:tabs>
        <w:ind w:left="1584" w:hanging="1584"/>
      </w:pPr>
    </w:lvl>
  </w:abstractNum>
  <w:abstractNum w:abstractNumId="3">
    <w:nsid w:val="23A34BFD"/>
    <w:multiLevelType w:val="multilevel"/>
    <w:tmpl w:val="FED4AA4E"/>
    <w:lvl w:ilvl="0">
      <w:start w:val="1"/>
      <w:numFmt w:val="bullet"/>
      <w:lvlText w:val=""/>
      <w:lvlJc w:val="left"/>
      <w:pPr>
        <w:tabs>
          <w:tab w:val="num" w:pos="0"/>
        </w:tabs>
        <w:ind w:left="720" w:hanging="360"/>
      </w:pPr>
      <w:rPr>
        <w:rFonts w:ascii="Symbol" w:hAnsi="Symbol" w:cs="Symbol" w:hint="default"/>
      </w:rPr>
    </w:lvl>
    <w:lvl w:ilvl="1">
      <w:start w:val="5"/>
      <w:numFmt w:val="bullet"/>
      <w:lvlText w:val="•"/>
      <w:lvlJc w:val="left"/>
      <w:pPr>
        <w:tabs>
          <w:tab w:val="num" w:pos="0"/>
        </w:tabs>
        <w:ind w:left="1440" w:hanging="360"/>
      </w:pPr>
      <w:rPr>
        <w:rFonts w:ascii="Times New Roman" w:hAnsi="Times New Roman" w:cs="Times New Roman" w:hint="default"/>
      </w:rPr>
    </w:lvl>
    <w:lvl w:ilvl="2">
      <w:start w:val="1"/>
      <w:numFmt w:val="bullet"/>
      <w:lvlText w:val=""/>
      <w:lvlJc w:val="left"/>
      <w:pPr>
        <w:tabs>
          <w:tab w:val="num" w:pos="0"/>
        </w:tabs>
        <w:ind w:left="2160" w:hanging="360"/>
      </w:pPr>
      <w:rPr>
        <w:rFonts w:ascii="Wingdings" w:hAnsi="Wingdings" w:cs="Wingdings" w:hint="default"/>
      </w:rPr>
    </w:lvl>
    <w:lvl w:ilvl="3">
      <w:start w:val="1"/>
      <w:numFmt w:val="bullet"/>
      <w:lvlText w:val=""/>
      <w:lvlJc w:val="left"/>
      <w:pPr>
        <w:tabs>
          <w:tab w:val="num" w:pos="0"/>
        </w:tabs>
        <w:ind w:left="2880" w:hanging="360"/>
      </w:pPr>
      <w:rPr>
        <w:rFonts w:ascii="Symbol" w:hAnsi="Symbol" w:cs="Symbol" w:hint="default"/>
      </w:rPr>
    </w:lvl>
    <w:lvl w:ilvl="4">
      <w:start w:val="1"/>
      <w:numFmt w:val="bullet"/>
      <w:lvlText w:val="o"/>
      <w:lvlJc w:val="left"/>
      <w:pPr>
        <w:tabs>
          <w:tab w:val="num" w:pos="0"/>
        </w:tabs>
        <w:ind w:left="3600" w:hanging="360"/>
      </w:pPr>
      <w:rPr>
        <w:rFonts w:ascii="Courier New" w:hAnsi="Courier New" w:cs="Courier New" w:hint="default"/>
      </w:rPr>
    </w:lvl>
    <w:lvl w:ilvl="5">
      <w:start w:val="1"/>
      <w:numFmt w:val="bullet"/>
      <w:lvlText w:val=""/>
      <w:lvlJc w:val="left"/>
      <w:pPr>
        <w:tabs>
          <w:tab w:val="num" w:pos="0"/>
        </w:tabs>
        <w:ind w:left="4320" w:hanging="360"/>
      </w:pPr>
      <w:rPr>
        <w:rFonts w:ascii="Wingdings" w:hAnsi="Wingdings" w:cs="Wingdings" w:hint="default"/>
      </w:rPr>
    </w:lvl>
    <w:lvl w:ilvl="6">
      <w:start w:val="1"/>
      <w:numFmt w:val="bullet"/>
      <w:lvlText w:val=""/>
      <w:lvlJc w:val="left"/>
      <w:pPr>
        <w:tabs>
          <w:tab w:val="num" w:pos="0"/>
        </w:tabs>
        <w:ind w:left="5040" w:hanging="360"/>
      </w:pPr>
      <w:rPr>
        <w:rFonts w:ascii="Symbol" w:hAnsi="Symbol" w:cs="Symbol" w:hint="default"/>
      </w:rPr>
    </w:lvl>
    <w:lvl w:ilvl="7">
      <w:start w:val="1"/>
      <w:numFmt w:val="bullet"/>
      <w:lvlText w:val="o"/>
      <w:lvlJc w:val="left"/>
      <w:pPr>
        <w:tabs>
          <w:tab w:val="num" w:pos="0"/>
        </w:tabs>
        <w:ind w:left="5760" w:hanging="360"/>
      </w:pPr>
      <w:rPr>
        <w:rFonts w:ascii="Courier New" w:hAnsi="Courier New" w:cs="Courier New" w:hint="default"/>
      </w:rPr>
    </w:lvl>
    <w:lvl w:ilvl="8">
      <w:start w:val="1"/>
      <w:numFmt w:val="bullet"/>
      <w:lvlText w:val=""/>
      <w:lvlJc w:val="left"/>
      <w:pPr>
        <w:tabs>
          <w:tab w:val="num" w:pos="0"/>
        </w:tabs>
        <w:ind w:left="6480" w:hanging="360"/>
      </w:pPr>
      <w:rPr>
        <w:rFonts w:ascii="Wingdings" w:hAnsi="Wingdings" w:cs="Wingdings" w:hint="default"/>
      </w:rPr>
    </w:lvl>
  </w:abstractNum>
  <w:abstractNum w:abstractNumId="4">
    <w:nsid w:val="2E0776D9"/>
    <w:multiLevelType w:val="multilevel"/>
    <w:tmpl w:val="64EAC646"/>
    <w:lvl w:ilvl="0">
      <w:start w:val="1"/>
      <w:numFmt w:val="decimal"/>
      <w:suff w:val="space"/>
      <w:lvlText w:val="Chapter %1."/>
      <w:lvlJc w:val="left"/>
      <w:pPr>
        <w:tabs>
          <w:tab w:val="num" w:pos="0"/>
        </w:tabs>
        <w:ind w:left="0" w:firstLine="0"/>
      </w:pPr>
    </w:lvl>
    <w:lvl w:ilvl="1">
      <w:start w:val="1"/>
      <w:numFmt w:val="decimal"/>
      <w:suff w:val="space"/>
      <w:lvlText w:val="%1.%2."/>
      <w:lvlJc w:val="left"/>
      <w:pPr>
        <w:tabs>
          <w:tab w:val="num" w:pos="0"/>
        </w:tabs>
        <w:ind w:left="0" w:firstLine="0"/>
      </w:pPr>
    </w:lvl>
    <w:lvl w:ilvl="2">
      <w:start w:val="1"/>
      <w:numFmt w:val="decimal"/>
      <w:suff w:val="space"/>
      <w:lvlText w:val="%1.%2.%3."/>
      <w:lvlJc w:val="left"/>
      <w:pPr>
        <w:tabs>
          <w:tab w:val="num" w:pos="0"/>
        </w:tabs>
        <w:ind w:left="0" w:firstLine="0"/>
      </w:pPr>
    </w:lvl>
    <w:lvl w:ilvl="3">
      <w:start w:val="1"/>
      <w:numFmt w:val="decimal"/>
      <w:lvlText w:val="%1.%2.%3.%4"/>
      <w:lvlJc w:val="left"/>
      <w:pPr>
        <w:tabs>
          <w:tab w:val="num" w:pos="0"/>
        </w:tabs>
        <w:ind w:left="864" w:hanging="864"/>
      </w:pPr>
    </w:lvl>
    <w:lvl w:ilvl="4">
      <w:start w:val="1"/>
      <w:numFmt w:val="decimal"/>
      <w:lvlText w:val="%1.%2.%3.%4.%5"/>
      <w:lvlJc w:val="left"/>
      <w:pPr>
        <w:tabs>
          <w:tab w:val="num" w:pos="0"/>
        </w:tabs>
        <w:ind w:left="1008" w:hanging="1008"/>
      </w:pPr>
    </w:lvl>
    <w:lvl w:ilvl="5">
      <w:start w:val="1"/>
      <w:numFmt w:val="decimal"/>
      <w:lvlText w:val="%1.%2.%3.%4.%5.%6"/>
      <w:lvlJc w:val="left"/>
      <w:pPr>
        <w:tabs>
          <w:tab w:val="num" w:pos="0"/>
        </w:tabs>
        <w:ind w:left="1152" w:hanging="1152"/>
      </w:pPr>
    </w:lvl>
    <w:lvl w:ilvl="6">
      <w:start w:val="1"/>
      <w:numFmt w:val="decimal"/>
      <w:lvlText w:val="%1.%2.%3.%4.%5.%6.%7"/>
      <w:lvlJc w:val="left"/>
      <w:pPr>
        <w:tabs>
          <w:tab w:val="num" w:pos="0"/>
        </w:tabs>
        <w:ind w:left="1296" w:hanging="1296"/>
      </w:pPr>
    </w:lvl>
    <w:lvl w:ilvl="7">
      <w:start w:val="1"/>
      <w:numFmt w:val="decimal"/>
      <w:lvlText w:val="%1.%2.%3.%4.%5.%6.%7.%8"/>
      <w:lvlJc w:val="left"/>
      <w:pPr>
        <w:tabs>
          <w:tab w:val="num" w:pos="0"/>
        </w:tabs>
        <w:ind w:left="1440" w:hanging="1440"/>
      </w:pPr>
    </w:lvl>
    <w:lvl w:ilvl="8">
      <w:start w:val="1"/>
      <w:numFmt w:val="decimal"/>
      <w:lvlText w:val="%1.%2.%3.%4.%5.%6.%7.%8.%9"/>
      <w:lvlJc w:val="left"/>
      <w:pPr>
        <w:tabs>
          <w:tab w:val="num" w:pos="0"/>
        </w:tabs>
        <w:ind w:left="1584" w:hanging="1584"/>
      </w:pPr>
    </w:lvl>
  </w:abstractNum>
  <w:abstractNum w:abstractNumId="5">
    <w:nsid w:val="2E8440AA"/>
    <w:multiLevelType w:val="multilevel"/>
    <w:tmpl w:val="F34081BE"/>
    <w:lvl w:ilvl="0">
      <w:start w:val="1"/>
      <w:numFmt w:val="decimal"/>
      <w:suff w:val="space"/>
      <w:lvlText w:val="Chapter %1."/>
      <w:lvlJc w:val="left"/>
      <w:pPr>
        <w:tabs>
          <w:tab w:val="num" w:pos="0"/>
        </w:tabs>
        <w:ind w:left="0" w:firstLine="0"/>
      </w:pPr>
    </w:lvl>
    <w:lvl w:ilvl="1">
      <w:start w:val="1"/>
      <w:numFmt w:val="decimal"/>
      <w:suff w:val="space"/>
      <w:lvlText w:val="%1.%2."/>
      <w:lvlJc w:val="left"/>
      <w:pPr>
        <w:tabs>
          <w:tab w:val="num" w:pos="0"/>
        </w:tabs>
        <w:ind w:left="0" w:firstLine="0"/>
      </w:pPr>
    </w:lvl>
    <w:lvl w:ilvl="2">
      <w:start w:val="1"/>
      <w:numFmt w:val="decimal"/>
      <w:suff w:val="space"/>
      <w:lvlText w:val="%1.%2.%3."/>
      <w:lvlJc w:val="left"/>
      <w:pPr>
        <w:tabs>
          <w:tab w:val="num" w:pos="0"/>
        </w:tabs>
        <w:ind w:left="0" w:firstLine="0"/>
      </w:pPr>
    </w:lvl>
    <w:lvl w:ilvl="3">
      <w:start w:val="1"/>
      <w:numFmt w:val="decimal"/>
      <w:lvlText w:val="%1.%2.%3.%4"/>
      <w:lvlJc w:val="left"/>
      <w:pPr>
        <w:tabs>
          <w:tab w:val="num" w:pos="0"/>
        </w:tabs>
        <w:ind w:left="864" w:hanging="864"/>
      </w:pPr>
    </w:lvl>
    <w:lvl w:ilvl="4">
      <w:start w:val="1"/>
      <w:numFmt w:val="decimal"/>
      <w:lvlText w:val="%1.%2.%3.%4.%5"/>
      <w:lvlJc w:val="left"/>
      <w:pPr>
        <w:tabs>
          <w:tab w:val="num" w:pos="0"/>
        </w:tabs>
        <w:ind w:left="1008" w:hanging="1008"/>
      </w:pPr>
    </w:lvl>
    <w:lvl w:ilvl="5">
      <w:start w:val="1"/>
      <w:numFmt w:val="decimal"/>
      <w:lvlText w:val="%1.%2.%3.%4.%5.%6"/>
      <w:lvlJc w:val="left"/>
      <w:pPr>
        <w:tabs>
          <w:tab w:val="num" w:pos="0"/>
        </w:tabs>
        <w:ind w:left="1152" w:hanging="1152"/>
      </w:pPr>
    </w:lvl>
    <w:lvl w:ilvl="6">
      <w:start w:val="1"/>
      <w:numFmt w:val="decimal"/>
      <w:lvlText w:val="%1.%2.%3.%4.%5.%6.%7"/>
      <w:lvlJc w:val="left"/>
      <w:pPr>
        <w:tabs>
          <w:tab w:val="num" w:pos="0"/>
        </w:tabs>
        <w:ind w:left="1296" w:hanging="1296"/>
      </w:pPr>
    </w:lvl>
    <w:lvl w:ilvl="7">
      <w:start w:val="1"/>
      <w:numFmt w:val="decimal"/>
      <w:lvlText w:val="%1.%2.%3.%4.%5.%6.%7.%8"/>
      <w:lvlJc w:val="left"/>
      <w:pPr>
        <w:tabs>
          <w:tab w:val="num" w:pos="0"/>
        </w:tabs>
        <w:ind w:left="1440" w:hanging="1440"/>
      </w:pPr>
    </w:lvl>
    <w:lvl w:ilvl="8">
      <w:start w:val="1"/>
      <w:numFmt w:val="decimal"/>
      <w:lvlText w:val="%1.%2.%3.%4.%5.%6.%7.%8.%9"/>
      <w:lvlJc w:val="left"/>
      <w:pPr>
        <w:tabs>
          <w:tab w:val="num" w:pos="0"/>
        </w:tabs>
        <w:ind w:left="1584" w:hanging="1584"/>
      </w:pPr>
    </w:lvl>
  </w:abstractNum>
  <w:abstractNum w:abstractNumId="6">
    <w:nsid w:val="38FE17F4"/>
    <w:multiLevelType w:val="multilevel"/>
    <w:tmpl w:val="4838006E"/>
    <w:lvl w:ilvl="0">
      <w:start w:val="1"/>
      <w:numFmt w:val="decimal"/>
      <w:pStyle w:val="Heading1"/>
      <w:suff w:val="space"/>
      <w:lvlText w:val="Chapter %1."/>
      <w:lvlJc w:val="left"/>
      <w:pPr>
        <w:tabs>
          <w:tab w:val="num" w:pos="0"/>
        </w:tabs>
        <w:ind w:left="0" w:firstLine="0"/>
      </w:pPr>
    </w:lvl>
    <w:lvl w:ilvl="1">
      <w:start w:val="1"/>
      <w:numFmt w:val="decimal"/>
      <w:pStyle w:val="Heading2"/>
      <w:suff w:val="space"/>
      <w:lvlText w:val="%1.%2."/>
      <w:lvlJc w:val="left"/>
      <w:pPr>
        <w:tabs>
          <w:tab w:val="num" w:pos="0"/>
        </w:tabs>
        <w:ind w:left="0" w:firstLine="0"/>
      </w:pPr>
    </w:lvl>
    <w:lvl w:ilvl="2">
      <w:start w:val="1"/>
      <w:numFmt w:val="decimal"/>
      <w:pStyle w:val="Heading3"/>
      <w:suff w:val="space"/>
      <w:lvlText w:val="%1.%2.%3."/>
      <w:lvlJc w:val="left"/>
      <w:pPr>
        <w:tabs>
          <w:tab w:val="num" w:pos="0"/>
        </w:tabs>
        <w:ind w:left="0" w:firstLine="0"/>
      </w:pPr>
    </w:lvl>
    <w:lvl w:ilvl="3">
      <w:start w:val="1"/>
      <w:numFmt w:val="decimal"/>
      <w:lvlText w:val="%1.%2.%3.%4"/>
      <w:lvlJc w:val="left"/>
      <w:pPr>
        <w:tabs>
          <w:tab w:val="num" w:pos="0"/>
        </w:tabs>
        <w:ind w:left="864" w:hanging="864"/>
      </w:pPr>
    </w:lvl>
    <w:lvl w:ilvl="4">
      <w:start w:val="1"/>
      <w:numFmt w:val="decimal"/>
      <w:lvlText w:val="%1.%2.%3.%4.%5"/>
      <w:lvlJc w:val="left"/>
      <w:pPr>
        <w:tabs>
          <w:tab w:val="num" w:pos="0"/>
        </w:tabs>
        <w:ind w:left="1008" w:hanging="1008"/>
      </w:pPr>
    </w:lvl>
    <w:lvl w:ilvl="5">
      <w:start w:val="1"/>
      <w:numFmt w:val="decimal"/>
      <w:lvlText w:val="%1.%2.%3.%4.%5.%6"/>
      <w:lvlJc w:val="left"/>
      <w:pPr>
        <w:tabs>
          <w:tab w:val="num" w:pos="0"/>
        </w:tabs>
        <w:ind w:left="1152" w:hanging="1152"/>
      </w:pPr>
    </w:lvl>
    <w:lvl w:ilvl="6">
      <w:start w:val="1"/>
      <w:numFmt w:val="decimal"/>
      <w:lvlText w:val="%1.%2.%3.%4.%5.%6.%7"/>
      <w:lvlJc w:val="left"/>
      <w:pPr>
        <w:tabs>
          <w:tab w:val="num" w:pos="0"/>
        </w:tabs>
        <w:ind w:left="1296" w:hanging="1296"/>
      </w:pPr>
    </w:lvl>
    <w:lvl w:ilvl="7">
      <w:start w:val="1"/>
      <w:numFmt w:val="decimal"/>
      <w:lvlText w:val="%1.%2.%3.%4.%5.%6.%7.%8"/>
      <w:lvlJc w:val="left"/>
      <w:pPr>
        <w:tabs>
          <w:tab w:val="num" w:pos="0"/>
        </w:tabs>
        <w:ind w:left="1440" w:hanging="1440"/>
      </w:pPr>
    </w:lvl>
    <w:lvl w:ilvl="8">
      <w:start w:val="1"/>
      <w:numFmt w:val="decimal"/>
      <w:lvlText w:val="%1.%2.%3.%4.%5.%6.%7.%8.%9"/>
      <w:lvlJc w:val="left"/>
      <w:pPr>
        <w:tabs>
          <w:tab w:val="num" w:pos="0"/>
        </w:tabs>
        <w:ind w:left="1584" w:hanging="1584"/>
      </w:pPr>
    </w:lvl>
  </w:abstractNum>
  <w:abstractNum w:abstractNumId="7">
    <w:nsid w:val="677B34FC"/>
    <w:multiLevelType w:val="multilevel"/>
    <w:tmpl w:val="C8561BFC"/>
    <w:lvl w:ilvl="0">
      <w:start w:val="1"/>
      <w:numFmt w:val="decimal"/>
      <w:lvlText w:val="%1."/>
      <w:lvlJc w:val="left"/>
      <w:pPr>
        <w:tabs>
          <w:tab w:val="num" w:pos="0"/>
        </w:tabs>
        <w:ind w:left="720" w:hanging="360"/>
      </w:pPr>
      <w:rPr>
        <w:b/>
      </w:r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8">
    <w:nsid w:val="6EB85C78"/>
    <w:multiLevelType w:val="multilevel"/>
    <w:tmpl w:val="65FAB224"/>
    <w:lvl w:ilvl="0">
      <w:start w:val="1"/>
      <w:numFmt w:val="decimal"/>
      <w:suff w:val="space"/>
      <w:lvlText w:val="Chapter %1."/>
      <w:lvlJc w:val="left"/>
      <w:pPr>
        <w:tabs>
          <w:tab w:val="num" w:pos="0"/>
        </w:tabs>
        <w:ind w:left="0" w:firstLine="0"/>
      </w:pPr>
    </w:lvl>
    <w:lvl w:ilvl="1">
      <w:start w:val="1"/>
      <w:numFmt w:val="decimal"/>
      <w:suff w:val="space"/>
      <w:lvlText w:val="%1.%2."/>
      <w:lvlJc w:val="left"/>
      <w:pPr>
        <w:tabs>
          <w:tab w:val="num" w:pos="0"/>
        </w:tabs>
        <w:ind w:left="0" w:firstLine="0"/>
      </w:pPr>
    </w:lvl>
    <w:lvl w:ilvl="2">
      <w:start w:val="1"/>
      <w:numFmt w:val="decimal"/>
      <w:suff w:val="space"/>
      <w:lvlText w:val="%1.%2.%3."/>
      <w:lvlJc w:val="left"/>
      <w:pPr>
        <w:tabs>
          <w:tab w:val="num" w:pos="0"/>
        </w:tabs>
        <w:ind w:left="0" w:firstLine="0"/>
      </w:pPr>
    </w:lvl>
    <w:lvl w:ilvl="3">
      <w:start w:val="1"/>
      <w:numFmt w:val="decimal"/>
      <w:lvlText w:val="%1.%2.%3.%4"/>
      <w:lvlJc w:val="left"/>
      <w:pPr>
        <w:tabs>
          <w:tab w:val="num" w:pos="0"/>
        </w:tabs>
        <w:ind w:left="864" w:hanging="864"/>
      </w:pPr>
    </w:lvl>
    <w:lvl w:ilvl="4">
      <w:start w:val="1"/>
      <w:numFmt w:val="decimal"/>
      <w:lvlText w:val="%1.%2.%3.%4.%5"/>
      <w:lvlJc w:val="left"/>
      <w:pPr>
        <w:tabs>
          <w:tab w:val="num" w:pos="0"/>
        </w:tabs>
        <w:ind w:left="1008" w:hanging="1008"/>
      </w:pPr>
    </w:lvl>
    <w:lvl w:ilvl="5">
      <w:start w:val="1"/>
      <w:numFmt w:val="decimal"/>
      <w:lvlText w:val="%1.%2.%3.%4.%5.%6"/>
      <w:lvlJc w:val="left"/>
      <w:pPr>
        <w:tabs>
          <w:tab w:val="num" w:pos="0"/>
        </w:tabs>
        <w:ind w:left="1152" w:hanging="1152"/>
      </w:pPr>
    </w:lvl>
    <w:lvl w:ilvl="6">
      <w:start w:val="1"/>
      <w:numFmt w:val="decimal"/>
      <w:lvlText w:val="%1.%2.%3.%4.%5.%6.%7"/>
      <w:lvlJc w:val="left"/>
      <w:pPr>
        <w:tabs>
          <w:tab w:val="num" w:pos="0"/>
        </w:tabs>
        <w:ind w:left="1296" w:hanging="1296"/>
      </w:pPr>
    </w:lvl>
    <w:lvl w:ilvl="7">
      <w:start w:val="1"/>
      <w:numFmt w:val="decimal"/>
      <w:lvlText w:val="%1.%2.%3.%4.%5.%6.%7.%8"/>
      <w:lvlJc w:val="left"/>
      <w:pPr>
        <w:tabs>
          <w:tab w:val="num" w:pos="0"/>
        </w:tabs>
        <w:ind w:left="1440" w:hanging="1440"/>
      </w:pPr>
    </w:lvl>
    <w:lvl w:ilvl="8">
      <w:start w:val="1"/>
      <w:numFmt w:val="decimal"/>
      <w:lvlText w:val="%1.%2.%3.%4.%5.%6.%7.%8.%9"/>
      <w:lvlJc w:val="left"/>
      <w:pPr>
        <w:tabs>
          <w:tab w:val="num" w:pos="0"/>
        </w:tabs>
        <w:ind w:left="1584" w:hanging="1584"/>
      </w:pPr>
    </w:lvl>
  </w:abstractNum>
  <w:num w:numId="1">
    <w:abstractNumId w:val="6"/>
  </w:num>
  <w:num w:numId="2">
    <w:abstractNumId w:val="1"/>
  </w:num>
  <w:num w:numId="3">
    <w:abstractNumId w:val="3"/>
  </w:num>
  <w:num w:numId="4">
    <w:abstractNumId w:val="7"/>
  </w:num>
  <w:num w:numId="5">
    <w:abstractNumId w:val="4"/>
  </w:num>
  <w:num w:numId="6">
    <w:abstractNumId w:val="2"/>
  </w:num>
  <w:num w:numId="7">
    <w:abstractNumId w:val="5"/>
  </w:num>
  <w:num w:numId="8">
    <w:abstractNumId w:val="0"/>
  </w:num>
  <w:num w:numId="9">
    <w:abstractNumId w:val="8"/>
  </w:num>
  <w:num w:numId="10">
    <w:abstractNumId w:val="6"/>
    <w:lvlOverride w:ilvl="0">
      <w:startOverride w:val="1"/>
    </w:lvlOverride>
    <w:lvlOverride w:ilvl="1">
      <w:startOverride w:val="1"/>
    </w:lvlOverride>
    <w:lvlOverride w:ilvl="2">
      <w:startOverride w:val="1"/>
    </w:lvlOverride>
  </w:num>
  <w:num w:numId="11">
    <w:abstractNumId w:val="6"/>
    <w:lvlOverride w:ilvl="0">
      <w:startOverride w:val="1"/>
    </w:lvlOverride>
    <w:lvlOverride w:ilvl="1">
      <w:startOverride w:val="1"/>
    </w:lvlOverride>
    <w:lvlOverride w:ilvl="2">
      <w:startOverride w:val="1"/>
    </w:lvlOverride>
  </w:num>
  <w:num w:numId="12">
    <w:abstractNumId w:val="6"/>
    <w:lvlOverride w:ilvl="0">
      <w:startOverride w:val="1"/>
    </w:lvlOverride>
    <w:lvlOverride w:ilvl="1">
      <w:startOverride w:val="1"/>
    </w:lvlOverride>
    <w:lvlOverride w:ilvl="2">
      <w:startOverride w:val="1"/>
    </w:lvlOverride>
  </w:num>
  <w:num w:numId="13">
    <w:abstractNumId w:val="6"/>
    <w:lvlOverride w:ilvl="0">
      <w:startOverride w:val="1"/>
    </w:lvlOverride>
    <w:lvlOverride w:ilvl="1">
      <w:startOverride w:val="1"/>
    </w:lvlOverride>
    <w:lvlOverride w:ilvl="2">
      <w:startOverride w:val="1"/>
    </w:lvlOverride>
  </w:num>
  <w:num w:numId="14">
    <w:abstractNumId w:val="6"/>
    <w:lvlOverride w:ilvl="0">
      <w:startOverride w:val="1"/>
    </w:lvlOverride>
    <w:lvlOverride w:ilvl="1">
      <w:startOverride w:val="1"/>
    </w:lvlOverride>
    <w:lvlOverride w:ilvl="2">
      <w:startOverride w:val="1"/>
    </w:lvlOverride>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autoHyphenation/>
  <w:hyphenationZone w:val="0"/>
  <w:characterSpacingControl w:val="doNotCompress"/>
  <w:footnotePr>
    <w:footnote w:id="0"/>
    <w:footnote w:id="1"/>
  </w:footnotePr>
  <w:endnotePr>
    <w:endnote w:id="0"/>
    <w:endnote w:id="1"/>
  </w:endnotePr>
  <w:compat/>
  <w:rsids>
    <w:rsidRoot w:val="001D1FD6"/>
    <w:rsid w:val="0012332F"/>
    <w:rsid w:val="001873A7"/>
    <w:rsid w:val="001D1FD6"/>
    <w:rsid w:val="002A7036"/>
    <w:rsid w:val="00467909"/>
    <w:rsid w:val="004F6971"/>
    <w:rsid w:val="006863E4"/>
    <w:rsid w:val="006E7340"/>
    <w:rsid w:val="008C7BE1"/>
    <w:rsid w:val="008D1A8D"/>
    <w:rsid w:val="00AD1081"/>
    <w:rsid w:val="00C35649"/>
    <w:rsid w:val="00D01C3E"/>
    <w:rsid w:val="00E221F5"/>
    <w:rsid w:val="00EC6F8C"/>
    <w:rsid w:val="00F675BD"/>
    <w:rsid w:val="00F93449"/>
    <w:rsid w:val="00FF73CD"/>
  </w:rsids>
  <m:mathPr>
    <m:mathFont m:val="Cambria Math"/>
    <m:brkBin m:val="before"/>
    <m:brkBinSub m:val="--"/>
    <m:smallFrac/>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imes New Roman" w:hAnsiTheme="minorHAnsi" w:cstheme="minorBidi"/>
        <w:kern w:val="2"/>
        <w:sz w:val="24"/>
        <w:szCs w:val="24"/>
        <w:lang w:val="en-US" w:eastAsia="en-US" w:bidi="ar-SA"/>
      </w:rPr>
    </w:rPrDefault>
    <w:pPrDefault>
      <w:pPr>
        <w:suppressAutoHyphens/>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0C3B86"/>
    <w:pPr>
      <w:spacing w:line="360" w:lineRule="auto"/>
      <w:jc w:val="both"/>
    </w:pPr>
    <w:rPr>
      <w:rFonts w:ascii="Times New Roman" w:hAnsi="Times New Roman"/>
      <w:kern w:val="0"/>
      <w:szCs w:val="22"/>
    </w:rPr>
  </w:style>
  <w:style w:type="paragraph" w:styleId="Heading1">
    <w:name w:val="heading 1"/>
    <w:basedOn w:val="Normal"/>
    <w:next w:val="Normal"/>
    <w:link w:val="Heading1Char"/>
    <w:uiPriority w:val="9"/>
    <w:qFormat/>
    <w:rsid w:val="00794162"/>
    <w:pPr>
      <w:keepNext/>
      <w:keepLines/>
      <w:numPr>
        <w:numId w:val="1"/>
      </w:numPr>
      <w:spacing w:before="360" w:after="80"/>
      <w:jc w:val="center"/>
      <w:outlineLvl w:val="0"/>
    </w:pPr>
    <w:rPr>
      <w:rFonts w:eastAsiaTheme="majorEastAsia" w:cstheme="majorBidi"/>
      <w:b/>
      <w:color w:val="000000" w:themeColor="text1"/>
      <w:sz w:val="32"/>
      <w:szCs w:val="40"/>
    </w:rPr>
  </w:style>
  <w:style w:type="paragraph" w:styleId="Heading2">
    <w:name w:val="heading 2"/>
    <w:basedOn w:val="Normal"/>
    <w:next w:val="Normal"/>
    <w:link w:val="Heading2Char"/>
    <w:uiPriority w:val="9"/>
    <w:unhideWhenUsed/>
    <w:qFormat/>
    <w:rsid w:val="00794162"/>
    <w:pPr>
      <w:keepNext/>
      <w:keepLines/>
      <w:numPr>
        <w:ilvl w:val="1"/>
        <w:numId w:val="1"/>
      </w:numPr>
      <w:spacing w:before="160" w:after="80"/>
      <w:outlineLvl w:val="1"/>
    </w:pPr>
    <w:rPr>
      <w:rFonts w:eastAsiaTheme="majorEastAsia" w:cstheme="majorBidi"/>
      <w:b/>
      <w:sz w:val="28"/>
      <w:szCs w:val="32"/>
    </w:rPr>
  </w:style>
  <w:style w:type="paragraph" w:styleId="Heading3">
    <w:name w:val="heading 3"/>
    <w:basedOn w:val="Normal"/>
    <w:next w:val="Normal"/>
    <w:link w:val="Heading3Char"/>
    <w:uiPriority w:val="9"/>
    <w:unhideWhenUsed/>
    <w:qFormat/>
    <w:rsid w:val="00794162"/>
    <w:pPr>
      <w:keepNext/>
      <w:keepLines/>
      <w:numPr>
        <w:ilvl w:val="2"/>
        <w:numId w:val="1"/>
      </w:numPr>
      <w:spacing w:before="160" w:after="80"/>
      <w:outlineLvl w:val="2"/>
    </w:pPr>
    <w:rPr>
      <w:rFonts w:eastAsiaTheme="majorEastAsia" w:cstheme="majorBidi"/>
      <w:b/>
      <w:i/>
      <w:color w:val="000000" w:themeColor="text1"/>
      <w:szCs w:val="28"/>
    </w:rPr>
  </w:style>
  <w:style w:type="paragraph" w:styleId="Heading4">
    <w:name w:val="heading 4"/>
    <w:basedOn w:val="Normal"/>
    <w:next w:val="Normal"/>
    <w:link w:val="Heading4Char"/>
    <w:uiPriority w:val="9"/>
    <w:semiHidden/>
    <w:unhideWhenUsed/>
    <w:qFormat/>
    <w:rsid w:val="00544A94"/>
    <w:pPr>
      <w:keepNext/>
      <w:keepLines/>
      <w:spacing w:before="80" w:after="40"/>
      <w:outlineLvl w:val="3"/>
    </w:pPr>
    <w:rPr>
      <w:rFonts w:eastAsiaTheme="majorEastAsia" w:cstheme="majorBidi"/>
      <w:b/>
      <w:i/>
      <w:iCs/>
      <w:color w:val="2F5496" w:themeColor="accent1" w:themeShade="BF"/>
    </w:rPr>
  </w:style>
  <w:style w:type="paragraph" w:styleId="Heading5">
    <w:name w:val="heading 5"/>
    <w:basedOn w:val="Normal"/>
    <w:next w:val="Normal"/>
    <w:link w:val="Heading5Char"/>
    <w:uiPriority w:val="9"/>
    <w:semiHidden/>
    <w:unhideWhenUsed/>
    <w:qFormat/>
    <w:rsid w:val="000C3B86"/>
    <w:pPr>
      <w:keepNext/>
      <w:keepLines/>
      <w:spacing w:before="80" w:after="40"/>
      <w:outlineLvl w:val="4"/>
    </w:pPr>
    <w:rPr>
      <w:rFonts w:asciiTheme="minorHAnsi" w:eastAsiaTheme="majorEastAsia" w:hAnsiTheme="minorHAnsi" w:cstheme="majorBidi"/>
      <w:color w:val="2F5496" w:themeColor="accent1" w:themeShade="BF"/>
    </w:rPr>
  </w:style>
  <w:style w:type="paragraph" w:styleId="Heading6">
    <w:name w:val="heading 6"/>
    <w:basedOn w:val="Normal"/>
    <w:next w:val="Normal"/>
    <w:link w:val="Heading6Char"/>
    <w:uiPriority w:val="9"/>
    <w:semiHidden/>
    <w:unhideWhenUsed/>
    <w:qFormat/>
    <w:rsid w:val="000C3B86"/>
    <w:pPr>
      <w:keepNext/>
      <w:keepLines/>
      <w:spacing w:before="40"/>
      <w:outlineLvl w:val="5"/>
    </w:pPr>
    <w:rPr>
      <w:rFonts w:asciiTheme="minorHAnsi" w:eastAsiaTheme="majorEastAsia" w:hAnsiTheme="minorHAnsi" w:cstheme="majorBidi"/>
      <w:i/>
      <w:iCs/>
      <w:color w:val="595959" w:themeColor="text1" w:themeTint="A6"/>
    </w:rPr>
  </w:style>
  <w:style w:type="paragraph" w:styleId="Heading7">
    <w:name w:val="heading 7"/>
    <w:basedOn w:val="Normal"/>
    <w:next w:val="Normal"/>
    <w:link w:val="Heading7Char"/>
    <w:uiPriority w:val="9"/>
    <w:semiHidden/>
    <w:unhideWhenUsed/>
    <w:qFormat/>
    <w:rsid w:val="000C3B86"/>
    <w:pPr>
      <w:keepNext/>
      <w:keepLines/>
      <w:spacing w:before="40"/>
      <w:outlineLvl w:val="6"/>
    </w:pPr>
    <w:rPr>
      <w:rFonts w:asciiTheme="minorHAnsi" w:eastAsiaTheme="majorEastAsia" w:hAnsiTheme="minorHAnsi" w:cstheme="majorBidi"/>
      <w:color w:val="595959" w:themeColor="text1" w:themeTint="A6"/>
    </w:rPr>
  </w:style>
  <w:style w:type="paragraph" w:styleId="Heading8">
    <w:name w:val="heading 8"/>
    <w:basedOn w:val="Normal"/>
    <w:next w:val="Normal"/>
    <w:link w:val="Heading8Char"/>
    <w:uiPriority w:val="9"/>
    <w:semiHidden/>
    <w:unhideWhenUsed/>
    <w:qFormat/>
    <w:rsid w:val="000C3B86"/>
    <w:pPr>
      <w:keepNext/>
      <w:keepLines/>
      <w:outlineLvl w:val="7"/>
    </w:pPr>
    <w:rPr>
      <w:rFonts w:asciiTheme="minorHAnsi" w:eastAsiaTheme="majorEastAsia" w:hAnsiTheme="minorHAnsi" w:cstheme="majorBidi"/>
      <w:i/>
      <w:iCs/>
      <w:color w:val="272727" w:themeColor="text1" w:themeTint="D8"/>
    </w:rPr>
  </w:style>
  <w:style w:type="paragraph" w:styleId="Heading9">
    <w:name w:val="heading 9"/>
    <w:basedOn w:val="Normal"/>
    <w:next w:val="Normal"/>
    <w:link w:val="Heading9Char"/>
    <w:uiPriority w:val="9"/>
    <w:semiHidden/>
    <w:unhideWhenUsed/>
    <w:qFormat/>
    <w:rsid w:val="000C3B86"/>
    <w:pPr>
      <w:keepNext/>
      <w:keepLines/>
      <w:outlineLvl w:val="8"/>
    </w:pPr>
    <w:rPr>
      <w:rFonts w:asciiTheme="minorHAnsi" w:eastAsiaTheme="majorEastAsia" w:hAnsiTheme="minorHAnsi"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qFormat/>
    <w:rsid w:val="00794162"/>
    <w:rPr>
      <w:rFonts w:ascii="Times New Roman" w:eastAsiaTheme="majorEastAsia" w:hAnsi="Times New Roman" w:cstheme="majorBidi"/>
      <w:b/>
      <w:color w:val="000000" w:themeColor="text1"/>
      <w:kern w:val="0"/>
      <w:sz w:val="32"/>
      <w:szCs w:val="40"/>
    </w:rPr>
  </w:style>
  <w:style w:type="character" w:customStyle="1" w:styleId="Heading2Char">
    <w:name w:val="Heading 2 Char"/>
    <w:basedOn w:val="DefaultParagraphFont"/>
    <w:link w:val="Heading2"/>
    <w:uiPriority w:val="9"/>
    <w:qFormat/>
    <w:rsid w:val="00DE58C1"/>
    <w:rPr>
      <w:rFonts w:ascii="Times New Roman" w:eastAsiaTheme="majorEastAsia" w:hAnsi="Times New Roman" w:cstheme="majorBidi"/>
      <w:b/>
      <w:kern w:val="0"/>
      <w:sz w:val="28"/>
      <w:szCs w:val="32"/>
    </w:rPr>
  </w:style>
  <w:style w:type="character" w:customStyle="1" w:styleId="Heading3Char">
    <w:name w:val="Heading 3 Char"/>
    <w:basedOn w:val="DefaultParagraphFont"/>
    <w:link w:val="Heading3"/>
    <w:uiPriority w:val="9"/>
    <w:qFormat/>
    <w:rsid w:val="00794162"/>
    <w:rPr>
      <w:rFonts w:ascii="Times New Roman" w:eastAsiaTheme="majorEastAsia" w:hAnsi="Times New Roman" w:cstheme="majorBidi"/>
      <w:b/>
      <w:i/>
      <w:color w:val="000000" w:themeColor="text1"/>
      <w:kern w:val="0"/>
      <w:szCs w:val="28"/>
    </w:rPr>
  </w:style>
  <w:style w:type="character" w:customStyle="1" w:styleId="Heading4Char">
    <w:name w:val="Heading 4 Char"/>
    <w:basedOn w:val="DefaultParagraphFont"/>
    <w:link w:val="Heading4"/>
    <w:uiPriority w:val="9"/>
    <w:semiHidden/>
    <w:qFormat/>
    <w:rsid w:val="00544A94"/>
    <w:rPr>
      <w:rFonts w:ascii="Times New Roman" w:eastAsiaTheme="majorEastAsia" w:hAnsi="Times New Roman" w:cstheme="majorBidi"/>
      <w:b/>
      <w:i/>
      <w:iCs/>
      <w:color w:val="2F5496" w:themeColor="accent1" w:themeShade="BF"/>
      <w:kern w:val="0"/>
      <w:szCs w:val="22"/>
    </w:rPr>
  </w:style>
  <w:style w:type="character" w:customStyle="1" w:styleId="Heading5Char">
    <w:name w:val="Heading 5 Char"/>
    <w:basedOn w:val="DefaultParagraphFont"/>
    <w:link w:val="Heading5"/>
    <w:uiPriority w:val="9"/>
    <w:semiHidden/>
    <w:qFormat/>
    <w:rsid w:val="000C3B86"/>
    <w:rPr>
      <w:rFonts w:eastAsiaTheme="majorEastAsia" w:cstheme="majorBidi"/>
      <w:color w:val="2F5496" w:themeColor="accent1" w:themeShade="BF"/>
      <w:kern w:val="0"/>
      <w:szCs w:val="22"/>
    </w:rPr>
  </w:style>
  <w:style w:type="character" w:customStyle="1" w:styleId="Heading6Char">
    <w:name w:val="Heading 6 Char"/>
    <w:basedOn w:val="DefaultParagraphFont"/>
    <w:link w:val="Heading6"/>
    <w:uiPriority w:val="9"/>
    <w:semiHidden/>
    <w:qFormat/>
    <w:rsid w:val="000C3B86"/>
    <w:rPr>
      <w:rFonts w:eastAsiaTheme="majorEastAsia" w:cstheme="majorBidi"/>
      <w:i/>
      <w:iCs/>
      <w:color w:val="595959" w:themeColor="text1" w:themeTint="A6"/>
      <w:kern w:val="0"/>
      <w:szCs w:val="22"/>
    </w:rPr>
  </w:style>
  <w:style w:type="character" w:customStyle="1" w:styleId="Heading7Char">
    <w:name w:val="Heading 7 Char"/>
    <w:basedOn w:val="DefaultParagraphFont"/>
    <w:link w:val="Heading7"/>
    <w:uiPriority w:val="9"/>
    <w:semiHidden/>
    <w:qFormat/>
    <w:rsid w:val="000C3B86"/>
    <w:rPr>
      <w:rFonts w:eastAsiaTheme="majorEastAsia" w:cstheme="majorBidi"/>
      <w:color w:val="595959" w:themeColor="text1" w:themeTint="A6"/>
      <w:kern w:val="0"/>
      <w:szCs w:val="22"/>
    </w:rPr>
  </w:style>
  <w:style w:type="character" w:customStyle="1" w:styleId="Heading8Char">
    <w:name w:val="Heading 8 Char"/>
    <w:basedOn w:val="DefaultParagraphFont"/>
    <w:link w:val="Heading8"/>
    <w:uiPriority w:val="9"/>
    <w:semiHidden/>
    <w:qFormat/>
    <w:rsid w:val="000C3B86"/>
    <w:rPr>
      <w:rFonts w:eastAsiaTheme="majorEastAsia" w:cstheme="majorBidi"/>
      <w:i/>
      <w:iCs/>
      <w:color w:val="272727" w:themeColor="text1" w:themeTint="D8"/>
      <w:kern w:val="0"/>
      <w:szCs w:val="22"/>
    </w:rPr>
  </w:style>
  <w:style w:type="character" w:customStyle="1" w:styleId="Heading9Char">
    <w:name w:val="Heading 9 Char"/>
    <w:basedOn w:val="DefaultParagraphFont"/>
    <w:link w:val="Heading9"/>
    <w:uiPriority w:val="9"/>
    <w:semiHidden/>
    <w:qFormat/>
    <w:rsid w:val="000C3B86"/>
    <w:rPr>
      <w:rFonts w:eastAsiaTheme="majorEastAsia" w:cstheme="majorBidi"/>
      <w:color w:val="272727" w:themeColor="text1" w:themeTint="D8"/>
      <w:kern w:val="0"/>
      <w:szCs w:val="22"/>
    </w:rPr>
  </w:style>
  <w:style w:type="character" w:customStyle="1" w:styleId="TitleChar">
    <w:name w:val="Title Char"/>
    <w:basedOn w:val="DefaultParagraphFont"/>
    <w:link w:val="Title"/>
    <w:uiPriority w:val="10"/>
    <w:qFormat/>
    <w:rsid w:val="000C3B86"/>
    <w:rPr>
      <w:rFonts w:asciiTheme="majorHAnsi" w:eastAsiaTheme="majorEastAsia" w:hAnsiTheme="majorHAnsi" w:cstheme="majorBidi"/>
      <w:spacing w:val="-10"/>
      <w:kern w:val="2"/>
      <w:sz w:val="56"/>
      <w:szCs w:val="56"/>
    </w:rPr>
  </w:style>
  <w:style w:type="character" w:customStyle="1" w:styleId="SubtitleChar">
    <w:name w:val="Subtitle Char"/>
    <w:basedOn w:val="DefaultParagraphFont"/>
    <w:link w:val="Subtitle"/>
    <w:uiPriority w:val="11"/>
    <w:qFormat/>
    <w:rsid w:val="000C3B86"/>
    <w:rPr>
      <w:rFonts w:eastAsiaTheme="majorEastAsia" w:cstheme="majorBidi"/>
      <w:color w:val="595959" w:themeColor="text1" w:themeTint="A6"/>
      <w:spacing w:val="15"/>
      <w:kern w:val="0"/>
      <w:sz w:val="28"/>
      <w:szCs w:val="28"/>
    </w:rPr>
  </w:style>
  <w:style w:type="character" w:customStyle="1" w:styleId="QuoteChar">
    <w:name w:val="Quote Char"/>
    <w:basedOn w:val="DefaultParagraphFont"/>
    <w:link w:val="Quote"/>
    <w:uiPriority w:val="29"/>
    <w:qFormat/>
    <w:rsid w:val="000C3B86"/>
    <w:rPr>
      <w:rFonts w:ascii="Times New Roman" w:hAnsi="Times New Roman"/>
      <w:i/>
      <w:iCs/>
      <w:color w:val="404040" w:themeColor="text1" w:themeTint="BF"/>
      <w:kern w:val="0"/>
      <w:szCs w:val="22"/>
    </w:rPr>
  </w:style>
  <w:style w:type="character" w:styleId="IntenseEmphasis">
    <w:name w:val="Intense Emphasis"/>
    <w:basedOn w:val="DefaultParagraphFont"/>
    <w:uiPriority w:val="21"/>
    <w:qFormat/>
    <w:rsid w:val="000C3B86"/>
    <w:rPr>
      <w:i/>
      <w:iCs/>
      <w:color w:val="2F5496" w:themeColor="accent1" w:themeShade="BF"/>
    </w:rPr>
  </w:style>
  <w:style w:type="character" w:customStyle="1" w:styleId="IntenseQuoteChar">
    <w:name w:val="Intense Quote Char"/>
    <w:basedOn w:val="DefaultParagraphFont"/>
    <w:link w:val="IntenseQuote"/>
    <w:uiPriority w:val="30"/>
    <w:qFormat/>
    <w:rsid w:val="000C3B86"/>
    <w:rPr>
      <w:rFonts w:ascii="Times New Roman" w:hAnsi="Times New Roman"/>
      <w:i/>
      <w:iCs/>
      <w:color w:val="2F5496" w:themeColor="accent1" w:themeShade="BF"/>
      <w:kern w:val="0"/>
      <w:szCs w:val="22"/>
    </w:rPr>
  </w:style>
  <w:style w:type="character" w:styleId="IntenseReference">
    <w:name w:val="Intense Reference"/>
    <w:basedOn w:val="DefaultParagraphFont"/>
    <w:uiPriority w:val="32"/>
    <w:qFormat/>
    <w:rsid w:val="000C3B86"/>
    <w:rPr>
      <w:b/>
      <w:bCs/>
      <w:smallCaps/>
      <w:color w:val="2F5496" w:themeColor="accent1" w:themeShade="BF"/>
      <w:spacing w:val="5"/>
    </w:rPr>
  </w:style>
  <w:style w:type="character" w:styleId="Hyperlink">
    <w:name w:val="Hyperlink"/>
    <w:basedOn w:val="DefaultParagraphFont"/>
    <w:uiPriority w:val="99"/>
    <w:unhideWhenUsed/>
    <w:rsid w:val="000C3B86"/>
    <w:rPr>
      <w:color w:val="0563C1" w:themeColor="hyperlink"/>
      <w:u w:val="single"/>
    </w:rPr>
  </w:style>
  <w:style w:type="character" w:customStyle="1" w:styleId="UnresolvedMention">
    <w:name w:val="Unresolved Mention"/>
    <w:basedOn w:val="DefaultParagraphFont"/>
    <w:uiPriority w:val="99"/>
    <w:semiHidden/>
    <w:unhideWhenUsed/>
    <w:qFormat/>
    <w:rsid w:val="000C3B86"/>
    <w:rPr>
      <w:color w:val="605E5C"/>
      <w:shd w:val="clear" w:color="auto" w:fill="E1DFDD"/>
    </w:rPr>
  </w:style>
  <w:style w:type="character" w:customStyle="1" w:styleId="FooterChar">
    <w:name w:val="Footer Char"/>
    <w:basedOn w:val="DefaultParagraphFont"/>
    <w:link w:val="Footer"/>
    <w:uiPriority w:val="99"/>
    <w:qFormat/>
    <w:rsid w:val="00FE45B9"/>
    <w:rPr>
      <w:rFonts w:ascii="Arial" w:eastAsia="Arial" w:hAnsi="Arial"/>
      <w:color w:val="000000"/>
      <w:kern w:val="0"/>
      <w:sz w:val="22"/>
      <w:szCs w:val="22"/>
    </w:rPr>
  </w:style>
  <w:style w:type="character" w:customStyle="1" w:styleId="IndexLink">
    <w:name w:val="Index Link"/>
    <w:qFormat/>
    <w:rsid w:val="002A7036"/>
  </w:style>
  <w:style w:type="character" w:customStyle="1" w:styleId="HeaderChar">
    <w:name w:val="Header Char"/>
    <w:basedOn w:val="DefaultParagraphFont"/>
    <w:link w:val="Header"/>
    <w:uiPriority w:val="99"/>
    <w:qFormat/>
    <w:rsid w:val="00E72CED"/>
    <w:rPr>
      <w:rFonts w:ascii="Times New Roman" w:hAnsi="Times New Roman"/>
      <w:kern w:val="0"/>
      <w:szCs w:val="22"/>
    </w:rPr>
  </w:style>
  <w:style w:type="paragraph" w:customStyle="1" w:styleId="Heading">
    <w:name w:val="Heading"/>
    <w:basedOn w:val="Normal"/>
    <w:next w:val="BodyText"/>
    <w:qFormat/>
    <w:rsid w:val="002A7036"/>
    <w:pPr>
      <w:keepNext/>
      <w:spacing w:before="240" w:after="120"/>
    </w:pPr>
    <w:rPr>
      <w:rFonts w:ascii="Liberation Sans" w:eastAsia="Noto Sans CJK SC" w:hAnsi="Liberation Sans" w:cs="Lohit Devanagari"/>
      <w:sz w:val="28"/>
      <w:szCs w:val="28"/>
    </w:rPr>
  </w:style>
  <w:style w:type="paragraph" w:styleId="BodyText">
    <w:name w:val="Body Text"/>
    <w:basedOn w:val="Normal"/>
    <w:rsid w:val="002A7036"/>
    <w:pPr>
      <w:spacing w:after="140" w:line="276" w:lineRule="auto"/>
    </w:pPr>
  </w:style>
  <w:style w:type="paragraph" w:styleId="List">
    <w:name w:val="List"/>
    <w:basedOn w:val="BodyText"/>
    <w:rsid w:val="002A7036"/>
    <w:rPr>
      <w:rFonts w:cs="Lohit Devanagari"/>
    </w:rPr>
  </w:style>
  <w:style w:type="paragraph" w:styleId="Caption">
    <w:name w:val="caption"/>
    <w:basedOn w:val="Normal"/>
    <w:qFormat/>
    <w:rsid w:val="001E704D"/>
    <w:pPr>
      <w:suppressLineNumbers/>
      <w:spacing w:before="120" w:after="120"/>
    </w:pPr>
    <w:rPr>
      <w:rFonts w:cs="Lohit Devanagari"/>
      <w:iCs/>
      <w:szCs w:val="24"/>
    </w:rPr>
  </w:style>
  <w:style w:type="paragraph" w:customStyle="1" w:styleId="Index">
    <w:name w:val="Index"/>
    <w:basedOn w:val="Normal"/>
    <w:qFormat/>
    <w:rsid w:val="002A7036"/>
    <w:pPr>
      <w:suppressLineNumbers/>
    </w:pPr>
    <w:rPr>
      <w:rFonts w:cs="Lohit Devanagari"/>
    </w:rPr>
  </w:style>
  <w:style w:type="paragraph" w:styleId="Title">
    <w:name w:val="Title"/>
    <w:basedOn w:val="Normal"/>
    <w:next w:val="Normal"/>
    <w:link w:val="TitleChar"/>
    <w:uiPriority w:val="10"/>
    <w:qFormat/>
    <w:rsid w:val="000C3B86"/>
    <w:pPr>
      <w:spacing w:after="80" w:line="240" w:lineRule="auto"/>
      <w:contextualSpacing/>
    </w:pPr>
    <w:rPr>
      <w:rFonts w:asciiTheme="majorHAnsi" w:eastAsiaTheme="majorEastAsia" w:hAnsiTheme="majorHAnsi" w:cstheme="majorBidi"/>
      <w:spacing w:val="-10"/>
      <w:kern w:val="2"/>
      <w:sz w:val="56"/>
      <w:szCs w:val="56"/>
    </w:rPr>
  </w:style>
  <w:style w:type="paragraph" w:styleId="Subtitle">
    <w:name w:val="Subtitle"/>
    <w:basedOn w:val="Normal"/>
    <w:next w:val="Normal"/>
    <w:link w:val="SubtitleChar"/>
    <w:uiPriority w:val="11"/>
    <w:qFormat/>
    <w:rsid w:val="000C3B86"/>
    <w:pPr>
      <w:spacing w:after="160"/>
    </w:pPr>
    <w:rPr>
      <w:rFonts w:asciiTheme="minorHAnsi" w:eastAsiaTheme="majorEastAsia" w:hAnsiTheme="minorHAnsi" w:cstheme="majorBidi"/>
      <w:color w:val="595959" w:themeColor="text1" w:themeTint="A6"/>
      <w:spacing w:val="15"/>
      <w:sz w:val="28"/>
      <w:szCs w:val="28"/>
    </w:rPr>
  </w:style>
  <w:style w:type="paragraph" w:styleId="Quote">
    <w:name w:val="Quote"/>
    <w:basedOn w:val="Normal"/>
    <w:next w:val="Normal"/>
    <w:link w:val="QuoteChar"/>
    <w:uiPriority w:val="29"/>
    <w:qFormat/>
    <w:rsid w:val="000C3B86"/>
    <w:pPr>
      <w:spacing w:before="160" w:after="160"/>
      <w:jc w:val="center"/>
    </w:pPr>
    <w:rPr>
      <w:i/>
      <w:iCs/>
      <w:color w:val="404040" w:themeColor="text1" w:themeTint="BF"/>
    </w:rPr>
  </w:style>
  <w:style w:type="paragraph" w:styleId="ListParagraph">
    <w:name w:val="List Paragraph"/>
    <w:basedOn w:val="Normal"/>
    <w:uiPriority w:val="34"/>
    <w:qFormat/>
    <w:rsid w:val="000C3B86"/>
    <w:pPr>
      <w:ind w:left="720"/>
      <w:contextualSpacing/>
    </w:pPr>
  </w:style>
  <w:style w:type="paragraph" w:styleId="IntenseQuote">
    <w:name w:val="Intense Quote"/>
    <w:basedOn w:val="Normal"/>
    <w:next w:val="Normal"/>
    <w:link w:val="IntenseQuoteChar"/>
    <w:uiPriority w:val="30"/>
    <w:qFormat/>
    <w:rsid w:val="000C3B86"/>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paragraph" w:customStyle="1" w:styleId="Reference">
    <w:name w:val="Reference"/>
    <w:qFormat/>
    <w:rsid w:val="000C3B86"/>
    <w:pPr>
      <w:spacing w:line="360" w:lineRule="auto"/>
      <w:ind w:left="720" w:hanging="720"/>
    </w:pPr>
    <w:rPr>
      <w:rFonts w:ascii="Times New Roman" w:eastAsiaTheme="minorEastAsia" w:hAnsi="Times New Roman"/>
      <w:kern w:val="0"/>
      <w:szCs w:val="22"/>
    </w:rPr>
  </w:style>
  <w:style w:type="paragraph" w:styleId="NoSpacing">
    <w:name w:val="No Spacing"/>
    <w:uiPriority w:val="1"/>
    <w:qFormat/>
    <w:rsid w:val="000F5D50"/>
    <w:pPr>
      <w:jc w:val="both"/>
    </w:pPr>
    <w:rPr>
      <w:rFonts w:ascii="Times New Roman" w:hAnsi="Times New Roman"/>
      <w:kern w:val="0"/>
      <w:szCs w:val="22"/>
    </w:rPr>
  </w:style>
  <w:style w:type="paragraph" w:customStyle="1" w:styleId="HeaderandFooter">
    <w:name w:val="Header and Footer"/>
    <w:basedOn w:val="Normal"/>
    <w:qFormat/>
    <w:rsid w:val="002A7036"/>
  </w:style>
  <w:style w:type="paragraph" w:styleId="Footer">
    <w:name w:val="footer"/>
    <w:basedOn w:val="Normal"/>
    <w:link w:val="FooterChar"/>
    <w:uiPriority w:val="99"/>
    <w:unhideWhenUsed/>
    <w:rsid w:val="00FE45B9"/>
    <w:pPr>
      <w:tabs>
        <w:tab w:val="center" w:pos="4680"/>
        <w:tab w:val="right" w:pos="9360"/>
      </w:tabs>
      <w:spacing w:after="120" w:line="240" w:lineRule="auto"/>
    </w:pPr>
    <w:rPr>
      <w:rFonts w:ascii="Arial" w:eastAsia="Arial" w:hAnsi="Arial"/>
      <w:color w:val="000000"/>
      <w:sz w:val="22"/>
    </w:rPr>
  </w:style>
  <w:style w:type="paragraph" w:styleId="IndexHeading">
    <w:name w:val="index heading"/>
    <w:basedOn w:val="Heading"/>
    <w:rsid w:val="002A7036"/>
  </w:style>
  <w:style w:type="paragraph" w:styleId="TOCHeading">
    <w:name w:val="TOC Heading"/>
    <w:basedOn w:val="Heading1"/>
    <w:next w:val="Normal"/>
    <w:uiPriority w:val="39"/>
    <w:unhideWhenUsed/>
    <w:qFormat/>
    <w:rsid w:val="00B019DA"/>
    <w:pPr>
      <w:numPr>
        <w:numId w:val="0"/>
      </w:numPr>
      <w:spacing w:before="240" w:after="0" w:line="259" w:lineRule="auto"/>
      <w:jc w:val="left"/>
      <w:outlineLvl w:val="9"/>
    </w:pPr>
    <w:rPr>
      <w:rFonts w:asciiTheme="majorHAnsi" w:hAnsiTheme="majorHAnsi"/>
      <w:b w:val="0"/>
      <w:color w:val="2F5496" w:themeColor="accent1" w:themeShade="BF"/>
      <w:szCs w:val="32"/>
    </w:rPr>
  </w:style>
  <w:style w:type="paragraph" w:styleId="TOC1">
    <w:name w:val="toc 1"/>
    <w:basedOn w:val="Normal"/>
    <w:next w:val="Normal"/>
    <w:autoRedefine/>
    <w:uiPriority w:val="39"/>
    <w:unhideWhenUsed/>
    <w:rsid w:val="00B019DA"/>
    <w:pPr>
      <w:spacing w:after="100"/>
    </w:pPr>
  </w:style>
  <w:style w:type="paragraph" w:styleId="TOC2">
    <w:name w:val="toc 2"/>
    <w:basedOn w:val="Normal"/>
    <w:next w:val="Normal"/>
    <w:autoRedefine/>
    <w:uiPriority w:val="39"/>
    <w:unhideWhenUsed/>
    <w:rsid w:val="00B019DA"/>
    <w:pPr>
      <w:spacing w:after="100"/>
      <w:ind w:left="240"/>
    </w:pPr>
  </w:style>
  <w:style w:type="paragraph" w:styleId="TOC3">
    <w:name w:val="toc 3"/>
    <w:basedOn w:val="Normal"/>
    <w:next w:val="Normal"/>
    <w:autoRedefine/>
    <w:uiPriority w:val="39"/>
    <w:unhideWhenUsed/>
    <w:rsid w:val="00B019DA"/>
    <w:pPr>
      <w:spacing w:after="100"/>
      <w:ind w:left="480"/>
    </w:pPr>
  </w:style>
  <w:style w:type="paragraph" w:styleId="TOC4">
    <w:name w:val="toc 4"/>
    <w:basedOn w:val="Normal"/>
    <w:next w:val="Normal"/>
    <w:autoRedefine/>
    <w:uiPriority w:val="39"/>
    <w:unhideWhenUsed/>
    <w:rsid w:val="00B019DA"/>
    <w:pPr>
      <w:spacing w:after="100" w:line="278" w:lineRule="auto"/>
      <w:ind w:left="720"/>
      <w:jc w:val="left"/>
    </w:pPr>
    <w:rPr>
      <w:rFonts w:asciiTheme="minorHAnsi" w:eastAsiaTheme="minorEastAsia" w:hAnsiTheme="minorHAnsi"/>
      <w:kern w:val="2"/>
      <w:szCs w:val="24"/>
    </w:rPr>
  </w:style>
  <w:style w:type="paragraph" w:styleId="TOC5">
    <w:name w:val="toc 5"/>
    <w:basedOn w:val="Normal"/>
    <w:next w:val="Normal"/>
    <w:autoRedefine/>
    <w:uiPriority w:val="39"/>
    <w:unhideWhenUsed/>
    <w:rsid w:val="00B019DA"/>
    <w:pPr>
      <w:spacing w:after="100" w:line="278" w:lineRule="auto"/>
      <w:ind w:left="960"/>
      <w:jc w:val="left"/>
    </w:pPr>
    <w:rPr>
      <w:rFonts w:asciiTheme="minorHAnsi" w:eastAsiaTheme="minorEastAsia" w:hAnsiTheme="minorHAnsi"/>
      <w:kern w:val="2"/>
      <w:szCs w:val="24"/>
    </w:rPr>
  </w:style>
  <w:style w:type="paragraph" w:styleId="TOC6">
    <w:name w:val="toc 6"/>
    <w:basedOn w:val="Normal"/>
    <w:next w:val="Normal"/>
    <w:autoRedefine/>
    <w:uiPriority w:val="39"/>
    <w:unhideWhenUsed/>
    <w:rsid w:val="00B019DA"/>
    <w:pPr>
      <w:spacing w:after="100" w:line="278" w:lineRule="auto"/>
      <w:ind w:left="1200"/>
      <w:jc w:val="left"/>
    </w:pPr>
    <w:rPr>
      <w:rFonts w:asciiTheme="minorHAnsi" w:eastAsiaTheme="minorEastAsia" w:hAnsiTheme="minorHAnsi"/>
      <w:kern w:val="2"/>
      <w:szCs w:val="24"/>
    </w:rPr>
  </w:style>
  <w:style w:type="paragraph" w:styleId="TOC7">
    <w:name w:val="toc 7"/>
    <w:basedOn w:val="Normal"/>
    <w:next w:val="Normal"/>
    <w:autoRedefine/>
    <w:uiPriority w:val="39"/>
    <w:unhideWhenUsed/>
    <w:rsid w:val="00B019DA"/>
    <w:pPr>
      <w:spacing w:after="100" w:line="278" w:lineRule="auto"/>
      <w:ind w:left="1440"/>
      <w:jc w:val="left"/>
    </w:pPr>
    <w:rPr>
      <w:rFonts w:asciiTheme="minorHAnsi" w:eastAsiaTheme="minorEastAsia" w:hAnsiTheme="minorHAnsi"/>
      <w:kern w:val="2"/>
      <w:szCs w:val="24"/>
    </w:rPr>
  </w:style>
  <w:style w:type="paragraph" w:styleId="TOC8">
    <w:name w:val="toc 8"/>
    <w:basedOn w:val="Normal"/>
    <w:next w:val="Normal"/>
    <w:autoRedefine/>
    <w:uiPriority w:val="39"/>
    <w:unhideWhenUsed/>
    <w:rsid w:val="00B019DA"/>
    <w:pPr>
      <w:spacing w:after="100" w:line="278" w:lineRule="auto"/>
      <w:ind w:left="1680"/>
      <w:jc w:val="left"/>
    </w:pPr>
    <w:rPr>
      <w:rFonts w:asciiTheme="minorHAnsi" w:eastAsiaTheme="minorEastAsia" w:hAnsiTheme="minorHAnsi"/>
      <w:kern w:val="2"/>
      <w:szCs w:val="24"/>
    </w:rPr>
  </w:style>
  <w:style w:type="paragraph" w:styleId="TOC9">
    <w:name w:val="toc 9"/>
    <w:basedOn w:val="Normal"/>
    <w:next w:val="Normal"/>
    <w:autoRedefine/>
    <w:uiPriority w:val="39"/>
    <w:unhideWhenUsed/>
    <w:rsid w:val="00B019DA"/>
    <w:pPr>
      <w:spacing w:after="100" w:line="278" w:lineRule="auto"/>
      <w:ind w:left="1920"/>
      <w:jc w:val="left"/>
    </w:pPr>
    <w:rPr>
      <w:rFonts w:asciiTheme="minorHAnsi" w:eastAsiaTheme="minorEastAsia" w:hAnsiTheme="minorHAnsi"/>
      <w:kern w:val="2"/>
      <w:szCs w:val="24"/>
    </w:rPr>
  </w:style>
  <w:style w:type="paragraph" w:styleId="TableofFigures">
    <w:name w:val="table of figures"/>
    <w:basedOn w:val="Normal"/>
    <w:next w:val="Normal"/>
    <w:uiPriority w:val="99"/>
    <w:unhideWhenUsed/>
    <w:rsid w:val="00E72CED"/>
  </w:style>
  <w:style w:type="paragraph" w:styleId="Header">
    <w:name w:val="header"/>
    <w:basedOn w:val="Normal"/>
    <w:link w:val="HeaderChar"/>
    <w:uiPriority w:val="99"/>
    <w:unhideWhenUsed/>
    <w:rsid w:val="00E72CED"/>
    <w:pPr>
      <w:tabs>
        <w:tab w:val="center" w:pos="4680"/>
        <w:tab w:val="right" w:pos="9360"/>
      </w:tabs>
      <w:spacing w:line="240" w:lineRule="auto"/>
    </w:pPr>
  </w:style>
  <w:style w:type="table" w:styleId="TableGrid">
    <w:name w:val="Table Grid"/>
    <w:basedOn w:val="TableNormal"/>
    <w:uiPriority w:val="59"/>
    <w:rsid w:val="000F5D50"/>
    <w:rPr>
      <w:rFonts w:eastAsiaTheme="minorEastAsia"/>
      <w:sz w:val="22"/>
      <w:szCs w:val="22"/>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BalloonText">
    <w:name w:val="Balloon Text"/>
    <w:basedOn w:val="Normal"/>
    <w:link w:val="BalloonTextChar"/>
    <w:uiPriority w:val="99"/>
    <w:semiHidden/>
    <w:unhideWhenUsed/>
    <w:rsid w:val="006863E4"/>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6863E4"/>
    <w:rPr>
      <w:rFonts w:ascii="Tahoma" w:hAnsi="Tahoma" w:cs="Tahoma"/>
      <w:kern w:val="0"/>
      <w:sz w:val="16"/>
      <w:szCs w:val="16"/>
    </w:rPr>
  </w:style>
</w:styles>
</file>

<file path=word/webSettings.xml><?xml version="1.0" encoding="utf-8"?>
<w:webSettings xmlns:r="http://schemas.openxmlformats.org/officeDocument/2006/relationships" xmlns:w="http://schemas.openxmlformats.org/wordprocessingml/2006/main"/>
</file>

<file path=word/_rels/document.xml.rels><?xml version="1.0" encoding="UTF-8" standalone="yes"?>
<Relationships xmlns="http://schemas.openxmlformats.org/package/2006/relationships"><Relationship Id="rId26" Type="http://schemas.openxmlformats.org/officeDocument/2006/relationships/hyperlink" Target="https://doi.org/10.1177/20552076231211634" TargetMode="External"/><Relationship Id="rId117" Type="http://schemas.openxmlformats.org/officeDocument/2006/relationships/footer" Target="footer10.xml"/><Relationship Id="rId21" Type="http://schemas.openxmlformats.org/officeDocument/2006/relationships/hyperlink" Target="https://doi.org/10.1136/tc.12.3.296" TargetMode="External"/><Relationship Id="rId42" Type="http://schemas.openxmlformats.org/officeDocument/2006/relationships/hyperlink" Target="https://doi.org/10.1002/jrsm.1436" TargetMode="External"/><Relationship Id="rId47" Type="http://schemas.openxmlformats.org/officeDocument/2006/relationships/hyperlink" Target="https://doi.org/10.1136/tobaccocontrol-2016-053305" TargetMode="External"/><Relationship Id="rId63" Type="http://schemas.openxmlformats.org/officeDocument/2006/relationships/hyperlink" Target="https://doi.org/10.3390/ijerph6010051" TargetMode="External"/><Relationship Id="rId68" Type="http://schemas.openxmlformats.org/officeDocument/2006/relationships/hyperlink" Target="https://doi.org/10.1111/j.1360-0443.2009.02639.x" TargetMode="External"/><Relationship Id="rId84" Type="http://schemas.openxmlformats.org/officeDocument/2006/relationships/hyperlink" Target="https://digital.nhs.uk/data-and-information/publications/statistical/statistics-on-nhs-stop-smoking-services-in-england/april-2024-to-march-2025-q4-annual" TargetMode="External"/><Relationship Id="rId89" Type="http://schemas.openxmlformats.org/officeDocument/2006/relationships/hyperlink" Target="https://doi.org/10.1146/annurev-publhealth-032013-182440" TargetMode="External"/><Relationship Id="rId112" Type="http://schemas.openxmlformats.org/officeDocument/2006/relationships/hyperlink" Target="https://doi.org/10.1371/journal.pmed.1001333" TargetMode="External"/><Relationship Id="rId16" Type="http://schemas.openxmlformats.org/officeDocument/2006/relationships/footer" Target="footer8.xml"/><Relationship Id="rId107" Type="http://schemas.openxmlformats.org/officeDocument/2006/relationships/hyperlink" Target="https://doi.org/10.1186/1471-2288-8-45" TargetMode="External"/><Relationship Id="rId11" Type="http://schemas.openxmlformats.org/officeDocument/2006/relationships/footer" Target="footer3.xml"/><Relationship Id="rId32" Type="http://schemas.openxmlformats.org/officeDocument/2006/relationships/hyperlink" Target="https://doi.org/10.1007/s11606-024-08786-8" TargetMode="External"/><Relationship Id="rId37" Type="http://schemas.openxmlformats.org/officeDocument/2006/relationships/hyperlink" Target="https://www.gov.uk/government/publications/smoking-and-tobacco-applying-all-our-health/smoking-and-tobacco-applying-all-our-health" TargetMode="External"/><Relationship Id="rId53" Type="http://schemas.openxmlformats.org/officeDocument/2006/relationships/hyperlink" Target="https://doi.org/10.1093/ntr/ntq047" TargetMode="External"/><Relationship Id="rId58" Type="http://schemas.openxmlformats.org/officeDocument/2006/relationships/hyperlink" Target="https://doi.org/10.3233/EFI-180221" TargetMode="External"/><Relationship Id="rId74" Type="http://schemas.openxmlformats.org/officeDocument/2006/relationships/hyperlink" Target="https://doi.org/10.1002/14651858.CD006103.pub9" TargetMode="External"/><Relationship Id="rId79" Type="http://schemas.openxmlformats.org/officeDocument/2006/relationships/hyperlink" Target="https://doi.org/10.1186/1748-5908-6-42" TargetMode="External"/><Relationship Id="rId102" Type="http://schemas.openxmlformats.org/officeDocument/2006/relationships/hyperlink" Target="https://doi.org/10.11124/JBISRIR-D-19-00169" TargetMode="External"/><Relationship Id="rId123" Type="http://schemas.openxmlformats.org/officeDocument/2006/relationships/footer" Target="footer16.xml"/><Relationship Id="rId5" Type="http://schemas.openxmlformats.org/officeDocument/2006/relationships/webSettings" Target="webSettings.xml"/><Relationship Id="rId61" Type="http://schemas.openxmlformats.org/officeDocument/2006/relationships/hyperlink" Target="https://doi.org/10.1056/NEJMra1308383" TargetMode="External"/><Relationship Id="rId82" Type="http://schemas.openxmlformats.org/officeDocument/2006/relationships/hyperlink" Target="https://doi.org/10.1093/pubmed/fdp008" TargetMode="External"/><Relationship Id="rId90" Type="http://schemas.openxmlformats.org/officeDocument/2006/relationships/hyperlink" Target="https://doi.org/10.1093/ntr/ntae159" TargetMode="External"/><Relationship Id="rId95" Type="http://schemas.openxmlformats.org/officeDocument/2006/relationships/hyperlink" Target="https://doi.org/10.1002/nur.20176" TargetMode="External"/><Relationship Id="rId19" Type="http://schemas.openxmlformats.org/officeDocument/2006/relationships/hyperlink" Target="https://doi.org/10.1016/0749-5978(91)90020-T" TargetMode="External"/><Relationship Id="rId14" Type="http://schemas.openxmlformats.org/officeDocument/2006/relationships/footer" Target="footer6.xml"/><Relationship Id="rId22" Type="http://schemas.openxmlformats.org/officeDocument/2006/relationships/hyperlink" Target="https://doi.org/10.1111/j.1360-0443.2012.03861.x" TargetMode="External"/><Relationship Id="rId27" Type="http://schemas.openxmlformats.org/officeDocument/2006/relationships/hyperlink" Target="https://doi.org/10.1002/14651858.CD008743.pub3" TargetMode="External"/><Relationship Id="rId30" Type="http://schemas.openxmlformats.org/officeDocument/2006/relationships/hyperlink" Target="https://doi.org/10.1136/bmj.l6890" TargetMode="External"/><Relationship Id="rId35" Type="http://schemas.openxmlformats.org/officeDocument/2006/relationships/hyperlink" Target="https://doi.org/10.1136/bmj.a1655" TargetMode="External"/><Relationship Id="rId43" Type="http://schemas.openxmlformats.org/officeDocument/2006/relationships/hyperlink" Target="https://doi.org/10.1016/S0140-6736(20)30752-2" TargetMode="External"/><Relationship Id="rId48" Type="http://schemas.openxmlformats.org/officeDocument/2006/relationships/hyperlink" Target="https://doi.org/10.1007/s10198-012-0424-5" TargetMode="External"/><Relationship Id="rId56" Type="http://schemas.openxmlformats.org/officeDocument/2006/relationships/hyperlink" Target="https://doi.org/10.1093/pubmed/fdq097" TargetMode="External"/><Relationship Id="rId64" Type="http://schemas.openxmlformats.org/officeDocument/2006/relationships/hyperlink" Target="https://doi.org/10.1016/j.abrep.2018.10.005" TargetMode="External"/><Relationship Id="rId69" Type="http://schemas.openxmlformats.org/officeDocument/2006/relationships/hyperlink" Target="https://doi.org/10.1016/j.puhe.2019.03.012" TargetMode="External"/><Relationship Id="rId77" Type="http://schemas.openxmlformats.org/officeDocument/2006/relationships/hyperlink" Target="https://doi.org/10.1371/journal.pone.0123349" TargetMode="External"/><Relationship Id="rId100" Type="http://schemas.openxmlformats.org/officeDocument/2006/relationships/hyperlink" Target="https://doi.org/10.1002/14651858.CD001007.pub3" TargetMode="External"/><Relationship Id="rId105" Type="http://schemas.openxmlformats.org/officeDocument/2006/relationships/hyperlink" Target="https://doi.org/10.1002/14651858.CD013308.pub2" TargetMode="External"/><Relationship Id="rId113" Type="http://schemas.openxmlformats.org/officeDocument/2006/relationships/hyperlink" Target="https://doi.org/10.1136/bmj.f4921" TargetMode="External"/><Relationship Id="rId118" Type="http://schemas.openxmlformats.org/officeDocument/2006/relationships/footer" Target="footer11.xml"/><Relationship Id="rId8" Type="http://schemas.openxmlformats.org/officeDocument/2006/relationships/image" Target="media/image1.png"/><Relationship Id="rId51" Type="http://schemas.openxmlformats.org/officeDocument/2006/relationships/hyperlink" Target="https://doi.org/10.1002/14651858.CD000146.pub5" TargetMode="External"/><Relationship Id="rId72" Type="http://schemas.openxmlformats.org/officeDocument/2006/relationships/hyperlink" Target="https://doi.org/10.1186/1475-9276-12-18" TargetMode="External"/><Relationship Id="rId80" Type="http://schemas.openxmlformats.org/officeDocument/2006/relationships/hyperlink" Target="https://doi.org/10.1136/bmj.h1258" TargetMode="External"/><Relationship Id="rId85" Type="http://schemas.openxmlformats.org/officeDocument/2006/relationships/hyperlink" Target="https://www.ons.gov.uk/peoplepopulationandcommunity/healthandsocialcare/healthandlifeexpectancies/bulletins/adultsmokinghabitsingreatbritain/2024" TargetMode="External"/><Relationship Id="rId93" Type="http://schemas.openxmlformats.org/officeDocument/2006/relationships/hyperlink" Target="https://doi.org/10.1186/s12889-019-6738-9" TargetMode="External"/><Relationship Id="rId98" Type="http://schemas.openxmlformats.org/officeDocument/2006/relationships/hyperlink" Target="https://doi.org/10.1136/tobaccocontrol-2020-055874" TargetMode="External"/><Relationship Id="rId121" Type="http://schemas.openxmlformats.org/officeDocument/2006/relationships/footer" Target="footer14.xml"/><Relationship Id="rId3" Type="http://schemas.openxmlformats.org/officeDocument/2006/relationships/styles" Target="styles.xml"/><Relationship Id="rId12" Type="http://schemas.openxmlformats.org/officeDocument/2006/relationships/footer" Target="footer4.xml"/><Relationship Id="rId17" Type="http://schemas.openxmlformats.org/officeDocument/2006/relationships/footer" Target="footer9.xml"/><Relationship Id="rId25" Type="http://schemas.openxmlformats.org/officeDocument/2006/relationships/hyperlink" Target="https://doi.org/10.1136/bmj.i4645" TargetMode="External"/><Relationship Id="rId33" Type="http://schemas.openxmlformats.org/officeDocument/2006/relationships/hyperlink" Target="https://doi.org/10.1111/j.1360-0443.2005.01026.x" TargetMode="External"/><Relationship Id="rId38" Type="http://schemas.openxmlformats.org/officeDocument/2006/relationships/hyperlink" Target="https://doi.org/10.1177/135581960501000110" TargetMode="External"/><Relationship Id="rId46" Type="http://schemas.openxmlformats.org/officeDocument/2006/relationships/hyperlink" Target="https://doi.org/10.4278/0890-1171-11.2.87" TargetMode="External"/><Relationship Id="rId59" Type="http://schemas.openxmlformats.org/officeDocument/2006/relationships/hyperlink" Target="https://doi.org/10.1002/14651858.CD013696.pub2" TargetMode="External"/><Relationship Id="rId67" Type="http://schemas.openxmlformats.org/officeDocument/2006/relationships/hyperlink" Target="https://doi.org/10.1111/add.12429" TargetMode="External"/><Relationship Id="rId103" Type="http://schemas.openxmlformats.org/officeDocument/2006/relationships/hyperlink" Target="https://doi.org/10.1186/s13012-016-0498-z" TargetMode="External"/><Relationship Id="rId108" Type="http://schemas.openxmlformats.org/officeDocument/2006/relationships/hyperlink" Target="https://doi.org/10.1136/bmjopen-2014-006414" TargetMode="External"/><Relationship Id="rId116" Type="http://schemas.openxmlformats.org/officeDocument/2006/relationships/hyperlink" Target="https://www.who.int/news-room/fact-sheets/detail/tobacco" TargetMode="External"/><Relationship Id="rId124" Type="http://schemas.openxmlformats.org/officeDocument/2006/relationships/fontTable" Target="fontTable.xml"/><Relationship Id="rId20" Type="http://schemas.openxmlformats.org/officeDocument/2006/relationships/hyperlink" Target="https://doi.org/10.1136/bmj.i2016" TargetMode="External"/><Relationship Id="rId41" Type="http://schemas.openxmlformats.org/officeDocument/2006/relationships/hyperlink" Target="https://doi.org/10.1111/j.1360-0443.2005.01028.x" TargetMode="External"/><Relationship Id="rId54" Type="http://schemas.openxmlformats.org/officeDocument/2006/relationships/hyperlink" Target="https://doi.org/10.1136/tobaccocontrol-2013-051110" TargetMode="External"/><Relationship Id="rId62" Type="http://schemas.openxmlformats.org/officeDocument/2006/relationships/hyperlink" Target="https://doi.org/10.1111/j.1360-0443.2005.01027.x" TargetMode="External"/><Relationship Id="rId70" Type="http://schemas.openxmlformats.org/officeDocument/2006/relationships/hyperlink" Target="https://doi.org/10.1002/14651858.CD001292.pub3" TargetMode="External"/><Relationship Id="rId75" Type="http://schemas.openxmlformats.org/officeDocument/2006/relationships/hyperlink" Target="https://doi.org/10.1002/14651858.CD003999.pub6" TargetMode="External"/><Relationship Id="rId83" Type="http://schemas.openxmlformats.org/officeDocument/2006/relationships/hyperlink" Target="https://www.nice.org.uk/guidance/ng209" TargetMode="External"/><Relationship Id="rId88" Type="http://schemas.openxmlformats.org/officeDocument/2006/relationships/hyperlink" Target="https://doi.org/10.1016/S0140-6736(12)61720-6" TargetMode="External"/><Relationship Id="rId91" Type="http://schemas.openxmlformats.org/officeDocument/2006/relationships/hyperlink" Target="https://doi.org/10.1111/add.12319" TargetMode="External"/><Relationship Id="rId96" Type="http://schemas.openxmlformats.org/officeDocument/2006/relationships/hyperlink" Target="https://doi.org/10.1146/annurev-psych-010418-102803" TargetMode="External"/><Relationship Id="rId111" Type="http://schemas.openxmlformats.org/officeDocument/2006/relationships/hyperlink" Target="https://doi.org/10.1002/14651858.CD004305.pub5" TargetMode="External"/><Relationship Id="rId1" Type="http://schemas.openxmlformats.org/officeDocument/2006/relationships/customXml" Target="../customXml/item1.xml"/><Relationship Id="rId6" Type="http://schemas.openxmlformats.org/officeDocument/2006/relationships/footnotes" Target="footnotes.xml"/><Relationship Id="rId15" Type="http://schemas.openxmlformats.org/officeDocument/2006/relationships/footer" Target="footer7.xml"/><Relationship Id="rId23" Type="http://schemas.openxmlformats.org/officeDocument/2006/relationships/hyperlink" Target="https://doi.org/10.3390/ijerph13121175" TargetMode="External"/><Relationship Id="rId28" Type="http://schemas.openxmlformats.org/officeDocument/2006/relationships/hyperlink" Target="https://doi.org/10.1191/1478088706qp063oa" TargetMode="External"/><Relationship Id="rId36" Type="http://schemas.openxmlformats.org/officeDocument/2006/relationships/hyperlink" Target="https://casp-uk.net/casp-tools-checklists/qualitative-studies-checklist/" TargetMode="External"/><Relationship Id="rId49" Type="http://schemas.openxmlformats.org/officeDocument/2006/relationships/hyperlink" Target="https://doi.org/10.1136/bmj.39489.470347.AD" TargetMode="External"/><Relationship Id="rId57" Type="http://schemas.openxmlformats.org/officeDocument/2006/relationships/hyperlink" Target="https://doi.org/10.1002/14651858.CD009164.pub3" TargetMode="External"/><Relationship Id="rId106" Type="http://schemas.openxmlformats.org/officeDocument/2006/relationships/hyperlink" Target="https://doi.org/10.1002/14651858.CD010742.pub2" TargetMode="External"/><Relationship Id="rId114" Type="http://schemas.openxmlformats.org/officeDocument/2006/relationships/hyperlink" Target="https://doi.org/10.1002/14651858.CD006611.pub5" TargetMode="External"/><Relationship Id="rId119" Type="http://schemas.openxmlformats.org/officeDocument/2006/relationships/footer" Target="footer12.xml"/><Relationship Id="rId10" Type="http://schemas.openxmlformats.org/officeDocument/2006/relationships/footer" Target="footer2.xml"/><Relationship Id="rId31" Type="http://schemas.openxmlformats.org/officeDocument/2006/relationships/hyperlink" Target="https://doi.org/10.1002/14651858.CD000214.pub2" TargetMode="External"/><Relationship Id="rId44" Type="http://schemas.openxmlformats.org/officeDocument/2006/relationships/hyperlink" Target="https://doi.org/10.1016/S0140-6736(21)01169-7" TargetMode="External"/><Relationship Id="rId52" Type="http://schemas.openxmlformats.org/officeDocument/2006/relationships/hyperlink" Target="https://doi.org/10.1002/14651858.CD009670.pub4" TargetMode="External"/><Relationship Id="rId60" Type="http://schemas.openxmlformats.org/officeDocument/2006/relationships/hyperlink" Target="https://doi.org/10.1111/add.15367" TargetMode="External"/><Relationship Id="rId65" Type="http://schemas.openxmlformats.org/officeDocument/2006/relationships/hyperlink" Target="https://doi.org/10.1016/S2468-2667(19)30220-8" TargetMode="External"/><Relationship Id="rId73" Type="http://schemas.openxmlformats.org/officeDocument/2006/relationships/hyperlink" Target="https://doi.org/10.1002/14651858.CD010216.pub8" TargetMode="External"/><Relationship Id="rId78" Type="http://schemas.openxmlformats.org/officeDocument/2006/relationships/hyperlink" Target="https://doi.org/10.1002/jrsm.1231" TargetMode="External"/><Relationship Id="rId81" Type="http://schemas.openxmlformats.org/officeDocument/2006/relationships/hyperlink" Target="https://doi.org/10.1016/j.envint.2018.07.015" TargetMode="External"/><Relationship Id="rId86" Type="http://schemas.openxmlformats.org/officeDocument/2006/relationships/hyperlink" Target="https://doi.org/10.1002/jrsm.1659" TargetMode="External"/><Relationship Id="rId94" Type="http://schemas.openxmlformats.org/officeDocument/2006/relationships/hyperlink" Target="https://doi.org/10.1177/109019817400200405" TargetMode="External"/><Relationship Id="rId99" Type="http://schemas.openxmlformats.org/officeDocument/2006/relationships/hyperlink" Target="https://doi.org/10.1093/ntr/ntaf256" TargetMode="External"/><Relationship Id="rId101" Type="http://schemas.openxmlformats.org/officeDocument/2006/relationships/hyperlink" Target="https://doi.org/10.1002/14651858.CD008286.pub3" TargetMode="External"/><Relationship Id="rId122" Type="http://schemas.openxmlformats.org/officeDocument/2006/relationships/footer" Target="footer15.xml"/><Relationship Id="rId4" Type="http://schemas.openxmlformats.org/officeDocument/2006/relationships/settings" Target="settings.xml"/><Relationship Id="rId9" Type="http://schemas.openxmlformats.org/officeDocument/2006/relationships/footer" Target="footer1.xml"/><Relationship Id="rId13" Type="http://schemas.openxmlformats.org/officeDocument/2006/relationships/footer" Target="footer5.xml"/><Relationship Id="rId18" Type="http://schemas.openxmlformats.org/officeDocument/2006/relationships/image" Target="media/image2.png"/><Relationship Id="rId39" Type="http://schemas.openxmlformats.org/officeDocument/2006/relationships/hyperlink" Target="https://doi.org/10.1136/bmj.38142.554479.AE" TargetMode="External"/><Relationship Id="rId109" Type="http://schemas.openxmlformats.org/officeDocument/2006/relationships/hyperlink" Target="https://doi.org/10.1002/14651858.CD012659.pub2" TargetMode="External"/><Relationship Id="rId34" Type="http://schemas.openxmlformats.org/officeDocument/2006/relationships/hyperlink" Target="https://doi.org/10.12968/bjon.2007.16.11.23681" TargetMode="External"/><Relationship Id="rId50" Type="http://schemas.openxmlformats.org/officeDocument/2006/relationships/hyperlink" Target="https://doi.org/10.1002/14651858.CD000031.pub6" TargetMode="External"/><Relationship Id="rId55" Type="http://schemas.openxmlformats.org/officeDocument/2006/relationships/hyperlink" Target="https://doi.org/10.1155/2015/274056" TargetMode="External"/><Relationship Id="rId76" Type="http://schemas.openxmlformats.org/officeDocument/2006/relationships/hyperlink" Target="https://doi.org/10.1002/14651858.CD002850.pub4" TargetMode="External"/><Relationship Id="rId97" Type="http://schemas.openxmlformats.org/officeDocument/2006/relationships/hyperlink" Target="https://doi.org/10.1111/add.14760" TargetMode="External"/><Relationship Id="rId104" Type="http://schemas.openxmlformats.org/officeDocument/2006/relationships/hyperlink" Target="https://doi.org/10.1002/14651858.CD007078.pub5" TargetMode="External"/><Relationship Id="rId120" Type="http://schemas.openxmlformats.org/officeDocument/2006/relationships/footer" Target="footer13.xml"/><Relationship Id="rId125" Type="http://schemas.openxmlformats.org/officeDocument/2006/relationships/theme" Target="theme/theme1.xml"/><Relationship Id="rId7" Type="http://schemas.openxmlformats.org/officeDocument/2006/relationships/endnotes" Target="endnotes.xml"/><Relationship Id="rId71" Type="http://schemas.openxmlformats.org/officeDocument/2006/relationships/hyperlink" Target="https://doi.org/10.1016/j.puhe.2021.03.003" TargetMode="External"/><Relationship Id="rId92" Type="http://schemas.openxmlformats.org/officeDocument/2006/relationships/hyperlink" Target="https://doi.org/10.1111/j.1360-0443.2005.01029.x" TargetMode="External"/><Relationship Id="rId2" Type="http://schemas.openxmlformats.org/officeDocument/2006/relationships/numbering" Target="numbering.xml"/><Relationship Id="rId29" Type="http://schemas.openxmlformats.org/officeDocument/2006/relationships/hyperlink" Target="https://doi.org/10.1111/j.1360-0443.2011.03467.x" TargetMode="External"/><Relationship Id="rId24" Type="http://schemas.openxmlformats.org/officeDocument/2006/relationships/hyperlink" Target="https://doi.org/10.1136/tc.2007.021626" TargetMode="External"/><Relationship Id="rId40" Type="http://schemas.openxmlformats.org/officeDocument/2006/relationships/hyperlink" Target="https://doi.org/10.1016/j.puhe.2006.11.002" TargetMode="External"/><Relationship Id="rId45" Type="http://schemas.openxmlformats.org/officeDocument/2006/relationships/hyperlink" Target="https://doi.org/10.1093/ntr/ntq119" TargetMode="External"/><Relationship Id="rId66" Type="http://schemas.openxmlformats.org/officeDocument/2006/relationships/hyperlink" Target="https://doi.org/10.1136/tc.2008.025981" TargetMode="External"/><Relationship Id="rId87" Type="http://schemas.openxmlformats.org/officeDocument/2006/relationships/hyperlink" Target="https://doi.org/10.1136/bmj.n71" TargetMode="External"/><Relationship Id="rId110" Type="http://schemas.openxmlformats.org/officeDocument/2006/relationships/hyperlink" Target="https://doi.org/10.1002/14651858.CD002295.pub6" TargetMode="External"/><Relationship Id="rId115" Type="http://schemas.openxmlformats.org/officeDocument/2006/relationships/hyperlink" Target="https://doi.org/10.1111/j.1365-2648.2005.03621.x" TargetMode="External"/></Relationships>
</file>

<file path=word/theme/theme1.xml><?xml version="1.0" encoding="utf-8"?>
<a:theme xmlns:a="http://schemas.openxmlformats.org/drawingml/2006/main" name="Office Theme">
  <a:themeElements>
    <a:clrScheme name="Office">
      <a:dk1>
        <a:srgbClr val="000000"/>
      </a:dk1>
      <a:lt1>
        <a:srgbClr val="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majorFont>
      <a:minorFont>
        <a:latin typeface="Calibri"/>
        <a:ea typeface=""/>
        <a:cs typeface=""/>
      </a:minorFont>
    </a:fontScheme>
    <a:fmtScheme>
      <a:fillStyleLst>
        <a:solidFill>
          <a:schemeClr val="phClr"/>
        </a:solidFill>
        <a:gradFill>
          <a:gsLst>
            <a:gs pos="0">
              <a:schemeClr val="phClr">
                <a:lumMod val="110000"/>
                <a:tint val="67000"/>
              </a:schemeClr>
            </a:gs>
            <a:gs pos="50000">
              <a:schemeClr val="phClr">
                <a:lumMod val="105000"/>
                <a:tint val="73000"/>
              </a:schemeClr>
            </a:gs>
            <a:gs pos="100000">
              <a:schemeClr val="phClr">
                <a:lumMod val="105000"/>
                <a:tint val="81000"/>
              </a:schemeClr>
            </a:gs>
          </a:gsLst>
          <a:lin ang="5400000" scaled="0"/>
          <a:tileRect/>
        </a:gradFill>
        <a:gradFill>
          <a:gsLst>
            <a:gs pos="0">
              <a:schemeClr val="phClr">
                <a:lumMod val="102000"/>
                <a:tint val="94000"/>
              </a:schemeClr>
            </a:gs>
            <a:gs pos="50000">
              <a:schemeClr val="phClr">
                <a:lumMod val="100000"/>
                <a:shade val="100000"/>
              </a:schemeClr>
            </a:gs>
            <a:gs pos="100000">
              <a:schemeClr val="phClr">
                <a:lumMod val="99000"/>
                <a:shade val="78000"/>
              </a:schemeClr>
            </a:gs>
          </a:gsLst>
          <a:lin ang="5400000" scaled="0"/>
          <a:tileRect/>
        </a:gradFill>
      </a:fillStyleLst>
      <a:lnStyleLst>
        <a:ln w="6350" cap="flat" cmpd="sng" algn="ctr">
          <a:prstDash val="solid"/>
          <a:miter lim="800000"/>
        </a:ln>
        <a:ln w="12700" cap="flat" cmpd="sng" algn="ctr">
          <a:prstDash val="solid"/>
          <a:miter lim="800000"/>
        </a:ln>
        <a:ln w="19050" cap="flat" cmpd="sng" algn="ctr">
          <a:prstDash val="solid"/>
          <a:miter lim="800000"/>
        </a:ln>
      </a:lnStyleLst>
      <a:effectStyleLst>
        <a:effectStyle>
          <a:effectLst/>
        </a:effectStyle>
        <a:effectStyle>
          <a:effectLst/>
        </a:effectStyle>
        <a:effectStyle>
          <a:effectLst/>
        </a:effectStyle>
      </a:effectStyleLst>
      <a:bgFillStyleLst>
        <a:solidFill>
          <a:schemeClr val="phClr"/>
        </a:solidFill>
        <a:solidFill>
          <a:schemeClr val="phClr">
            <a:tint val="95000"/>
          </a:schemeClr>
        </a:solidFill>
        <a:gradFill>
          <a:gsLst>
            <a:gs pos="0">
              <a:schemeClr val="phClr">
                <a:tint val="93000"/>
                <a:shade val="98000"/>
                <a:lumMod val="102000"/>
              </a:schemeClr>
            </a:gs>
            <a:gs pos="50000">
              <a:schemeClr val="phClr">
                <a:tint val="98000"/>
                <a:shade val="90000"/>
                <a:lumMod val="103000"/>
              </a:schemeClr>
            </a:gs>
            <a:gs pos="100000">
              <a:schemeClr val="phClr">
                <a:shade val="63000"/>
              </a:schemeClr>
            </a:gs>
          </a:gsLst>
          <a:lin ang="5400000" scaled="0"/>
          <a:tileRect/>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ABEE766-2A67-4E24-A76C-2FAFB804240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486</TotalTime>
  <Pages>86</Pages>
  <Words>26641</Words>
  <Characters>151855</Characters>
  <Application>Microsoft Office Word</Application>
  <DocSecurity>0</DocSecurity>
  <Lines>1265</Lines>
  <Paragraphs>356</Paragraphs>
  <ScaleCrop>false</ScaleCrop>
  <Company/>
  <LinksUpToDate>false</LinksUpToDate>
  <CharactersWithSpaces>178140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cp:lastModifiedBy>Lenovo</cp:lastModifiedBy>
  <cp:revision>9</cp:revision>
  <dcterms:created xsi:type="dcterms:W3CDTF">2026-08-26T22:18:00Z</dcterms:created>
  <dcterms:modified xsi:type="dcterms:W3CDTF">2026-08-27T10:12:00Z</dcterms:modified>
</cp:coreProperties>
</file>

<file path=docProps/core0.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2026-08-19T07:11:00Z</dcterms:created>
  <dc:creator/>
  <dc:description/>
  <dc:language>en-US</dc:language>
  <cp:lastModifiedBy/>
  <dcterms:modified xsi:type="dcterms:W3CDTF">2026-08-26T21:42:07Z</dcterms:modified>
  <cp:revision>14</cp:revision>
  <dc:subject/>
  <dc:title>Engagement with smoking cessation support and quit success among adults in the United Kingdom: a systematic literature review</dc:title>
</cp:coreProperties>
</file>