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9476C" w14:textId="77777777" w:rsidR="00FD655B" w:rsidRPr="00FD655B" w:rsidRDefault="00FD655B" w:rsidP="00FD655B">
      <w:pPr>
        <w:tabs>
          <w:tab w:val="left" w:pos="3705"/>
        </w:tabs>
        <w:spacing w:after="0" w:line="360" w:lineRule="auto"/>
        <w:rPr>
          <w:rFonts w:ascii="Arial" w:eastAsia="Times New Roman" w:hAnsi="Arial" w:cs="Arial"/>
          <w:kern w:val="0"/>
          <w:sz w:val="22"/>
          <w:szCs w:val="22"/>
          <w:lang w:eastAsia="en-GB"/>
          <w14:ligatures w14:val="none"/>
        </w:rPr>
      </w:pPr>
      <w:r w:rsidRPr="00FD655B">
        <w:rPr>
          <w:rFonts w:ascii="Arial" w:eastAsia="Times New Roman" w:hAnsi="Arial" w:cs="Arial"/>
          <w:kern w:val="0"/>
          <w:sz w:val="22"/>
          <w:szCs w:val="22"/>
          <w:lang w:eastAsia="en-GB"/>
          <w14:ligatures w14:val="none"/>
        </w:rPr>
        <w:t>Digital Transformation in the Health and Care Professions</w:t>
      </w:r>
    </w:p>
    <w:p w14:paraId="1A05DD11" w14:textId="77777777" w:rsidR="00FD655B" w:rsidRPr="00FD655B" w:rsidRDefault="00FD655B" w:rsidP="00FD655B">
      <w:pPr>
        <w:tabs>
          <w:tab w:val="left" w:pos="3705"/>
        </w:tabs>
        <w:spacing w:after="0" w:line="360" w:lineRule="auto"/>
        <w:rPr>
          <w:rFonts w:ascii="Arial" w:eastAsia="Times New Roman" w:hAnsi="Arial" w:cs="Arial"/>
          <w:kern w:val="0"/>
          <w:sz w:val="22"/>
          <w:szCs w:val="22"/>
          <w:lang w:eastAsia="en-GB"/>
          <w14:ligatures w14:val="none"/>
        </w:rPr>
      </w:pPr>
      <w:r w:rsidRPr="00FD655B">
        <w:rPr>
          <w:rFonts w:ascii="Arial" w:eastAsia="Times New Roman" w:hAnsi="Arial" w:cs="Arial"/>
          <w:kern w:val="0"/>
          <w:sz w:val="22"/>
          <w:szCs w:val="22"/>
          <w:lang w:eastAsia="en-GB"/>
          <w14:ligatures w14:val="none"/>
        </w:rPr>
        <w:t>BMHP6026_BIRM</w:t>
      </w:r>
    </w:p>
    <w:p w14:paraId="6DFE9F0D" w14:textId="77777777" w:rsidR="00FD655B" w:rsidRPr="00FD655B" w:rsidRDefault="00FD655B" w:rsidP="00FD655B">
      <w:pPr>
        <w:tabs>
          <w:tab w:val="left" w:pos="3705"/>
        </w:tabs>
        <w:spacing w:after="0" w:line="360" w:lineRule="auto"/>
        <w:rPr>
          <w:rFonts w:ascii="Arial" w:eastAsia="Times New Roman" w:hAnsi="Arial" w:cs="Arial"/>
          <w:kern w:val="0"/>
          <w:sz w:val="22"/>
          <w:szCs w:val="22"/>
          <w:lang w:eastAsia="en-GB"/>
          <w14:ligatures w14:val="none"/>
        </w:rPr>
      </w:pPr>
      <w:r w:rsidRPr="00FD655B">
        <w:rPr>
          <w:rFonts w:ascii="Arial" w:eastAsia="Times New Roman" w:hAnsi="Arial" w:cs="Arial"/>
          <w:kern w:val="0"/>
          <w:sz w:val="22"/>
          <w:szCs w:val="22"/>
          <w:lang w:eastAsia="en-GB"/>
          <w14:ligatures w14:val="none"/>
        </w:rPr>
        <w:t>AISHA BEGUM</w:t>
      </w:r>
    </w:p>
    <w:p w14:paraId="5C28B9AC" w14:textId="77777777" w:rsidR="00FD655B" w:rsidRPr="00FD655B" w:rsidRDefault="00FD655B" w:rsidP="00FD655B">
      <w:pPr>
        <w:tabs>
          <w:tab w:val="left" w:pos="3705"/>
        </w:tabs>
        <w:spacing w:after="0" w:line="360" w:lineRule="auto"/>
        <w:rPr>
          <w:rFonts w:ascii="Arial" w:eastAsia="Times New Roman" w:hAnsi="Arial" w:cs="Arial"/>
          <w:kern w:val="0"/>
          <w:sz w:val="22"/>
          <w:szCs w:val="22"/>
          <w:lang w:eastAsia="en-GB"/>
          <w14:ligatures w14:val="none"/>
        </w:rPr>
      </w:pPr>
      <w:r w:rsidRPr="00FD655B">
        <w:rPr>
          <w:rFonts w:ascii="Arial" w:eastAsia="Times New Roman" w:hAnsi="Arial" w:cs="Arial"/>
          <w:kern w:val="0"/>
          <w:sz w:val="22"/>
          <w:szCs w:val="22"/>
          <w:lang w:eastAsia="en-GB"/>
          <w14:ligatures w14:val="none"/>
        </w:rPr>
        <w:t>2321254</w:t>
      </w:r>
    </w:p>
    <w:p w14:paraId="2167D061" w14:textId="77777777" w:rsidR="00FD655B" w:rsidRPr="00FD655B" w:rsidRDefault="00FD655B" w:rsidP="00FD655B">
      <w:pPr>
        <w:tabs>
          <w:tab w:val="left" w:pos="3705"/>
        </w:tabs>
        <w:spacing w:after="0" w:line="360" w:lineRule="auto"/>
        <w:rPr>
          <w:rFonts w:ascii="Arial" w:eastAsia="Times New Roman" w:hAnsi="Arial" w:cs="Arial"/>
          <w:b/>
          <w:bCs/>
          <w:kern w:val="0"/>
          <w:sz w:val="22"/>
          <w:szCs w:val="22"/>
          <w:lang w:eastAsia="en-GB"/>
          <w14:ligatures w14:val="none"/>
        </w:rPr>
      </w:pPr>
      <w:r w:rsidRPr="00FD655B">
        <w:rPr>
          <w:rFonts w:ascii="Arial" w:eastAsia="Times New Roman" w:hAnsi="Arial" w:cs="Arial"/>
          <w:kern w:val="0"/>
          <w:sz w:val="22"/>
          <w:szCs w:val="22"/>
          <w:lang w:eastAsia="en-GB"/>
          <w14:ligatures w14:val="none"/>
        </w:rPr>
        <w:t>COMPONENT 1</w:t>
      </w:r>
    </w:p>
    <w:p w14:paraId="26B1EB5D" w14:textId="77777777" w:rsidR="00FD655B" w:rsidRPr="00FD655B" w:rsidRDefault="00FD655B" w:rsidP="00FD655B">
      <w:pPr>
        <w:tabs>
          <w:tab w:val="left" w:pos="3705"/>
        </w:tabs>
        <w:spacing w:after="0" w:line="360" w:lineRule="auto"/>
        <w:rPr>
          <w:rFonts w:ascii="Arial" w:eastAsia="Times New Roman" w:hAnsi="Arial" w:cs="Arial"/>
          <w:b/>
          <w:bCs/>
          <w:kern w:val="0"/>
          <w:sz w:val="22"/>
          <w:szCs w:val="22"/>
          <w:lang w:eastAsia="en-GB"/>
          <w14:ligatures w14:val="none"/>
        </w:rPr>
      </w:pPr>
    </w:p>
    <w:p w14:paraId="6919ECDC" w14:textId="77777777" w:rsidR="00FD655B" w:rsidRPr="00FD655B" w:rsidRDefault="00FD655B" w:rsidP="00FD655B">
      <w:pPr>
        <w:spacing w:line="360" w:lineRule="auto"/>
        <w:rPr>
          <w:rFonts w:ascii="Arial" w:hAnsi="Arial" w:cs="Arial"/>
          <w:b/>
          <w:bCs/>
          <w:sz w:val="22"/>
          <w:szCs w:val="22"/>
        </w:rPr>
      </w:pPr>
    </w:p>
    <w:p w14:paraId="0628CF78" w14:textId="77777777" w:rsidR="00FD655B" w:rsidRPr="00FD655B" w:rsidRDefault="00FD655B" w:rsidP="00FD655B">
      <w:pPr>
        <w:spacing w:line="360" w:lineRule="auto"/>
        <w:rPr>
          <w:rFonts w:ascii="Arial" w:hAnsi="Arial" w:cs="Arial"/>
          <w:b/>
          <w:bCs/>
          <w:sz w:val="22"/>
          <w:szCs w:val="22"/>
        </w:rPr>
      </w:pPr>
    </w:p>
    <w:p w14:paraId="6CFDE7D6" w14:textId="77777777" w:rsidR="00FD655B" w:rsidRPr="00FD655B" w:rsidRDefault="00FD655B" w:rsidP="00FD655B">
      <w:pPr>
        <w:spacing w:line="360" w:lineRule="auto"/>
        <w:rPr>
          <w:rFonts w:ascii="Arial" w:hAnsi="Arial" w:cs="Arial"/>
          <w:b/>
          <w:bCs/>
          <w:sz w:val="22"/>
          <w:szCs w:val="22"/>
        </w:rPr>
      </w:pPr>
    </w:p>
    <w:p w14:paraId="078EE92F" w14:textId="77777777" w:rsidR="00FD655B" w:rsidRPr="00FD655B" w:rsidRDefault="00FD655B" w:rsidP="00FD655B">
      <w:pPr>
        <w:spacing w:line="360" w:lineRule="auto"/>
        <w:rPr>
          <w:rFonts w:ascii="Arial" w:hAnsi="Arial" w:cs="Arial"/>
          <w:b/>
          <w:bCs/>
          <w:sz w:val="22"/>
          <w:szCs w:val="22"/>
        </w:rPr>
      </w:pPr>
    </w:p>
    <w:p w14:paraId="28658244" w14:textId="77777777" w:rsidR="00FD655B" w:rsidRPr="00FD655B" w:rsidRDefault="00FD655B" w:rsidP="00FD655B">
      <w:pPr>
        <w:spacing w:line="360" w:lineRule="auto"/>
        <w:rPr>
          <w:rFonts w:ascii="Arial" w:hAnsi="Arial" w:cs="Arial"/>
          <w:b/>
          <w:bCs/>
          <w:sz w:val="22"/>
          <w:szCs w:val="22"/>
        </w:rPr>
      </w:pPr>
    </w:p>
    <w:p w14:paraId="02A6D152" w14:textId="77777777" w:rsidR="00FD655B" w:rsidRPr="00FD655B" w:rsidRDefault="00FD655B" w:rsidP="00FD655B">
      <w:pPr>
        <w:spacing w:line="360" w:lineRule="auto"/>
        <w:rPr>
          <w:rFonts w:ascii="Arial" w:hAnsi="Arial" w:cs="Arial"/>
          <w:b/>
          <w:bCs/>
          <w:sz w:val="22"/>
          <w:szCs w:val="22"/>
        </w:rPr>
      </w:pPr>
    </w:p>
    <w:p w14:paraId="563F1605" w14:textId="77777777" w:rsidR="00FD655B" w:rsidRPr="00FD655B" w:rsidRDefault="00FD655B" w:rsidP="00FD655B">
      <w:pPr>
        <w:spacing w:line="360" w:lineRule="auto"/>
        <w:rPr>
          <w:rFonts w:ascii="Arial" w:hAnsi="Arial" w:cs="Arial"/>
          <w:b/>
          <w:bCs/>
          <w:sz w:val="22"/>
          <w:szCs w:val="22"/>
        </w:rPr>
      </w:pPr>
    </w:p>
    <w:p w14:paraId="2C642DBC" w14:textId="77777777" w:rsidR="00FD655B" w:rsidRPr="00FD655B" w:rsidRDefault="00FD655B" w:rsidP="00FD655B">
      <w:pPr>
        <w:spacing w:line="360" w:lineRule="auto"/>
        <w:rPr>
          <w:rFonts w:ascii="Arial" w:hAnsi="Arial" w:cs="Arial"/>
          <w:b/>
          <w:bCs/>
          <w:sz w:val="22"/>
          <w:szCs w:val="22"/>
        </w:rPr>
      </w:pPr>
    </w:p>
    <w:p w14:paraId="6FA9F6D2" w14:textId="77777777" w:rsidR="00FD655B" w:rsidRPr="00FD655B" w:rsidRDefault="00FD655B" w:rsidP="00FD655B">
      <w:pPr>
        <w:spacing w:line="360" w:lineRule="auto"/>
        <w:rPr>
          <w:rFonts w:ascii="Arial" w:hAnsi="Arial" w:cs="Arial"/>
          <w:b/>
          <w:bCs/>
          <w:sz w:val="22"/>
          <w:szCs w:val="22"/>
        </w:rPr>
      </w:pPr>
    </w:p>
    <w:p w14:paraId="41D497CD" w14:textId="77777777" w:rsidR="00FD655B" w:rsidRPr="00FD655B" w:rsidRDefault="00FD655B" w:rsidP="00FD655B">
      <w:pPr>
        <w:spacing w:line="360" w:lineRule="auto"/>
        <w:rPr>
          <w:rFonts w:ascii="Arial" w:hAnsi="Arial" w:cs="Arial"/>
          <w:b/>
          <w:bCs/>
          <w:sz w:val="22"/>
          <w:szCs w:val="22"/>
        </w:rPr>
      </w:pPr>
    </w:p>
    <w:p w14:paraId="3DCD89EF" w14:textId="77777777" w:rsidR="00FD655B" w:rsidRPr="00FD655B" w:rsidRDefault="00FD655B" w:rsidP="00FD655B">
      <w:pPr>
        <w:spacing w:line="360" w:lineRule="auto"/>
        <w:rPr>
          <w:rFonts w:ascii="Arial" w:hAnsi="Arial" w:cs="Arial"/>
          <w:b/>
          <w:bCs/>
          <w:sz w:val="22"/>
          <w:szCs w:val="22"/>
        </w:rPr>
      </w:pPr>
    </w:p>
    <w:p w14:paraId="2F848AB8" w14:textId="77777777" w:rsidR="00FD655B" w:rsidRPr="00FD655B" w:rsidRDefault="00FD655B" w:rsidP="00FD655B">
      <w:pPr>
        <w:spacing w:line="360" w:lineRule="auto"/>
        <w:rPr>
          <w:rFonts w:ascii="Arial" w:hAnsi="Arial" w:cs="Arial"/>
          <w:b/>
          <w:bCs/>
          <w:sz w:val="22"/>
          <w:szCs w:val="22"/>
        </w:rPr>
      </w:pPr>
    </w:p>
    <w:p w14:paraId="132D76A9" w14:textId="77777777" w:rsidR="00FD655B" w:rsidRPr="00FD655B" w:rsidRDefault="00FD655B" w:rsidP="00FD655B">
      <w:pPr>
        <w:spacing w:line="360" w:lineRule="auto"/>
        <w:rPr>
          <w:rFonts w:ascii="Arial" w:hAnsi="Arial" w:cs="Arial"/>
          <w:b/>
          <w:bCs/>
          <w:sz w:val="22"/>
          <w:szCs w:val="22"/>
        </w:rPr>
      </w:pPr>
    </w:p>
    <w:p w14:paraId="47BA5947" w14:textId="77777777" w:rsidR="00FD655B" w:rsidRPr="00FD655B" w:rsidRDefault="00FD655B" w:rsidP="00FD655B">
      <w:pPr>
        <w:spacing w:line="360" w:lineRule="auto"/>
        <w:rPr>
          <w:rFonts w:ascii="Arial" w:hAnsi="Arial" w:cs="Arial"/>
          <w:b/>
          <w:bCs/>
          <w:sz w:val="22"/>
          <w:szCs w:val="22"/>
        </w:rPr>
      </w:pPr>
    </w:p>
    <w:p w14:paraId="38A2A0A8" w14:textId="77777777" w:rsidR="00FD655B" w:rsidRPr="00FD655B" w:rsidRDefault="00FD655B" w:rsidP="00FD655B">
      <w:pPr>
        <w:spacing w:line="360" w:lineRule="auto"/>
        <w:rPr>
          <w:rFonts w:ascii="Arial" w:hAnsi="Arial" w:cs="Arial"/>
          <w:b/>
          <w:bCs/>
          <w:sz w:val="22"/>
          <w:szCs w:val="22"/>
        </w:rPr>
      </w:pPr>
    </w:p>
    <w:p w14:paraId="04CBE986" w14:textId="77777777" w:rsidR="00FD655B" w:rsidRPr="00FD655B" w:rsidRDefault="00FD655B" w:rsidP="00FD655B">
      <w:pPr>
        <w:spacing w:line="360" w:lineRule="auto"/>
        <w:rPr>
          <w:rFonts w:ascii="Arial" w:hAnsi="Arial" w:cs="Arial"/>
          <w:b/>
          <w:bCs/>
          <w:sz w:val="22"/>
          <w:szCs w:val="22"/>
        </w:rPr>
      </w:pPr>
    </w:p>
    <w:p w14:paraId="79EA07C7" w14:textId="77777777" w:rsidR="00FD655B" w:rsidRPr="00FD655B" w:rsidRDefault="00FD655B" w:rsidP="00FD655B">
      <w:pPr>
        <w:spacing w:line="360" w:lineRule="auto"/>
        <w:rPr>
          <w:rFonts w:ascii="Arial" w:hAnsi="Arial" w:cs="Arial"/>
          <w:b/>
          <w:bCs/>
          <w:sz w:val="22"/>
          <w:szCs w:val="22"/>
        </w:rPr>
      </w:pPr>
    </w:p>
    <w:p w14:paraId="0CA80F9E" w14:textId="77777777" w:rsidR="00FD655B" w:rsidRPr="00FD655B" w:rsidRDefault="00FD655B" w:rsidP="00FD655B">
      <w:pPr>
        <w:spacing w:line="360" w:lineRule="auto"/>
        <w:rPr>
          <w:rFonts w:ascii="Arial" w:hAnsi="Arial" w:cs="Arial"/>
          <w:b/>
          <w:bCs/>
          <w:sz w:val="22"/>
          <w:szCs w:val="22"/>
        </w:rPr>
      </w:pPr>
    </w:p>
    <w:p w14:paraId="0F814303" w14:textId="77777777" w:rsidR="00FD655B" w:rsidRPr="00FD655B" w:rsidRDefault="00FD655B" w:rsidP="00FD655B">
      <w:pPr>
        <w:spacing w:line="360" w:lineRule="auto"/>
        <w:rPr>
          <w:rFonts w:ascii="Arial" w:hAnsi="Arial" w:cs="Arial"/>
          <w:b/>
          <w:bCs/>
          <w:sz w:val="22"/>
          <w:szCs w:val="22"/>
        </w:rPr>
      </w:pPr>
    </w:p>
    <w:p w14:paraId="12A813E0" w14:textId="77777777" w:rsidR="00FD655B" w:rsidRDefault="00FD655B" w:rsidP="00FD655B">
      <w:pPr>
        <w:spacing w:line="360" w:lineRule="auto"/>
        <w:rPr>
          <w:rFonts w:ascii="Arial" w:hAnsi="Arial" w:cs="Arial"/>
          <w:b/>
          <w:bCs/>
          <w:sz w:val="22"/>
          <w:szCs w:val="22"/>
        </w:rPr>
      </w:pPr>
    </w:p>
    <w:p w14:paraId="7BB42913" w14:textId="77777777" w:rsidR="00FD655B" w:rsidRPr="00FD655B" w:rsidRDefault="00FD655B" w:rsidP="00FD655B">
      <w:pPr>
        <w:spacing w:line="360" w:lineRule="auto"/>
        <w:rPr>
          <w:rFonts w:ascii="Arial" w:hAnsi="Arial" w:cs="Arial"/>
          <w:b/>
          <w:bCs/>
          <w:sz w:val="22"/>
          <w:szCs w:val="22"/>
        </w:rPr>
      </w:pPr>
    </w:p>
    <w:p w14:paraId="445C817C" w14:textId="77777777" w:rsidR="00FD655B" w:rsidRPr="00FD655B" w:rsidRDefault="00FD655B" w:rsidP="00FD655B">
      <w:pPr>
        <w:spacing w:line="360" w:lineRule="auto"/>
        <w:rPr>
          <w:rFonts w:ascii="Arial" w:hAnsi="Arial" w:cs="Arial"/>
          <w:b/>
          <w:bCs/>
          <w:sz w:val="22"/>
          <w:szCs w:val="22"/>
        </w:rPr>
      </w:pPr>
    </w:p>
    <w:p w14:paraId="4836E493" w14:textId="550F3B23"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lastRenderedPageBreak/>
        <w:t>Critical Evaluation of the NHS App as a Digital Innovation in UK Health and Social Care</w:t>
      </w:r>
    </w:p>
    <w:p w14:paraId="7CEBA79A"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Introduction</w:t>
      </w:r>
    </w:p>
    <w:p w14:paraId="7789B4BB"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Digital transformation has become a central component of modern health and social care services within the United Kingdom. Technological innovations have been introduced to improve efficiency, enhance patient experiences, and support the delivery of person-centred care. One of the most significant digital innovations introduced within the last ten years is the NHS App, launched in 2019 by NHS England. The application enables patients to access a range of healthcare services through a smartphone or web-based platform, including booking appointments, ordering repeat prescriptions, viewing health records, accessing NHS 111 services, and receiving health information (NHS England, 2024).</w:t>
      </w:r>
    </w:p>
    <w:p w14:paraId="78E75873"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The NHS App forms part of the UK Government's wider digital transformation agenda outlined in policy documents such as </w:t>
      </w:r>
      <w:r w:rsidRPr="00FD655B">
        <w:rPr>
          <w:rFonts w:ascii="Arial" w:hAnsi="Arial" w:cs="Arial"/>
          <w:i/>
          <w:iCs/>
          <w:sz w:val="22"/>
          <w:szCs w:val="22"/>
        </w:rPr>
        <w:t>A Plan for Digital Health and Social Care</w:t>
      </w:r>
      <w:r w:rsidRPr="00FD655B">
        <w:rPr>
          <w:rFonts w:ascii="Arial" w:hAnsi="Arial" w:cs="Arial"/>
          <w:sz w:val="22"/>
          <w:szCs w:val="22"/>
        </w:rPr>
        <w:t xml:space="preserve"> (Department of Health and Social Care, 2022) and </w:t>
      </w:r>
      <w:r w:rsidRPr="00FD655B">
        <w:rPr>
          <w:rFonts w:ascii="Arial" w:hAnsi="Arial" w:cs="Arial"/>
          <w:i/>
          <w:iCs/>
          <w:sz w:val="22"/>
          <w:szCs w:val="22"/>
        </w:rPr>
        <w:t>What Good Looks Like</w:t>
      </w:r>
      <w:r w:rsidRPr="00FD655B">
        <w:rPr>
          <w:rFonts w:ascii="Arial" w:hAnsi="Arial" w:cs="Arial"/>
          <w:sz w:val="22"/>
          <w:szCs w:val="22"/>
        </w:rPr>
        <w:t xml:space="preserve"> (NHS England, 2021). These strategies aim to improve healthcare accessibility, efficiency, and patient empowerment through digital technologies.</w:t>
      </w:r>
    </w:p>
    <w:p w14:paraId="5E3930FB"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This report critically evaluates the implementation of the NHS App within UK healthcare services. Specifically, it examines the impact of the innovation on service delivery and patients/service users. The report explores both positive and negative outcomes, drawing upon academic literature, government reports, and policy frameworks to assess the effectiveness of this digital transformation.</w:t>
      </w:r>
    </w:p>
    <w:p w14:paraId="5318FB1A"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Impact on Service Delivery</w:t>
      </w:r>
    </w:p>
    <w:p w14:paraId="00660032"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Improved Efficiency and Accessibility</w:t>
      </w:r>
    </w:p>
    <w:p w14:paraId="64223948"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One of the primary objectives of the NHS App was to improve service delivery through increased efficiency and accessibility. Prior to its introduction, many administrative healthcare processes required telephone calls, face-to-face visits, or paper-based systems. The NHS App has enabled patients to independently manage appointments, prescriptions, and healthcare information, reducing administrative burdens on healthcare staff (NHS England, 2024).</w:t>
      </w:r>
    </w:p>
    <w:p w14:paraId="0FFC6510"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Research by Murray et al. (2023) found that digital appointment booking systems significantly reduced administrative workload within primary care settings. By allowing patients to self-manage routine tasks, healthcare organisations can allocate resources more effectively towards direct patient care. This aligns with the principles outlined in </w:t>
      </w:r>
      <w:r w:rsidRPr="00FD655B">
        <w:rPr>
          <w:rFonts w:ascii="Arial" w:hAnsi="Arial" w:cs="Arial"/>
          <w:i/>
          <w:iCs/>
          <w:sz w:val="22"/>
          <w:szCs w:val="22"/>
        </w:rPr>
        <w:t xml:space="preserve">What Good </w:t>
      </w:r>
      <w:r w:rsidRPr="00FD655B">
        <w:rPr>
          <w:rFonts w:ascii="Arial" w:hAnsi="Arial" w:cs="Arial"/>
          <w:i/>
          <w:iCs/>
          <w:sz w:val="22"/>
          <w:szCs w:val="22"/>
        </w:rPr>
        <w:lastRenderedPageBreak/>
        <w:t>Looks Like</w:t>
      </w:r>
      <w:r w:rsidRPr="00FD655B">
        <w:rPr>
          <w:rFonts w:ascii="Arial" w:hAnsi="Arial" w:cs="Arial"/>
          <w:sz w:val="22"/>
          <w:szCs w:val="22"/>
        </w:rPr>
        <w:t xml:space="preserve"> (NHS England, 2021), which emphasises digitally enabled services as a means of improving productivity.</w:t>
      </w:r>
    </w:p>
    <w:p w14:paraId="60BDD9DF"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Furthermore, the COVID-19 pandemic accelerated adoption of the NHS App. The application became a key platform for vaccination records and COVID-19 certification, demonstrating its ability to rapidly support national healthcare priorities (Department of Health and Social Care, 2022). This illustrates how digital innovations can enhance organisational resilience during public health emergencies.</w:t>
      </w:r>
    </w:p>
    <w:p w14:paraId="6E5C2FA7"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Enhanced Communication and Information Sharing</w:t>
      </w:r>
    </w:p>
    <w:p w14:paraId="619D0C3B"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 NHS App has improved communication between healthcare providers and patients. Users can receive notifications, messages, and reminders regarding appointments and healthcare activities. Improved communication has been associated with reduced missed appointments and increased patient engagement (Topol, 2019).</w:t>
      </w:r>
    </w:p>
    <w:p w14:paraId="60EB294B"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Additionally, access to electronic health records through the NHS App promotes integrated care by enabling patients and healthcare professionals to access accurate and up-to-date information. Effective information sharing can reduce duplication of tests and improve continuity of care, particularly for individuals managing long-term conditions (Wachter, 2016).</w:t>
      </w:r>
    </w:p>
    <w:p w14:paraId="389C17BC"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However, despite these benefits, interoperability remains a challenge. Different NHS trusts and healthcare providers often use varying digital systems that may not fully integrate with the NHS App. Greenhalgh et al. (2022) argue that fragmented digital infrastructures continue to limit the full potential of digital healthcare innovations. Consequently, patients may experience inconsistent access to services depending on geographical location and provider capabilities.</w:t>
      </w:r>
    </w:p>
    <w:p w14:paraId="574759F1"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Financial and Implementation Challenges</w:t>
      </w:r>
    </w:p>
    <w:p w14:paraId="675259CD"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Although the NHS App offers long-term efficiency benefits, implementation has required substantial financial investment. Costs include software development, cybersecurity measures, infrastructure upgrades, staff training, and ongoing maintenance. According to the National Audit Office (2023), digital transformation projects within the NHS have historically encountered challenges relating to budget management and implementation timescales.</w:t>
      </w:r>
    </w:p>
    <w:p w14:paraId="5D4BF2D9"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Furthermore, introducing digital innovations can create short-term disruptions to service delivery. Healthcare organisations often face difficulties integrating new technologies into established workflows. Resistance to change among healthcare professionals may also reduce adoption rates, particularly where staff perceive digital systems as increasing workload rather than reducing it (Robertson et al., 2021).</w:t>
      </w:r>
    </w:p>
    <w:p w14:paraId="45B065D1"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lastRenderedPageBreak/>
        <w:t>Training requirements represent another challenge. Healthcare staff must possess sufficient digital literacy to support patients and effectively utilise digital platforms. Inadequate training can undermine the benefits of technological innovations and contribute to implementation failures.</w:t>
      </w:r>
    </w:p>
    <w:p w14:paraId="1B3EEDDA"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Data Protection and Security Concerns</w:t>
      </w:r>
    </w:p>
    <w:p w14:paraId="58377F63"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 effectiveness of digital service delivery depends heavily on public trust. The NHS App processes large volumes of sensitive personal health information, making cybersecurity a critical consideration. The UK General Data Protection Regulation (UK GDPR) and Data Protection Act 2018 establish legal requirements for protecting personal data.</w:t>
      </w:r>
    </w:p>
    <w:p w14:paraId="641EE5D5"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While the NHS App incorporates security measures such as identity verification and encrypted communications, concerns remain regarding potential cyberattacks and data breaches (National Cyber Security Centre, 2024). Any significant breach could reduce public confidence and negatively affect uptake.</w:t>
      </w:r>
    </w:p>
    <w:p w14:paraId="106419AA"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Therefore, although the NHS App has improved efficiency and accessibility within healthcare delivery, challenges relating to interoperability, implementation costs, workforce readiness, and cybersecurity continue to influence its effectiveness.</w:t>
      </w:r>
    </w:p>
    <w:p w14:paraId="6B3936D8"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Impact on Patients and Service Users</w:t>
      </w:r>
    </w:p>
    <w:p w14:paraId="0CF9DD21"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Increased Patient Empowerment and Self-Management</w:t>
      </w:r>
    </w:p>
    <w:p w14:paraId="68A4FAC0"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One of the most significant benefits of the NHS App is its contribution to patient empowerment. The application enables users to access health information, test results, prescriptions, and medical records, allowing individuals to take a more active role in managing their healthcare.</w:t>
      </w:r>
    </w:p>
    <w:p w14:paraId="1C3487B2"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Topol (2019) argues that digital technologies are shifting healthcare towards a more patient-centred model in which individuals have greater control over healthcare decisions. Access to personal health information can improve health literacy and encourage informed decision-making. For patients with chronic conditions, such as diabetes or asthma, the ability to monitor healthcare information may support better self-management and treatment adherence.</w:t>
      </w:r>
    </w:p>
    <w:p w14:paraId="26467961"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Evidence suggests that patient engagement is associated with improved health outcomes and higher satisfaction levels (King's Fund, 2022). Therefore, the NHS App can be viewed as a tool that strengthens patient autonomy and promotes personalised care.</w:t>
      </w:r>
    </w:p>
    <w:p w14:paraId="78AB3D2D"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Improved Convenience and Access to Services</w:t>
      </w:r>
    </w:p>
    <w:p w14:paraId="5C56D75D"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lastRenderedPageBreak/>
        <w:t>The NHS App provides patients with convenient access to healthcare services without requiring physical attendance at healthcare facilities. Appointment booking, prescription requests, and healthcare information can be accessed at any time, improving flexibility and reducing travel requirements.</w:t>
      </w:r>
    </w:p>
    <w:p w14:paraId="0A90F9E8"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This accessibility is particularly beneficial for individuals with mobility difficulties, long-term illnesses, caring responsibilities, or those living in rural locations. During the COVID-19 pandemic, digital healthcare services reduced the need for unnecessary face-to-face interactions while maintaining access to care (Department of Health and Social Care, 2022).</w:t>
      </w:r>
    </w:p>
    <w:p w14:paraId="76CFFB11"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 convenience offered by the NHS App aligns with NHS policy objectives focused on improving patient experiences and reducing barriers to healthcare access.</w:t>
      </w:r>
    </w:p>
    <w:p w14:paraId="23DFA773"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Digital Exclusion and Health Inequalities</w:t>
      </w:r>
    </w:p>
    <w:p w14:paraId="5627AC62"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Despite these advantages, the NHS App may unintentionally contribute to digital exclusion. Not all individuals possess the necessary digital skills, internet access, or devices required to utilise digital healthcare services effectively.</w:t>
      </w:r>
    </w:p>
    <w:p w14:paraId="4B0D21FD"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Older adults, individuals with disabilities, people experiencing socioeconomic disadvantage, and some ethnic minority groups may face greater barriers to digital engagement (Nuffield Trust, 2023). Consequently, reliance on digital platforms could widen existing health inequalities if alternative service access methods are reduced.</w:t>
      </w:r>
    </w:p>
    <w:p w14:paraId="51DDC073"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Greenhalgh et al. (2022) highlight that digital healthcare innovations often benefit digitally literate populations while disadvantaging vulnerable groups. This raises important ethical concerns regarding equity and fairness in healthcare delivery.</w:t>
      </w:r>
    </w:p>
    <w:p w14:paraId="432CD7F0"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To address these challenges, healthcare organisations must ensure that traditional access routes remain available and that digital inclusion initiatives support vulnerable populations. Failure to do so could undermine the NHS commitment to equitable healthcare access.</w:t>
      </w:r>
    </w:p>
    <w:p w14:paraId="2A64FC10"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Privacy and Trust Concerns</w:t>
      </w:r>
    </w:p>
    <w:p w14:paraId="7F26BE89"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Patient trust is essential for successful digital healthcare implementation. While many users appreciate the convenience of digital access, some remain concerned about data privacy and confidentiality.</w:t>
      </w:r>
    </w:p>
    <w:p w14:paraId="0C688DFA"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Health information is highly sensitive, and concerns regarding data misuse or cyberattacks may discourage some individuals from adopting digital services (National Cyber Security Centre, 2024). Research indicates that public confidence in digital healthcare systems is closely linked to perceptions of transparency and security (Robertson et al., 2021).</w:t>
      </w:r>
    </w:p>
    <w:p w14:paraId="221B5B35"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lastRenderedPageBreak/>
        <w:t>Furthermore, increased digitalisation may alter traditional patient-professional relationships. Some critics argue that reliance on digital technologies can reduce personal interactions and potentially affect communication quality, particularly for vulnerable patients who value face-to-face engagement.</w:t>
      </w:r>
    </w:p>
    <w:p w14:paraId="0E86BA40"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Therefore, while the NHS App offers substantial benefits in terms of empowerment and convenience, concerns regarding digital exclusion, privacy, and changing healthcare relationships must be carefully managed.</w:t>
      </w:r>
    </w:p>
    <w:p w14:paraId="61A3F35A"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t>Conclusion and Recommendations</w:t>
      </w:r>
    </w:p>
    <w:p w14:paraId="69BBB62F"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The NHS App represents a significant digital innovation within UK healthcare and reflects broader national efforts to modernise health and social care services. The application has improved service delivery by increasing efficiency, enhancing communication, and supporting integrated care. It has also empowered patients by providing greater access to healthcare information and enabling more convenient management of healthcare needs.</w:t>
      </w:r>
    </w:p>
    <w:p w14:paraId="614917E4"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However, critical evaluation reveals several challenges. Interoperability issues, implementation costs, cybersecurity risks, and workforce training requirements continue to affect service delivery. Similarly, digital exclusion, privacy concerns, and potential inequalities in access remain important barriers for patients and service users.</w:t>
      </w:r>
    </w:p>
    <w:p w14:paraId="4C267878"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To maximise the benefits of the NHS App, healthcare organisations should invest in digital literacy programmes for both patients and staff, strengthen cybersecurity measures, and improve interoperability between NHS systems. Policymakers should ensure that digital services complement rather than replace traditional healthcare access routes to prevent exclusion of vulnerable populations. Additionally, future digital transformation strategies should prioritise equity, accessibility, and co-production with service users.</w:t>
      </w:r>
    </w:p>
    <w:p w14:paraId="7AE869FC" w14:textId="77777777" w:rsidR="00FD655B" w:rsidRDefault="00FD655B" w:rsidP="00FD655B">
      <w:pPr>
        <w:spacing w:line="360" w:lineRule="auto"/>
        <w:rPr>
          <w:rFonts w:ascii="Arial" w:hAnsi="Arial" w:cs="Arial"/>
          <w:sz w:val="22"/>
          <w:szCs w:val="22"/>
        </w:rPr>
      </w:pPr>
      <w:r w:rsidRPr="00FD655B">
        <w:rPr>
          <w:rFonts w:ascii="Arial" w:hAnsi="Arial" w:cs="Arial"/>
          <w:sz w:val="22"/>
          <w:szCs w:val="22"/>
        </w:rPr>
        <w:t>Overall, the NHS App demonstrates the transformative potential of digital innovation within health and social care, but its long-term success depends upon addressing the social, organisational, and ethical challenges associated with digital healthcare implementation.</w:t>
      </w:r>
    </w:p>
    <w:p w14:paraId="0223F62F" w14:textId="77777777" w:rsidR="00FD655B" w:rsidRDefault="00FD655B" w:rsidP="00FD655B">
      <w:pPr>
        <w:spacing w:line="360" w:lineRule="auto"/>
        <w:rPr>
          <w:rFonts w:ascii="Arial" w:hAnsi="Arial" w:cs="Arial"/>
          <w:sz w:val="22"/>
          <w:szCs w:val="22"/>
        </w:rPr>
      </w:pPr>
    </w:p>
    <w:p w14:paraId="224856D3" w14:textId="77777777" w:rsidR="00FD655B" w:rsidRDefault="00FD655B" w:rsidP="00FD655B">
      <w:pPr>
        <w:spacing w:line="360" w:lineRule="auto"/>
        <w:rPr>
          <w:rFonts w:ascii="Arial" w:hAnsi="Arial" w:cs="Arial"/>
          <w:sz w:val="22"/>
          <w:szCs w:val="22"/>
        </w:rPr>
      </w:pPr>
    </w:p>
    <w:p w14:paraId="0D477525" w14:textId="77777777" w:rsidR="00FD655B" w:rsidRDefault="00FD655B" w:rsidP="00FD655B">
      <w:pPr>
        <w:spacing w:line="360" w:lineRule="auto"/>
        <w:rPr>
          <w:rFonts w:ascii="Arial" w:hAnsi="Arial" w:cs="Arial"/>
          <w:sz w:val="22"/>
          <w:szCs w:val="22"/>
        </w:rPr>
      </w:pPr>
    </w:p>
    <w:p w14:paraId="1D69C41A" w14:textId="77777777" w:rsidR="00FD655B" w:rsidRDefault="00FD655B" w:rsidP="00FD655B">
      <w:pPr>
        <w:spacing w:line="360" w:lineRule="auto"/>
        <w:rPr>
          <w:rFonts w:ascii="Arial" w:hAnsi="Arial" w:cs="Arial"/>
          <w:sz w:val="22"/>
          <w:szCs w:val="22"/>
        </w:rPr>
      </w:pPr>
    </w:p>
    <w:p w14:paraId="50584D7A" w14:textId="77777777" w:rsidR="00FD655B" w:rsidRDefault="00FD655B" w:rsidP="00FD655B">
      <w:pPr>
        <w:spacing w:line="360" w:lineRule="auto"/>
        <w:rPr>
          <w:rFonts w:ascii="Arial" w:hAnsi="Arial" w:cs="Arial"/>
          <w:sz w:val="22"/>
          <w:szCs w:val="22"/>
        </w:rPr>
      </w:pPr>
    </w:p>
    <w:p w14:paraId="4BF258B5" w14:textId="77777777" w:rsidR="00FD655B" w:rsidRPr="00FD655B" w:rsidRDefault="00FD655B" w:rsidP="00FD655B">
      <w:pPr>
        <w:spacing w:line="360" w:lineRule="auto"/>
        <w:rPr>
          <w:rFonts w:ascii="Arial" w:hAnsi="Arial" w:cs="Arial"/>
          <w:sz w:val="22"/>
          <w:szCs w:val="22"/>
        </w:rPr>
      </w:pPr>
    </w:p>
    <w:p w14:paraId="4136D2F2" w14:textId="77777777" w:rsidR="00FD655B" w:rsidRPr="00FD655B" w:rsidRDefault="00FD655B" w:rsidP="00FD655B">
      <w:pPr>
        <w:spacing w:line="360" w:lineRule="auto"/>
        <w:rPr>
          <w:rFonts w:ascii="Arial" w:hAnsi="Arial" w:cs="Arial"/>
          <w:b/>
          <w:bCs/>
          <w:sz w:val="22"/>
          <w:szCs w:val="22"/>
        </w:rPr>
      </w:pPr>
      <w:r w:rsidRPr="00FD655B">
        <w:rPr>
          <w:rFonts w:ascii="Arial" w:hAnsi="Arial" w:cs="Arial"/>
          <w:b/>
          <w:bCs/>
          <w:sz w:val="22"/>
          <w:szCs w:val="22"/>
        </w:rPr>
        <w:lastRenderedPageBreak/>
        <w:t>Reference List</w:t>
      </w:r>
    </w:p>
    <w:p w14:paraId="6F47650E"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Department of Health and Social Care (2022) </w:t>
      </w:r>
      <w:r w:rsidRPr="00FD655B">
        <w:rPr>
          <w:rFonts w:ascii="Arial" w:hAnsi="Arial" w:cs="Arial"/>
          <w:i/>
          <w:iCs/>
          <w:sz w:val="22"/>
          <w:szCs w:val="22"/>
        </w:rPr>
        <w:t>A Plan for Digital Health and Social Care</w:t>
      </w:r>
      <w:r w:rsidRPr="00FD655B">
        <w:rPr>
          <w:rFonts w:ascii="Arial" w:hAnsi="Arial" w:cs="Arial"/>
          <w:sz w:val="22"/>
          <w:szCs w:val="22"/>
        </w:rPr>
        <w:t xml:space="preserve">. London: DHSC. Available at: </w:t>
      </w:r>
      <w:hyperlink r:id="rId4" w:history="1">
        <w:r w:rsidRPr="00FD655B">
          <w:rPr>
            <w:rStyle w:val="Hyperlink"/>
            <w:rFonts w:ascii="Arial" w:hAnsi="Arial" w:cs="Arial"/>
            <w:sz w:val="22"/>
            <w:szCs w:val="22"/>
          </w:rPr>
          <w:t>https://www.gov.uk/government/publications/a-plan-for-digital-health-and-social-care</w:t>
        </w:r>
      </w:hyperlink>
    </w:p>
    <w:p w14:paraId="20FCAD71"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Greenhalgh, T., </w:t>
      </w:r>
      <w:proofErr w:type="spellStart"/>
      <w:r w:rsidRPr="00FD655B">
        <w:rPr>
          <w:rFonts w:ascii="Arial" w:hAnsi="Arial" w:cs="Arial"/>
          <w:sz w:val="22"/>
          <w:szCs w:val="22"/>
        </w:rPr>
        <w:t>Wherton</w:t>
      </w:r>
      <w:proofErr w:type="spellEnd"/>
      <w:r w:rsidRPr="00FD655B">
        <w:rPr>
          <w:rFonts w:ascii="Arial" w:hAnsi="Arial" w:cs="Arial"/>
          <w:sz w:val="22"/>
          <w:szCs w:val="22"/>
        </w:rPr>
        <w:t xml:space="preserve">, J., Shaw, S. and Morrison, C. (2022) ‘Video consultations for covid-19’, </w:t>
      </w:r>
      <w:r w:rsidRPr="00FD655B">
        <w:rPr>
          <w:rFonts w:ascii="Arial" w:hAnsi="Arial" w:cs="Arial"/>
          <w:i/>
          <w:iCs/>
          <w:sz w:val="22"/>
          <w:szCs w:val="22"/>
        </w:rPr>
        <w:t>BMJ</w:t>
      </w:r>
      <w:r w:rsidRPr="00FD655B">
        <w:rPr>
          <w:rFonts w:ascii="Arial" w:hAnsi="Arial" w:cs="Arial"/>
          <w:sz w:val="22"/>
          <w:szCs w:val="22"/>
        </w:rPr>
        <w:t>, 368, pp. 1–5.</w:t>
      </w:r>
    </w:p>
    <w:p w14:paraId="18969C7F"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King's Fund (2022) </w:t>
      </w:r>
      <w:r w:rsidRPr="00FD655B">
        <w:rPr>
          <w:rFonts w:ascii="Arial" w:hAnsi="Arial" w:cs="Arial"/>
          <w:i/>
          <w:iCs/>
          <w:sz w:val="22"/>
          <w:szCs w:val="22"/>
        </w:rPr>
        <w:t>The Digital NHS: Understanding the Benefits and Challenges</w:t>
      </w:r>
      <w:r w:rsidRPr="00FD655B">
        <w:rPr>
          <w:rFonts w:ascii="Arial" w:hAnsi="Arial" w:cs="Arial"/>
          <w:sz w:val="22"/>
          <w:szCs w:val="22"/>
        </w:rPr>
        <w:t xml:space="preserve">. Available at: </w:t>
      </w:r>
      <w:hyperlink r:id="rId5" w:history="1">
        <w:r w:rsidRPr="00FD655B">
          <w:rPr>
            <w:rStyle w:val="Hyperlink"/>
            <w:rFonts w:ascii="Arial" w:hAnsi="Arial" w:cs="Arial"/>
            <w:sz w:val="22"/>
            <w:szCs w:val="22"/>
          </w:rPr>
          <w:t>https://www.kingsfund.org.uk</w:t>
        </w:r>
      </w:hyperlink>
    </w:p>
    <w:p w14:paraId="64FE82CF"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Murray, E., Hammersley, V., Pollock, A. and Whitehead, J. (2023) ‘Digital technologies and primary care transformation’, </w:t>
      </w:r>
      <w:r w:rsidRPr="00FD655B">
        <w:rPr>
          <w:rFonts w:ascii="Arial" w:hAnsi="Arial" w:cs="Arial"/>
          <w:i/>
          <w:iCs/>
          <w:sz w:val="22"/>
          <w:szCs w:val="22"/>
        </w:rPr>
        <w:t>British Journal of General Practice</w:t>
      </w:r>
      <w:r w:rsidRPr="00FD655B">
        <w:rPr>
          <w:rFonts w:ascii="Arial" w:hAnsi="Arial" w:cs="Arial"/>
          <w:sz w:val="22"/>
          <w:szCs w:val="22"/>
        </w:rPr>
        <w:t>, 73(728), pp. 120–125.</w:t>
      </w:r>
    </w:p>
    <w:p w14:paraId="12ED34C4"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National Audit Office (2023) </w:t>
      </w:r>
      <w:r w:rsidRPr="00FD655B">
        <w:rPr>
          <w:rFonts w:ascii="Arial" w:hAnsi="Arial" w:cs="Arial"/>
          <w:i/>
          <w:iCs/>
          <w:sz w:val="22"/>
          <w:szCs w:val="22"/>
        </w:rPr>
        <w:t>Digital Transformation in the NHS</w:t>
      </w:r>
      <w:r w:rsidRPr="00FD655B">
        <w:rPr>
          <w:rFonts w:ascii="Arial" w:hAnsi="Arial" w:cs="Arial"/>
          <w:sz w:val="22"/>
          <w:szCs w:val="22"/>
        </w:rPr>
        <w:t xml:space="preserve">. London: NAO. Available at: </w:t>
      </w:r>
      <w:hyperlink r:id="rId6" w:history="1">
        <w:r w:rsidRPr="00FD655B">
          <w:rPr>
            <w:rStyle w:val="Hyperlink"/>
            <w:rFonts w:ascii="Arial" w:hAnsi="Arial" w:cs="Arial"/>
            <w:sz w:val="22"/>
            <w:szCs w:val="22"/>
          </w:rPr>
          <w:t>https://www.nao.org.uk</w:t>
        </w:r>
      </w:hyperlink>
    </w:p>
    <w:p w14:paraId="310DF675"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National Cyber Security Centre (2024) </w:t>
      </w:r>
      <w:r w:rsidRPr="00FD655B">
        <w:rPr>
          <w:rFonts w:ascii="Arial" w:hAnsi="Arial" w:cs="Arial"/>
          <w:i/>
          <w:iCs/>
          <w:sz w:val="22"/>
          <w:szCs w:val="22"/>
        </w:rPr>
        <w:t>Cyber Security Guidance for Health and Care Organisations</w:t>
      </w:r>
      <w:r w:rsidRPr="00FD655B">
        <w:rPr>
          <w:rFonts w:ascii="Arial" w:hAnsi="Arial" w:cs="Arial"/>
          <w:sz w:val="22"/>
          <w:szCs w:val="22"/>
        </w:rPr>
        <w:t xml:space="preserve">. Available at: </w:t>
      </w:r>
      <w:hyperlink r:id="rId7" w:history="1">
        <w:r w:rsidRPr="00FD655B">
          <w:rPr>
            <w:rStyle w:val="Hyperlink"/>
            <w:rFonts w:ascii="Arial" w:hAnsi="Arial" w:cs="Arial"/>
            <w:sz w:val="22"/>
            <w:szCs w:val="22"/>
          </w:rPr>
          <w:t>https://www.ncsc.gov.uk</w:t>
        </w:r>
      </w:hyperlink>
    </w:p>
    <w:p w14:paraId="7FB4A344"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NHS England (2021) </w:t>
      </w:r>
      <w:r w:rsidRPr="00FD655B">
        <w:rPr>
          <w:rFonts w:ascii="Arial" w:hAnsi="Arial" w:cs="Arial"/>
          <w:i/>
          <w:iCs/>
          <w:sz w:val="22"/>
          <w:szCs w:val="22"/>
        </w:rPr>
        <w:t>What Good Looks Like Framework</w:t>
      </w:r>
      <w:r w:rsidRPr="00FD655B">
        <w:rPr>
          <w:rFonts w:ascii="Arial" w:hAnsi="Arial" w:cs="Arial"/>
          <w:sz w:val="22"/>
          <w:szCs w:val="22"/>
        </w:rPr>
        <w:t xml:space="preserve">. Available at: </w:t>
      </w:r>
      <w:hyperlink r:id="rId8" w:history="1">
        <w:r w:rsidRPr="00FD655B">
          <w:rPr>
            <w:rStyle w:val="Hyperlink"/>
            <w:rFonts w:ascii="Arial" w:hAnsi="Arial" w:cs="Arial"/>
            <w:sz w:val="22"/>
            <w:szCs w:val="22"/>
          </w:rPr>
          <w:t>https://www.england.nhs.uk</w:t>
        </w:r>
      </w:hyperlink>
    </w:p>
    <w:p w14:paraId="4FE873D2"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NHS England (2024) </w:t>
      </w:r>
      <w:r w:rsidRPr="00FD655B">
        <w:rPr>
          <w:rFonts w:ascii="Arial" w:hAnsi="Arial" w:cs="Arial"/>
          <w:i/>
          <w:iCs/>
          <w:sz w:val="22"/>
          <w:szCs w:val="22"/>
        </w:rPr>
        <w:t>NHS App Overview and Usage Statistics</w:t>
      </w:r>
      <w:r w:rsidRPr="00FD655B">
        <w:rPr>
          <w:rFonts w:ascii="Arial" w:hAnsi="Arial" w:cs="Arial"/>
          <w:sz w:val="22"/>
          <w:szCs w:val="22"/>
        </w:rPr>
        <w:t xml:space="preserve">. Available at: </w:t>
      </w:r>
      <w:hyperlink r:id="rId9" w:history="1">
        <w:r w:rsidRPr="00FD655B">
          <w:rPr>
            <w:rStyle w:val="Hyperlink"/>
            <w:rFonts w:ascii="Arial" w:hAnsi="Arial" w:cs="Arial"/>
            <w:sz w:val="22"/>
            <w:szCs w:val="22"/>
          </w:rPr>
          <w:t>https://www.nhs.uk/nhs-app</w:t>
        </w:r>
      </w:hyperlink>
    </w:p>
    <w:p w14:paraId="23B00C8B"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Nuffield Trust (2023) </w:t>
      </w:r>
      <w:r w:rsidRPr="00FD655B">
        <w:rPr>
          <w:rFonts w:ascii="Arial" w:hAnsi="Arial" w:cs="Arial"/>
          <w:i/>
          <w:iCs/>
          <w:sz w:val="22"/>
          <w:szCs w:val="22"/>
        </w:rPr>
        <w:t>Digital Exclusion and Health Inequalities</w:t>
      </w:r>
      <w:r w:rsidRPr="00FD655B">
        <w:rPr>
          <w:rFonts w:ascii="Arial" w:hAnsi="Arial" w:cs="Arial"/>
          <w:sz w:val="22"/>
          <w:szCs w:val="22"/>
        </w:rPr>
        <w:t xml:space="preserve">. Available at: </w:t>
      </w:r>
      <w:hyperlink r:id="rId10" w:history="1">
        <w:r w:rsidRPr="00FD655B">
          <w:rPr>
            <w:rStyle w:val="Hyperlink"/>
            <w:rFonts w:ascii="Arial" w:hAnsi="Arial" w:cs="Arial"/>
            <w:sz w:val="22"/>
            <w:szCs w:val="22"/>
          </w:rPr>
          <w:t>https://www.nuffieldtrust.org.uk</w:t>
        </w:r>
      </w:hyperlink>
    </w:p>
    <w:p w14:paraId="33DDEE63"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Robertson, R., Wenzel, L., Thompson, J. and Charles, A. (2021) </w:t>
      </w:r>
      <w:r w:rsidRPr="00FD655B">
        <w:rPr>
          <w:rFonts w:ascii="Arial" w:hAnsi="Arial" w:cs="Arial"/>
          <w:i/>
          <w:iCs/>
          <w:sz w:val="22"/>
          <w:szCs w:val="22"/>
        </w:rPr>
        <w:t>Understanding NHS Digital Transformation</w:t>
      </w:r>
      <w:r w:rsidRPr="00FD655B">
        <w:rPr>
          <w:rFonts w:ascii="Arial" w:hAnsi="Arial" w:cs="Arial"/>
          <w:sz w:val="22"/>
          <w:szCs w:val="22"/>
        </w:rPr>
        <w:t>. London: The King's Fund.</w:t>
      </w:r>
    </w:p>
    <w:p w14:paraId="640F2727"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Topol, E. (2019) </w:t>
      </w:r>
      <w:r w:rsidRPr="00FD655B">
        <w:rPr>
          <w:rFonts w:ascii="Arial" w:hAnsi="Arial" w:cs="Arial"/>
          <w:i/>
          <w:iCs/>
          <w:sz w:val="22"/>
          <w:szCs w:val="22"/>
        </w:rPr>
        <w:t>The Topol Review: Preparing the Healthcare Workforce to Deliver the Digital Future</w:t>
      </w:r>
      <w:r w:rsidRPr="00FD655B">
        <w:rPr>
          <w:rFonts w:ascii="Arial" w:hAnsi="Arial" w:cs="Arial"/>
          <w:sz w:val="22"/>
          <w:szCs w:val="22"/>
        </w:rPr>
        <w:t xml:space="preserve">. London: NHS Health Education England. Available at: </w:t>
      </w:r>
      <w:hyperlink r:id="rId11" w:history="1">
        <w:r w:rsidRPr="00FD655B">
          <w:rPr>
            <w:rStyle w:val="Hyperlink"/>
            <w:rFonts w:ascii="Arial" w:hAnsi="Arial" w:cs="Arial"/>
            <w:sz w:val="22"/>
            <w:szCs w:val="22"/>
          </w:rPr>
          <w:t>https://topol.hee.nhs.uk</w:t>
        </w:r>
      </w:hyperlink>
    </w:p>
    <w:p w14:paraId="345DDF2E" w14:textId="77777777" w:rsidR="00FD655B" w:rsidRPr="00FD655B" w:rsidRDefault="00FD655B" w:rsidP="00FD655B">
      <w:pPr>
        <w:spacing w:line="360" w:lineRule="auto"/>
        <w:rPr>
          <w:rFonts w:ascii="Arial" w:hAnsi="Arial" w:cs="Arial"/>
          <w:sz w:val="22"/>
          <w:szCs w:val="22"/>
        </w:rPr>
      </w:pPr>
      <w:r w:rsidRPr="00FD655B">
        <w:rPr>
          <w:rFonts w:ascii="Arial" w:hAnsi="Arial" w:cs="Arial"/>
          <w:sz w:val="22"/>
          <w:szCs w:val="22"/>
        </w:rPr>
        <w:t xml:space="preserve">Wachter, R. (2016) </w:t>
      </w:r>
      <w:r w:rsidRPr="00FD655B">
        <w:rPr>
          <w:rFonts w:ascii="Arial" w:hAnsi="Arial" w:cs="Arial"/>
          <w:i/>
          <w:iCs/>
          <w:sz w:val="22"/>
          <w:szCs w:val="22"/>
        </w:rPr>
        <w:t>Making IT Work: Harnessing the Power of Health Information Technology to Improve Care in England</w:t>
      </w:r>
      <w:r w:rsidRPr="00FD655B">
        <w:rPr>
          <w:rFonts w:ascii="Arial" w:hAnsi="Arial" w:cs="Arial"/>
          <w:sz w:val="22"/>
          <w:szCs w:val="22"/>
        </w:rPr>
        <w:t>. London: Department of Health.</w:t>
      </w:r>
    </w:p>
    <w:p w14:paraId="2B940905" w14:textId="77777777" w:rsidR="00FD655B" w:rsidRPr="00FD655B" w:rsidRDefault="00FD655B" w:rsidP="00FD655B">
      <w:pPr>
        <w:spacing w:line="360" w:lineRule="auto"/>
        <w:rPr>
          <w:rFonts w:ascii="Arial" w:hAnsi="Arial" w:cs="Arial"/>
          <w:sz w:val="22"/>
          <w:szCs w:val="22"/>
        </w:rPr>
      </w:pPr>
    </w:p>
    <w:sectPr w:rsidR="00FD655B" w:rsidRPr="00FD6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55B"/>
    <w:rsid w:val="00D62EAC"/>
    <w:rsid w:val="00FD6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BAF89"/>
  <w15:chartTrackingRefBased/>
  <w15:docId w15:val="{4C16AE0F-4056-4071-8DED-BAD5C22FD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6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5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6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55B"/>
    <w:rPr>
      <w:rFonts w:eastAsiaTheme="majorEastAsia" w:cstheme="majorBidi"/>
      <w:color w:val="272727" w:themeColor="text1" w:themeTint="D8"/>
    </w:rPr>
  </w:style>
  <w:style w:type="paragraph" w:styleId="Title">
    <w:name w:val="Title"/>
    <w:basedOn w:val="Normal"/>
    <w:next w:val="Normal"/>
    <w:link w:val="TitleChar"/>
    <w:uiPriority w:val="10"/>
    <w:qFormat/>
    <w:rsid w:val="00FD65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55B"/>
    <w:pPr>
      <w:spacing w:before="160"/>
      <w:jc w:val="center"/>
    </w:pPr>
    <w:rPr>
      <w:i/>
      <w:iCs/>
      <w:color w:val="404040" w:themeColor="text1" w:themeTint="BF"/>
    </w:rPr>
  </w:style>
  <w:style w:type="character" w:customStyle="1" w:styleId="QuoteChar">
    <w:name w:val="Quote Char"/>
    <w:basedOn w:val="DefaultParagraphFont"/>
    <w:link w:val="Quote"/>
    <w:uiPriority w:val="29"/>
    <w:rsid w:val="00FD655B"/>
    <w:rPr>
      <w:i/>
      <w:iCs/>
      <w:color w:val="404040" w:themeColor="text1" w:themeTint="BF"/>
    </w:rPr>
  </w:style>
  <w:style w:type="paragraph" w:styleId="ListParagraph">
    <w:name w:val="List Paragraph"/>
    <w:basedOn w:val="Normal"/>
    <w:uiPriority w:val="34"/>
    <w:qFormat/>
    <w:rsid w:val="00FD655B"/>
    <w:pPr>
      <w:ind w:left="720"/>
      <w:contextualSpacing/>
    </w:pPr>
  </w:style>
  <w:style w:type="character" w:styleId="IntenseEmphasis">
    <w:name w:val="Intense Emphasis"/>
    <w:basedOn w:val="DefaultParagraphFont"/>
    <w:uiPriority w:val="21"/>
    <w:qFormat/>
    <w:rsid w:val="00FD655B"/>
    <w:rPr>
      <w:i/>
      <w:iCs/>
      <w:color w:val="0F4761" w:themeColor="accent1" w:themeShade="BF"/>
    </w:rPr>
  </w:style>
  <w:style w:type="paragraph" w:styleId="IntenseQuote">
    <w:name w:val="Intense Quote"/>
    <w:basedOn w:val="Normal"/>
    <w:next w:val="Normal"/>
    <w:link w:val="IntenseQuoteChar"/>
    <w:uiPriority w:val="30"/>
    <w:qFormat/>
    <w:rsid w:val="00FD6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55B"/>
    <w:rPr>
      <w:i/>
      <w:iCs/>
      <w:color w:val="0F4761" w:themeColor="accent1" w:themeShade="BF"/>
    </w:rPr>
  </w:style>
  <w:style w:type="character" w:styleId="IntenseReference">
    <w:name w:val="Intense Reference"/>
    <w:basedOn w:val="DefaultParagraphFont"/>
    <w:uiPriority w:val="32"/>
    <w:qFormat/>
    <w:rsid w:val="00FD655B"/>
    <w:rPr>
      <w:b/>
      <w:bCs/>
      <w:smallCaps/>
      <w:color w:val="0F4761" w:themeColor="accent1" w:themeShade="BF"/>
      <w:spacing w:val="5"/>
    </w:rPr>
  </w:style>
  <w:style w:type="character" w:styleId="Hyperlink">
    <w:name w:val="Hyperlink"/>
    <w:basedOn w:val="DefaultParagraphFont"/>
    <w:uiPriority w:val="99"/>
    <w:unhideWhenUsed/>
    <w:rsid w:val="00FD655B"/>
    <w:rPr>
      <w:color w:val="467886" w:themeColor="hyperlink"/>
      <w:u w:val="single"/>
    </w:rPr>
  </w:style>
  <w:style w:type="character" w:styleId="UnresolvedMention">
    <w:name w:val="Unresolved Mention"/>
    <w:basedOn w:val="DefaultParagraphFont"/>
    <w:uiPriority w:val="99"/>
    <w:semiHidden/>
    <w:unhideWhenUsed/>
    <w:rsid w:val="00FD6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sc.gov.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o.org.uk" TargetMode="External"/><Relationship Id="rId11" Type="http://schemas.openxmlformats.org/officeDocument/2006/relationships/hyperlink" Target="https://topol.hee.nhs.uk" TargetMode="External"/><Relationship Id="rId5" Type="http://schemas.openxmlformats.org/officeDocument/2006/relationships/hyperlink" Target="https://www.kingsfund.org.uk" TargetMode="External"/><Relationship Id="rId10" Type="http://schemas.openxmlformats.org/officeDocument/2006/relationships/hyperlink" Target="https://www.nuffieldtrust.org.uk" TargetMode="External"/><Relationship Id="rId4" Type="http://schemas.openxmlformats.org/officeDocument/2006/relationships/hyperlink" Target="https://www.gov.uk/government/publications/a-plan-for-digital-health-and-social-care" TargetMode="External"/><Relationship Id="rId9"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2118</Words>
  <Characters>12074</Characters>
  <Application>Microsoft Office Word</Application>
  <DocSecurity>0</DocSecurity>
  <Lines>100</Lines>
  <Paragraphs>28</Paragraphs>
  <ScaleCrop>false</ScaleCrop>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begum</dc:creator>
  <cp:keywords/>
  <dc:description/>
  <cp:lastModifiedBy>aisha begum</cp:lastModifiedBy>
  <cp:revision>1</cp:revision>
  <dcterms:created xsi:type="dcterms:W3CDTF">2026-06-09T11:29:00Z</dcterms:created>
  <dcterms:modified xsi:type="dcterms:W3CDTF">2026-06-09T11:39:00Z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1a410d09-fc37-419a-8973-efa88829edd6</vt:lpwstr>
  </property>
</Properties>
</file>