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What are the advantages and/or disadvantages, in a modern economy, of applying anthropological awareness of indigenous and traditional approaches to the relationship between human communities and their ecological habitats, both locally and globally?</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1980s, the meaning of the term "indigenous" has expanded beyond its original empirical reference to something that was tribal or primitive, to mean a group of people united by shared ancestry and cultural practices. Indigenous knowledge has now become important for those who are fighting climate change, encouraging biodiversity and sustainability.</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indigenous knowledge might be seen as a system of interrelated knowledge, beliefs, and traditions for the purpose of preserving, distributing, and providing historical context.  When discussing Indigenous epistemologies, the terms "knowledge," "belief," and "tradition" are frequently used interchangeably, despite the fact that "knowledge" refers to factual information, "belief" refers to religious conceptions, and "tradition" refers to behavior. Indigenous knowledge is passed down both formally and informally within families and communities through social interactions, oral traditions, ceremonies, and other activities. Some native communities have found innovative ways to embed useful knowledge into the very fabric of their worldview and ways of existence, information that is deeply rooted in their geographical context. Indigenous people with this expertise often make a living guarding the classified information, and are responsible for preserving these traditions.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Some examples include farming and harvesting practices, hunting and fishing skills, interpretations of local ecosystems, and the development of specialized tools and technologies (such as knapping, hide bronzing, pottery-making, and concocting medicines).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United Nations Department of Economic and Social Affairs, climate change is the biggest problem the world faces right now. Its effects hit some people harder than others, especially those who are weak or on the outside of society. Indigenous people are among the first to see the effects of global warming on the ecosystems or landscapes they live in. Because indigenous peoples rely on the environment and the resources of their lands and territories, climate change, deforestation, pollution, development, and the loss of diversity pose severe risks to them.</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It results in the loss of traditional knowledge, as well as the disintegration of traditional governing systems and cultures. Some of the negative consequences are as follows: diseases caused by rising temperatures, such as vector-borne and water-borne diseases; drought and desertification, which can lead to forest fires and the loss of forests; too much rain, which can damage grasslands, seedlings, and other crops; rivers rising and mountain snow, glaciers, and sea ice melting, which can affect people's ability to make a living; the rise of new types of insects and their longer life spans; and so on.</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Anthropologists investigate how different communities get, process, and distribute food. Anthropologist Amartya Sen received the Nobel Prize for his research demonstrating that all of the famines that happened in the twentieth century were driven by cultural distribution barriers rather than a lack of food production.</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Economic anthropologists study how societies generate the goods and services required to sustain human life, such as resource replenishment and final consumption, through both symbolic and powerful exchanges between individuals.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By combining biology and ecology with Indigenous studies, anthropology, geography, pharmacology, nutrition, languages, history, and philosophy into the multidisciplinary and interdisciplinary ethnobiology, historical and contemporary interactions between humans, other biological species, and their surroundings can be studied.</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By using ethnobiology the variety of viewpoints collected enhances intellectual standing, and extends the ability to explore more complex, dynamic connections between human and natural systems.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Anthropologists argue that the methods of economic exchange can be classified in three ways : reciprocity, redistribution and market exchange. Reciprocity is an unofficial exchange of power and status between persons who know one other. This exchange of goods is part of their ongoing social relationship, and the exchange both establishes and preserves it. An example of this in hunter and gatherer society is when a hunter distributes the meat from a large kill among his relatives expecting that they will do the same when they go out hunting themselves.</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People in a group donate items or money to a common pool in redistribution. The group's resources are then reallocated by a central authority. The group members may or may not have social connections with one another, but they are all in a relationship with the central authority. One example of redistribution can be seen in societies with a chief as the head. Members of the tribe will give items, mainly food, to a communal pool that is overseen by the chief. The chief's family receives a portion of the pooled food, while the remainder is divided. Some of the pooled food, for example, could be provided to those who specialize in making crafts rather than generating food, such as weavers and potters. Also, the food could be shared with everyone in the group through public feasts and celebrations. </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While market exchange for goods and services that are sold for money is known by western societies as the norm, this is not always the case in other smaller indigenous cultures. </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post-colonial era, traditional knowledge is not only used to explain what happened in the past, but it is also used to create new ways to protect indigenous environmental assets, cultural understanding, and proprietary data. Not surprisingly, the growing value of traditional knowledge has led to more Indigenous tribes working together on archaeological projects.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Edge communities in the Amazon, Bolivia, Colombia, and Mesoamerica are collaborating with archaeologists to reclaim indigenous identities and correct inaccurate state depictions of their history. This highlights the need to decolonize our view of the natural world and reconsider our connections to it.</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Most Indigenous Peoples, if not all of them, have developed a sense of gratitude and respect for the plants and animals that have helped them survive throughout their history. In turn, these people have developed practices of care, reciprocity, and stewardship of the lands they call home.</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environmental law is paying more attention to indigenous peoples' rights.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The laws make sure they have safe and secure access to their ancestral lands so that they can take better care of their cultural resources.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Intellectual property, traditional names, indigenous languages, information about the environment, and even oral traditions are now protected by the law.</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One example where the law has helped indigenous peoples keep control of their lands and how they are used is in Ecuador. With support from COP23 the Kichwa Sarayaku people have created the Kawsay Sacha (Living Forest) where the traditional knowledge of the people who live in the Amazonian rainforest has been used to protect it from fossil fuel companies by sharing their community’s life plan for the area.</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agencies are increasingly relying on indigenous communities' ability to use their accumulated body of knowledge and experience to foresee and prevent potential environmental threats (e.g., forest administration in India, rubber industry throughout South America, controlled fires in the Philippines. Local knowledge is being used by many indigenous people in Latin America to rewrite their histories and reestablish control over formerly uninhabited territories.</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Cooperation has been stronger in some spheres than others.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Canadian scientists from the scientific establishment have sought out First Nations tribal leaders and Aboriginal knowledge-keepers to collaborate on finding answers to the challenges posed by climate change, habitat loss, and the unchecked exploitation of natural resources. Indigenous and non-Indigenous communities alike can benefit from efforts to encourage the conscientious use of natural resources. </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In 2016, Canada established the Indigenous Circle of Experts (ICE), which was a successful practise. ICE is made up of indigenous and non-indigenous Canadians who work together to conserve biodiversity via the use of traditional knowledge in accordance with Pathway to Canada Target one.</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advantages to applying anthropological awareness of indigenous and traditional approaches to the relationship between human communities and their ecological habitat on both a local level as well as globally. Modern economies can benefit from anthropological awareness of indigenous and traditional approaches to the interaction between human populations and their ecological surroundings. Indigenous and traditional perspectives frequently place a focus on humankind's ability to live in harmony with nature in a way that is both holistic and sustainable.</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Recognizing and respecting the diverse ways in which different cultures comprehend and relate to their environments can contribute to the preservation and promotion of cultural diversity, which can be an essential source of resilience and innovation in the face of environmental and economic challenges. Indigenous and traditional groups frequently possess a wealth of local knowledge about their ecosystems, which can inform decision making and management methods in more effective and culturally appropriate ways than those based entirely on Western scientific models.</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Incorporating indigenous and traditional techniques into modern economies can give economic benefits by encouraging local ownership and control of natural resources, which can help to alleviate poverty.</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Indigenous knowledge systems are based on a lifetime of experience and are rarely broken up or broken down into their parts, as is common in academia and western science.</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In order to obtain the materials necessary for their job, those who practice plant medicine, shelter construction, hunting skills, craft production, etc. must have an in-depth familiarity with the local flora and animals. It's crucial to recognise that traditional ecological knowledge encompasses a wide range of scientific disciplines, including biology, botany, geography, and cosmology, and that it evolved from environmental understandings modified over time by means of deep learning (including trial and error and experimentation).</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Many indigenous people don't use industrial-scale resource extraction and development to keep the region's plants and animals diverse. Instead, they rely on sustainable subsistence agriculture, harvest regulation, and rituals that promote a culture of reciprocity. Many native groups think that honoring the people who lived on the land before them is important to keeping their culture and way of life alive.</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ecological knowledge can be useful in both public and private, everyday and ceremonial settings. The point of these rituals is to draw on the knowledge and phenomenological insights of the people who take part. For example, some people prefer to follow the way their ancestors would get ready for a hunt, and by using a set of standing stones to chart the stars, the best time of year to go hunting can be pinpointed. </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People who kept traditional knowledge would use dancing or other forms of divination to find out about these things. In exchange for the forest's protection, the hunter may give the food he or she has captured, as gifts or hold a communal feast with the game meat.</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interconnected global economy, using an anthropological understanding of indigenous and traditional methodologies to investigate the relationship between human civilizations and their natural settings provides a variety of obstacles. Using indigenous and traditional knowledge has benefits for industry and the Western world in particular, but it can have a negative impact on the indigenous peoples who share that information. Most of the benefits of using indigenous and traditional methods in a modern economy seem to be for big business.</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Many economic developments threaten indigenous people's livelihoods and cultures. Examples of injustices and discriminatory actions by dominant societies and governments are the theft of Indigenous lands and resources, forced enrollment in residential schools, the outlawing of significant ceremonies like the Potlatch in Canada (ceremonies held for marriage, naming children, and mourning the deceased, in which gifts are given to the guests to uphold reciprocal relationships, economies, and laws), as well as the prohibition of traditional sustainable harvesting practices.</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Modern economies are constructed on a set of ideas and ideals, and modifying these principles to accommodate indigenous and traditional practices may face opposition. Integrating these ideas into modern economic systems can be tricky. Economic development can also threaten biodiversity and ecosystems. The increasing demand for biofuels in wealthy nations is causing the establishment of massive monoculture palm plantations that are destroying the tropical forests of Asia, Latin America, and West Africa.</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In places such as Indonesia and Malaysia, up to 90 percent of palm oil trees are produced in an unsustainable manner, wreaking havoc on the surrounding plant ecosystems and animal species, such as orangutans. Additionally, the extraction of palm oil results in the displacement of indigenous peoples from their territories. The expansion of agro-industrial production of export monocultures (primarily soybean, grain corn, sunflower, and sorghum) and extensive livestock (beef) production not only threatens biodiversity and contributes to climate change, but also violates the collective and individual rights of indigenous peoples.</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Competition for land and resources from modern sectors like mining, logging, and agriculture can exacerbate tensions between indigenous and traditional communities and hinder their implementation. Many indigenous tribes rely on nature for everything, from food and water to their livelihoods and culture. For example, indigenous peoples in Ecuador's Amazon used to take advantage of rainy seasons, which produce flooding along river systems, by applying traditional knowledge to maximize their fishing operations. The increased volume of the flood is now submerging villages and farmland further upriver, which are unprepared for the influx of water due to fossil fuel-based economic growth and climate change. As a result, these floods have an impact on crops, creating food insecurity among indigenous peoples.</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Aboriginal and Torres Strait Islander Australians have also been disproportionately affected by climate change and will become climate change refugees due to increasing sea levels. Their islands are experiencing dynamic and unpredictable changes, including rising ocean levels, tidal surges, coastline erosion, and flooding. As a result of the high tide and severe winds, buildings, highways, and even sacred burial grounds have been wiped away.</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people may not be familiar with indigenous and traditional ways, so they may not know what they are worth or how they can be used in the modern world. Traditional and indigenous systems frequently rely on a holistic understanding of the interaction between human groups and their biological surroundings, which can be difficult to define and measure using current economic measurements. </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There are also difficulties in reconciling economic and environmental objectives. The goals of economic growth and development and the preservation and protection of natural resources and ecosystems may conflict, making it difficult to strike a balance between the two.</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issues when it comes to medicines and foods that have been identified by studying and accessing indigenous peoples knowledge, Many indigenous peoples have found that medicines and foodstuffs that they have used for centuries, have ended up being sold and patented without their permission, remuneration, or acknowledgement of their origins. The people themselves have often been forcibly, and violently evicted from their traditional farming and harvesting areas, and future generations no longer have access to the knowledge associated with such culturally significant locations.</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indigenous people to cooperate with the western world, they need to be sure that after a multinational company finds a compound that makes money, it won't find a way to make it in a lab, so that it won't have to share profits with its partners who contributed local genetic resources and traditional knowledge. Since most traditional knowledge is public domain and can't be patented, how can local people get paid for their traditional knowledge? Who or what in the source country has the right to give informed consent? Is it the national/state/local government, a local non-governmental organisation  that represents the communities, the community/tribal leader, or the person(s) who know about the source and its medicinal value?</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From a capitalist company's point of view, how can it be sure that the country of origin will keep sending materials for research and development and large-scale production? Various groups like the  </w:t>
      </w:r>
      <w:r w:rsidDel="00000000" w:rsidR="00000000" w:rsidRPr="00000000">
        <w:rPr>
          <w:rFonts w:ascii="Times New Roman" w:cs="Times New Roman" w:eastAsia="Times New Roman" w:hAnsi="Times New Roman"/>
          <w:i w:val="1"/>
          <w:sz w:val="24"/>
          <w:szCs w:val="24"/>
          <w:highlight w:val="white"/>
          <w:rtl w:val="0"/>
        </w:rPr>
        <w:t xml:space="preserve">National Cooperative Natural Products Drug Discovery Group or NCNPDDG</w:t>
      </w:r>
      <w:r w:rsidDel="00000000" w:rsidR="00000000" w:rsidRPr="00000000">
        <w:rPr>
          <w:rFonts w:ascii="Times New Roman" w:cs="Times New Roman" w:eastAsia="Times New Roman" w:hAnsi="Times New Roman"/>
          <w:sz w:val="24"/>
          <w:szCs w:val="24"/>
          <w:highlight w:val="white"/>
          <w:rtl w:val="0"/>
        </w:rPr>
        <w:t xml:space="preserve"> have been set up to try and resolve these issues and assist indigenous people to work alongside large industrial companies so that all get to benefit.</w:t>
      </w:r>
      <w:r w:rsidDel="00000000" w:rsidR="00000000" w:rsidRPr="00000000">
        <w:rPr>
          <w:rFonts w:ascii="Times New Roman" w:cs="Times New Roman" w:eastAsia="Times New Roman" w:hAnsi="Times New Roman"/>
          <w:sz w:val="24"/>
          <w:szCs w:val="24"/>
          <w:highlight w:val="white"/>
          <w:vertAlign w:val="superscript"/>
        </w:rPr>
        <w:footnoteReference w:customMarkFollows="0" w:id="39"/>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the rights of the Indigenous peoples, as defined in the Paris Agreement, adopted at COP 21 in December 2015, are not adhered to. One example of this is the case of the Standing Rock Sioux Nation in North and South Dakota (USA) who fought the construction of the Dakota Access Pipeline. Megaprojects like this destroy ecosystems and poison drinking water, causing health issues including birth abnormalities and cancer. Indigenous women's rights are also violated, frequently resulting in physical assault, sexual exploitation, and death by temporary construction workers. Water protectors and other indigenous rights defenders have faced militarised crackdowns, police brutality, and intimidation for defending their individual and collective rights.</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spite of these obstacles, it is essential to acknowledge the relevance of indigenous and traditional approaches to the link between human groups and their ecological surroundings and to investigate how they might be integrated into modern economies. While there are advantages and disadvantages of applying anthropological awareness of indigenous and traditional approaches to the relationship between human communities and their ecological habitats, and how they can be used in a modern economy, it is important that with issues like climate change all options are investigated. Research does seem to veer towards more disadvantages for the indigenous peoples as they are often at risk of losing their homelands,which in turn can lead to loss of traditional knowledge for future generations. </w:t>
      </w:r>
    </w:p>
    <w:p w:rsidR="00000000" w:rsidDel="00000000" w:rsidP="00000000" w:rsidRDefault="00000000" w:rsidRPr="00000000" w14:paraId="0000003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Capitalism and the access to money can lead to an unfair advantage for multinational companies and anthropologists need to be sure that any study they undertake is not funded to back an  industrialist’s agenda. On the other hand anthropologists work has made the people of the world more knowledgeable about indigenous societies that were previously unknown to them. This can have detrimental affects on the societies but it can also lead to them gaining advocates for their way of life to be protected and become a point of discussion in important meetings like COP21. This in turn has lead to laws being put in place that protect their ancestral lands and gives them the opportunity to utilise their knowledge to their own advantage.</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Bibliography</w:t>
      </w:r>
    </w:p>
    <w:p w:rsidR="00000000" w:rsidDel="00000000" w:rsidP="00000000" w:rsidRDefault="00000000" w:rsidRPr="00000000" w14:paraId="0000003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pacing w:after="160" w:lin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Ahearn, L.M. </w:t>
      </w:r>
      <w:r w:rsidDel="00000000" w:rsidR="00000000" w:rsidRPr="00000000">
        <w:rPr>
          <w:rFonts w:ascii="Times New Roman" w:cs="Times New Roman" w:eastAsia="Times New Roman" w:hAnsi="Times New Roman"/>
          <w:i w:val="1"/>
          <w:sz w:val="24"/>
          <w:szCs w:val="24"/>
          <w:rtl w:val="0"/>
        </w:rPr>
        <w:t xml:space="preserve">Living Language: An Introduction to Linguistic Anthropology</w:t>
      </w:r>
      <w:r w:rsidDel="00000000" w:rsidR="00000000" w:rsidRPr="00000000">
        <w:rPr>
          <w:rFonts w:ascii="Times New Roman" w:cs="Times New Roman" w:eastAsia="Times New Roman" w:hAnsi="Times New Roman"/>
          <w:sz w:val="24"/>
          <w:szCs w:val="24"/>
          <w:rtl w:val="0"/>
        </w:rPr>
        <w:t xml:space="preserve">. (New Jersey: John Wiley &amp; Sons, 2021).</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Anderson, E. N., et al.  </w:t>
      </w:r>
      <w:r w:rsidDel="00000000" w:rsidR="00000000" w:rsidRPr="00000000">
        <w:rPr>
          <w:rFonts w:ascii="Times New Roman" w:cs="Times New Roman" w:eastAsia="Times New Roman" w:hAnsi="Times New Roman"/>
          <w:i w:val="1"/>
          <w:sz w:val="24"/>
          <w:szCs w:val="24"/>
          <w:rtl w:val="0"/>
        </w:rPr>
        <w:t xml:space="preserve">Ethnobiology</w:t>
      </w:r>
      <w:r w:rsidDel="00000000" w:rsidR="00000000" w:rsidRPr="00000000">
        <w:rPr>
          <w:rFonts w:ascii="Times New Roman" w:cs="Times New Roman" w:eastAsia="Times New Roman" w:hAnsi="Times New Roman"/>
          <w:sz w:val="24"/>
          <w:szCs w:val="24"/>
          <w:rtl w:val="0"/>
        </w:rPr>
        <w:t xml:space="preserve">. (New Jersey: Wiley-Blackwell, 2011).</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Berkes, Fikret. </w:t>
      </w:r>
      <w:r w:rsidDel="00000000" w:rsidR="00000000" w:rsidRPr="00000000">
        <w:rPr>
          <w:rFonts w:ascii="Times New Roman" w:cs="Times New Roman" w:eastAsia="Times New Roman" w:hAnsi="Times New Roman"/>
          <w:i w:val="1"/>
          <w:sz w:val="24"/>
          <w:szCs w:val="24"/>
          <w:rtl w:val="0"/>
        </w:rPr>
        <w:t xml:space="preserve">Sacred Ecology</w:t>
      </w:r>
      <w:r w:rsidDel="00000000" w:rsidR="00000000" w:rsidRPr="00000000">
        <w:rPr>
          <w:rFonts w:ascii="Times New Roman" w:cs="Times New Roman" w:eastAsia="Times New Roman" w:hAnsi="Times New Roman"/>
          <w:sz w:val="24"/>
          <w:szCs w:val="24"/>
          <w:rtl w:val="0"/>
        </w:rPr>
        <w:t xml:space="preserve">. (Abingdon: Routledge, 2017).</w:t>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Nina, et al, eds., Selected perspectives: An Open Introduction to Cultural Anthropology, (Virginia: American Anthropological Association, 2019), ch 7.</w:t>
      </w:r>
    </w:p>
    <w:p w:rsidR="00000000" w:rsidDel="00000000" w:rsidP="00000000" w:rsidRDefault="00000000" w:rsidRPr="00000000" w14:paraId="0000004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Bruchac, M.  Indigenous Knowledge and Traditional Knowledge. In Smith, C. (Ed.), </w:t>
      </w:r>
      <w:r w:rsidDel="00000000" w:rsidR="00000000" w:rsidRPr="00000000">
        <w:rPr>
          <w:rFonts w:ascii="Times New Roman" w:cs="Times New Roman" w:eastAsia="Times New Roman" w:hAnsi="Times New Roman"/>
          <w:i w:val="1"/>
          <w:sz w:val="24"/>
          <w:szCs w:val="24"/>
          <w:rtl w:val="0"/>
        </w:rPr>
        <w:t xml:space="preserve">Encyclopedia of Global Archaeology</w:t>
      </w:r>
      <w:r w:rsidDel="00000000" w:rsidR="00000000" w:rsidRPr="00000000">
        <w:rPr>
          <w:rFonts w:ascii="Times New Roman" w:cs="Times New Roman" w:eastAsia="Times New Roman" w:hAnsi="Times New Roman"/>
          <w:sz w:val="24"/>
          <w:szCs w:val="24"/>
          <w:rtl w:val="0"/>
        </w:rPr>
        <w:t xml:space="preserve">, (New York: Springer, 2014), pp3814-3824.  </w:t>
      </w:r>
    </w:p>
    <w:p w:rsidR="00000000" w:rsidDel="00000000" w:rsidP="00000000" w:rsidRDefault="00000000" w:rsidRPr="00000000" w14:paraId="0000004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Caplan, P. “Introduction: Anthropology and the Study of Disputes”, In </w:t>
      </w:r>
      <w:r w:rsidDel="00000000" w:rsidR="00000000" w:rsidRPr="00000000">
        <w:rPr>
          <w:rFonts w:ascii="Times New Roman" w:cs="Times New Roman" w:eastAsia="Times New Roman" w:hAnsi="Times New Roman"/>
          <w:i w:val="1"/>
          <w:sz w:val="24"/>
          <w:szCs w:val="24"/>
          <w:rtl w:val="0"/>
        </w:rPr>
        <w:t xml:space="preserve">Understanding Disputes</w:t>
      </w:r>
      <w:r w:rsidDel="00000000" w:rsidR="00000000" w:rsidRPr="00000000">
        <w:rPr>
          <w:rFonts w:ascii="Times New Roman" w:cs="Times New Roman" w:eastAsia="Times New Roman" w:hAnsi="Times New Roman"/>
          <w:sz w:val="24"/>
          <w:szCs w:val="24"/>
          <w:rtl w:val="0"/>
        </w:rPr>
        <w:t xml:space="preserve"> (Abingdon: Routledge, 2020), pp1-10.</w:t>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Chao, Sophie. </w:t>
      </w:r>
      <w:r w:rsidDel="00000000" w:rsidR="00000000" w:rsidRPr="00000000">
        <w:rPr>
          <w:rFonts w:ascii="Times New Roman" w:cs="Times New Roman" w:eastAsia="Times New Roman" w:hAnsi="Times New Roman"/>
          <w:i w:val="1"/>
          <w:sz w:val="24"/>
          <w:szCs w:val="24"/>
          <w:rtl w:val="0"/>
        </w:rPr>
        <w:t xml:space="preserve">In the Shadow of the Palms: More-Than-Human Becomings in West Papua</w:t>
      </w:r>
      <w:r w:rsidDel="00000000" w:rsidR="00000000" w:rsidRPr="00000000">
        <w:rPr>
          <w:rFonts w:ascii="Times New Roman" w:cs="Times New Roman" w:eastAsia="Times New Roman" w:hAnsi="Times New Roman"/>
          <w:sz w:val="24"/>
          <w:szCs w:val="24"/>
          <w:rtl w:val="0"/>
        </w:rPr>
        <w:t xml:space="preserve"> (North Carolina:, Duke University Press, 2022).</w:t>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Colwell-Chanthaphonh, Chip, et al. “The Premise and Promise of Indigenous Archaeology.” </w:t>
      </w:r>
      <w:r w:rsidDel="00000000" w:rsidR="00000000" w:rsidRPr="00000000">
        <w:rPr>
          <w:rFonts w:ascii="Times New Roman" w:cs="Times New Roman" w:eastAsia="Times New Roman" w:hAnsi="Times New Roman"/>
          <w:i w:val="1"/>
          <w:sz w:val="24"/>
          <w:szCs w:val="24"/>
          <w:rtl w:val="0"/>
        </w:rPr>
        <w:t xml:space="preserve">American Antiquity,</w:t>
      </w:r>
      <w:r w:rsidDel="00000000" w:rsidR="00000000" w:rsidRPr="00000000">
        <w:rPr>
          <w:rFonts w:ascii="Times New Roman" w:cs="Times New Roman" w:eastAsia="Times New Roman" w:hAnsi="Times New Roman"/>
          <w:sz w:val="24"/>
          <w:szCs w:val="24"/>
          <w:rtl w:val="0"/>
        </w:rPr>
        <w:t xml:space="preserve"> vol. 75, no. 2, 2010, pp. 228–38. </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Dimka, J. et al. “Pandemics, Past and Present: The Role of Biological Anthropology in Interdisciplinary Pandemic Studies”, </w:t>
      </w:r>
      <w:r w:rsidDel="00000000" w:rsidR="00000000" w:rsidRPr="00000000">
        <w:rPr>
          <w:rFonts w:ascii="Times New Roman" w:cs="Times New Roman" w:eastAsia="Times New Roman" w:hAnsi="Times New Roman"/>
          <w:i w:val="1"/>
          <w:sz w:val="24"/>
          <w:szCs w:val="24"/>
          <w:rtl w:val="0"/>
        </w:rPr>
        <w:t xml:space="preserve">American Journal of Biological Anthropology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178</w:t>
      </w:r>
      <w:r w:rsidDel="00000000" w:rsidR="00000000" w:rsidRPr="00000000">
        <w:rPr>
          <w:rFonts w:ascii="Times New Roman" w:cs="Times New Roman" w:eastAsia="Times New Roman" w:hAnsi="Times New Roman"/>
          <w:sz w:val="24"/>
          <w:szCs w:val="24"/>
          <w:rtl w:val="0"/>
        </w:rPr>
        <w:t xml:space="preserve">, 2022, pp.256-291.</w:t>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240" w:lineRule="auto"/>
        <w:rPr>
          <w:sz w:val="20"/>
          <w:szCs w:val="20"/>
        </w:rPr>
      </w:pPr>
      <w:r w:rsidDel="00000000" w:rsidR="00000000" w:rsidRPr="00000000">
        <w:rPr>
          <w:sz w:val="20"/>
          <w:szCs w:val="20"/>
          <w:rtl w:val="0"/>
        </w:rPr>
        <w:t xml:space="preserve"> Everett, Tim.“Economic Growth and the Environment”, </w:t>
      </w:r>
      <w:r w:rsidDel="00000000" w:rsidR="00000000" w:rsidRPr="00000000">
        <w:rPr>
          <w:i w:val="1"/>
          <w:sz w:val="20"/>
          <w:szCs w:val="20"/>
          <w:rtl w:val="0"/>
        </w:rPr>
        <w:t xml:space="preserve">Defra Evidence and Analysts Series </w:t>
      </w:r>
      <w:r w:rsidDel="00000000" w:rsidR="00000000" w:rsidRPr="00000000">
        <w:rPr>
          <w:sz w:val="20"/>
          <w:szCs w:val="20"/>
          <w:rtl w:val="0"/>
        </w:rPr>
        <w:t xml:space="preserve">Paper 2, March 2010, p7.</w:t>
      </w:r>
    </w:p>
    <w:p w:rsidR="00000000" w:rsidDel="00000000" w:rsidP="00000000" w:rsidRDefault="00000000" w:rsidRPr="00000000" w14:paraId="0000004F">
      <w:pPr>
        <w:spacing w:line="240" w:lineRule="auto"/>
        <w:rPr>
          <w:sz w:val="20"/>
          <w:szCs w:val="20"/>
        </w:rPr>
      </w:pPr>
      <w:r w:rsidDel="00000000" w:rsidR="00000000" w:rsidRPr="00000000">
        <w:rPr>
          <w:rtl w:val="0"/>
        </w:rPr>
      </w:r>
    </w:p>
    <w:p w:rsidR="00000000" w:rsidDel="00000000" w:rsidP="00000000" w:rsidRDefault="00000000" w:rsidRPr="00000000" w14:paraId="0000005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73d3f"/>
          <w:sz w:val="24"/>
          <w:szCs w:val="24"/>
          <w:highlight w:val="white"/>
          <w:rtl w:val="0"/>
        </w:rPr>
        <w:t xml:space="preserve">Felicity, J .,Native Indian leadership. </w:t>
      </w:r>
      <w:r w:rsidDel="00000000" w:rsidR="00000000" w:rsidRPr="00000000">
        <w:rPr>
          <w:rFonts w:ascii="Times New Roman" w:cs="Times New Roman" w:eastAsia="Times New Roman" w:hAnsi="Times New Roman"/>
          <w:i w:val="1"/>
          <w:color w:val="373d3f"/>
          <w:sz w:val="24"/>
          <w:szCs w:val="24"/>
          <w:highlight w:val="white"/>
          <w:rtl w:val="0"/>
        </w:rPr>
        <w:t xml:space="preserve">Canadian Journal of Native Education, 23</w:t>
      </w:r>
      <w:r w:rsidDel="00000000" w:rsidR="00000000" w:rsidRPr="00000000">
        <w:rPr>
          <w:rFonts w:ascii="Times New Roman" w:cs="Times New Roman" w:eastAsia="Times New Roman" w:hAnsi="Times New Roman"/>
          <w:color w:val="373d3f"/>
          <w:sz w:val="24"/>
          <w:szCs w:val="24"/>
          <w:highlight w:val="white"/>
          <w:rtl w:val="0"/>
        </w:rPr>
        <w:t xml:space="preserve">(1), (1999). pp40–57.</w:t>
      </w:r>
      <w:r w:rsidDel="00000000" w:rsidR="00000000" w:rsidRPr="00000000">
        <w:rPr>
          <w:rtl w:val="0"/>
        </w:rPr>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Gregory, C., “Exchange in Anthropology,"”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International Encyclopedia of the Social &amp; Behavioral Sciences</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(Amsterdam: Elsevier Ltd., 2001).</w:t>
      </w:r>
      <w:r w:rsidDel="00000000" w:rsidR="00000000" w:rsidRPr="00000000">
        <w:rPr>
          <w:rtl w:val="0"/>
        </w:rPr>
      </w:r>
    </w:p>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Grenier,</w:t>
      </w:r>
      <w:r w:rsidDel="00000000" w:rsidR="00000000" w:rsidRPr="00000000">
        <w:rPr>
          <w:rFonts w:ascii="Times New Roman" w:cs="Times New Roman" w:eastAsia="Times New Roman" w:hAnsi="Times New Roman"/>
          <w:sz w:val="24"/>
          <w:szCs w:val="24"/>
          <w:rtl w:val="0"/>
        </w:rPr>
        <w:t xml:space="preserve"> L., Working</w:t>
      </w:r>
      <w:r w:rsidDel="00000000" w:rsidR="00000000" w:rsidRPr="00000000">
        <w:rPr>
          <w:rFonts w:ascii="Times New Roman" w:cs="Times New Roman" w:eastAsia="Times New Roman" w:hAnsi="Times New Roman"/>
          <w:i w:val="1"/>
          <w:sz w:val="24"/>
          <w:szCs w:val="24"/>
          <w:rtl w:val="0"/>
        </w:rPr>
        <w:t xml:space="preserve"> with Indigenous Knowledge </w:t>
      </w:r>
      <w:r w:rsidDel="00000000" w:rsidR="00000000" w:rsidRPr="00000000">
        <w:rPr>
          <w:rFonts w:ascii="Times New Roman" w:cs="Times New Roman" w:eastAsia="Times New Roman" w:hAnsi="Times New Roman"/>
          <w:sz w:val="24"/>
          <w:szCs w:val="24"/>
          <w:rtl w:val="0"/>
        </w:rPr>
        <w:t xml:space="preserve">(Ottawa: International Development Research Centre, 1998).</w:t>
      </w:r>
    </w:p>
    <w:p w:rsidR="00000000" w:rsidDel="00000000" w:rsidP="00000000" w:rsidRDefault="00000000" w:rsidRPr="00000000" w14:paraId="00000055">
      <w:pPr>
        <w:spacing w:after="16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after="16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Franklin, D.; Marks, M.K., “The professional practice of forensic anthropology: contemporary developments and cross-disciplinary applications.” </w:t>
      </w:r>
      <w:r w:rsidDel="00000000" w:rsidR="00000000" w:rsidRPr="00000000">
        <w:rPr>
          <w:rFonts w:ascii="Times New Roman" w:cs="Times New Roman" w:eastAsia="Times New Roman" w:hAnsi="Times New Roman"/>
          <w:i w:val="1"/>
          <w:sz w:val="24"/>
          <w:szCs w:val="24"/>
          <w:rtl w:val="0"/>
        </w:rPr>
        <w:t xml:space="preserve">Wiley Interdisciplinary Reviews: Forensic Science</w:t>
      </w:r>
      <w:r w:rsidDel="00000000" w:rsidR="00000000" w:rsidRPr="00000000">
        <w:rPr>
          <w:rFonts w:ascii="Times New Roman" w:cs="Times New Roman" w:eastAsia="Times New Roman" w:hAnsi="Times New Roman"/>
          <w:sz w:val="24"/>
          <w:szCs w:val="24"/>
          <w:rtl w:val="0"/>
        </w:rPr>
        <w:t xml:space="preserve">, 4(2), 2022, p. 1442.</w:t>
      </w:r>
    </w:p>
    <w:p w:rsidR="00000000" w:rsidDel="00000000" w:rsidP="00000000" w:rsidRDefault="00000000" w:rsidRPr="00000000" w14:paraId="0000005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Gupta,Ranjan  et al. “Nature's medicines: traditional knowledge and intellectual property management”. Case studies from the National Institutes of Health (NIH), USA. </w:t>
      </w:r>
      <w:r w:rsidDel="00000000" w:rsidR="00000000" w:rsidRPr="00000000">
        <w:rPr>
          <w:rFonts w:ascii="Times New Roman" w:cs="Times New Roman" w:eastAsia="Times New Roman" w:hAnsi="Times New Roman"/>
          <w:i w:val="1"/>
          <w:sz w:val="24"/>
          <w:szCs w:val="24"/>
          <w:rtl w:val="0"/>
        </w:rPr>
        <w:t xml:space="preserve">Curr Drug Discov Technol.</w:t>
      </w:r>
      <w:r w:rsidDel="00000000" w:rsidR="00000000" w:rsidRPr="00000000">
        <w:rPr>
          <w:rFonts w:ascii="Times New Roman" w:cs="Times New Roman" w:eastAsia="Times New Roman" w:hAnsi="Times New Roman"/>
          <w:sz w:val="24"/>
          <w:szCs w:val="24"/>
          <w:rtl w:val="0"/>
        </w:rPr>
        <w:t xml:space="preserve"> 2005 Dec;2(4):203-19.</w:t>
      </w:r>
    </w:p>
    <w:p w:rsidR="00000000" w:rsidDel="00000000" w:rsidP="00000000" w:rsidRDefault="00000000" w:rsidRPr="00000000" w14:paraId="0000005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Kawsak Sacha, Sarayaku, Living Forest, </w:t>
      </w:r>
      <w:hyperlink r:id="rId7">
        <w:r w:rsidDel="00000000" w:rsidR="00000000" w:rsidRPr="00000000">
          <w:rPr>
            <w:rFonts w:ascii="Times New Roman" w:cs="Times New Roman" w:eastAsia="Times New Roman" w:hAnsi="Times New Roman"/>
            <w:color w:val="1155cc"/>
            <w:sz w:val="24"/>
            <w:szCs w:val="24"/>
            <w:u w:val="single"/>
            <w:rtl w:val="0"/>
          </w:rPr>
          <w:t xml:space="preserve">https://kawsaksacha.org/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A">
      <w:pPr>
        <w:spacing w:line="288"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Keller, Michael. ed., </w:t>
      </w:r>
      <w:r w:rsidDel="00000000" w:rsidR="00000000" w:rsidRPr="00000000">
        <w:rPr>
          <w:rFonts w:ascii="Times New Roman" w:cs="Times New Roman" w:eastAsia="Times New Roman" w:hAnsi="Times New Roman"/>
          <w:i w:val="1"/>
          <w:sz w:val="24"/>
          <w:szCs w:val="24"/>
          <w:rtl w:val="0"/>
        </w:rPr>
        <w:t xml:space="preserve">Amazonia and Climate Change</w:t>
      </w:r>
      <w:r w:rsidDel="00000000" w:rsidR="00000000" w:rsidRPr="00000000">
        <w:rPr>
          <w:rFonts w:ascii="Times New Roman" w:cs="Times New Roman" w:eastAsia="Times New Roman" w:hAnsi="Times New Roman"/>
          <w:sz w:val="24"/>
          <w:szCs w:val="24"/>
          <w:rtl w:val="0"/>
        </w:rPr>
        <w:t xml:space="preserve"> (New Jersey: Wiley Blackwell, 2013).</w:t>
      </w:r>
    </w:p>
    <w:p w:rsidR="00000000" w:rsidDel="00000000" w:rsidP="00000000" w:rsidRDefault="00000000" w:rsidRPr="00000000" w14:paraId="0000005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16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N.J., "Lockdown anthropology and online surveys: unprecedented methods for unprecedented times." </w:t>
      </w:r>
      <w:r w:rsidDel="00000000" w:rsidR="00000000" w:rsidRPr="00000000">
        <w:rPr>
          <w:rFonts w:ascii="Times New Roman" w:cs="Times New Roman" w:eastAsia="Times New Roman" w:hAnsi="Times New Roman"/>
          <w:i w:val="1"/>
          <w:sz w:val="24"/>
          <w:szCs w:val="24"/>
          <w:rtl w:val="0"/>
        </w:rPr>
        <w:t xml:space="preserve">Studies in Indian Politics</w:t>
      </w:r>
      <w:r w:rsidDel="00000000" w:rsidR="00000000" w:rsidRPr="00000000">
        <w:rPr>
          <w:rFonts w:ascii="Times New Roman" w:cs="Times New Roman" w:eastAsia="Times New Roman" w:hAnsi="Times New Roman"/>
          <w:sz w:val="24"/>
          <w:szCs w:val="24"/>
          <w:rtl w:val="0"/>
        </w:rPr>
        <w:t xml:space="preserve">, 8(2), 2020, pp. 294–297.</w:t>
      </w:r>
    </w:p>
    <w:p w:rsidR="00000000" w:rsidDel="00000000" w:rsidP="00000000" w:rsidRDefault="00000000" w:rsidRPr="00000000" w14:paraId="0000005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Masaquiza Jerez, Mirian. “Challenges and Opportunities for Indigenous Peoples’ Sustainability.” </w:t>
      </w:r>
      <w:r w:rsidDel="00000000" w:rsidR="00000000" w:rsidRPr="00000000">
        <w:rPr>
          <w:rFonts w:ascii="Times New Roman" w:cs="Times New Roman" w:eastAsia="Times New Roman" w:hAnsi="Times New Roman"/>
          <w:i w:val="1"/>
          <w:sz w:val="24"/>
          <w:szCs w:val="24"/>
          <w:rtl w:val="0"/>
        </w:rPr>
        <w:t xml:space="preserve">United Nations Department of Economic and Social Affairs, Policy Brief</w:t>
      </w:r>
      <w:r w:rsidDel="00000000" w:rsidR="00000000" w:rsidRPr="00000000">
        <w:rPr>
          <w:rFonts w:ascii="Times New Roman" w:cs="Times New Roman" w:eastAsia="Times New Roman" w:hAnsi="Times New Roman"/>
          <w:sz w:val="24"/>
          <w:szCs w:val="24"/>
          <w:rtl w:val="0"/>
        </w:rPr>
        <w:t xml:space="preserve"> no.101, April 2021. </w:t>
      </w:r>
    </w:p>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240" w:lineRule="auto"/>
        <w:rPr>
          <w:rFonts w:ascii="Times New Roman" w:cs="Times New Roman" w:eastAsia="Times New Roman" w:hAnsi="Times New Roman"/>
          <w:sz w:val="24"/>
          <w:szCs w:val="24"/>
        </w:rPr>
      </w:pPr>
      <w:r w:rsidDel="00000000" w:rsidR="00000000" w:rsidRPr="00000000">
        <w:rPr>
          <w:color w:val="212121"/>
          <w:sz w:val="20"/>
          <w:szCs w:val="20"/>
          <w:highlight w:val="white"/>
          <w:rtl w:val="0"/>
        </w:rPr>
        <w:t xml:space="preserve">Mazzocchi, Fulvio. “Western Science and Traditional Knowledge. Despite their Variations, Different Forms of Knowledge Can learn From Each Other.” </w:t>
      </w:r>
      <w:r w:rsidDel="00000000" w:rsidR="00000000" w:rsidRPr="00000000">
        <w:rPr>
          <w:i w:val="1"/>
          <w:color w:val="212121"/>
          <w:sz w:val="20"/>
          <w:szCs w:val="20"/>
          <w:highlight w:val="white"/>
          <w:rtl w:val="0"/>
        </w:rPr>
        <w:t xml:space="preserve">EMBO Reports</w:t>
      </w:r>
      <w:r w:rsidDel="00000000" w:rsidR="00000000" w:rsidRPr="00000000">
        <w:rPr>
          <w:color w:val="212121"/>
          <w:sz w:val="20"/>
          <w:szCs w:val="20"/>
          <w:highlight w:val="white"/>
          <w:rtl w:val="0"/>
        </w:rPr>
        <w:t xml:space="preserve"> vol. 7,5 (2006): pp463-6. </w:t>
      </w:r>
      <w:r w:rsidDel="00000000" w:rsidR="00000000" w:rsidRPr="00000000">
        <w:rPr>
          <w:rtl w:val="0"/>
        </w:rPr>
      </w:r>
    </w:p>
    <w:p w:rsidR="00000000" w:rsidDel="00000000" w:rsidP="00000000" w:rsidRDefault="00000000" w:rsidRPr="00000000" w14:paraId="0000006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Panghal,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“Indigenous knowledge of medicinal plants used by Saperas community of Khetawas, Jhajjar District, Haryana, India”, </w:t>
      </w:r>
      <w:r w:rsidDel="00000000" w:rsidR="00000000" w:rsidRPr="00000000">
        <w:rPr>
          <w:rFonts w:ascii="Times New Roman" w:cs="Times New Roman" w:eastAsia="Times New Roman" w:hAnsi="Times New Roman"/>
          <w:i w:val="1"/>
          <w:sz w:val="24"/>
          <w:szCs w:val="24"/>
          <w:rtl w:val="0"/>
        </w:rPr>
        <w:t xml:space="preserve">J Ethnobiology Ethnomedicine</w:t>
      </w:r>
      <w:r w:rsidDel="00000000" w:rsidR="00000000" w:rsidRPr="00000000">
        <w:rPr>
          <w:rFonts w:ascii="Times New Roman" w:cs="Times New Roman" w:eastAsia="Times New Roman" w:hAnsi="Times New Roman"/>
          <w:sz w:val="24"/>
          <w:szCs w:val="24"/>
          <w:rtl w:val="0"/>
        </w:rPr>
        <w:t xml:space="preserve"> 6, 4 (2010).</w:t>
      </w:r>
    </w:p>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after="16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Powell, Alvin. “Amartya K. Sen Wins 1998 Nobel Prize in Economic”, </w:t>
      </w:r>
      <w:r w:rsidDel="00000000" w:rsidR="00000000" w:rsidRPr="00000000">
        <w:rPr>
          <w:rFonts w:ascii="Times New Roman" w:cs="Times New Roman" w:eastAsia="Times New Roman" w:hAnsi="Times New Roman"/>
          <w:i w:val="1"/>
          <w:sz w:val="24"/>
          <w:szCs w:val="24"/>
          <w:rtl w:val="0"/>
        </w:rPr>
        <w:t xml:space="preserve">The Harvard Gazette</w:t>
      </w:r>
      <w:r w:rsidDel="00000000" w:rsidR="00000000" w:rsidRPr="00000000">
        <w:rPr>
          <w:rFonts w:ascii="Times New Roman" w:cs="Times New Roman" w:eastAsia="Times New Roman" w:hAnsi="Times New Roman"/>
          <w:sz w:val="24"/>
          <w:szCs w:val="24"/>
          <w:rtl w:val="0"/>
        </w:rPr>
        <w:t xml:space="preserve">, October1998,</w:t>
      </w:r>
      <w:r w:rsidDel="00000000" w:rsidR="00000000" w:rsidRPr="00000000">
        <w:rPr>
          <w:rFonts w:ascii="Times New Roman" w:cs="Times New Roman" w:eastAsia="Times New Roman" w:hAnsi="Times New Roman"/>
          <w:sz w:val="24"/>
          <w:szCs w:val="24"/>
          <w:rtl w:val="0"/>
        </w:rPr>
        <w:t xml:space="preserve">https://news.harvard.edu/gazette/story/1998/10/amartya-k-sen-wins-1998-nobel-prize-in-economics/</w:t>
      </w:r>
      <w:r w:rsidDel="00000000" w:rsidR="00000000" w:rsidRPr="00000000">
        <w:rPr>
          <w:rFonts w:ascii="Times New Roman" w:cs="Times New Roman" w:eastAsia="Times New Roman" w:hAnsi="Times New Roman"/>
          <w:sz w:val="24"/>
          <w:szCs w:val="24"/>
          <w:rtl w:val="0"/>
        </w:rPr>
        <w:t xml:space="preserve"> Accessed on:06/02/2023.</w:t>
      </w:r>
    </w:p>
    <w:p w:rsidR="00000000" w:rsidDel="00000000" w:rsidP="00000000" w:rsidRDefault="00000000" w:rsidRPr="00000000" w14:paraId="0000006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Republic Act No. 8371 | GOVPH, </w:t>
      </w:r>
      <w:hyperlink r:id="rId8">
        <w:r w:rsidDel="00000000" w:rsidR="00000000" w:rsidRPr="00000000">
          <w:rPr>
            <w:rFonts w:ascii="Times New Roman" w:cs="Times New Roman" w:eastAsia="Times New Roman" w:hAnsi="Times New Roman"/>
            <w:sz w:val="24"/>
            <w:szCs w:val="24"/>
            <w:u w:val="single"/>
            <w:rtl w:val="0"/>
          </w:rPr>
          <w:t xml:space="preserve">https://faolex.fao.org/docs/pdf/phi13930.pdf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Sanabria, Harry, The Anthropology of Latin America and the Caribbean, ( London:Routledge, 2007).</w:t>
      </w:r>
    </w:p>
    <w:p w:rsidR="00000000" w:rsidDel="00000000" w:rsidP="00000000" w:rsidRDefault="00000000" w:rsidRPr="00000000" w14:paraId="0000006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240" w:lineRule="auto"/>
        <w:rPr>
          <w:rFonts w:ascii="Times New Roman" w:cs="Times New Roman" w:eastAsia="Times New Roman" w:hAnsi="Times New Roman"/>
          <w:sz w:val="24"/>
          <w:szCs w:val="24"/>
        </w:rPr>
      </w:pPr>
      <w:r w:rsidDel="00000000" w:rsidR="00000000" w:rsidRPr="00000000">
        <w:rPr>
          <w:sz w:val="20"/>
          <w:szCs w:val="20"/>
          <w:highlight w:val="white"/>
          <w:rtl w:val="0"/>
        </w:rPr>
        <w:t xml:space="preserve">Rice, E.S., </w:t>
      </w:r>
      <w:r w:rsidDel="00000000" w:rsidR="00000000" w:rsidRPr="00000000">
        <w:rPr>
          <w:i w:val="1"/>
          <w:sz w:val="20"/>
          <w:szCs w:val="20"/>
          <w:highlight w:val="white"/>
          <w:rtl w:val="0"/>
        </w:rPr>
        <w:t xml:space="preserve">et al.</w:t>
      </w:r>
      <w:r w:rsidDel="00000000" w:rsidR="00000000" w:rsidRPr="00000000">
        <w:rPr>
          <w:sz w:val="20"/>
          <w:szCs w:val="20"/>
          <w:highlight w:val="white"/>
          <w:rtl w:val="0"/>
        </w:rPr>
        <w:t xml:space="preserve"> “Social Media and Digital Technology Use Among Indigenous Young People in Australia: a Literature Review. </w:t>
      </w:r>
      <w:r w:rsidDel="00000000" w:rsidR="00000000" w:rsidRPr="00000000">
        <w:rPr>
          <w:i w:val="1"/>
          <w:sz w:val="20"/>
          <w:szCs w:val="20"/>
          <w:highlight w:val="white"/>
          <w:rtl w:val="0"/>
        </w:rPr>
        <w:t xml:space="preserve">Int J Equity Health</w:t>
      </w:r>
      <w:r w:rsidDel="00000000" w:rsidR="00000000" w:rsidRPr="00000000">
        <w:rPr>
          <w:sz w:val="20"/>
          <w:szCs w:val="20"/>
          <w:highlight w:val="white"/>
          <w:rtl w:val="0"/>
        </w:rPr>
        <w:t xml:space="preserve"> 15, 81 (2016). </w:t>
      </w:r>
      <w:r w:rsidDel="00000000" w:rsidR="00000000" w:rsidRPr="00000000">
        <w:rPr>
          <w:rtl w:val="0"/>
        </w:rPr>
      </w:r>
    </w:p>
    <w:p w:rsidR="00000000" w:rsidDel="00000000" w:rsidP="00000000" w:rsidRDefault="00000000" w:rsidRPr="00000000" w14:paraId="0000006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Seddon, David, ed., </w:t>
      </w:r>
      <w:r w:rsidDel="00000000" w:rsidR="00000000" w:rsidRPr="00000000">
        <w:rPr>
          <w:rFonts w:ascii="Times New Roman" w:cs="Times New Roman" w:eastAsia="Times New Roman" w:hAnsi="Times New Roman"/>
          <w:i w:val="1"/>
          <w:sz w:val="24"/>
          <w:szCs w:val="24"/>
          <w:rtl w:val="0"/>
        </w:rPr>
        <w:t xml:space="preserve">Relation of production :Marxist Approaches to Economic Anthropology </w:t>
      </w:r>
      <w:r w:rsidDel="00000000" w:rsidR="00000000" w:rsidRPr="00000000">
        <w:rPr>
          <w:rFonts w:ascii="Times New Roman" w:cs="Times New Roman" w:eastAsia="Times New Roman" w:hAnsi="Times New Roman"/>
          <w:sz w:val="24"/>
          <w:szCs w:val="24"/>
          <w:rtl w:val="0"/>
        </w:rPr>
        <w:t xml:space="preserve">(Abingdon: </w:t>
      </w:r>
      <w:r w:rsidDel="00000000" w:rsidR="00000000" w:rsidRPr="00000000">
        <w:rPr>
          <w:rFonts w:ascii="Times New Roman" w:cs="Times New Roman" w:eastAsia="Times New Roman" w:hAnsi="Times New Roman"/>
          <w:sz w:val="24"/>
          <w:szCs w:val="24"/>
          <w:rtl w:val="0"/>
        </w:rPr>
        <w:t xml:space="preserve">Frank Cass Co, 1978), p264.</w:t>
      </w:r>
    </w:p>
    <w:p w:rsidR="00000000" w:rsidDel="00000000" w:rsidP="00000000" w:rsidRDefault="00000000" w:rsidRPr="00000000" w14:paraId="0000006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of Ethnobiology website, ‘What is Ethnobiology’, ethnobiology.org </w:t>
      </w:r>
      <w:hyperlink r:id="rId9">
        <w:r w:rsidDel="00000000" w:rsidR="00000000" w:rsidRPr="00000000">
          <w:rPr>
            <w:rFonts w:ascii="Times New Roman" w:cs="Times New Roman" w:eastAsia="Times New Roman" w:hAnsi="Times New Roman"/>
            <w:sz w:val="24"/>
            <w:szCs w:val="24"/>
            <w:u w:val="single"/>
            <w:rtl w:val="0"/>
          </w:rPr>
          <w:t xml:space="preserve">https://ethnobiology.org/about-ethnobiology/what-is-ethnobiology</w:t>
        </w:r>
      </w:hyperlink>
      <w:r w:rsidDel="00000000" w:rsidR="00000000" w:rsidRPr="00000000">
        <w:rPr>
          <w:rFonts w:ascii="Times New Roman" w:cs="Times New Roman" w:eastAsia="Times New Roman" w:hAnsi="Times New Roman"/>
          <w:sz w:val="24"/>
          <w:szCs w:val="24"/>
          <w:rtl w:val="0"/>
        </w:rPr>
        <w:t xml:space="preserve"> accessed 03/02/2023.</w:t>
      </w:r>
    </w:p>
    <w:p w:rsidR="00000000" w:rsidDel="00000000" w:rsidP="00000000" w:rsidRDefault="00000000" w:rsidRPr="00000000" w14:paraId="0000006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“State of the World's Indigenous Peoples”. Kenya, UN, 2009.</w:t>
      </w: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Tuhiwai Smith, L. </w:t>
      </w:r>
      <w:r w:rsidDel="00000000" w:rsidR="00000000" w:rsidRPr="00000000">
        <w:rPr>
          <w:rFonts w:ascii="Times New Roman" w:cs="Times New Roman" w:eastAsia="Times New Roman" w:hAnsi="Times New Roman"/>
          <w:i w:val="1"/>
          <w:sz w:val="24"/>
          <w:szCs w:val="24"/>
          <w:rtl w:val="0"/>
        </w:rPr>
        <w:t xml:space="preserve">Decolonizing methodologies: Research and Indigenous peoples</w:t>
      </w:r>
      <w:r w:rsidDel="00000000" w:rsidR="00000000" w:rsidRPr="00000000">
        <w:rPr>
          <w:rFonts w:ascii="Times New Roman" w:cs="Times New Roman" w:eastAsia="Times New Roman" w:hAnsi="Times New Roman"/>
          <w:sz w:val="24"/>
          <w:szCs w:val="24"/>
          <w:rtl w:val="0"/>
        </w:rPr>
        <w:t xml:space="preserve">. (London:  Zed Books, 1999).</w:t>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N. J. </w:t>
      </w:r>
      <w:r w:rsidDel="00000000" w:rsidR="00000000" w:rsidRPr="00000000">
        <w:rPr>
          <w:rFonts w:ascii="Times New Roman" w:cs="Times New Roman" w:eastAsia="Times New Roman" w:hAnsi="Times New Roman"/>
          <w:i w:val="1"/>
          <w:sz w:val="24"/>
          <w:szCs w:val="24"/>
          <w:rtl w:val="0"/>
        </w:rPr>
        <w:t xml:space="preserve">Plants, People, and Places: The Roles of Ethnobotany and Ethnoecology in Indigenous Peoples' Land Rights in Canada and Beyond</w:t>
      </w:r>
      <w:r w:rsidDel="00000000" w:rsidR="00000000" w:rsidRPr="00000000">
        <w:rPr>
          <w:rFonts w:ascii="Times New Roman" w:cs="Times New Roman" w:eastAsia="Times New Roman" w:hAnsi="Times New Roman"/>
          <w:sz w:val="24"/>
          <w:szCs w:val="24"/>
          <w:rtl w:val="0"/>
        </w:rPr>
        <w:t xml:space="preserve">. (Montreal: McGill-Queen's University Press, 2020).</w:t>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N. J., et al,‘Traditional Ecological Knowledge and Wisdom of Aboriginal Peoples in British Columbia’, </w:t>
      </w:r>
      <w:r w:rsidDel="00000000" w:rsidR="00000000" w:rsidRPr="00000000">
        <w:rPr>
          <w:rFonts w:ascii="Times New Roman" w:cs="Times New Roman" w:eastAsia="Times New Roman" w:hAnsi="Times New Roman"/>
          <w:i w:val="1"/>
          <w:sz w:val="24"/>
          <w:szCs w:val="24"/>
          <w:rtl w:val="0"/>
        </w:rPr>
        <w:t xml:space="preserve">Ecological Applications</w:t>
      </w:r>
      <w:r w:rsidDel="00000000" w:rsidR="00000000" w:rsidRPr="00000000">
        <w:rPr>
          <w:rFonts w:ascii="Times New Roman" w:cs="Times New Roman" w:eastAsia="Times New Roman" w:hAnsi="Times New Roman"/>
          <w:sz w:val="24"/>
          <w:szCs w:val="24"/>
          <w:rtl w:val="0"/>
        </w:rPr>
        <w:t xml:space="preserve">, 10(5), 2000, pp 1275–1287.</w:t>
      </w:r>
    </w:p>
    <w:p w:rsidR="00000000" w:rsidDel="00000000" w:rsidP="00000000" w:rsidRDefault="00000000" w:rsidRPr="00000000" w14:paraId="0000007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Watson, Robert T. </w:t>
      </w:r>
      <w:r w:rsidDel="00000000" w:rsidR="00000000" w:rsidRPr="00000000">
        <w:rPr>
          <w:rFonts w:ascii="Times New Roman" w:cs="Times New Roman" w:eastAsia="Times New Roman" w:hAnsi="Times New Roman"/>
          <w:i w:val="1"/>
          <w:sz w:val="24"/>
          <w:szCs w:val="24"/>
          <w:rtl w:val="0"/>
        </w:rPr>
        <w:t xml:space="preserve">The Regional Impacts of Climate Change: An Assessment of Vulnerability </w:t>
      </w:r>
      <w:r w:rsidDel="00000000" w:rsidR="00000000" w:rsidRPr="00000000">
        <w:rPr>
          <w:rFonts w:ascii="Times New Roman" w:cs="Times New Roman" w:eastAsia="Times New Roman" w:hAnsi="Times New Roman"/>
          <w:sz w:val="24"/>
          <w:szCs w:val="24"/>
          <w:rtl w:val="0"/>
        </w:rPr>
        <w:t xml:space="preserve">(Cambridge: Cambridge University Press).</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Rise Together’,2018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http://www.conservation2020canada.ca/home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Widlok,Thomas, Anthropology and the Economy of Sharing (Abingdion:Routledge, 2017),p12</w:t>
      </w:r>
    </w:p>
    <w:p w:rsidR="00000000" w:rsidDel="00000000" w:rsidP="00000000" w:rsidRDefault="00000000" w:rsidRPr="00000000" w14:paraId="0000007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Yong, E.L. “Understanding Cultural Diversity and Economic Prosperity in Europe: a Literature Review and Proposal of a Culture–Economy Framework”. </w:t>
      </w:r>
      <w:r w:rsidDel="00000000" w:rsidR="00000000" w:rsidRPr="00000000">
        <w:rPr>
          <w:rFonts w:ascii="Times New Roman" w:cs="Times New Roman" w:eastAsia="Times New Roman" w:hAnsi="Times New Roman"/>
          <w:i w:val="1"/>
          <w:sz w:val="24"/>
          <w:szCs w:val="24"/>
          <w:rtl w:val="0"/>
        </w:rPr>
        <w:t xml:space="preserve">Asian j. Ger. Eur. stud.</w:t>
      </w:r>
      <w:r w:rsidDel="00000000" w:rsidR="00000000" w:rsidRPr="00000000">
        <w:rPr>
          <w:rFonts w:ascii="Times New Roman" w:cs="Times New Roman" w:eastAsia="Times New Roman" w:hAnsi="Times New Roman"/>
          <w:sz w:val="24"/>
          <w:szCs w:val="24"/>
          <w:rtl w:val="0"/>
        </w:rPr>
        <w:t xml:space="preserve"> 4, 5 (2019). </w:t>
      </w:r>
    </w:p>
    <w:p w:rsidR="00000000" w:rsidDel="00000000" w:rsidP="00000000" w:rsidRDefault="00000000" w:rsidRPr="00000000" w14:paraId="0000007D">
      <w:pPr>
        <w:pStyle w:val="Heading1"/>
        <w:keepNext w:val="0"/>
        <w:keepLines w:val="0"/>
        <w:spacing w:after="0" w:before="240" w:line="250.43478260869563" w:lineRule="auto"/>
        <w:rPr>
          <w:rFonts w:ascii="Times New Roman" w:cs="Times New Roman" w:eastAsia="Times New Roman" w:hAnsi="Times New Roman"/>
          <w:b w:val="1"/>
          <w:sz w:val="24"/>
          <w:szCs w:val="24"/>
        </w:rPr>
      </w:pPr>
      <w:bookmarkStart w:colFirst="0" w:colLast="0" w:name="_kbas3euan2oq" w:id="0"/>
      <w:bookmarkEnd w:id="0"/>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4">
    <w:p w:rsidR="00000000" w:rsidDel="00000000" w:rsidP="00000000" w:rsidRDefault="00000000" w:rsidRPr="00000000" w14:paraId="0000007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c1d1e"/>
          <w:sz w:val="19"/>
          <w:szCs w:val="19"/>
          <w:rtl w:val="0"/>
        </w:rPr>
        <w:t xml:space="preserve">Turner, N. J., et al,‘Traditional Ecological Knowledge and Wisdom of Aboriginal Peoples in British Columbia’, </w:t>
      </w:r>
      <w:r w:rsidDel="00000000" w:rsidR="00000000" w:rsidRPr="00000000">
        <w:rPr>
          <w:i w:val="1"/>
          <w:color w:val="1c1d1e"/>
          <w:sz w:val="19"/>
          <w:szCs w:val="19"/>
          <w:rtl w:val="0"/>
        </w:rPr>
        <w:t xml:space="preserve">Ecological Applications</w:t>
      </w:r>
      <w:r w:rsidDel="00000000" w:rsidR="00000000" w:rsidRPr="00000000">
        <w:rPr>
          <w:color w:val="1c1d1e"/>
          <w:sz w:val="19"/>
          <w:szCs w:val="19"/>
          <w:rtl w:val="0"/>
        </w:rPr>
        <w:t xml:space="preserve">, 10(5), 2000, pp 1275–1287.</w:t>
      </w:r>
      <w:r w:rsidDel="00000000" w:rsidR="00000000" w:rsidRPr="00000000">
        <w:rPr>
          <w:rtl w:val="0"/>
        </w:rPr>
      </w:r>
    </w:p>
  </w:footnote>
  <w:footnote w:id="1">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highlight w:val="white"/>
          <w:rtl w:val="0"/>
        </w:rPr>
        <w:t xml:space="preserve">N.J,</w:t>
      </w:r>
      <w:r w:rsidDel="00000000" w:rsidR="00000000" w:rsidRPr="00000000">
        <w:rPr>
          <w:sz w:val="20"/>
          <w:szCs w:val="20"/>
          <w:rtl w:val="0"/>
        </w:rPr>
        <w:t xml:space="preserve"> </w:t>
      </w:r>
      <w:r w:rsidDel="00000000" w:rsidR="00000000" w:rsidRPr="00000000">
        <w:rPr>
          <w:sz w:val="20"/>
          <w:szCs w:val="20"/>
          <w:highlight w:val="white"/>
          <w:rtl w:val="0"/>
        </w:rPr>
        <w:t xml:space="preserve">Long. “Lockdown anthropology and online surveys: unprecedented methods for unprecedented times”. </w:t>
      </w:r>
      <w:r w:rsidDel="00000000" w:rsidR="00000000" w:rsidRPr="00000000">
        <w:rPr>
          <w:i w:val="1"/>
          <w:sz w:val="20"/>
          <w:szCs w:val="20"/>
          <w:highlight w:val="white"/>
          <w:rtl w:val="0"/>
        </w:rPr>
        <w:t xml:space="preserve">Studies in Indian Politics</w:t>
      </w:r>
      <w:r w:rsidDel="00000000" w:rsidR="00000000" w:rsidRPr="00000000">
        <w:rPr>
          <w:sz w:val="20"/>
          <w:szCs w:val="20"/>
          <w:highlight w:val="white"/>
          <w:rtl w:val="0"/>
        </w:rPr>
        <w:t xml:space="preserve">, 8(2), 2020. pp.294-297.</w:t>
      </w:r>
      <w:r w:rsidDel="00000000" w:rsidR="00000000" w:rsidRPr="00000000">
        <w:rPr>
          <w:rtl w:val="0"/>
        </w:rPr>
      </w:r>
    </w:p>
  </w:footnote>
  <w:footnote w:id="0">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D, Franklin ,Marks, M.K., “The Professional Practice of Forensic Anthropology: Contemporary Developments and Cross‐disciplinary Applications.” </w:t>
      </w:r>
      <w:r w:rsidDel="00000000" w:rsidR="00000000" w:rsidRPr="00000000">
        <w:rPr>
          <w:i w:val="1"/>
          <w:sz w:val="20"/>
          <w:szCs w:val="20"/>
          <w:highlight w:val="white"/>
          <w:rtl w:val="0"/>
        </w:rPr>
        <w:t xml:space="preserve">Wiley Interdisciplinary Reviews: Forensic Science</w:t>
      </w:r>
      <w:r w:rsidDel="00000000" w:rsidR="00000000" w:rsidRPr="00000000">
        <w:rPr>
          <w:sz w:val="20"/>
          <w:szCs w:val="20"/>
          <w:highlight w:val="white"/>
          <w:rtl w:val="0"/>
        </w:rPr>
        <w:t xml:space="preserve">, 4(2),2022. p1442.</w:t>
      </w:r>
      <w:r w:rsidDel="00000000" w:rsidR="00000000" w:rsidRPr="00000000">
        <w:rPr>
          <w:rtl w:val="0"/>
        </w:rPr>
      </w:r>
    </w:p>
  </w:footnote>
  <w:footnote w:id="4">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Alvin Powell, “Amartya K. Sen Wins 1998 Nobel Prize in Economic”, </w:t>
      </w:r>
      <w:r w:rsidDel="00000000" w:rsidR="00000000" w:rsidRPr="00000000">
        <w:rPr>
          <w:i w:val="1"/>
          <w:sz w:val="20"/>
          <w:szCs w:val="20"/>
          <w:rtl w:val="0"/>
        </w:rPr>
        <w:t xml:space="preserve">The Harvard Gazette</w:t>
      </w:r>
      <w:r w:rsidDel="00000000" w:rsidR="00000000" w:rsidRPr="00000000">
        <w:rPr>
          <w:sz w:val="20"/>
          <w:szCs w:val="20"/>
          <w:rtl w:val="0"/>
        </w:rPr>
        <w:t xml:space="preserve">, October 1 1998,</w:t>
      </w:r>
      <w:hyperlink r:id="rId1">
        <w:r w:rsidDel="00000000" w:rsidR="00000000" w:rsidRPr="00000000">
          <w:rPr>
            <w:color w:val="1155cc"/>
            <w:sz w:val="20"/>
            <w:szCs w:val="20"/>
            <w:u w:val="single"/>
            <w:rtl w:val="0"/>
          </w:rPr>
          <w:t xml:space="preserve">https://news.harvard.edu/gazette/story/1998/10/amartya-k-sen-wins-1998-nobel-prize-in-economics/</w:t>
        </w:r>
      </w:hyperlink>
      <w:r w:rsidDel="00000000" w:rsidR="00000000" w:rsidRPr="00000000">
        <w:rPr>
          <w:sz w:val="20"/>
          <w:szCs w:val="20"/>
          <w:rtl w:val="0"/>
        </w:rPr>
        <w:t xml:space="preserve"> Accessed on:06/02/2023</w:t>
      </w:r>
    </w:p>
  </w:footnote>
  <w:footnote w:id="5">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Nina Brown et al, eds., Selected perspectives: An Open Introduction to Cultural Anthropology, (Virginia: American Anthropological Association, 2019), ch 7.</w:t>
      </w:r>
    </w:p>
  </w:footnote>
  <w:footnote w:id="2">
    <w:p w:rsidR="00000000" w:rsidDel="00000000" w:rsidP="00000000" w:rsidRDefault="00000000" w:rsidRPr="00000000" w14:paraId="0000008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Mirian Masaquiza Jerez, “Challenges and Opportunities for Indigenous Peoples’ Sustainability,” </w:t>
      </w:r>
      <w:r w:rsidDel="00000000" w:rsidR="00000000" w:rsidRPr="00000000">
        <w:rPr>
          <w:i w:val="1"/>
          <w:sz w:val="20"/>
          <w:szCs w:val="20"/>
          <w:rtl w:val="0"/>
        </w:rPr>
        <w:t xml:space="preserve">United Nations Department of Economic and Social Affairs, Policy Brief</w:t>
      </w:r>
      <w:r w:rsidDel="00000000" w:rsidR="00000000" w:rsidRPr="00000000">
        <w:rPr>
          <w:sz w:val="20"/>
          <w:szCs w:val="20"/>
          <w:rtl w:val="0"/>
        </w:rPr>
        <w:t xml:space="preserve"> no.101, April 2021, p1.</w:t>
      </w:r>
    </w:p>
  </w:footnote>
  <w:footnote w:id="3">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Masaquiza Jerez, “Challenges and Opportunities”, p2.</w:t>
      </w:r>
    </w:p>
  </w:footnote>
  <w:footnote w:id="6">
    <w:p w:rsidR="00000000" w:rsidDel="00000000" w:rsidP="00000000" w:rsidRDefault="00000000" w:rsidRPr="00000000" w14:paraId="0000008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1c1d1e"/>
          <w:sz w:val="19"/>
          <w:szCs w:val="19"/>
          <w:rtl w:val="0"/>
        </w:rPr>
        <w:t xml:space="preserve">Anderson, E. N., et al.  </w:t>
      </w:r>
      <w:r w:rsidDel="00000000" w:rsidR="00000000" w:rsidRPr="00000000">
        <w:rPr>
          <w:i w:val="1"/>
          <w:color w:val="1c1d1e"/>
          <w:sz w:val="19"/>
          <w:szCs w:val="19"/>
          <w:rtl w:val="0"/>
        </w:rPr>
        <w:t xml:space="preserve">Ethnobiology</w:t>
      </w:r>
      <w:r w:rsidDel="00000000" w:rsidR="00000000" w:rsidRPr="00000000">
        <w:rPr>
          <w:color w:val="1c1d1e"/>
          <w:sz w:val="19"/>
          <w:szCs w:val="19"/>
          <w:rtl w:val="0"/>
        </w:rPr>
        <w:t xml:space="preserve">. (New Jersey: Wiley-Blackwell, 2011), p3.</w:t>
      </w:r>
      <w:r w:rsidDel="00000000" w:rsidR="00000000" w:rsidRPr="00000000">
        <w:rPr>
          <w:rtl w:val="0"/>
        </w:rPr>
      </w:r>
    </w:p>
  </w:footnote>
  <w:footnote w:id="7">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‘What is Ethnobiology’, Society of Ethnobiology website, ethnobiology.org </w:t>
      </w:r>
      <w:hyperlink r:id="rId2">
        <w:r w:rsidDel="00000000" w:rsidR="00000000" w:rsidRPr="00000000">
          <w:rPr>
            <w:color w:val="1155cc"/>
            <w:sz w:val="20"/>
            <w:szCs w:val="20"/>
            <w:u w:val="single"/>
            <w:rtl w:val="0"/>
          </w:rPr>
          <w:t xml:space="preserve">https://ethnobiology.org/about-ethnobiology/what-is-ethnobiology</w:t>
        </w:r>
      </w:hyperlink>
      <w:r w:rsidDel="00000000" w:rsidR="00000000" w:rsidRPr="00000000">
        <w:rPr>
          <w:sz w:val="20"/>
          <w:szCs w:val="20"/>
          <w:rtl w:val="0"/>
        </w:rPr>
        <w:t xml:space="preserve"> accessed 03/02/2023.</w:t>
      </w:r>
    </w:p>
  </w:footnote>
  <w:footnote w:id="10">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e2e2e"/>
          <w:sz w:val="20"/>
          <w:szCs w:val="20"/>
          <w:rtl w:val="0"/>
        </w:rPr>
        <w:t xml:space="preserve">C. Gregory, “</w:t>
      </w:r>
      <w:r w:rsidDel="00000000" w:rsidR="00000000" w:rsidRPr="00000000">
        <w:rPr>
          <w:color w:val="2e2e2e"/>
          <w:sz w:val="20"/>
          <w:szCs w:val="20"/>
          <w:rtl w:val="0"/>
        </w:rPr>
        <w:t xml:space="preserve">Exchange in Anthropology” </w:t>
      </w:r>
      <w:r w:rsidDel="00000000" w:rsidR="00000000" w:rsidRPr="00000000">
        <w:rPr>
          <w:sz w:val="20"/>
          <w:szCs w:val="20"/>
          <w:rtl w:val="0"/>
        </w:rPr>
        <w:t xml:space="preserve"> </w:t>
      </w:r>
      <w:r w:rsidDel="00000000" w:rsidR="00000000" w:rsidRPr="00000000">
        <w:rPr>
          <w:i w:val="1"/>
          <w:sz w:val="20"/>
          <w:szCs w:val="20"/>
          <w:rtl w:val="0"/>
        </w:rPr>
        <w:t xml:space="preserve">International Encyclopedia of the Social &amp; Behavioral Sciences</w:t>
      </w:r>
      <w:r w:rsidDel="00000000" w:rsidR="00000000" w:rsidRPr="00000000">
        <w:rPr>
          <w:i w:val="1"/>
          <w:color w:val="2e2e2e"/>
          <w:sz w:val="20"/>
          <w:szCs w:val="20"/>
          <w:rtl w:val="0"/>
        </w:rPr>
        <w:t xml:space="preserve">,</w:t>
      </w:r>
      <w:r w:rsidDel="00000000" w:rsidR="00000000" w:rsidRPr="00000000">
        <w:rPr>
          <w:color w:val="2e2e2e"/>
          <w:sz w:val="20"/>
          <w:szCs w:val="20"/>
          <w:rtl w:val="0"/>
        </w:rPr>
        <w:t xml:space="preserve"> (Amsterdam: Elsevier Ltd, 2001),</w:t>
      </w:r>
      <w:r w:rsidDel="00000000" w:rsidR="00000000" w:rsidRPr="00000000">
        <w:rPr>
          <w:color w:val="2e2e2e"/>
          <w:sz w:val="18"/>
          <w:szCs w:val="18"/>
          <w:rtl w:val="0"/>
        </w:rPr>
        <w:t xml:space="preserve"> p5039-5042</w:t>
      </w:r>
      <w:r w:rsidDel="00000000" w:rsidR="00000000" w:rsidRPr="00000000">
        <w:rPr>
          <w:color w:val="2e2e2e"/>
          <w:sz w:val="20"/>
          <w:szCs w:val="20"/>
          <w:rtl w:val="0"/>
        </w:rPr>
        <w:t xml:space="preserve">.</w:t>
      </w:r>
      <w:r w:rsidDel="00000000" w:rsidR="00000000" w:rsidRPr="00000000">
        <w:rPr>
          <w:rtl w:val="0"/>
        </w:rPr>
      </w:r>
    </w:p>
  </w:footnote>
  <w:footnote w:id="9">
    <w:p w:rsidR="00000000" w:rsidDel="00000000" w:rsidP="00000000" w:rsidRDefault="00000000" w:rsidRPr="00000000" w14:paraId="000000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David, Seddon ed., </w:t>
      </w:r>
      <w:r w:rsidDel="00000000" w:rsidR="00000000" w:rsidRPr="00000000">
        <w:rPr>
          <w:i w:val="1"/>
          <w:sz w:val="20"/>
          <w:szCs w:val="20"/>
          <w:rtl w:val="0"/>
        </w:rPr>
        <w:t xml:space="preserve">Relations of Production :Marxist Approaches to Economic Anthropology </w:t>
      </w:r>
      <w:r w:rsidDel="00000000" w:rsidR="00000000" w:rsidRPr="00000000">
        <w:rPr>
          <w:sz w:val="20"/>
          <w:szCs w:val="20"/>
          <w:rtl w:val="0"/>
        </w:rPr>
        <w:t xml:space="preserve">(Abingdon:Frank Cass Co, 1978), p264.</w:t>
      </w:r>
    </w:p>
  </w:footnote>
  <w:footnote w:id="8">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Thomas, Widlok, Anthropology and the Economy of Sharing (Abingdon:Routledge, 2017),p12</w:t>
      </w:r>
    </w:p>
    <w:p w:rsidR="00000000" w:rsidDel="00000000" w:rsidP="00000000" w:rsidRDefault="00000000" w:rsidRPr="00000000" w14:paraId="0000008B">
      <w:pPr>
        <w:spacing w:line="240" w:lineRule="auto"/>
        <w:rPr>
          <w:sz w:val="20"/>
          <w:szCs w:val="20"/>
        </w:rPr>
      </w:pPr>
      <w:r w:rsidDel="00000000" w:rsidR="00000000" w:rsidRPr="00000000">
        <w:rPr>
          <w:rtl w:val="0"/>
        </w:rPr>
      </w:r>
    </w:p>
  </w:footnote>
  <w:footnote w:id="40">
    <w:p w:rsidR="00000000" w:rsidDel="00000000" w:rsidP="00000000" w:rsidRDefault="00000000" w:rsidRPr="00000000" w14:paraId="000000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Native Knowledge 360 , </w:t>
      </w:r>
      <w:r w:rsidDel="00000000" w:rsidR="00000000" w:rsidRPr="00000000">
        <w:rPr>
          <w:i w:val="1"/>
          <w:sz w:val="20"/>
          <w:szCs w:val="20"/>
          <w:rtl w:val="0"/>
        </w:rPr>
        <w:t xml:space="preserve">Treaties Still Matters The Dakota Access Pipeline,</w:t>
      </w:r>
      <w:r w:rsidDel="00000000" w:rsidR="00000000" w:rsidRPr="00000000">
        <w:rPr>
          <w:sz w:val="20"/>
          <w:szCs w:val="20"/>
          <w:rtl w:val="0"/>
        </w:rPr>
        <w:t xml:space="preserve"> (Washington:Smithsonian Institution, 2018)</w:t>
      </w:r>
    </w:p>
  </w:footnote>
  <w:footnote w:id="37">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L. </w:t>
      </w:r>
      <w:r w:rsidDel="00000000" w:rsidR="00000000" w:rsidRPr="00000000">
        <w:rPr>
          <w:color w:val="1c1d1e"/>
          <w:sz w:val="19"/>
          <w:szCs w:val="19"/>
          <w:rtl w:val="0"/>
        </w:rPr>
        <w:t xml:space="preserve">Tuhiwai Smith, </w:t>
      </w:r>
      <w:r w:rsidDel="00000000" w:rsidR="00000000" w:rsidRPr="00000000">
        <w:rPr>
          <w:i w:val="1"/>
          <w:color w:val="1c1d1e"/>
          <w:sz w:val="19"/>
          <w:szCs w:val="19"/>
          <w:rtl w:val="0"/>
        </w:rPr>
        <w:t xml:space="preserve">Decolonizing methodologies: Research and Indigenous peoples</w:t>
      </w:r>
      <w:r w:rsidDel="00000000" w:rsidR="00000000" w:rsidRPr="00000000">
        <w:rPr>
          <w:color w:val="1c1d1e"/>
          <w:sz w:val="19"/>
          <w:szCs w:val="19"/>
          <w:rtl w:val="0"/>
        </w:rPr>
        <w:t xml:space="preserve">. (London: Zed Books, 1999), p56.</w:t>
      </w:r>
      <w:r w:rsidDel="00000000" w:rsidR="00000000" w:rsidRPr="00000000">
        <w:rPr>
          <w:rtl w:val="0"/>
        </w:rPr>
      </w:r>
    </w:p>
  </w:footnote>
  <w:footnote w:id="39">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Ranjan </w:t>
      </w:r>
      <w:r w:rsidDel="00000000" w:rsidR="00000000" w:rsidRPr="00000000">
        <w:rPr>
          <w:sz w:val="20"/>
          <w:szCs w:val="20"/>
          <w:rtl w:val="0"/>
        </w:rPr>
        <w:t xml:space="preserve">Gupta, et al. “Nature's medicines: traditional knowledge and intellectual property management”. Case studies from the National Institutes of Health (NIH), USA. </w:t>
      </w:r>
      <w:r w:rsidDel="00000000" w:rsidR="00000000" w:rsidRPr="00000000">
        <w:rPr>
          <w:i w:val="1"/>
          <w:sz w:val="20"/>
          <w:szCs w:val="20"/>
          <w:rtl w:val="0"/>
        </w:rPr>
        <w:t xml:space="preserve">Curr Drug Discov Technol.</w:t>
      </w:r>
      <w:r w:rsidDel="00000000" w:rsidR="00000000" w:rsidRPr="00000000">
        <w:rPr>
          <w:sz w:val="20"/>
          <w:szCs w:val="20"/>
          <w:rtl w:val="0"/>
        </w:rPr>
        <w:t xml:space="preserve"> 2005 Dec;2(4):203-19.</w:t>
      </w:r>
      <w:r w:rsidDel="00000000" w:rsidR="00000000" w:rsidRPr="00000000">
        <w:rPr>
          <w:rtl w:val="0"/>
        </w:rPr>
      </w:r>
    </w:p>
  </w:footnote>
  <w:footnote w:id="38">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 P</w:t>
      </w:r>
      <w:r w:rsidDel="00000000" w:rsidR="00000000" w:rsidRPr="00000000">
        <w:rPr>
          <w:sz w:val="20"/>
          <w:szCs w:val="20"/>
          <w:rtl w:val="0"/>
        </w:rPr>
        <w:t xml:space="preserve">anghal, </w:t>
      </w:r>
      <w:r w:rsidDel="00000000" w:rsidR="00000000" w:rsidRPr="00000000">
        <w:rPr>
          <w:i w:val="1"/>
          <w:sz w:val="20"/>
          <w:szCs w:val="20"/>
          <w:rtl w:val="0"/>
        </w:rPr>
        <w:t xml:space="preserve">et al.</w:t>
      </w:r>
      <w:r w:rsidDel="00000000" w:rsidR="00000000" w:rsidRPr="00000000">
        <w:rPr>
          <w:sz w:val="20"/>
          <w:szCs w:val="20"/>
          <w:rtl w:val="0"/>
        </w:rPr>
        <w:t xml:space="preserve"> “Indigenous knowledge of medicinal plants used by Saperas community of Khetawas, Jhajjar District, Haryana, India”, </w:t>
      </w:r>
      <w:r w:rsidDel="00000000" w:rsidR="00000000" w:rsidRPr="00000000">
        <w:rPr>
          <w:i w:val="1"/>
          <w:sz w:val="20"/>
          <w:szCs w:val="20"/>
          <w:rtl w:val="0"/>
        </w:rPr>
        <w:t xml:space="preserve">J Ethnobiology Ethnomedicine</w:t>
      </w:r>
      <w:r w:rsidDel="00000000" w:rsidR="00000000" w:rsidRPr="00000000">
        <w:rPr>
          <w:sz w:val="20"/>
          <w:szCs w:val="20"/>
          <w:rtl w:val="0"/>
        </w:rPr>
        <w:t xml:space="preserve"> 6, 4 (2010).</w:t>
      </w:r>
      <w:r w:rsidDel="00000000" w:rsidR="00000000" w:rsidRPr="00000000">
        <w:rPr>
          <w:rtl w:val="0"/>
        </w:rPr>
      </w:r>
    </w:p>
  </w:footnote>
  <w:footnote w:id="15">
    <w:p w:rsidR="00000000" w:rsidDel="00000000" w:rsidP="00000000" w:rsidRDefault="00000000" w:rsidRPr="00000000" w14:paraId="000000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Caplan, </w:t>
      </w:r>
      <w:r w:rsidDel="00000000" w:rsidR="00000000" w:rsidRPr="00000000">
        <w:rPr>
          <w:i w:val="1"/>
          <w:sz w:val="20"/>
          <w:szCs w:val="20"/>
          <w:rtl w:val="0"/>
        </w:rPr>
        <w:t xml:space="preserve">Understanding Disputes</w:t>
      </w:r>
      <w:r w:rsidDel="00000000" w:rsidR="00000000" w:rsidRPr="00000000">
        <w:rPr>
          <w:sz w:val="20"/>
          <w:szCs w:val="20"/>
          <w:rtl w:val="0"/>
        </w:rPr>
        <w:t xml:space="preserve">, p7</w:t>
      </w:r>
    </w:p>
  </w:footnote>
  <w:footnote w:id="25">
    <w:p w:rsidR="00000000" w:rsidDel="00000000" w:rsidP="00000000" w:rsidRDefault="00000000" w:rsidRPr="00000000" w14:paraId="000000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 Grenier,</w:t>
      </w:r>
      <w:r w:rsidDel="00000000" w:rsidR="00000000" w:rsidRPr="00000000">
        <w:rPr>
          <w:i w:val="1"/>
          <w:sz w:val="20"/>
          <w:szCs w:val="20"/>
          <w:rtl w:val="0"/>
        </w:rPr>
        <w:t xml:space="preserve"> Working with Indigenous Knowledge </w:t>
      </w:r>
      <w:r w:rsidDel="00000000" w:rsidR="00000000" w:rsidRPr="00000000">
        <w:rPr>
          <w:sz w:val="20"/>
          <w:szCs w:val="20"/>
          <w:rtl w:val="0"/>
        </w:rPr>
        <w:t xml:space="preserve">(Ottawa: International Development Research Centre, 1998), p9-10.</w:t>
      </w:r>
    </w:p>
  </w:footnote>
  <w:footnote w:id="26">
    <w:p w:rsidR="00000000" w:rsidDel="00000000" w:rsidP="00000000" w:rsidRDefault="00000000" w:rsidRPr="00000000" w14:paraId="00000092">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J. </w:t>
      </w:r>
      <w:r w:rsidDel="00000000" w:rsidR="00000000" w:rsidRPr="00000000">
        <w:rPr>
          <w:sz w:val="20"/>
          <w:szCs w:val="20"/>
          <w:highlight w:val="white"/>
          <w:rtl w:val="0"/>
        </w:rPr>
        <w:t xml:space="preserve">Dimka, et al. “Pandemics, Past and Present: The Role of Biological Anthropology in Interdisciplinary Pandemic Studies”, </w:t>
      </w:r>
      <w:r w:rsidDel="00000000" w:rsidR="00000000" w:rsidRPr="00000000">
        <w:rPr>
          <w:i w:val="1"/>
          <w:sz w:val="20"/>
          <w:szCs w:val="20"/>
          <w:highlight w:val="white"/>
          <w:rtl w:val="0"/>
        </w:rPr>
        <w:t xml:space="preserve">American Journal of Biological Anthropology</w:t>
      </w:r>
      <w:r w:rsidDel="00000000" w:rsidR="00000000" w:rsidRPr="00000000">
        <w:rPr>
          <w:sz w:val="20"/>
          <w:szCs w:val="20"/>
          <w:highlight w:val="white"/>
          <w:rtl w:val="0"/>
        </w:rPr>
        <w:t xml:space="preserve">, </w:t>
      </w:r>
      <w:r w:rsidDel="00000000" w:rsidR="00000000" w:rsidRPr="00000000">
        <w:rPr>
          <w:i w:val="1"/>
          <w:sz w:val="20"/>
          <w:szCs w:val="20"/>
          <w:highlight w:val="white"/>
          <w:rtl w:val="0"/>
        </w:rPr>
        <w:t xml:space="preserve">178</w:t>
      </w:r>
      <w:r w:rsidDel="00000000" w:rsidR="00000000" w:rsidRPr="00000000">
        <w:rPr>
          <w:sz w:val="20"/>
          <w:szCs w:val="20"/>
          <w:highlight w:val="white"/>
          <w:rtl w:val="0"/>
        </w:rPr>
        <w:t xml:space="preserve">, 2022, pp.256-291.</w:t>
      </w:r>
      <w:r w:rsidDel="00000000" w:rsidR="00000000" w:rsidRPr="00000000">
        <w:rPr>
          <w:rtl w:val="0"/>
        </w:rPr>
      </w:r>
    </w:p>
  </w:footnote>
  <w:footnote w:id="27">
    <w:p w:rsidR="00000000" w:rsidDel="00000000" w:rsidP="00000000" w:rsidRDefault="00000000" w:rsidRPr="00000000" w14:paraId="00000093">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P</w:t>
      </w:r>
      <w:r w:rsidDel="00000000" w:rsidR="00000000" w:rsidRPr="00000000">
        <w:rPr>
          <w:sz w:val="16"/>
          <w:szCs w:val="16"/>
          <w:rtl w:val="0"/>
        </w:rPr>
        <w:t xml:space="preserve">.. </w:t>
      </w:r>
      <w:r w:rsidDel="00000000" w:rsidR="00000000" w:rsidRPr="00000000">
        <w:rPr>
          <w:sz w:val="20"/>
          <w:szCs w:val="20"/>
          <w:highlight w:val="white"/>
          <w:rtl w:val="0"/>
        </w:rPr>
        <w:t xml:space="preserve">Caplan, “Introduction: Anthropology and the Study of Disputes”, In </w:t>
      </w:r>
      <w:r w:rsidDel="00000000" w:rsidR="00000000" w:rsidRPr="00000000">
        <w:rPr>
          <w:i w:val="1"/>
          <w:sz w:val="20"/>
          <w:szCs w:val="20"/>
          <w:highlight w:val="white"/>
          <w:rtl w:val="0"/>
        </w:rPr>
        <w:t xml:space="preserve">Understanding Disputes</w:t>
      </w:r>
      <w:r w:rsidDel="00000000" w:rsidR="00000000" w:rsidRPr="00000000">
        <w:rPr>
          <w:sz w:val="20"/>
          <w:szCs w:val="20"/>
          <w:highlight w:val="white"/>
          <w:rtl w:val="0"/>
        </w:rPr>
        <w:t xml:space="preserve"> (Abingdon: Routledge, 2020), pp1-10.</w:t>
      </w:r>
      <w:r w:rsidDel="00000000" w:rsidR="00000000" w:rsidRPr="00000000">
        <w:rPr>
          <w:rtl w:val="0"/>
        </w:rPr>
      </w:r>
    </w:p>
  </w:footnote>
  <w:footnote w:id="28">
    <w:p w:rsidR="00000000" w:rsidDel="00000000" w:rsidP="00000000" w:rsidRDefault="00000000" w:rsidRPr="00000000" w14:paraId="0000009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L.M.</w:t>
      </w:r>
      <w:r w:rsidDel="00000000" w:rsidR="00000000" w:rsidRPr="00000000">
        <w:rPr>
          <w:sz w:val="20"/>
          <w:szCs w:val="20"/>
          <w:highlight w:val="white"/>
          <w:rtl w:val="0"/>
        </w:rPr>
        <w:t xml:space="preserve">Ahearn, </w:t>
      </w:r>
      <w:r w:rsidDel="00000000" w:rsidR="00000000" w:rsidRPr="00000000">
        <w:rPr>
          <w:i w:val="1"/>
          <w:sz w:val="20"/>
          <w:szCs w:val="20"/>
          <w:highlight w:val="white"/>
          <w:rtl w:val="0"/>
        </w:rPr>
        <w:t xml:space="preserve">Living Language: An Introduction to Linguistic Anthropology</w:t>
      </w:r>
      <w:r w:rsidDel="00000000" w:rsidR="00000000" w:rsidRPr="00000000">
        <w:rPr>
          <w:sz w:val="20"/>
          <w:szCs w:val="20"/>
          <w:highlight w:val="white"/>
          <w:rtl w:val="0"/>
        </w:rPr>
        <w:t xml:space="preserve">. (John Wiley &amp; Sons, 2021), p233.</w:t>
      </w:r>
      <w:r w:rsidDel="00000000" w:rsidR="00000000" w:rsidRPr="00000000">
        <w:rPr>
          <w:rtl w:val="0"/>
        </w:rPr>
      </w:r>
    </w:p>
  </w:footnote>
  <w:footnote w:id="16">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Republic Act No. 8371 | GOVPH, </w:t>
      </w:r>
      <w:hyperlink r:id="rId3">
        <w:r w:rsidDel="00000000" w:rsidR="00000000" w:rsidRPr="00000000">
          <w:rPr>
            <w:color w:val="1155cc"/>
            <w:sz w:val="20"/>
            <w:szCs w:val="20"/>
            <w:u w:val="single"/>
            <w:rtl w:val="0"/>
          </w:rPr>
          <w:t xml:space="preserve">https://faolex.fao.org/docs/pdf/phi13930.pdf</w:t>
        </w:r>
      </w:hyperlink>
      <w:r w:rsidDel="00000000" w:rsidR="00000000" w:rsidRPr="00000000">
        <w:rPr>
          <w:sz w:val="20"/>
          <w:szCs w:val="20"/>
          <w:rtl w:val="0"/>
        </w:rPr>
        <w:t xml:space="preserve"> </w:t>
      </w:r>
    </w:p>
  </w:footnote>
  <w:footnote w:id="14">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Republic Act No. 8371 | GOVPH, </w:t>
      </w:r>
      <w:hyperlink r:id="rId4">
        <w:r w:rsidDel="00000000" w:rsidR="00000000" w:rsidRPr="00000000">
          <w:rPr>
            <w:color w:val="1155cc"/>
            <w:sz w:val="20"/>
            <w:szCs w:val="20"/>
            <w:u w:val="single"/>
            <w:rtl w:val="0"/>
          </w:rPr>
          <w:t xml:space="preserve">https://faolex.fao.org/docs/pdf/phi13930.pdf</w:t>
        </w:r>
      </w:hyperlink>
      <w:r w:rsidDel="00000000" w:rsidR="00000000" w:rsidRPr="00000000">
        <w:rPr>
          <w:sz w:val="20"/>
          <w:szCs w:val="20"/>
          <w:rtl w:val="0"/>
        </w:rPr>
        <w:t xml:space="preserve"> </w:t>
      </w:r>
    </w:p>
  </w:footnote>
  <w:footnote w:id="17">
    <w:p w:rsidR="00000000" w:rsidDel="00000000" w:rsidP="00000000" w:rsidRDefault="00000000" w:rsidRPr="00000000" w14:paraId="00000097">
      <w:pPr>
        <w:keepNext w:val="0"/>
        <w:keepLines w:val="0"/>
        <w:spacing w:before="0" w:line="288"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Kawsak Sacha, Sarayaku, Living Forest,</w:t>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https://kawsaksacha.org/</w:t>
        </w:r>
      </w:hyperlink>
      <w:r w:rsidDel="00000000" w:rsidR="00000000" w:rsidRPr="00000000">
        <w:rPr>
          <w:sz w:val="20"/>
          <w:szCs w:val="20"/>
          <w:rtl w:val="0"/>
        </w:rPr>
        <w:t xml:space="preserve"> </w:t>
      </w:r>
    </w:p>
  </w:footnote>
  <w:footnote w:id="11">
    <w:p w:rsidR="00000000" w:rsidDel="00000000" w:rsidP="00000000" w:rsidRDefault="00000000" w:rsidRPr="00000000" w14:paraId="00000098">
      <w:pPr>
        <w:rPr>
          <w:sz w:val="20"/>
          <w:szCs w:val="20"/>
        </w:rPr>
      </w:pPr>
      <w:r w:rsidDel="00000000" w:rsidR="00000000" w:rsidRPr="00000000">
        <w:rPr>
          <w:rStyle w:val="FootnoteReference"/>
          <w:vertAlign w:val="superscript"/>
        </w:rPr>
        <w:footnoteRef/>
      </w:r>
      <w:r w:rsidDel="00000000" w:rsidR="00000000" w:rsidRPr="00000000">
        <w:rPr>
          <w:rtl w:val="0"/>
        </w:rPr>
        <w:t xml:space="preserve"> Chip, </w:t>
      </w:r>
      <w:r w:rsidDel="00000000" w:rsidR="00000000" w:rsidRPr="00000000">
        <w:rPr>
          <w:sz w:val="20"/>
          <w:szCs w:val="20"/>
          <w:rtl w:val="0"/>
        </w:rPr>
        <w:t xml:space="preserve">Colwell-Chanthaphonh, et al. “The Premise and Promise of Indigenous Archaeology.” </w:t>
      </w:r>
      <w:r w:rsidDel="00000000" w:rsidR="00000000" w:rsidRPr="00000000">
        <w:rPr>
          <w:i w:val="1"/>
          <w:sz w:val="20"/>
          <w:szCs w:val="20"/>
          <w:rtl w:val="0"/>
        </w:rPr>
        <w:t xml:space="preserve">American Antiquity,</w:t>
      </w:r>
      <w:r w:rsidDel="00000000" w:rsidR="00000000" w:rsidRPr="00000000">
        <w:rPr>
          <w:sz w:val="20"/>
          <w:szCs w:val="20"/>
          <w:rtl w:val="0"/>
        </w:rPr>
        <w:t xml:space="preserve"> vol. 75, no. 2, 2010, pp. 228–38. </w:t>
      </w:r>
    </w:p>
  </w:footnote>
  <w:footnote w:id="13">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Fikret </w:t>
      </w:r>
      <w:r w:rsidDel="00000000" w:rsidR="00000000" w:rsidRPr="00000000">
        <w:rPr>
          <w:color w:val="222222"/>
          <w:sz w:val="20"/>
          <w:szCs w:val="20"/>
          <w:highlight w:val="white"/>
          <w:rtl w:val="0"/>
        </w:rPr>
        <w:t xml:space="preserve">Berkes, </w:t>
      </w:r>
      <w:r w:rsidDel="00000000" w:rsidR="00000000" w:rsidRPr="00000000">
        <w:rPr>
          <w:i w:val="1"/>
          <w:color w:val="222222"/>
          <w:sz w:val="20"/>
          <w:szCs w:val="20"/>
          <w:highlight w:val="white"/>
          <w:rtl w:val="0"/>
        </w:rPr>
        <w:t xml:space="preserve">Sacred Ecology</w:t>
      </w:r>
      <w:r w:rsidDel="00000000" w:rsidR="00000000" w:rsidRPr="00000000">
        <w:rPr>
          <w:color w:val="222222"/>
          <w:sz w:val="20"/>
          <w:szCs w:val="20"/>
          <w:highlight w:val="white"/>
          <w:rtl w:val="0"/>
        </w:rPr>
        <w:t xml:space="preserve">. (Abingdon:Routledge, 2017), p15.</w:t>
      </w:r>
      <w:r w:rsidDel="00000000" w:rsidR="00000000" w:rsidRPr="00000000">
        <w:rPr>
          <w:rtl w:val="0"/>
        </w:rPr>
      </w:r>
    </w:p>
  </w:footnote>
  <w:footnote w:id="12">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 Bruchac, “Indigenous Knowledge and Traditional Knowledge”. In Smith, C. (Ed.), </w:t>
      </w:r>
      <w:r w:rsidDel="00000000" w:rsidR="00000000" w:rsidRPr="00000000">
        <w:rPr>
          <w:i w:val="1"/>
          <w:sz w:val="20"/>
          <w:szCs w:val="20"/>
          <w:rtl w:val="0"/>
        </w:rPr>
        <w:t xml:space="preserve">Encyclopedia of Global Archaeology</w:t>
      </w:r>
      <w:r w:rsidDel="00000000" w:rsidR="00000000" w:rsidRPr="00000000">
        <w:rPr>
          <w:sz w:val="20"/>
          <w:szCs w:val="20"/>
          <w:rtl w:val="0"/>
        </w:rPr>
        <w:t xml:space="preserve">, (New York: Springer, 2014), pp3814-3824. </w:t>
      </w:r>
    </w:p>
  </w:footnote>
  <w:footnote w:id="20">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 Rise Together”, 2018 Available at </w:t>
      </w:r>
      <w:hyperlink r:id="rId6">
        <w:r w:rsidDel="00000000" w:rsidR="00000000" w:rsidRPr="00000000">
          <w:rPr>
            <w:color w:val="1155cc"/>
            <w:sz w:val="20"/>
            <w:szCs w:val="20"/>
            <w:u w:val="single"/>
            <w:rtl w:val="0"/>
          </w:rPr>
          <w:t xml:space="preserve">http://www.conservation2020canada.ca/home</w:t>
        </w:r>
      </w:hyperlink>
      <w:r w:rsidDel="00000000" w:rsidR="00000000" w:rsidRPr="00000000">
        <w:rPr>
          <w:sz w:val="20"/>
          <w:szCs w:val="20"/>
          <w:rtl w:val="0"/>
        </w:rPr>
        <w:t xml:space="preserve"> </w:t>
      </w:r>
    </w:p>
  </w:footnote>
  <w:footnote w:id="18">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Harry, Sanabria, The Anthropology of Latin America and the Caribbean, ( London:Routledge, 2007).</w:t>
      </w:r>
    </w:p>
  </w:footnote>
  <w:footnote w:id="19">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color w:val="373d3f"/>
          <w:sz w:val="20"/>
          <w:szCs w:val="20"/>
          <w:highlight w:val="white"/>
          <w:rtl w:val="0"/>
        </w:rPr>
        <w:t xml:space="preserve">J.</w:t>
      </w:r>
      <w:r w:rsidDel="00000000" w:rsidR="00000000" w:rsidRPr="00000000">
        <w:rPr>
          <w:sz w:val="20"/>
          <w:szCs w:val="20"/>
          <w:rtl w:val="0"/>
        </w:rPr>
        <w:t xml:space="preserve"> </w:t>
      </w:r>
      <w:r w:rsidDel="00000000" w:rsidR="00000000" w:rsidRPr="00000000">
        <w:rPr>
          <w:color w:val="373d3f"/>
          <w:sz w:val="20"/>
          <w:szCs w:val="20"/>
          <w:highlight w:val="white"/>
          <w:rtl w:val="0"/>
        </w:rPr>
        <w:t xml:space="preserve">Felicity ,Native Indian leadership. </w:t>
      </w:r>
      <w:r w:rsidDel="00000000" w:rsidR="00000000" w:rsidRPr="00000000">
        <w:rPr>
          <w:i w:val="1"/>
          <w:color w:val="373d3f"/>
          <w:sz w:val="20"/>
          <w:szCs w:val="20"/>
          <w:highlight w:val="white"/>
          <w:rtl w:val="0"/>
        </w:rPr>
        <w:t xml:space="preserve">Canadian Journal of Native Education, 23</w:t>
      </w:r>
      <w:r w:rsidDel="00000000" w:rsidR="00000000" w:rsidRPr="00000000">
        <w:rPr>
          <w:color w:val="373d3f"/>
          <w:sz w:val="20"/>
          <w:szCs w:val="20"/>
          <w:highlight w:val="white"/>
          <w:rtl w:val="0"/>
        </w:rPr>
        <w:t xml:space="preserve">(1), (1999). pp40–57.</w:t>
      </w:r>
      <w:r w:rsidDel="00000000" w:rsidR="00000000" w:rsidRPr="00000000">
        <w:rPr>
          <w:rtl w:val="0"/>
        </w:rPr>
      </w:r>
    </w:p>
  </w:footnote>
  <w:footnote w:id="21">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“State of the World's Indigenous Peoples”. Kenya, UN, 2009.</w:t>
      </w:r>
    </w:p>
  </w:footnote>
  <w:footnote w:id="22">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 </w:t>
      </w:r>
      <w:r w:rsidDel="00000000" w:rsidR="00000000" w:rsidRPr="00000000">
        <w:rPr>
          <w:sz w:val="20"/>
          <w:szCs w:val="20"/>
          <w:rtl w:val="0"/>
        </w:rPr>
        <w:t xml:space="preserve">Yong, “Understanding Cultural Diversity and Economic Prosperity in Europe: a Literature Review and Proposal of a Culture–Economy Framework”. </w:t>
      </w:r>
      <w:r w:rsidDel="00000000" w:rsidR="00000000" w:rsidRPr="00000000">
        <w:rPr>
          <w:i w:val="1"/>
          <w:sz w:val="20"/>
          <w:szCs w:val="20"/>
          <w:rtl w:val="0"/>
        </w:rPr>
        <w:t xml:space="preserve">Asian j. Ger. Eur. stud.</w:t>
      </w:r>
      <w:r w:rsidDel="00000000" w:rsidR="00000000" w:rsidRPr="00000000">
        <w:rPr>
          <w:sz w:val="20"/>
          <w:szCs w:val="20"/>
          <w:rtl w:val="0"/>
        </w:rPr>
        <w:t xml:space="preserve"> 4, 5 (2019). </w:t>
      </w:r>
      <w:r w:rsidDel="00000000" w:rsidR="00000000" w:rsidRPr="00000000">
        <w:rPr>
          <w:rtl w:val="0"/>
        </w:rPr>
      </w:r>
    </w:p>
  </w:footnote>
  <w:footnote w:id="23">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Masaquiza Jerez, “Challenges and Opportunities”, p4.</w:t>
      </w:r>
    </w:p>
  </w:footnote>
  <w:footnote w:id="30">
    <w:p w:rsidR="00000000" w:rsidDel="00000000" w:rsidP="00000000" w:rsidRDefault="00000000" w:rsidRPr="00000000" w14:paraId="000000A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N.J.</w:t>
      </w:r>
      <w:r w:rsidDel="00000000" w:rsidR="00000000" w:rsidRPr="00000000">
        <w:rPr>
          <w:color w:val="1c1d1e"/>
          <w:sz w:val="19"/>
          <w:szCs w:val="19"/>
          <w:rtl w:val="0"/>
        </w:rPr>
        <w:t xml:space="preserve">Turner, </w:t>
      </w:r>
      <w:r w:rsidDel="00000000" w:rsidR="00000000" w:rsidRPr="00000000">
        <w:rPr>
          <w:i w:val="1"/>
          <w:color w:val="1c1d1e"/>
          <w:sz w:val="19"/>
          <w:szCs w:val="19"/>
          <w:rtl w:val="0"/>
        </w:rPr>
        <w:t xml:space="preserve">Plants, People, and Places: The Roles of Ethnobotany and Ethnoecology in Indigenous Peoples' Land Rights in Canada and Beyond</w:t>
      </w:r>
      <w:r w:rsidDel="00000000" w:rsidR="00000000" w:rsidRPr="00000000">
        <w:rPr>
          <w:color w:val="1c1d1e"/>
          <w:sz w:val="19"/>
          <w:szCs w:val="19"/>
          <w:rtl w:val="0"/>
        </w:rPr>
        <w:t xml:space="preserve">. (Montreal: McGill-Queen's University Press, 2020).</w:t>
      </w:r>
      <w:r w:rsidDel="00000000" w:rsidR="00000000" w:rsidRPr="00000000">
        <w:rPr>
          <w:rtl w:val="0"/>
        </w:rPr>
      </w:r>
    </w:p>
  </w:footnote>
  <w:footnote w:id="29">
    <w:p w:rsidR="00000000" w:rsidDel="00000000" w:rsidP="00000000" w:rsidRDefault="00000000" w:rsidRPr="00000000" w14:paraId="000000A2">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E.S. </w:t>
      </w:r>
      <w:r w:rsidDel="00000000" w:rsidR="00000000" w:rsidRPr="00000000">
        <w:rPr>
          <w:sz w:val="20"/>
          <w:szCs w:val="20"/>
          <w:highlight w:val="white"/>
          <w:rtl w:val="0"/>
        </w:rPr>
        <w:t xml:space="preserve">Rice, </w:t>
      </w:r>
      <w:r w:rsidDel="00000000" w:rsidR="00000000" w:rsidRPr="00000000">
        <w:rPr>
          <w:i w:val="1"/>
          <w:sz w:val="20"/>
          <w:szCs w:val="20"/>
          <w:highlight w:val="white"/>
          <w:rtl w:val="0"/>
        </w:rPr>
        <w:t xml:space="preserve">et al.</w:t>
      </w:r>
      <w:r w:rsidDel="00000000" w:rsidR="00000000" w:rsidRPr="00000000">
        <w:rPr>
          <w:sz w:val="20"/>
          <w:szCs w:val="20"/>
          <w:highlight w:val="white"/>
          <w:rtl w:val="0"/>
        </w:rPr>
        <w:t xml:space="preserve"> “Social Media and Digital Technology Use Among Indigenous Young People in Australia: a Literature Review. </w:t>
      </w:r>
      <w:r w:rsidDel="00000000" w:rsidR="00000000" w:rsidRPr="00000000">
        <w:rPr>
          <w:i w:val="1"/>
          <w:sz w:val="20"/>
          <w:szCs w:val="20"/>
          <w:highlight w:val="white"/>
          <w:rtl w:val="0"/>
        </w:rPr>
        <w:t xml:space="preserve">Int J Equity Health</w:t>
      </w:r>
      <w:r w:rsidDel="00000000" w:rsidR="00000000" w:rsidRPr="00000000">
        <w:rPr>
          <w:sz w:val="20"/>
          <w:szCs w:val="20"/>
          <w:highlight w:val="white"/>
          <w:rtl w:val="0"/>
        </w:rPr>
        <w:t xml:space="preserve"> 15, 81 (2016). </w:t>
      </w:r>
      <w:r w:rsidDel="00000000" w:rsidR="00000000" w:rsidRPr="00000000">
        <w:rPr>
          <w:rtl w:val="0"/>
        </w:rPr>
      </w:r>
    </w:p>
  </w:footnote>
  <w:footnote w:id="31">
    <w:p w:rsidR="00000000" w:rsidDel="00000000" w:rsidP="00000000" w:rsidRDefault="00000000" w:rsidRPr="00000000" w14:paraId="000000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Masaquiza Jerez, “Challenges and Opportunities”,p3.</w:t>
      </w:r>
    </w:p>
  </w:footnote>
  <w:footnote w:id="32">
    <w:p w:rsidR="00000000" w:rsidDel="00000000" w:rsidP="00000000" w:rsidRDefault="00000000" w:rsidRPr="00000000" w14:paraId="000000A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Sophie, Chao, In</w:t>
      </w:r>
      <w:r w:rsidDel="00000000" w:rsidR="00000000" w:rsidRPr="00000000">
        <w:rPr>
          <w:i w:val="1"/>
          <w:sz w:val="20"/>
          <w:szCs w:val="20"/>
          <w:rtl w:val="0"/>
        </w:rPr>
        <w:t xml:space="preserve"> the Shadow of the Palms: More-Than-Human Becomings in West Papua </w:t>
      </w:r>
      <w:r w:rsidDel="00000000" w:rsidR="00000000" w:rsidRPr="00000000">
        <w:rPr>
          <w:sz w:val="20"/>
          <w:szCs w:val="20"/>
          <w:rtl w:val="0"/>
        </w:rPr>
        <w:t xml:space="preserve">(North Carolina: Duke University Press, 2022), p250.</w:t>
      </w:r>
    </w:p>
  </w:footnote>
  <w:footnote w:id="33">
    <w:p w:rsidR="00000000" w:rsidDel="00000000" w:rsidP="00000000" w:rsidRDefault="00000000" w:rsidRPr="00000000" w14:paraId="000000A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Keller, ed., </w:t>
      </w:r>
      <w:r w:rsidDel="00000000" w:rsidR="00000000" w:rsidRPr="00000000">
        <w:rPr>
          <w:i w:val="1"/>
          <w:sz w:val="20"/>
          <w:szCs w:val="20"/>
          <w:rtl w:val="0"/>
        </w:rPr>
        <w:t xml:space="preserve">Amazonia and Climate Change</w:t>
      </w:r>
      <w:r w:rsidDel="00000000" w:rsidR="00000000" w:rsidRPr="00000000">
        <w:rPr>
          <w:sz w:val="20"/>
          <w:szCs w:val="20"/>
          <w:rtl w:val="0"/>
        </w:rPr>
        <w:t xml:space="preserve"> (New Jersey: Wiley Blackwell, 2013), p232-252.</w:t>
      </w:r>
    </w:p>
  </w:footnote>
  <w:footnote w:id="34">
    <w:p w:rsidR="00000000" w:rsidDel="00000000" w:rsidP="00000000" w:rsidRDefault="00000000" w:rsidRPr="00000000" w14:paraId="000000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Robert T. Watson, ed.,</w:t>
      </w:r>
      <w:r w:rsidDel="00000000" w:rsidR="00000000" w:rsidRPr="00000000">
        <w:rPr>
          <w:i w:val="1"/>
          <w:sz w:val="20"/>
          <w:szCs w:val="20"/>
          <w:rtl w:val="0"/>
        </w:rPr>
        <w:t xml:space="preserve">The Regional Impacts of Climate Change: An Assessment of Vulnerability </w:t>
      </w:r>
      <w:r w:rsidDel="00000000" w:rsidR="00000000" w:rsidRPr="00000000">
        <w:rPr>
          <w:sz w:val="20"/>
          <w:szCs w:val="20"/>
          <w:rtl w:val="0"/>
        </w:rPr>
        <w:t xml:space="preserve">(Cambridge: Cambridge University Press), p125.</w:t>
      </w:r>
    </w:p>
  </w:footnote>
  <w:footnote w:id="35">
    <w:p w:rsidR="00000000" w:rsidDel="00000000" w:rsidP="00000000" w:rsidRDefault="00000000" w:rsidRPr="00000000" w14:paraId="000000A7">
      <w:pPr>
        <w:spacing w:line="240" w:lineRule="auto"/>
        <w:rPr>
          <w:sz w:val="20"/>
          <w:szCs w:val="20"/>
        </w:rPr>
      </w:pPr>
      <w:r w:rsidDel="00000000" w:rsidR="00000000" w:rsidRPr="00000000">
        <w:rPr>
          <w:rStyle w:val="FootnoteReference"/>
          <w:vertAlign w:val="superscript"/>
        </w:rPr>
        <w:footnoteRef/>
      </w:r>
      <w:r w:rsidDel="00000000" w:rsidR="00000000" w:rsidRPr="00000000">
        <w:rPr>
          <w:color w:val="212121"/>
          <w:sz w:val="20"/>
          <w:szCs w:val="20"/>
          <w:highlight w:val="white"/>
          <w:rtl w:val="0"/>
        </w:rPr>
        <w:t xml:space="preserve"> Fulvio </w:t>
      </w:r>
      <w:r w:rsidDel="00000000" w:rsidR="00000000" w:rsidRPr="00000000">
        <w:rPr>
          <w:color w:val="212121"/>
          <w:sz w:val="20"/>
          <w:szCs w:val="20"/>
          <w:highlight w:val="white"/>
          <w:rtl w:val="0"/>
        </w:rPr>
        <w:t xml:space="preserve">Mazzocchi. “Western Science and Traditional Knowledge. Despite their Variations, Different Forms of Knowledge Can learn From Each Other.” </w:t>
      </w:r>
      <w:r w:rsidDel="00000000" w:rsidR="00000000" w:rsidRPr="00000000">
        <w:rPr>
          <w:i w:val="1"/>
          <w:color w:val="212121"/>
          <w:sz w:val="20"/>
          <w:szCs w:val="20"/>
          <w:highlight w:val="white"/>
          <w:rtl w:val="0"/>
        </w:rPr>
        <w:t xml:space="preserve">EMBO Reports</w:t>
      </w:r>
      <w:r w:rsidDel="00000000" w:rsidR="00000000" w:rsidRPr="00000000">
        <w:rPr>
          <w:color w:val="212121"/>
          <w:sz w:val="20"/>
          <w:szCs w:val="20"/>
          <w:highlight w:val="white"/>
          <w:rtl w:val="0"/>
        </w:rPr>
        <w:t xml:space="preserve"> vol. 7,5 (2006): pp463-6. </w:t>
      </w:r>
      <w:r w:rsidDel="00000000" w:rsidR="00000000" w:rsidRPr="00000000">
        <w:rPr>
          <w:rtl w:val="0"/>
        </w:rPr>
      </w:r>
    </w:p>
  </w:footnote>
  <w:footnote w:id="36">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Tim Everett, “Economic Growth and the Environment”, </w:t>
      </w:r>
      <w:r w:rsidDel="00000000" w:rsidR="00000000" w:rsidRPr="00000000">
        <w:rPr>
          <w:i w:val="1"/>
          <w:sz w:val="20"/>
          <w:szCs w:val="20"/>
          <w:rtl w:val="0"/>
        </w:rPr>
        <w:t xml:space="preserve">Defra Evidence and Analysts Series </w:t>
      </w:r>
      <w:r w:rsidDel="00000000" w:rsidR="00000000" w:rsidRPr="00000000">
        <w:rPr>
          <w:sz w:val="20"/>
          <w:szCs w:val="20"/>
          <w:rtl w:val="0"/>
        </w:rPr>
        <w:t xml:space="preserve">Paper 2, March 2010, p7.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http://www.conservation2020canada.ca/home" TargetMode="External"/><Relationship Id="rId9" Type="http://schemas.openxmlformats.org/officeDocument/2006/relationships/hyperlink" Target="https://ethnobiology.org/about-ethnobiology/what-is-ethnobiology"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kawsaksacha.org/" TargetMode="External"/><Relationship Id="rId8" Type="http://schemas.openxmlformats.org/officeDocument/2006/relationships/hyperlink" Target="https://faolex.fao.org/docs/pdf/phi13930.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news.harvard.edu/gazette/story/1998/10/amartya-k-sen-wins-1998-nobel-prize-in-economics/" TargetMode="External"/><Relationship Id="rId2" Type="http://schemas.openxmlformats.org/officeDocument/2006/relationships/hyperlink" Target="https://ethnobiology.org/about-ethnobiology/what-is-ethnobiology" TargetMode="External"/><Relationship Id="rId3" Type="http://schemas.openxmlformats.org/officeDocument/2006/relationships/hyperlink" Target="https://faolex.fao.org/docs/pdf/phi13930.pdf" TargetMode="External"/><Relationship Id="rId4" Type="http://schemas.openxmlformats.org/officeDocument/2006/relationships/hyperlink" Target="https://faolex.fao.org/docs/pdf/phi13930.pdf" TargetMode="External"/><Relationship Id="rId5" Type="http://schemas.openxmlformats.org/officeDocument/2006/relationships/hyperlink" Target="https://kawsaksacha.org/" TargetMode="External"/><Relationship Id="rId6" Type="http://schemas.openxmlformats.org/officeDocument/2006/relationships/hyperlink" Target="http://www.conservation2020canada.ca/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