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9AD7B" w14:textId="1AB1A80B" w:rsidR="008F2C36" w:rsidRPr="00DD5ACF" w:rsidRDefault="008F2C36">
      <w:pPr>
        <w:rPr>
          <w:rFonts w:ascii="Arial" w:hAnsi="Arial" w:cs="Arial"/>
          <w:i/>
          <w:iCs/>
          <w:color w:val="0D0D0D"/>
          <w:shd w:val="clear" w:color="auto" w:fill="FFFFFF"/>
        </w:rPr>
      </w:pPr>
      <w:r w:rsidRPr="00DD5ACF">
        <w:rPr>
          <w:rFonts w:ascii="Arial" w:hAnsi="Arial" w:cs="Arial"/>
          <w:i/>
          <w:iCs/>
          <w:color w:val="0D0D0D"/>
          <w:shd w:val="clear" w:color="auto" w:fill="FFFFFF"/>
        </w:rPr>
        <w:t>"Exploring the Socio-Economic Dynamics of Trade Networks in the Ancient Red Sea Region: An Analysis of Indigenous Populations' Influence during the 1st to 3rd Centuries"</w:t>
      </w:r>
    </w:p>
    <w:p w14:paraId="5001E0D6" w14:textId="77777777" w:rsidR="00B60908" w:rsidRPr="00DD5ACF" w:rsidRDefault="00B60908">
      <w:pPr>
        <w:rPr>
          <w:rFonts w:ascii="Arial" w:hAnsi="Arial" w:cs="Arial"/>
          <w:i/>
          <w:iCs/>
          <w:color w:val="0D0D0D"/>
          <w:shd w:val="clear" w:color="auto" w:fill="FFFFFF"/>
        </w:rPr>
      </w:pPr>
    </w:p>
    <w:p w14:paraId="3F02CE36" w14:textId="4775C95F" w:rsidR="00B60908" w:rsidRPr="00DD5ACF" w:rsidRDefault="00B60908" w:rsidP="00A72E4A">
      <w:pPr>
        <w:spacing w:line="360" w:lineRule="auto"/>
        <w:rPr>
          <w:rFonts w:ascii="Arial" w:hAnsi="Arial" w:cs="Arial"/>
          <w:color w:val="0D0D0D"/>
          <w:shd w:val="clear" w:color="auto" w:fill="FFFFFF"/>
        </w:rPr>
      </w:pPr>
      <w:r w:rsidRPr="00DD5ACF">
        <w:rPr>
          <w:rFonts w:ascii="Arial" w:hAnsi="Arial" w:cs="Arial"/>
          <w:color w:val="0D0D0D"/>
          <w:shd w:val="clear" w:color="auto" w:fill="FFFFFF"/>
        </w:rPr>
        <w:t>Introduction</w:t>
      </w:r>
    </w:p>
    <w:p w14:paraId="7A1B1A31" w14:textId="77777777" w:rsidR="00B60908" w:rsidRPr="00DD5ACF" w:rsidRDefault="00B60908" w:rsidP="00A72E4A">
      <w:pPr>
        <w:spacing w:line="360" w:lineRule="auto"/>
        <w:rPr>
          <w:rFonts w:ascii="Arial" w:hAnsi="Arial" w:cs="Arial"/>
          <w:i/>
          <w:iCs/>
          <w:color w:val="0D0D0D"/>
          <w:shd w:val="clear" w:color="auto" w:fill="FFFFFF"/>
        </w:rPr>
      </w:pPr>
    </w:p>
    <w:p w14:paraId="3E12ED29" w14:textId="53136082" w:rsidR="009B7FC9" w:rsidRPr="00DD5ACF" w:rsidRDefault="00FA14DC" w:rsidP="00A72E4A">
      <w:pPr>
        <w:spacing w:line="360" w:lineRule="auto"/>
        <w:rPr>
          <w:rFonts w:ascii="Arial" w:hAnsi="Arial" w:cs="Arial"/>
          <w:lang w:val="en-US"/>
        </w:rPr>
      </w:pPr>
      <w:r w:rsidRPr="00DD5ACF">
        <w:rPr>
          <w:rFonts w:ascii="Arial" w:hAnsi="Arial" w:cs="Arial"/>
          <w:lang w:val="en-US"/>
        </w:rPr>
        <w:t xml:space="preserve">The Eastern </w:t>
      </w:r>
      <w:r w:rsidR="007A3C00" w:rsidRPr="00DD5ACF">
        <w:rPr>
          <w:rFonts w:ascii="Arial" w:hAnsi="Arial" w:cs="Arial"/>
          <w:lang w:val="en-US"/>
        </w:rPr>
        <w:t>Desert,</w:t>
      </w:r>
      <w:r w:rsidRPr="00DD5ACF">
        <w:rPr>
          <w:rFonts w:ascii="Arial" w:hAnsi="Arial" w:cs="Arial"/>
          <w:lang w:val="en-US"/>
        </w:rPr>
        <w:t xml:space="preserve"> </w:t>
      </w:r>
      <w:r w:rsidR="007A3C00" w:rsidRPr="00DD5ACF">
        <w:rPr>
          <w:rFonts w:ascii="Arial" w:hAnsi="Arial" w:cs="Arial"/>
          <w:lang w:val="en-US"/>
        </w:rPr>
        <w:t>which is on the border of</w:t>
      </w:r>
      <w:r w:rsidRPr="00DD5ACF">
        <w:rPr>
          <w:rFonts w:ascii="Arial" w:hAnsi="Arial" w:cs="Arial"/>
          <w:lang w:val="en-US"/>
        </w:rPr>
        <w:t xml:space="preserve"> the Roman Empire, emerged as a site of interaction between the Roman military and a number of indigenous populations throughout antiquity. </w:t>
      </w:r>
      <w:r w:rsidR="00A43620" w:rsidRPr="00DD5ACF">
        <w:rPr>
          <w:rFonts w:ascii="Arial" w:hAnsi="Arial" w:cs="Arial"/>
          <w:lang w:val="en-US"/>
        </w:rPr>
        <w:t>To understand</w:t>
      </w:r>
      <w:r w:rsidR="001C0B11" w:rsidRPr="00DD5ACF">
        <w:rPr>
          <w:rFonts w:ascii="Arial" w:hAnsi="Arial" w:cs="Arial"/>
          <w:lang w:val="en-US"/>
        </w:rPr>
        <w:t xml:space="preserve"> the interactions between the Roman military and the native communities of the Eastern Desert can be tricky due to limited and biased evidence</w:t>
      </w:r>
      <w:r w:rsidR="00D973B7" w:rsidRPr="00DD5ACF">
        <w:rPr>
          <w:rFonts w:ascii="Arial" w:hAnsi="Arial" w:cs="Arial"/>
          <w:lang w:val="en-US"/>
        </w:rPr>
        <w:t>,</w:t>
      </w:r>
      <w:r w:rsidR="00F572EE" w:rsidRPr="00DD5ACF">
        <w:rPr>
          <w:rFonts w:ascii="Arial" w:hAnsi="Arial" w:cs="Arial"/>
          <w:lang w:val="en-US"/>
        </w:rPr>
        <w:t xml:space="preserve"> based on an outside Graeco-Roman perspective</w:t>
      </w:r>
      <w:r w:rsidR="00D973B7" w:rsidRPr="00DD5ACF">
        <w:rPr>
          <w:rFonts w:ascii="Arial" w:hAnsi="Arial" w:cs="Arial"/>
          <w:lang w:val="en-US"/>
        </w:rPr>
        <w:t>,</w:t>
      </w:r>
      <w:r w:rsidR="00F572EE" w:rsidRPr="00DD5ACF">
        <w:rPr>
          <w:rFonts w:ascii="Arial" w:hAnsi="Arial" w:cs="Arial"/>
          <w:lang w:val="en-US"/>
        </w:rPr>
        <w:t xml:space="preserve"> taking into consideration the conditions to the South of the Egyptian frontier, near Upper Nubia.</w:t>
      </w:r>
      <w:r w:rsidR="00F572EE" w:rsidRPr="00DD5ACF">
        <w:rPr>
          <w:rStyle w:val="FootnoteReference"/>
          <w:rFonts w:ascii="Arial" w:hAnsi="Arial" w:cs="Arial"/>
          <w:lang w:val="en-US"/>
        </w:rPr>
        <w:footnoteReference w:id="1"/>
      </w:r>
      <w:r w:rsidR="001C0B11" w:rsidRPr="00DD5ACF">
        <w:rPr>
          <w:rFonts w:ascii="Arial" w:hAnsi="Arial" w:cs="Arial"/>
          <w:lang w:val="en-US"/>
        </w:rPr>
        <w:t xml:space="preserve"> Most of what we know about their </w:t>
      </w:r>
      <w:r w:rsidR="00DD013C" w:rsidRPr="00DD5ACF">
        <w:rPr>
          <w:rFonts w:ascii="Arial" w:hAnsi="Arial" w:cs="Arial"/>
          <w:lang w:val="en-US"/>
        </w:rPr>
        <w:t>exchanges</w:t>
      </w:r>
      <w:r w:rsidR="001C0B11" w:rsidRPr="00DD5ACF">
        <w:rPr>
          <w:rFonts w:ascii="Arial" w:hAnsi="Arial" w:cs="Arial"/>
          <w:lang w:val="en-US"/>
        </w:rPr>
        <w:t xml:space="preserve"> come from Graeco-Roman writings and inscriptions,</w:t>
      </w:r>
      <w:r w:rsidR="00F572EE" w:rsidRPr="00DD5ACF">
        <w:rPr>
          <w:rFonts w:ascii="Arial" w:hAnsi="Arial" w:cs="Arial"/>
          <w:lang w:val="en-US"/>
        </w:rPr>
        <w:t xml:space="preserve"> of already translated Ancient languages,</w:t>
      </w:r>
      <w:r w:rsidR="001C0B11" w:rsidRPr="00DD5ACF">
        <w:rPr>
          <w:rFonts w:ascii="Arial" w:hAnsi="Arial" w:cs="Arial"/>
          <w:lang w:val="en-US"/>
        </w:rPr>
        <w:t xml:space="preserve"> with a focus on the Blemmyes from late antiquity.</w:t>
      </w:r>
      <w:r w:rsidR="00F572EE" w:rsidRPr="00DD5ACF">
        <w:rPr>
          <w:rStyle w:val="FootnoteReference"/>
          <w:rFonts w:ascii="Arial" w:hAnsi="Arial" w:cs="Arial"/>
          <w:lang w:val="en-US"/>
        </w:rPr>
        <w:footnoteReference w:id="2"/>
      </w:r>
      <w:r w:rsidR="001C0B11" w:rsidRPr="00DD5ACF">
        <w:rPr>
          <w:rFonts w:ascii="Arial" w:hAnsi="Arial" w:cs="Arial"/>
          <w:lang w:val="en-US"/>
        </w:rPr>
        <w:t xml:space="preserve"> Most descriptions of them come from outside perspectives, often </w:t>
      </w:r>
      <w:r w:rsidR="009B7FC9" w:rsidRPr="00DD5ACF">
        <w:rPr>
          <w:rFonts w:ascii="Arial" w:hAnsi="Arial" w:cs="Arial"/>
          <w:lang w:val="en-US"/>
        </w:rPr>
        <w:t xml:space="preserve">categorizing them based </w:t>
      </w:r>
      <w:r w:rsidR="007A3C00" w:rsidRPr="00DD5ACF">
        <w:rPr>
          <w:rFonts w:ascii="Arial" w:hAnsi="Arial" w:cs="Arial"/>
          <w:lang w:val="en-US"/>
        </w:rPr>
        <w:t>on unusual or exotic traits or characteristics.</w:t>
      </w:r>
      <w:r w:rsidR="00F459E5" w:rsidRPr="00DD5ACF">
        <w:rPr>
          <w:rStyle w:val="FootnoteReference"/>
          <w:rFonts w:ascii="Arial" w:hAnsi="Arial" w:cs="Arial"/>
          <w:lang w:val="en-US"/>
        </w:rPr>
        <w:footnoteReference w:id="3"/>
      </w:r>
      <w:r w:rsidR="007A3C00" w:rsidRPr="00DD5ACF">
        <w:rPr>
          <w:rFonts w:ascii="Arial" w:hAnsi="Arial" w:cs="Arial"/>
          <w:lang w:val="en-US"/>
        </w:rPr>
        <w:t xml:space="preserve"> </w:t>
      </w:r>
      <w:r w:rsidR="009B7FC9" w:rsidRPr="00DD5ACF">
        <w:rPr>
          <w:rFonts w:ascii="Arial" w:hAnsi="Arial" w:cs="Arial"/>
          <w:lang w:val="en-US"/>
        </w:rPr>
        <w:t xml:space="preserve">This labelling, while not inaccurate, fails to capture how complex the </w:t>
      </w:r>
      <w:r w:rsidR="00D973B7" w:rsidRPr="00DD5ACF">
        <w:rPr>
          <w:rFonts w:ascii="Arial" w:hAnsi="Arial" w:cs="Arial"/>
          <w:lang w:val="en-US"/>
        </w:rPr>
        <w:t>indigenous people</w:t>
      </w:r>
      <w:r w:rsidR="009B7FC9" w:rsidRPr="00DD5ACF">
        <w:rPr>
          <w:rFonts w:ascii="Arial" w:hAnsi="Arial" w:cs="Arial"/>
          <w:lang w:val="en-US"/>
        </w:rPr>
        <w:t xml:space="preserve"> were. </w:t>
      </w:r>
      <w:r w:rsidR="00E3567A">
        <w:rPr>
          <w:rFonts w:ascii="Arial" w:hAnsi="Arial" w:cs="Arial"/>
          <w:lang w:val="en-US"/>
        </w:rPr>
        <w:t>Derogatory t</w:t>
      </w:r>
      <w:r w:rsidR="009B7FC9" w:rsidRPr="00DD5ACF">
        <w:rPr>
          <w:rFonts w:ascii="Arial" w:hAnsi="Arial" w:cs="Arial"/>
          <w:lang w:val="en-US"/>
        </w:rPr>
        <w:t xml:space="preserve">erms like </w:t>
      </w:r>
      <w:proofErr w:type="spellStart"/>
      <w:r w:rsidR="009B7FC9" w:rsidRPr="00DD5ACF">
        <w:rPr>
          <w:rFonts w:ascii="Arial" w:hAnsi="Arial" w:cs="Arial"/>
          <w:i/>
          <w:iCs/>
          <w:lang w:val="en-US"/>
        </w:rPr>
        <w:t>Trogodytes</w:t>
      </w:r>
      <w:proofErr w:type="spellEnd"/>
      <w:r w:rsidR="009B7FC9" w:rsidRPr="00DD5ACF">
        <w:rPr>
          <w:rFonts w:ascii="Arial" w:hAnsi="Arial" w:cs="Arial"/>
          <w:i/>
          <w:iCs/>
          <w:lang w:val="en-US"/>
        </w:rPr>
        <w:t xml:space="preserve"> and </w:t>
      </w:r>
      <w:proofErr w:type="spellStart"/>
      <w:r w:rsidR="009B7FC9" w:rsidRPr="00DD5ACF">
        <w:rPr>
          <w:rFonts w:ascii="Arial" w:hAnsi="Arial" w:cs="Arial"/>
          <w:i/>
          <w:iCs/>
          <w:lang w:val="en-US"/>
        </w:rPr>
        <w:t>barboroi</w:t>
      </w:r>
      <w:proofErr w:type="spellEnd"/>
      <w:r w:rsidR="009B7FC9" w:rsidRPr="00DD5ACF">
        <w:rPr>
          <w:rFonts w:ascii="Arial" w:hAnsi="Arial" w:cs="Arial"/>
          <w:lang w:val="en-US"/>
        </w:rPr>
        <w:t xml:space="preserve">, were used to describe people living in the Eastern </w:t>
      </w:r>
      <w:r w:rsidR="00A5196B" w:rsidRPr="00DD5ACF">
        <w:rPr>
          <w:rFonts w:ascii="Arial" w:hAnsi="Arial" w:cs="Arial"/>
          <w:lang w:val="en-US"/>
        </w:rPr>
        <w:t>D</w:t>
      </w:r>
      <w:r w:rsidR="009B7FC9" w:rsidRPr="00DD5ACF">
        <w:rPr>
          <w:rFonts w:ascii="Arial" w:hAnsi="Arial" w:cs="Arial"/>
          <w:lang w:val="en-US"/>
        </w:rPr>
        <w:t>esert.</w:t>
      </w:r>
      <w:r w:rsidR="00F459E5" w:rsidRPr="00DD5ACF">
        <w:rPr>
          <w:rStyle w:val="FootnoteReference"/>
          <w:rFonts w:ascii="Arial" w:hAnsi="Arial" w:cs="Arial"/>
          <w:lang w:val="en-US"/>
        </w:rPr>
        <w:footnoteReference w:id="4"/>
      </w:r>
    </w:p>
    <w:p w14:paraId="03EFA17E" w14:textId="77777777" w:rsidR="00A72E4A" w:rsidRDefault="00A72E4A" w:rsidP="00A72E4A">
      <w:pPr>
        <w:spacing w:line="360" w:lineRule="auto"/>
        <w:rPr>
          <w:rFonts w:ascii="Arial" w:hAnsi="Arial" w:cs="Arial"/>
          <w:lang w:val="en-US"/>
        </w:rPr>
      </w:pPr>
    </w:p>
    <w:p w14:paraId="45346F7B" w14:textId="77777777" w:rsidR="00A72E4A" w:rsidRDefault="00A72E4A" w:rsidP="00A72E4A">
      <w:pPr>
        <w:spacing w:line="360" w:lineRule="auto"/>
        <w:rPr>
          <w:rFonts w:ascii="Arial" w:hAnsi="Arial" w:cs="Arial"/>
          <w:lang w:val="en-US"/>
        </w:rPr>
      </w:pPr>
    </w:p>
    <w:p w14:paraId="784929F8" w14:textId="77777777" w:rsidR="00A72E4A" w:rsidRDefault="00A72E4A" w:rsidP="00A72E4A">
      <w:pPr>
        <w:spacing w:line="360" w:lineRule="auto"/>
        <w:rPr>
          <w:rFonts w:ascii="Arial" w:hAnsi="Arial" w:cs="Arial"/>
          <w:lang w:val="en-US"/>
        </w:rPr>
      </w:pPr>
    </w:p>
    <w:p w14:paraId="77978722" w14:textId="77777777" w:rsidR="00A72E4A" w:rsidRDefault="00A72E4A" w:rsidP="00A72E4A">
      <w:pPr>
        <w:spacing w:line="360" w:lineRule="auto"/>
        <w:rPr>
          <w:rFonts w:ascii="Arial" w:hAnsi="Arial" w:cs="Arial"/>
          <w:lang w:val="en-US"/>
        </w:rPr>
      </w:pPr>
    </w:p>
    <w:p w14:paraId="78A9B2A8" w14:textId="29DBFD77" w:rsidR="00B60908" w:rsidRPr="00DD5ACF" w:rsidRDefault="00B60908" w:rsidP="00A72E4A">
      <w:pPr>
        <w:spacing w:line="360" w:lineRule="auto"/>
        <w:rPr>
          <w:rFonts w:ascii="Arial" w:hAnsi="Arial" w:cs="Arial"/>
          <w:lang w:val="en-US"/>
        </w:rPr>
      </w:pPr>
      <w:r w:rsidRPr="00DD5ACF">
        <w:rPr>
          <w:rFonts w:ascii="Arial" w:hAnsi="Arial" w:cs="Arial"/>
          <w:lang w:val="en-US"/>
        </w:rPr>
        <w:lastRenderedPageBreak/>
        <w:t>Roman Perspectives</w:t>
      </w:r>
      <w:r w:rsidR="00E116A6" w:rsidRPr="00DD5ACF">
        <w:rPr>
          <w:rFonts w:ascii="Arial" w:hAnsi="Arial" w:cs="Arial"/>
          <w:lang w:val="en-US"/>
        </w:rPr>
        <w:t xml:space="preserve"> of </w:t>
      </w:r>
      <w:r w:rsidRPr="00DD5ACF">
        <w:rPr>
          <w:rFonts w:ascii="Arial" w:hAnsi="Arial" w:cs="Arial"/>
          <w:lang w:val="en-US"/>
        </w:rPr>
        <w:t xml:space="preserve">Indigenous Identities </w:t>
      </w:r>
    </w:p>
    <w:p w14:paraId="6219A220" w14:textId="77777777" w:rsidR="00B60908" w:rsidRPr="00DD5ACF" w:rsidRDefault="00B60908" w:rsidP="00A72E4A">
      <w:pPr>
        <w:spacing w:line="360" w:lineRule="auto"/>
        <w:rPr>
          <w:rFonts w:ascii="Arial" w:hAnsi="Arial" w:cs="Arial"/>
          <w:lang w:val="en-US"/>
        </w:rPr>
      </w:pPr>
    </w:p>
    <w:p w14:paraId="5E4BE080" w14:textId="60821761" w:rsidR="00C90C16" w:rsidRPr="00DD5ACF" w:rsidRDefault="009B7FC9" w:rsidP="00A72E4A">
      <w:pPr>
        <w:spacing w:line="360" w:lineRule="auto"/>
        <w:rPr>
          <w:rFonts w:ascii="Arial" w:hAnsi="Arial" w:cs="Arial"/>
          <w:lang w:val="en-US"/>
        </w:rPr>
      </w:pPr>
      <w:r w:rsidRPr="00DD5ACF">
        <w:rPr>
          <w:rFonts w:ascii="Arial" w:hAnsi="Arial" w:cs="Arial"/>
          <w:lang w:val="en-US"/>
        </w:rPr>
        <w:t>It is likely that this Roman labelling of these outside communities was speculation</w:t>
      </w:r>
      <w:r w:rsidR="00F258DF" w:rsidRPr="00DD5ACF">
        <w:rPr>
          <w:rFonts w:ascii="Arial" w:hAnsi="Arial" w:cs="Arial"/>
          <w:lang w:val="en-US"/>
        </w:rPr>
        <w:t>, based on the indigenous being warlike and stereotyped as attackers of the vulnerable- a clear example of Roman ‘othering’</w:t>
      </w:r>
      <w:r w:rsidRPr="00DD5ACF">
        <w:rPr>
          <w:rFonts w:ascii="Arial" w:hAnsi="Arial" w:cs="Arial"/>
          <w:lang w:val="en-US"/>
        </w:rPr>
        <w:t>.</w:t>
      </w:r>
      <w:r w:rsidR="00F258DF" w:rsidRPr="00DD5ACF">
        <w:rPr>
          <w:rStyle w:val="FootnoteReference"/>
          <w:rFonts w:ascii="Arial" w:hAnsi="Arial" w:cs="Arial"/>
          <w:lang w:val="en-US"/>
        </w:rPr>
        <w:footnoteReference w:id="5"/>
      </w:r>
      <w:r w:rsidRPr="00DD5ACF">
        <w:rPr>
          <w:rFonts w:ascii="Arial" w:hAnsi="Arial" w:cs="Arial"/>
          <w:lang w:val="en-US"/>
        </w:rPr>
        <w:t xml:space="preserve"> The idea that such a vast region of inhabitants of the Eastern </w:t>
      </w:r>
      <w:r w:rsidR="00DD013C" w:rsidRPr="00DD5ACF">
        <w:rPr>
          <w:rFonts w:ascii="Arial" w:hAnsi="Arial" w:cs="Arial"/>
          <w:lang w:val="en-US"/>
        </w:rPr>
        <w:t>D</w:t>
      </w:r>
      <w:r w:rsidRPr="00DD5ACF">
        <w:rPr>
          <w:rFonts w:ascii="Arial" w:hAnsi="Arial" w:cs="Arial"/>
          <w:lang w:val="en-US"/>
        </w:rPr>
        <w:t>esert share the same characteristics and cultural identities is doubtful.</w:t>
      </w:r>
      <w:r w:rsidR="00401FBF">
        <w:rPr>
          <w:rStyle w:val="FootnoteReference"/>
          <w:rFonts w:ascii="Arial" w:hAnsi="Arial" w:cs="Arial"/>
          <w:lang w:val="en-US"/>
        </w:rPr>
        <w:footnoteReference w:id="6"/>
      </w:r>
      <w:r w:rsidRPr="00DD5ACF">
        <w:rPr>
          <w:rFonts w:ascii="Arial" w:hAnsi="Arial" w:cs="Arial"/>
          <w:lang w:val="en-US"/>
        </w:rPr>
        <w:t xml:space="preserve"> </w:t>
      </w:r>
      <w:r w:rsidR="001C0B11" w:rsidRPr="00DD5ACF">
        <w:rPr>
          <w:rFonts w:ascii="Arial" w:hAnsi="Arial" w:cs="Arial"/>
          <w:lang w:val="en-US"/>
        </w:rPr>
        <w:t xml:space="preserve"> </w:t>
      </w:r>
      <w:r w:rsidRPr="00DD5ACF">
        <w:rPr>
          <w:rFonts w:ascii="Arial" w:hAnsi="Arial" w:cs="Arial"/>
          <w:lang w:val="en-US"/>
        </w:rPr>
        <w:t>Ancient texts recognize how diverse the regions inhabitants were, mentioning various subgroups of individuals.</w:t>
      </w:r>
      <w:r w:rsidR="00F258DF" w:rsidRPr="00DD5ACF">
        <w:rPr>
          <w:rStyle w:val="FootnoteReference"/>
          <w:rFonts w:ascii="Arial" w:hAnsi="Arial" w:cs="Arial"/>
          <w:lang w:val="en-US"/>
        </w:rPr>
        <w:footnoteReference w:id="7"/>
      </w:r>
      <w:r w:rsidRPr="00DD5ACF">
        <w:rPr>
          <w:rFonts w:ascii="Arial" w:hAnsi="Arial" w:cs="Arial"/>
          <w:lang w:val="en-US"/>
        </w:rPr>
        <w:t xml:space="preserve"> Pliny’s descriptions of the </w:t>
      </w:r>
      <w:r w:rsidR="00716C87" w:rsidRPr="00DD5ACF">
        <w:rPr>
          <w:rFonts w:ascii="Arial" w:hAnsi="Arial" w:cs="Arial"/>
          <w:lang w:val="en-US"/>
        </w:rPr>
        <w:t xml:space="preserve">native communities shows how different they were. He lists the </w:t>
      </w:r>
      <w:proofErr w:type="spellStart"/>
      <w:r w:rsidR="00716C87" w:rsidRPr="00DD5ACF">
        <w:rPr>
          <w:rFonts w:ascii="Arial" w:hAnsi="Arial" w:cs="Arial"/>
          <w:lang w:val="en-US"/>
        </w:rPr>
        <w:t>Autaei</w:t>
      </w:r>
      <w:proofErr w:type="spellEnd"/>
      <w:r w:rsidR="00716C87" w:rsidRPr="00DD5ACF">
        <w:rPr>
          <w:rFonts w:ascii="Arial" w:hAnsi="Arial" w:cs="Arial"/>
          <w:lang w:val="en-US"/>
        </w:rPr>
        <w:t xml:space="preserve">, </w:t>
      </w:r>
      <w:proofErr w:type="spellStart"/>
      <w:r w:rsidR="00716C87" w:rsidRPr="00DD5ACF">
        <w:rPr>
          <w:rFonts w:ascii="Arial" w:hAnsi="Arial" w:cs="Arial"/>
          <w:lang w:val="en-US"/>
        </w:rPr>
        <w:t>Gebadaei</w:t>
      </w:r>
      <w:proofErr w:type="spellEnd"/>
      <w:r w:rsidR="00716C87" w:rsidRPr="00DD5ACF">
        <w:rPr>
          <w:rFonts w:ascii="Arial" w:hAnsi="Arial" w:cs="Arial"/>
          <w:lang w:val="en-US"/>
        </w:rPr>
        <w:t xml:space="preserve">, and the </w:t>
      </w:r>
      <w:proofErr w:type="spellStart"/>
      <w:r w:rsidR="00716C87" w:rsidRPr="00DD5ACF">
        <w:rPr>
          <w:rFonts w:ascii="Arial" w:hAnsi="Arial" w:cs="Arial"/>
          <w:lang w:val="en-US"/>
        </w:rPr>
        <w:t>Asarri</w:t>
      </w:r>
      <w:proofErr w:type="spellEnd"/>
      <w:r w:rsidR="00716C87" w:rsidRPr="00DD5ACF">
        <w:rPr>
          <w:rFonts w:ascii="Arial" w:hAnsi="Arial" w:cs="Arial"/>
          <w:lang w:val="en-US"/>
        </w:rPr>
        <w:t xml:space="preserve">, who were known to have intermarried with the </w:t>
      </w:r>
      <w:proofErr w:type="spellStart"/>
      <w:r w:rsidR="00716C87" w:rsidRPr="00DD5ACF">
        <w:rPr>
          <w:rFonts w:ascii="Arial" w:hAnsi="Arial" w:cs="Arial"/>
          <w:lang w:val="en-US"/>
        </w:rPr>
        <w:t>Trogodytes</w:t>
      </w:r>
      <w:proofErr w:type="spellEnd"/>
      <w:r w:rsidR="00716C87" w:rsidRPr="00DD5ACF">
        <w:rPr>
          <w:rFonts w:ascii="Arial" w:hAnsi="Arial" w:cs="Arial"/>
          <w:lang w:val="en-US"/>
        </w:rPr>
        <w:t>.</w:t>
      </w:r>
      <w:r w:rsidR="00511FA4" w:rsidRPr="00DD5ACF">
        <w:rPr>
          <w:rStyle w:val="FootnoteReference"/>
          <w:rFonts w:ascii="Arial" w:hAnsi="Arial" w:cs="Arial"/>
          <w:lang w:val="en-US"/>
        </w:rPr>
        <w:footnoteReference w:id="8"/>
      </w:r>
      <w:r w:rsidR="00716C87" w:rsidRPr="00DD5ACF">
        <w:rPr>
          <w:rFonts w:ascii="Arial" w:hAnsi="Arial" w:cs="Arial"/>
          <w:lang w:val="en-US"/>
        </w:rPr>
        <w:t xml:space="preserve"> Although </w:t>
      </w:r>
      <w:r w:rsidR="00DD013C" w:rsidRPr="00DD5ACF">
        <w:rPr>
          <w:rFonts w:ascii="Arial" w:hAnsi="Arial" w:cs="Arial"/>
          <w:lang w:val="en-US"/>
        </w:rPr>
        <w:t>h</w:t>
      </w:r>
      <w:r w:rsidR="00716C87" w:rsidRPr="00DD5ACF">
        <w:rPr>
          <w:rFonts w:ascii="Arial" w:hAnsi="Arial" w:cs="Arial"/>
          <w:lang w:val="en-US"/>
        </w:rPr>
        <w:t xml:space="preserve">istoriography often treats the </w:t>
      </w:r>
      <w:proofErr w:type="spellStart"/>
      <w:r w:rsidR="00716C87" w:rsidRPr="00DD5ACF">
        <w:rPr>
          <w:rFonts w:ascii="Arial" w:hAnsi="Arial" w:cs="Arial"/>
          <w:lang w:val="en-US"/>
        </w:rPr>
        <w:t>Trogodytes</w:t>
      </w:r>
      <w:proofErr w:type="spellEnd"/>
      <w:r w:rsidR="00716C87" w:rsidRPr="00DD5ACF">
        <w:rPr>
          <w:rFonts w:ascii="Arial" w:hAnsi="Arial" w:cs="Arial"/>
          <w:lang w:val="en-US"/>
        </w:rPr>
        <w:t xml:space="preserve"> as unified group, the </w:t>
      </w:r>
      <w:proofErr w:type="spellStart"/>
      <w:r w:rsidR="00716C87" w:rsidRPr="00DD5ACF">
        <w:rPr>
          <w:rFonts w:ascii="Arial" w:hAnsi="Arial" w:cs="Arial"/>
          <w:lang w:val="en-US"/>
        </w:rPr>
        <w:t>ostrakon</w:t>
      </w:r>
      <w:proofErr w:type="spellEnd"/>
      <w:r w:rsidR="00716C87" w:rsidRPr="00DD5ACF">
        <w:rPr>
          <w:rFonts w:ascii="Arial" w:hAnsi="Arial" w:cs="Arial"/>
          <w:lang w:val="en-US"/>
        </w:rPr>
        <w:t xml:space="preserve"> hints at possible subdivisions like the </w:t>
      </w:r>
      <w:proofErr w:type="spellStart"/>
      <w:r w:rsidR="00716C87" w:rsidRPr="00DD5ACF">
        <w:rPr>
          <w:rFonts w:ascii="Arial" w:hAnsi="Arial" w:cs="Arial"/>
          <w:lang w:val="en-US"/>
        </w:rPr>
        <w:t>Abylloi</w:t>
      </w:r>
      <w:proofErr w:type="spellEnd"/>
      <w:r w:rsidR="00716C87" w:rsidRPr="00DD5ACF">
        <w:rPr>
          <w:rFonts w:ascii="Arial" w:hAnsi="Arial" w:cs="Arial"/>
          <w:lang w:val="en-US"/>
        </w:rPr>
        <w:t xml:space="preserve"> and </w:t>
      </w:r>
      <w:proofErr w:type="spellStart"/>
      <w:r w:rsidR="00716C87" w:rsidRPr="00DD5ACF">
        <w:rPr>
          <w:rFonts w:ascii="Arial" w:hAnsi="Arial" w:cs="Arial"/>
          <w:lang w:val="en-US"/>
        </w:rPr>
        <w:t>Bolgioi</w:t>
      </w:r>
      <w:proofErr w:type="spellEnd"/>
      <w:r w:rsidR="00716C87" w:rsidRPr="00DD5ACF">
        <w:rPr>
          <w:rFonts w:ascii="Arial" w:hAnsi="Arial" w:cs="Arial"/>
          <w:lang w:val="en-US"/>
        </w:rPr>
        <w:t xml:space="preserve">. Pliny suggests that the </w:t>
      </w:r>
      <w:proofErr w:type="spellStart"/>
      <w:r w:rsidR="00716C87" w:rsidRPr="00DD5ACF">
        <w:rPr>
          <w:rFonts w:ascii="Arial" w:hAnsi="Arial" w:cs="Arial"/>
          <w:lang w:val="en-US"/>
        </w:rPr>
        <w:t>Asarri</w:t>
      </w:r>
      <w:proofErr w:type="spellEnd"/>
      <w:r w:rsidR="00716C87" w:rsidRPr="00DD5ACF">
        <w:rPr>
          <w:rFonts w:ascii="Arial" w:hAnsi="Arial" w:cs="Arial"/>
          <w:lang w:val="en-US"/>
        </w:rPr>
        <w:t xml:space="preserve"> lived within the regions near Mons </w:t>
      </w:r>
      <w:proofErr w:type="spellStart"/>
      <w:r w:rsidR="00716C87" w:rsidRPr="00DD5ACF">
        <w:rPr>
          <w:rFonts w:ascii="Arial" w:hAnsi="Arial" w:cs="Arial"/>
          <w:lang w:val="en-US"/>
        </w:rPr>
        <w:t>Claudianus</w:t>
      </w:r>
      <w:proofErr w:type="spellEnd"/>
      <w:r w:rsidR="00716C87" w:rsidRPr="00DD5ACF">
        <w:rPr>
          <w:rFonts w:ascii="Arial" w:hAnsi="Arial" w:cs="Arial"/>
          <w:lang w:val="en-US"/>
        </w:rPr>
        <w:t xml:space="preserve"> and Umm </w:t>
      </w:r>
      <w:proofErr w:type="spellStart"/>
      <w:r w:rsidR="00716C87" w:rsidRPr="00DD5ACF">
        <w:rPr>
          <w:rFonts w:ascii="Arial" w:hAnsi="Arial" w:cs="Arial"/>
          <w:lang w:val="en-US"/>
        </w:rPr>
        <w:t>Balad</w:t>
      </w:r>
      <w:proofErr w:type="spellEnd"/>
      <w:r w:rsidR="00716C87" w:rsidRPr="00DD5ACF">
        <w:rPr>
          <w:rFonts w:ascii="Arial" w:hAnsi="Arial" w:cs="Arial"/>
          <w:lang w:val="en-US"/>
        </w:rPr>
        <w:t xml:space="preserve">, describing them as Arabs who </w:t>
      </w:r>
      <w:r w:rsidR="004A43AC" w:rsidRPr="00DD5ACF">
        <w:rPr>
          <w:rFonts w:ascii="Arial" w:hAnsi="Arial" w:cs="Arial"/>
          <w:lang w:val="en-US"/>
        </w:rPr>
        <w:t>integrated</w:t>
      </w:r>
      <w:r w:rsidR="00716C87" w:rsidRPr="00DD5ACF">
        <w:rPr>
          <w:rFonts w:ascii="Arial" w:hAnsi="Arial" w:cs="Arial"/>
          <w:lang w:val="en-US"/>
        </w:rPr>
        <w:t xml:space="preserve"> with the </w:t>
      </w:r>
      <w:proofErr w:type="spellStart"/>
      <w:r w:rsidR="00716C87" w:rsidRPr="00DD5ACF">
        <w:rPr>
          <w:rFonts w:ascii="Arial" w:hAnsi="Arial" w:cs="Arial"/>
          <w:lang w:val="en-US"/>
        </w:rPr>
        <w:t>Trogodytes</w:t>
      </w:r>
      <w:proofErr w:type="spellEnd"/>
      <w:r w:rsidR="00716C87" w:rsidRPr="00DD5ACF">
        <w:rPr>
          <w:rFonts w:ascii="Arial" w:hAnsi="Arial" w:cs="Arial"/>
          <w:lang w:val="en-US"/>
        </w:rPr>
        <w:t>, indic</w:t>
      </w:r>
      <w:r w:rsidR="00C90C16" w:rsidRPr="00DD5ACF">
        <w:rPr>
          <w:rFonts w:ascii="Arial" w:hAnsi="Arial" w:cs="Arial"/>
          <w:lang w:val="en-US"/>
        </w:rPr>
        <w:t>a</w:t>
      </w:r>
      <w:r w:rsidR="00716C87" w:rsidRPr="00DD5ACF">
        <w:rPr>
          <w:rFonts w:ascii="Arial" w:hAnsi="Arial" w:cs="Arial"/>
          <w:lang w:val="en-US"/>
        </w:rPr>
        <w:t>ting distinct ethnic backgrounds.</w:t>
      </w:r>
      <w:r w:rsidR="00F258DF" w:rsidRPr="00DD5ACF">
        <w:rPr>
          <w:rStyle w:val="FootnoteReference"/>
          <w:rFonts w:ascii="Arial" w:hAnsi="Arial" w:cs="Arial"/>
          <w:lang w:val="en-US"/>
        </w:rPr>
        <w:footnoteReference w:id="9"/>
      </w:r>
      <w:r w:rsidR="00716C87" w:rsidRPr="00DD5ACF">
        <w:rPr>
          <w:rFonts w:ascii="Arial" w:hAnsi="Arial" w:cs="Arial"/>
          <w:lang w:val="en-US"/>
        </w:rPr>
        <w:t xml:space="preserve"> </w:t>
      </w:r>
      <w:r w:rsidR="00F258DF" w:rsidRPr="00DD5ACF">
        <w:rPr>
          <w:rFonts w:ascii="Arial" w:hAnsi="Arial" w:cs="Arial"/>
          <w:lang w:val="en-US"/>
        </w:rPr>
        <w:t xml:space="preserve">Support for this is found in Ptolemy’s </w:t>
      </w:r>
      <w:proofErr w:type="spellStart"/>
      <w:r w:rsidR="00F258DF" w:rsidRPr="00DD5ACF">
        <w:rPr>
          <w:rFonts w:ascii="Arial" w:hAnsi="Arial" w:cs="Arial"/>
          <w:i/>
          <w:iCs/>
          <w:lang w:val="en-US"/>
        </w:rPr>
        <w:t>Geographica</w:t>
      </w:r>
      <w:proofErr w:type="spellEnd"/>
      <w:r w:rsidR="00F258DF" w:rsidRPr="00DD5ACF">
        <w:rPr>
          <w:rFonts w:ascii="Arial" w:hAnsi="Arial" w:cs="Arial"/>
          <w:i/>
          <w:iCs/>
          <w:lang w:val="en-US"/>
        </w:rPr>
        <w:t xml:space="preserve">, </w:t>
      </w:r>
      <w:r w:rsidR="00F258DF" w:rsidRPr="00DD5ACF">
        <w:rPr>
          <w:rFonts w:ascii="Arial" w:hAnsi="Arial" w:cs="Arial"/>
          <w:lang w:val="en-US"/>
        </w:rPr>
        <w:t xml:space="preserve">where the Blemmyes are placed together with the </w:t>
      </w:r>
      <w:proofErr w:type="spellStart"/>
      <w:r w:rsidR="00F258DF" w:rsidRPr="00DD5ACF">
        <w:rPr>
          <w:rFonts w:ascii="Arial" w:hAnsi="Arial" w:cs="Arial"/>
          <w:lang w:val="en-US"/>
        </w:rPr>
        <w:t>Megabaroi</w:t>
      </w:r>
      <w:proofErr w:type="spellEnd"/>
      <w:r w:rsidR="00F258DF" w:rsidRPr="00DD5ACF">
        <w:rPr>
          <w:rFonts w:ascii="Arial" w:hAnsi="Arial" w:cs="Arial"/>
          <w:lang w:val="en-US"/>
        </w:rPr>
        <w:t xml:space="preserve"> and </w:t>
      </w:r>
      <w:proofErr w:type="spellStart"/>
      <w:r w:rsidR="00F258DF" w:rsidRPr="00DD5ACF">
        <w:rPr>
          <w:rFonts w:ascii="Arial" w:hAnsi="Arial" w:cs="Arial"/>
          <w:lang w:val="en-US"/>
        </w:rPr>
        <w:t>Noubai</w:t>
      </w:r>
      <w:proofErr w:type="spellEnd"/>
      <w:r w:rsidR="00F258DF" w:rsidRPr="00DD5ACF">
        <w:rPr>
          <w:rFonts w:ascii="Arial" w:hAnsi="Arial" w:cs="Arial"/>
          <w:lang w:val="en-US"/>
        </w:rPr>
        <w:t>, to the East to the Nile towards the South.</w:t>
      </w:r>
      <w:r w:rsidR="00F258DF" w:rsidRPr="00DD5ACF">
        <w:rPr>
          <w:rStyle w:val="FootnoteReference"/>
          <w:rFonts w:ascii="Arial" w:hAnsi="Arial" w:cs="Arial"/>
          <w:lang w:val="en-US"/>
        </w:rPr>
        <w:footnoteReference w:id="10"/>
      </w:r>
      <w:r w:rsidR="00F258DF" w:rsidRPr="00DD5ACF">
        <w:rPr>
          <w:rFonts w:ascii="Arial" w:hAnsi="Arial" w:cs="Arial"/>
          <w:lang w:val="en-US"/>
        </w:rPr>
        <w:t xml:space="preserve"> We</w:t>
      </w:r>
      <w:r w:rsidR="00562E65" w:rsidRPr="00DD5ACF">
        <w:rPr>
          <w:rFonts w:ascii="Arial" w:hAnsi="Arial" w:cs="Arial"/>
          <w:lang w:val="en-US"/>
        </w:rPr>
        <w:t xml:space="preserve"> should then avoid stereotyping and categorizing these indigenous communities as “homogenous” indigenous civilization’s in the Eastern Desert over an extended period of time, instead it is very likely they were</w:t>
      </w:r>
      <w:r w:rsidR="00B400A1" w:rsidRPr="00DD5ACF">
        <w:rPr>
          <w:rFonts w:ascii="Arial" w:hAnsi="Arial" w:cs="Arial"/>
          <w:lang w:val="en-US"/>
        </w:rPr>
        <w:t xml:space="preserve"> migrating for cultural, economic, and social purposes</w:t>
      </w:r>
      <w:r w:rsidR="00C5272B" w:rsidRPr="00DD5ACF">
        <w:rPr>
          <w:rFonts w:ascii="Arial" w:hAnsi="Arial" w:cs="Arial"/>
          <w:lang w:val="en-US"/>
        </w:rPr>
        <w:t xml:space="preserve">, and they intermarried, and lived in cross-cultural exchanges. </w:t>
      </w:r>
    </w:p>
    <w:p w14:paraId="652EB9FD" w14:textId="52A3D048" w:rsidR="00DD013C" w:rsidRPr="00DD5ACF" w:rsidRDefault="00716C87" w:rsidP="00A72E4A">
      <w:pPr>
        <w:spacing w:line="360" w:lineRule="auto"/>
        <w:rPr>
          <w:rFonts w:ascii="Arial" w:hAnsi="Arial" w:cs="Arial"/>
          <w:lang w:val="en-US"/>
        </w:rPr>
      </w:pPr>
      <w:r w:rsidRPr="00DD5ACF">
        <w:rPr>
          <w:rFonts w:ascii="Arial" w:hAnsi="Arial" w:cs="Arial"/>
          <w:lang w:val="en-US"/>
        </w:rPr>
        <w:t xml:space="preserve">However, the assertions regarding their territories may stem from earlier Hellenistic records, such as those of </w:t>
      </w:r>
      <w:proofErr w:type="spellStart"/>
      <w:r w:rsidRPr="00DD5ACF">
        <w:rPr>
          <w:rFonts w:ascii="Arial" w:hAnsi="Arial" w:cs="Arial"/>
          <w:lang w:val="en-US"/>
        </w:rPr>
        <w:t>Agatharkhides</w:t>
      </w:r>
      <w:proofErr w:type="spellEnd"/>
      <w:r w:rsidRPr="00DD5ACF">
        <w:rPr>
          <w:rFonts w:ascii="Arial" w:hAnsi="Arial" w:cs="Arial"/>
          <w:lang w:val="en-US"/>
        </w:rPr>
        <w:t>, which might be</w:t>
      </w:r>
      <w:r w:rsidR="004A43AC" w:rsidRPr="00DD5ACF">
        <w:rPr>
          <w:rFonts w:ascii="Arial" w:hAnsi="Arial" w:cs="Arial"/>
          <w:lang w:val="en-US"/>
        </w:rPr>
        <w:t xml:space="preserve"> less reliable.</w:t>
      </w:r>
      <w:r w:rsidR="000D4652" w:rsidRPr="00DD5ACF">
        <w:rPr>
          <w:rStyle w:val="FootnoteReference"/>
          <w:rFonts w:ascii="Arial" w:hAnsi="Arial" w:cs="Arial"/>
          <w:lang w:val="en-US"/>
        </w:rPr>
        <w:footnoteReference w:id="11"/>
      </w:r>
      <w:r w:rsidR="004A43AC" w:rsidRPr="00DD5ACF">
        <w:rPr>
          <w:rFonts w:ascii="Arial" w:hAnsi="Arial" w:cs="Arial"/>
          <w:lang w:val="en-US"/>
        </w:rPr>
        <w:t xml:space="preserve"> Accounts of the Blemmyes are from the late antique period</w:t>
      </w:r>
      <w:r w:rsidR="000D4652" w:rsidRPr="00DD5ACF">
        <w:rPr>
          <w:rFonts w:ascii="Arial" w:hAnsi="Arial" w:cs="Arial"/>
          <w:lang w:val="en-US"/>
        </w:rPr>
        <w:t xml:space="preserve"> 4</w:t>
      </w:r>
      <w:r w:rsidR="000D4652" w:rsidRPr="00DD5ACF">
        <w:rPr>
          <w:rFonts w:ascii="Arial" w:hAnsi="Arial" w:cs="Arial"/>
          <w:vertAlign w:val="superscript"/>
          <w:lang w:val="en-US"/>
        </w:rPr>
        <w:t>th</w:t>
      </w:r>
      <w:r w:rsidR="000D4652" w:rsidRPr="00DD5ACF">
        <w:rPr>
          <w:rFonts w:ascii="Arial" w:hAnsi="Arial" w:cs="Arial"/>
          <w:lang w:val="en-US"/>
        </w:rPr>
        <w:t xml:space="preserve"> to 5</w:t>
      </w:r>
      <w:r w:rsidR="000D4652" w:rsidRPr="00DD5ACF">
        <w:rPr>
          <w:rFonts w:ascii="Arial" w:hAnsi="Arial" w:cs="Arial"/>
          <w:vertAlign w:val="superscript"/>
          <w:lang w:val="en-US"/>
        </w:rPr>
        <w:t>th</w:t>
      </w:r>
      <w:r w:rsidR="000D4652" w:rsidRPr="00DD5ACF">
        <w:rPr>
          <w:rFonts w:ascii="Arial" w:hAnsi="Arial" w:cs="Arial"/>
          <w:lang w:val="en-US"/>
        </w:rPr>
        <w:t xml:space="preserve"> century</w:t>
      </w:r>
      <w:r w:rsidR="004A43AC" w:rsidRPr="00DD5ACF">
        <w:rPr>
          <w:rFonts w:ascii="Arial" w:hAnsi="Arial" w:cs="Arial"/>
          <w:lang w:val="en-US"/>
        </w:rPr>
        <w:t xml:space="preserve">, and often are linked to the Nile Valley in Lower Nubia, instead of </w:t>
      </w:r>
      <w:r w:rsidR="00C90C16" w:rsidRPr="00DD5ACF">
        <w:rPr>
          <w:rFonts w:ascii="Arial" w:hAnsi="Arial" w:cs="Arial"/>
          <w:lang w:val="en-US"/>
        </w:rPr>
        <w:t>the Eastern Desert.</w:t>
      </w:r>
      <w:r w:rsidR="000D4652" w:rsidRPr="00DD5ACF">
        <w:rPr>
          <w:rStyle w:val="FootnoteReference"/>
          <w:rFonts w:ascii="Arial" w:hAnsi="Arial" w:cs="Arial"/>
          <w:lang w:val="en-US"/>
        </w:rPr>
        <w:footnoteReference w:id="12"/>
      </w:r>
      <w:r w:rsidR="00C90C16" w:rsidRPr="00DD5ACF">
        <w:rPr>
          <w:rFonts w:ascii="Arial" w:hAnsi="Arial" w:cs="Arial"/>
          <w:lang w:val="en-US"/>
        </w:rPr>
        <w:t xml:space="preserve"> It is suggested that because </w:t>
      </w:r>
      <w:r w:rsidR="00C90C16" w:rsidRPr="00DD5ACF">
        <w:rPr>
          <w:rFonts w:ascii="Arial" w:hAnsi="Arial" w:cs="Arial"/>
          <w:lang w:val="en-US"/>
        </w:rPr>
        <w:lastRenderedPageBreak/>
        <w:t>of the third century crisis, and into the fourth century, Rome stationed its military elsewhere outside of the Eastern Desert.</w:t>
      </w:r>
      <w:r w:rsidR="00401FBF">
        <w:rPr>
          <w:rFonts w:ascii="Arial" w:hAnsi="Arial" w:cs="Arial"/>
          <w:lang w:val="en-US"/>
        </w:rPr>
        <w:t xml:space="preserve"> </w:t>
      </w:r>
      <w:r w:rsidR="00C90C16" w:rsidRPr="00DD5ACF">
        <w:rPr>
          <w:rFonts w:ascii="Arial" w:hAnsi="Arial" w:cs="Arial"/>
          <w:lang w:val="en-US"/>
        </w:rPr>
        <w:t>The Blemmyes</w:t>
      </w:r>
      <w:r w:rsidR="00401FBF">
        <w:rPr>
          <w:rFonts w:ascii="Arial" w:hAnsi="Arial" w:cs="Arial"/>
          <w:lang w:val="en-US"/>
        </w:rPr>
        <w:t xml:space="preserve"> </w:t>
      </w:r>
      <w:r w:rsidR="00C90C16" w:rsidRPr="00DD5ACF">
        <w:rPr>
          <w:rFonts w:ascii="Arial" w:hAnsi="Arial" w:cs="Arial"/>
          <w:lang w:val="en-US"/>
        </w:rPr>
        <w:t xml:space="preserve">migrated to small </w:t>
      </w:r>
      <w:r w:rsidR="00DD013C" w:rsidRPr="00DD5ACF">
        <w:rPr>
          <w:rFonts w:ascii="Arial" w:hAnsi="Arial" w:cs="Arial"/>
          <w:lang w:val="en-US"/>
        </w:rPr>
        <w:t>settlements and</w:t>
      </w:r>
      <w:r w:rsidR="00C90C16" w:rsidRPr="00DD5ACF">
        <w:rPr>
          <w:rFonts w:ascii="Arial" w:hAnsi="Arial" w:cs="Arial"/>
          <w:lang w:val="en-US"/>
        </w:rPr>
        <w:t xml:space="preserve"> engaged in raiding endeavours in Upper Egypt before retreating back into the Eastern Desert and Lower Nubia, around the fifth century.</w:t>
      </w:r>
      <w:r w:rsidR="00401FBF">
        <w:rPr>
          <w:rStyle w:val="FootnoteReference"/>
          <w:rFonts w:ascii="Arial" w:hAnsi="Arial" w:cs="Arial"/>
          <w:lang w:val="en-US"/>
        </w:rPr>
        <w:footnoteReference w:id="13"/>
      </w:r>
      <w:r w:rsidR="00C90C16" w:rsidRPr="00DD5ACF">
        <w:rPr>
          <w:rFonts w:ascii="Arial" w:hAnsi="Arial" w:cs="Arial"/>
          <w:lang w:val="en-US"/>
        </w:rPr>
        <w:t xml:space="preserve"> Dijkstra argues that these communities were a diverse ethnic group, including pastoral nomads in contact with settled communities and Roman </w:t>
      </w:r>
      <w:proofErr w:type="spellStart"/>
      <w:r w:rsidR="00C90C16" w:rsidRPr="00DD5ACF">
        <w:rPr>
          <w:rFonts w:ascii="Arial" w:hAnsi="Arial" w:cs="Arial"/>
          <w:lang w:val="en-US"/>
        </w:rPr>
        <w:t>praetorum</w:t>
      </w:r>
      <w:proofErr w:type="spellEnd"/>
      <w:r w:rsidR="00C90C16" w:rsidRPr="00DD5ACF">
        <w:rPr>
          <w:rFonts w:ascii="Arial" w:hAnsi="Arial" w:cs="Arial"/>
          <w:lang w:val="en-US"/>
        </w:rPr>
        <w:t xml:space="preserve"> and forts.</w:t>
      </w:r>
      <w:r w:rsidR="001C28CC">
        <w:rPr>
          <w:rStyle w:val="FootnoteReference"/>
          <w:rFonts w:ascii="Arial" w:hAnsi="Arial" w:cs="Arial"/>
          <w:lang w:val="en-US"/>
        </w:rPr>
        <w:footnoteReference w:id="14"/>
      </w:r>
      <w:r w:rsidR="00C90C16" w:rsidRPr="00DD5ACF">
        <w:rPr>
          <w:rFonts w:ascii="Arial" w:hAnsi="Arial" w:cs="Arial"/>
          <w:lang w:val="en-US"/>
        </w:rPr>
        <w:t xml:space="preserve"> </w:t>
      </w:r>
      <w:r w:rsidR="00935BCF" w:rsidRPr="00DD5ACF">
        <w:rPr>
          <w:rFonts w:ascii="Arial" w:hAnsi="Arial" w:cs="Arial"/>
          <w:lang w:val="en-US"/>
        </w:rPr>
        <w:t xml:space="preserve">A study conducted by </w:t>
      </w:r>
      <w:proofErr w:type="spellStart"/>
      <w:r w:rsidR="00935BCF" w:rsidRPr="00DD5ACF">
        <w:rPr>
          <w:rFonts w:ascii="Arial" w:hAnsi="Arial" w:cs="Arial"/>
          <w:lang w:val="en-US"/>
        </w:rPr>
        <w:t>Satzinger</w:t>
      </w:r>
      <w:proofErr w:type="spellEnd"/>
      <w:r w:rsidR="00935BCF" w:rsidRPr="00DD5ACF">
        <w:rPr>
          <w:rFonts w:ascii="Arial" w:hAnsi="Arial" w:cs="Arial"/>
          <w:lang w:val="en-US"/>
        </w:rPr>
        <w:t xml:space="preserve"> on indigenous names, derived from 96 </w:t>
      </w:r>
      <w:proofErr w:type="spellStart"/>
      <w:r w:rsidR="00935BCF" w:rsidRPr="00DD5ACF">
        <w:rPr>
          <w:rFonts w:ascii="Arial" w:hAnsi="Arial" w:cs="Arial"/>
          <w:lang w:val="en-US"/>
        </w:rPr>
        <w:t>ostraka</w:t>
      </w:r>
      <w:proofErr w:type="spellEnd"/>
      <w:r w:rsidR="00044ED1" w:rsidRPr="00DD5ACF">
        <w:rPr>
          <w:rFonts w:ascii="Arial" w:hAnsi="Arial" w:cs="Arial"/>
          <w:lang w:val="en-US"/>
        </w:rPr>
        <w:t xml:space="preserve"> found at the </w:t>
      </w:r>
      <w:proofErr w:type="spellStart"/>
      <w:r w:rsidR="001C28CC">
        <w:rPr>
          <w:rFonts w:ascii="Arial" w:hAnsi="Arial" w:cs="Arial"/>
          <w:lang w:val="en-US"/>
        </w:rPr>
        <w:t>Xeron</w:t>
      </w:r>
      <w:proofErr w:type="spellEnd"/>
      <w:r w:rsidR="001C28CC">
        <w:rPr>
          <w:rFonts w:ascii="Arial" w:hAnsi="Arial" w:cs="Arial"/>
          <w:lang w:val="en-US"/>
        </w:rPr>
        <w:t xml:space="preserve"> fort</w:t>
      </w:r>
      <w:r w:rsidR="00044ED1" w:rsidRPr="00DD5ACF">
        <w:rPr>
          <w:rFonts w:ascii="Arial" w:hAnsi="Arial" w:cs="Arial"/>
          <w:lang w:val="en-US"/>
        </w:rPr>
        <w:t xml:space="preserve"> along the </w:t>
      </w:r>
      <w:proofErr w:type="spellStart"/>
      <w:r w:rsidR="00044ED1" w:rsidRPr="00DD5ACF">
        <w:rPr>
          <w:rFonts w:ascii="Arial" w:hAnsi="Arial" w:cs="Arial"/>
          <w:lang w:val="en-US"/>
        </w:rPr>
        <w:t>Coptos-Berenike</w:t>
      </w:r>
      <w:proofErr w:type="spellEnd"/>
      <w:r w:rsidR="00044ED1" w:rsidRPr="00DD5ACF">
        <w:rPr>
          <w:rFonts w:ascii="Arial" w:hAnsi="Arial" w:cs="Arial"/>
          <w:lang w:val="en-US"/>
        </w:rPr>
        <w:t xml:space="preserve"> route, shows that none of the names correlate to the names given to the Blemmyes</w:t>
      </w:r>
      <w:r w:rsidR="006D1CA0" w:rsidRPr="00DD5ACF">
        <w:rPr>
          <w:rFonts w:ascii="Arial" w:hAnsi="Arial" w:cs="Arial"/>
          <w:lang w:val="en-US"/>
        </w:rPr>
        <w:t>, that we can know from the late antique sources</w:t>
      </w:r>
      <w:r w:rsidR="00DD013C" w:rsidRPr="00DD5ACF">
        <w:rPr>
          <w:rFonts w:ascii="Arial" w:hAnsi="Arial" w:cs="Arial"/>
          <w:lang w:val="en-US"/>
        </w:rPr>
        <w:t>, as the language structure is different between the two communities.</w:t>
      </w:r>
      <w:r w:rsidR="001C28CC">
        <w:rPr>
          <w:rStyle w:val="FootnoteReference"/>
          <w:rFonts w:ascii="Arial" w:hAnsi="Arial" w:cs="Arial"/>
          <w:lang w:val="en-US"/>
        </w:rPr>
        <w:footnoteReference w:id="15"/>
      </w:r>
    </w:p>
    <w:p w14:paraId="1BF18D2C" w14:textId="77777777" w:rsidR="00B85359" w:rsidRPr="00DD5ACF" w:rsidRDefault="00B85359" w:rsidP="00A72E4A">
      <w:pPr>
        <w:spacing w:line="360" w:lineRule="auto"/>
        <w:rPr>
          <w:rFonts w:ascii="Arial" w:hAnsi="Arial" w:cs="Arial"/>
          <w:lang w:val="en-US"/>
        </w:rPr>
      </w:pPr>
    </w:p>
    <w:p w14:paraId="493C4673" w14:textId="45A3958F" w:rsidR="00B85359" w:rsidRPr="00DD5ACF" w:rsidRDefault="00B85359" w:rsidP="00A72E4A">
      <w:pPr>
        <w:spacing w:line="360" w:lineRule="auto"/>
        <w:rPr>
          <w:rFonts w:ascii="Arial" w:hAnsi="Arial" w:cs="Arial"/>
          <w:lang w:val="en-US"/>
        </w:rPr>
      </w:pPr>
      <w:r w:rsidRPr="00DD5ACF">
        <w:rPr>
          <w:rFonts w:ascii="Arial" w:hAnsi="Arial" w:cs="Arial"/>
          <w:lang w:val="en-US"/>
        </w:rPr>
        <w:t xml:space="preserve">Navigating </w:t>
      </w:r>
      <w:r w:rsidR="00914BAA" w:rsidRPr="00DD5ACF">
        <w:rPr>
          <w:rFonts w:ascii="Arial" w:hAnsi="Arial" w:cs="Arial"/>
          <w:lang w:val="en-US"/>
        </w:rPr>
        <w:t>Indigenous</w:t>
      </w:r>
      <w:r w:rsidRPr="00DD5ACF">
        <w:rPr>
          <w:rFonts w:ascii="Arial" w:hAnsi="Arial" w:cs="Arial"/>
          <w:lang w:val="en-US"/>
        </w:rPr>
        <w:t xml:space="preserve"> Communities in Antiquity: Understanding Conflict and Resolution</w:t>
      </w:r>
    </w:p>
    <w:p w14:paraId="050CA63B" w14:textId="77777777" w:rsidR="00B85359" w:rsidRPr="00DD5ACF" w:rsidRDefault="00B85359" w:rsidP="00A72E4A">
      <w:pPr>
        <w:spacing w:line="360" w:lineRule="auto"/>
        <w:rPr>
          <w:rFonts w:ascii="Arial" w:hAnsi="Arial" w:cs="Arial"/>
          <w:lang w:val="en-US"/>
        </w:rPr>
      </w:pPr>
    </w:p>
    <w:p w14:paraId="4B233FE6" w14:textId="6B48883C" w:rsidR="00A61213" w:rsidRPr="00DD5ACF" w:rsidRDefault="00E5774F" w:rsidP="00A72E4A">
      <w:pPr>
        <w:spacing w:line="360" w:lineRule="auto"/>
        <w:rPr>
          <w:rFonts w:ascii="Arial" w:hAnsi="Arial" w:cs="Arial"/>
          <w:lang w:val="en-US"/>
        </w:rPr>
      </w:pPr>
      <w:r w:rsidRPr="00DD5ACF">
        <w:rPr>
          <w:rFonts w:ascii="Arial" w:hAnsi="Arial" w:cs="Arial"/>
          <w:lang w:val="en-US"/>
        </w:rPr>
        <w:t xml:space="preserve">It is vital to approach the study of these inter-group communities with nuance and caution, because tribal and nomadic societies in antiquity have often idiosyncratic social, </w:t>
      </w:r>
      <w:r w:rsidR="005456CC" w:rsidRPr="00DD5ACF">
        <w:rPr>
          <w:rFonts w:ascii="Arial" w:hAnsi="Arial" w:cs="Arial"/>
          <w:lang w:val="en-US"/>
        </w:rPr>
        <w:t>military,</w:t>
      </w:r>
      <w:r w:rsidRPr="00DD5ACF">
        <w:rPr>
          <w:rFonts w:ascii="Arial" w:hAnsi="Arial" w:cs="Arial"/>
          <w:lang w:val="en-US"/>
        </w:rPr>
        <w:t xml:space="preserve"> and political structures. </w:t>
      </w:r>
      <w:r w:rsidR="00CF53D0" w:rsidRPr="00DD5ACF">
        <w:rPr>
          <w:rFonts w:ascii="Arial" w:hAnsi="Arial" w:cs="Arial"/>
          <w:lang w:val="en-US"/>
        </w:rPr>
        <w:t xml:space="preserve">Labelling the conflicts that these communities had with the Romans as “wars” can </w:t>
      </w:r>
      <w:r w:rsidR="005456CC" w:rsidRPr="00DD5ACF">
        <w:rPr>
          <w:rFonts w:ascii="Arial" w:hAnsi="Arial" w:cs="Arial"/>
          <w:lang w:val="en-US"/>
        </w:rPr>
        <w:t>oversimplify the dynamics of the relationships between the Romans and the indigenous tribes, which was peculiarly different to Rome’s subjects and vassal states.</w:t>
      </w:r>
      <w:r w:rsidR="00C20E7B">
        <w:rPr>
          <w:rStyle w:val="FootnoteReference"/>
          <w:rFonts w:ascii="Arial" w:hAnsi="Arial" w:cs="Arial"/>
          <w:lang w:val="en-US"/>
        </w:rPr>
        <w:footnoteReference w:id="16"/>
      </w:r>
      <w:r w:rsidR="005456CC" w:rsidRPr="00DD5ACF">
        <w:rPr>
          <w:rFonts w:ascii="Arial" w:hAnsi="Arial" w:cs="Arial"/>
          <w:lang w:val="en-US"/>
        </w:rPr>
        <w:t xml:space="preserve"> Although large-scale wars, like that of Rome’s destruction of Palmyra might not have been </w:t>
      </w:r>
      <w:r w:rsidR="009D3FEA" w:rsidRPr="00DD5ACF">
        <w:rPr>
          <w:rFonts w:ascii="Arial" w:hAnsi="Arial" w:cs="Arial"/>
          <w:lang w:val="en-US"/>
        </w:rPr>
        <w:t xml:space="preserve">something you can describe as similar to </w:t>
      </w:r>
      <w:r w:rsidR="005456CC" w:rsidRPr="00DD5ACF">
        <w:rPr>
          <w:rFonts w:ascii="Arial" w:hAnsi="Arial" w:cs="Arial"/>
          <w:lang w:val="en-US"/>
        </w:rPr>
        <w:t>these tribal communities</w:t>
      </w:r>
      <w:r w:rsidR="009D3FEA" w:rsidRPr="00DD5ACF">
        <w:rPr>
          <w:rFonts w:ascii="Arial" w:hAnsi="Arial" w:cs="Arial"/>
          <w:lang w:val="en-US"/>
        </w:rPr>
        <w:t xml:space="preserve"> ‘violence’</w:t>
      </w:r>
      <w:r w:rsidR="005456CC" w:rsidRPr="00DD5ACF">
        <w:rPr>
          <w:rFonts w:ascii="Arial" w:hAnsi="Arial" w:cs="Arial"/>
          <w:lang w:val="en-US"/>
        </w:rPr>
        <w:t>, there has been evidence of</w:t>
      </w:r>
      <w:r w:rsidR="009D3FEA" w:rsidRPr="00DD5ACF">
        <w:rPr>
          <w:rFonts w:ascii="Arial" w:hAnsi="Arial" w:cs="Arial"/>
          <w:lang w:val="en-US"/>
        </w:rPr>
        <w:t xml:space="preserve"> some</w:t>
      </w:r>
      <w:r w:rsidR="005456CC" w:rsidRPr="00DD5ACF">
        <w:rPr>
          <w:rFonts w:ascii="Arial" w:hAnsi="Arial" w:cs="Arial"/>
          <w:lang w:val="en-US"/>
        </w:rPr>
        <w:t xml:space="preserve"> violence. </w:t>
      </w:r>
      <w:r w:rsidR="0053227F" w:rsidRPr="00DD5ACF">
        <w:rPr>
          <w:rFonts w:ascii="Arial" w:hAnsi="Arial" w:cs="Arial"/>
          <w:lang w:val="en-US"/>
        </w:rPr>
        <w:t xml:space="preserve">Inscriptions from the Ptolemaic period </w:t>
      </w:r>
      <w:r w:rsidR="009D3FEA" w:rsidRPr="00DD5ACF">
        <w:rPr>
          <w:rFonts w:ascii="Arial" w:hAnsi="Arial" w:cs="Arial"/>
          <w:lang w:val="en-US"/>
        </w:rPr>
        <w:t xml:space="preserve">from </w:t>
      </w:r>
      <w:proofErr w:type="spellStart"/>
      <w:r w:rsidR="009D3FEA" w:rsidRPr="00DD5ACF">
        <w:rPr>
          <w:rFonts w:ascii="Arial" w:hAnsi="Arial" w:cs="Arial"/>
          <w:lang w:val="en-US"/>
        </w:rPr>
        <w:t>el-Kanais</w:t>
      </w:r>
      <w:proofErr w:type="spellEnd"/>
      <w:r w:rsidR="009D3FEA" w:rsidRPr="00DD5ACF">
        <w:rPr>
          <w:rFonts w:ascii="Arial" w:hAnsi="Arial" w:cs="Arial"/>
          <w:lang w:val="en-US"/>
        </w:rPr>
        <w:t xml:space="preserve"> on the </w:t>
      </w:r>
      <w:proofErr w:type="spellStart"/>
      <w:r w:rsidR="009D3FEA" w:rsidRPr="00DD5ACF">
        <w:rPr>
          <w:rFonts w:ascii="Arial" w:hAnsi="Arial" w:cs="Arial"/>
          <w:lang w:val="en-US"/>
        </w:rPr>
        <w:t>Edfu-Berenike</w:t>
      </w:r>
      <w:proofErr w:type="spellEnd"/>
      <w:r w:rsidR="009D3FEA" w:rsidRPr="00DD5ACF">
        <w:rPr>
          <w:rFonts w:ascii="Arial" w:hAnsi="Arial" w:cs="Arial"/>
          <w:lang w:val="en-US"/>
        </w:rPr>
        <w:t xml:space="preserve"> route depict iconography of Pan, who is protecting worshippers from attacks by the </w:t>
      </w:r>
      <w:proofErr w:type="spellStart"/>
      <w:r w:rsidR="009D3FEA" w:rsidRPr="00DD5ACF">
        <w:rPr>
          <w:rFonts w:ascii="Arial" w:hAnsi="Arial" w:cs="Arial"/>
          <w:lang w:val="en-US"/>
        </w:rPr>
        <w:t>Trogodytes</w:t>
      </w:r>
      <w:proofErr w:type="spellEnd"/>
      <w:r w:rsidR="00A72E4A">
        <w:rPr>
          <w:rFonts w:ascii="Arial" w:hAnsi="Arial" w:cs="Arial"/>
          <w:lang w:val="en-US"/>
        </w:rPr>
        <w:t>.</w:t>
      </w:r>
      <w:r w:rsidR="00A72E4A">
        <w:rPr>
          <w:rStyle w:val="FootnoteReference"/>
          <w:rFonts w:ascii="Arial" w:hAnsi="Arial" w:cs="Arial"/>
          <w:lang w:val="en-US"/>
        </w:rPr>
        <w:footnoteReference w:id="17"/>
      </w:r>
      <w:r w:rsidR="00A72E4A">
        <w:rPr>
          <w:rFonts w:ascii="Arial" w:hAnsi="Arial" w:cs="Arial"/>
          <w:lang w:val="en-US"/>
        </w:rPr>
        <w:t xml:space="preserve"> S</w:t>
      </w:r>
      <w:r w:rsidR="009D3FEA" w:rsidRPr="00DD5ACF">
        <w:rPr>
          <w:rFonts w:ascii="Arial" w:hAnsi="Arial" w:cs="Arial"/>
          <w:lang w:val="en-US"/>
        </w:rPr>
        <w:t xml:space="preserve">imilarly, in the </w:t>
      </w:r>
      <w:proofErr w:type="spellStart"/>
      <w:r w:rsidR="009D3FEA" w:rsidRPr="00DD5ACF">
        <w:rPr>
          <w:rFonts w:ascii="Arial" w:hAnsi="Arial" w:cs="Arial"/>
          <w:lang w:val="en-US"/>
        </w:rPr>
        <w:t>Preasidium</w:t>
      </w:r>
      <w:proofErr w:type="spellEnd"/>
      <w:r w:rsidR="009D3FEA" w:rsidRPr="00DD5ACF">
        <w:rPr>
          <w:rFonts w:ascii="Arial" w:hAnsi="Arial" w:cs="Arial"/>
          <w:lang w:val="en-US"/>
        </w:rPr>
        <w:t xml:space="preserve"> of Dios, there is what is inferred, to be alters with </w:t>
      </w:r>
      <w:r w:rsidR="009D3FEA" w:rsidRPr="00DD5ACF">
        <w:rPr>
          <w:rFonts w:ascii="Arial" w:hAnsi="Arial" w:cs="Arial"/>
          <w:lang w:val="en-US"/>
        </w:rPr>
        <w:lastRenderedPageBreak/>
        <w:t xml:space="preserve">inscriptions of gratitude to syncretic Gods such as Zeus Helios </w:t>
      </w:r>
      <w:proofErr w:type="spellStart"/>
      <w:r w:rsidR="009D3FEA" w:rsidRPr="00DD5ACF">
        <w:rPr>
          <w:rFonts w:ascii="Arial" w:hAnsi="Arial" w:cs="Arial"/>
          <w:lang w:val="en-US"/>
        </w:rPr>
        <w:t>Megas</w:t>
      </w:r>
      <w:proofErr w:type="spellEnd"/>
      <w:r w:rsidR="009D3FEA" w:rsidRPr="00DD5ACF">
        <w:rPr>
          <w:rFonts w:ascii="Arial" w:hAnsi="Arial" w:cs="Arial"/>
          <w:lang w:val="en-US"/>
        </w:rPr>
        <w:t xml:space="preserve"> Serapis</w:t>
      </w:r>
      <w:r w:rsidR="00F9484E" w:rsidRPr="00DD5ACF">
        <w:rPr>
          <w:rFonts w:ascii="Arial" w:hAnsi="Arial" w:cs="Arial"/>
          <w:lang w:val="en-US"/>
        </w:rPr>
        <w:t xml:space="preserve"> </w:t>
      </w:r>
      <w:r w:rsidR="001A4118" w:rsidRPr="00DD5ACF">
        <w:rPr>
          <w:rFonts w:ascii="Arial" w:hAnsi="Arial" w:cs="Arial"/>
          <w:lang w:val="en-US"/>
        </w:rPr>
        <w:t>dedicated from soldiers.</w:t>
      </w:r>
      <w:r w:rsidR="00A72E4A">
        <w:rPr>
          <w:rStyle w:val="FootnoteReference"/>
          <w:rFonts w:ascii="Arial" w:hAnsi="Arial" w:cs="Arial"/>
          <w:lang w:val="en-US"/>
        </w:rPr>
        <w:footnoteReference w:id="18"/>
      </w:r>
      <w:r w:rsidR="009D3FEA" w:rsidRPr="00DD5ACF">
        <w:rPr>
          <w:rFonts w:ascii="Arial" w:hAnsi="Arial" w:cs="Arial"/>
          <w:lang w:val="en-US"/>
        </w:rPr>
        <w:t xml:space="preserve"> </w:t>
      </w:r>
      <w:r w:rsidR="00DD6FBF" w:rsidRPr="00DD5ACF">
        <w:rPr>
          <w:rFonts w:ascii="Arial" w:hAnsi="Arial" w:cs="Arial"/>
          <w:lang w:val="en-US"/>
        </w:rPr>
        <w:t>Both of these might signal that inhabitants venerated the</w:t>
      </w:r>
      <w:r w:rsidR="0053227F" w:rsidRPr="00DD5ACF">
        <w:rPr>
          <w:rFonts w:ascii="Arial" w:hAnsi="Arial" w:cs="Arial"/>
          <w:lang w:val="en-US"/>
        </w:rPr>
        <w:t xml:space="preserve"> deities</w:t>
      </w:r>
      <w:r w:rsidR="00DD6FBF" w:rsidRPr="00DD5ACF">
        <w:rPr>
          <w:rFonts w:ascii="Arial" w:hAnsi="Arial" w:cs="Arial"/>
          <w:lang w:val="en-US"/>
        </w:rPr>
        <w:t xml:space="preserve"> for protection against the Desert dwelling tribes</w:t>
      </w:r>
      <w:r w:rsidR="009A0597" w:rsidRPr="00DD5ACF">
        <w:rPr>
          <w:rFonts w:ascii="Arial" w:hAnsi="Arial" w:cs="Arial"/>
          <w:lang w:val="en-US"/>
        </w:rPr>
        <w:t xml:space="preserve">-perhaps the </w:t>
      </w:r>
      <w:proofErr w:type="spellStart"/>
      <w:r w:rsidR="009A0597" w:rsidRPr="00DD5ACF">
        <w:rPr>
          <w:rFonts w:ascii="Arial" w:hAnsi="Arial" w:cs="Arial"/>
          <w:lang w:val="en-US"/>
        </w:rPr>
        <w:t>Trogodytes</w:t>
      </w:r>
      <w:proofErr w:type="spellEnd"/>
      <w:r w:rsidR="00DD6FBF" w:rsidRPr="00DD5ACF">
        <w:rPr>
          <w:rFonts w:ascii="Arial" w:hAnsi="Arial" w:cs="Arial"/>
          <w:lang w:val="en-US"/>
        </w:rPr>
        <w:t>. Support for this also is found in the Periplus from the mid-1</w:t>
      </w:r>
      <w:r w:rsidR="00DD6FBF" w:rsidRPr="00DD5ACF">
        <w:rPr>
          <w:rFonts w:ascii="Arial" w:hAnsi="Arial" w:cs="Arial"/>
          <w:vertAlign w:val="superscript"/>
          <w:lang w:val="en-US"/>
        </w:rPr>
        <w:t>st</w:t>
      </w:r>
      <w:r w:rsidR="00DD6FBF" w:rsidRPr="00DD5ACF">
        <w:rPr>
          <w:rFonts w:ascii="Arial" w:hAnsi="Arial" w:cs="Arial"/>
          <w:lang w:val="en-US"/>
        </w:rPr>
        <w:t xml:space="preserve"> century AD, where inscriptions </w:t>
      </w:r>
      <w:proofErr w:type="spellStart"/>
      <w:r w:rsidR="00A61213" w:rsidRPr="00DD5ACF">
        <w:rPr>
          <w:rFonts w:ascii="Arial" w:hAnsi="Arial" w:cs="Arial"/>
          <w:lang w:val="en-US"/>
        </w:rPr>
        <w:t>emphasise</w:t>
      </w:r>
      <w:proofErr w:type="spellEnd"/>
      <w:r w:rsidR="00DD6FBF" w:rsidRPr="00DD5ACF">
        <w:rPr>
          <w:rFonts w:ascii="Arial" w:hAnsi="Arial" w:cs="Arial"/>
          <w:lang w:val="en-US"/>
        </w:rPr>
        <w:t xml:space="preserve"> that those seeking to trade with the wealthy Kingdom of Eritrea needed to be cautious of the “</w:t>
      </w:r>
      <w:proofErr w:type="spellStart"/>
      <w:r w:rsidR="00DD6FBF" w:rsidRPr="00DD5ACF">
        <w:rPr>
          <w:rFonts w:ascii="Arial" w:hAnsi="Arial" w:cs="Arial"/>
          <w:lang w:val="en-US"/>
        </w:rPr>
        <w:t>barbaroi</w:t>
      </w:r>
      <w:proofErr w:type="spellEnd"/>
      <w:r w:rsidR="00DD6FBF" w:rsidRPr="00DD5ACF">
        <w:rPr>
          <w:rFonts w:ascii="Arial" w:hAnsi="Arial" w:cs="Arial"/>
          <w:lang w:val="en-US"/>
        </w:rPr>
        <w:t>.”</w:t>
      </w:r>
      <w:r w:rsidR="00A72E4A">
        <w:rPr>
          <w:rStyle w:val="FootnoteReference"/>
          <w:rFonts w:ascii="Arial" w:hAnsi="Arial" w:cs="Arial"/>
          <w:lang w:val="en-US"/>
        </w:rPr>
        <w:footnoteReference w:id="19"/>
      </w:r>
      <w:r w:rsidR="00DD6FBF" w:rsidRPr="00DD5ACF">
        <w:rPr>
          <w:rFonts w:ascii="Arial" w:hAnsi="Arial" w:cs="Arial"/>
          <w:lang w:val="en-US"/>
        </w:rPr>
        <w:t xml:space="preserve"> </w:t>
      </w:r>
      <w:r w:rsidR="00A61213" w:rsidRPr="00DD5ACF">
        <w:rPr>
          <w:rFonts w:ascii="Arial" w:hAnsi="Arial" w:cs="Arial"/>
          <w:lang w:val="en-US"/>
        </w:rPr>
        <w:t xml:space="preserve">This evidence </w:t>
      </w:r>
      <w:r w:rsidR="00357C54" w:rsidRPr="00DD5ACF">
        <w:rPr>
          <w:rFonts w:ascii="Arial" w:hAnsi="Arial" w:cs="Arial"/>
          <w:lang w:val="en-US"/>
        </w:rPr>
        <w:t>infers</w:t>
      </w:r>
      <w:r w:rsidR="00A61213" w:rsidRPr="00DD5ACF">
        <w:rPr>
          <w:rFonts w:ascii="Arial" w:hAnsi="Arial" w:cs="Arial"/>
          <w:lang w:val="en-US"/>
        </w:rPr>
        <w:t xml:space="preserve"> that there was violent encounters between </w:t>
      </w:r>
      <w:r w:rsidR="0053227F" w:rsidRPr="00DD5ACF">
        <w:rPr>
          <w:rFonts w:ascii="Arial" w:hAnsi="Arial" w:cs="Arial"/>
          <w:lang w:val="en-US"/>
        </w:rPr>
        <w:t xml:space="preserve">the communities. </w:t>
      </w:r>
    </w:p>
    <w:p w14:paraId="1F6B77CF" w14:textId="3CC559E9" w:rsidR="005E1834" w:rsidRPr="00DD5ACF" w:rsidRDefault="0053227F" w:rsidP="00A72E4A">
      <w:pPr>
        <w:spacing w:line="360" w:lineRule="auto"/>
        <w:rPr>
          <w:rFonts w:ascii="Arial" w:hAnsi="Arial" w:cs="Arial"/>
          <w:lang w:val="en-US"/>
        </w:rPr>
      </w:pPr>
      <w:proofErr w:type="spellStart"/>
      <w:r w:rsidRPr="00DD5ACF">
        <w:rPr>
          <w:rFonts w:ascii="Arial" w:hAnsi="Arial" w:cs="Arial"/>
          <w:lang w:val="en-US"/>
        </w:rPr>
        <w:t>Agarthakhides</w:t>
      </w:r>
      <w:proofErr w:type="spellEnd"/>
      <w:r w:rsidRPr="00DD5ACF">
        <w:rPr>
          <w:rFonts w:ascii="Arial" w:hAnsi="Arial" w:cs="Arial"/>
          <w:lang w:val="en-US"/>
        </w:rPr>
        <w:t>’ records show how dynamic these tribal communities were and how they may have solved their problems through conflict resolution.</w:t>
      </w:r>
      <w:r w:rsidR="00A72E4A">
        <w:rPr>
          <w:rStyle w:val="FootnoteReference"/>
          <w:rFonts w:ascii="Arial" w:hAnsi="Arial" w:cs="Arial"/>
          <w:lang w:val="en-US"/>
        </w:rPr>
        <w:footnoteReference w:id="20"/>
      </w:r>
      <w:r w:rsidRPr="00DD5ACF">
        <w:rPr>
          <w:rFonts w:ascii="Arial" w:hAnsi="Arial" w:cs="Arial"/>
          <w:lang w:val="en-US"/>
        </w:rPr>
        <w:t xml:space="preserve"> </w:t>
      </w:r>
      <w:r w:rsidR="00760EDC" w:rsidRPr="00DD5ACF">
        <w:rPr>
          <w:rFonts w:ascii="Arial" w:hAnsi="Arial" w:cs="Arial"/>
          <w:lang w:val="en-US"/>
        </w:rPr>
        <w:t xml:space="preserve">Spears and bows suggest that these communities relied on traditional animal hunting and husbandry, </w:t>
      </w:r>
      <w:r w:rsidR="009A0597" w:rsidRPr="00DD5ACF">
        <w:rPr>
          <w:rFonts w:ascii="Arial" w:hAnsi="Arial" w:cs="Arial"/>
          <w:lang w:val="en-US"/>
        </w:rPr>
        <w:t>but also engaged in</w:t>
      </w:r>
      <w:r w:rsidR="00760EDC" w:rsidRPr="00DD5ACF">
        <w:rPr>
          <w:rFonts w:ascii="Arial" w:hAnsi="Arial" w:cs="Arial"/>
          <w:lang w:val="en-US"/>
        </w:rPr>
        <w:t xml:space="preserve"> warfare techniques, which were likely integral to their survival</w:t>
      </w:r>
      <w:r w:rsidR="00F25BC9" w:rsidRPr="00DD5ACF">
        <w:rPr>
          <w:rFonts w:ascii="Arial" w:hAnsi="Arial" w:cs="Arial"/>
          <w:lang w:val="en-US"/>
        </w:rPr>
        <w:t xml:space="preserve">. Conflict over pasturage rights, as mentioned by </w:t>
      </w:r>
      <w:proofErr w:type="spellStart"/>
      <w:r w:rsidR="00F25BC9" w:rsidRPr="00DD5ACF">
        <w:rPr>
          <w:rFonts w:ascii="Arial" w:hAnsi="Arial" w:cs="Arial"/>
          <w:lang w:val="en-US"/>
        </w:rPr>
        <w:t>Agarthakhides</w:t>
      </w:r>
      <w:proofErr w:type="spellEnd"/>
      <w:r w:rsidR="00842F5A" w:rsidRPr="00DD5ACF">
        <w:rPr>
          <w:rFonts w:ascii="Arial" w:hAnsi="Arial" w:cs="Arial"/>
          <w:lang w:val="en-US"/>
        </w:rPr>
        <w:t xml:space="preserve">’ records, </w:t>
      </w:r>
      <w:proofErr w:type="spellStart"/>
      <w:r w:rsidR="00842F5A" w:rsidRPr="00DD5ACF">
        <w:rPr>
          <w:rFonts w:ascii="Arial" w:hAnsi="Arial" w:cs="Arial"/>
          <w:lang w:val="en-US"/>
        </w:rPr>
        <w:t>emphasises</w:t>
      </w:r>
      <w:proofErr w:type="spellEnd"/>
      <w:r w:rsidR="00842F5A" w:rsidRPr="00DD5ACF">
        <w:rPr>
          <w:rFonts w:ascii="Arial" w:hAnsi="Arial" w:cs="Arial"/>
          <w:lang w:val="en-US"/>
        </w:rPr>
        <w:t xml:space="preserve"> the importance of land and resources in these desert communities.</w:t>
      </w:r>
      <w:r w:rsidR="00A72E4A">
        <w:rPr>
          <w:rStyle w:val="FootnoteReference"/>
          <w:rFonts w:ascii="Arial" w:hAnsi="Arial" w:cs="Arial"/>
          <w:lang w:val="en-US"/>
        </w:rPr>
        <w:footnoteReference w:id="21"/>
      </w:r>
      <w:r w:rsidR="00842F5A" w:rsidRPr="00DD5ACF">
        <w:rPr>
          <w:rFonts w:ascii="Arial" w:hAnsi="Arial" w:cs="Arial"/>
          <w:lang w:val="en-US"/>
        </w:rPr>
        <w:t xml:space="preserve"> </w:t>
      </w:r>
      <w:r w:rsidR="002B37AB" w:rsidRPr="00DD5ACF">
        <w:rPr>
          <w:rFonts w:ascii="Arial" w:hAnsi="Arial" w:cs="Arial"/>
          <w:lang w:val="en-US"/>
        </w:rPr>
        <w:t xml:space="preserve">In the historical sources, the </w:t>
      </w:r>
      <w:proofErr w:type="spellStart"/>
      <w:r w:rsidR="002B37AB" w:rsidRPr="00DD5ACF">
        <w:rPr>
          <w:rFonts w:ascii="Arial" w:hAnsi="Arial" w:cs="Arial"/>
          <w:lang w:val="en-US"/>
        </w:rPr>
        <w:t>Megabaroi</w:t>
      </w:r>
      <w:proofErr w:type="spellEnd"/>
      <w:r w:rsidR="002B37AB" w:rsidRPr="00DD5ACF">
        <w:rPr>
          <w:rFonts w:ascii="Arial" w:hAnsi="Arial" w:cs="Arial"/>
          <w:lang w:val="en-US"/>
        </w:rPr>
        <w:t xml:space="preserve">, have been </w:t>
      </w:r>
      <w:r w:rsidR="00842F5A" w:rsidRPr="00DD5ACF">
        <w:rPr>
          <w:rFonts w:ascii="Arial" w:hAnsi="Arial" w:cs="Arial"/>
          <w:lang w:val="en-US"/>
        </w:rPr>
        <w:t xml:space="preserve">inaccurately </w:t>
      </w:r>
      <w:r w:rsidR="002B37AB" w:rsidRPr="00DD5ACF">
        <w:rPr>
          <w:rFonts w:ascii="Arial" w:hAnsi="Arial" w:cs="Arial"/>
          <w:lang w:val="en-US"/>
        </w:rPr>
        <w:t xml:space="preserve">described as a tribe of the </w:t>
      </w:r>
      <w:proofErr w:type="spellStart"/>
      <w:r w:rsidR="002B37AB" w:rsidRPr="00DD5ACF">
        <w:rPr>
          <w:rFonts w:ascii="Arial" w:hAnsi="Arial" w:cs="Arial"/>
          <w:lang w:val="en-US"/>
        </w:rPr>
        <w:t>Tr</w:t>
      </w:r>
      <w:r w:rsidR="005C374A" w:rsidRPr="00DD5ACF">
        <w:rPr>
          <w:rFonts w:ascii="Arial" w:hAnsi="Arial" w:cs="Arial"/>
          <w:lang w:val="en-US"/>
        </w:rPr>
        <w:t>o</w:t>
      </w:r>
      <w:r w:rsidR="002B37AB" w:rsidRPr="00DD5ACF">
        <w:rPr>
          <w:rFonts w:ascii="Arial" w:hAnsi="Arial" w:cs="Arial"/>
          <w:lang w:val="en-US"/>
        </w:rPr>
        <w:t>godytes</w:t>
      </w:r>
      <w:proofErr w:type="spellEnd"/>
      <w:r w:rsidR="00842F5A" w:rsidRPr="00DD5ACF">
        <w:rPr>
          <w:rFonts w:ascii="Arial" w:hAnsi="Arial" w:cs="Arial"/>
          <w:lang w:val="en-US"/>
        </w:rPr>
        <w:t>, suggesting how</w:t>
      </w:r>
      <w:r w:rsidR="002B37AB" w:rsidRPr="00DD5ACF">
        <w:rPr>
          <w:rFonts w:ascii="Arial" w:hAnsi="Arial" w:cs="Arial"/>
          <w:lang w:val="en-US"/>
        </w:rPr>
        <w:t xml:space="preserve"> compl</w:t>
      </w:r>
      <w:r w:rsidR="00842F5A" w:rsidRPr="00DD5ACF">
        <w:rPr>
          <w:rFonts w:ascii="Arial" w:hAnsi="Arial" w:cs="Arial"/>
          <w:lang w:val="en-US"/>
        </w:rPr>
        <w:t>ex it is</w:t>
      </w:r>
      <w:r w:rsidR="002B37AB" w:rsidRPr="00DD5ACF">
        <w:rPr>
          <w:rFonts w:ascii="Arial" w:hAnsi="Arial" w:cs="Arial"/>
          <w:lang w:val="en-US"/>
        </w:rPr>
        <w:t xml:space="preserve"> </w:t>
      </w:r>
      <w:r w:rsidR="00842F5A" w:rsidRPr="00DD5ACF">
        <w:rPr>
          <w:rFonts w:ascii="Arial" w:hAnsi="Arial" w:cs="Arial"/>
          <w:lang w:val="en-US"/>
        </w:rPr>
        <w:t xml:space="preserve">to </w:t>
      </w:r>
      <w:r w:rsidR="002B37AB" w:rsidRPr="00DD5ACF">
        <w:rPr>
          <w:rFonts w:ascii="Arial" w:hAnsi="Arial" w:cs="Arial"/>
          <w:lang w:val="en-US"/>
        </w:rPr>
        <w:t>establish</w:t>
      </w:r>
      <w:r w:rsidR="00842F5A" w:rsidRPr="00DD5ACF">
        <w:rPr>
          <w:rFonts w:ascii="Arial" w:hAnsi="Arial" w:cs="Arial"/>
          <w:lang w:val="en-US"/>
        </w:rPr>
        <w:t xml:space="preserve"> separate</w:t>
      </w:r>
      <w:r w:rsidR="002B37AB" w:rsidRPr="00DD5ACF">
        <w:rPr>
          <w:rFonts w:ascii="Arial" w:hAnsi="Arial" w:cs="Arial"/>
          <w:lang w:val="en-US"/>
        </w:rPr>
        <w:t xml:space="preserve"> identities in tribal communities.</w:t>
      </w:r>
      <w:r w:rsidR="00A72E4A">
        <w:rPr>
          <w:rStyle w:val="FootnoteReference"/>
          <w:rFonts w:ascii="Arial" w:hAnsi="Arial" w:cs="Arial"/>
          <w:lang w:val="en-US"/>
        </w:rPr>
        <w:footnoteReference w:id="22"/>
      </w:r>
      <w:r w:rsidR="002B37AB" w:rsidRPr="00DD5ACF">
        <w:rPr>
          <w:rFonts w:ascii="Arial" w:hAnsi="Arial" w:cs="Arial"/>
          <w:lang w:val="en-US"/>
        </w:rPr>
        <w:t xml:space="preserve"> </w:t>
      </w:r>
      <w:r w:rsidR="00E85D6F" w:rsidRPr="00DD5ACF">
        <w:rPr>
          <w:rFonts w:ascii="Arial" w:hAnsi="Arial" w:cs="Arial"/>
          <w:lang w:val="en-US"/>
        </w:rPr>
        <w:t>Subsequently, exploring these distinct and intricate identities, is significantly important for historians to understand inter-tribal disputes and conflict resolution</w:t>
      </w:r>
      <w:r w:rsidR="00842F5A" w:rsidRPr="00DD5ACF">
        <w:rPr>
          <w:rFonts w:ascii="Arial" w:hAnsi="Arial" w:cs="Arial"/>
          <w:lang w:val="en-US"/>
        </w:rPr>
        <w:t xml:space="preserve"> between often idiosyncratic people. </w:t>
      </w:r>
      <w:r w:rsidR="00E303E6" w:rsidRPr="00DD5ACF">
        <w:rPr>
          <w:rFonts w:ascii="Arial" w:hAnsi="Arial" w:cs="Arial"/>
          <w:lang w:val="en-US"/>
        </w:rPr>
        <w:t>As a result of the misinterpretation of the records, modern historians may accidentally label all desert dwelling nomadic communities as violent and inhospitable towards the Roman garrisons occupying forts and praesidi</w:t>
      </w:r>
      <w:r w:rsidR="009A0597" w:rsidRPr="00DD5ACF">
        <w:rPr>
          <w:rFonts w:ascii="Arial" w:hAnsi="Arial" w:cs="Arial"/>
          <w:lang w:val="en-US"/>
        </w:rPr>
        <w:t>a</w:t>
      </w:r>
      <w:r w:rsidR="00E303E6" w:rsidRPr="00DD5ACF">
        <w:rPr>
          <w:rFonts w:ascii="Arial" w:hAnsi="Arial" w:cs="Arial"/>
          <w:lang w:val="en-US"/>
        </w:rPr>
        <w:t xml:space="preserve"> in the Eastern Desert regions from </w:t>
      </w:r>
      <w:proofErr w:type="spellStart"/>
      <w:r w:rsidR="00E303E6" w:rsidRPr="00DD5ACF">
        <w:rPr>
          <w:rFonts w:ascii="Arial" w:hAnsi="Arial" w:cs="Arial"/>
          <w:lang w:val="en-US"/>
        </w:rPr>
        <w:t>Myos</w:t>
      </w:r>
      <w:proofErr w:type="spellEnd"/>
      <w:r w:rsidR="00E303E6" w:rsidRPr="00DD5ACF">
        <w:rPr>
          <w:rFonts w:ascii="Arial" w:hAnsi="Arial" w:cs="Arial"/>
          <w:lang w:val="en-US"/>
        </w:rPr>
        <w:t xml:space="preserve"> </w:t>
      </w:r>
      <w:proofErr w:type="spellStart"/>
      <w:r w:rsidR="00E303E6" w:rsidRPr="00DD5ACF">
        <w:rPr>
          <w:rFonts w:ascii="Arial" w:hAnsi="Arial" w:cs="Arial"/>
          <w:lang w:val="en-US"/>
        </w:rPr>
        <w:t>Hormos</w:t>
      </w:r>
      <w:proofErr w:type="spellEnd"/>
      <w:r w:rsidR="00E303E6" w:rsidRPr="00DD5ACF">
        <w:rPr>
          <w:rFonts w:ascii="Arial" w:hAnsi="Arial" w:cs="Arial"/>
          <w:lang w:val="en-US"/>
        </w:rPr>
        <w:t xml:space="preserve"> to </w:t>
      </w:r>
      <w:proofErr w:type="spellStart"/>
      <w:r w:rsidR="00E303E6" w:rsidRPr="00DD5ACF">
        <w:rPr>
          <w:rFonts w:ascii="Arial" w:hAnsi="Arial" w:cs="Arial"/>
          <w:lang w:val="en-US"/>
        </w:rPr>
        <w:t>Berenike</w:t>
      </w:r>
      <w:proofErr w:type="spellEnd"/>
      <w:r w:rsidR="00E303E6" w:rsidRPr="00DD5ACF">
        <w:rPr>
          <w:rFonts w:ascii="Arial" w:hAnsi="Arial" w:cs="Arial"/>
          <w:lang w:val="en-US"/>
        </w:rPr>
        <w:t xml:space="preserve">.  </w:t>
      </w:r>
    </w:p>
    <w:p w14:paraId="14D0805F" w14:textId="6F196546" w:rsidR="0053227F" w:rsidRPr="00DD5ACF" w:rsidRDefault="00E303E6" w:rsidP="00A72E4A">
      <w:pPr>
        <w:spacing w:line="360" w:lineRule="auto"/>
        <w:rPr>
          <w:rFonts w:ascii="Arial" w:hAnsi="Arial" w:cs="Arial"/>
          <w:lang w:val="en-US"/>
        </w:rPr>
      </w:pPr>
      <w:r w:rsidRPr="00DD5ACF">
        <w:rPr>
          <w:rFonts w:ascii="Arial" w:hAnsi="Arial" w:cs="Arial"/>
          <w:lang w:val="en-US"/>
        </w:rPr>
        <w:t xml:space="preserve">This inadvertent </w:t>
      </w:r>
      <w:r w:rsidR="000D7B21" w:rsidRPr="00DD5ACF">
        <w:rPr>
          <w:rFonts w:ascii="Arial" w:hAnsi="Arial" w:cs="Arial"/>
          <w:lang w:val="en-US"/>
        </w:rPr>
        <w:t xml:space="preserve">instinct to generalize all Eastern Desert communities as </w:t>
      </w:r>
      <w:r w:rsidR="00D96FF5" w:rsidRPr="00DD5ACF">
        <w:rPr>
          <w:rFonts w:ascii="Arial" w:hAnsi="Arial" w:cs="Arial"/>
          <w:lang w:val="en-US"/>
        </w:rPr>
        <w:t xml:space="preserve">violent </w:t>
      </w:r>
      <w:r w:rsidR="009A0597" w:rsidRPr="00DD5ACF">
        <w:rPr>
          <w:rFonts w:ascii="Arial" w:hAnsi="Arial" w:cs="Arial"/>
          <w:lang w:val="en-US"/>
        </w:rPr>
        <w:t xml:space="preserve">towards the Roman military is untenable, as evidence suggests that indigenous groups, such as the </w:t>
      </w:r>
      <w:proofErr w:type="spellStart"/>
      <w:r w:rsidR="009A0597" w:rsidRPr="00DD5ACF">
        <w:rPr>
          <w:rFonts w:ascii="Arial" w:hAnsi="Arial" w:cs="Arial"/>
          <w:lang w:val="en-US"/>
        </w:rPr>
        <w:t>Ichthyophagoi</w:t>
      </w:r>
      <w:proofErr w:type="spellEnd"/>
      <w:r w:rsidR="009A0597" w:rsidRPr="00DD5ACF">
        <w:rPr>
          <w:rFonts w:ascii="Arial" w:hAnsi="Arial" w:cs="Arial"/>
          <w:lang w:val="en-US"/>
        </w:rPr>
        <w:t xml:space="preserve"> nomadic faction beyond the Bab-</w:t>
      </w:r>
      <w:proofErr w:type="spellStart"/>
      <w:r w:rsidR="009A0597" w:rsidRPr="00DD5ACF">
        <w:rPr>
          <w:rFonts w:ascii="Arial" w:hAnsi="Arial" w:cs="Arial"/>
          <w:lang w:val="en-US"/>
        </w:rPr>
        <w:t>el</w:t>
      </w:r>
      <w:proofErr w:type="spellEnd"/>
      <w:r w:rsidR="009A0597" w:rsidRPr="00DD5ACF">
        <w:rPr>
          <w:rFonts w:ascii="Arial" w:hAnsi="Arial" w:cs="Arial"/>
          <w:lang w:val="en-US"/>
        </w:rPr>
        <w:t xml:space="preserve">-Mandeb, were said to remain calm even when facing tension and conflict. While the historical descriptions and epigraphy seem </w:t>
      </w:r>
      <w:r w:rsidR="00437669" w:rsidRPr="00DD5ACF">
        <w:rPr>
          <w:rFonts w:ascii="Arial" w:hAnsi="Arial" w:cs="Arial"/>
          <w:lang w:val="en-US"/>
        </w:rPr>
        <w:t xml:space="preserve">exaggerated, presenting the </w:t>
      </w:r>
      <w:proofErr w:type="spellStart"/>
      <w:r w:rsidR="00437669" w:rsidRPr="00DD5ACF">
        <w:rPr>
          <w:rFonts w:ascii="Arial" w:hAnsi="Arial" w:cs="Arial"/>
          <w:lang w:val="en-US"/>
        </w:rPr>
        <w:t>Ichthyophagoi</w:t>
      </w:r>
      <w:proofErr w:type="spellEnd"/>
      <w:r w:rsidR="00437669" w:rsidRPr="00DD5ACF">
        <w:rPr>
          <w:rFonts w:ascii="Arial" w:hAnsi="Arial" w:cs="Arial"/>
          <w:lang w:val="en-US"/>
        </w:rPr>
        <w:t xml:space="preserve"> </w:t>
      </w:r>
      <w:r w:rsidR="005E1834" w:rsidRPr="00DD5ACF">
        <w:rPr>
          <w:rFonts w:ascii="Arial" w:hAnsi="Arial" w:cs="Arial"/>
          <w:lang w:val="en-US"/>
        </w:rPr>
        <w:t xml:space="preserve">as calm, unlike the other </w:t>
      </w:r>
      <w:r w:rsidR="005E1834" w:rsidRPr="00DD5ACF">
        <w:rPr>
          <w:rFonts w:ascii="Arial" w:hAnsi="Arial" w:cs="Arial"/>
          <w:lang w:val="en-US"/>
        </w:rPr>
        <w:lastRenderedPageBreak/>
        <w:t>indigenous peoples,</w:t>
      </w:r>
      <w:r w:rsidR="00437669" w:rsidRPr="00DD5ACF">
        <w:rPr>
          <w:rFonts w:ascii="Arial" w:hAnsi="Arial" w:cs="Arial"/>
          <w:lang w:val="en-US"/>
        </w:rPr>
        <w:t xml:space="preserve"> and therefore might not be so reliable, they can be useful, as they can infer that not all indigenous communities were hostile and had antagonistic relationships with outside influences, such as the Romans.</w:t>
      </w:r>
    </w:p>
    <w:p w14:paraId="25819347" w14:textId="77777777" w:rsidR="00B85359" w:rsidRPr="00DD5ACF" w:rsidRDefault="00B85359" w:rsidP="00A72E4A">
      <w:pPr>
        <w:spacing w:line="360" w:lineRule="auto"/>
        <w:rPr>
          <w:rFonts w:ascii="Arial" w:hAnsi="Arial" w:cs="Arial"/>
          <w:lang w:val="en-US"/>
        </w:rPr>
      </w:pPr>
    </w:p>
    <w:p w14:paraId="4D0AFB11" w14:textId="34D30F72" w:rsidR="00B85359" w:rsidRPr="00DD5ACF" w:rsidRDefault="00B85359" w:rsidP="00A72E4A">
      <w:pPr>
        <w:spacing w:line="360" w:lineRule="auto"/>
        <w:rPr>
          <w:rFonts w:ascii="Arial" w:hAnsi="Arial" w:cs="Arial"/>
          <w:lang w:val="en-US"/>
        </w:rPr>
      </w:pPr>
      <w:r w:rsidRPr="00DD5ACF">
        <w:rPr>
          <w:rFonts w:ascii="Arial" w:hAnsi="Arial" w:cs="Arial"/>
          <w:lang w:val="en-US"/>
        </w:rPr>
        <w:t>Exploring Peace and Conflict in the Eastern Desert: Revisiting the Historical Accounts</w:t>
      </w:r>
    </w:p>
    <w:p w14:paraId="60D02517" w14:textId="77777777" w:rsidR="00B85359" w:rsidRPr="00DD5ACF" w:rsidRDefault="00B85359" w:rsidP="00A72E4A">
      <w:pPr>
        <w:spacing w:line="360" w:lineRule="auto"/>
        <w:rPr>
          <w:rFonts w:ascii="Arial" w:hAnsi="Arial" w:cs="Arial"/>
          <w:lang w:val="en-US"/>
        </w:rPr>
      </w:pPr>
    </w:p>
    <w:p w14:paraId="3C81BA7B" w14:textId="4D3AE204" w:rsidR="001C0B11" w:rsidRPr="00DD5ACF" w:rsidRDefault="00451383" w:rsidP="00A72E4A">
      <w:pPr>
        <w:spacing w:line="360" w:lineRule="auto"/>
        <w:rPr>
          <w:rFonts w:ascii="Arial" w:hAnsi="Arial" w:cs="Arial"/>
          <w:lang w:val="en-US"/>
        </w:rPr>
      </w:pPr>
      <w:r w:rsidRPr="00DD5ACF">
        <w:rPr>
          <w:rFonts w:ascii="Arial" w:hAnsi="Arial" w:cs="Arial"/>
          <w:lang w:val="en-US"/>
        </w:rPr>
        <w:t xml:space="preserve">An ostracon found in </w:t>
      </w:r>
      <w:proofErr w:type="spellStart"/>
      <w:r w:rsidRPr="00DD5ACF">
        <w:rPr>
          <w:rFonts w:ascii="Arial" w:hAnsi="Arial" w:cs="Arial"/>
          <w:lang w:val="en-US"/>
        </w:rPr>
        <w:t>Myos</w:t>
      </w:r>
      <w:proofErr w:type="spellEnd"/>
      <w:r w:rsidRPr="00DD5ACF">
        <w:rPr>
          <w:rFonts w:ascii="Arial" w:hAnsi="Arial" w:cs="Arial"/>
          <w:lang w:val="en-US"/>
        </w:rPr>
        <w:t xml:space="preserve"> </w:t>
      </w:r>
      <w:proofErr w:type="spellStart"/>
      <w:r w:rsidRPr="00DD5ACF">
        <w:rPr>
          <w:rFonts w:ascii="Arial" w:hAnsi="Arial" w:cs="Arial"/>
          <w:lang w:val="en-US"/>
        </w:rPr>
        <w:t>Hormos</w:t>
      </w:r>
      <w:proofErr w:type="spellEnd"/>
      <w:r w:rsidRPr="00DD5ACF">
        <w:rPr>
          <w:rFonts w:ascii="Arial" w:hAnsi="Arial" w:cs="Arial"/>
          <w:lang w:val="en-US"/>
        </w:rPr>
        <w:t xml:space="preserve"> mentions a </w:t>
      </w:r>
      <w:proofErr w:type="spellStart"/>
      <w:r w:rsidRPr="00DD5ACF">
        <w:rPr>
          <w:rFonts w:ascii="Arial" w:hAnsi="Arial" w:cs="Arial"/>
          <w:lang w:val="en-US"/>
        </w:rPr>
        <w:t>Pukubis</w:t>
      </w:r>
      <w:proofErr w:type="spellEnd"/>
      <w:r w:rsidRPr="00DD5ACF">
        <w:rPr>
          <w:rFonts w:ascii="Arial" w:hAnsi="Arial" w:cs="Arial"/>
          <w:lang w:val="en-US"/>
        </w:rPr>
        <w:t xml:space="preserve"> seeking permission to sail his fishing boat north to </w:t>
      </w:r>
      <w:proofErr w:type="spellStart"/>
      <w:r w:rsidRPr="00DD5ACF">
        <w:rPr>
          <w:rFonts w:ascii="Arial" w:hAnsi="Arial" w:cs="Arial"/>
          <w:lang w:val="en-US"/>
        </w:rPr>
        <w:t>Philoteras</w:t>
      </w:r>
      <w:proofErr w:type="spellEnd"/>
      <w:r w:rsidRPr="00DD5ACF">
        <w:rPr>
          <w:rFonts w:ascii="Arial" w:hAnsi="Arial" w:cs="Arial"/>
          <w:lang w:val="en-US"/>
        </w:rPr>
        <w:t>.</w:t>
      </w:r>
      <w:r w:rsidR="009D53BF" w:rsidRPr="00DD5ACF">
        <w:rPr>
          <w:rStyle w:val="FootnoteReference"/>
          <w:rFonts w:ascii="Arial" w:hAnsi="Arial" w:cs="Arial"/>
          <w:lang w:val="en-US"/>
        </w:rPr>
        <w:footnoteReference w:id="23"/>
      </w:r>
      <w:r w:rsidRPr="00DD5ACF">
        <w:rPr>
          <w:rFonts w:ascii="Arial" w:hAnsi="Arial" w:cs="Arial"/>
          <w:lang w:val="en-US"/>
        </w:rPr>
        <w:t xml:space="preserve"> This evidence</w:t>
      </w:r>
      <w:r w:rsidR="005E1834" w:rsidRPr="00DD5ACF">
        <w:rPr>
          <w:rFonts w:ascii="Arial" w:hAnsi="Arial" w:cs="Arial"/>
          <w:lang w:val="en-US"/>
        </w:rPr>
        <w:t xml:space="preserve"> </w:t>
      </w:r>
      <w:r w:rsidRPr="00DD5ACF">
        <w:rPr>
          <w:rFonts w:ascii="Arial" w:hAnsi="Arial" w:cs="Arial"/>
          <w:lang w:val="en-US"/>
        </w:rPr>
        <w:t>supports the idea that peaceful interactions were not uncommon</w:t>
      </w:r>
      <w:r w:rsidR="00024DB1" w:rsidRPr="00DD5ACF">
        <w:rPr>
          <w:rFonts w:ascii="Arial" w:hAnsi="Arial" w:cs="Arial"/>
          <w:lang w:val="en-US"/>
        </w:rPr>
        <w:t>; no violence was portrayed</w:t>
      </w:r>
      <w:r w:rsidRPr="00DD5ACF">
        <w:rPr>
          <w:rFonts w:ascii="Arial" w:hAnsi="Arial" w:cs="Arial"/>
          <w:lang w:val="en-US"/>
        </w:rPr>
        <w:t xml:space="preserve">. </w:t>
      </w:r>
      <w:r w:rsidR="00162B97" w:rsidRPr="00DD5ACF">
        <w:rPr>
          <w:rFonts w:ascii="Arial" w:hAnsi="Arial" w:cs="Arial"/>
          <w:lang w:val="en-US"/>
        </w:rPr>
        <w:t>Strabo</w:t>
      </w:r>
      <w:r w:rsidRPr="00DD5ACF">
        <w:rPr>
          <w:rFonts w:ascii="Arial" w:hAnsi="Arial" w:cs="Arial"/>
          <w:lang w:val="en-US"/>
        </w:rPr>
        <w:t xml:space="preserve"> offers a perspective that mitigates the violence perceived by groups like the </w:t>
      </w:r>
      <w:proofErr w:type="spellStart"/>
      <w:r w:rsidRPr="00DD5ACF">
        <w:rPr>
          <w:rFonts w:ascii="Arial" w:hAnsi="Arial" w:cs="Arial"/>
          <w:lang w:val="en-US"/>
        </w:rPr>
        <w:t>Trogodytes</w:t>
      </w:r>
      <w:proofErr w:type="spellEnd"/>
      <w:r w:rsidR="0097190A" w:rsidRPr="00DD5ACF">
        <w:rPr>
          <w:rFonts w:ascii="Arial" w:hAnsi="Arial" w:cs="Arial"/>
          <w:lang w:val="en-US"/>
        </w:rPr>
        <w:t xml:space="preserve"> (also intertwined in the Geography as the Arab </w:t>
      </w:r>
      <w:proofErr w:type="spellStart"/>
      <w:r w:rsidR="0097190A" w:rsidRPr="00DD5ACF">
        <w:rPr>
          <w:rFonts w:ascii="Arial" w:hAnsi="Arial" w:cs="Arial"/>
          <w:lang w:val="en-US"/>
        </w:rPr>
        <w:t>Ichthyophagoi</w:t>
      </w:r>
      <w:proofErr w:type="spellEnd"/>
      <w:r w:rsidRPr="00DD5ACF">
        <w:rPr>
          <w:rFonts w:ascii="Arial" w:hAnsi="Arial" w:cs="Arial"/>
          <w:lang w:val="en-US"/>
        </w:rPr>
        <w:t xml:space="preserve">, Blemmyes, </w:t>
      </w:r>
      <w:proofErr w:type="spellStart"/>
      <w:r w:rsidRPr="00DD5ACF">
        <w:rPr>
          <w:rFonts w:ascii="Arial" w:hAnsi="Arial" w:cs="Arial"/>
          <w:lang w:val="en-US"/>
        </w:rPr>
        <w:t>Noubai</w:t>
      </w:r>
      <w:proofErr w:type="spellEnd"/>
      <w:r w:rsidRPr="00DD5ACF">
        <w:rPr>
          <w:rFonts w:ascii="Arial" w:hAnsi="Arial" w:cs="Arial"/>
          <w:lang w:val="en-US"/>
        </w:rPr>
        <w:t xml:space="preserve">, </w:t>
      </w:r>
      <w:proofErr w:type="spellStart"/>
      <w:r w:rsidRPr="00DD5ACF">
        <w:rPr>
          <w:rFonts w:ascii="Arial" w:hAnsi="Arial" w:cs="Arial"/>
          <w:lang w:val="en-US"/>
        </w:rPr>
        <w:t>Megabaroi</w:t>
      </w:r>
      <w:proofErr w:type="spellEnd"/>
      <w:r w:rsidRPr="00DD5ACF">
        <w:rPr>
          <w:rFonts w:ascii="Arial" w:hAnsi="Arial" w:cs="Arial"/>
          <w:lang w:val="en-US"/>
        </w:rPr>
        <w:t xml:space="preserve"> and Ethi</w:t>
      </w:r>
      <w:r w:rsidR="00F83CDE" w:rsidRPr="00DD5ACF">
        <w:rPr>
          <w:rFonts w:ascii="Arial" w:hAnsi="Arial" w:cs="Arial"/>
          <w:lang w:val="en-US"/>
        </w:rPr>
        <w:t>o</w:t>
      </w:r>
      <w:r w:rsidRPr="00DD5ACF">
        <w:rPr>
          <w:rFonts w:ascii="Arial" w:hAnsi="Arial" w:cs="Arial"/>
          <w:lang w:val="en-US"/>
        </w:rPr>
        <w:t xml:space="preserve">pians above </w:t>
      </w:r>
      <w:proofErr w:type="spellStart"/>
      <w:r w:rsidRPr="00DD5ACF">
        <w:rPr>
          <w:rFonts w:ascii="Arial" w:hAnsi="Arial" w:cs="Arial"/>
          <w:lang w:val="en-US"/>
        </w:rPr>
        <w:t>Syene</w:t>
      </w:r>
      <w:proofErr w:type="spellEnd"/>
      <w:r w:rsidRPr="00DD5ACF">
        <w:rPr>
          <w:rFonts w:ascii="Arial" w:hAnsi="Arial" w:cs="Arial"/>
          <w:lang w:val="en-US"/>
        </w:rPr>
        <w:t>. Strabo</w:t>
      </w:r>
      <w:r w:rsidR="00162B97">
        <w:rPr>
          <w:rFonts w:ascii="Arial" w:hAnsi="Arial" w:cs="Arial"/>
          <w:lang w:val="en-US"/>
        </w:rPr>
        <w:t xml:space="preserve"> interpreting </w:t>
      </w:r>
      <w:proofErr w:type="spellStart"/>
      <w:r w:rsidR="00162B97">
        <w:rPr>
          <w:rFonts w:ascii="Arial" w:hAnsi="Arial" w:cs="Arial"/>
          <w:lang w:val="en-US"/>
        </w:rPr>
        <w:t>Agatharchides</w:t>
      </w:r>
      <w:proofErr w:type="spellEnd"/>
      <w:r w:rsidRPr="00DD5ACF">
        <w:rPr>
          <w:rFonts w:ascii="Arial" w:hAnsi="Arial" w:cs="Arial"/>
          <w:lang w:val="en-US"/>
        </w:rPr>
        <w:t xml:space="preserve"> describes these peoples as nomadic lacking in numbers and largely peaceful</w:t>
      </w:r>
      <w:r w:rsidR="00743B88" w:rsidRPr="00DD5ACF">
        <w:rPr>
          <w:rFonts w:ascii="Arial" w:hAnsi="Arial" w:cs="Arial"/>
          <w:lang w:val="en-US"/>
        </w:rPr>
        <w:t xml:space="preserve"> now,</w:t>
      </w:r>
      <w:r w:rsidR="00162B97">
        <w:rPr>
          <w:rFonts w:ascii="Arial" w:hAnsi="Arial" w:cs="Arial"/>
          <w:lang w:val="en-US"/>
        </w:rPr>
        <w:t xml:space="preserve"> plenty without the craftsmanship to ‘possessing no trace of technical skills’.</w:t>
      </w:r>
      <w:r w:rsidR="00162B97">
        <w:rPr>
          <w:rStyle w:val="FootnoteReference"/>
          <w:rFonts w:ascii="Arial" w:hAnsi="Arial" w:cs="Arial"/>
          <w:lang w:val="en-US"/>
        </w:rPr>
        <w:footnoteReference w:id="24"/>
      </w:r>
      <w:r w:rsidR="00BD2FBA">
        <w:rPr>
          <w:rFonts w:ascii="Arial" w:hAnsi="Arial" w:cs="Arial"/>
          <w:lang w:val="en-US"/>
        </w:rPr>
        <w:t xml:space="preserve"> This lies in contrast to the material culture found, including hooks, gorges, rafts, and fishing tools, within </w:t>
      </w:r>
      <w:proofErr w:type="spellStart"/>
      <w:r w:rsidR="00BD2FBA">
        <w:rPr>
          <w:rFonts w:ascii="Arial" w:hAnsi="Arial" w:cs="Arial"/>
          <w:lang w:val="en-US"/>
        </w:rPr>
        <w:t>Ber</w:t>
      </w:r>
      <w:r w:rsidR="00BF69C2">
        <w:rPr>
          <w:rFonts w:ascii="Arial" w:hAnsi="Arial" w:cs="Arial"/>
          <w:lang w:val="en-US"/>
        </w:rPr>
        <w:t>e</w:t>
      </w:r>
      <w:r w:rsidR="00BD2FBA">
        <w:rPr>
          <w:rFonts w:ascii="Arial" w:hAnsi="Arial" w:cs="Arial"/>
          <w:lang w:val="en-US"/>
        </w:rPr>
        <w:t>nike</w:t>
      </w:r>
      <w:proofErr w:type="spellEnd"/>
      <w:r w:rsidR="00BD2FBA">
        <w:rPr>
          <w:rFonts w:ascii="Arial" w:hAnsi="Arial" w:cs="Arial"/>
          <w:lang w:val="en-US"/>
        </w:rPr>
        <w:t xml:space="preserve"> and </w:t>
      </w:r>
      <w:proofErr w:type="spellStart"/>
      <w:r w:rsidR="00BD2FBA">
        <w:rPr>
          <w:rFonts w:ascii="Arial" w:hAnsi="Arial" w:cs="Arial"/>
          <w:lang w:val="en-US"/>
        </w:rPr>
        <w:t>Myos</w:t>
      </w:r>
      <w:proofErr w:type="spellEnd"/>
      <w:r w:rsidR="00BD2FBA">
        <w:rPr>
          <w:rFonts w:ascii="Arial" w:hAnsi="Arial" w:cs="Arial"/>
          <w:lang w:val="en-US"/>
        </w:rPr>
        <w:t xml:space="preserve"> </w:t>
      </w:r>
      <w:proofErr w:type="spellStart"/>
      <w:r w:rsidR="00BD2FBA">
        <w:rPr>
          <w:rFonts w:ascii="Arial" w:hAnsi="Arial" w:cs="Arial"/>
          <w:lang w:val="en-US"/>
        </w:rPr>
        <w:t>Hormos</w:t>
      </w:r>
      <w:proofErr w:type="spellEnd"/>
      <w:r w:rsidR="00BD2FBA">
        <w:rPr>
          <w:rFonts w:ascii="Arial" w:hAnsi="Arial" w:cs="Arial"/>
          <w:lang w:val="en-US"/>
        </w:rPr>
        <w:t>.</w:t>
      </w:r>
      <w:r w:rsidR="00BD2FBA">
        <w:rPr>
          <w:rStyle w:val="FootnoteReference"/>
          <w:rFonts w:ascii="Arial" w:hAnsi="Arial" w:cs="Arial"/>
          <w:lang w:val="en-US"/>
        </w:rPr>
        <w:footnoteReference w:id="25"/>
      </w:r>
      <w:r w:rsidR="00162B97">
        <w:rPr>
          <w:rFonts w:ascii="Arial" w:hAnsi="Arial" w:cs="Arial"/>
          <w:lang w:val="en-US"/>
        </w:rPr>
        <w:t xml:space="preserve"> This</w:t>
      </w:r>
      <w:r w:rsidR="00BD2FBA">
        <w:rPr>
          <w:rFonts w:ascii="Arial" w:hAnsi="Arial" w:cs="Arial"/>
          <w:lang w:val="en-US"/>
        </w:rPr>
        <w:t xml:space="preserve"> level of ingenuity might suggest that</w:t>
      </w:r>
      <w:r w:rsidR="00743B88" w:rsidRPr="00DD5ACF">
        <w:rPr>
          <w:rFonts w:ascii="Arial" w:hAnsi="Arial" w:cs="Arial"/>
          <w:lang w:val="en-US"/>
        </w:rPr>
        <w:t xml:space="preserve"> the earlier depictions as aggressors and brigand groups targeting vulnerable individuals,</w:t>
      </w:r>
      <w:r w:rsidR="00BD2FBA">
        <w:rPr>
          <w:rFonts w:ascii="Arial" w:hAnsi="Arial" w:cs="Arial"/>
          <w:lang w:val="en-US"/>
        </w:rPr>
        <w:t xml:space="preserve"> might be </w:t>
      </w:r>
      <w:r w:rsidR="00BF69C2">
        <w:rPr>
          <w:rFonts w:ascii="Arial" w:hAnsi="Arial" w:cs="Arial"/>
          <w:lang w:val="en-US"/>
        </w:rPr>
        <w:t>un</w:t>
      </w:r>
      <w:r w:rsidR="00BD2FBA">
        <w:rPr>
          <w:rFonts w:ascii="Arial" w:hAnsi="Arial" w:cs="Arial"/>
          <w:lang w:val="en-US"/>
        </w:rPr>
        <w:t>true,</w:t>
      </w:r>
      <w:r w:rsidR="00743B88" w:rsidRPr="00DD5ACF">
        <w:rPr>
          <w:rFonts w:ascii="Arial" w:hAnsi="Arial" w:cs="Arial"/>
          <w:lang w:val="en-US"/>
        </w:rPr>
        <w:t xml:space="preserve"> </w:t>
      </w:r>
      <w:r w:rsidR="00C93C8C">
        <w:rPr>
          <w:rFonts w:ascii="Arial" w:hAnsi="Arial" w:cs="Arial"/>
          <w:lang w:val="en-US"/>
        </w:rPr>
        <w:t>or misleading, if so the indigenous peoples were likely targeting</w:t>
      </w:r>
      <w:r w:rsidR="00743B88" w:rsidRPr="00DD5ACF">
        <w:rPr>
          <w:rFonts w:ascii="Arial" w:hAnsi="Arial" w:cs="Arial"/>
          <w:lang w:val="en-US"/>
        </w:rPr>
        <w:t xml:space="preserve"> trade </w:t>
      </w:r>
      <w:r w:rsidR="00DB3D82" w:rsidRPr="00DD5ACF">
        <w:rPr>
          <w:rFonts w:ascii="Arial" w:hAnsi="Arial" w:cs="Arial"/>
          <w:lang w:val="en-US"/>
        </w:rPr>
        <w:t>diasporas</w:t>
      </w:r>
      <w:r w:rsidR="00743B88" w:rsidRPr="00DD5ACF">
        <w:rPr>
          <w:rFonts w:ascii="Arial" w:hAnsi="Arial" w:cs="Arial"/>
          <w:lang w:val="en-US"/>
        </w:rPr>
        <w:t xml:space="preserve"> or merchants, unprotected by the Roman military.</w:t>
      </w:r>
      <w:r w:rsidR="00AC30BB">
        <w:rPr>
          <w:rStyle w:val="FootnoteReference"/>
          <w:rFonts w:ascii="Arial" w:hAnsi="Arial" w:cs="Arial"/>
          <w:lang w:val="en-US"/>
        </w:rPr>
        <w:footnoteReference w:id="26"/>
      </w:r>
      <w:r w:rsidR="00743B88" w:rsidRPr="00DD5ACF">
        <w:rPr>
          <w:rFonts w:ascii="Arial" w:hAnsi="Arial" w:cs="Arial"/>
          <w:lang w:val="en-US"/>
        </w:rPr>
        <w:t xml:space="preserve"> </w:t>
      </w:r>
      <w:r w:rsidR="00F83CDE" w:rsidRPr="00DD5ACF">
        <w:rPr>
          <w:rFonts w:ascii="Arial" w:hAnsi="Arial" w:cs="Arial"/>
          <w:lang w:val="en-US"/>
        </w:rPr>
        <w:t>There are descriptions as changing in nature from violent brigands to calm hospitable nomads, may be influenced by a broader narrative praising Augustus for his ability to subdue Egypt bringing security and prosperity into the region and back into Rome’s treasury.</w:t>
      </w:r>
      <w:r w:rsidR="00BF69C2">
        <w:rPr>
          <w:rStyle w:val="FootnoteReference"/>
          <w:rFonts w:ascii="Arial" w:hAnsi="Arial" w:cs="Arial"/>
          <w:lang w:val="en-US"/>
        </w:rPr>
        <w:footnoteReference w:id="27"/>
      </w:r>
      <w:r w:rsidR="00C93C8C">
        <w:rPr>
          <w:rFonts w:ascii="Arial" w:hAnsi="Arial" w:cs="Arial"/>
          <w:lang w:val="en-US"/>
        </w:rPr>
        <w:t xml:space="preserve"> However, this is likely to be a fallacy, as the material culture of the </w:t>
      </w:r>
      <w:proofErr w:type="spellStart"/>
      <w:r w:rsidR="00C93C8C">
        <w:rPr>
          <w:rFonts w:ascii="Arial" w:hAnsi="Arial" w:cs="Arial"/>
          <w:lang w:val="en-US"/>
        </w:rPr>
        <w:t>Ichthyopagi</w:t>
      </w:r>
      <w:proofErr w:type="spellEnd"/>
      <w:r w:rsidR="00C93C8C">
        <w:rPr>
          <w:rFonts w:ascii="Arial" w:hAnsi="Arial" w:cs="Arial"/>
          <w:lang w:val="en-US"/>
        </w:rPr>
        <w:t xml:space="preserve"> was technologically complex, as discovered in </w:t>
      </w:r>
      <w:proofErr w:type="spellStart"/>
      <w:r w:rsidR="00C93C8C">
        <w:rPr>
          <w:rFonts w:ascii="Arial" w:hAnsi="Arial" w:cs="Arial"/>
          <w:lang w:val="en-US"/>
        </w:rPr>
        <w:t>Berenike</w:t>
      </w:r>
      <w:proofErr w:type="spellEnd"/>
      <w:r w:rsidR="00C93C8C">
        <w:rPr>
          <w:rFonts w:ascii="Arial" w:hAnsi="Arial" w:cs="Arial"/>
          <w:lang w:val="en-US"/>
        </w:rPr>
        <w:t xml:space="preserve"> and </w:t>
      </w:r>
      <w:proofErr w:type="spellStart"/>
      <w:r w:rsidR="00C93C8C">
        <w:rPr>
          <w:rFonts w:ascii="Arial" w:hAnsi="Arial" w:cs="Arial"/>
          <w:lang w:val="en-US"/>
        </w:rPr>
        <w:t>Myos</w:t>
      </w:r>
      <w:proofErr w:type="spellEnd"/>
      <w:r w:rsidR="00C93C8C">
        <w:rPr>
          <w:rFonts w:ascii="Arial" w:hAnsi="Arial" w:cs="Arial"/>
          <w:lang w:val="en-US"/>
        </w:rPr>
        <w:t xml:space="preserve"> </w:t>
      </w:r>
      <w:proofErr w:type="spellStart"/>
      <w:r w:rsidR="00C93C8C">
        <w:rPr>
          <w:rFonts w:ascii="Arial" w:hAnsi="Arial" w:cs="Arial"/>
          <w:lang w:val="en-US"/>
        </w:rPr>
        <w:t>Hormos</w:t>
      </w:r>
      <w:proofErr w:type="spellEnd"/>
      <w:r w:rsidR="00C93C8C">
        <w:rPr>
          <w:rFonts w:ascii="Arial" w:hAnsi="Arial" w:cs="Arial"/>
          <w:lang w:val="en-US"/>
        </w:rPr>
        <w:t xml:space="preserve">, </w:t>
      </w:r>
      <w:r w:rsidR="00B54E9C">
        <w:rPr>
          <w:rFonts w:ascii="Arial" w:hAnsi="Arial" w:cs="Arial"/>
          <w:lang w:val="en-US"/>
        </w:rPr>
        <w:t xml:space="preserve">in comparison to </w:t>
      </w:r>
      <w:proofErr w:type="spellStart"/>
      <w:r w:rsidR="00B54E9C">
        <w:rPr>
          <w:rFonts w:ascii="Arial" w:hAnsi="Arial" w:cs="Arial"/>
          <w:lang w:val="en-US"/>
        </w:rPr>
        <w:t>Agarthachides</w:t>
      </w:r>
      <w:proofErr w:type="spellEnd"/>
      <w:r w:rsidR="00B54E9C">
        <w:rPr>
          <w:rFonts w:ascii="Arial" w:hAnsi="Arial" w:cs="Arial"/>
          <w:lang w:val="en-US"/>
        </w:rPr>
        <w:t xml:space="preserve">’ descriptions </w:t>
      </w:r>
      <w:r w:rsidR="00B54E9C">
        <w:rPr>
          <w:rFonts w:ascii="Arial" w:hAnsi="Arial" w:cs="Arial"/>
          <w:lang w:val="en-US"/>
        </w:rPr>
        <w:lastRenderedPageBreak/>
        <w:t>and subsequent Roman historians.</w:t>
      </w:r>
      <w:r w:rsidR="00B54E9C">
        <w:rPr>
          <w:rStyle w:val="FootnoteReference"/>
          <w:rFonts w:ascii="Arial" w:hAnsi="Arial" w:cs="Arial"/>
          <w:lang w:val="en-US"/>
        </w:rPr>
        <w:footnoteReference w:id="28"/>
      </w:r>
      <w:r w:rsidR="00C93C8C">
        <w:rPr>
          <w:rFonts w:ascii="Arial" w:hAnsi="Arial" w:cs="Arial"/>
          <w:lang w:val="en-US"/>
        </w:rPr>
        <w:t xml:space="preserve"> </w:t>
      </w:r>
      <w:r w:rsidR="005E1834" w:rsidRPr="00DD5ACF">
        <w:rPr>
          <w:rFonts w:ascii="Arial" w:hAnsi="Arial" w:cs="Arial"/>
          <w:lang w:val="en-US"/>
        </w:rPr>
        <w:t xml:space="preserve"> Moreover,</w:t>
      </w:r>
      <w:r w:rsidR="0097190A" w:rsidRPr="00DD5ACF">
        <w:rPr>
          <w:rFonts w:ascii="Arial" w:hAnsi="Arial" w:cs="Arial"/>
          <w:lang w:val="en-US"/>
        </w:rPr>
        <w:t xml:space="preserve"> the portrayal of the </w:t>
      </w:r>
      <w:proofErr w:type="spellStart"/>
      <w:r w:rsidR="0097190A" w:rsidRPr="00DD5ACF">
        <w:rPr>
          <w:rFonts w:ascii="Arial" w:hAnsi="Arial" w:cs="Arial"/>
          <w:lang w:val="en-US"/>
        </w:rPr>
        <w:t>Trogodytes</w:t>
      </w:r>
      <w:proofErr w:type="spellEnd"/>
      <w:r w:rsidR="0097190A" w:rsidRPr="00DD5ACF">
        <w:rPr>
          <w:rFonts w:ascii="Arial" w:hAnsi="Arial" w:cs="Arial"/>
          <w:lang w:val="en-US"/>
        </w:rPr>
        <w:t xml:space="preserve"> as the Arab </w:t>
      </w:r>
      <w:proofErr w:type="spellStart"/>
      <w:r w:rsidR="0097190A" w:rsidRPr="00DD5ACF">
        <w:rPr>
          <w:rFonts w:ascii="Arial" w:hAnsi="Arial" w:cs="Arial"/>
          <w:lang w:val="en-US"/>
        </w:rPr>
        <w:t>Ichthyophagoi</w:t>
      </w:r>
      <w:proofErr w:type="spellEnd"/>
      <w:r w:rsidR="0097190A" w:rsidRPr="00DD5ACF">
        <w:rPr>
          <w:rFonts w:ascii="Arial" w:hAnsi="Arial" w:cs="Arial"/>
          <w:lang w:val="en-US"/>
        </w:rPr>
        <w:t>, was used by Ptolemaic, Roman, and Christian authors as a derogative term.</w:t>
      </w:r>
      <w:r w:rsidR="0097190A" w:rsidRPr="00DD5ACF">
        <w:rPr>
          <w:rStyle w:val="FootnoteReference"/>
          <w:rFonts w:ascii="Arial" w:hAnsi="Arial" w:cs="Arial"/>
          <w:lang w:val="en-US"/>
        </w:rPr>
        <w:footnoteReference w:id="29"/>
      </w:r>
      <w:r w:rsidR="0097190A" w:rsidRPr="00DD5ACF">
        <w:rPr>
          <w:rFonts w:ascii="Arial" w:hAnsi="Arial" w:cs="Arial"/>
          <w:lang w:val="en-US"/>
        </w:rPr>
        <w:t xml:space="preserve"> They were categorized as “fish eaters” on a stele in </w:t>
      </w:r>
      <w:proofErr w:type="spellStart"/>
      <w:r w:rsidR="0097190A" w:rsidRPr="00DD5ACF">
        <w:rPr>
          <w:rFonts w:ascii="Arial" w:hAnsi="Arial" w:cs="Arial"/>
          <w:lang w:val="en-US"/>
        </w:rPr>
        <w:t>Piankhi</w:t>
      </w:r>
      <w:proofErr w:type="spellEnd"/>
      <w:r w:rsidR="0097190A" w:rsidRPr="00DD5ACF">
        <w:rPr>
          <w:rFonts w:ascii="Arial" w:hAnsi="Arial" w:cs="Arial"/>
          <w:lang w:val="en-US"/>
        </w:rPr>
        <w:t xml:space="preserve"> mentions that eating fish was culturally inferior.</w:t>
      </w:r>
      <w:r w:rsidR="0097190A" w:rsidRPr="00DD5ACF">
        <w:rPr>
          <w:rStyle w:val="FootnoteReference"/>
          <w:rFonts w:ascii="Arial" w:hAnsi="Arial" w:cs="Arial"/>
          <w:lang w:val="en-US"/>
        </w:rPr>
        <w:footnoteReference w:id="30"/>
      </w:r>
      <w:r w:rsidR="0097190A" w:rsidRPr="00DD5ACF">
        <w:rPr>
          <w:rFonts w:ascii="Arial" w:hAnsi="Arial" w:cs="Arial"/>
          <w:lang w:val="en-US"/>
        </w:rPr>
        <w:t xml:space="preserve"> This derogatory term was used by Ptolemaic and Roman authorities who used the term “</w:t>
      </w:r>
      <w:proofErr w:type="spellStart"/>
      <w:r w:rsidR="0097190A" w:rsidRPr="00DD5ACF">
        <w:rPr>
          <w:rFonts w:ascii="Arial" w:hAnsi="Arial" w:cs="Arial"/>
          <w:lang w:val="en-US"/>
        </w:rPr>
        <w:t>Ichthyophagi</w:t>
      </w:r>
      <w:proofErr w:type="spellEnd"/>
      <w:r w:rsidR="0097190A" w:rsidRPr="00DD5ACF">
        <w:rPr>
          <w:rFonts w:ascii="Arial" w:hAnsi="Arial" w:cs="Arial"/>
          <w:lang w:val="en-US"/>
        </w:rPr>
        <w:t>” regularly.</w:t>
      </w:r>
      <w:r w:rsidR="005E1834" w:rsidRPr="00DD5ACF">
        <w:rPr>
          <w:rFonts w:ascii="Arial" w:hAnsi="Arial" w:cs="Arial"/>
          <w:lang w:val="en-US"/>
        </w:rPr>
        <w:t xml:space="preserve"> </w:t>
      </w:r>
      <w:r w:rsidR="00F83CDE" w:rsidRPr="00DD5ACF">
        <w:rPr>
          <w:rFonts w:ascii="Arial" w:hAnsi="Arial" w:cs="Arial"/>
          <w:lang w:val="en-US"/>
        </w:rPr>
        <w:t xml:space="preserve"> This contextualizes </w:t>
      </w:r>
      <w:r w:rsidR="0097190A" w:rsidRPr="00DD5ACF">
        <w:rPr>
          <w:rFonts w:ascii="Arial" w:hAnsi="Arial" w:cs="Arial"/>
          <w:lang w:val="en-US"/>
        </w:rPr>
        <w:t>Strabo’s</w:t>
      </w:r>
      <w:r w:rsidR="00F83CDE" w:rsidRPr="00DD5ACF">
        <w:rPr>
          <w:rFonts w:ascii="Arial" w:hAnsi="Arial" w:cs="Arial"/>
          <w:lang w:val="en-US"/>
        </w:rPr>
        <w:t xml:space="preserve"> portrayal of these groups as less threatening than previously believed.</w:t>
      </w:r>
      <w:r w:rsidR="00BF69C2">
        <w:rPr>
          <w:rFonts w:ascii="Arial" w:hAnsi="Arial" w:cs="Arial"/>
          <w:lang w:val="en-US"/>
        </w:rPr>
        <w:t xml:space="preserve"> Support for this is also because there was no evidence of these ethnonyms being used within their own society, possibly because of the negative characteristics and traits it represents.</w:t>
      </w:r>
      <w:r w:rsidR="00BF69C2">
        <w:rPr>
          <w:rStyle w:val="FootnoteReference"/>
          <w:rFonts w:ascii="Arial" w:hAnsi="Arial" w:cs="Arial"/>
          <w:lang w:val="en-US"/>
        </w:rPr>
        <w:footnoteReference w:id="31"/>
      </w:r>
    </w:p>
    <w:p w14:paraId="50E131E2" w14:textId="7D622E96" w:rsidR="00DB3D82" w:rsidRPr="00DD5ACF" w:rsidRDefault="00D44080" w:rsidP="00A72E4A">
      <w:pPr>
        <w:spacing w:line="360" w:lineRule="auto"/>
        <w:rPr>
          <w:rFonts w:ascii="Arial" w:hAnsi="Arial" w:cs="Arial"/>
          <w:lang w:val="en-US"/>
        </w:rPr>
      </w:pPr>
      <w:r w:rsidRPr="00DD5ACF">
        <w:rPr>
          <w:rFonts w:ascii="Arial" w:hAnsi="Arial" w:cs="Arial"/>
          <w:lang w:val="en-US"/>
        </w:rPr>
        <w:t xml:space="preserve">Despite Strabo mitigating the threats of violence or dismissing them from the above </w:t>
      </w:r>
      <w:r w:rsidR="00913A50" w:rsidRPr="00DD5ACF">
        <w:rPr>
          <w:rFonts w:ascii="Arial" w:hAnsi="Arial" w:cs="Arial"/>
          <w:lang w:val="en-US"/>
        </w:rPr>
        <w:t>indigenous</w:t>
      </w:r>
      <w:r w:rsidRPr="00DD5ACF">
        <w:rPr>
          <w:rFonts w:ascii="Arial" w:hAnsi="Arial" w:cs="Arial"/>
          <w:lang w:val="en-US"/>
        </w:rPr>
        <w:t xml:space="preserve"> populations of the Eastern Desert, evidence from </w:t>
      </w:r>
      <w:proofErr w:type="spellStart"/>
      <w:r w:rsidRPr="00DD5ACF">
        <w:rPr>
          <w:rFonts w:ascii="Arial" w:hAnsi="Arial" w:cs="Arial"/>
          <w:lang w:val="en-US"/>
        </w:rPr>
        <w:t>orstraka</w:t>
      </w:r>
      <w:proofErr w:type="spellEnd"/>
      <w:r w:rsidRPr="00DD5ACF">
        <w:rPr>
          <w:rFonts w:ascii="Arial" w:hAnsi="Arial" w:cs="Arial"/>
          <w:lang w:val="en-US"/>
        </w:rPr>
        <w:t xml:space="preserve"> found at </w:t>
      </w:r>
      <w:proofErr w:type="spellStart"/>
      <w:r w:rsidRPr="00DD5ACF">
        <w:rPr>
          <w:rFonts w:ascii="Arial" w:hAnsi="Arial" w:cs="Arial"/>
          <w:lang w:val="en-US"/>
        </w:rPr>
        <w:t>Krokodilo</w:t>
      </w:r>
      <w:proofErr w:type="spellEnd"/>
      <w:r w:rsidRPr="00DD5ACF">
        <w:rPr>
          <w:rFonts w:ascii="Arial" w:hAnsi="Arial" w:cs="Arial"/>
          <w:lang w:val="en-US"/>
        </w:rPr>
        <w:t xml:space="preserve"> in 102-118 CE, suggests that by the early second century, these tribes were threatening and threats to stability in the region.</w:t>
      </w:r>
      <w:r w:rsidR="00C35821" w:rsidRPr="00DD5ACF">
        <w:rPr>
          <w:rStyle w:val="FootnoteReference"/>
          <w:rFonts w:ascii="Arial" w:hAnsi="Arial" w:cs="Arial"/>
          <w:lang w:val="en-US"/>
        </w:rPr>
        <w:footnoteReference w:id="32"/>
      </w:r>
      <w:r w:rsidRPr="00DD5ACF">
        <w:rPr>
          <w:rFonts w:ascii="Arial" w:hAnsi="Arial" w:cs="Arial"/>
          <w:lang w:val="en-US"/>
        </w:rPr>
        <w:t xml:space="preserve"> The ostraca illustrate incidents of </w:t>
      </w:r>
      <w:proofErr w:type="spellStart"/>
      <w:r w:rsidRPr="00DD5ACF">
        <w:rPr>
          <w:rFonts w:ascii="Arial" w:hAnsi="Arial" w:cs="Arial"/>
          <w:lang w:val="en-US"/>
        </w:rPr>
        <w:t>barbaroi</w:t>
      </w:r>
      <w:proofErr w:type="spellEnd"/>
      <w:r w:rsidRPr="00DD5ACF">
        <w:rPr>
          <w:rFonts w:ascii="Arial" w:hAnsi="Arial" w:cs="Arial"/>
          <w:lang w:val="en-US"/>
        </w:rPr>
        <w:t xml:space="preserve"> menacing </w:t>
      </w:r>
      <w:r w:rsidR="00913A50" w:rsidRPr="00DD5ACF">
        <w:rPr>
          <w:rFonts w:ascii="Arial" w:hAnsi="Arial" w:cs="Arial"/>
          <w:lang w:val="en-US"/>
        </w:rPr>
        <w:t>travelers</w:t>
      </w:r>
      <w:r w:rsidRPr="00DD5ACF">
        <w:rPr>
          <w:rFonts w:ascii="Arial" w:hAnsi="Arial" w:cs="Arial"/>
          <w:lang w:val="en-US"/>
        </w:rPr>
        <w:t>, murdering people, and engaging in theft of traveling trade caravans and utility animals.</w:t>
      </w:r>
      <w:r w:rsidR="00AC30BB">
        <w:rPr>
          <w:rStyle w:val="FootnoteReference"/>
          <w:rFonts w:ascii="Arial" w:hAnsi="Arial" w:cs="Arial"/>
          <w:lang w:val="en-US"/>
        </w:rPr>
        <w:footnoteReference w:id="33"/>
      </w:r>
      <w:r w:rsidRPr="00DD5ACF">
        <w:rPr>
          <w:rFonts w:ascii="Arial" w:hAnsi="Arial" w:cs="Arial"/>
          <w:lang w:val="en-US"/>
        </w:rPr>
        <w:t xml:space="preserve"> </w:t>
      </w:r>
      <w:r w:rsidR="00913A50" w:rsidRPr="00DD5ACF">
        <w:rPr>
          <w:rFonts w:ascii="Arial" w:hAnsi="Arial" w:cs="Arial"/>
          <w:lang w:val="en-US"/>
        </w:rPr>
        <w:t xml:space="preserve">The ostraca displays the escalation in the region through the death of a Roman cavalryman Lucretius </w:t>
      </w:r>
      <w:proofErr w:type="spellStart"/>
      <w:r w:rsidR="00913A50" w:rsidRPr="00DD5ACF">
        <w:rPr>
          <w:rFonts w:ascii="Arial" w:hAnsi="Arial" w:cs="Arial"/>
          <w:lang w:val="en-US"/>
        </w:rPr>
        <w:t>Priscus</w:t>
      </w:r>
      <w:proofErr w:type="spellEnd"/>
      <w:r w:rsidR="00913A50" w:rsidRPr="00DD5ACF">
        <w:rPr>
          <w:rFonts w:ascii="Arial" w:hAnsi="Arial" w:cs="Arial"/>
          <w:lang w:val="en-US"/>
        </w:rPr>
        <w:t>, who participated and lost his life, in the pursuit of thieves.</w:t>
      </w:r>
      <w:r w:rsidR="0046085D">
        <w:rPr>
          <w:rStyle w:val="FootnoteReference"/>
          <w:rFonts w:ascii="Arial" w:hAnsi="Arial" w:cs="Arial"/>
          <w:lang w:val="en-US"/>
        </w:rPr>
        <w:footnoteReference w:id="34"/>
      </w:r>
      <w:r w:rsidR="003D4D9F" w:rsidRPr="00DD5ACF">
        <w:rPr>
          <w:rFonts w:ascii="Arial" w:hAnsi="Arial" w:cs="Arial"/>
          <w:lang w:val="en-US"/>
        </w:rPr>
        <w:t xml:space="preserve"> Although this later evidence is not as violent as previous first-century violence. For example, along the </w:t>
      </w:r>
      <w:proofErr w:type="spellStart"/>
      <w:r w:rsidR="003D4D9F" w:rsidRPr="00DD5ACF">
        <w:rPr>
          <w:rFonts w:ascii="Arial" w:hAnsi="Arial" w:cs="Arial"/>
          <w:lang w:val="en-US"/>
        </w:rPr>
        <w:t>Coptos-</w:t>
      </w:r>
      <w:proofErr w:type="gramStart"/>
      <w:r w:rsidR="003D4D9F" w:rsidRPr="00DD5ACF">
        <w:rPr>
          <w:rFonts w:ascii="Arial" w:hAnsi="Arial" w:cs="Arial"/>
          <w:lang w:val="en-US"/>
        </w:rPr>
        <w:t>Myos</w:t>
      </w:r>
      <w:proofErr w:type="spellEnd"/>
      <w:r w:rsidR="003D4D9F" w:rsidRPr="00DD5ACF">
        <w:rPr>
          <w:rFonts w:ascii="Arial" w:hAnsi="Arial" w:cs="Arial"/>
          <w:lang w:val="en-US"/>
        </w:rPr>
        <w:t xml:space="preserve"> </w:t>
      </w:r>
      <w:proofErr w:type="spellStart"/>
      <w:r w:rsidR="003D4D9F" w:rsidRPr="00DD5ACF">
        <w:rPr>
          <w:rFonts w:ascii="Arial" w:hAnsi="Arial" w:cs="Arial"/>
          <w:lang w:val="en-US"/>
        </w:rPr>
        <w:t>Hormos</w:t>
      </w:r>
      <w:proofErr w:type="spellEnd"/>
      <w:r w:rsidR="003D4D9F" w:rsidRPr="00DD5ACF">
        <w:rPr>
          <w:rFonts w:ascii="Arial" w:hAnsi="Arial" w:cs="Arial"/>
          <w:lang w:val="en-US"/>
        </w:rPr>
        <w:t xml:space="preserve"> road</w:t>
      </w:r>
      <w:proofErr w:type="gramEnd"/>
      <w:r w:rsidR="003D4D9F" w:rsidRPr="00DD5ACF">
        <w:rPr>
          <w:rFonts w:ascii="Arial" w:hAnsi="Arial" w:cs="Arial"/>
          <w:lang w:val="en-US"/>
        </w:rPr>
        <w:t xml:space="preserve">, 60 barbarians attacked a praesidium site of </w:t>
      </w:r>
      <w:proofErr w:type="spellStart"/>
      <w:r w:rsidR="003D4D9F" w:rsidRPr="00DD5ACF">
        <w:rPr>
          <w:rFonts w:ascii="Arial" w:hAnsi="Arial" w:cs="Arial"/>
          <w:lang w:val="en-US"/>
        </w:rPr>
        <w:t>Patkoua</w:t>
      </w:r>
      <w:proofErr w:type="spellEnd"/>
      <w:r w:rsidR="003D4D9F" w:rsidRPr="00DD5ACF">
        <w:rPr>
          <w:rFonts w:ascii="Arial" w:hAnsi="Arial" w:cs="Arial"/>
          <w:lang w:val="en-US"/>
        </w:rPr>
        <w:t>, the attack started at 2pm and lasted until midnight.</w:t>
      </w:r>
      <w:r w:rsidR="000E00F7" w:rsidRPr="00DD5ACF">
        <w:rPr>
          <w:rStyle w:val="FootnoteReference"/>
          <w:rFonts w:ascii="Arial" w:hAnsi="Arial" w:cs="Arial"/>
          <w:lang w:val="en-US"/>
        </w:rPr>
        <w:footnoteReference w:id="35"/>
      </w:r>
      <w:r w:rsidR="003D4D9F" w:rsidRPr="00DD5ACF">
        <w:rPr>
          <w:rFonts w:ascii="Arial" w:hAnsi="Arial" w:cs="Arial"/>
          <w:lang w:val="en-US"/>
        </w:rPr>
        <w:t xml:space="preserve"> This prolonged attack is different to the ambushes faced </w:t>
      </w:r>
      <w:r w:rsidR="00FE5EAA" w:rsidRPr="00DD5ACF">
        <w:rPr>
          <w:rFonts w:ascii="Arial" w:hAnsi="Arial" w:cs="Arial"/>
          <w:lang w:val="en-US"/>
        </w:rPr>
        <w:t>later in the century</w:t>
      </w:r>
      <w:r w:rsidR="003D4D9F" w:rsidRPr="00DD5ACF">
        <w:rPr>
          <w:rFonts w:ascii="Arial" w:hAnsi="Arial" w:cs="Arial"/>
          <w:lang w:val="en-US"/>
        </w:rPr>
        <w:t>, suggesting it was motivated and planned, rather than spontaneous and inchoate.</w:t>
      </w:r>
      <w:r w:rsidR="00647014" w:rsidRPr="00DD5ACF">
        <w:rPr>
          <w:rFonts w:ascii="Arial" w:hAnsi="Arial" w:cs="Arial"/>
          <w:lang w:val="en-US"/>
        </w:rPr>
        <w:t xml:space="preserve"> </w:t>
      </w:r>
      <w:r w:rsidR="00913A50" w:rsidRPr="00DD5ACF">
        <w:rPr>
          <w:rFonts w:ascii="Arial" w:hAnsi="Arial" w:cs="Arial"/>
          <w:lang w:val="en-US"/>
        </w:rPr>
        <w:t xml:space="preserve"> </w:t>
      </w:r>
    </w:p>
    <w:p w14:paraId="66377AB3" w14:textId="1C950BDB" w:rsidR="00B85359" w:rsidRDefault="007E7EDF" w:rsidP="00A72E4A">
      <w:pPr>
        <w:spacing w:line="360" w:lineRule="auto"/>
        <w:rPr>
          <w:rFonts w:ascii="Arial" w:hAnsi="Arial" w:cs="Arial"/>
          <w:lang w:val="en-US"/>
        </w:rPr>
      </w:pPr>
      <w:r w:rsidRPr="00DD5ACF">
        <w:rPr>
          <w:rFonts w:ascii="Arial" w:hAnsi="Arial" w:cs="Arial"/>
          <w:lang w:val="en-US"/>
        </w:rPr>
        <w:t>A fragment</w:t>
      </w:r>
      <w:r w:rsidR="00023B0B" w:rsidRPr="00DD5ACF">
        <w:rPr>
          <w:rFonts w:ascii="Arial" w:hAnsi="Arial" w:cs="Arial"/>
          <w:lang w:val="en-US"/>
        </w:rPr>
        <w:t xml:space="preserve"> of papyrus</w:t>
      </w:r>
      <w:r w:rsidRPr="00DD5ACF">
        <w:rPr>
          <w:rFonts w:ascii="Arial" w:hAnsi="Arial" w:cs="Arial"/>
          <w:lang w:val="en-US"/>
        </w:rPr>
        <w:t xml:space="preserve"> dating from the second half of the first century </w:t>
      </w:r>
      <w:r w:rsidR="00D40744" w:rsidRPr="00DD5ACF">
        <w:rPr>
          <w:rFonts w:ascii="Arial" w:hAnsi="Arial" w:cs="Arial"/>
          <w:lang w:val="en-US"/>
        </w:rPr>
        <w:t xml:space="preserve">illustrates a Roman military campaign against the Kingdom of Eritrea, the Ethiopians and the </w:t>
      </w:r>
      <w:proofErr w:type="spellStart"/>
      <w:r w:rsidR="00D40744" w:rsidRPr="00DD5ACF">
        <w:rPr>
          <w:rFonts w:ascii="Arial" w:hAnsi="Arial" w:cs="Arial"/>
          <w:lang w:val="en-US"/>
        </w:rPr>
        <w:t>Trogodytes</w:t>
      </w:r>
      <w:proofErr w:type="spellEnd"/>
      <w:r w:rsidR="00D40744" w:rsidRPr="00DD5ACF">
        <w:rPr>
          <w:rFonts w:ascii="Arial" w:hAnsi="Arial" w:cs="Arial"/>
          <w:lang w:val="en-US"/>
        </w:rPr>
        <w:t>.</w:t>
      </w:r>
      <w:r w:rsidR="00C10170">
        <w:rPr>
          <w:rStyle w:val="FootnoteReference"/>
          <w:rFonts w:ascii="Arial" w:hAnsi="Arial" w:cs="Arial"/>
          <w:lang w:val="en-US"/>
        </w:rPr>
        <w:footnoteReference w:id="36"/>
      </w:r>
      <w:r w:rsidR="00D40744" w:rsidRPr="00DD5ACF">
        <w:rPr>
          <w:rFonts w:ascii="Arial" w:hAnsi="Arial" w:cs="Arial"/>
          <w:lang w:val="en-US"/>
        </w:rPr>
        <w:t xml:space="preserve"> </w:t>
      </w:r>
      <w:proofErr w:type="spellStart"/>
      <w:r w:rsidR="00D40744" w:rsidRPr="00DD5ACF">
        <w:rPr>
          <w:rFonts w:ascii="Arial" w:hAnsi="Arial" w:cs="Arial"/>
          <w:lang w:val="en-US"/>
        </w:rPr>
        <w:t>Similary</w:t>
      </w:r>
      <w:proofErr w:type="spellEnd"/>
      <w:r w:rsidR="00D40744" w:rsidRPr="00DD5ACF">
        <w:rPr>
          <w:rFonts w:ascii="Arial" w:hAnsi="Arial" w:cs="Arial"/>
          <w:lang w:val="en-US"/>
        </w:rPr>
        <w:t xml:space="preserve">, a depiction from the Hadrian’s reign, inscribed in both Greek and </w:t>
      </w:r>
      <w:r w:rsidR="00D40744" w:rsidRPr="00DD5ACF">
        <w:rPr>
          <w:rFonts w:ascii="Arial" w:hAnsi="Arial" w:cs="Arial"/>
          <w:lang w:val="en-US"/>
        </w:rPr>
        <w:lastRenderedPageBreak/>
        <w:t xml:space="preserve">Latin </w:t>
      </w:r>
      <w:r w:rsidR="00023B0B" w:rsidRPr="00DD5ACF">
        <w:rPr>
          <w:rFonts w:ascii="Arial" w:hAnsi="Arial" w:cs="Arial"/>
          <w:lang w:val="en-US"/>
        </w:rPr>
        <w:t xml:space="preserve">illustrates </w:t>
      </w:r>
      <w:proofErr w:type="spellStart"/>
      <w:r w:rsidR="00023B0B" w:rsidRPr="00DD5ACF">
        <w:rPr>
          <w:rFonts w:ascii="Arial" w:hAnsi="Arial" w:cs="Arial"/>
          <w:lang w:val="en-US"/>
        </w:rPr>
        <w:t>Sulpi</w:t>
      </w:r>
      <w:r w:rsidR="009007D2" w:rsidRPr="00DD5ACF">
        <w:rPr>
          <w:rFonts w:ascii="Arial" w:hAnsi="Arial" w:cs="Arial"/>
          <w:lang w:val="en-US"/>
        </w:rPr>
        <w:t>cius</w:t>
      </w:r>
      <w:proofErr w:type="spellEnd"/>
      <w:r w:rsidR="009007D2" w:rsidRPr="00DD5ACF">
        <w:rPr>
          <w:rFonts w:ascii="Arial" w:hAnsi="Arial" w:cs="Arial"/>
          <w:lang w:val="en-US"/>
        </w:rPr>
        <w:t xml:space="preserve"> </w:t>
      </w:r>
      <w:proofErr w:type="spellStart"/>
      <w:r w:rsidR="009007D2" w:rsidRPr="00DD5ACF">
        <w:rPr>
          <w:rFonts w:ascii="Arial" w:hAnsi="Arial" w:cs="Arial"/>
          <w:lang w:val="en-US"/>
        </w:rPr>
        <w:t>Serenus</w:t>
      </w:r>
      <w:proofErr w:type="spellEnd"/>
      <w:r w:rsidR="009007D2" w:rsidRPr="00DD5ACF">
        <w:rPr>
          <w:rFonts w:ascii="Arial" w:hAnsi="Arial" w:cs="Arial"/>
          <w:lang w:val="en-US"/>
        </w:rPr>
        <w:t xml:space="preserve"> as a Servius </w:t>
      </w:r>
      <w:proofErr w:type="spellStart"/>
      <w:r w:rsidR="009007D2" w:rsidRPr="00DD5ACF">
        <w:rPr>
          <w:rFonts w:ascii="Arial" w:hAnsi="Arial" w:cs="Arial"/>
          <w:lang w:val="en-US"/>
        </w:rPr>
        <w:t>Sulpicius</w:t>
      </w:r>
      <w:proofErr w:type="spellEnd"/>
      <w:r w:rsidR="009007D2" w:rsidRPr="00DD5ACF">
        <w:rPr>
          <w:rFonts w:ascii="Arial" w:hAnsi="Arial" w:cs="Arial"/>
          <w:lang w:val="en-US"/>
        </w:rPr>
        <w:t xml:space="preserve"> </w:t>
      </w:r>
      <w:proofErr w:type="spellStart"/>
      <w:r w:rsidR="009007D2" w:rsidRPr="00DD5ACF">
        <w:rPr>
          <w:rFonts w:ascii="Arial" w:hAnsi="Arial" w:cs="Arial"/>
          <w:lang w:val="en-US"/>
        </w:rPr>
        <w:t>Serenus</w:t>
      </w:r>
      <w:proofErr w:type="spellEnd"/>
      <w:r w:rsidR="009007D2" w:rsidRPr="00DD5ACF">
        <w:rPr>
          <w:rFonts w:ascii="Arial" w:hAnsi="Arial" w:cs="Arial"/>
          <w:lang w:val="en-US"/>
        </w:rPr>
        <w:t xml:space="preserve">, who served as tribune of the Legion XXII and as a </w:t>
      </w:r>
      <w:r w:rsidR="00647014" w:rsidRPr="00DD5ACF">
        <w:rPr>
          <w:rFonts w:ascii="Arial" w:hAnsi="Arial" w:cs="Arial"/>
          <w:lang w:val="en-US"/>
        </w:rPr>
        <w:t>P</w:t>
      </w:r>
      <w:r w:rsidR="009007D2" w:rsidRPr="00DD5ACF">
        <w:rPr>
          <w:rFonts w:ascii="Arial" w:hAnsi="Arial" w:cs="Arial"/>
          <w:lang w:val="en-US"/>
        </w:rPr>
        <w:t xml:space="preserve">refect of the ala </w:t>
      </w:r>
      <w:proofErr w:type="spellStart"/>
      <w:r w:rsidR="009007D2" w:rsidRPr="00DD5ACF">
        <w:rPr>
          <w:rFonts w:ascii="Arial" w:hAnsi="Arial" w:cs="Arial"/>
          <w:lang w:val="en-US"/>
        </w:rPr>
        <w:t>Voconces</w:t>
      </w:r>
      <w:proofErr w:type="spellEnd"/>
      <w:r w:rsidR="009007D2" w:rsidRPr="00DD5ACF">
        <w:rPr>
          <w:rFonts w:ascii="Arial" w:hAnsi="Arial" w:cs="Arial"/>
          <w:lang w:val="en-US"/>
        </w:rPr>
        <w:t>.</w:t>
      </w:r>
      <w:r w:rsidR="00383EB7">
        <w:rPr>
          <w:rStyle w:val="FootnoteReference"/>
          <w:rFonts w:ascii="Arial" w:hAnsi="Arial" w:cs="Arial"/>
          <w:lang w:val="en-US"/>
        </w:rPr>
        <w:footnoteReference w:id="37"/>
      </w:r>
      <w:r w:rsidR="009007D2" w:rsidRPr="00DD5ACF">
        <w:rPr>
          <w:rFonts w:ascii="Arial" w:hAnsi="Arial" w:cs="Arial"/>
          <w:lang w:val="en-US"/>
        </w:rPr>
        <w:t xml:space="preserve"> The interpretation has been translated to</w:t>
      </w:r>
      <w:r w:rsidR="00723ABF" w:rsidRPr="00DD5ACF">
        <w:rPr>
          <w:rFonts w:ascii="Arial" w:hAnsi="Arial" w:cs="Arial"/>
          <w:lang w:val="en-US"/>
        </w:rPr>
        <w:t xml:space="preserve"> describe</w:t>
      </w:r>
      <w:r w:rsidR="009007D2" w:rsidRPr="00DD5ACF">
        <w:rPr>
          <w:rFonts w:ascii="Arial" w:hAnsi="Arial" w:cs="Arial"/>
          <w:lang w:val="en-US"/>
        </w:rPr>
        <w:t xml:space="preserve"> him celebrating a victory over a malicious </w:t>
      </w:r>
      <w:proofErr w:type="spellStart"/>
      <w:r w:rsidR="008B5BF8" w:rsidRPr="00DD5ACF">
        <w:rPr>
          <w:rFonts w:ascii="Arial" w:hAnsi="Arial" w:cs="Arial"/>
          <w:lang w:val="en-US"/>
        </w:rPr>
        <w:t>Agriophagoi</w:t>
      </w:r>
      <w:proofErr w:type="spellEnd"/>
      <w:r w:rsidR="008B5BF8" w:rsidRPr="00DD5ACF">
        <w:rPr>
          <w:rFonts w:ascii="Arial" w:hAnsi="Arial" w:cs="Arial"/>
          <w:lang w:val="en-US"/>
        </w:rPr>
        <w:t xml:space="preserve"> brigand, who were murdered and had their trade goods seized.</w:t>
      </w:r>
      <w:r w:rsidR="00383EB7">
        <w:rPr>
          <w:rStyle w:val="FootnoteReference"/>
          <w:rFonts w:ascii="Arial" w:hAnsi="Arial" w:cs="Arial"/>
          <w:lang w:val="en-US"/>
        </w:rPr>
        <w:footnoteReference w:id="38"/>
      </w:r>
    </w:p>
    <w:p w14:paraId="7037285D" w14:textId="77777777" w:rsidR="003C19D0" w:rsidRPr="00DD5ACF" w:rsidRDefault="003C19D0" w:rsidP="00A72E4A">
      <w:pPr>
        <w:spacing w:line="360" w:lineRule="auto"/>
        <w:rPr>
          <w:rFonts w:ascii="Arial" w:hAnsi="Arial" w:cs="Arial"/>
          <w:lang w:val="en-US"/>
        </w:rPr>
      </w:pPr>
    </w:p>
    <w:p w14:paraId="1BF39777" w14:textId="68263390" w:rsidR="00B85359" w:rsidRDefault="00B85359" w:rsidP="00A72E4A">
      <w:pPr>
        <w:spacing w:line="360" w:lineRule="auto"/>
        <w:rPr>
          <w:rFonts w:ascii="Arial" w:hAnsi="Arial" w:cs="Arial"/>
          <w:lang w:val="en-US"/>
        </w:rPr>
      </w:pPr>
      <w:r w:rsidRPr="00DD5ACF">
        <w:rPr>
          <w:rFonts w:ascii="Arial" w:hAnsi="Arial" w:cs="Arial"/>
          <w:lang w:val="en-US"/>
        </w:rPr>
        <w:t xml:space="preserve">Eastern Desert Dynamics: Military Fortifications and Changes </w:t>
      </w:r>
    </w:p>
    <w:p w14:paraId="1D520D6C" w14:textId="77777777" w:rsidR="003C19D0" w:rsidRPr="00DD5ACF" w:rsidRDefault="003C19D0" w:rsidP="00A72E4A">
      <w:pPr>
        <w:spacing w:line="360" w:lineRule="auto"/>
        <w:rPr>
          <w:rFonts w:ascii="Arial" w:hAnsi="Arial" w:cs="Arial"/>
          <w:lang w:val="en-US"/>
        </w:rPr>
      </w:pPr>
    </w:p>
    <w:p w14:paraId="75094205" w14:textId="235D893C" w:rsidR="00390351" w:rsidRPr="00DD5ACF" w:rsidRDefault="00595635" w:rsidP="00A72E4A">
      <w:pPr>
        <w:spacing w:line="360" w:lineRule="auto"/>
        <w:rPr>
          <w:rFonts w:ascii="Arial" w:hAnsi="Arial" w:cs="Arial"/>
          <w:lang w:val="en-US"/>
        </w:rPr>
      </w:pPr>
      <w:r w:rsidRPr="00DD5ACF">
        <w:rPr>
          <w:rFonts w:ascii="Arial" w:hAnsi="Arial" w:cs="Arial"/>
          <w:lang w:val="en-US"/>
        </w:rPr>
        <w:t>The archaeological records</w:t>
      </w:r>
      <w:r w:rsidR="00723ABF" w:rsidRPr="00DD5ACF">
        <w:rPr>
          <w:rFonts w:ascii="Arial" w:hAnsi="Arial" w:cs="Arial"/>
          <w:lang w:val="en-US"/>
        </w:rPr>
        <w:t xml:space="preserve"> and ostraca at </w:t>
      </w:r>
      <w:proofErr w:type="spellStart"/>
      <w:r w:rsidR="00723ABF" w:rsidRPr="00DD5ACF">
        <w:rPr>
          <w:rFonts w:ascii="Arial" w:hAnsi="Arial" w:cs="Arial"/>
          <w:lang w:val="en-US"/>
        </w:rPr>
        <w:t>Krokodilo</w:t>
      </w:r>
      <w:proofErr w:type="spellEnd"/>
      <w:r w:rsidRPr="00DD5ACF">
        <w:rPr>
          <w:rFonts w:ascii="Arial" w:hAnsi="Arial" w:cs="Arial"/>
          <w:lang w:val="en-US"/>
        </w:rPr>
        <w:t xml:space="preserve"> illustrate that </w:t>
      </w:r>
      <w:r w:rsidR="00723ABF" w:rsidRPr="00DD5ACF">
        <w:rPr>
          <w:rFonts w:ascii="Arial" w:hAnsi="Arial" w:cs="Arial"/>
          <w:lang w:val="en-US"/>
        </w:rPr>
        <w:t xml:space="preserve">there was a notable period of fortification in the Eastern Desert. This intensification of militaristic construction offers historians </w:t>
      </w:r>
      <w:r w:rsidR="0017638C" w:rsidRPr="00DD5ACF">
        <w:rPr>
          <w:rFonts w:ascii="Arial" w:hAnsi="Arial" w:cs="Arial"/>
          <w:lang w:val="en-US"/>
        </w:rPr>
        <w:t>an insight into the relationship between the Roman military and the indigenous populations around 114/115 CE</w:t>
      </w:r>
      <w:r w:rsidR="00634ED8" w:rsidRPr="00DD5ACF">
        <w:rPr>
          <w:rFonts w:ascii="Arial" w:hAnsi="Arial" w:cs="Arial"/>
          <w:lang w:val="en-US"/>
        </w:rPr>
        <w:t>, inferring it turned hostile</w:t>
      </w:r>
      <w:r w:rsidR="00E6732C" w:rsidRPr="00DD5ACF">
        <w:rPr>
          <w:rFonts w:ascii="Arial" w:hAnsi="Arial" w:cs="Arial"/>
          <w:lang w:val="en-US"/>
        </w:rPr>
        <w:t xml:space="preserve"> from the evidence, one example being the barbarian attack mentioned above, and another being an example from 109 CE, in which </w:t>
      </w:r>
      <w:r w:rsidR="000E00F7" w:rsidRPr="00DD5ACF">
        <w:rPr>
          <w:rFonts w:ascii="Arial" w:hAnsi="Arial" w:cs="Arial"/>
          <w:lang w:val="en-US"/>
        </w:rPr>
        <w:t xml:space="preserve">the Prefect of </w:t>
      </w:r>
      <w:proofErr w:type="spellStart"/>
      <w:r w:rsidR="000E00F7" w:rsidRPr="00DD5ACF">
        <w:rPr>
          <w:rFonts w:ascii="Arial" w:hAnsi="Arial" w:cs="Arial"/>
          <w:lang w:val="en-US"/>
        </w:rPr>
        <w:t>Berenike</w:t>
      </w:r>
      <w:proofErr w:type="spellEnd"/>
      <w:r w:rsidR="000E00F7" w:rsidRPr="00DD5ACF">
        <w:rPr>
          <w:rFonts w:ascii="Arial" w:hAnsi="Arial" w:cs="Arial"/>
          <w:lang w:val="en-US"/>
        </w:rPr>
        <w:t xml:space="preserve"> was said to have received a notice informing him about Imperial succession.</w:t>
      </w:r>
      <w:r w:rsidR="000E00F7" w:rsidRPr="00DD5ACF">
        <w:rPr>
          <w:rStyle w:val="FootnoteReference"/>
          <w:rFonts w:ascii="Arial" w:hAnsi="Arial" w:cs="Arial"/>
          <w:lang w:val="en-US"/>
        </w:rPr>
        <w:footnoteReference w:id="39"/>
      </w:r>
      <w:r w:rsidR="000E00F7" w:rsidRPr="00DD5ACF">
        <w:rPr>
          <w:rFonts w:ascii="Arial" w:hAnsi="Arial" w:cs="Arial"/>
          <w:lang w:val="en-US"/>
        </w:rPr>
        <w:t xml:space="preserve"> The mention of relaying the news of the Imperial succession</w:t>
      </w:r>
      <w:r w:rsidR="008602F5" w:rsidRPr="00DD5ACF">
        <w:rPr>
          <w:rFonts w:ascii="Arial" w:hAnsi="Arial" w:cs="Arial"/>
          <w:lang w:val="en-US"/>
        </w:rPr>
        <w:t>, so quickly,</w:t>
      </w:r>
      <w:r w:rsidR="000E00F7" w:rsidRPr="00DD5ACF">
        <w:rPr>
          <w:rFonts w:ascii="Arial" w:hAnsi="Arial" w:cs="Arial"/>
          <w:lang w:val="en-US"/>
        </w:rPr>
        <w:t xml:space="preserve"> to the men stationed along the </w:t>
      </w:r>
      <w:proofErr w:type="spellStart"/>
      <w:r w:rsidR="000E00F7" w:rsidRPr="00DD5ACF">
        <w:rPr>
          <w:rFonts w:ascii="Arial" w:hAnsi="Arial" w:cs="Arial"/>
          <w:lang w:val="en-US"/>
        </w:rPr>
        <w:t>Coptos-Berenike</w:t>
      </w:r>
      <w:proofErr w:type="spellEnd"/>
      <w:r w:rsidR="000E00F7" w:rsidRPr="00DD5ACF">
        <w:rPr>
          <w:rFonts w:ascii="Arial" w:hAnsi="Arial" w:cs="Arial"/>
          <w:lang w:val="en-US"/>
        </w:rPr>
        <w:t xml:space="preserve"> route, infers that the soldiers needed</w:t>
      </w:r>
      <w:r w:rsidR="008602F5" w:rsidRPr="00DD5ACF">
        <w:rPr>
          <w:rFonts w:ascii="Arial" w:hAnsi="Arial" w:cs="Arial"/>
          <w:lang w:val="en-US"/>
        </w:rPr>
        <w:t>, and were able</w:t>
      </w:r>
      <w:r w:rsidR="000E00F7" w:rsidRPr="00DD5ACF">
        <w:rPr>
          <w:rFonts w:ascii="Arial" w:hAnsi="Arial" w:cs="Arial"/>
          <w:lang w:val="en-US"/>
        </w:rPr>
        <w:t xml:space="preserve"> to</w:t>
      </w:r>
      <w:r w:rsidR="008602F5" w:rsidRPr="00DD5ACF">
        <w:rPr>
          <w:rFonts w:ascii="Arial" w:hAnsi="Arial" w:cs="Arial"/>
          <w:lang w:val="en-US"/>
        </w:rPr>
        <w:t>,</w:t>
      </w:r>
      <w:r w:rsidR="000E00F7" w:rsidRPr="00DD5ACF">
        <w:rPr>
          <w:rFonts w:ascii="Arial" w:hAnsi="Arial" w:cs="Arial"/>
          <w:lang w:val="en-US"/>
        </w:rPr>
        <w:t xml:space="preserve"> be informed promptly about changes in their leadership. Therefore, this allowed for</w:t>
      </w:r>
      <w:r w:rsidR="008A11E8">
        <w:rPr>
          <w:rFonts w:ascii="Arial" w:hAnsi="Arial" w:cs="Arial"/>
          <w:lang w:val="en-US"/>
        </w:rPr>
        <w:t xml:space="preserve"> </w:t>
      </w:r>
      <w:r w:rsidR="000E00F7" w:rsidRPr="00DD5ACF">
        <w:rPr>
          <w:rFonts w:ascii="Arial" w:hAnsi="Arial" w:cs="Arial"/>
          <w:lang w:val="en-US"/>
        </w:rPr>
        <w:t xml:space="preserve">Roman authorities to be alerted towards any potential military threats or opposition early, </w:t>
      </w:r>
      <w:r w:rsidR="008602F5" w:rsidRPr="00DD5ACF">
        <w:rPr>
          <w:rFonts w:ascii="Arial" w:hAnsi="Arial" w:cs="Arial"/>
          <w:lang w:val="en-US"/>
        </w:rPr>
        <w:t xml:space="preserve">including any unrest amongst the indigenous people, who could be subdued. </w:t>
      </w:r>
    </w:p>
    <w:p w14:paraId="2046E775" w14:textId="2F5330A1" w:rsidR="00AA29CB" w:rsidRPr="00DD5ACF" w:rsidRDefault="008367F1" w:rsidP="00A72E4A">
      <w:pPr>
        <w:spacing w:line="360" w:lineRule="auto"/>
        <w:rPr>
          <w:rFonts w:ascii="Arial" w:hAnsi="Arial" w:cs="Arial"/>
          <w:lang w:val="en-US"/>
        </w:rPr>
      </w:pPr>
      <w:r w:rsidRPr="00DD5ACF">
        <w:rPr>
          <w:rFonts w:ascii="Arial" w:hAnsi="Arial" w:cs="Arial"/>
          <w:lang w:val="en-US"/>
        </w:rPr>
        <w:t xml:space="preserve">During the Flavian era, extensive military fortifications along the </w:t>
      </w:r>
      <w:proofErr w:type="spellStart"/>
      <w:r w:rsidRPr="00DD5ACF">
        <w:rPr>
          <w:rFonts w:ascii="Arial" w:hAnsi="Arial" w:cs="Arial"/>
          <w:lang w:val="en-US"/>
        </w:rPr>
        <w:t>Coptos-Berenike</w:t>
      </w:r>
      <w:proofErr w:type="spellEnd"/>
      <w:r w:rsidRPr="00DD5ACF">
        <w:rPr>
          <w:rFonts w:ascii="Arial" w:hAnsi="Arial" w:cs="Arial"/>
          <w:lang w:val="en-US"/>
        </w:rPr>
        <w:t xml:space="preserve"> route was undertaken.</w:t>
      </w:r>
      <w:r w:rsidR="00383EB7">
        <w:rPr>
          <w:rStyle w:val="FootnoteReference"/>
          <w:rFonts w:ascii="Arial" w:hAnsi="Arial" w:cs="Arial"/>
          <w:lang w:val="en-US"/>
        </w:rPr>
        <w:footnoteReference w:id="40"/>
      </w:r>
      <w:r w:rsidRPr="00DD5ACF">
        <w:rPr>
          <w:rFonts w:ascii="Arial" w:hAnsi="Arial" w:cs="Arial"/>
          <w:lang w:val="en-US"/>
        </w:rPr>
        <w:t xml:space="preserve"> An inscription discovered in an excavation at </w:t>
      </w:r>
      <w:proofErr w:type="spellStart"/>
      <w:r w:rsidRPr="00DD5ACF">
        <w:rPr>
          <w:rFonts w:ascii="Arial" w:hAnsi="Arial" w:cs="Arial"/>
          <w:lang w:val="en-US"/>
        </w:rPr>
        <w:t>Siket</w:t>
      </w:r>
      <w:proofErr w:type="spellEnd"/>
      <w:r w:rsidRPr="00DD5ACF">
        <w:rPr>
          <w:rFonts w:ascii="Arial" w:hAnsi="Arial" w:cs="Arial"/>
          <w:lang w:val="en-US"/>
        </w:rPr>
        <w:t xml:space="preserve"> records the order by Egypt’s prefect, </w:t>
      </w:r>
      <w:proofErr w:type="spellStart"/>
      <w:r w:rsidRPr="00DD5ACF">
        <w:rPr>
          <w:rFonts w:ascii="Arial" w:hAnsi="Arial" w:cs="Arial"/>
          <w:lang w:val="en-US"/>
        </w:rPr>
        <w:t>Iulius</w:t>
      </w:r>
      <w:proofErr w:type="spellEnd"/>
      <w:r w:rsidRPr="00DD5ACF">
        <w:rPr>
          <w:rFonts w:ascii="Arial" w:hAnsi="Arial" w:cs="Arial"/>
          <w:lang w:val="en-US"/>
        </w:rPr>
        <w:t xml:space="preserve"> Ursu</w:t>
      </w:r>
      <w:r w:rsidR="001E7241" w:rsidRPr="00DD5ACF">
        <w:rPr>
          <w:rFonts w:ascii="Arial" w:hAnsi="Arial" w:cs="Arial"/>
          <w:lang w:val="en-US"/>
        </w:rPr>
        <w:t>s, to construct a well in the ninth year of Vespasian 76-77 CE.</w:t>
      </w:r>
      <w:r w:rsidR="00BF69C2">
        <w:rPr>
          <w:rStyle w:val="FootnoteReference"/>
          <w:rFonts w:ascii="Arial" w:hAnsi="Arial" w:cs="Arial"/>
          <w:lang w:val="en-US"/>
        </w:rPr>
        <w:footnoteReference w:id="41"/>
      </w:r>
      <w:r w:rsidR="001E7241" w:rsidRPr="00DD5ACF">
        <w:rPr>
          <w:rFonts w:ascii="Arial" w:hAnsi="Arial" w:cs="Arial"/>
          <w:lang w:val="en-US"/>
        </w:rPr>
        <w:t xml:space="preserve"> This inscription is similar in style to another found at </w:t>
      </w:r>
      <w:proofErr w:type="spellStart"/>
      <w:r w:rsidR="009C46B3" w:rsidRPr="00DD5ACF">
        <w:rPr>
          <w:rFonts w:ascii="Arial" w:hAnsi="Arial" w:cs="Arial"/>
          <w:lang w:val="en-US"/>
        </w:rPr>
        <w:t>Aphrodito</w:t>
      </w:r>
      <w:proofErr w:type="spellEnd"/>
      <w:r w:rsidR="009C46B3" w:rsidRPr="00DD5ACF">
        <w:rPr>
          <w:rFonts w:ascii="Arial" w:hAnsi="Arial" w:cs="Arial"/>
          <w:lang w:val="en-US"/>
        </w:rPr>
        <w:t xml:space="preserve"> (</w:t>
      </w:r>
      <w:proofErr w:type="spellStart"/>
      <w:proofErr w:type="gramStart"/>
      <w:r w:rsidR="009C46B3" w:rsidRPr="00DD5ACF">
        <w:rPr>
          <w:rFonts w:ascii="Arial" w:hAnsi="Arial" w:cs="Arial"/>
          <w:lang w:val="en-US"/>
        </w:rPr>
        <w:t>I.Pan</w:t>
      </w:r>
      <w:proofErr w:type="spellEnd"/>
      <w:proofErr w:type="gramEnd"/>
      <w:r w:rsidR="009C46B3" w:rsidRPr="00DD5ACF">
        <w:rPr>
          <w:rFonts w:ascii="Arial" w:hAnsi="Arial" w:cs="Arial"/>
          <w:lang w:val="en-US"/>
        </w:rPr>
        <w:t>. 68), with its provenance likely in the same period.</w:t>
      </w:r>
      <w:r w:rsidR="008A11E8">
        <w:rPr>
          <w:rStyle w:val="FootnoteReference"/>
          <w:rFonts w:ascii="Arial" w:hAnsi="Arial" w:cs="Arial"/>
          <w:lang w:val="en-US"/>
        </w:rPr>
        <w:footnoteReference w:id="42"/>
      </w:r>
      <w:r w:rsidR="009C46B3" w:rsidRPr="00DD5ACF">
        <w:rPr>
          <w:rFonts w:ascii="Arial" w:hAnsi="Arial" w:cs="Arial"/>
          <w:lang w:val="en-US"/>
        </w:rPr>
        <w:t xml:space="preserve"> Furthermore, an inscription from the praesidium of </w:t>
      </w:r>
      <w:proofErr w:type="spellStart"/>
      <w:r w:rsidR="009C46B3" w:rsidRPr="00DD5ACF">
        <w:rPr>
          <w:rFonts w:ascii="Arial" w:hAnsi="Arial" w:cs="Arial"/>
          <w:lang w:val="en-US"/>
        </w:rPr>
        <w:t>Didymoi</w:t>
      </w:r>
      <w:proofErr w:type="spellEnd"/>
      <w:r w:rsidR="009C46B3" w:rsidRPr="00DD5ACF">
        <w:rPr>
          <w:rFonts w:ascii="Arial" w:hAnsi="Arial" w:cs="Arial"/>
          <w:lang w:val="en-US"/>
        </w:rPr>
        <w:t xml:space="preserve"> indicates its provenance to be around 76CE, Egypt’s prefect, </w:t>
      </w:r>
      <w:proofErr w:type="spellStart"/>
      <w:r w:rsidR="009C46B3" w:rsidRPr="00DD5ACF">
        <w:rPr>
          <w:rFonts w:ascii="Arial" w:hAnsi="Arial" w:cs="Arial"/>
          <w:lang w:val="en-US"/>
        </w:rPr>
        <w:t>Mettius</w:t>
      </w:r>
      <w:proofErr w:type="spellEnd"/>
      <w:r w:rsidR="009C46B3" w:rsidRPr="00DD5ACF">
        <w:rPr>
          <w:rFonts w:ascii="Arial" w:hAnsi="Arial" w:cs="Arial"/>
          <w:lang w:val="en-US"/>
        </w:rPr>
        <w:t xml:space="preserve"> </w:t>
      </w:r>
      <w:r w:rsidR="00634ED8" w:rsidRPr="00DD5ACF">
        <w:rPr>
          <w:rFonts w:ascii="Arial" w:hAnsi="Arial" w:cs="Arial"/>
          <w:lang w:val="en-US"/>
        </w:rPr>
        <w:t xml:space="preserve">Rufus, </w:t>
      </w:r>
      <w:r w:rsidR="00634ED8" w:rsidRPr="00DD5ACF">
        <w:rPr>
          <w:rFonts w:ascii="Arial" w:hAnsi="Arial" w:cs="Arial"/>
          <w:lang w:val="en-US"/>
        </w:rPr>
        <w:lastRenderedPageBreak/>
        <w:t>from 89-92 CE, ordered further construction, including the addition of a large cistern to the existing two.</w:t>
      </w:r>
      <w:r w:rsidR="000746EA">
        <w:rPr>
          <w:rStyle w:val="FootnoteReference"/>
          <w:rFonts w:ascii="Arial" w:hAnsi="Arial" w:cs="Arial"/>
          <w:lang w:val="en-US"/>
        </w:rPr>
        <w:footnoteReference w:id="43"/>
      </w:r>
      <w:r w:rsidR="00634ED8" w:rsidRPr="00DD5ACF">
        <w:rPr>
          <w:rFonts w:ascii="Arial" w:hAnsi="Arial" w:cs="Arial"/>
          <w:lang w:val="en-US"/>
        </w:rPr>
        <w:t xml:space="preserve"> Subsequently, Pliny mentioned </w:t>
      </w:r>
      <w:proofErr w:type="spellStart"/>
      <w:r w:rsidR="00634ED8" w:rsidRPr="00DD5ACF">
        <w:rPr>
          <w:rFonts w:ascii="Arial" w:hAnsi="Arial" w:cs="Arial"/>
          <w:lang w:val="en-US"/>
        </w:rPr>
        <w:t>Trogodyticum</w:t>
      </w:r>
      <w:proofErr w:type="spellEnd"/>
      <w:r w:rsidR="00634ED8" w:rsidRPr="00DD5ACF">
        <w:rPr>
          <w:rFonts w:ascii="Arial" w:hAnsi="Arial" w:cs="Arial"/>
          <w:lang w:val="en-US"/>
        </w:rPr>
        <w:t xml:space="preserve"> </w:t>
      </w:r>
      <w:proofErr w:type="spellStart"/>
      <w:r w:rsidR="00634ED8" w:rsidRPr="00DD5ACF">
        <w:rPr>
          <w:rFonts w:ascii="Arial" w:hAnsi="Arial" w:cs="Arial"/>
          <w:lang w:val="en-US"/>
        </w:rPr>
        <w:t>hydreuma</w:t>
      </w:r>
      <w:proofErr w:type="spellEnd"/>
      <w:r w:rsidR="00634ED8" w:rsidRPr="00DD5ACF">
        <w:rPr>
          <w:rFonts w:ascii="Arial" w:hAnsi="Arial" w:cs="Arial"/>
          <w:lang w:val="en-US"/>
        </w:rPr>
        <w:t xml:space="preserve"> as a praesidium or a stopping point for travelers and merchants along the road.</w:t>
      </w:r>
      <w:r w:rsidR="000746EA">
        <w:rPr>
          <w:rStyle w:val="FootnoteReference"/>
          <w:rFonts w:ascii="Arial" w:hAnsi="Arial" w:cs="Arial"/>
          <w:lang w:val="en-US"/>
        </w:rPr>
        <w:footnoteReference w:id="44"/>
      </w:r>
      <w:r w:rsidR="00634ED8" w:rsidRPr="00DD5ACF">
        <w:rPr>
          <w:rFonts w:ascii="Arial" w:hAnsi="Arial" w:cs="Arial"/>
          <w:lang w:val="en-US"/>
        </w:rPr>
        <w:t xml:space="preserve"> </w:t>
      </w:r>
    </w:p>
    <w:p w14:paraId="7943C73F" w14:textId="1B62AE61" w:rsidR="008602F5" w:rsidRPr="00DD5ACF" w:rsidRDefault="00634ED8" w:rsidP="00A72E4A">
      <w:pPr>
        <w:spacing w:line="360" w:lineRule="auto"/>
        <w:rPr>
          <w:rFonts w:ascii="Arial" w:hAnsi="Arial" w:cs="Arial"/>
          <w:lang w:val="en-US"/>
        </w:rPr>
      </w:pPr>
      <w:r w:rsidRPr="00DD5ACF">
        <w:rPr>
          <w:rFonts w:ascii="Arial" w:hAnsi="Arial" w:cs="Arial"/>
          <w:lang w:val="en-US"/>
        </w:rPr>
        <w:t xml:space="preserve">These construction projects along the </w:t>
      </w:r>
      <w:proofErr w:type="spellStart"/>
      <w:r w:rsidRPr="00DD5ACF">
        <w:rPr>
          <w:rFonts w:ascii="Arial" w:hAnsi="Arial" w:cs="Arial"/>
          <w:lang w:val="en-US"/>
        </w:rPr>
        <w:t>Coptos-</w:t>
      </w:r>
      <w:r w:rsidR="00952DC5" w:rsidRPr="00DD5ACF">
        <w:rPr>
          <w:rFonts w:ascii="Arial" w:hAnsi="Arial" w:cs="Arial"/>
          <w:lang w:val="en-US"/>
        </w:rPr>
        <w:t>Myos</w:t>
      </w:r>
      <w:proofErr w:type="spellEnd"/>
      <w:r w:rsidR="00952DC5" w:rsidRPr="00DD5ACF">
        <w:rPr>
          <w:rFonts w:ascii="Arial" w:hAnsi="Arial" w:cs="Arial"/>
          <w:lang w:val="en-US"/>
        </w:rPr>
        <w:t xml:space="preserve"> </w:t>
      </w:r>
      <w:proofErr w:type="spellStart"/>
      <w:r w:rsidR="00952DC5" w:rsidRPr="00DD5ACF">
        <w:rPr>
          <w:rFonts w:ascii="Arial" w:hAnsi="Arial" w:cs="Arial"/>
          <w:lang w:val="en-US"/>
        </w:rPr>
        <w:t>Hormos</w:t>
      </w:r>
      <w:proofErr w:type="spellEnd"/>
      <w:r w:rsidRPr="00DD5ACF">
        <w:rPr>
          <w:rFonts w:ascii="Arial" w:hAnsi="Arial" w:cs="Arial"/>
          <w:lang w:val="en-US"/>
        </w:rPr>
        <w:t xml:space="preserve"> routes suggest instability within the region during the Flavian era. </w:t>
      </w:r>
      <w:r w:rsidR="00952DC5" w:rsidRPr="00DD5ACF">
        <w:rPr>
          <w:rFonts w:ascii="Arial" w:hAnsi="Arial" w:cs="Arial"/>
          <w:lang w:val="en-US"/>
        </w:rPr>
        <w:t xml:space="preserve">This then is </w:t>
      </w:r>
      <w:r w:rsidR="00756BE4" w:rsidRPr="00DD5ACF">
        <w:rPr>
          <w:rFonts w:ascii="Arial" w:hAnsi="Arial" w:cs="Arial"/>
          <w:lang w:val="en-US"/>
        </w:rPr>
        <w:t>contrasted</w:t>
      </w:r>
      <w:r w:rsidR="00952DC5" w:rsidRPr="00DD5ACF">
        <w:rPr>
          <w:rFonts w:ascii="Arial" w:hAnsi="Arial" w:cs="Arial"/>
          <w:lang w:val="en-US"/>
        </w:rPr>
        <w:t xml:space="preserve"> with the earlier Augustus period, where Pliny </w:t>
      </w:r>
      <w:r w:rsidR="00756BE4" w:rsidRPr="00DD5ACF">
        <w:rPr>
          <w:rFonts w:ascii="Arial" w:hAnsi="Arial" w:cs="Arial"/>
          <w:lang w:val="en-US"/>
        </w:rPr>
        <w:t>deliberately</w:t>
      </w:r>
      <w:r w:rsidR="00952DC5" w:rsidRPr="00DD5ACF">
        <w:rPr>
          <w:rFonts w:ascii="Arial" w:hAnsi="Arial" w:cs="Arial"/>
          <w:lang w:val="en-US"/>
        </w:rPr>
        <w:t xml:space="preserve"> downplays the threat of violence in the region, with no indications of escalation of tensions. </w:t>
      </w:r>
      <w:r w:rsidR="00756BE4" w:rsidRPr="00DD5ACF">
        <w:rPr>
          <w:rFonts w:ascii="Arial" w:hAnsi="Arial" w:cs="Arial"/>
          <w:lang w:val="en-US"/>
        </w:rPr>
        <w:t>Brun has proposed that a lack of evidence for fortifications in the Wadi al-</w:t>
      </w:r>
      <w:proofErr w:type="spellStart"/>
      <w:r w:rsidR="00756BE4" w:rsidRPr="00DD5ACF">
        <w:rPr>
          <w:rFonts w:ascii="Arial" w:hAnsi="Arial" w:cs="Arial"/>
          <w:lang w:val="en-US"/>
        </w:rPr>
        <w:t>Hammamat</w:t>
      </w:r>
      <w:proofErr w:type="spellEnd"/>
      <w:r w:rsidR="00756BE4" w:rsidRPr="00DD5ACF">
        <w:rPr>
          <w:rFonts w:ascii="Arial" w:hAnsi="Arial" w:cs="Arial"/>
          <w:lang w:val="en-US"/>
        </w:rPr>
        <w:t xml:space="preserve"> in the Flavian era, confirms Strabo’s remarks about the limited threats of violence posed by the indigenous communities.</w:t>
      </w:r>
      <w:r w:rsidR="000746EA">
        <w:rPr>
          <w:rStyle w:val="FootnoteReference"/>
          <w:rFonts w:ascii="Arial" w:hAnsi="Arial" w:cs="Arial"/>
          <w:lang w:val="en-US"/>
        </w:rPr>
        <w:footnoteReference w:id="45"/>
      </w:r>
      <w:r w:rsidR="00756BE4" w:rsidRPr="00DD5ACF">
        <w:rPr>
          <w:rFonts w:ascii="Arial" w:hAnsi="Arial" w:cs="Arial"/>
          <w:lang w:val="en-US"/>
        </w:rPr>
        <w:t xml:space="preserve"> </w:t>
      </w:r>
      <w:proofErr w:type="spellStart"/>
      <w:r w:rsidR="009A0C59" w:rsidRPr="00DD5ACF">
        <w:rPr>
          <w:rFonts w:ascii="Arial" w:hAnsi="Arial" w:cs="Arial"/>
          <w:lang w:val="en-US"/>
        </w:rPr>
        <w:t>Cuvigny</w:t>
      </w:r>
      <w:proofErr w:type="spellEnd"/>
      <w:r w:rsidR="009A0C59" w:rsidRPr="00DD5ACF">
        <w:rPr>
          <w:rFonts w:ascii="Arial" w:hAnsi="Arial" w:cs="Arial"/>
          <w:lang w:val="en-US"/>
        </w:rPr>
        <w:t xml:space="preserve"> further supports this contention that violence was not persistent in the region, with a fragmented inscription (only two of six slabs remain), documenting the efforts of the Roman military</w:t>
      </w:r>
      <w:r w:rsidR="008602F5" w:rsidRPr="00DD5ACF">
        <w:rPr>
          <w:rFonts w:ascii="Arial" w:hAnsi="Arial" w:cs="Arial"/>
          <w:lang w:val="en-US"/>
        </w:rPr>
        <w:t xml:space="preserve"> to work alongside the indigenous communities, improving the sustainability of the area- specifically Mons </w:t>
      </w:r>
      <w:proofErr w:type="spellStart"/>
      <w:r w:rsidR="008602F5" w:rsidRPr="00DD5ACF">
        <w:rPr>
          <w:rFonts w:ascii="Arial" w:hAnsi="Arial" w:cs="Arial"/>
          <w:lang w:val="en-US"/>
        </w:rPr>
        <w:t>Claudianus</w:t>
      </w:r>
      <w:proofErr w:type="spellEnd"/>
      <w:r w:rsidR="008602F5" w:rsidRPr="00DD5ACF">
        <w:rPr>
          <w:rFonts w:ascii="Arial" w:hAnsi="Arial" w:cs="Arial"/>
          <w:lang w:val="en-US"/>
        </w:rPr>
        <w:t>.</w:t>
      </w:r>
      <w:r w:rsidR="000746EA">
        <w:rPr>
          <w:rStyle w:val="FootnoteReference"/>
          <w:rFonts w:ascii="Arial" w:hAnsi="Arial" w:cs="Arial"/>
          <w:lang w:val="en-US"/>
        </w:rPr>
        <w:footnoteReference w:id="46"/>
      </w:r>
      <w:r w:rsidR="008602F5" w:rsidRPr="00DD5ACF">
        <w:rPr>
          <w:rFonts w:ascii="Arial" w:hAnsi="Arial" w:cs="Arial"/>
          <w:lang w:val="en-US"/>
        </w:rPr>
        <w:t xml:space="preserve"> For example, </w:t>
      </w:r>
      <w:r w:rsidR="00024C0A" w:rsidRPr="00DD5ACF">
        <w:rPr>
          <w:rFonts w:ascii="Arial" w:hAnsi="Arial" w:cs="Arial"/>
          <w:lang w:val="en-US"/>
        </w:rPr>
        <w:t xml:space="preserve">the presence of a </w:t>
      </w:r>
      <w:proofErr w:type="spellStart"/>
      <w:r w:rsidR="00024C0A" w:rsidRPr="00DD5ACF">
        <w:rPr>
          <w:rFonts w:ascii="Arial" w:hAnsi="Arial" w:cs="Arial"/>
          <w:lang w:val="en-US"/>
        </w:rPr>
        <w:t>siqiyah</w:t>
      </w:r>
      <w:proofErr w:type="spellEnd"/>
      <w:r w:rsidR="00024C0A" w:rsidRPr="00DD5ACF">
        <w:rPr>
          <w:rFonts w:ascii="Arial" w:hAnsi="Arial" w:cs="Arial"/>
          <w:lang w:val="en-US"/>
        </w:rPr>
        <w:t xml:space="preserve">, or a type of water lifting machine, was found at various sites along the </w:t>
      </w:r>
      <w:proofErr w:type="spellStart"/>
      <w:r w:rsidR="00024C0A" w:rsidRPr="00DD5ACF">
        <w:rPr>
          <w:rFonts w:ascii="Arial" w:hAnsi="Arial" w:cs="Arial"/>
          <w:lang w:val="en-US"/>
        </w:rPr>
        <w:t>Berenike</w:t>
      </w:r>
      <w:proofErr w:type="spellEnd"/>
      <w:r w:rsidR="00024C0A" w:rsidRPr="00DD5ACF">
        <w:rPr>
          <w:rFonts w:ascii="Arial" w:hAnsi="Arial" w:cs="Arial"/>
          <w:lang w:val="en-US"/>
        </w:rPr>
        <w:t xml:space="preserve"> road, highlighting the importance of water management and the adaptation of the technology to the area.</w:t>
      </w:r>
      <w:r w:rsidR="000C3ED0" w:rsidRPr="00DD5ACF">
        <w:rPr>
          <w:rFonts w:ascii="Arial" w:hAnsi="Arial" w:cs="Arial"/>
          <w:lang w:val="en-US"/>
        </w:rPr>
        <w:t xml:space="preserve"> The term “</w:t>
      </w:r>
      <w:proofErr w:type="spellStart"/>
      <w:r w:rsidR="000C3ED0" w:rsidRPr="00DD5ACF">
        <w:rPr>
          <w:rFonts w:ascii="Arial" w:hAnsi="Arial" w:cs="Arial"/>
          <w:lang w:val="en-US"/>
        </w:rPr>
        <w:t>siqiyah</w:t>
      </w:r>
      <w:proofErr w:type="spellEnd"/>
      <w:r w:rsidR="000C3ED0" w:rsidRPr="00DD5ACF">
        <w:rPr>
          <w:rFonts w:ascii="Arial" w:hAnsi="Arial" w:cs="Arial"/>
          <w:lang w:val="en-US"/>
        </w:rPr>
        <w:t xml:space="preserve"> pot” suggests that a </w:t>
      </w:r>
      <w:proofErr w:type="spellStart"/>
      <w:r w:rsidR="000C3ED0" w:rsidRPr="00DD5ACF">
        <w:rPr>
          <w:rFonts w:ascii="Arial" w:hAnsi="Arial" w:cs="Arial"/>
          <w:lang w:val="en-US"/>
        </w:rPr>
        <w:t>siqiyah</w:t>
      </w:r>
      <w:proofErr w:type="spellEnd"/>
      <w:r w:rsidR="000C3ED0" w:rsidRPr="00DD5ACF">
        <w:rPr>
          <w:rFonts w:ascii="Arial" w:hAnsi="Arial" w:cs="Arial"/>
          <w:lang w:val="en-US"/>
        </w:rPr>
        <w:t>, an Arabic word that derives from “</w:t>
      </w:r>
      <w:proofErr w:type="spellStart"/>
      <w:r w:rsidR="000C3ED0" w:rsidRPr="00DD5ACF">
        <w:rPr>
          <w:rFonts w:ascii="Arial" w:hAnsi="Arial" w:cs="Arial"/>
          <w:lang w:val="en-US"/>
        </w:rPr>
        <w:t>qawadis</w:t>
      </w:r>
      <w:proofErr w:type="spellEnd"/>
      <w:r w:rsidR="000C3ED0" w:rsidRPr="00DD5ACF">
        <w:rPr>
          <w:rFonts w:ascii="Arial" w:hAnsi="Arial" w:cs="Arial"/>
          <w:lang w:val="en-US"/>
        </w:rPr>
        <w:t>” was utilized in the region, which infers that there was a</w:t>
      </w:r>
      <w:r w:rsidR="00024C0A" w:rsidRPr="00DD5ACF">
        <w:rPr>
          <w:rFonts w:ascii="Arial" w:hAnsi="Arial" w:cs="Arial"/>
          <w:lang w:val="en-US"/>
        </w:rPr>
        <w:t xml:space="preserve"> mix of Roman engineering and</w:t>
      </w:r>
      <w:r w:rsidR="000C3ED0" w:rsidRPr="00DD5ACF">
        <w:rPr>
          <w:rFonts w:ascii="Arial" w:hAnsi="Arial" w:cs="Arial"/>
          <w:lang w:val="en-US"/>
        </w:rPr>
        <w:t xml:space="preserve"> indigenous communities- perhaps the Arabic </w:t>
      </w:r>
      <w:r w:rsidR="007D4B37" w:rsidRPr="00DD5ACF">
        <w:rPr>
          <w:rFonts w:ascii="Arial" w:hAnsi="Arial" w:cs="Arial"/>
          <w:lang w:val="en-US"/>
        </w:rPr>
        <w:t>Ichthyophagies’ knowledge</w:t>
      </w:r>
      <w:r w:rsidR="000C3ED0" w:rsidRPr="00DD5ACF">
        <w:rPr>
          <w:rFonts w:ascii="Arial" w:hAnsi="Arial" w:cs="Arial"/>
          <w:lang w:val="en-US"/>
        </w:rPr>
        <w:t xml:space="preserve"> of the technology. This cooperation allowed for a community in the praesidium to sustain itsel</w:t>
      </w:r>
      <w:r w:rsidR="006B4E30" w:rsidRPr="00DD5ACF">
        <w:rPr>
          <w:rFonts w:ascii="Arial" w:hAnsi="Arial" w:cs="Arial"/>
          <w:lang w:val="en-US"/>
        </w:rPr>
        <w:t>f. This is suppor</w:t>
      </w:r>
      <w:r w:rsidR="00F530C8" w:rsidRPr="00DD5ACF">
        <w:rPr>
          <w:rFonts w:ascii="Arial" w:hAnsi="Arial" w:cs="Arial"/>
          <w:lang w:val="en-US"/>
        </w:rPr>
        <w:t>ted</w:t>
      </w:r>
      <w:r w:rsidR="006B4E30" w:rsidRPr="00DD5ACF">
        <w:rPr>
          <w:rFonts w:ascii="Arial" w:hAnsi="Arial" w:cs="Arial"/>
          <w:lang w:val="en-US"/>
        </w:rPr>
        <w:t xml:space="preserve"> because a letter f</w:t>
      </w:r>
      <w:r w:rsidR="00FE5EAA" w:rsidRPr="00DD5ACF">
        <w:rPr>
          <w:rFonts w:ascii="Arial" w:hAnsi="Arial" w:cs="Arial"/>
          <w:lang w:val="en-US"/>
        </w:rPr>
        <w:t>rom</w:t>
      </w:r>
      <w:r w:rsidR="006B4E30" w:rsidRPr="00DD5ACF">
        <w:rPr>
          <w:rFonts w:ascii="Arial" w:hAnsi="Arial" w:cs="Arial"/>
          <w:lang w:val="en-US"/>
        </w:rPr>
        <w:t xml:space="preserve"> the </w:t>
      </w:r>
      <w:proofErr w:type="spellStart"/>
      <w:r w:rsidR="006B4E30" w:rsidRPr="00DD5ACF">
        <w:rPr>
          <w:rFonts w:ascii="Arial" w:hAnsi="Arial" w:cs="Arial"/>
          <w:lang w:val="en-US"/>
        </w:rPr>
        <w:t>Raima</w:t>
      </w:r>
      <w:proofErr w:type="spellEnd"/>
      <w:r w:rsidR="006B4E30" w:rsidRPr="00DD5ACF">
        <w:rPr>
          <w:rFonts w:ascii="Arial" w:hAnsi="Arial" w:cs="Arial"/>
          <w:lang w:val="en-US"/>
        </w:rPr>
        <w:t xml:space="preserve">, implies that a community was able to </w:t>
      </w:r>
      <w:r w:rsidR="00F530C8" w:rsidRPr="00DD5ACF">
        <w:rPr>
          <w:rFonts w:ascii="Arial" w:hAnsi="Arial" w:cs="Arial"/>
          <w:lang w:val="en-US"/>
        </w:rPr>
        <w:t>sustain</w:t>
      </w:r>
      <w:r w:rsidR="006B4E30" w:rsidRPr="00DD5ACF">
        <w:rPr>
          <w:rFonts w:ascii="Arial" w:hAnsi="Arial" w:cs="Arial"/>
          <w:lang w:val="en-US"/>
        </w:rPr>
        <w:t xml:space="preserve"> its</w:t>
      </w:r>
      <w:r w:rsidR="00F530C8" w:rsidRPr="00DD5ACF">
        <w:rPr>
          <w:rFonts w:ascii="Arial" w:hAnsi="Arial" w:cs="Arial"/>
          <w:lang w:val="en-US"/>
        </w:rPr>
        <w:t xml:space="preserve"> water supply</w:t>
      </w:r>
      <w:r w:rsidR="00E508EE">
        <w:rPr>
          <w:rFonts w:ascii="Arial" w:hAnsi="Arial" w:cs="Arial"/>
          <w:lang w:val="en-US"/>
        </w:rPr>
        <w:t xml:space="preserve"> and horticulture</w:t>
      </w:r>
      <w:r w:rsidR="006B4E30" w:rsidRPr="00DD5ACF">
        <w:rPr>
          <w:rFonts w:ascii="Arial" w:hAnsi="Arial" w:cs="Arial"/>
          <w:lang w:val="en-US"/>
        </w:rPr>
        <w:t xml:space="preserve"> even into the hot-season, when water wells would usually dry-up, perhaps because of the advancement in technology through a mix of Roman and local ingenuity.</w:t>
      </w:r>
      <w:r w:rsidR="00F530C8" w:rsidRPr="00DD5ACF">
        <w:rPr>
          <w:rStyle w:val="FootnoteReference"/>
          <w:rFonts w:ascii="Arial" w:hAnsi="Arial" w:cs="Arial"/>
          <w:lang w:val="en-US"/>
        </w:rPr>
        <w:footnoteReference w:id="47"/>
      </w:r>
    </w:p>
    <w:p w14:paraId="0324E441" w14:textId="7A376CB3" w:rsidR="007266A1" w:rsidRPr="00DD5ACF" w:rsidRDefault="000C3ED0" w:rsidP="00A72E4A">
      <w:pPr>
        <w:spacing w:line="360" w:lineRule="auto"/>
        <w:rPr>
          <w:rFonts w:ascii="Arial" w:hAnsi="Arial" w:cs="Arial"/>
          <w:lang w:val="en-US"/>
        </w:rPr>
      </w:pPr>
      <w:r w:rsidRPr="00DD5ACF">
        <w:rPr>
          <w:rFonts w:ascii="Arial" w:hAnsi="Arial" w:cs="Arial"/>
          <w:lang w:val="en-US"/>
        </w:rPr>
        <w:t>An</w:t>
      </w:r>
      <w:r w:rsidR="00A067A4" w:rsidRPr="00DD5ACF">
        <w:rPr>
          <w:rFonts w:ascii="Arial" w:hAnsi="Arial" w:cs="Arial"/>
          <w:lang w:val="en-US"/>
        </w:rPr>
        <w:t>other</w:t>
      </w:r>
      <w:r w:rsidRPr="00DD5ACF">
        <w:rPr>
          <w:rFonts w:ascii="Arial" w:hAnsi="Arial" w:cs="Arial"/>
          <w:lang w:val="en-US"/>
        </w:rPr>
        <w:t xml:space="preserve"> inscription</w:t>
      </w:r>
      <w:r w:rsidR="0096109E" w:rsidRPr="00DD5ACF">
        <w:rPr>
          <w:rFonts w:ascii="Arial" w:hAnsi="Arial" w:cs="Arial"/>
          <w:lang w:val="en-US"/>
        </w:rPr>
        <w:t xml:space="preserve"> illustrates that the </w:t>
      </w:r>
      <w:proofErr w:type="spellStart"/>
      <w:r w:rsidR="0096109E" w:rsidRPr="00DD5ACF">
        <w:rPr>
          <w:rFonts w:ascii="Arial" w:hAnsi="Arial" w:cs="Arial"/>
          <w:lang w:val="en-US"/>
        </w:rPr>
        <w:t>auxilum</w:t>
      </w:r>
      <w:proofErr w:type="spellEnd"/>
      <w:r w:rsidR="0096109E" w:rsidRPr="00DD5ACF">
        <w:rPr>
          <w:rFonts w:ascii="Arial" w:hAnsi="Arial" w:cs="Arial"/>
          <w:lang w:val="en-US"/>
        </w:rPr>
        <w:t xml:space="preserve"> constructed </w:t>
      </w:r>
      <w:proofErr w:type="spellStart"/>
      <w:r w:rsidR="0096109E" w:rsidRPr="00DD5ACF">
        <w:rPr>
          <w:rFonts w:ascii="Arial" w:hAnsi="Arial" w:cs="Arial"/>
          <w:lang w:val="en-US"/>
        </w:rPr>
        <w:t>lakkoi</w:t>
      </w:r>
      <w:proofErr w:type="spellEnd"/>
      <w:r w:rsidR="0096109E" w:rsidRPr="00DD5ACF">
        <w:rPr>
          <w:rFonts w:ascii="Arial" w:hAnsi="Arial" w:cs="Arial"/>
          <w:lang w:val="en-US"/>
        </w:rPr>
        <w:t xml:space="preserve"> at </w:t>
      </w:r>
      <w:proofErr w:type="spellStart"/>
      <w:r w:rsidR="0096109E" w:rsidRPr="00DD5ACF">
        <w:rPr>
          <w:rFonts w:ascii="Arial" w:hAnsi="Arial" w:cs="Arial"/>
          <w:lang w:val="en-US"/>
        </w:rPr>
        <w:t>Apollonos</w:t>
      </w:r>
      <w:proofErr w:type="spellEnd"/>
      <w:r w:rsidR="0096109E" w:rsidRPr="00DD5ACF">
        <w:rPr>
          <w:rFonts w:ascii="Arial" w:hAnsi="Arial" w:cs="Arial"/>
          <w:lang w:val="en-US"/>
        </w:rPr>
        <w:t xml:space="preserve"> </w:t>
      </w:r>
      <w:proofErr w:type="spellStart"/>
      <w:r w:rsidR="0096109E" w:rsidRPr="00DD5ACF">
        <w:rPr>
          <w:rFonts w:ascii="Arial" w:hAnsi="Arial" w:cs="Arial"/>
          <w:lang w:val="en-US"/>
        </w:rPr>
        <w:t>Hydreuma</w:t>
      </w:r>
      <w:proofErr w:type="spellEnd"/>
      <w:r w:rsidR="0096109E" w:rsidRPr="00DD5ACF">
        <w:rPr>
          <w:rFonts w:ascii="Arial" w:hAnsi="Arial" w:cs="Arial"/>
          <w:lang w:val="en-US"/>
        </w:rPr>
        <w:t xml:space="preserve">, </w:t>
      </w:r>
      <w:proofErr w:type="spellStart"/>
      <w:r w:rsidR="0096109E" w:rsidRPr="00DD5ACF">
        <w:rPr>
          <w:rFonts w:ascii="Arial" w:hAnsi="Arial" w:cs="Arial"/>
          <w:lang w:val="en-US"/>
        </w:rPr>
        <w:t>Compasi</w:t>
      </w:r>
      <w:proofErr w:type="spellEnd"/>
      <w:r w:rsidR="0096109E" w:rsidRPr="00DD5ACF">
        <w:rPr>
          <w:rFonts w:ascii="Arial" w:hAnsi="Arial" w:cs="Arial"/>
          <w:lang w:val="en-US"/>
        </w:rPr>
        <w:t xml:space="preserve"> and </w:t>
      </w:r>
      <w:proofErr w:type="spellStart"/>
      <w:r w:rsidR="0096109E" w:rsidRPr="00DD5ACF">
        <w:rPr>
          <w:rFonts w:ascii="Arial" w:hAnsi="Arial" w:cs="Arial"/>
          <w:lang w:val="en-US"/>
        </w:rPr>
        <w:t>Berenike</w:t>
      </w:r>
      <w:proofErr w:type="spellEnd"/>
      <w:r w:rsidR="0096109E" w:rsidRPr="00DD5ACF">
        <w:rPr>
          <w:rFonts w:ascii="Arial" w:hAnsi="Arial" w:cs="Arial"/>
          <w:lang w:val="en-US"/>
        </w:rPr>
        <w:t xml:space="preserve"> </w:t>
      </w:r>
      <w:r w:rsidR="00006608" w:rsidRPr="00DD5ACF">
        <w:rPr>
          <w:rFonts w:ascii="Arial" w:hAnsi="Arial" w:cs="Arial"/>
          <w:lang w:val="en-US"/>
        </w:rPr>
        <w:t>in connection</w:t>
      </w:r>
      <w:r w:rsidR="0096109E" w:rsidRPr="00DD5ACF">
        <w:rPr>
          <w:rFonts w:ascii="Arial" w:hAnsi="Arial" w:cs="Arial"/>
          <w:lang w:val="en-US"/>
        </w:rPr>
        <w:t xml:space="preserve"> with a camp or castrum at </w:t>
      </w:r>
      <w:proofErr w:type="spellStart"/>
      <w:r w:rsidR="0096109E" w:rsidRPr="00DD5ACF">
        <w:rPr>
          <w:rFonts w:ascii="Arial" w:hAnsi="Arial" w:cs="Arial"/>
          <w:lang w:val="en-US"/>
        </w:rPr>
        <w:t>Myos</w:t>
      </w:r>
      <w:proofErr w:type="spellEnd"/>
      <w:r w:rsidR="0096109E" w:rsidRPr="00DD5ACF">
        <w:rPr>
          <w:rFonts w:ascii="Arial" w:hAnsi="Arial" w:cs="Arial"/>
          <w:lang w:val="en-US"/>
        </w:rPr>
        <w:t xml:space="preserve"> </w:t>
      </w:r>
      <w:proofErr w:type="spellStart"/>
      <w:r w:rsidR="0096109E" w:rsidRPr="00DD5ACF">
        <w:rPr>
          <w:rFonts w:ascii="Arial" w:hAnsi="Arial" w:cs="Arial"/>
          <w:lang w:val="en-US"/>
        </w:rPr>
        <w:lastRenderedPageBreak/>
        <w:t>Hormos</w:t>
      </w:r>
      <w:proofErr w:type="spellEnd"/>
      <w:r w:rsidR="0096109E" w:rsidRPr="00DD5ACF">
        <w:rPr>
          <w:rFonts w:ascii="Arial" w:hAnsi="Arial" w:cs="Arial"/>
          <w:lang w:val="en-US"/>
        </w:rPr>
        <w:t>.</w:t>
      </w:r>
      <w:r w:rsidR="00E508EE">
        <w:rPr>
          <w:rStyle w:val="FootnoteReference"/>
          <w:rFonts w:ascii="Arial" w:hAnsi="Arial" w:cs="Arial"/>
          <w:lang w:val="en-US"/>
        </w:rPr>
        <w:footnoteReference w:id="48"/>
      </w:r>
      <w:r w:rsidR="0096109E" w:rsidRPr="00DD5ACF">
        <w:rPr>
          <w:rFonts w:ascii="Arial" w:hAnsi="Arial" w:cs="Arial"/>
          <w:lang w:val="en-US"/>
        </w:rPr>
        <w:t xml:space="preserve"> </w:t>
      </w:r>
      <w:r w:rsidR="00006608" w:rsidRPr="00DD5ACF">
        <w:rPr>
          <w:rFonts w:ascii="Arial" w:hAnsi="Arial" w:cs="Arial"/>
          <w:lang w:val="en-US"/>
        </w:rPr>
        <w:t xml:space="preserve">The inscription serves a type of receipt, where it lists the goods, but also the names of the workers, including soldiers, </w:t>
      </w:r>
      <w:r w:rsidR="004A3668" w:rsidRPr="00DD5ACF">
        <w:rPr>
          <w:rFonts w:ascii="Arial" w:hAnsi="Arial" w:cs="Arial"/>
          <w:lang w:val="en-US"/>
        </w:rPr>
        <w:t>centuries,</w:t>
      </w:r>
      <w:r w:rsidR="001C3A88" w:rsidRPr="00DD5ACF">
        <w:rPr>
          <w:rFonts w:ascii="Arial" w:hAnsi="Arial" w:cs="Arial"/>
          <w:lang w:val="en-US"/>
        </w:rPr>
        <w:t xml:space="preserve"> and cohorts. However, the provenance of the inscription is unclear, there is mention of Galatian soldiers which </w:t>
      </w:r>
      <w:r w:rsidR="004A3668" w:rsidRPr="00DD5ACF">
        <w:rPr>
          <w:rFonts w:ascii="Arial" w:hAnsi="Arial" w:cs="Arial"/>
          <w:lang w:val="en-US"/>
        </w:rPr>
        <w:t xml:space="preserve">allows historians to infer that it was </w:t>
      </w:r>
      <w:r w:rsidR="001C3A88" w:rsidRPr="00DD5ACF">
        <w:rPr>
          <w:rFonts w:ascii="Arial" w:hAnsi="Arial" w:cs="Arial"/>
          <w:lang w:val="en-US"/>
        </w:rPr>
        <w:t xml:space="preserve">created in the </w:t>
      </w:r>
      <w:proofErr w:type="spellStart"/>
      <w:r w:rsidR="001C3A88" w:rsidRPr="00DD5ACF">
        <w:rPr>
          <w:rFonts w:ascii="Arial" w:hAnsi="Arial" w:cs="Arial"/>
          <w:lang w:val="en-US"/>
        </w:rPr>
        <w:t>Augustun</w:t>
      </w:r>
      <w:proofErr w:type="spellEnd"/>
      <w:r w:rsidR="001C3A88" w:rsidRPr="00DD5ACF">
        <w:rPr>
          <w:rFonts w:ascii="Arial" w:hAnsi="Arial" w:cs="Arial"/>
          <w:lang w:val="en-US"/>
        </w:rPr>
        <w:t xml:space="preserve"> or Tiberian periods</w:t>
      </w:r>
      <w:r w:rsidR="00A54650" w:rsidRPr="00DD5ACF">
        <w:rPr>
          <w:rFonts w:ascii="Arial" w:hAnsi="Arial" w:cs="Arial"/>
          <w:lang w:val="en-US"/>
        </w:rPr>
        <w:t xml:space="preserve">, and belonging to the XXII </w:t>
      </w:r>
      <w:proofErr w:type="spellStart"/>
      <w:r w:rsidR="00A54650" w:rsidRPr="00DD5ACF">
        <w:rPr>
          <w:rFonts w:ascii="Arial" w:hAnsi="Arial" w:cs="Arial"/>
          <w:lang w:val="en-US"/>
        </w:rPr>
        <w:t>Deiotariana</w:t>
      </w:r>
      <w:proofErr w:type="spellEnd"/>
      <w:r w:rsidR="00A54650" w:rsidRPr="00DD5ACF">
        <w:rPr>
          <w:rFonts w:ascii="Arial" w:hAnsi="Arial" w:cs="Arial"/>
          <w:lang w:val="en-US"/>
        </w:rPr>
        <w:t xml:space="preserve">, a legion originally raised by </w:t>
      </w:r>
      <w:proofErr w:type="spellStart"/>
      <w:r w:rsidR="00A54650" w:rsidRPr="00DD5ACF">
        <w:rPr>
          <w:rFonts w:ascii="Arial" w:hAnsi="Arial" w:cs="Arial"/>
          <w:lang w:val="en-US"/>
        </w:rPr>
        <w:t>Deiotarus</w:t>
      </w:r>
      <w:proofErr w:type="spellEnd"/>
      <w:r w:rsidR="00A54650" w:rsidRPr="00DD5ACF">
        <w:rPr>
          <w:rFonts w:ascii="Arial" w:hAnsi="Arial" w:cs="Arial"/>
          <w:lang w:val="en-US"/>
        </w:rPr>
        <w:t xml:space="preserve"> of Galatia and based in Egypt during the </w:t>
      </w:r>
      <w:r w:rsidR="00A52A40" w:rsidRPr="00DD5ACF">
        <w:rPr>
          <w:rFonts w:ascii="Arial" w:hAnsi="Arial" w:cs="Arial"/>
          <w:lang w:val="en-US"/>
        </w:rPr>
        <w:t>Augustus-Tiberian periods</w:t>
      </w:r>
      <w:r w:rsidRPr="00DD5ACF">
        <w:rPr>
          <w:rFonts w:ascii="Arial" w:hAnsi="Arial" w:cs="Arial"/>
          <w:lang w:val="en-US"/>
        </w:rPr>
        <w:t>, again an outside or indigenous-Roman blend.</w:t>
      </w:r>
      <w:r w:rsidR="00E508EE">
        <w:rPr>
          <w:rStyle w:val="FootnoteReference"/>
          <w:rFonts w:ascii="Arial" w:hAnsi="Arial" w:cs="Arial"/>
          <w:lang w:val="en-US"/>
        </w:rPr>
        <w:footnoteReference w:id="49"/>
      </w:r>
    </w:p>
    <w:p w14:paraId="50470E7F" w14:textId="1AE400AE" w:rsidR="00F55C3E" w:rsidRPr="00DD5ACF" w:rsidRDefault="001C27BE" w:rsidP="00A72E4A">
      <w:pPr>
        <w:spacing w:line="360" w:lineRule="auto"/>
        <w:rPr>
          <w:rFonts w:ascii="Arial" w:hAnsi="Arial" w:cs="Arial"/>
          <w:lang w:val="en-US"/>
        </w:rPr>
      </w:pPr>
      <w:r>
        <w:rPr>
          <w:rFonts w:ascii="Arial" w:hAnsi="Arial" w:cs="Arial"/>
          <w:lang w:val="en-US"/>
        </w:rPr>
        <w:t>Furthermore,</w:t>
      </w:r>
      <w:r w:rsidR="00A52A40" w:rsidRPr="00DD5ACF">
        <w:rPr>
          <w:rFonts w:ascii="Arial" w:hAnsi="Arial" w:cs="Arial"/>
          <w:lang w:val="en-US"/>
        </w:rPr>
        <w:t xml:space="preserve"> </w:t>
      </w:r>
      <w:proofErr w:type="spellStart"/>
      <w:r w:rsidR="00A52A40" w:rsidRPr="00DD5ACF">
        <w:rPr>
          <w:rFonts w:ascii="Arial" w:hAnsi="Arial" w:cs="Arial"/>
          <w:lang w:val="en-US"/>
        </w:rPr>
        <w:t>Cuvigny</w:t>
      </w:r>
      <w:proofErr w:type="spellEnd"/>
      <w:r w:rsidR="00A52A40" w:rsidRPr="00DD5ACF">
        <w:rPr>
          <w:rFonts w:ascii="Arial" w:hAnsi="Arial" w:cs="Arial"/>
          <w:lang w:val="en-US"/>
        </w:rPr>
        <w:t xml:space="preserve"> </w:t>
      </w:r>
      <w:r w:rsidR="00AA29CB" w:rsidRPr="00DD5ACF">
        <w:rPr>
          <w:rFonts w:ascii="Arial" w:hAnsi="Arial" w:cs="Arial"/>
          <w:lang w:val="en-US"/>
        </w:rPr>
        <w:t>disputes the provenance</w:t>
      </w:r>
      <w:r w:rsidR="000C3ED0" w:rsidRPr="00DD5ACF">
        <w:rPr>
          <w:rFonts w:ascii="Arial" w:hAnsi="Arial" w:cs="Arial"/>
          <w:lang w:val="en-US"/>
        </w:rPr>
        <w:t xml:space="preserve"> of the inscription</w:t>
      </w:r>
      <w:r w:rsidR="00AA29CB" w:rsidRPr="00DD5ACF">
        <w:rPr>
          <w:rFonts w:ascii="Arial" w:hAnsi="Arial" w:cs="Arial"/>
          <w:lang w:val="en-US"/>
        </w:rPr>
        <w:t>, contending that it should be dated towards the Julio-Claudian period</w:t>
      </w:r>
      <w:r w:rsidR="00545149" w:rsidRPr="00DD5ACF">
        <w:rPr>
          <w:rFonts w:ascii="Arial" w:hAnsi="Arial" w:cs="Arial"/>
          <w:lang w:val="en-US"/>
        </w:rPr>
        <w:t>, not Flavian</w:t>
      </w:r>
      <w:r w:rsidR="00AA29CB" w:rsidRPr="00DD5ACF">
        <w:rPr>
          <w:rFonts w:ascii="Arial" w:hAnsi="Arial" w:cs="Arial"/>
          <w:lang w:val="en-US"/>
        </w:rPr>
        <w:t>.</w:t>
      </w:r>
      <w:r w:rsidR="00102E3C">
        <w:rPr>
          <w:rStyle w:val="FootnoteReference"/>
          <w:rFonts w:ascii="Arial" w:hAnsi="Arial" w:cs="Arial"/>
          <w:lang w:val="en-US"/>
        </w:rPr>
        <w:footnoteReference w:id="50"/>
      </w:r>
      <w:r w:rsidR="00AA29CB" w:rsidRPr="00DD5ACF">
        <w:rPr>
          <w:rFonts w:ascii="Arial" w:hAnsi="Arial" w:cs="Arial"/>
          <w:lang w:val="en-US"/>
        </w:rPr>
        <w:t xml:space="preserve"> Support for this is because it mentions the construction of the </w:t>
      </w:r>
      <w:proofErr w:type="spellStart"/>
      <w:r w:rsidR="00AA29CB" w:rsidRPr="00DD5ACF">
        <w:rPr>
          <w:rFonts w:ascii="Arial" w:hAnsi="Arial" w:cs="Arial"/>
          <w:lang w:val="en-US"/>
        </w:rPr>
        <w:t>lakkoi</w:t>
      </w:r>
      <w:proofErr w:type="spellEnd"/>
      <w:r w:rsidR="00AA29CB" w:rsidRPr="00DD5ACF">
        <w:rPr>
          <w:rFonts w:ascii="Arial" w:hAnsi="Arial" w:cs="Arial"/>
          <w:lang w:val="en-US"/>
        </w:rPr>
        <w:t xml:space="preserve"> rather than praesidia, suggesting that the unfortified systems were adequate during the period</w:t>
      </w:r>
      <w:r>
        <w:rPr>
          <w:rStyle w:val="FootnoteReference"/>
          <w:rFonts w:ascii="Arial" w:hAnsi="Arial" w:cs="Arial"/>
          <w:lang w:val="en-US"/>
        </w:rPr>
        <w:footnoteReference w:id="51"/>
      </w:r>
      <w:r w:rsidR="00A26231" w:rsidRPr="00DD5ACF">
        <w:rPr>
          <w:rFonts w:ascii="Arial" w:hAnsi="Arial" w:cs="Arial"/>
          <w:lang w:val="en-US"/>
        </w:rPr>
        <w:t>, with less or no intensification of hostility between Roman garrisons and indigenous populations.</w:t>
      </w:r>
      <w:r w:rsidR="00017F0F">
        <w:rPr>
          <w:rStyle w:val="FootnoteReference"/>
          <w:rFonts w:ascii="Arial" w:hAnsi="Arial" w:cs="Arial"/>
          <w:lang w:val="en-US"/>
        </w:rPr>
        <w:footnoteReference w:id="52"/>
      </w:r>
      <w:r w:rsidR="00A26231" w:rsidRPr="00DD5ACF">
        <w:rPr>
          <w:rFonts w:ascii="Arial" w:hAnsi="Arial" w:cs="Arial"/>
          <w:lang w:val="en-US"/>
        </w:rPr>
        <w:t xml:space="preserve"> </w:t>
      </w:r>
      <w:r w:rsidR="00F93C2F" w:rsidRPr="00DD5ACF">
        <w:rPr>
          <w:rFonts w:ascii="Arial" w:hAnsi="Arial" w:cs="Arial"/>
          <w:lang w:val="en-US"/>
        </w:rPr>
        <w:t xml:space="preserve">Despite the uncertainties regarding the provenance of the inscription, the idea of a peaceful Julio-Claudian period should be met with criticism, given the significant security and instability met with the integration of the Hellenistic Egypt of Cleopatra VII period. Pliny mentions stopping-points along the </w:t>
      </w:r>
      <w:proofErr w:type="spellStart"/>
      <w:r w:rsidR="00F93C2F" w:rsidRPr="00DD5ACF">
        <w:rPr>
          <w:rFonts w:ascii="Arial" w:hAnsi="Arial" w:cs="Arial"/>
          <w:lang w:val="en-US"/>
        </w:rPr>
        <w:t>Coptos-Bernike</w:t>
      </w:r>
      <w:proofErr w:type="spellEnd"/>
      <w:r w:rsidR="00F93C2F" w:rsidRPr="00DD5ACF">
        <w:rPr>
          <w:rFonts w:ascii="Arial" w:hAnsi="Arial" w:cs="Arial"/>
          <w:lang w:val="en-US"/>
        </w:rPr>
        <w:t xml:space="preserve"> route, which likely date back to the military posts established by Ptolemy II to protect against</w:t>
      </w:r>
      <w:r w:rsidR="00676240" w:rsidRPr="00DD5ACF">
        <w:rPr>
          <w:rFonts w:ascii="Arial" w:hAnsi="Arial" w:cs="Arial"/>
          <w:lang w:val="en-US"/>
        </w:rPr>
        <w:t xml:space="preserve"> </w:t>
      </w:r>
      <w:r w:rsidR="00F93C2F" w:rsidRPr="00DD5ACF">
        <w:rPr>
          <w:rFonts w:ascii="Arial" w:hAnsi="Arial" w:cs="Arial"/>
          <w:lang w:val="en-US"/>
        </w:rPr>
        <w:t>banditry and potential threats from the Seleucids.</w:t>
      </w:r>
      <w:r w:rsidR="00017F0F">
        <w:rPr>
          <w:rStyle w:val="FootnoteReference"/>
          <w:rFonts w:ascii="Arial" w:hAnsi="Arial" w:cs="Arial"/>
          <w:lang w:val="en-US"/>
        </w:rPr>
        <w:footnoteReference w:id="53"/>
      </w:r>
      <w:r w:rsidR="00F93C2F" w:rsidRPr="00DD5ACF">
        <w:rPr>
          <w:rFonts w:ascii="Arial" w:hAnsi="Arial" w:cs="Arial"/>
          <w:lang w:val="en-US"/>
        </w:rPr>
        <w:t xml:space="preserve"> </w:t>
      </w:r>
      <w:proofErr w:type="spellStart"/>
      <w:r w:rsidR="00676240" w:rsidRPr="00DD5ACF">
        <w:rPr>
          <w:rFonts w:ascii="Arial" w:hAnsi="Arial" w:cs="Arial"/>
          <w:lang w:val="en-US"/>
        </w:rPr>
        <w:t>Sidebotham</w:t>
      </w:r>
      <w:proofErr w:type="spellEnd"/>
      <w:r w:rsidR="00676240" w:rsidRPr="00DD5ACF">
        <w:rPr>
          <w:rFonts w:ascii="Arial" w:hAnsi="Arial" w:cs="Arial"/>
          <w:lang w:val="en-US"/>
        </w:rPr>
        <w:t xml:space="preserve"> argues that it is unlikely that the </w:t>
      </w:r>
      <w:proofErr w:type="spellStart"/>
      <w:r w:rsidR="00676240" w:rsidRPr="00DD5ACF">
        <w:rPr>
          <w:rFonts w:ascii="Arial" w:hAnsi="Arial" w:cs="Arial"/>
          <w:lang w:val="en-US"/>
        </w:rPr>
        <w:t>masiones</w:t>
      </w:r>
      <w:proofErr w:type="spellEnd"/>
      <w:r w:rsidR="00676240" w:rsidRPr="00DD5ACF">
        <w:rPr>
          <w:rFonts w:ascii="Arial" w:hAnsi="Arial" w:cs="Arial"/>
          <w:lang w:val="en-US"/>
        </w:rPr>
        <w:t xml:space="preserve"> (stopping-points) along the </w:t>
      </w:r>
      <w:proofErr w:type="spellStart"/>
      <w:r w:rsidR="00676240" w:rsidRPr="00DD5ACF">
        <w:rPr>
          <w:rFonts w:ascii="Arial" w:hAnsi="Arial" w:cs="Arial"/>
          <w:lang w:val="en-US"/>
        </w:rPr>
        <w:t>Coptos-Bernike</w:t>
      </w:r>
      <w:proofErr w:type="spellEnd"/>
      <w:r w:rsidR="00676240" w:rsidRPr="00DD5ACF">
        <w:rPr>
          <w:rFonts w:ascii="Arial" w:hAnsi="Arial" w:cs="Arial"/>
          <w:lang w:val="en-US"/>
        </w:rPr>
        <w:t xml:space="preserve"> route were established within only a decade of Flavian rule, and that Pliny’s lists might then have come from the Map of Marcus Agrippa.</w:t>
      </w:r>
      <w:r w:rsidR="00017F0F">
        <w:rPr>
          <w:rStyle w:val="FootnoteReference"/>
          <w:rFonts w:ascii="Arial" w:hAnsi="Arial" w:cs="Arial"/>
          <w:lang w:val="en-US"/>
        </w:rPr>
        <w:footnoteReference w:id="54"/>
      </w:r>
      <w:r w:rsidR="00676240" w:rsidRPr="00DD5ACF">
        <w:rPr>
          <w:rFonts w:ascii="Arial" w:hAnsi="Arial" w:cs="Arial"/>
          <w:lang w:val="en-US"/>
        </w:rPr>
        <w:t xml:space="preserve"> Subsequently though, the evidence might have suggested escalation in the area during the Flavian period</w:t>
      </w:r>
      <w:r w:rsidR="00545149" w:rsidRPr="00DD5ACF">
        <w:rPr>
          <w:rFonts w:ascii="Arial" w:hAnsi="Arial" w:cs="Arial"/>
          <w:lang w:val="en-US"/>
        </w:rPr>
        <w:t xml:space="preserve">-except for assistance from the Arabic </w:t>
      </w:r>
      <w:proofErr w:type="spellStart"/>
      <w:r w:rsidR="00545149" w:rsidRPr="00DD5ACF">
        <w:rPr>
          <w:rFonts w:ascii="Arial" w:hAnsi="Arial" w:cs="Arial"/>
          <w:lang w:val="en-US"/>
        </w:rPr>
        <w:t>Ichthyophagoi</w:t>
      </w:r>
      <w:proofErr w:type="spellEnd"/>
      <w:r w:rsidR="00545149" w:rsidRPr="00DD5ACF">
        <w:rPr>
          <w:rFonts w:ascii="Arial" w:hAnsi="Arial" w:cs="Arial"/>
          <w:lang w:val="en-US"/>
        </w:rPr>
        <w:t>- who might have in turned helped the Romans,</w:t>
      </w:r>
      <w:r w:rsidR="00676240" w:rsidRPr="00DD5ACF">
        <w:rPr>
          <w:rFonts w:ascii="Arial" w:hAnsi="Arial" w:cs="Arial"/>
          <w:lang w:val="en-US"/>
        </w:rPr>
        <w:t xml:space="preserve"> into the second century CE. Again, this is supported by </w:t>
      </w:r>
      <w:r w:rsidR="00676240" w:rsidRPr="00DD5ACF">
        <w:rPr>
          <w:rFonts w:ascii="Arial" w:hAnsi="Arial" w:cs="Arial"/>
          <w:lang w:val="en-US"/>
        </w:rPr>
        <w:lastRenderedPageBreak/>
        <w:t xml:space="preserve">the building projects and </w:t>
      </w:r>
      <w:r w:rsidR="00F55C3E" w:rsidRPr="00DD5ACF">
        <w:rPr>
          <w:rFonts w:ascii="Arial" w:hAnsi="Arial" w:cs="Arial"/>
          <w:lang w:val="en-US"/>
        </w:rPr>
        <w:t xml:space="preserve">the </w:t>
      </w:r>
      <w:proofErr w:type="spellStart"/>
      <w:r w:rsidR="00F55C3E" w:rsidRPr="00DD5ACF">
        <w:rPr>
          <w:rFonts w:ascii="Arial" w:hAnsi="Arial" w:cs="Arial"/>
          <w:lang w:val="en-US"/>
        </w:rPr>
        <w:t>Krokodilo</w:t>
      </w:r>
      <w:proofErr w:type="spellEnd"/>
      <w:r w:rsidR="00F55C3E" w:rsidRPr="00DD5ACF">
        <w:rPr>
          <w:rFonts w:ascii="Arial" w:hAnsi="Arial" w:cs="Arial"/>
          <w:lang w:val="en-US"/>
        </w:rPr>
        <w:t xml:space="preserve"> ostraca which provides strong support for real threats of violence in the second century CE.</w:t>
      </w:r>
      <w:r w:rsidR="00545149" w:rsidRPr="00DD5ACF">
        <w:rPr>
          <w:rFonts w:ascii="Arial" w:hAnsi="Arial" w:cs="Arial"/>
          <w:lang w:val="en-US"/>
        </w:rPr>
        <w:t xml:space="preserve"> </w:t>
      </w:r>
    </w:p>
    <w:p w14:paraId="2A202279" w14:textId="09859919" w:rsidR="00E60C51" w:rsidRPr="00DD5ACF" w:rsidRDefault="00676240" w:rsidP="00A72E4A">
      <w:pPr>
        <w:spacing w:line="360" w:lineRule="auto"/>
        <w:rPr>
          <w:rFonts w:ascii="Arial" w:hAnsi="Arial" w:cs="Arial"/>
          <w:lang w:val="en-US"/>
        </w:rPr>
      </w:pPr>
      <w:r w:rsidRPr="00DD5ACF">
        <w:rPr>
          <w:rFonts w:ascii="Arial" w:hAnsi="Arial" w:cs="Arial"/>
          <w:lang w:val="en-US"/>
        </w:rPr>
        <w:t xml:space="preserve"> </w:t>
      </w:r>
      <w:r w:rsidR="00C15D2C" w:rsidRPr="00DD5ACF">
        <w:rPr>
          <w:rFonts w:ascii="Arial" w:hAnsi="Arial" w:cs="Arial"/>
          <w:lang w:val="en-US"/>
        </w:rPr>
        <w:t xml:space="preserve">An apparent rise in tension during the Flavian period </w:t>
      </w:r>
      <w:r w:rsidR="000B4829" w:rsidRPr="00DD5ACF">
        <w:rPr>
          <w:rFonts w:ascii="Arial" w:hAnsi="Arial" w:cs="Arial"/>
          <w:lang w:val="en-US"/>
        </w:rPr>
        <w:t>and early second century CE, potentially influenced the acquisition of camels by indigenous communities</w:t>
      </w:r>
      <w:r w:rsidR="003579A1" w:rsidRPr="00DD5ACF">
        <w:rPr>
          <w:rFonts w:ascii="Arial" w:hAnsi="Arial" w:cs="Arial"/>
          <w:lang w:val="en-US"/>
        </w:rPr>
        <w:t xml:space="preserve">, is of pivotal importance when examining the socio-economic dynamics of trade networks in Ancient Red Sea region, as understanding this impact allows historians to consider how trade routes, exchange patterns, and interactions between indigenous communities and external traders were </w:t>
      </w:r>
      <w:r w:rsidR="00F530C8" w:rsidRPr="00DD5ACF">
        <w:rPr>
          <w:rFonts w:ascii="Arial" w:hAnsi="Arial" w:cs="Arial"/>
          <w:lang w:val="en-US"/>
        </w:rPr>
        <w:t>affected</w:t>
      </w:r>
      <w:r w:rsidR="003579A1" w:rsidRPr="00DD5ACF">
        <w:rPr>
          <w:rFonts w:ascii="Arial" w:hAnsi="Arial" w:cs="Arial"/>
          <w:lang w:val="en-US"/>
        </w:rPr>
        <w:t xml:space="preserve"> during the Flavian </w:t>
      </w:r>
      <w:r w:rsidR="00F530C8" w:rsidRPr="00DD5ACF">
        <w:rPr>
          <w:rFonts w:ascii="Arial" w:hAnsi="Arial" w:cs="Arial"/>
          <w:lang w:val="en-US"/>
        </w:rPr>
        <w:t>period</w:t>
      </w:r>
      <w:r w:rsidR="003579A1" w:rsidRPr="00DD5ACF">
        <w:rPr>
          <w:rFonts w:ascii="Arial" w:hAnsi="Arial" w:cs="Arial"/>
          <w:lang w:val="en-US"/>
        </w:rPr>
        <w:t>.</w:t>
      </w:r>
      <w:r w:rsidR="00102E3C">
        <w:rPr>
          <w:rStyle w:val="FootnoteReference"/>
          <w:rFonts w:ascii="Arial" w:hAnsi="Arial" w:cs="Arial"/>
          <w:lang w:val="en-US"/>
        </w:rPr>
        <w:footnoteReference w:id="55"/>
      </w:r>
      <w:r w:rsidR="003579A1" w:rsidRPr="00DD5ACF">
        <w:rPr>
          <w:rFonts w:ascii="Arial" w:hAnsi="Arial" w:cs="Arial"/>
          <w:lang w:val="en-US"/>
        </w:rPr>
        <w:t xml:space="preserve"> </w:t>
      </w:r>
      <w:proofErr w:type="spellStart"/>
      <w:r w:rsidR="00E60C51" w:rsidRPr="00DD5ACF">
        <w:rPr>
          <w:rFonts w:ascii="Arial" w:hAnsi="Arial" w:cs="Arial"/>
          <w:lang w:val="en-US"/>
        </w:rPr>
        <w:t>Cuvigny</w:t>
      </w:r>
      <w:proofErr w:type="spellEnd"/>
      <w:r w:rsidR="00E60C51" w:rsidRPr="00DD5ACF">
        <w:rPr>
          <w:rFonts w:ascii="Arial" w:hAnsi="Arial" w:cs="Arial"/>
          <w:lang w:val="en-US"/>
        </w:rPr>
        <w:t xml:space="preserve"> suggests that pressure from the Blemmyes to the south, coupled with increased traffic, might have escalated tensions in the regio</w:t>
      </w:r>
      <w:r w:rsidR="00F530C8" w:rsidRPr="00DD5ACF">
        <w:rPr>
          <w:rFonts w:ascii="Arial" w:hAnsi="Arial" w:cs="Arial"/>
          <w:lang w:val="en-US"/>
        </w:rPr>
        <w:t>n</w:t>
      </w:r>
      <w:r w:rsidR="00E60C51" w:rsidRPr="00DD5ACF">
        <w:rPr>
          <w:rFonts w:ascii="Arial" w:hAnsi="Arial" w:cs="Arial"/>
          <w:lang w:val="en-US"/>
        </w:rPr>
        <w:t>.</w:t>
      </w:r>
      <w:r w:rsidR="00102E3C">
        <w:rPr>
          <w:rStyle w:val="FootnoteReference"/>
          <w:rFonts w:ascii="Arial" w:hAnsi="Arial" w:cs="Arial"/>
          <w:lang w:val="en-US"/>
        </w:rPr>
        <w:footnoteReference w:id="56"/>
      </w:r>
      <w:r w:rsidR="00E60C51" w:rsidRPr="00DD5ACF">
        <w:rPr>
          <w:rFonts w:ascii="Arial" w:hAnsi="Arial" w:cs="Arial"/>
          <w:lang w:val="en-US"/>
        </w:rPr>
        <w:t xml:space="preserve"> Murray and </w:t>
      </w:r>
      <w:proofErr w:type="spellStart"/>
      <w:r w:rsidR="00E60C51" w:rsidRPr="00DD5ACF">
        <w:rPr>
          <w:rFonts w:ascii="Arial" w:hAnsi="Arial" w:cs="Arial"/>
          <w:lang w:val="en-US"/>
        </w:rPr>
        <w:t>Warmington’s</w:t>
      </w:r>
      <w:proofErr w:type="spellEnd"/>
      <w:r w:rsidR="00E60C51" w:rsidRPr="00DD5ACF">
        <w:rPr>
          <w:rFonts w:ascii="Arial" w:hAnsi="Arial" w:cs="Arial"/>
          <w:lang w:val="en-US"/>
        </w:rPr>
        <w:t xml:space="preserve"> theory that the Blemmyes emerged as a significant threat in the third and fourth century CE, but historians do not have the historical records to infer how the </w:t>
      </w:r>
      <w:r w:rsidR="00F46EE3" w:rsidRPr="00DD5ACF">
        <w:rPr>
          <w:rFonts w:ascii="Arial" w:hAnsi="Arial" w:cs="Arial"/>
          <w:lang w:val="en-US"/>
        </w:rPr>
        <w:t>Romans</w:t>
      </w:r>
      <w:r w:rsidR="00E60C51" w:rsidRPr="00DD5ACF">
        <w:rPr>
          <w:rFonts w:ascii="Arial" w:hAnsi="Arial" w:cs="Arial"/>
          <w:lang w:val="en-US"/>
        </w:rPr>
        <w:t xml:space="preserve"> dealt with these problems.</w:t>
      </w:r>
      <w:r w:rsidR="00102E3C">
        <w:rPr>
          <w:rStyle w:val="FootnoteReference"/>
          <w:rFonts w:ascii="Arial" w:hAnsi="Arial" w:cs="Arial"/>
          <w:lang w:val="en-US"/>
        </w:rPr>
        <w:footnoteReference w:id="57"/>
      </w:r>
    </w:p>
    <w:p w14:paraId="71321A41" w14:textId="756A3F21" w:rsidR="00263B88" w:rsidRPr="00DD5ACF" w:rsidRDefault="00D806BF" w:rsidP="00A72E4A">
      <w:pPr>
        <w:spacing w:line="360" w:lineRule="auto"/>
        <w:rPr>
          <w:rFonts w:ascii="Arial" w:hAnsi="Arial" w:cs="Arial"/>
          <w:lang w:val="en-US"/>
        </w:rPr>
      </w:pPr>
      <w:r w:rsidRPr="00DD5ACF">
        <w:rPr>
          <w:rFonts w:ascii="Arial" w:hAnsi="Arial" w:cs="Arial"/>
          <w:lang w:val="en-US"/>
        </w:rPr>
        <w:t>The shift in the increase of infrastructure in the area could be linked to the fluctuation of tensions in the Eastern Desert. For example, a rise in trade activity in the mid-latter part of the first century CE, might have led to increased competition and conflict over resources,</w:t>
      </w:r>
      <w:r w:rsidR="00263B88" w:rsidRPr="00DD5ACF">
        <w:rPr>
          <w:rFonts w:ascii="Arial" w:hAnsi="Arial" w:cs="Arial"/>
          <w:lang w:val="en-US"/>
        </w:rPr>
        <w:t xml:space="preserve"> specifically food, water, </w:t>
      </w:r>
      <w:r w:rsidR="003178A0" w:rsidRPr="00DD5ACF">
        <w:rPr>
          <w:rFonts w:ascii="Arial" w:hAnsi="Arial" w:cs="Arial"/>
          <w:lang w:val="en-US"/>
        </w:rPr>
        <w:t>land,</w:t>
      </w:r>
      <w:r w:rsidR="00263B88" w:rsidRPr="00DD5ACF">
        <w:rPr>
          <w:rFonts w:ascii="Arial" w:hAnsi="Arial" w:cs="Arial"/>
          <w:lang w:val="en-US"/>
        </w:rPr>
        <w:t xml:space="preserve"> and some valuable precious metals.</w:t>
      </w:r>
      <w:r w:rsidRPr="00DD5ACF">
        <w:rPr>
          <w:rFonts w:ascii="Arial" w:hAnsi="Arial" w:cs="Arial"/>
          <w:lang w:val="en-US"/>
        </w:rPr>
        <w:t xml:space="preserve"> </w:t>
      </w:r>
      <w:r w:rsidR="00263B88" w:rsidRPr="00DD5ACF">
        <w:rPr>
          <w:rFonts w:ascii="Arial" w:hAnsi="Arial" w:cs="Arial"/>
          <w:lang w:val="en-US"/>
        </w:rPr>
        <w:t xml:space="preserve">This </w:t>
      </w:r>
      <w:r w:rsidRPr="00DD5ACF">
        <w:rPr>
          <w:rFonts w:ascii="Arial" w:hAnsi="Arial" w:cs="Arial"/>
          <w:lang w:val="en-US"/>
        </w:rPr>
        <w:t>potentially exacerbat</w:t>
      </w:r>
      <w:r w:rsidR="00263B88" w:rsidRPr="00DD5ACF">
        <w:rPr>
          <w:rFonts w:ascii="Arial" w:hAnsi="Arial" w:cs="Arial"/>
          <w:lang w:val="en-US"/>
        </w:rPr>
        <w:t>ed</w:t>
      </w:r>
      <w:r w:rsidRPr="00DD5ACF">
        <w:rPr>
          <w:rFonts w:ascii="Arial" w:hAnsi="Arial" w:cs="Arial"/>
          <w:lang w:val="en-US"/>
        </w:rPr>
        <w:t xml:space="preserve"> tensions with the indigenous communities</w:t>
      </w:r>
      <w:r w:rsidR="00F530C8" w:rsidRPr="00DD5ACF">
        <w:rPr>
          <w:rFonts w:ascii="Arial" w:hAnsi="Arial" w:cs="Arial"/>
          <w:lang w:val="en-US"/>
        </w:rPr>
        <w:t xml:space="preserve">, </w:t>
      </w:r>
      <w:r w:rsidRPr="00DD5ACF">
        <w:rPr>
          <w:rFonts w:ascii="Arial" w:hAnsi="Arial" w:cs="Arial"/>
          <w:lang w:val="en-US"/>
        </w:rPr>
        <w:t>between the different tribes and outside influences such as the Romans. Conversely, a decrease in trad</w:t>
      </w:r>
      <w:r w:rsidR="00590D46" w:rsidRPr="00DD5ACF">
        <w:rPr>
          <w:rFonts w:ascii="Arial" w:hAnsi="Arial" w:cs="Arial"/>
          <w:lang w:val="en-US"/>
        </w:rPr>
        <w:t>ing might have temporarily stopped tensions as competition for resources reduce</w:t>
      </w:r>
      <w:r w:rsidR="00F530C8" w:rsidRPr="00DD5ACF">
        <w:rPr>
          <w:rFonts w:ascii="Arial" w:hAnsi="Arial" w:cs="Arial"/>
          <w:lang w:val="en-US"/>
        </w:rPr>
        <w:t xml:space="preserve">d. This hypothesis finds support in discoveries made at Mons </w:t>
      </w:r>
      <w:proofErr w:type="spellStart"/>
      <w:r w:rsidR="00F530C8" w:rsidRPr="00DD5ACF">
        <w:rPr>
          <w:rFonts w:ascii="Arial" w:hAnsi="Arial" w:cs="Arial"/>
          <w:lang w:val="en-US"/>
        </w:rPr>
        <w:t>Claudianus</w:t>
      </w:r>
      <w:proofErr w:type="spellEnd"/>
      <w:r w:rsidR="00E91BE8" w:rsidRPr="00DD5ACF">
        <w:rPr>
          <w:rFonts w:ascii="Arial" w:hAnsi="Arial" w:cs="Arial"/>
          <w:lang w:val="en-US"/>
        </w:rPr>
        <w:t>, where inscriptions detailing water shortages and the pre</w:t>
      </w:r>
      <w:r w:rsidR="00836007" w:rsidRPr="00DD5ACF">
        <w:rPr>
          <w:rFonts w:ascii="Arial" w:hAnsi="Arial" w:cs="Arial"/>
          <w:lang w:val="en-US"/>
        </w:rPr>
        <w:t>s</w:t>
      </w:r>
      <w:r w:rsidR="00E91BE8" w:rsidRPr="00DD5ACF">
        <w:rPr>
          <w:rFonts w:ascii="Arial" w:hAnsi="Arial" w:cs="Arial"/>
          <w:lang w:val="en-US"/>
        </w:rPr>
        <w:t>en</w:t>
      </w:r>
      <w:r w:rsidR="00836007" w:rsidRPr="00DD5ACF">
        <w:rPr>
          <w:rFonts w:ascii="Arial" w:hAnsi="Arial" w:cs="Arial"/>
          <w:lang w:val="en-US"/>
        </w:rPr>
        <w:t>c</w:t>
      </w:r>
      <w:r w:rsidR="00E91BE8" w:rsidRPr="00DD5ACF">
        <w:rPr>
          <w:rFonts w:ascii="Arial" w:hAnsi="Arial" w:cs="Arial"/>
          <w:lang w:val="en-US"/>
        </w:rPr>
        <w:t>e of water bags have been excavated.</w:t>
      </w:r>
      <w:r w:rsidR="00533EED" w:rsidRPr="00DD5ACF">
        <w:rPr>
          <w:rStyle w:val="FootnoteReference"/>
          <w:rFonts w:ascii="Arial" w:hAnsi="Arial" w:cs="Arial"/>
          <w:lang w:val="en-US"/>
        </w:rPr>
        <w:footnoteReference w:id="58"/>
      </w:r>
      <w:r w:rsidR="00E91BE8" w:rsidRPr="00DD5ACF">
        <w:rPr>
          <w:rFonts w:ascii="Arial" w:hAnsi="Arial" w:cs="Arial"/>
          <w:lang w:val="en-US"/>
        </w:rPr>
        <w:t xml:space="preserve"> The bags from </w:t>
      </w:r>
      <w:r w:rsidR="00836007" w:rsidRPr="00DD5ACF">
        <w:rPr>
          <w:rFonts w:ascii="Arial" w:hAnsi="Arial" w:cs="Arial"/>
          <w:lang w:val="en-US"/>
        </w:rPr>
        <w:t>Trajan’s reign</w:t>
      </w:r>
      <w:r w:rsidR="00E91BE8" w:rsidRPr="00DD5ACF">
        <w:rPr>
          <w:rFonts w:ascii="Arial" w:hAnsi="Arial" w:cs="Arial"/>
          <w:lang w:val="en-US"/>
        </w:rPr>
        <w:t xml:space="preserve">, imply ongoing fresh-water scarcity into the late </w:t>
      </w:r>
      <w:r w:rsidR="002F662F" w:rsidRPr="00DD5ACF">
        <w:rPr>
          <w:rFonts w:ascii="Arial" w:hAnsi="Arial" w:cs="Arial"/>
          <w:lang w:val="en-US"/>
        </w:rPr>
        <w:t>first century CE</w:t>
      </w:r>
      <w:r w:rsidR="00E91BE8" w:rsidRPr="00DD5ACF">
        <w:rPr>
          <w:rFonts w:ascii="Arial" w:hAnsi="Arial" w:cs="Arial"/>
          <w:lang w:val="en-US"/>
        </w:rPr>
        <w:t xml:space="preserve">, hinting at fluctuating water levels in wells and prompting </w:t>
      </w:r>
      <w:r w:rsidR="002F662F" w:rsidRPr="00DD5ACF">
        <w:rPr>
          <w:rFonts w:ascii="Arial" w:hAnsi="Arial" w:cs="Arial"/>
          <w:lang w:val="en-US"/>
        </w:rPr>
        <w:t>migration by the early second century CE.</w:t>
      </w:r>
    </w:p>
    <w:p w14:paraId="0DE21FA7" w14:textId="0F6C064E" w:rsidR="00E60C51" w:rsidRPr="00DD5ACF" w:rsidRDefault="00590D46" w:rsidP="00A72E4A">
      <w:pPr>
        <w:spacing w:line="360" w:lineRule="auto"/>
        <w:rPr>
          <w:rFonts w:ascii="Arial" w:hAnsi="Arial" w:cs="Arial"/>
          <w:lang w:val="en-US"/>
        </w:rPr>
      </w:pPr>
      <w:proofErr w:type="spellStart"/>
      <w:r w:rsidRPr="00DD5ACF">
        <w:rPr>
          <w:rFonts w:ascii="Arial" w:hAnsi="Arial" w:cs="Arial"/>
          <w:lang w:val="en-US"/>
        </w:rPr>
        <w:lastRenderedPageBreak/>
        <w:t>Nappo</w:t>
      </w:r>
      <w:proofErr w:type="spellEnd"/>
      <w:r w:rsidRPr="00DD5ACF">
        <w:rPr>
          <w:rFonts w:ascii="Arial" w:hAnsi="Arial" w:cs="Arial"/>
          <w:lang w:val="en-US"/>
        </w:rPr>
        <w:t xml:space="preserve"> and </w:t>
      </w:r>
      <w:proofErr w:type="spellStart"/>
      <w:r w:rsidRPr="00DD5ACF">
        <w:rPr>
          <w:rFonts w:ascii="Arial" w:hAnsi="Arial" w:cs="Arial"/>
          <w:lang w:val="en-US"/>
        </w:rPr>
        <w:t>Zerbini</w:t>
      </w:r>
      <w:proofErr w:type="spellEnd"/>
      <w:r w:rsidRPr="00DD5ACF">
        <w:rPr>
          <w:rFonts w:ascii="Arial" w:hAnsi="Arial" w:cs="Arial"/>
          <w:lang w:val="en-US"/>
        </w:rPr>
        <w:t xml:space="preserve"> argue that there was a surge in trade during the reign of Tiberius, followed by another boom under Vespasian due to infrastructure improvements.</w:t>
      </w:r>
      <w:r w:rsidR="00102E3C">
        <w:rPr>
          <w:rStyle w:val="FootnoteReference"/>
          <w:rFonts w:ascii="Arial" w:hAnsi="Arial" w:cs="Arial"/>
          <w:lang w:val="en-US"/>
        </w:rPr>
        <w:footnoteReference w:id="59"/>
      </w:r>
      <w:r w:rsidR="00102E3C">
        <w:rPr>
          <w:rFonts w:ascii="Arial" w:hAnsi="Arial" w:cs="Arial"/>
          <w:lang w:val="en-US"/>
        </w:rPr>
        <w:t xml:space="preserve"> </w:t>
      </w:r>
      <w:r w:rsidRPr="00DD5ACF">
        <w:rPr>
          <w:rFonts w:ascii="Arial" w:hAnsi="Arial" w:cs="Arial"/>
          <w:lang w:val="en-US"/>
        </w:rPr>
        <w:t>However, Cobb</w:t>
      </w:r>
      <w:r w:rsidR="00102E3C">
        <w:rPr>
          <w:rFonts w:ascii="Arial" w:hAnsi="Arial" w:cs="Arial"/>
          <w:lang w:val="en-US"/>
        </w:rPr>
        <w:t xml:space="preserve"> suggests that instead of fortifications causing a surge in trade, </w:t>
      </w:r>
      <w:r w:rsidR="00AE53A6">
        <w:rPr>
          <w:rFonts w:ascii="Arial" w:hAnsi="Arial" w:cs="Arial"/>
          <w:lang w:val="en-US"/>
        </w:rPr>
        <w:t>it is more probable that increased trade led to the fortifications being built</w:t>
      </w:r>
      <w:r w:rsidRPr="00DD5ACF">
        <w:rPr>
          <w:rFonts w:ascii="Arial" w:hAnsi="Arial" w:cs="Arial"/>
          <w:lang w:val="en-US"/>
        </w:rPr>
        <w:t>.</w:t>
      </w:r>
      <w:r w:rsidR="00102E3C">
        <w:rPr>
          <w:rStyle w:val="FootnoteReference"/>
          <w:rFonts w:ascii="Arial" w:hAnsi="Arial" w:cs="Arial"/>
          <w:lang w:val="en-US"/>
        </w:rPr>
        <w:footnoteReference w:id="60"/>
      </w:r>
      <w:r w:rsidRPr="00DD5ACF">
        <w:rPr>
          <w:rFonts w:ascii="Arial" w:hAnsi="Arial" w:cs="Arial"/>
          <w:lang w:val="en-US"/>
        </w:rPr>
        <w:t xml:space="preserve"> </w:t>
      </w:r>
      <w:r w:rsidR="00263B88" w:rsidRPr="00DD5ACF">
        <w:rPr>
          <w:rFonts w:ascii="Arial" w:hAnsi="Arial" w:cs="Arial"/>
          <w:lang w:val="en-US"/>
        </w:rPr>
        <w:t>This supports the notion that the economic output or benefits of the trade could also translate into political power</w:t>
      </w:r>
      <w:r w:rsidR="008F6E7A" w:rsidRPr="00DD5ACF">
        <w:rPr>
          <w:rFonts w:ascii="Arial" w:hAnsi="Arial" w:cs="Arial"/>
          <w:lang w:val="en-US"/>
        </w:rPr>
        <w:t>, suggesting that these indigenous populations might have tried to control the desert routes, certainly from the second-century CE, but also into the third century</w:t>
      </w:r>
      <w:r w:rsidR="00263B88" w:rsidRPr="00DD5ACF">
        <w:rPr>
          <w:rFonts w:ascii="Arial" w:hAnsi="Arial" w:cs="Arial"/>
          <w:lang w:val="en-US"/>
        </w:rPr>
        <w:t>.</w:t>
      </w:r>
      <w:r w:rsidR="00F572EE" w:rsidRPr="00DD5ACF">
        <w:rPr>
          <w:rStyle w:val="FootnoteReference"/>
          <w:rFonts w:ascii="Arial" w:hAnsi="Arial" w:cs="Arial"/>
          <w:lang w:val="en-US"/>
        </w:rPr>
        <w:footnoteReference w:id="61"/>
      </w:r>
      <w:r w:rsidR="00263B88" w:rsidRPr="00DD5ACF">
        <w:rPr>
          <w:rFonts w:ascii="Arial" w:hAnsi="Arial" w:cs="Arial"/>
          <w:lang w:val="en-US"/>
        </w:rPr>
        <w:t xml:space="preserve"> It can be inferred that groups which control key trade routes, for example the </w:t>
      </w:r>
      <w:proofErr w:type="spellStart"/>
      <w:r w:rsidR="00263B88" w:rsidRPr="00DD5ACF">
        <w:rPr>
          <w:rFonts w:ascii="Arial" w:hAnsi="Arial" w:cs="Arial"/>
          <w:lang w:val="en-US"/>
        </w:rPr>
        <w:t>Coptos-Berenike</w:t>
      </w:r>
      <w:proofErr w:type="spellEnd"/>
      <w:r w:rsidR="00263B88" w:rsidRPr="00DD5ACF">
        <w:rPr>
          <w:rFonts w:ascii="Arial" w:hAnsi="Arial" w:cs="Arial"/>
          <w:lang w:val="en-US"/>
        </w:rPr>
        <w:t xml:space="preserve"> route, may try to consolidate their power and influence, potentially leading to the conflict between rival indigenous communities or the Romans who might have their own geopolitical interests in the region</w:t>
      </w:r>
      <w:r w:rsidR="00862077">
        <w:rPr>
          <w:rFonts w:ascii="Arial" w:hAnsi="Arial" w:cs="Arial"/>
          <w:lang w:val="en-US"/>
        </w:rPr>
        <w:t xml:space="preserve">, evidenced through more fortifications. </w:t>
      </w:r>
    </w:p>
    <w:p w14:paraId="50A97385" w14:textId="77777777" w:rsidR="00B85359" w:rsidRPr="00DD5ACF" w:rsidRDefault="00B85359" w:rsidP="00A72E4A">
      <w:pPr>
        <w:spacing w:line="360" w:lineRule="auto"/>
        <w:rPr>
          <w:rFonts w:ascii="Arial" w:hAnsi="Arial" w:cs="Arial"/>
          <w:lang w:val="en-US"/>
        </w:rPr>
      </w:pPr>
    </w:p>
    <w:p w14:paraId="2E333E7B" w14:textId="771872C9" w:rsidR="00B85359" w:rsidRDefault="00B85359" w:rsidP="00A72E4A">
      <w:pPr>
        <w:spacing w:line="360" w:lineRule="auto"/>
        <w:rPr>
          <w:rFonts w:ascii="Arial" w:hAnsi="Arial" w:cs="Arial"/>
          <w:lang w:val="en-US"/>
        </w:rPr>
      </w:pPr>
      <w:r w:rsidRPr="00DD5ACF">
        <w:rPr>
          <w:rFonts w:ascii="Arial" w:hAnsi="Arial" w:cs="Arial"/>
          <w:lang w:val="en-US"/>
        </w:rPr>
        <w:t xml:space="preserve">Flavian Trade: Recent Insights </w:t>
      </w:r>
    </w:p>
    <w:p w14:paraId="2EB23CE4" w14:textId="77777777" w:rsidR="00862077" w:rsidRPr="00DD5ACF" w:rsidRDefault="00862077" w:rsidP="00A72E4A">
      <w:pPr>
        <w:spacing w:line="360" w:lineRule="auto"/>
        <w:rPr>
          <w:rFonts w:ascii="Arial" w:hAnsi="Arial" w:cs="Arial"/>
          <w:lang w:val="en-US"/>
        </w:rPr>
      </w:pPr>
    </w:p>
    <w:p w14:paraId="61EE73F2" w14:textId="7C52F048" w:rsidR="00263B88" w:rsidRPr="00DD5ACF" w:rsidRDefault="00862077" w:rsidP="00A72E4A">
      <w:pPr>
        <w:spacing w:line="360" w:lineRule="auto"/>
        <w:rPr>
          <w:rFonts w:ascii="Arial" w:hAnsi="Arial" w:cs="Arial"/>
          <w:lang w:val="en-US"/>
        </w:rPr>
      </w:pPr>
      <w:r>
        <w:rPr>
          <w:rFonts w:ascii="Arial" w:hAnsi="Arial" w:cs="Arial"/>
          <w:lang w:val="en-US"/>
        </w:rPr>
        <w:t>Recent studies and archaeological findings suggest a significant increase in exports to trading ports in East Africa, Southern Arabia, and India during the Flavian period.</w:t>
      </w:r>
      <w:r>
        <w:rPr>
          <w:rStyle w:val="FootnoteReference"/>
          <w:rFonts w:ascii="Arial" w:hAnsi="Arial" w:cs="Arial"/>
          <w:lang w:val="en-US"/>
        </w:rPr>
        <w:footnoteReference w:id="62"/>
      </w:r>
      <w:r w:rsidR="00D346B6" w:rsidRPr="00DD5ACF">
        <w:rPr>
          <w:rFonts w:ascii="Arial" w:hAnsi="Arial" w:cs="Arial"/>
          <w:lang w:val="en-US"/>
        </w:rPr>
        <w:t xml:space="preserve">Although there is numismatic evidence, there is not enough to support a large flux of exportations. There is also evidence of a subsequent downturn, or at least perhaps a stagnation of trade, particularly evident in the archaeological numismatic records. A downturn would correlate with the age of Nero and part of </w:t>
      </w:r>
      <w:r w:rsidR="007848A9" w:rsidRPr="00DD5ACF">
        <w:rPr>
          <w:rFonts w:ascii="Arial" w:hAnsi="Arial" w:cs="Arial"/>
          <w:lang w:val="en-US"/>
        </w:rPr>
        <w:t>Vespasian’s</w:t>
      </w:r>
      <w:r w:rsidR="00D346B6" w:rsidRPr="00DD5ACF">
        <w:rPr>
          <w:rFonts w:ascii="Arial" w:hAnsi="Arial" w:cs="Arial"/>
          <w:lang w:val="en-US"/>
        </w:rPr>
        <w:t xml:space="preserve"> reign,</w:t>
      </w:r>
      <w:r w:rsidR="003C04EB" w:rsidRPr="00DD5ACF">
        <w:rPr>
          <w:rFonts w:ascii="Arial" w:hAnsi="Arial" w:cs="Arial"/>
          <w:lang w:val="en-US"/>
        </w:rPr>
        <w:t xml:space="preserve"> during which Eastern trade was revived, attributed in part to infrastructural reconstructions in the Eastern Desert under Vespasian’s reign.</w:t>
      </w:r>
      <w:r>
        <w:rPr>
          <w:rStyle w:val="FootnoteReference"/>
          <w:rFonts w:ascii="Arial" w:hAnsi="Arial" w:cs="Arial"/>
          <w:lang w:val="en-US"/>
        </w:rPr>
        <w:footnoteReference w:id="63"/>
      </w:r>
    </w:p>
    <w:p w14:paraId="1434A184" w14:textId="14B229B3" w:rsidR="00F663BB" w:rsidRPr="00DD5ACF" w:rsidRDefault="00FC57F4" w:rsidP="00A72E4A">
      <w:pPr>
        <w:spacing w:line="360" w:lineRule="auto"/>
        <w:rPr>
          <w:rFonts w:ascii="Arial" w:hAnsi="Arial" w:cs="Arial"/>
          <w:lang w:val="en-US"/>
        </w:rPr>
      </w:pPr>
      <w:r w:rsidRPr="00DD5ACF">
        <w:rPr>
          <w:rFonts w:ascii="Arial" w:hAnsi="Arial" w:cs="Arial"/>
          <w:lang w:val="en-US"/>
        </w:rPr>
        <w:t xml:space="preserve">Inscriptions </w:t>
      </w:r>
      <w:proofErr w:type="spellStart"/>
      <w:r w:rsidRPr="00DD5ACF">
        <w:rPr>
          <w:rFonts w:ascii="Arial" w:hAnsi="Arial" w:cs="Arial"/>
          <w:lang w:val="en-US"/>
        </w:rPr>
        <w:t>emphasise</w:t>
      </w:r>
      <w:proofErr w:type="spellEnd"/>
      <w:r w:rsidRPr="00DD5ACF">
        <w:rPr>
          <w:rFonts w:ascii="Arial" w:hAnsi="Arial" w:cs="Arial"/>
          <w:lang w:val="en-US"/>
        </w:rPr>
        <w:t xml:space="preserve"> that activity increased in </w:t>
      </w:r>
      <w:r w:rsidR="00957A60" w:rsidRPr="00DD5ACF">
        <w:rPr>
          <w:rFonts w:ascii="Arial" w:hAnsi="Arial" w:cs="Arial"/>
          <w:lang w:val="en-US"/>
        </w:rPr>
        <w:t xml:space="preserve">the quarries of Mons Porphyrites and Mons </w:t>
      </w:r>
      <w:proofErr w:type="spellStart"/>
      <w:r w:rsidR="00957A60" w:rsidRPr="00DD5ACF">
        <w:rPr>
          <w:rFonts w:ascii="Arial" w:hAnsi="Arial" w:cs="Arial"/>
          <w:lang w:val="en-US"/>
        </w:rPr>
        <w:t>Claudianus</w:t>
      </w:r>
      <w:proofErr w:type="spellEnd"/>
      <w:r w:rsidR="00957A60" w:rsidRPr="00DD5ACF">
        <w:rPr>
          <w:rFonts w:ascii="Arial" w:hAnsi="Arial" w:cs="Arial"/>
          <w:lang w:val="en-US"/>
        </w:rPr>
        <w:t xml:space="preserve"> in the mid first century CE</w:t>
      </w:r>
      <w:r w:rsidR="00E576D2" w:rsidRPr="00DD5ACF">
        <w:rPr>
          <w:rFonts w:ascii="Arial" w:hAnsi="Arial" w:cs="Arial"/>
          <w:lang w:val="en-US"/>
        </w:rPr>
        <w:t xml:space="preserve">, perhaps when there was more demand for </w:t>
      </w:r>
      <w:r w:rsidR="00E576D2" w:rsidRPr="00DD5ACF">
        <w:rPr>
          <w:rFonts w:ascii="Arial" w:hAnsi="Arial" w:cs="Arial"/>
          <w:lang w:val="en-US"/>
        </w:rPr>
        <w:lastRenderedPageBreak/>
        <w:t>the resources, due to the expansion of the Empire under Trajan’s reign.</w:t>
      </w:r>
      <w:r w:rsidR="001035EA">
        <w:rPr>
          <w:rStyle w:val="FootnoteReference"/>
          <w:rFonts w:ascii="Arial" w:hAnsi="Arial" w:cs="Arial"/>
          <w:lang w:val="en-US"/>
        </w:rPr>
        <w:footnoteReference w:id="64"/>
      </w:r>
      <w:r w:rsidR="00957A60" w:rsidRPr="00DD5ACF">
        <w:rPr>
          <w:rFonts w:ascii="Arial" w:hAnsi="Arial" w:cs="Arial"/>
          <w:lang w:val="en-US"/>
        </w:rPr>
        <w:t xml:space="preserve"> Mons </w:t>
      </w:r>
      <w:proofErr w:type="spellStart"/>
      <w:r w:rsidR="00957A60" w:rsidRPr="00DD5ACF">
        <w:rPr>
          <w:rFonts w:ascii="Arial" w:hAnsi="Arial" w:cs="Arial"/>
          <w:lang w:val="en-US"/>
        </w:rPr>
        <w:t>Claudianus</w:t>
      </w:r>
      <w:proofErr w:type="spellEnd"/>
      <w:r w:rsidR="00957A60" w:rsidRPr="00DD5ACF">
        <w:rPr>
          <w:rFonts w:ascii="Arial" w:hAnsi="Arial" w:cs="Arial"/>
          <w:lang w:val="en-US"/>
        </w:rPr>
        <w:t xml:space="preserve"> reached its peak during Trajan’s reign, following a notable rise of </w:t>
      </w:r>
      <w:proofErr w:type="spellStart"/>
      <w:r w:rsidR="00957A60" w:rsidRPr="00DD5ACF">
        <w:rPr>
          <w:rFonts w:ascii="Arial" w:hAnsi="Arial" w:cs="Arial"/>
          <w:lang w:val="en-US"/>
        </w:rPr>
        <w:t>labour</w:t>
      </w:r>
      <w:proofErr w:type="spellEnd"/>
      <w:r w:rsidR="00957A60" w:rsidRPr="00DD5ACF">
        <w:rPr>
          <w:rFonts w:ascii="Arial" w:hAnsi="Arial" w:cs="Arial"/>
          <w:lang w:val="en-US"/>
        </w:rPr>
        <w:t xml:space="preserve"> under Domitian, with a temporary stagnation before starting again under </w:t>
      </w:r>
      <w:proofErr w:type="spellStart"/>
      <w:r w:rsidR="00957A60" w:rsidRPr="00DD5ACF">
        <w:rPr>
          <w:rFonts w:ascii="Arial" w:hAnsi="Arial" w:cs="Arial"/>
          <w:lang w:val="en-US"/>
        </w:rPr>
        <w:t>Antoninus</w:t>
      </w:r>
      <w:proofErr w:type="spellEnd"/>
      <w:r w:rsidR="00957A60" w:rsidRPr="00DD5ACF">
        <w:rPr>
          <w:rFonts w:ascii="Arial" w:hAnsi="Arial" w:cs="Arial"/>
          <w:lang w:val="en-US"/>
        </w:rPr>
        <w:t xml:space="preserve"> Pius.</w:t>
      </w:r>
      <w:r w:rsidR="001035EA">
        <w:rPr>
          <w:rStyle w:val="FootnoteReference"/>
          <w:rFonts w:ascii="Arial" w:hAnsi="Arial" w:cs="Arial"/>
          <w:lang w:val="en-US"/>
        </w:rPr>
        <w:footnoteReference w:id="65"/>
      </w:r>
      <w:r w:rsidR="00526C0D" w:rsidRPr="00DD5ACF">
        <w:rPr>
          <w:rFonts w:ascii="Arial" w:hAnsi="Arial" w:cs="Arial"/>
          <w:lang w:val="en-US"/>
        </w:rPr>
        <w:t xml:space="preserve"> Soldiers would have looked over desert routes from both moving patrols and fixed guard posts. These watch-posts </w:t>
      </w:r>
      <w:proofErr w:type="spellStart"/>
      <w:r w:rsidR="00526C0D" w:rsidRPr="00DD5ACF">
        <w:rPr>
          <w:rFonts w:ascii="Arial" w:hAnsi="Arial" w:cs="Arial"/>
          <w:i/>
          <w:iCs/>
          <w:lang w:val="en-US"/>
        </w:rPr>
        <w:t>skopoloi</w:t>
      </w:r>
      <w:proofErr w:type="spellEnd"/>
      <w:r w:rsidR="00526C0D" w:rsidRPr="00DD5ACF">
        <w:rPr>
          <w:rFonts w:ascii="Arial" w:hAnsi="Arial" w:cs="Arial"/>
          <w:i/>
          <w:iCs/>
          <w:lang w:val="en-US"/>
        </w:rPr>
        <w:t xml:space="preserve">, </w:t>
      </w:r>
      <w:r w:rsidR="00526C0D" w:rsidRPr="00DD5ACF">
        <w:rPr>
          <w:rFonts w:ascii="Arial" w:hAnsi="Arial" w:cs="Arial"/>
          <w:lang w:val="en-US"/>
        </w:rPr>
        <w:t xml:space="preserve">were strategically positioned next to one another, to act as a network; two bigger towers would </w:t>
      </w:r>
      <w:proofErr w:type="spellStart"/>
      <w:r w:rsidR="00526C0D" w:rsidRPr="00DD5ACF">
        <w:rPr>
          <w:rFonts w:ascii="Arial" w:hAnsi="Arial" w:cs="Arial"/>
          <w:lang w:val="en-US"/>
        </w:rPr>
        <w:t>precide</w:t>
      </w:r>
      <w:proofErr w:type="spellEnd"/>
      <w:r w:rsidR="00526C0D" w:rsidRPr="00DD5ACF">
        <w:rPr>
          <w:rFonts w:ascii="Arial" w:hAnsi="Arial" w:cs="Arial"/>
          <w:lang w:val="en-US"/>
        </w:rPr>
        <w:t xml:space="preserve"> over them- one being at each side of the network of forts- and provide an opportunity for long distance communication to warn against aggressors or trespassers.</w:t>
      </w:r>
      <w:r w:rsidR="006C55DF">
        <w:rPr>
          <w:rStyle w:val="FootnoteReference"/>
          <w:rFonts w:ascii="Arial" w:hAnsi="Arial" w:cs="Arial"/>
          <w:lang w:val="en-US"/>
        </w:rPr>
        <w:footnoteReference w:id="66"/>
      </w:r>
    </w:p>
    <w:p w14:paraId="2346B0FE" w14:textId="3592E212" w:rsidR="00AC1A9F" w:rsidRPr="00DD5ACF" w:rsidRDefault="00AC1A9F" w:rsidP="00A72E4A">
      <w:pPr>
        <w:spacing w:line="360" w:lineRule="auto"/>
        <w:rPr>
          <w:rFonts w:ascii="Arial" w:hAnsi="Arial" w:cs="Arial"/>
          <w:lang w:val="en-US"/>
        </w:rPr>
      </w:pPr>
      <w:r w:rsidRPr="00DD5ACF">
        <w:rPr>
          <w:rFonts w:ascii="Arial" w:hAnsi="Arial" w:cs="Arial"/>
          <w:lang w:val="en-US"/>
        </w:rPr>
        <w:t>Bagnal</w:t>
      </w:r>
      <w:r w:rsidR="00B60908" w:rsidRPr="00DD5ACF">
        <w:rPr>
          <w:rFonts w:ascii="Arial" w:hAnsi="Arial" w:cs="Arial"/>
          <w:lang w:val="en-US"/>
        </w:rPr>
        <w:t>l</w:t>
      </w:r>
      <w:r w:rsidRPr="00DD5ACF">
        <w:rPr>
          <w:rFonts w:ascii="Arial" w:hAnsi="Arial" w:cs="Arial"/>
          <w:lang w:val="en-US"/>
        </w:rPr>
        <w:t xml:space="preserve"> suggested that these guards </w:t>
      </w:r>
      <w:proofErr w:type="spellStart"/>
      <w:r w:rsidRPr="00DD5ACF">
        <w:rPr>
          <w:rFonts w:ascii="Arial" w:hAnsi="Arial" w:cs="Arial"/>
          <w:i/>
          <w:iCs/>
          <w:lang w:val="en-US"/>
        </w:rPr>
        <w:t>skopeluriori</w:t>
      </w:r>
      <w:proofErr w:type="spellEnd"/>
      <w:r w:rsidRPr="00DD5ACF">
        <w:rPr>
          <w:rFonts w:ascii="Arial" w:hAnsi="Arial" w:cs="Arial"/>
          <w:i/>
          <w:iCs/>
          <w:lang w:val="en-US"/>
        </w:rPr>
        <w:t xml:space="preserve"> </w:t>
      </w:r>
      <w:r w:rsidRPr="00DD5ACF">
        <w:rPr>
          <w:rFonts w:ascii="Arial" w:hAnsi="Arial" w:cs="Arial"/>
          <w:lang w:val="en-US"/>
        </w:rPr>
        <w:t>were civilians and because of historical sources could have easily been indigenous hired mercenary.</w:t>
      </w:r>
      <w:r w:rsidR="00B60908" w:rsidRPr="00DD5ACF">
        <w:rPr>
          <w:rStyle w:val="FootnoteReference"/>
          <w:rFonts w:ascii="Arial" w:hAnsi="Arial" w:cs="Arial"/>
          <w:lang w:val="en-US"/>
        </w:rPr>
        <w:footnoteReference w:id="67"/>
      </w:r>
      <w:r w:rsidRPr="00DD5ACF">
        <w:rPr>
          <w:rFonts w:ascii="Arial" w:hAnsi="Arial" w:cs="Arial"/>
          <w:lang w:val="en-US"/>
        </w:rPr>
        <w:t xml:space="preserve"> </w:t>
      </w:r>
      <w:r w:rsidR="001834E4" w:rsidRPr="00DD5ACF">
        <w:rPr>
          <w:rFonts w:ascii="Arial" w:hAnsi="Arial" w:cs="Arial"/>
          <w:lang w:val="en-US"/>
        </w:rPr>
        <w:t xml:space="preserve">An example of this is found on the Florida </w:t>
      </w:r>
      <w:proofErr w:type="spellStart"/>
      <w:r w:rsidR="001834E4" w:rsidRPr="00DD5ACF">
        <w:rPr>
          <w:rFonts w:ascii="Arial" w:hAnsi="Arial" w:cs="Arial"/>
          <w:lang w:val="en-US"/>
        </w:rPr>
        <w:t>ostraka</w:t>
      </w:r>
      <w:proofErr w:type="spellEnd"/>
      <w:r w:rsidR="001834E4" w:rsidRPr="00DD5ACF">
        <w:rPr>
          <w:rFonts w:ascii="Arial" w:hAnsi="Arial" w:cs="Arial"/>
          <w:lang w:val="en-US"/>
        </w:rPr>
        <w:t xml:space="preserve"> (thought to be from Thebes)</w:t>
      </w:r>
      <w:r w:rsidR="005159B3" w:rsidRPr="00DD5ACF">
        <w:rPr>
          <w:rFonts w:ascii="Arial" w:hAnsi="Arial" w:cs="Arial"/>
          <w:lang w:val="en-US"/>
        </w:rPr>
        <w:t>, it provides that, “</w:t>
      </w:r>
      <w:proofErr w:type="spellStart"/>
      <w:r w:rsidR="005159B3" w:rsidRPr="00DD5ACF">
        <w:rPr>
          <w:rFonts w:ascii="Arial" w:hAnsi="Arial" w:cs="Arial"/>
          <w:lang w:val="en-US"/>
        </w:rPr>
        <w:t>Herennius</w:t>
      </w:r>
      <w:proofErr w:type="spellEnd"/>
      <w:r w:rsidR="005159B3" w:rsidRPr="00DD5ACF">
        <w:rPr>
          <w:rFonts w:ascii="Arial" w:hAnsi="Arial" w:cs="Arial"/>
          <w:lang w:val="en-US"/>
        </w:rPr>
        <w:t xml:space="preserve"> </w:t>
      </w:r>
      <w:proofErr w:type="spellStart"/>
      <w:r w:rsidR="005159B3" w:rsidRPr="00DD5ACF">
        <w:rPr>
          <w:rFonts w:ascii="Arial" w:hAnsi="Arial" w:cs="Arial"/>
          <w:lang w:val="en-US"/>
        </w:rPr>
        <w:t>Antoninus</w:t>
      </w:r>
      <w:proofErr w:type="spellEnd"/>
      <w:r w:rsidR="005159B3" w:rsidRPr="00DD5ACF">
        <w:rPr>
          <w:rFonts w:ascii="Arial" w:hAnsi="Arial" w:cs="Arial"/>
          <w:lang w:val="en-US"/>
        </w:rPr>
        <w:t xml:space="preserve"> decurion, to </w:t>
      </w:r>
      <w:proofErr w:type="spellStart"/>
      <w:r w:rsidR="005159B3" w:rsidRPr="00DD5ACF">
        <w:rPr>
          <w:rFonts w:ascii="Arial" w:hAnsi="Arial" w:cs="Arial"/>
          <w:lang w:val="en-US"/>
        </w:rPr>
        <w:t>Amatios</w:t>
      </w:r>
      <w:proofErr w:type="spellEnd"/>
      <w:r w:rsidR="005159B3" w:rsidRPr="00DD5ACF">
        <w:rPr>
          <w:rFonts w:ascii="Arial" w:hAnsi="Arial" w:cs="Arial"/>
          <w:lang w:val="en-US"/>
        </w:rPr>
        <w:t xml:space="preserve">. Since the individual at the watchtower, son of </w:t>
      </w:r>
      <w:proofErr w:type="spellStart"/>
      <w:r w:rsidR="005159B3" w:rsidRPr="00DD5ACF">
        <w:rPr>
          <w:rFonts w:ascii="Arial" w:hAnsi="Arial" w:cs="Arial"/>
          <w:lang w:val="en-US"/>
        </w:rPr>
        <w:t>Bolaneus</w:t>
      </w:r>
      <w:proofErr w:type="spellEnd"/>
      <w:r w:rsidR="005159B3" w:rsidRPr="00DD5ACF">
        <w:rPr>
          <w:rFonts w:ascii="Arial" w:hAnsi="Arial" w:cs="Arial"/>
          <w:lang w:val="en-US"/>
        </w:rPr>
        <w:t xml:space="preserve">, is a youth, please inform the </w:t>
      </w:r>
      <w:proofErr w:type="spellStart"/>
      <w:r w:rsidR="005159B3" w:rsidRPr="00DD5ACF">
        <w:rPr>
          <w:rFonts w:ascii="Arial" w:hAnsi="Arial" w:cs="Arial"/>
          <w:lang w:val="en-US"/>
        </w:rPr>
        <w:t>dekunos</w:t>
      </w:r>
      <w:proofErr w:type="spellEnd"/>
      <w:r w:rsidR="005159B3" w:rsidRPr="00DD5ACF">
        <w:rPr>
          <w:rFonts w:ascii="Arial" w:hAnsi="Arial" w:cs="Arial"/>
          <w:lang w:val="en-US"/>
        </w:rPr>
        <w:t xml:space="preserve"> (manager), to replace him with a young man, as I have already instructed him to do so.” It Is possible that the individual is an indigenous person, as the name “</w:t>
      </w:r>
      <w:proofErr w:type="spellStart"/>
      <w:r w:rsidR="005159B3" w:rsidRPr="00DD5ACF">
        <w:rPr>
          <w:rFonts w:ascii="Arial" w:hAnsi="Arial" w:cs="Arial"/>
          <w:lang w:val="en-US"/>
        </w:rPr>
        <w:t>B</w:t>
      </w:r>
      <w:r w:rsidR="00AA3685">
        <w:rPr>
          <w:rFonts w:ascii="Arial" w:hAnsi="Arial" w:cs="Arial"/>
          <w:lang w:val="en-US"/>
        </w:rPr>
        <w:t>o</w:t>
      </w:r>
      <w:r w:rsidR="005159B3" w:rsidRPr="00DD5ACF">
        <w:rPr>
          <w:rFonts w:ascii="Arial" w:hAnsi="Arial" w:cs="Arial"/>
          <w:lang w:val="en-US"/>
        </w:rPr>
        <w:t>laneus</w:t>
      </w:r>
      <w:proofErr w:type="spellEnd"/>
      <w:r w:rsidR="005159B3" w:rsidRPr="00DD5ACF">
        <w:rPr>
          <w:rFonts w:ascii="Arial" w:hAnsi="Arial" w:cs="Arial"/>
          <w:lang w:val="en-US"/>
        </w:rPr>
        <w:t>” is</w:t>
      </w:r>
      <w:r w:rsidR="00212118" w:rsidRPr="00DD5ACF">
        <w:rPr>
          <w:rFonts w:ascii="Arial" w:hAnsi="Arial" w:cs="Arial"/>
          <w:lang w:val="en-US"/>
        </w:rPr>
        <w:t xml:space="preserve"> not Graeco-Roman, but instead likely a name form local communities, perhaps the indigenous communities.</w:t>
      </w:r>
      <w:r w:rsidR="006C55DF">
        <w:rPr>
          <w:rStyle w:val="FootnoteReference"/>
          <w:rFonts w:ascii="Arial" w:hAnsi="Arial" w:cs="Arial"/>
          <w:lang w:val="en-US"/>
        </w:rPr>
        <w:footnoteReference w:id="68"/>
      </w:r>
      <w:r w:rsidR="00212118" w:rsidRPr="00DD5ACF">
        <w:rPr>
          <w:rFonts w:ascii="Arial" w:hAnsi="Arial" w:cs="Arial"/>
          <w:lang w:val="en-US"/>
        </w:rPr>
        <w:t xml:space="preserve"> </w:t>
      </w:r>
      <w:r w:rsidR="00F663BB" w:rsidRPr="00DD5ACF">
        <w:rPr>
          <w:rFonts w:ascii="Arial" w:hAnsi="Arial" w:cs="Arial"/>
          <w:lang w:val="en-US"/>
        </w:rPr>
        <w:t xml:space="preserve"> </w:t>
      </w:r>
    </w:p>
    <w:p w14:paraId="12AD978B" w14:textId="40C10A7B" w:rsidR="00FC57F4" w:rsidRPr="00DD5ACF" w:rsidRDefault="00101A6E" w:rsidP="00A72E4A">
      <w:pPr>
        <w:spacing w:line="360" w:lineRule="auto"/>
        <w:rPr>
          <w:rFonts w:ascii="Arial" w:hAnsi="Arial" w:cs="Arial"/>
          <w:lang w:val="en-US"/>
        </w:rPr>
      </w:pPr>
      <w:r w:rsidRPr="00DD5ACF">
        <w:rPr>
          <w:rFonts w:ascii="Arial" w:hAnsi="Arial" w:cs="Arial"/>
          <w:lang w:val="en-US"/>
        </w:rPr>
        <w:t xml:space="preserve">The main fort in Mons </w:t>
      </w:r>
      <w:proofErr w:type="spellStart"/>
      <w:r w:rsidRPr="00DD5ACF">
        <w:rPr>
          <w:rFonts w:ascii="Arial" w:hAnsi="Arial" w:cs="Arial"/>
          <w:lang w:val="en-US"/>
        </w:rPr>
        <w:t>Claudianus</w:t>
      </w:r>
      <w:proofErr w:type="spellEnd"/>
      <w:r w:rsidRPr="00DD5ACF">
        <w:rPr>
          <w:rFonts w:ascii="Arial" w:hAnsi="Arial" w:cs="Arial"/>
          <w:lang w:val="en-US"/>
        </w:rPr>
        <w:t xml:space="preserve"> dates back to 108-109 CE, during Trajan’s rule and it is characterized by a ceramic collection, primarily of assemblage from Trajan’s period.</w:t>
      </w:r>
      <w:r w:rsidR="00AA3685">
        <w:rPr>
          <w:rStyle w:val="FootnoteReference"/>
          <w:rFonts w:ascii="Arial" w:hAnsi="Arial" w:cs="Arial"/>
          <w:lang w:val="en-US"/>
        </w:rPr>
        <w:footnoteReference w:id="69"/>
      </w:r>
      <w:r w:rsidRPr="00DD5ACF">
        <w:rPr>
          <w:rFonts w:ascii="Arial" w:hAnsi="Arial" w:cs="Arial"/>
          <w:lang w:val="en-US"/>
        </w:rPr>
        <w:t xml:space="preserve"> There is also inscriptions by imperial slaves, which date to the period, and signify their devotion to the cult of the </w:t>
      </w:r>
      <w:r w:rsidR="00A97AF1" w:rsidRPr="00DD5ACF">
        <w:rPr>
          <w:rFonts w:ascii="Arial" w:hAnsi="Arial" w:cs="Arial"/>
          <w:lang w:val="en-US"/>
        </w:rPr>
        <w:t>emperor</w:t>
      </w:r>
      <w:r w:rsidR="00AE77BE" w:rsidRPr="00DD5ACF">
        <w:rPr>
          <w:rFonts w:ascii="Arial" w:hAnsi="Arial" w:cs="Arial"/>
          <w:lang w:val="en-US"/>
        </w:rPr>
        <w:t xml:space="preserve"> alongside syncretic deities</w:t>
      </w:r>
      <w:r w:rsidRPr="00DD5ACF">
        <w:rPr>
          <w:rFonts w:ascii="Arial" w:hAnsi="Arial" w:cs="Arial"/>
          <w:lang w:val="en-US"/>
        </w:rPr>
        <w:t>.</w:t>
      </w:r>
      <w:r w:rsidR="00AA3685">
        <w:rPr>
          <w:rStyle w:val="FootnoteReference"/>
          <w:rFonts w:ascii="Arial" w:hAnsi="Arial" w:cs="Arial"/>
          <w:lang w:val="en-US"/>
        </w:rPr>
        <w:footnoteReference w:id="70"/>
      </w:r>
      <w:r w:rsidRPr="00DD5ACF">
        <w:rPr>
          <w:rFonts w:ascii="Arial" w:hAnsi="Arial" w:cs="Arial"/>
          <w:lang w:val="en-US"/>
        </w:rPr>
        <w:t xml:space="preserve"> Furthermore, a gateway was constructed </w:t>
      </w:r>
      <w:r w:rsidR="00A97AF1" w:rsidRPr="00DD5ACF">
        <w:rPr>
          <w:rFonts w:ascii="Arial" w:hAnsi="Arial" w:cs="Arial"/>
          <w:lang w:val="en-US"/>
        </w:rPr>
        <w:t xml:space="preserve">during </w:t>
      </w:r>
      <w:proofErr w:type="spellStart"/>
      <w:r w:rsidR="00A97AF1" w:rsidRPr="00DD5ACF">
        <w:rPr>
          <w:rFonts w:ascii="Arial" w:hAnsi="Arial" w:cs="Arial"/>
          <w:lang w:val="en-US"/>
        </w:rPr>
        <w:t>Domitians</w:t>
      </w:r>
      <w:proofErr w:type="spellEnd"/>
      <w:r w:rsidR="00A97AF1" w:rsidRPr="00DD5ACF">
        <w:rPr>
          <w:rFonts w:ascii="Arial" w:hAnsi="Arial" w:cs="Arial"/>
          <w:lang w:val="en-US"/>
        </w:rPr>
        <w:t xml:space="preserve"> Tribunician powers 85-86 CE, while Prefect </w:t>
      </w:r>
      <w:proofErr w:type="spellStart"/>
      <w:r w:rsidR="00A97AF1" w:rsidRPr="00DD5ACF">
        <w:rPr>
          <w:rFonts w:ascii="Arial" w:hAnsi="Arial" w:cs="Arial"/>
          <w:lang w:val="en-US"/>
        </w:rPr>
        <w:t>Sulpicius</w:t>
      </w:r>
      <w:proofErr w:type="spellEnd"/>
      <w:r w:rsidR="00A97AF1" w:rsidRPr="00DD5ACF">
        <w:rPr>
          <w:rFonts w:ascii="Arial" w:hAnsi="Arial" w:cs="Arial"/>
          <w:lang w:val="en-US"/>
        </w:rPr>
        <w:t xml:space="preserve"> </w:t>
      </w:r>
      <w:proofErr w:type="spellStart"/>
      <w:r w:rsidR="00A97AF1" w:rsidRPr="00DD5ACF">
        <w:rPr>
          <w:rFonts w:ascii="Arial" w:hAnsi="Arial" w:cs="Arial"/>
          <w:lang w:val="en-US"/>
        </w:rPr>
        <w:t>Similis</w:t>
      </w:r>
      <w:proofErr w:type="spellEnd"/>
      <w:r w:rsidR="00A97AF1" w:rsidRPr="00DD5ACF">
        <w:rPr>
          <w:rFonts w:ascii="Arial" w:hAnsi="Arial" w:cs="Arial"/>
          <w:lang w:val="en-US"/>
        </w:rPr>
        <w:t xml:space="preserve"> oversaw the construction of the </w:t>
      </w:r>
      <w:proofErr w:type="spellStart"/>
      <w:r w:rsidR="00A97AF1" w:rsidRPr="00DD5ACF">
        <w:rPr>
          <w:rFonts w:ascii="Arial" w:hAnsi="Arial" w:cs="Arial"/>
          <w:lang w:val="en-US"/>
        </w:rPr>
        <w:t>hydreumata</w:t>
      </w:r>
      <w:proofErr w:type="spellEnd"/>
      <w:r w:rsidR="00A97AF1" w:rsidRPr="00DD5ACF">
        <w:rPr>
          <w:rFonts w:ascii="Arial" w:hAnsi="Arial" w:cs="Arial"/>
          <w:lang w:val="en-US"/>
        </w:rPr>
        <w:t xml:space="preserve"> along the route to Mons </w:t>
      </w:r>
      <w:proofErr w:type="spellStart"/>
      <w:r w:rsidR="00A97AF1" w:rsidRPr="00DD5ACF">
        <w:rPr>
          <w:rFonts w:ascii="Arial" w:hAnsi="Arial" w:cs="Arial"/>
          <w:lang w:val="en-US"/>
        </w:rPr>
        <w:t>Claudianus</w:t>
      </w:r>
      <w:proofErr w:type="spellEnd"/>
      <w:r w:rsidR="00A97AF1" w:rsidRPr="00DD5ACF">
        <w:rPr>
          <w:rFonts w:ascii="Arial" w:hAnsi="Arial" w:cs="Arial"/>
          <w:lang w:val="en-US"/>
        </w:rPr>
        <w:t xml:space="preserve"> around 108-109 CE.</w:t>
      </w:r>
      <w:r w:rsidR="003619CA">
        <w:rPr>
          <w:rStyle w:val="FootnoteReference"/>
          <w:rFonts w:ascii="Arial" w:hAnsi="Arial" w:cs="Arial"/>
          <w:lang w:val="en-US"/>
        </w:rPr>
        <w:footnoteReference w:id="71"/>
      </w:r>
    </w:p>
    <w:p w14:paraId="4C19BF8D" w14:textId="77777777" w:rsidR="003C19D0" w:rsidRDefault="003619CA" w:rsidP="00A72E4A">
      <w:pPr>
        <w:spacing w:line="360" w:lineRule="auto"/>
        <w:rPr>
          <w:rFonts w:ascii="Arial" w:hAnsi="Arial" w:cs="Arial"/>
          <w:lang w:val="en-US"/>
        </w:rPr>
      </w:pPr>
      <w:r>
        <w:rPr>
          <w:rFonts w:ascii="Arial" w:hAnsi="Arial" w:cs="Arial"/>
          <w:lang w:val="en-US"/>
        </w:rPr>
        <w:lastRenderedPageBreak/>
        <w:t xml:space="preserve">Cobb proposes a connection between the rise in activity at Red Sea trading ports, more quarrying, extraction of resources, and high levels of traffic through the Eastern Desert during the Flavian period. The rebuilding of forts and reports of insecurity in </w:t>
      </w:r>
      <w:proofErr w:type="spellStart"/>
      <w:r>
        <w:rPr>
          <w:rFonts w:ascii="Arial" w:hAnsi="Arial" w:cs="Arial"/>
          <w:lang w:val="en-US"/>
        </w:rPr>
        <w:t>Krokodilo</w:t>
      </w:r>
      <w:proofErr w:type="spellEnd"/>
      <w:r>
        <w:rPr>
          <w:rFonts w:ascii="Arial" w:hAnsi="Arial" w:cs="Arial"/>
          <w:lang w:val="en-US"/>
        </w:rPr>
        <w:t>, along with campaigns against raids by indigenous communities, suggest a link between these activities.</w:t>
      </w:r>
      <w:r>
        <w:rPr>
          <w:rStyle w:val="FootnoteReference"/>
          <w:rFonts w:ascii="Arial" w:hAnsi="Arial" w:cs="Arial"/>
          <w:lang w:val="en-US"/>
        </w:rPr>
        <w:footnoteReference w:id="72"/>
      </w:r>
      <w:r>
        <w:rPr>
          <w:rFonts w:ascii="Arial" w:hAnsi="Arial" w:cs="Arial"/>
          <w:lang w:val="en-US"/>
        </w:rPr>
        <w:t xml:space="preserve"> However, whether they were meant to protect against hostilities or simply to accommodate expanded trade remains unclear</w:t>
      </w:r>
      <w:r w:rsidR="003C19D0">
        <w:rPr>
          <w:rFonts w:ascii="Arial" w:hAnsi="Arial" w:cs="Arial"/>
          <w:lang w:val="en-US"/>
        </w:rPr>
        <w:t xml:space="preserve">. If confirmed the refortification may have aimed to safeguard Red Sea trade and the </w:t>
      </w:r>
      <w:proofErr w:type="spellStart"/>
      <w:r w:rsidR="003C19D0">
        <w:rPr>
          <w:rFonts w:ascii="Arial" w:hAnsi="Arial" w:cs="Arial"/>
          <w:lang w:val="en-US"/>
        </w:rPr>
        <w:t>labourers</w:t>
      </w:r>
      <w:proofErr w:type="spellEnd"/>
      <w:r w:rsidR="003C19D0">
        <w:rPr>
          <w:rFonts w:ascii="Arial" w:hAnsi="Arial" w:cs="Arial"/>
          <w:lang w:val="en-US"/>
        </w:rPr>
        <w:t xml:space="preserve"> (prisoners, slaves, and Roman exiles) in the quarries, as well as local merchant communities. Attacks on these groups could undermine Rome’s diplomatic efforts to protect its subjects and allies. </w:t>
      </w:r>
    </w:p>
    <w:p w14:paraId="26DDC6B0" w14:textId="49408ACD" w:rsidR="0078535E" w:rsidRPr="00DD5ACF" w:rsidRDefault="008A2880" w:rsidP="00A72E4A">
      <w:pPr>
        <w:spacing w:line="360" w:lineRule="auto"/>
        <w:rPr>
          <w:rFonts w:ascii="Arial" w:hAnsi="Arial" w:cs="Arial"/>
          <w:lang w:val="en-US"/>
        </w:rPr>
      </w:pPr>
      <w:r w:rsidRPr="00DD5ACF">
        <w:rPr>
          <w:rFonts w:ascii="Arial" w:hAnsi="Arial" w:cs="Arial"/>
          <w:lang w:val="en-US"/>
        </w:rPr>
        <w:t xml:space="preserve">Furthermore, it is very likely that the Roman’s wanted to maintain the Red Sea ports also to keep diplomacy channels open with East polities, such as </w:t>
      </w:r>
      <w:r w:rsidR="00444211" w:rsidRPr="00DD5ACF">
        <w:rPr>
          <w:rFonts w:ascii="Arial" w:hAnsi="Arial" w:cs="Arial"/>
          <w:lang w:val="en-US"/>
        </w:rPr>
        <w:t xml:space="preserve">East Africa, Southern </w:t>
      </w:r>
      <w:r w:rsidR="00E6402D" w:rsidRPr="00DD5ACF">
        <w:rPr>
          <w:rFonts w:ascii="Arial" w:hAnsi="Arial" w:cs="Arial"/>
          <w:lang w:val="en-US"/>
        </w:rPr>
        <w:t>Arabia,</w:t>
      </w:r>
      <w:r w:rsidR="00444211" w:rsidRPr="00DD5ACF">
        <w:rPr>
          <w:rFonts w:ascii="Arial" w:hAnsi="Arial" w:cs="Arial"/>
          <w:lang w:val="en-US"/>
        </w:rPr>
        <w:t xml:space="preserve"> and India, who’s income was heavily taxed within the Red Sea ports in Egypt, on their way to Rome.</w:t>
      </w:r>
      <w:r w:rsidR="003619CA">
        <w:rPr>
          <w:rStyle w:val="FootnoteReference"/>
          <w:rFonts w:ascii="Arial" w:hAnsi="Arial" w:cs="Arial"/>
          <w:lang w:val="en-US"/>
        </w:rPr>
        <w:footnoteReference w:id="73"/>
      </w:r>
      <w:r w:rsidR="00444211" w:rsidRPr="00DD5ACF">
        <w:rPr>
          <w:rFonts w:ascii="Arial" w:hAnsi="Arial" w:cs="Arial"/>
          <w:lang w:val="en-US"/>
        </w:rPr>
        <w:t xml:space="preserve"> </w:t>
      </w:r>
      <w:r w:rsidR="00E6402D" w:rsidRPr="00DD5ACF">
        <w:rPr>
          <w:rFonts w:ascii="Arial" w:hAnsi="Arial" w:cs="Arial"/>
          <w:lang w:val="en-US"/>
        </w:rPr>
        <w:t>This governed, but unhindered access to the Red Sea ports, ensured diplomatic ties</w:t>
      </w:r>
      <w:r w:rsidR="009412FD" w:rsidRPr="00DD5ACF">
        <w:rPr>
          <w:rFonts w:ascii="Arial" w:hAnsi="Arial" w:cs="Arial"/>
          <w:lang w:val="en-US"/>
        </w:rPr>
        <w:t xml:space="preserve"> stayed open</w:t>
      </w:r>
      <w:r w:rsidR="00E6402D" w:rsidRPr="00DD5ACF">
        <w:rPr>
          <w:rFonts w:ascii="Arial" w:hAnsi="Arial" w:cs="Arial"/>
          <w:lang w:val="en-US"/>
        </w:rPr>
        <w:t xml:space="preserve"> with Rome’s East and Indian polities, which also influenced military exercises in the area </w:t>
      </w:r>
      <w:r w:rsidR="009412FD" w:rsidRPr="00DD5ACF">
        <w:rPr>
          <w:rFonts w:ascii="Arial" w:hAnsi="Arial" w:cs="Arial"/>
          <w:lang w:val="en-US"/>
        </w:rPr>
        <w:t xml:space="preserve">partly as to strategically protect the exotic trade from India, spices from the East, but also to empower the continuation of trade in the region, enriching the area, with both new trading diasporas or communities and directly with revenues. </w:t>
      </w:r>
    </w:p>
    <w:p w14:paraId="1C5194F7" w14:textId="41DAD9D5" w:rsidR="009412FD" w:rsidRPr="00DD5ACF" w:rsidRDefault="00EB4FDA" w:rsidP="00A72E4A">
      <w:pPr>
        <w:spacing w:line="360" w:lineRule="auto"/>
        <w:rPr>
          <w:rFonts w:ascii="Arial" w:hAnsi="Arial" w:cs="Arial"/>
          <w:lang w:val="en-US"/>
        </w:rPr>
      </w:pPr>
      <w:r w:rsidRPr="00DD5ACF">
        <w:rPr>
          <w:rFonts w:ascii="Arial" w:hAnsi="Arial" w:cs="Arial"/>
          <w:lang w:val="en-US"/>
        </w:rPr>
        <w:t xml:space="preserve">As a result of those late first century ongoing dangers posed by the indigenous peoples which Strabo outlines, </w:t>
      </w:r>
      <w:proofErr w:type="gramStart"/>
      <w:r w:rsidR="00690DCC" w:rsidRPr="00DD5ACF">
        <w:rPr>
          <w:rFonts w:ascii="Arial" w:hAnsi="Arial" w:cs="Arial"/>
          <w:lang w:val="en-US"/>
        </w:rPr>
        <w:t>Young</w:t>
      </w:r>
      <w:proofErr w:type="gramEnd"/>
      <w:r w:rsidR="00690DCC" w:rsidRPr="00DD5ACF">
        <w:rPr>
          <w:rFonts w:ascii="Arial" w:hAnsi="Arial" w:cs="Arial"/>
          <w:lang w:val="en-US"/>
        </w:rPr>
        <w:t xml:space="preserve"> claims that the stations along the </w:t>
      </w:r>
      <w:proofErr w:type="spellStart"/>
      <w:r w:rsidR="00690DCC" w:rsidRPr="00DD5ACF">
        <w:rPr>
          <w:rFonts w:ascii="Arial" w:hAnsi="Arial" w:cs="Arial"/>
          <w:lang w:val="en-US"/>
        </w:rPr>
        <w:t>Coptos-Bernike</w:t>
      </w:r>
      <w:proofErr w:type="spellEnd"/>
      <w:r w:rsidR="00690DCC" w:rsidRPr="00DD5ACF">
        <w:rPr>
          <w:rFonts w:ascii="Arial" w:hAnsi="Arial" w:cs="Arial"/>
          <w:lang w:val="en-US"/>
        </w:rPr>
        <w:t xml:space="preserve"> routes were </w:t>
      </w:r>
      <w:r w:rsidR="00F83DDE" w:rsidRPr="00DD5ACF">
        <w:rPr>
          <w:rFonts w:ascii="Arial" w:hAnsi="Arial" w:cs="Arial"/>
          <w:lang w:val="en-US"/>
        </w:rPr>
        <w:t>primarily to prevent smuggling rather than for defense against indigenous groups.</w:t>
      </w:r>
      <w:r w:rsidR="00B9301E">
        <w:rPr>
          <w:rStyle w:val="FootnoteReference"/>
          <w:rFonts w:ascii="Arial" w:hAnsi="Arial" w:cs="Arial"/>
          <w:lang w:val="en-US"/>
        </w:rPr>
        <w:footnoteReference w:id="74"/>
      </w:r>
      <w:r w:rsidR="00F83DDE" w:rsidRPr="00DD5ACF">
        <w:rPr>
          <w:rFonts w:ascii="Arial" w:hAnsi="Arial" w:cs="Arial"/>
          <w:lang w:val="en-US"/>
        </w:rPr>
        <w:t xml:space="preserve"> </w:t>
      </w:r>
      <w:r w:rsidR="00C73EA9" w:rsidRPr="00DD5ACF">
        <w:rPr>
          <w:rFonts w:ascii="Arial" w:hAnsi="Arial" w:cs="Arial"/>
          <w:lang w:val="en-US"/>
        </w:rPr>
        <w:t xml:space="preserve">Young’s idea though relies on the notion that merchants and travelers relied on private </w:t>
      </w:r>
      <w:proofErr w:type="spellStart"/>
      <w:r w:rsidR="00C73EA9" w:rsidRPr="00DD5ACF">
        <w:rPr>
          <w:rFonts w:ascii="Arial" w:hAnsi="Arial" w:cs="Arial"/>
          <w:lang w:val="en-US"/>
        </w:rPr>
        <w:t>militas</w:t>
      </w:r>
      <w:proofErr w:type="spellEnd"/>
      <w:r w:rsidR="00C73EA9" w:rsidRPr="00DD5ACF">
        <w:rPr>
          <w:rFonts w:ascii="Arial" w:hAnsi="Arial" w:cs="Arial"/>
          <w:lang w:val="en-US"/>
        </w:rPr>
        <w:t xml:space="preserve"> or security to defend their goods and lives. To an extent evidence of this can be drawn from the </w:t>
      </w:r>
      <w:proofErr w:type="spellStart"/>
      <w:r w:rsidR="00C73EA9" w:rsidRPr="00DD5ACF">
        <w:rPr>
          <w:rFonts w:ascii="Arial" w:hAnsi="Arial" w:cs="Arial"/>
          <w:lang w:val="en-US"/>
        </w:rPr>
        <w:t>Muziris</w:t>
      </w:r>
      <w:proofErr w:type="spellEnd"/>
      <w:r w:rsidR="00C73EA9" w:rsidRPr="00DD5ACF">
        <w:rPr>
          <w:rFonts w:ascii="Arial" w:hAnsi="Arial" w:cs="Arial"/>
          <w:lang w:val="en-US"/>
        </w:rPr>
        <w:t xml:space="preserve"> papyrus, which has its provenance in the mid-</w:t>
      </w:r>
      <w:r w:rsidR="00C73EA9" w:rsidRPr="00DD5ACF">
        <w:rPr>
          <w:rFonts w:ascii="Arial" w:hAnsi="Arial" w:cs="Arial"/>
          <w:lang w:val="en-US"/>
        </w:rPr>
        <w:lastRenderedPageBreak/>
        <w:t>second century CE.</w:t>
      </w:r>
      <w:r w:rsidR="00B9301E">
        <w:rPr>
          <w:rStyle w:val="FootnoteReference"/>
          <w:rFonts w:ascii="Arial" w:hAnsi="Arial" w:cs="Arial"/>
          <w:lang w:val="en-US"/>
        </w:rPr>
        <w:footnoteReference w:id="75"/>
      </w:r>
      <w:r w:rsidR="00C73EA9" w:rsidRPr="00DD5ACF">
        <w:rPr>
          <w:rFonts w:ascii="Arial" w:hAnsi="Arial" w:cs="Arial"/>
          <w:lang w:val="en-US"/>
        </w:rPr>
        <w:t xml:space="preserve"> The papyrus outlines plans for private militia escorts protecting shipping lanes </w:t>
      </w:r>
      <w:r w:rsidR="002A4546" w:rsidRPr="00DD5ACF">
        <w:rPr>
          <w:rFonts w:ascii="Arial" w:hAnsi="Arial" w:cs="Arial"/>
          <w:lang w:val="en-US"/>
        </w:rPr>
        <w:t xml:space="preserve">destined for </w:t>
      </w:r>
      <w:proofErr w:type="spellStart"/>
      <w:r w:rsidR="002A4546" w:rsidRPr="00DD5ACF">
        <w:rPr>
          <w:rFonts w:ascii="Arial" w:hAnsi="Arial" w:cs="Arial"/>
          <w:lang w:val="en-US"/>
        </w:rPr>
        <w:t>Coptos</w:t>
      </w:r>
      <w:proofErr w:type="spellEnd"/>
      <w:r w:rsidR="002A4546" w:rsidRPr="00DD5ACF">
        <w:rPr>
          <w:rFonts w:ascii="Arial" w:hAnsi="Arial" w:cs="Arial"/>
          <w:lang w:val="en-US"/>
        </w:rPr>
        <w:t>.</w:t>
      </w:r>
      <w:r w:rsidR="00B9301E">
        <w:rPr>
          <w:rStyle w:val="FootnoteReference"/>
          <w:rFonts w:ascii="Arial" w:hAnsi="Arial" w:cs="Arial"/>
          <w:lang w:val="en-US"/>
        </w:rPr>
        <w:footnoteReference w:id="76"/>
      </w:r>
    </w:p>
    <w:p w14:paraId="7C76B2B1" w14:textId="2CDEAD3D" w:rsidR="001D5E05" w:rsidRPr="00DD5ACF" w:rsidRDefault="00865769" w:rsidP="00A72E4A">
      <w:pPr>
        <w:spacing w:line="360" w:lineRule="auto"/>
        <w:rPr>
          <w:rFonts w:ascii="Arial" w:hAnsi="Arial" w:cs="Arial"/>
          <w:lang w:val="en-US"/>
        </w:rPr>
      </w:pPr>
      <w:r w:rsidRPr="00DD5ACF">
        <w:rPr>
          <w:rFonts w:ascii="Arial" w:hAnsi="Arial" w:cs="Arial"/>
          <w:lang w:val="en-US"/>
        </w:rPr>
        <w:t>However, given the lack of garrisons and sta</w:t>
      </w:r>
      <w:r w:rsidR="0031004C" w:rsidRPr="00DD5ACF">
        <w:rPr>
          <w:rFonts w:ascii="Arial" w:hAnsi="Arial" w:cs="Arial"/>
          <w:lang w:val="en-US"/>
        </w:rPr>
        <w:t>nd</w:t>
      </w:r>
      <w:r w:rsidRPr="00DD5ACF">
        <w:rPr>
          <w:rFonts w:ascii="Arial" w:hAnsi="Arial" w:cs="Arial"/>
          <w:lang w:val="en-US"/>
        </w:rPr>
        <w:t>ing soldiers in the Eastern Desert port regions, averaging around 15-2</w:t>
      </w:r>
      <w:r w:rsidR="00F46EE3" w:rsidRPr="00DD5ACF">
        <w:rPr>
          <w:rFonts w:ascii="Arial" w:hAnsi="Arial" w:cs="Arial"/>
          <w:lang w:val="en-US"/>
        </w:rPr>
        <w:t>4</w:t>
      </w:r>
      <w:r w:rsidRPr="00DD5ACF">
        <w:rPr>
          <w:rFonts w:ascii="Arial" w:hAnsi="Arial" w:cs="Arial"/>
          <w:lang w:val="en-US"/>
        </w:rPr>
        <w:t xml:space="preserve"> in the forts or praesidia, it would have been impractical for the Prefect of </w:t>
      </w:r>
      <w:proofErr w:type="spellStart"/>
      <w:r w:rsidRPr="00DD5ACF">
        <w:rPr>
          <w:rFonts w:ascii="Arial" w:hAnsi="Arial" w:cs="Arial"/>
          <w:lang w:val="en-US"/>
        </w:rPr>
        <w:t>Berenike</w:t>
      </w:r>
      <w:proofErr w:type="spellEnd"/>
      <w:r w:rsidRPr="00DD5ACF">
        <w:rPr>
          <w:rFonts w:ascii="Arial" w:hAnsi="Arial" w:cs="Arial"/>
          <w:lang w:val="en-US"/>
        </w:rPr>
        <w:t xml:space="preserve"> to issue an order and set a precedent that the Roman military should protect all the shipping setting sail for </w:t>
      </w:r>
      <w:proofErr w:type="spellStart"/>
      <w:r w:rsidRPr="00DD5ACF">
        <w:rPr>
          <w:rFonts w:ascii="Arial" w:hAnsi="Arial" w:cs="Arial"/>
          <w:lang w:val="en-US"/>
        </w:rPr>
        <w:t>Coptos</w:t>
      </w:r>
      <w:proofErr w:type="spellEnd"/>
      <w:r w:rsidRPr="00DD5ACF">
        <w:rPr>
          <w:rFonts w:ascii="Arial" w:hAnsi="Arial" w:cs="Arial"/>
          <w:lang w:val="en-US"/>
        </w:rPr>
        <w:t xml:space="preserve"> and Upper Egypt.</w:t>
      </w:r>
      <w:r w:rsidR="002175DE">
        <w:rPr>
          <w:rStyle w:val="FootnoteReference"/>
          <w:rFonts w:ascii="Arial" w:hAnsi="Arial" w:cs="Arial"/>
          <w:lang w:val="en-US"/>
        </w:rPr>
        <w:footnoteReference w:id="77"/>
      </w:r>
      <w:r w:rsidRPr="00DD5ACF">
        <w:rPr>
          <w:rFonts w:ascii="Arial" w:hAnsi="Arial" w:cs="Arial"/>
          <w:lang w:val="en-US"/>
        </w:rPr>
        <w:t xml:space="preserve"> Those soldiers who did serve as escorts likely relied on the </w:t>
      </w:r>
      <w:r w:rsidR="00AE0625" w:rsidRPr="00DD5ACF">
        <w:rPr>
          <w:rFonts w:ascii="Arial" w:hAnsi="Arial" w:cs="Arial"/>
          <w:lang w:val="en-US"/>
        </w:rPr>
        <w:t xml:space="preserve">protection given by the nearby forts, in the case of a raid in settlements or an attack or theft of goods. Private security might have been indispensable given the </w:t>
      </w:r>
      <w:r w:rsidR="001D71BA" w:rsidRPr="00DD5ACF">
        <w:rPr>
          <w:rFonts w:ascii="Arial" w:hAnsi="Arial" w:cs="Arial"/>
          <w:lang w:val="en-US"/>
        </w:rPr>
        <w:t xml:space="preserve">totality of the caravans’ wealth that traveled through the region in the later first century CE. The need for this protection is highlighted in an inscription set up to commemorate the creation of the Via Nova </w:t>
      </w:r>
      <w:proofErr w:type="spellStart"/>
      <w:r w:rsidR="001D71BA" w:rsidRPr="00DD5ACF">
        <w:rPr>
          <w:rFonts w:ascii="Arial" w:hAnsi="Arial" w:cs="Arial"/>
          <w:lang w:val="en-US"/>
        </w:rPr>
        <w:t>Hadriana</w:t>
      </w:r>
      <w:proofErr w:type="spellEnd"/>
      <w:r w:rsidR="001D71BA" w:rsidRPr="00DD5ACF">
        <w:rPr>
          <w:rFonts w:ascii="Arial" w:hAnsi="Arial" w:cs="Arial"/>
          <w:lang w:val="en-US"/>
        </w:rPr>
        <w:t xml:space="preserve">, a trade route stretching from </w:t>
      </w:r>
      <w:proofErr w:type="spellStart"/>
      <w:r w:rsidR="001D71BA" w:rsidRPr="00DD5ACF">
        <w:rPr>
          <w:rFonts w:ascii="Arial" w:hAnsi="Arial" w:cs="Arial"/>
          <w:lang w:val="en-US"/>
        </w:rPr>
        <w:t>Antinopolis</w:t>
      </w:r>
      <w:proofErr w:type="spellEnd"/>
      <w:r w:rsidR="001D71BA" w:rsidRPr="00DD5ACF">
        <w:rPr>
          <w:rFonts w:ascii="Arial" w:hAnsi="Arial" w:cs="Arial"/>
          <w:lang w:val="en-US"/>
        </w:rPr>
        <w:t xml:space="preserve"> (Sheikh ‘</w:t>
      </w:r>
      <w:proofErr w:type="spellStart"/>
      <w:r w:rsidR="001D71BA" w:rsidRPr="00DD5ACF">
        <w:rPr>
          <w:rFonts w:ascii="Arial" w:hAnsi="Arial" w:cs="Arial"/>
          <w:lang w:val="en-US"/>
        </w:rPr>
        <w:t>Ibada</w:t>
      </w:r>
      <w:proofErr w:type="spellEnd"/>
      <w:r w:rsidR="001D71BA" w:rsidRPr="00DD5ACF">
        <w:rPr>
          <w:rFonts w:ascii="Arial" w:hAnsi="Arial" w:cs="Arial"/>
          <w:lang w:val="en-US"/>
        </w:rPr>
        <w:t>) through the Eastern Desert to the Red Sea co</w:t>
      </w:r>
      <w:r w:rsidR="00880D3D" w:rsidRPr="00DD5ACF">
        <w:rPr>
          <w:rFonts w:ascii="Arial" w:hAnsi="Arial" w:cs="Arial"/>
          <w:lang w:val="en-US"/>
        </w:rPr>
        <w:t>a</w:t>
      </w:r>
      <w:r w:rsidR="001D71BA" w:rsidRPr="00DD5ACF">
        <w:rPr>
          <w:rFonts w:ascii="Arial" w:hAnsi="Arial" w:cs="Arial"/>
          <w:lang w:val="en-US"/>
        </w:rPr>
        <w:t xml:space="preserve">st of </w:t>
      </w:r>
      <w:proofErr w:type="spellStart"/>
      <w:r w:rsidR="001D71BA" w:rsidRPr="00DD5ACF">
        <w:rPr>
          <w:rFonts w:ascii="Arial" w:hAnsi="Arial" w:cs="Arial"/>
          <w:lang w:val="en-US"/>
        </w:rPr>
        <w:t>Bernike</w:t>
      </w:r>
      <w:proofErr w:type="spellEnd"/>
      <w:r w:rsidR="001D71BA" w:rsidRPr="00DD5ACF">
        <w:rPr>
          <w:rFonts w:ascii="Arial" w:hAnsi="Arial" w:cs="Arial"/>
          <w:lang w:val="en-US"/>
        </w:rPr>
        <w:t>.</w:t>
      </w:r>
      <w:r w:rsidR="002175DE">
        <w:rPr>
          <w:rStyle w:val="FootnoteReference"/>
          <w:rFonts w:ascii="Arial" w:hAnsi="Arial" w:cs="Arial"/>
          <w:lang w:val="en-US"/>
        </w:rPr>
        <w:footnoteReference w:id="78"/>
      </w:r>
      <w:r w:rsidR="001D71BA" w:rsidRPr="00DD5ACF">
        <w:rPr>
          <w:rFonts w:ascii="Arial" w:hAnsi="Arial" w:cs="Arial"/>
          <w:lang w:val="en-US"/>
        </w:rPr>
        <w:t xml:space="preserve"> This inscription </w:t>
      </w:r>
      <w:proofErr w:type="spellStart"/>
      <w:r w:rsidR="001D71BA" w:rsidRPr="00DD5ACF">
        <w:rPr>
          <w:rFonts w:ascii="Arial" w:hAnsi="Arial" w:cs="Arial"/>
          <w:lang w:val="en-US"/>
        </w:rPr>
        <w:t>explicity</w:t>
      </w:r>
      <w:proofErr w:type="spellEnd"/>
      <w:r w:rsidR="001D71BA" w:rsidRPr="00DD5ACF">
        <w:rPr>
          <w:rFonts w:ascii="Arial" w:hAnsi="Arial" w:cs="Arial"/>
          <w:lang w:val="en-US"/>
        </w:rPr>
        <w:t xml:space="preserve"> highlights the routes design to ensure level terrain, safe passage, and sustainability of trade, through the installation of wells, </w:t>
      </w:r>
      <w:r w:rsidR="00AC7C47" w:rsidRPr="00DD5ACF">
        <w:rPr>
          <w:rFonts w:ascii="Arial" w:hAnsi="Arial" w:cs="Arial"/>
          <w:lang w:val="en-US"/>
        </w:rPr>
        <w:t>stations,</w:t>
      </w:r>
      <w:r w:rsidR="001D71BA" w:rsidRPr="00DD5ACF">
        <w:rPr>
          <w:rFonts w:ascii="Arial" w:hAnsi="Arial" w:cs="Arial"/>
          <w:lang w:val="en-US"/>
        </w:rPr>
        <w:t xml:space="preserve"> and guard posts.</w:t>
      </w:r>
      <w:r w:rsidR="002175DE">
        <w:rPr>
          <w:rStyle w:val="FootnoteReference"/>
          <w:rFonts w:ascii="Arial" w:hAnsi="Arial" w:cs="Arial"/>
          <w:lang w:val="en-US"/>
        </w:rPr>
        <w:footnoteReference w:id="79"/>
      </w:r>
      <w:r w:rsidR="001D71BA" w:rsidRPr="00DD5ACF">
        <w:rPr>
          <w:rFonts w:ascii="Arial" w:hAnsi="Arial" w:cs="Arial"/>
          <w:lang w:val="en-US"/>
        </w:rPr>
        <w:t xml:space="preserve"> Coincidentally, social activity appears to have flourished along these routes, praesidia with worship and bathhouses appear to have developed alongside th</w:t>
      </w:r>
      <w:r w:rsidR="001D5E05" w:rsidRPr="00DD5ACF">
        <w:rPr>
          <w:rFonts w:ascii="Arial" w:hAnsi="Arial" w:cs="Arial"/>
          <w:lang w:val="en-US"/>
        </w:rPr>
        <w:t xml:space="preserve">is route. </w:t>
      </w:r>
    </w:p>
    <w:p w14:paraId="3994119B" w14:textId="77777777" w:rsidR="00B85359" w:rsidRPr="00DD5ACF" w:rsidRDefault="00B85359" w:rsidP="00A72E4A">
      <w:pPr>
        <w:spacing w:line="360" w:lineRule="auto"/>
        <w:rPr>
          <w:rFonts w:ascii="Arial" w:hAnsi="Arial" w:cs="Arial"/>
          <w:lang w:val="en-US"/>
        </w:rPr>
      </w:pPr>
    </w:p>
    <w:p w14:paraId="03DDA40C" w14:textId="24334919" w:rsidR="00B85359" w:rsidRPr="00DD5ACF" w:rsidRDefault="009D02EF" w:rsidP="00A72E4A">
      <w:pPr>
        <w:spacing w:line="360" w:lineRule="auto"/>
        <w:rPr>
          <w:rFonts w:ascii="Arial" w:hAnsi="Arial" w:cs="Arial"/>
          <w:lang w:val="en-US"/>
        </w:rPr>
      </w:pPr>
      <w:r w:rsidRPr="00DD5ACF">
        <w:rPr>
          <w:rFonts w:ascii="Arial" w:hAnsi="Arial" w:cs="Arial"/>
          <w:lang w:val="en-US"/>
        </w:rPr>
        <w:t xml:space="preserve">Trajan’s Canal and Trade Routes: Responding to Indigenous Threats </w:t>
      </w:r>
    </w:p>
    <w:p w14:paraId="1AB01516" w14:textId="77777777" w:rsidR="00B85359" w:rsidRPr="00DD5ACF" w:rsidRDefault="00B85359" w:rsidP="00A72E4A">
      <w:pPr>
        <w:spacing w:line="360" w:lineRule="auto"/>
        <w:rPr>
          <w:rFonts w:ascii="Arial" w:hAnsi="Arial" w:cs="Arial"/>
          <w:lang w:val="en-US"/>
        </w:rPr>
      </w:pPr>
    </w:p>
    <w:p w14:paraId="1D3FA27E" w14:textId="50C3CA69" w:rsidR="001D5E05" w:rsidRPr="00DD5ACF" w:rsidRDefault="00AC7C47" w:rsidP="00A72E4A">
      <w:pPr>
        <w:spacing w:line="360" w:lineRule="auto"/>
        <w:rPr>
          <w:rFonts w:ascii="Arial" w:hAnsi="Arial" w:cs="Arial"/>
          <w:lang w:val="en-US"/>
        </w:rPr>
      </w:pPr>
      <w:r w:rsidRPr="00DD5ACF">
        <w:rPr>
          <w:rFonts w:ascii="Arial" w:hAnsi="Arial" w:cs="Arial"/>
          <w:lang w:val="en-US"/>
        </w:rPr>
        <w:t>The creation of Trajan’s Canal (</w:t>
      </w:r>
      <w:proofErr w:type="spellStart"/>
      <w:r w:rsidRPr="00DD5ACF">
        <w:rPr>
          <w:rFonts w:ascii="Arial" w:hAnsi="Arial" w:cs="Arial"/>
          <w:lang w:val="en-US"/>
        </w:rPr>
        <w:t>Amnis</w:t>
      </w:r>
      <w:proofErr w:type="spellEnd"/>
      <w:r w:rsidRPr="00DD5ACF">
        <w:rPr>
          <w:rFonts w:ascii="Arial" w:hAnsi="Arial" w:cs="Arial"/>
          <w:lang w:val="en-US"/>
        </w:rPr>
        <w:t xml:space="preserve"> </w:t>
      </w:r>
      <w:proofErr w:type="spellStart"/>
      <w:r w:rsidRPr="00DD5ACF">
        <w:rPr>
          <w:rFonts w:ascii="Arial" w:hAnsi="Arial" w:cs="Arial"/>
          <w:lang w:val="en-US"/>
        </w:rPr>
        <w:t>Traianus</w:t>
      </w:r>
      <w:proofErr w:type="spellEnd"/>
      <w:r w:rsidRPr="00DD5ACF">
        <w:rPr>
          <w:rFonts w:ascii="Arial" w:hAnsi="Arial" w:cs="Arial"/>
          <w:lang w:val="en-US"/>
        </w:rPr>
        <w:t xml:space="preserve">), stretching from the Nile </w:t>
      </w:r>
      <w:r w:rsidR="00223BCB" w:rsidRPr="00DD5ACF">
        <w:rPr>
          <w:rFonts w:ascii="Arial" w:hAnsi="Arial" w:cs="Arial"/>
          <w:lang w:val="en-US"/>
        </w:rPr>
        <w:t xml:space="preserve">at Babylon (south of Cairo), and along the Wadi </w:t>
      </w:r>
      <w:proofErr w:type="spellStart"/>
      <w:r w:rsidR="00223BCB" w:rsidRPr="00DD5ACF">
        <w:rPr>
          <w:rFonts w:ascii="Arial" w:hAnsi="Arial" w:cs="Arial"/>
          <w:lang w:val="en-US"/>
        </w:rPr>
        <w:t>Tumilat</w:t>
      </w:r>
      <w:proofErr w:type="spellEnd"/>
      <w:r w:rsidR="00223BCB" w:rsidRPr="00DD5ACF">
        <w:rPr>
          <w:rFonts w:ascii="Arial" w:hAnsi="Arial" w:cs="Arial"/>
          <w:lang w:val="en-US"/>
        </w:rPr>
        <w:t xml:space="preserve"> to the port of </w:t>
      </w:r>
      <w:proofErr w:type="spellStart"/>
      <w:r w:rsidR="002175DE">
        <w:rPr>
          <w:rFonts w:ascii="Arial" w:hAnsi="Arial" w:cs="Arial"/>
          <w:lang w:val="en-US"/>
        </w:rPr>
        <w:t>K</w:t>
      </w:r>
      <w:r w:rsidR="00223BCB" w:rsidRPr="00DD5ACF">
        <w:rPr>
          <w:rFonts w:ascii="Arial" w:hAnsi="Arial" w:cs="Arial"/>
          <w:lang w:val="en-US"/>
        </w:rPr>
        <w:t>lysma</w:t>
      </w:r>
      <w:proofErr w:type="spellEnd"/>
      <w:r w:rsidR="00223BCB" w:rsidRPr="00DD5ACF">
        <w:rPr>
          <w:rFonts w:ascii="Arial" w:hAnsi="Arial" w:cs="Arial"/>
          <w:lang w:val="en-US"/>
        </w:rPr>
        <w:t xml:space="preserve"> at the top of the Gulf of Suez, and the mentioned Via Nova </w:t>
      </w:r>
      <w:proofErr w:type="spellStart"/>
      <w:r w:rsidR="00223BCB" w:rsidRPr="00DD5ACF">
        <w:rPr>
          <w:rFonts w:ascii="Arial" w:hAnsi="Arial" w:cs="Arial"/>
          <w:lang w:val="en-US"/>
        </w:rPr>
        <w:t>Hadriana</w:t>
      </w:r>
      <w:proofErr w:type="spellEnd"/>
      <w:r w:rsidR="00223BCB" w:rsidRPr="00DD5ACF">
        <w:rPr>
          <w:rFonts w:ascii="Arial" w:hAnsi="Arial" w:cs="Arial"/>
          <w:lang w:val="en-US"/>
        </w:rPr>
        <w:t>, in the early mid-second century, may have been a response to the danger posed by indigenous tribes.</w:t>
      </w:r>
      <w:r w:rsidR="002175DE">
        <w:rPr>
          <w:rStyle w:val="FootnoteReference"/>
          <w:rFonts w:ascii="Arial" w:hAnsi="Arial" w:cs="Arial"/>
          <w:lang w:val="en-US"/>
        </w:rPr>
        <w:footnoteReference w:id="80"/>
      </w:r>
      <w:r w:rsidR="00223BCB" w:rsidRPr="00DD5ACF">
        <w:rPr>
          <w:rFonts w:ascii="Arial" w:hAnsi="Arial" w:cs="Arial"/>
          <w:lang w:val="en-US"/>
        </w:rPr>
        <w:t xml:space="preserve"> The cargo would have gone through safe passage and south to </w:t>
      </w:r>
      <w:proofErr w:type="spellStart"/>
      <w:r w:rsidR="00223BCB" w:rsidRPr="00DD5ACF">
        <w:rPr>
          <w:rFonts w:ascii="Arial" w:hAnsi="Arial" w:cs="Arial"/>
          <w:lang w:val="en-US"/>
        </w:rPr>
        <w:t>Klysma</w:t>
      </w:r>
      <w:proofErr w:type="spellEnd"/>
      <w:r w:rsidR="00223BCB" w:rsidRPr="00DD5ACF">
        <w:rPr>
          <w:rFonts w:ascii="Arial" w:hAnsi="Arial" w:cs="Arial"/>
          <w:lang w:val="en-US"/>
        </w:rPr>
        <w:t xml:space="preserve"> for taxation, and then onto its </w:t>
      </w:r>
      <w:r w:rsidR="00223BCB" w:rsidRPr="00DD5ACF">
        <w:rPr>
          <w:rFonts w:ascii="Arial" w:hAnsi="Arial" w:cs="Arial"/>
          <w:lang w:val="en-US"/>
        </w:rPr>
        <w:lastRenderedPageBreak/>
        <w:t xml:space="preserve">destination. This journey would have been simple as the ships would follow the prevailing south monsoon winds which would have pushed the ship along. However, the journey back was daunting. Traveling North would mean that the winds were against the ships sails and </w:t>
      </w:r>
      <w:r w:rsidR="00B73360" w:rsidRPr="00DD5ACF">
        <w:rPr>
          <w:rFonts w:ascii="Arial" w:hAnsi="Arial" w:cs="Arial"/>
          <w:lang w:val="en-US"/>
        </w:rPr>
        <w:t xml:space="preserve">for a larger vessel movement in other direction would have been challenging, so any sea-bound attacks or raids on the ships would have been very difficult to counter. The Via Nova </w:t>
      </w:r>
      <w:proofErr w:type="spellStart"/>
      <w:r w:rsidR="00B73360" w:rsidRPr="00DD5ACF">
        <w:rPr>
          <w:rFonts w:ascii="Arial" w:hAnsi="Arial" w:cs="Arial"/>
          <w:lang w:val="en-US"/>
        </w:rPr>
        <w:t>Hadriana</w:t>
      </w:r>
      <w:proofErr w:type="spellEnd"/>
      <w:r w:rsidR="00B73360" w:rsidRPr="00DD5ACF">
        <w:rPr>
          <w:rFonts w:ascii="Arial" w:hAnsi="Arial" w:cs="Arial"/>
          <w:lang w:val="en-US"/>
        </w:rPr>
        <w:t>, as noted from the inscription, was explicitly created to offer security for these vessels as manned forts or stations ran parallel to the coast for approximately 500km until the far North of the Eastern Desert, where the lands topography allowed for nature to preserve and protect traders</w:t>
      </w:r>
      <w:r w:rsidR="00CA1D67" w:rsidRPr="00DD5ACF">
        <w:rPr>
          <w:rFonts w:ascii="Arial" w:hAnsi="Arial" w:cs="Arial"/>
          <w:lang w:val="en-US"/>
        </w:rPr>
        <w:t xml:space="preserve"> interests.</w:t>
      </w:r>
      <w:r w:rsidR="002175DE">
        <w:rPr>
          <w:rStyle w:val="FootnoteReference"/>
          <w:rFonts w:ascii="Arial" w:hAnsi="Arial" w:cs="Arial"/>
          <w:lang w:val="en-US"/>
        </w:rPr>
        <w:footnoteReference w:id="81"/>
      </w:r>
      <w:r w:rsidR="00CA1D67" w:rsidRPr="00DD5ACF">
        <w:rPr>
          <w:rFonts w:ascii="Arial" w:hAnsi="Arial" w:cs="Arial"/>
          <w:lang w:val="en-US"/>
        </w:rPr>
        <w:t xml:space="preserve">  However, although it looks like a lot of strategy went into the construction of the</w:t>
      </w:r>
      <w:r w:rsidR="00262709">
        <w:rPr>
          <w:rFonts w:ascii="Arial" w:hAnsi="Arial" w:cs="Arial"/>
          <w:lang w:val="en-US"/>
        </w:rPr>
        <w:t xml:space="preserve"> Trajan’s projects, the seafaring project, the Trajan’s Canal to </w:t>
      </w:r>
      <w:proofErr w:type="spellStart"/>
      <w:r w:rsidR="00262709">
        <w:rPr>
          <w:rFonts w:ascii="Arial" w:hAnsi="Arial" w:cs="Arial"/>
          <w:lang w:val="en-US"/>
        </w:rPr>
        <w:t>Clysma</w:t>
      </w:r>
      <w:proofErr w:type="spellEnd"/>
      <w:r w:rsidR="00262709">
        <w:rPr>
          <w:rFonts w:ascii="Arial" w:hAnsi="Arial" w:cs="Arial"/>
          <w:lang w:val="en-US"/>
        </w:rPr>
        <w:t>,</w:t>
      </w:r>
      <w:r w:rsidR="00CA1D67" w:rsidRPr="00DD5ACF">
        <w:rPr>
          <w:rFonts w:ascii="Arial" w:hAnsi="Arial" w:cs="Arial"/>
          <w:lang w:val="en-US"/>
        </w:rPr>
        <w:t xml:space="preserve"> there is little evidence supporting the inference that during the second-century CE it was regularly used</w:t>
      </w:r>
      <w:r w:rsidR="00262709">
        <w:rPr>
          <w:rFonts w:ascii="Arial" w:hAnsi="Arial" w:cs="Arial"/>
          <w:lang w:val="en-US"/>
        </w:rPr>
        <w:t xml:space="preserve">, unlike its counterpart on land; the Via Nova </w:t>
      </w:r>
      <w:proofErr w:type="spellStart"/>
      <w:r w:rsidR="00262709">
        <w:rPr>
          <w:rFonts w:ascii="Arial" w:hAnsi="Arial" w:cs="Arial"/>
          <w:lang w:val="en-US"/>
        </w:rPr>
        <w:t>Hadriana</w:t>
      </w:r>
      <w:proofErr w:type="spellEnd"/>
      <w:r w:rsidR="00CA1D67" w:rsidRPr="00DD5ACF">
        <w:rPr>
          <w:rFonts w:ascii="Arial" w:hAnsi="Arial" w:cs="Arial"/>
          <w:lang w:val="en-US"/>
        </w:rPr>
        <w:t>.</w:t>
      </w:r>
      <w:r w:rsidR="00262709">
        <w:rPr>
          <w:rStyle w:val="FootnoteReference"/>
          <w:rFonts w:ascii="Arial" w:hAnsi="Arial" w:cs="Arial"/>
          <w:lang w:val="en-US"/>
        </w:rPr>
        <w:footnoteReference w:id="82"/>
      </w:r>
      <w:r w:rsidR="00CA1D67" w:rsidRPr="00DD5ACF">
        <w:rPr>
          <w:rFonts w:ascii="Arial" w:hAnsi="Arial" w:cs="Arial"/>
          <w:lang w:val="en-US"/>
        </w:rPr>
        <w:t xml:space="preserve"> Despite Hadrian’s intentions, evident through the clear strategic planning of the route</w:t>
      </w:r>
      <w:r w:rsidR="00262709">
        <w:rPr>
          <w:rFonts w:ascii="Arial" w:hAnsi="Arial" w:cs="Arial"/>
          <w:lang w:val="en-US"/>
        </w:rPr>
        <w:t>s</w:t>
      </w:r>
      <w:r w:rsidR="00CA1D67" w:rsidRPr="00DD5ACF">
        <w:rPr>
          <w:rFonts w:ascii="Arial" w:hAnsi="Arial" w:cs="Arial"/>
          <w:lang w:val="en-US"/>
        </w:rPr>
        <w:t>,</w:t>
      </w:r>
      <w:r w:rsidR="00262709">
        <w:rPr>
          <w:rFonts w:ascii="Arial" w:hAnsi="Arial" w:cs="Arial"/>
          <w:lang w:val="en-US"/>
        </w:rPr>
        <w:t xml:space="preserve"> for the Via Nova </w:t>
      </w:r>
      <w:proofErr w:type="spellStart"/>
      <w:r w:rsidR="00262709">
        <w:rPr>
          <w:rFonts w:ascii="Arial" w:hAnsi="Arial" w:cs="Arial"/>
          <w:lang w:val="en-US"/>
        </w:rPr>
        <w:t>Hadriana</w:t>
      </w:r>
      <w:proofErr w:type="spellEnd"/>
      <w:r w:rsidR="00262709">
        <w:rPr>
          <w:rFonts w:ascii="Arial" w:hAnsi="Arial" w:cs="Arial"/>
          <w:lang w:val="en-US"/>
        </w:rPr>
        <w:t>,</w:t>
      </w:r>
      <w:r w:rsidR="00CA1D67" w:rsidRPr="00DD5ACF">
        <w:rPr>
          <w:rFonts w:ascii="Arial" w:hAnsi="Arial" w:cs="Arial"/>
          <w:lang w:val="en-US"/>
        </w:rPr>
        <w:t xml:space="preserve"> migrating overland for trade</w:t>
      </w:r>
      <w:r w:rsidR="00DE1EFC" w:rsidRPr="00DD5ACF">
        <w:rPr>
          <w:rFonts w:ascii="Arial" w:hAnsi="Arial" w:cs="Arial"/>
          <w:lang w:val="en-US"/>
        </w:rPr>
        <w:t xml:space="preserve"> would have carried too many dangers which was an expense, deterring the routes commercial use.</w:t>
      </w:r>
      <w:r w:rsidR="00262709">
        <w:rPr>
          <w:rFonts w:ascii="Arial" w:hAnsi="Arial" w:cs="Arial"/>
          <w:lang w:val="en-US"/>
        </w:rPr>
        <w:t xml:space="preserve"> However, various inscriptions and ostraca provide evidence that these roads were mainly used in May-June. </w:t>
      </w:r>
      <w:proofErr w:type="gramStart"/>
      <w:r w:rsidR="00262709">
        <w:rPr>
          <w:rFonts w:ascii="Arial" w:hAnsi="Arial" w:cs="Arial"/>
          <w:lang w:val="en-US"/>
        </w:rPr>
        <w:t>Meyer,</w:t>
      </w:r>
      <w:proofErr w:type="gramEnd"/>
      <w:r w:rsidR="00262709">
        <w:rPr>
          <w:rFonts w:ascii="Arial" w:hAnsi="Arial" w:cs="Arial"/>
          <w:lang w:val="en-US"/>
        </w:rPr>
        <w:t xml:space="preserve"> contends that the small scale farming, and supplies from the Nile, as well as water-management, allowed for the roads to be sustainable even in extremely hot climates.</w:t>
      </w:r>
      <w:r w:rsidR="00262709">
        <w:rPr>
          <w:rStyle w:val="FootnoteReference"/>
          <w:rFonts w:ascii="Arial" w:hAnsi="Arial" w:cs="Arial"/>
          <w:lang w:val="en-US"/>
        </w:rPr>
        <w:footnoteReference w:id="83"/>
      </w:r>
      <w:r w:rsidR="00DE1EFC" w:rsidRPr="00DD5ACF">
        <w:rPr>
          <w:rFonts w:ascii="Arial" w:hAnsi="Arial" w:cs="Arial"/>
          <w:lang w:val="en-US"/>
        </w:rPr>
        <w:t xml:space="preserve"> </w:t>
      </w:r>
      <w:r w:rsidR="00262709">
        <w:rPr>
          <w:rFonts w:ascii="Arial" w:hAnsi="Arial" w:cs="Arial"/>
          <w:lang w:val="en-US"/>
        </w:rPr>
        <w:t xml:space="preserve">In respect to Trajan’s Canal to </w:t>
      </w:r>
      <w:proofErr w:type="spellStart"/>
      <w:r w:rsidR="00262709">
        <w:rPr>
          <w:rFonts w:ascii="Arial" w:hAnsi="Arial" w:cs="Arial"/>
          <w:lang w:val="en-US"/>
        </w:rPr>
        <w:t>Clysma</w:t>
      </w:r>
      <w:proofErr w:type="spellEnd"/>
      <w:r w:rsidR="00262709">
        <w:rPr>
          <w:rFonts w:ascii="Arial" w:hAnsi="Arial" w:cs="Arial"/>
          <w:lang w:val="en-US"/>
        </w:rPr>
        <w:t>, t</w:t>
      </w:r>
      <w:r w:rsidR="00DE1EFC" w:rsidRPr="00DD5ACF">
        <w:rPr>
          <w:rFonts w:ascii="Arial" w:hAnsi="Arial" w:cs="Arial"/>
          <w:lang w:val="en-US"/>
        </w:rPr>
        <w:t>he commercial viability of larger vessels using the canal has also been a point of debate. Aubert is skeptical about the practicalities of using the canal for commercial shipping</w:t>
      </w:r>
      <w:r w:rsidR="00A86D86" w:rsidRPr="00DD5ACF">
        <w:rPr>
          <w:rFonts w:ascii="Arial" w:hAnsi="Arial" w:cs="Arial"/>
          <w:lang w:val="en-US"/>
        </w:rPr>
        <w:t>, suggesting that there would have been problems navigating these larger vessels, except during the periods when the Nile floods.</w:t>
      </w:r>
      <w:r w:rsidR="002175DE">
        <w:rPr>
          <w:rStyle w:val="FootnoteReference"/>
          <w:rFonts w:ascii="Arial" w:hAnsi="Arial" w:cs="Arial"/>
          <w:lang w:val="en-US"/>
        </w:rPr>
        <w:footnoteReference w:id="84"/>
      </w:r>
      <w:r w:rsidR="00A86D86" w:rsidRPr="00DD5ACF">
        <w:rPr>
          <w:rFonts w:ascii="Arial" w:hAnsi="Arial" w:cs="Arial"/>
          <w:lang w:val="en-US"/>
        </w:rPr>
        <w:t xml:space="preserve"> Support for this can be found in geography, when the Nile floods the basin would increase, allowing for more ships to navigate through the narrow and deeper areas, such as ravines.</w:t>
      </w:r>
      <w:r w:rsidR="002175DE">
        <w:rPr>
          <w:rStyle w:val="FootnoteReference"/>
          <w:rFonts w:ascii="Arial" w:hAnsi="Arial" w:cs="Arial"/>
          <w:lang w:val="en-US"/>
        </w:rPr>
        <w:footnoteReference w:id="85"/>
      </w:r>
      <w:r w:rsidR="00A86D86" w:rsidRPr="00DD5ACF">
        <w:rPr>
          <w:rFonts w:ascii="Arial" w:hAnsi="Arial" w:cs="Arial"/>
          <w:lang w:val="en-US"/>
        </w:rPr>
        <w:t xml:space="preserve"> Whereas, </w:t>
      </w:r>
      <w:r w:rsidR="00D87F19" w:rsidRPr="00DD5ACF">
        <w:rPr>
          <w:rFonts w:ascii="Arial" w:hAnsi="Arial" w:cs="Arial"/>
          <w:lang w:val="en-US"/>
        </w:rPr>
        <w:t xml:space="preserve">when there is no influx of water, then the Nile would be shallow, reducing the chances of </w:t>
      </w:r>
      <w:r w:rsidR="00D87F19" w:rsidRPr="00DD5ACF">
        <w:rPr>
          <w:rFonts w:ascii="Arial" w:hAnsi="Arial" w:cs="Arial"/>
          <w:lang w:val="en-US"/>
        </w:rPr>
        <w:lastRenderedPageBreak/>
        <w:t xml:space="preserve">larger ships, with large hulls, navigating through smaller spaces, in terms of the width </w:t>
      </w:r>
      <w:r w:rsidR="00E20AD0" w:rsidRPr="00DD5ACF">
        <w:rPr>
          <w:rFonts w:ascii="Arial" w:hAnsi="Arial" w:cs="Arial"/>
          <w:lang w:val="en-US"/>
        </w:rPr>
        <w:t xml:space="preserve">and the depth of the canal. </w:t>
      </w:r>
    </w:p>
    <w:p w14:paraId="1AFDBFBD" w14:textId="1118049B" w:rsidR="009D02EF" w:rsidRPr="00DD5ACF" w:rsidRDefault="00E20AD0" w:rsidP="00A72E4A">
      <w:pPr>
        <w:spacing w:line="360" w:lineRule="auto"/>
        <w:rPr>
          <w:rFonts w:ascii="Arial" w:hAnsi="Arial" w:cs="Arial"/>
          <w:lang w:val="en-US"/>
        </w:rPr>
      </w:pPr>
      <w:r w:rsidRPr="00DD5ACF">
        <w:rPr>
          <w:rFonts w:ascii="Arial" w:hAnsi="Arial" w:cs="Arial"/>
          <w:lang w:val="en-US"/>
        </w:rPr>
        <w:t xml:space="preserve">During the mid-late second century CE, some of the tribes or raiders from those indigenous communities, shifted their attention and hostilities towards the North of the Eastern Desert. Historiography suggests that this might have been due to a scarcity </w:t>
      </w:r>
      <w:r w:rsidR="00262709">
        <w:rPr>
          <w:rFonts w:ascii="Arial" w:hAnsi="Arial" w:cs="Arial"/>
          <w:lang w:val="en-US"/>
        </w:rPr>
        <w:t>of</w:t>
      </w:r>
      <w:r w:rsidRPr="00DD5ACF">
        <w:rPr>
          <w:rFonts w:ascii="Arial" w:hAnsi="Arial" w:cs="Arial"/>
          <w:lang w:val="en-US"/>
        </w:rPr>
        <w:t xml:space="preserve"> resources along the </w:t>
      </w:r>
      <w:proofErr w:type="spellStart"/>
      <w:r w:rsidRPr="00DD5ACF">
        <w:rPr>
          <w:rFonts w:ascii="Arial" w:hAnsi="Arial" w:cs="Arial"/>
          <w:lang w:val="en-US"/>
        </w:rPr>
        <w:t>Coptos-Ber</w:t>
      </w:r>
      <w:r w:rsidR="008C77EF" w:rsidRPr="00DD5ACF">
        <w:rPr>
          <w:rFonts w:ascii="Arial" w:hAnsi="Arial" w:cs="Arial"/>
          <w:lang w:val="en-US"/>
        </w:rPr>
        <w:t>e</w:t>
      </w:r>
      <w:r w:rsidRPr="00DD5ACF">
        <w:rPr>
          <w:rFonts w:ascii="Arial" w:hAnsi="Arial" w:cs="Arial"/>
          <w:lang w:val="en-US"/>
        </w:rPr>
        <w:t>nike</w:t>
      </w:r>
      <w:proofErr w:type="spellEnd"/>
      <w:r w:rsidRPr="00DD5ACF">
        <w:rPr>
          <w:rFonts w:ascii="Arial" w:hAnsi="Arial" w:cs="Arial"/>
          <w:lang w:val="en-US"/>
        </w:rPr>
        <w:t xml:space="preserve"> and </w:t>
      </w:r>
      <w:proofErr w:type="spellStart"/>
      <w:r w:rsidRPr="00DD5ACF">
        <w:rPr>
          <w:rFonts w:ascii="Arial" w:hAnsi="Arial" w:cs="Arial"/>
          <w:lang w:val="en-US"/>
        </w:rPr>
        <w:t>Coptos-Myos</w:t>
      </w:r>
      <w:proofErr w:type="spellEnd"/>
      <w:r w:rsidRPr="00DD5ACF">
        <w:rPr>
          <w:rFonts w:ascii="Arial" w:hAnsi="Arial" w:cs="Arial"/>
          <w:lang w:val="en-US"/>
        </w:rPr>
        <w:t xml:space="preserve"> </w:t>
      </w:r>
      <w:proofErr w:type="spellStart"/>
      <w:r w:rsidRPr="00DD5ACF">
        <w:rPr>
          <w:rFonts w:ascii="Arial" w:hAnsi="Arial" w:cs="Arial"/>
          <w:lang w:val="en-US"/>
        </w:rPr>
        <w:t>Hormos</w:t>
      </w:r>
      <w:proofErr w:type="spellEnd"/>
      <w:r w:rsidRPr="00DD5ACF">
        <w:rPr>
          <w:rFonts w:ascii="Arial" w:hAnsi="Arial" w:cs="Arial"/>
          <w:lang w:val="en-US"/>
        </w:rPr>
        <w:t xml:space="preserve"> routes.</w:t>
      </w:r>
      <w:r w:rsidR="00262709">
        <w:rPr>
          <w:rStyle w:val="FootnoteReference"/>
          <w:rFonts w:ascii="Arial" w:hAnsi="Arial" w:cs="Arial"/>
          <w:lang w:val="en-US"/>
        </w:rPr>
        <w:footnoteReference w:id="86"/>
      </w:r>
      <w:r w:rsidRPr="00DD5ACF">
        <w:rPr>
          <w:rFonts w:ascii="Arial" w:hAnsi="Arial" w:cs="Arial"/>
          <w:lang w:val="en-US"/>
        </w:rPr>
        <w:t xml:space="preserve"> A separate group of inscriptions</w:t>
      </w:r>
      <w:r w:rsidR="00C131A2" w:rsidRPr="00DD5ACF">
        <w:rPr>
          <w:rFonts w:ascii="Arial" w:hAnsi="Arial" w:cs="Arial"/>
          <w:lang w:val="en-US"/>
        </w:rPr>
        <w:t xml:space="preserve">, mentioned at the beginning of this paper, in Mons </w:t>
      </w:r>
      <w:proofErr w:type="spellStart"/>
      <w:r w:rsidR="00C131A2" w:rsidRPr="00DD5ACF">
        <w:rPr>
          <w:rFonts w:ascii="Arial" w:hAnsi="Arial" w:cs="Arial"/>
          <w:lang w:val="en-US"/>
        </w:rPr>
        <w:t>Claudianus</w:t>
      </w:r>
      <w:proofErr w:type="spellEnd"/>
      <w:r w:rsidR="00C131A2" w:rsidRPr="00DD5ACF">
        <w:rPr>
          <w:rFonts w:ascii="Arial" w:hAnsi="Arial" w:cs="Arial"/>
          <w:lang w:val="en-US"/>
        </w:rPr>
        <w:t xml:space="preserve"> and Umm </w:t>
      </w:r>
      <w:proofErr w:type="spellStart"/>
      <w:r w:rsidR="00C131A2" w:rsidRPr="00DD5ACF">
        <w:rPr>
          <w:rFonts w:ascii="Arial" w:hAnsi="Arial" w:cs="Arial"/>
          <w:lang w:val="en-US"/>
        </w:rPr>
        <w:t>Balad</w:t>
      </w:r>
      <w:proofErr w:type="spellEnd"/>
      <w:r w:rsidR="00C131A2" w:rsidRPr="00DD5ACF">
        <w:rPr>
          <w:rFonts w:ascii="Arial" w:hAnsi="Arial" w:cs="Arial"/>
          <w:lang w:val="en-US"/>
        </w:rPr>
        <w:t>, show that the tribes did pose a real threat</w:t>
      </w:r>
      <w:r w:rsidR="009C2A91">
        <w:rPr>
          <w:rFonts w:ascii="Arial" w:hAnsi="Arial" w:cs="Arial"/>
          <w:lang w:val="en-US"/>
        </w:rPr>
        <w:t>,</w:t>
      </w:r>
      <w:r w:rsidR="00C131A2" w:rsidRPr="00DD5ACF">
        <w:rPr>
          <w:rFonts w:ascii="Arial" w:hAnsi="Arial" w:cs="Arial"/>
          <w:lang w:val="en-US"/>
        </w:rPr>
        <w:t xml:space="preserve"> </w:t>
      </w:r>
      <w:r w:rsidR="009C2A91">
        <w:rPr>
          <w:rFonts w:ascii="Arial" w:hAnsi="Arial" w:cs="Arial"/>
          <w:lang w:val="en-US"/>
        </w:rPr>
        <w:t>a</w:t>
      </w:r>
      <w:r w:rsidR="00C131A2" w:rsidRPr="00DD5ACF">
        <w:rPr>
          <w:rFonts w:ascii="Arial" w:hAnsi="Arial" w:cs="Arial"/>
          <w:lang w:val="en-US"/>
        </w:rPr>
        <w:t>n inscription highlights the theft of 18 camels and the seizure of goods.</w:t>
      </w:r>
      <w:r w:rsidR="009C2A91">
        <w:rPr>
          <w:rStyle w:val="FootnoteReference"/>
          <w:rFonts w:ascii="Arial" w:hAnsi="Arial" w:cs="Arial"/>
          <w:lang w:val="en-US"/>
        </w:rPr>
        <w:footnoteReference w:id="87"/>
      </w:r>
      <w:r w:rsidR="00C131A2" w:rsidRPr="00DD5ACF">
        <w:rPr>
          <w:rFonts w:ascii="Arial" w:hAnsi="Arial" w:cs="Arial"/>
          <w:lang w:val="en-US"/>
        </w:rPr>
        <w:t xml:space="preserve"> </w:t>
      </w:r>
      <w:r w:rsidR="00D35973" w:rsidRPr="00DD5ACF">
        <w:rPr>
          <w:rFonts w:ascii="Arial" w:hAnsi="Arial" w:cs="Arial"/>
          <w:lang w:val="en-US"/>
        </w:rPr>
        <w:t xml:space="preserve">Furthermore, to prove more than theft, and serious bodily harm, a document </w:t>
      </w:r>
      <w:proofErr w:type="spellStart"/>
      <w:r w:rsidR="00D35973" w:rsidRPr="00DD5ACF">
        <w:rPr>
          <w:rFonts w:ascii="Arial" w:hAnsi="Arial" w:cs="Arial"/>
          <w:lang w:val="en-US"/>
        </w:rPr>
        <w:t>Petearoeris</w:t>
      </w:r>
      <w:proofErr w:type="spellEnd"/>
      <w:r w:rsidR="00D35973" w:rsidRPr="00DD5ACF">
        <w:rPr>
          <w:rFonts w:ascii="Arial" w:hAnsi="Arial" w:cs="Arial"/>
          <w:lang w:val="en-US"/>
        </w:rPr>
        <w:t xml:space="preserve"> (likely a quarry-worker), writes to his father Bekis that he has not eaten for two days for fear of the barbarians</w:t>
      </w:r>
      <w:r w:rsidR="009D02EF" w:rsidRPr="00DD5ACF">
        <w:rPr>
          <w:rFonts w:ascii="Arial" w:hAnsi="Arial" w:cs="Arial"/>
          <w:lang w:val="en-US"/>
        </w:rPr>
        <w:t>.</w:t>
      </w:r>
      <w:r w:rsidR="00BD70A4">
        <w:rPr>
          <w:rStyle w:val="FootnoteReference"/>
          <w:rFonts w:ascii="Arial" w:hAnsi="Arial" w:cs="Arial"/>
          <w:lang w:val="en-US"/>
        </w:rPr>
        <w:footnoteReference w:id="88"/>
      </w:r>
      <w:r w:rsidR="009D02EF" w:rsidRPr="00DD5ACF">
        <w:rPr>
          <w:rFonts w:ascii="Arial" w:hAnsi="Arial" w:cs="Arial"/>
          <w:lang w:val="en-US"/>
        </w:rPr>
        <w:t xml:space="preserve"> </w:t>
      </w:r>
      <w:r w:rsidR="00C131A2" w:rsidRPr="00DD5ACF">
        <w:rPr>
          <w:rFonts w:ascii="Arial" w:hAnsi="Arial" w:cs="Arial"/>
          <w:lang w:val="en-US"/>
        </w:rPr>
        <w:t>As such, this activity was threatening enough to disrupt trade along the route</w:t>
      </w:r>
      <w:r w:rsidR="008C77EF" w:rsidRPr="00DD5ACF">
        <w:rPr>
          <w:rFonts w:ascii="Arial" w:hAnsi="Arial" w:cs="Arial"/>
          <w:lang w:val="en-US"/>
        </w:rPr>
        <w:t xml:space="preserve">, but also might have slowed down reconstruction or the building of infrastructure, because of the risk of danger leaving settlements and main fortifications. Furthermore, although there was predicted to be between </w:t>
      </w:r>
      <w:r w:rsidR="003D4D9F" w:rsidRPr="00DD5ACF">
        <w:rPr>
          <w:rFonts w:ascii="Arial" w:hAnsi="Arial" w:cs="Arial"/>
          <w:lang w:val="en-US"/>
        </w:rPr>
        <w:t>60-65</w:t>
      </w:r>
      <w:r w:rsidR="008C77EF" w:rsidRPr="00DD5ACF">
        <w:rPr>
          <w:rFonts w:ascii="Arial" w:hAnsi="Arial" w:cs="Arial"/>
          <w:lang w:val="en-US"/>
        </w:rPr>
        <w:t xml:space="preserve"> </w:t>
      </w:r>
      <w:r w:rsidR="003D4D9F" w:rsidRPr="00DD5ACF">
        <w:rPr>
          <w:rFonts w:ascii="Arial" w:hAnsi="Arial" w:cs="Arial"/>
          <w:lang w:val="en-US"/>
        </w:rPr>
        <w:t>towers</w:t>
      </w:r>
      <w:r w:rsidR="008C77EF" w:rsidRPr="00DD5ACF">
        <w:rPr>
          <w:rFonts w:ascii="Arial" w:hAnsi="Arial" w:cs="Arial"/>
          <w:lang w:val="en-US"/>
        </w:rPr>
        <w:t xml:space="preserve"> in the region, therefore any attacks would be</w:t>
      </w:r>
      <w:r w:rsidR="003D4D9F" w:rsidRPr="00DD5ACF">
        <w:rPr>
          <w:rFonts w:ascii="Arial" w:hAnsi="Arial" w:cs="Arial"/>
          <w:lang w:val="en-US"/>
        </w:rPr>
        <w:t xml:space="preserve"> dealt with, but unfortunately most likely after the attack, whilst the bandits are on the road/route.</w:t>
      </w:r>
      <w:r w:rsidR="008C77EF" w:rsidRPr="00DD5ACF">
        <w:rPr>
          <w:rFonts w:ascii="Arial" w:hAnsi="Arial" w:cs="Arial"/>
          <w:lang w:val="en-US"/>
        </w:rPr>
        <w:t xml:space="preserve"> </w:t>
      </w:r>
      <w:r w:rsidR="003D4D9F" w:rsidRPr="00DD5ACF">
        <w:rPr>
          <w:rFonts w:ascii="Arial" w:hAnsi="Arial" w:cs="Arial"/>
          <w:lang w:val="en-US"/>
        </w:rPr>
        <w:t>This is because of</w:t>
      </w:r>
      <w:r w:rsidR="008C77EF" w:rsidRPr="00DD5ACF">
        <w:rPr>
          <w:rFonts w:ascii="Arial" w:hAnsi="Arial" w:cs="Arial"/>
          <w:lang w:val="en-US"/>
        </w:rPr>
        <w:t xml:space="preserve"> to the quick ambush and raid</w:t>
      </w:r>
      <w:r w:rsidR="003D4D9F" w:rsidRPr="00DD5ACF">
        <w:rPr>
          <w:rFonts w:ascii="Arial" w:hAnsi="Arial" w:cs="Arial"/>
          <w:lang w:val="en-US"/>
        </w:rPr>
        <w:t>ing type of attack/maneuvering</w:t>
      </w:r>
      <w:r w:rsidR="008C77EF" w:rsidRPr="00DD5ACF">
        <w:rPr>
          <w:rFonts w:ascii="Arial" w:hAnsi="Arial" w:cs="Arial"/>
          <w:lang w:val="en-US"/>
        </w:rPr>
        <w:t xml:space="preserve">. Moreover, </w:t>
      </w:r>
      <w:r w:rsidR="005E074E" w:rsidRPr="00DD5ACF">
        <w:rPr>
          <w:rFonts w:ascii="Arial" w:hAnsi="Arial" w:cs="Arial"/>
          <w:lang w:val="en-US"/>
        </w:rPr>
        <w:t>the third century crisis caused soldiers to leave their province and move to the areas they were needed</w:t>
      </w:r>
      <w:r w:rsidR="002C0018" w:rsidRPr="00DD5ACF">
        <w:rPr>
          <w:rFonts w:ascii="Arial" w:hAnsi="Arial" w:cs="Arial"/>
          <w:lang w:val="en-US"/>
        </w:rPr>
        <w:t>.</w:t>
      </w:r>
      <w:r w:rsidR="00BD70A4">
        <w:rPr>
          <w:rStyle w:val="FootnoteReference"/>
          <w:rFonts w:ascii="Arial" w:hAnsi="Arial" w:cs="Arial"/>
          <w:lang w:val="en-US"/>
        </w:rPr>
        <w:footnoteReference w:id="89"/>
      </w:r>
      <w:r w:rsidR="002C0018" w:rsidRPr="00DD5ACF">
        <w:rPr>
          <w:rFonts w:ascii="Arial" w:hAnsi="Arial" w:cs="Arial"/>
          <w:lang w:val="en-US"/>
        </w:rPr>
        <w:t xml:space="preserve"> As such, different units would have provided detachments at different times as they became necessary.</w:t>
      </w:r>
      <w:r w:rsidR="005E074E" w:rsidRPr="00DD5ACF">
        <w:rPr>
          <w:rFonts w:ascii="Arial" w:hAnsi="Arial" w:cs="Arial"/>
          <w:lang w:val="en-US"/>
        </w:rPr>
        <w:t xml:space="preserve"> There is no correlation between the third century and the lack of trade, but </w:t>
      </w:r>
      <w:proofErr w:type="spellStart"/>
      <w:r w:rsidR="005E074E" w:rsidRPr="00DD5ACF">
        <w:rPr>
          <w:rFonts w:ascii="Arial" w:hAnsi="Arial" w:cs="Arial"/>
          <w:lang w:val="en-US"/>
        </w:rPr>
        <w:t>Cuvigny</w:t>
      </w:r>
      <w:proofErr w:type="spellEnd"/>
      <w:r w:rsidR="005E074E" w:rsidRPr="00DD5ACF">
        <w:rPr>
          <w:rFonts w:ascii="Arial" w:hAnsi="Arial" w:cs="Arial"/>
          <w:lang w:val="en-US"/>
        </w:rPr>
        <w:t xml:space="preserve"> argues that some aggressive raids might have happened because of the lack of Roman protection in the region.</w:t>
      </w:r>
      <w:r w:rsidR="00407353">
        <w:rPr>
          <w:rStyle w:val="FootnoteReference"/>
          <w:rFonts w:ascii="Arial" w:hAnsi="Arial" w:cs="Arial"/>
          <w:lang w:val="en-US"/>
        </w:rPr>
        <w:footnoteReference w:id="90"/>
      </w:r>
      <w:r w:rsidR="005E074E" w:rsidRPr="00DD5ACF">
        <w:rPr>
          <w:rFonts w:ascii="Arial" w:hAnsi="Arial" w:cs="Arial"/>
          <w:lang w:val="en-US"/>
        </w:rPr>
        <w:t xml:space="preserve">  </w:t>
      </w:r>
      <w:r w:rsidR="00407353">
        <w:rPr>
          <w:rFonts w:ascii="Arial" w:hAnsi="Arial" w:cs="Arial"/>
          <w:lang w:val="en-US"/>
        </w:rPr>
        <w:t xml:space="preserve">In the </w:t>
      </w:r>
      <w:r w:rsidR="00DE154F">
        <w:rPr>
          <w:rFonts w:ascii="Arial" w:hAnsi="Arial" w:cs="Arial"/>
          <w:lang w:val="en-US"/>
        </w:rPr>
        <w:t>latter half of the second century, into the third century CE, Roman involvement in the Indian Ocean trade declined compared to the first century.</w:t>
      </w:r>
      <w:r w:rsidR="00DE154F">
        <w:rPr>
          <w:rStyle w:val="FootnoteReference"/>
          <w:rFonts w:ascii="Arial" w:hAnsi="Arial" w:cs="Arial"/>
          <w:lang w:val="en-US"/>
        </w:rPr>
        <w:footnoteReference w:id="91"/>
      </w:r>
      <w:r w:rsidR="00DE154F">
        <w:rPr>
          <w:rFonts w:ascii="Arial" w:hAnsi="Arial" w:cs="Arial"/>
          <w:lang w:val="en-US"/>
        </w:rPr>
        <w:t xml:space="preserve"> </w:t>
      </w:r>
      <w:proofErr w:type="spellStart"/>
      <w:r w:rsidR="00DE154F">
        <w:rPr>
          <w:rFonts w:ascii="Arial" w:hAnsi="Arial" w:cs="Arial"/>
          <w:lang w:val="en-US"/>
        </w:rPr>
        <w:t>Seland</w:t>
      </w:r>
      <w:proofErr w:type="spellEnd"/>
      <w:r w:rsidR="00DE154F">
        <w:rPr>
          <w:rFonts w:ascii="Arial" w:hAnsi="Arial" w:cs="Arial"/>
          <w:lang w:val="en-US"/>
        </w:rPr>
        <w:t xml:space="preserve"> attributes this decline to “</w:t>
      </w:r>
      <w:proofErr w:type="spellStart"/>
      <w:r w:rsidR="00DE154F">
        <w:rPr>
          <w:rFonts w:ascii="Arial" w:hAnsi="Arial" w:cs="Arial"/>
          <w:lang w:val="en-US"/>
        </w:rPr>
        <w:t>oikumenization</w:t>
      </w:r>
      <w:proofErr w:type="spellEnd"/>
      <w:r w:rsidR="00DE154F">
        <w:rPr>
          <w:rFonts w:ascii="Arial" w:hAnsi="Arial" w:cs="Arial"/>
          <w:lang w:val="en-US"/>
        </w:rPr>
        <w:t xml:space="preserve">”, which refers to the expansion of </w:t>
      </w:r>
      <w:proofErr w:type="spellStart"/>
      <w:r w:rsidR="00DE154F">
        <w:rPr>
          <w:rFonts w:ascii="Arial" w:hAnsi="Arial" w:cs="Arial"/>
          <w:lang w:val="en-US"/>
        </w:rPr>
        <w:t>civilisations</w:t>
      </w:r>
      <w:proofErr w:type="spellEnd"/>
      <w:r w:rsidR="00DE154F">
        <w:rPr>
          <w:rFonts w:ascii="Arial" w:hAnsi="Arial" w:cs="Arial"/>
          <w:lang w:val="en-US"/>
        </w:rPr>
        <w:t xml:space="preserve"> and cultures over a wider geographical area.</w:t>
      </w:r>
      <w:r w:rsidR="00DE154F">
        <w:rPr>
          <w:rStyle w:val="FootnoteReference"/>
          <w:rFonts w:ascii="Arial" w:hAnsi="Arial" w:cs="Arial"/>
          <w:lang w:val="en-US"/>
        </w:rPr>
        <w:footnoteReference w:id="92"/>
      </w:r>
      <w:r w:rsidR="00DE154F">
        <w:rPr>
          <w:rFonts w:ascii="Arial" w:hAnsi="Arial" w:cs="Arial"/>
          <w:lang w:val="en-US"/>
        </w:rPr>
        <w:t xml:space="preserve"> This is supported by the heavy utilization </w:t>
      </w:r>
      <w:r w:rsidR="00DE154F">
        <w:rPr>
          <w:rFonts w:ascii="Arial" w:hAnsi="Arial" w:cs="Arial"/>
          <w:lang w:val="en-US"/>
        </w:rPr>
        <w:lastRenderedPageBreak/>
        <w:t>of monsoon winds in the first century CE. Consequently, trade revenues decreased, leading to a rise in Eastern export</w:t>
      </w:r>
      <w:r w:rsidR="007D3E4A">
        <w:rPr>
          <w:rFonts w:ascii="Arial" w:hAnsi="Arial" w:cs="Arial"/>
          <w:lang w:val="en-US"/>
        </w:rPr>
        <w:t>s to</w:t>
      </w:r>
      <w:r w:rsidR="00DE154F">
        <w:rPr>
          <w:rFonts w:ascii="Arial" w:hAnsi="Arial" w:cs="Arial"/>
          <w:lang w:val="en-US"/>
        </w:rPr>
        <w:t xml:space="preserve"> 25% from approximately 17%.</w:t>
      </w:r>
      <w:r w:rsidR="007D3E4A">
        <w:rPr>
          <w:rStyle w:val="FootnoteReference"/>
          <w:rFonts w:ascii="Arial" w:hAnsi="Arial" w:cs="Arial"/>
          <w:lang w:val="en-US"/>
        </w:rPr>
        <w:footnoteReference w:id="93"/>
      </w:r>
      <w:r w:rsidR="00DE154F">
        <w:rPr>
          <w:rFonts w:ascii="Arial" w:hAnsi="Arial" w:cs="Arial"/>
          <w:lang w:val="en-US"/>
        </w:rPr>
        <w:t xml:space="preserve"> The lack of </w:t>
      </w:r>
      <w:proofErr w:type="spellStart"/>
      <w:r w:rsidR="00DE154F">
        <w:rPr>
          <w:rFonts w:ascii="Arial" w:hAnsi="Arial" w:cs="Arial"/>
          <w:lang w:val="en-US"/>
        </w:rPr>
        <w:t>oikumization</w:t>
      </w:r>
      <w:proofErr w:type="spellEnd"/>
      <w:r w:rsidR="00DE154F">
        <w:rPr>
          <w:rFonts w:ascii="Arial" w:hAnsi="Arial" w:cs="Arial"/>
          <w:lang w:val="en-US"/>
        </w:rPr>
        <w:t xml:space="preserve"> in the latter second to third centuries, would have impacted trade networks that indigenous people would have been part of, potentially reducing their access to certain goods. A shift in trade dynamics could have disrupted local economies that relied on trade with Roman territories. The inscription correspond</w:t>
      </w:r>
      <w:r w:rsidR="007D3E4A">
        <w:rPr>
          <w:rFonts w:ascii="Arial" w:hAnsi="Arial" w:cs="Arial"/>
          <w:lang w:val="en-US"/>
        </w:rPr>
        <w:t>s</w:t>
      </w:r>
      <w:r w:rsidR="00DE154F">
        <w:rPr>
          <w:rFonts w:ascii="Arial" w:hAnsi="Arial" w:cs="Arial"/>
          <w:lang w:val="en-US"/>
        </w:rPr>
        <w:t xml:space="preserve"> to this migration pattern potentially which was influenced by economic downturns in the third century. This migration could have influenced demographic shifts, as seen in sites like Mons </w:t>
      </w:r>
      <w:proofErr w:type="spellStart"/>
      <w:r w:rsidR="00DE154F">
        <w:rPr>
          <w:rFonts w:ascii="Arial" w:hAnsi="Arial" w:cs="Arial"/>
          <w:lang w:val="en-US"/>
        </w:rPr>
        <w:t>Trog</w:t>
      </w:r>
      <w:r w:rsidR="007D3E4A">
        <w:rPr>
          <w:rFonts w:ascii="Arial" w:hAnsi="Arial" w:cs="Arial"/>
          <w:lang w:val="en-US"/>
        </w:rPr>
        <w:t>od</w:t>
      </w:r>
      <w:r w:rsidR="00DE154F">
        <w:rPr>
          <w:rFonts w:ascii="Arial" w:hAnsi="Arial" w:cs="Arial"/>
          <w:lang w:val="en-US"/>
        </w:rPr>
        <w:t>yti</w:t>
      </w:r>
      <w:r w:rsidR="007D3E4A">
        <w:rPr>
          <w:rFonts w:ascii="Arial" w:hAnsi="Arial" w:cs="Arial"/>
          <w:lang w:val="en-US"/>
        </w:rPr>
        <w:t>k</w:t>
      </w:r>
      <w:r w:rsidR="00DE154F">
        <w:rPr>
          <w:rFonts w:ascii="Arial" w:hAnsi="Arial" w:cs="Arial"/>
          <w:lang w:val="en-US"/>
        </w:rPr>
        <w:t>a</w:t>
      </w:r>
      <w:proofErr w:type="spellEnd"/>
      <w:r w:rsidR="00DE154F">
        <w:rPr>
          <w:rFonts w:ascii="Arial" w:hAnsi="Arial" w:cs="Arial"/>
          <w:lang w:val="en-US"/>
        </w:rPr>
        <w:t xml:space="preserve"> and </w:t>
      </w:r>
      <w:proofErr w:type="spellStart"/>
      <w:r w:rsidR="00DE154F">
        <w:rPr>
          <w:rFonts w:ascii="Arial" w:hAnsi="Arial" w:cs="Arial"/>
          <w:lang w:val="en-US"/>
        </w:rPr>
        <w:t>Berenike</w:t>
      </w:r>
      <w:proofErr w:type="spellEnd"/>
      <w:r w:rsidR="00DE154F">
        <w:rPr>
          <w:rFonts w:ascii="Arial" w:hAnsi="Arial" w:cs="Arial"/>
          <w:lang w:val="en-US"/>
        </w:rPr>
        <w:t xml:space="preserve"> in the food material culture from the latter-second century to third century CE.</w:t>
      </w:r>
      <w:r w:rsidR="007D3E4A">
        <w:rPr>
          <w:rStyle w:val="FootnoteReference"/>
          <w:rFonts w:ascii="Arial" w:hAnsi="Arial" w:cs="Arial"/>
          <w:lang w:val="en-US"/>
        </w:rPr>
        <w:footnoteReference w:id="94"/>
      </w:r>
    </w:p>
    <w:p w14:paraId="0B4060D3" w14:textId="77777777" w:rsidR="00DD5ACF" w:rsidRDefault="00DD5ACF" w:rsidP="00A72E4A">
      <w:pPr>
        <w:spacing w:line="360" w:lineRule="auto"/>
        <w:rPr>
          <w:rFonts w:ascii="Arial" w:hAnsi="Arial" w:cs="Arial"/>
          <w:lang w:val="en-US"/>
        </w:rPr>
      </w:pPr>
    </w:p>
    <w:p w14:paraId="08232073" w14:textId="19346CD8" w:rsidR="009D02EF" w:rsidRPr="00DD5ACF" w:rsidRDefault="009D02EF" w:rsidP="00A72E4A">
      <w:pPr>
        <w:spacing w:line="360" w:lineRule="auto"/>
        <w:rPr>
          <w:rFonts w:ascii="Arial" w:hAnsi="Arial" w:cs="Arial"/>
          <w:lang w:val="en-US"/>
        </w:rPr>
      </w:pPr>
      <w:r w:rsidRPr="00DD5ACF">
        <w:rPr>
          <w:rFonts w:ascii="Arial" w:hAnsi="Arial" w:cs="Arial"/>
          <w:lang w:val="en-US"/>
        </w:rPr>
        <w:t xml:space="preserve">Indigenous-Roman Cooperation: Exploring Collaborative Ventures </w:t>
      </w:r>
    </w:p>
    <w:p w14:paraId="37BB5F4D" w14:textId="77777777" w:rsidR="009D02EF" w:rsidRPr="00DD5ACF" w:rsidRDefault="009D02EF" w:rsidP="00A72E4A">
      <w:pPr>
        <w:spacing w:line="360" w:lineRule="auto"/>
        <w:rPr>
          <w:rFonts w:ascii="Arial" w:hAnsi="Arial" w:cs="Arial"/>
          <w:lang w:val="en-US"/>
        </w:rPr>
      </w:pPr>
    </w:p>
    <w:p w14:paraId="4EC71A86" w14:textId="484AC8DD" w:rsidR="00303569" w:rsidRPr="00DD5ACF" w:rsidRDefault="00303569" w:rsidP="00A72E4A">
      <w:pPr>
        <w:spacing w:line="360" w:lineRule="auto"/>
        <w:rPr>
          <w:rFonts w:ascii="Arial" w:hAnsi="Arial" w:cs="Arial"/>
          <w:lang w:val="en-US"/>
        </w:rPr>
      </w:pPr>
      <w:r w:rsidRPr="00DD5ACF">
        <w:rPr>
          <w:rFonts w:ascii="Arial" w:hAnsi="Arial" w:cs="Arial"/>
          <w:lang w:val="en-US"/>
        </w:rPr>
        <w:t xml:space="preserve">Although this paper has discussed the hostile state of play between the indigenous peoples and the Roman State, </w:t>
      </w:r>
      <w:r w:rsidR="0094728F" w:rsidRPr="00DD5ACF">
        <w:rPr>
          <w:rFonts w:ascii="Arial" w:hAnsi="Arial" w:cs="Arial"/>
          <w:lang w:val="en-US"/>
        </w:rPr>
        <w:t>there was episodes of cooperation between the two, even to go as far as to say that the indigenous population may have served as hired protection for rich individuals protecting trade in the Indian Ocean.</w:t>
      </w:r>
      <w:r w:rsidR="007D3E4A">
        <w:rPr>
          <w:rStyle w:val="FootnoteReference"/>
          <w:rFonts w:ascii="Arial" w:hAnsi="Arial" w:cs="Arial"/>
          <w:lang w:val="en-US"/>
        </w:rPr>
        <w:footnoteReference w:id="95"/>
      </w:r>
      <w:r w:rsidR="00812E05" w:rsidRPr="00DD5ACF">
        <w:rPr>
          <w:rFonts w:ascii="Arial" w:hAnsi="Arial" w:cs="Arial"/>
          <w:lang w:val="en-US"/>
        </w:rPr>
        <w:t xml:space="preserve"> Subsequently, during the Ptolemaic period there is evidence suggesting that some Blemmyes were engaged in overseeing the roads, as inferred from an inscription found in Bir ‘</w:t>
      </w:r>
      <w:proofErr w:type="spellStart"/>
      <w:r w:rsidR="00812E05" w:rsidRPr="00DD5ACF">
        <w:rPr>
          <w:rFonts w:ascii="Arial" w:hAnsi="Arial" w:cs="Arial"/>
          <w:lang w:val="en-US"/>
        </w:rPr>
        <w:t>llayan</w:t>
      </w:r>
      <w:proofErr w:type="spellEnd"/>
      <w:r w:rsidR="00812E05" w:rsidRPr="00DD5ACF">
        <w:rPr>
          <w:rFonts w:ascii="Arial" w:hAnsi="Arial" w:cs="Arial"/>
          <w:lang w:val="en-US"/>
        </w:rPr>
        <w:t xml:space="preserve">, approximately 97 km East of </w:t>
      </w:r>
      <w:proofErr w:type="spellStart"/>
      <w:r w:rsidR="00812E05" w:rsidRPr="00DD5ACF">
        <w:rPr>
          <w:rFonts w:ascii="Arial" w:hAnsi="Arial" w:cs="Arial"/>
          <w:lang w:val="en-US"/>
        </w:rPr>
        <w:t>Edfu</w:t>
      </w:r>
      <w:proofErr w:type="spellEnd"/>
      <w:r w:rsidR="00812E05" w:rsidRPr="00DD5ACF">
        <w:rPr>
          <w:rFonts w:ascii="Arial" w:hAnsi="Arial" w:cs="Arial"/>
          <w:lang w:val="en-US"/>
        </w:rPr>
        <w:t>.</w:t>
      </w:r>
      <w:r w:rsidR="007D3E4A">
        <w:rPr>
          <w:rStyle w:val="FootnoteReference"/>
          <w:rFonts w:ascii="Arial" w:hAnsi="Arial" w:cs="Arial"/>
          <w:lang w:val="en-US"/>
        </w:rPr>
        <w:footnoteReference w:id="96"/>
      </w:r>
      <w:r w:rsidR="00812E05" w:rsidRPr="00DD5ACF">
        <w:rPr>
          <w:rFonts w:ascii="Arial" w:hAnsi="Arial" w:cs="Arial"/>
          <w:lang w:val="en-US"/>
        </w:rPr>
        <w:t xml:space="preserve"> Moreover, Dijkstra believes that the Blemmyes during the second to third centuries BCE, chose to temporarily live in the Nile region, and as already mentioned, the </w:t>
      </w:r>
      <w:proofErr w:type="spellStart"/>
      <w:r w:rsidR="00812E05" w:rsidRPr="00DD5ACF">
        <w:rPr>
          <w:rFonts w:ascii="Arial" w:hAnsi="Arial" w:cs="Arial"/>
          <w:lang w:val="en-US"/>
        </w:rPr>
        <w:t>Icthyophagos</w:t>
      </w:r>
      <w:proofErr w:type="spellEnd"/>
      <w:r w:rsidR="00812E05" w:rsidRPr="00DD5ACF">
        <w:rPr>
          <w:rFonts w:ascii="Arial" w:hAnsi="Arial" w:cs="Arial"/>
          <w:lang w:val="en-US"/>
        </w:rPr>
        <w:t xml:space="preserve"> people lived in </w:t>
      </w:r>
      <w:r w:rsidR="00162941" w:rsidRPr="00DD5ACF">
        <w:rPr>
          <w:rFonts w:ascii="Arial" w:hAnsi="Arial" w:cs="Arial"/>
          <w:lang w:val="en-US"/>
        </w:rPr>
        <w:t>h</w:t>
      </w:r>
      <w:r w:rsidR="00812E05" w:rsidRPr="00DD5ACF">
        <w:rPr>
          <w:rFonts w:ascii="Arial" w:hAnsi="Arial" w:cs="Arial"/>
          <w:lang w:val="en-US"/>
        </w:rPr>
        <w:t xml:space="preserve">armony, without much chaos or hostilities towards each other and other desert-dwellers, in </w:t>
      </w:r>
      <w:proofErr w:type="spellStart"/>
      <w:r w:rsidR="00812E05" w:rsidRPr="00DD5ACF">
        <w:rPr>
          <w:rFonts w:ascii="Arial" w:hAnsi="Arial" w:cs="Arial"/>
          <w:lang w:val="en-US"/>
        </w:rPr>
        <w:t>Myos</w:t>
      </w:r>
      <w:proofErr w:type="spellEnd"/>
      <w:r w:rsidR="00812E05" w:rsidRPr="00DD5ACF">
        <w:rPr>
          <w:rFonts w:ascii="Arial" w:hAnsi="Arial" w:cs="Arial"/>
          <w:lang w:val="en-US"/>
        </w:rPr>
        <w:t xml:space="preserve"> </w:t>
      </w:r>
      <w:proofErr w:type="spellStart"/>
      <w:r w:rsidR="00812E05" w:rsidRPr="00DD5ACF">
        <w:rPr>
          <w:rFonts w:ascii="Arial" w:hAnsi="Arial" w:cs="Arial"/>
          <w:lang w:val="en-US"/>
        </w:rPr>
        <w:t>Hormos</w:t>
      </w:r>
      <w:proofErr w:type="spellEnd"/>
      <w:r w:rsidR="00812E05" w:rsidRPr="00DD5ACF">
        <w:rPr>
          <w:rFonts w:ascii="Arial" w:hAnsi="Arial" w:cs="Arial"/>
          <w:lang w:val="en-US"/>
        </w:rPr>
        <w:t>.</w:t>
      </w:r>
      <w:r w:rsidR="003F0472" w:rsidRPr="00DD5ACF">
        <w:rPr>
          <w:rStyle w:val="FootnoteReference"/>
          <w:rFonts w:ascii="Arial" w:hAnsi="Arial" w:cs="Arial"/>
          <w:lang w:val="en-US"/>
        </w:rPr>
        <w:footnoteReference w:id="97"/>
      </w:r>
      <w:r w:rsidR="00812E05" w:rsidRPr="00DD5ACF">
        <w:rPr>
          <w:rFonts w:ascii="Arial" w:hAnsi="Arial" w:cs="Arial"/>
          <w:lang w:val="en-US"/>
        </w:rPr>
        <w:t xml:space="preserve"> As seen in the historiography, indigenous communities were seen to intertwine in the Eastern Desert, intermarriages were popular, and </w:t>
      </w:r>
      <w:r w:rsidR="003F0472" w:rsidRPr="00DD5ACF">
        <w:rPr>
          <w:rFonts w:ascii="Arial" w:hAnsi="Arial" w:cs="Arial"/>
          <w:lang w:val="en-US"/>
        </w:rPr>
        <w:t xml:space="preserve">the </w:t>
      </w:r>
      <w:proofErr w:type="spellStart"/>
      <w:r w:rsidR="003F0472" w:rsidRPr="00DD5ACF">
        <w:rPr>
          <w:rFonts w:ascii="Arial" w:hAnsi="Arial" w:cs="Arial"/>
          <w:i/>
          <w:iCs/>
          <w:lang w:val="en-US"/>
        </w:rPr>
        <w:t>Maziris</w:t>
      </w:r>
      <w:proofErr w:type="spellEnd"/>
      <w:r w:rsidR="003F0472" w:rsidRPr="00DD5ACF">
        <w:rPr>
          <w:rFonts w:ascii="Arial" w:hAnsi="Arial" w:cs="Arial"/>
          <w:i/>
          <w:iCs/>
          <w:lang w:val="en-US"/>
        </w:rPr>
        <w:t xml:space="preserve"> Papyrus</w:t>
      </w:r>
      <w:r w:rsidR="00812E05" w:rsidRPr="00DD5ACF">
        <w:rPr>
          <w:rFonts w:ascii="Arial" w:hAnsi="Arial" w:cs="Arial"/>
          <w:lang w:val="en-US"/>
        </w:rPr>
        <w:t xml:space="preserve"> even suggests that the Egyptians and </w:t>
      </w:r>
      <w:proofErr w:type="spellStart"/>
      <w:r w:rsidR="003E3AB7" w:rsidRPr="00DD5ACF">
        <w:rPr>
          <w:rFonts w:ascii="Arial" w:hAnsi="Arial" w:cs="Arial"/>
          <w:lang w:val="en-US"/>
        </w:rPr>
        <w:t>Ichthyopagoi</w:t>
      </w:r>
      <w:proofErr w:type="spellEnd"/>
      <w:r w:rsidR="003F0472" w:rsidRPr="00DD5ACF">
        <w:rPr>
          <w:rFonts w:ascii="Arial" w:hAnsi="Arial" w:cs="Arial"/>
          <w:lang w:val="en-US"/>
        </w:rPr>
        <w:t xml:space="preserve"> (from regions around Egypt and Arabia),</w:t>
      </w:r>
      <w:r w:rsidR="003E3AB7" w:rsidRPr="00DD5ACF">
        <w:rPr>
          <w:rFonts w:ascii="Arial" w:hAnsi="Arial" w:cs="Arial"/>
          <w:lang w:val="en-US"/>
        </w:rPr>
        <w:t xml:space="preserve"> may have </w:t>
      </w:r>
      <w:r w:rsidR="003E3AB7" w:rsidRPr="00DD5ACF">
        <w:rPr>
          <w:rFonts w:ascii="Arial" w:hAnsi="Arial" w:cs="Arial"/>
          <w:lang w:val="en-US"/>
        </w:rPr>
        <w:lastRenderedPageBreak/>
        <w:t xml:space="preserve">intermixed and produced the </w:t>
      </w:r>
      <w:proofErr w:type="spellStart"/>
      <w:r w:rsidR="003E3AB7" w:rsidRPr="00DD5ACF">
        <w:rPr>
          <w:rFonts w:ascii="Arial" w:hAnsi="Arial" w:cs="Arial"/>
          <w:lang w:val="en-US"/>
        </w:rPr>
        <w:t>Arabaigyptioi</w:t>
      </w:r>
      <w:proofErr w:type="spellEnd"/>
      <w:r w:rsidR="003E3AB7" w:rsidRPr="00DD5ACF">
        <w:rPr>
          <w:rFonts w:ascii="Arial" w:hAnsi="Arial" w:cs="Arial"/>
          <w:lang w:val="en-US"/>
        </w:rPr>
        <w:t xml:space="preserve"> </w:t>
      </w:r>
      <w:proofErr w:type="spellStart"/>
      <w:r w:rsidR="003E3AB7" w:rsidRPr="00DD5ACF">
        <w:rPr>
          <w:rFonts w:ascii="Arial" w:hAnsi="Arial" w:cs="Arial"/>
          <w:lang w:val="en-US"/>
        </w:rPr>
        <w:t>Ichthyopagoi</w:t>
      </w:r>
      <w:proofErr w:type="spellEnd"/>
      <w:r w:rsidR="003E3AB7" w:rsidRPr="00DD5ACF">
        <w:rPr>
          <w:rFonts w:ascii="Arial" w:hAnsi="Arial" w:cs="Arial"/>
          <w:lang w:val="en-US"/>
        </w:rPr>
        <w:t xml:space="preserve">, who were illustrated as Arabs who migrated into the Eastern Desert, bringing their culture, </w:t>
      </w:r>
      <w:r w:rsidR="00293BCB" w:rsidRPr="00DD5ACF">
        <w:rPr>
          <w:rFonts w:ascii="Arial" w:hAnsi="Arial" w:cs="Arial"/>
          <w:lang w:val="en-US"/>
        </w:rPr>
        <w:t>hobbies,</w:t>
      </w:r>
      <w:r w:rsidR="003E3AB7" w:rsidRPr="00DD5ACF">
        <w:rPr>
          <w:rFonts w:ascii="Arial" w:hAnsi="Arial" w:cs="Arial"/>
          <w:lang w:val="en-US"/>
        </w:rPr>
        <w:t xml:space="preserve"> and customs with them.</w:t>
      </w:r>
      <w:r w:rsidR="00511FA4" w:rsidRPr="00DD5ACF">
        <w:rPr>
          <w:rStyle w:val="FootnoteReference"/>
          <w:rFonts w:ascii="Arial" w:hAnsi="Arial" w:cs="Arial"/>
          <w:lang w:val="en-US"/>
        </w:rPr>
        <w:footnoteReference w:id="98"/>
      </w:r>
      <w:r w:rsidR="003E3AB7" w:rsidRPr="00DD5ACF">
        <w:rPr>
          <w:rFonts w:ascii="Arial" w:hAnsi="Arial" w:cs="Arial"/>
          <w:lang w:val="en-US"/>
        </w:rPr>
        <w:t xml:space="preserve"> Support of cohabitation has been discovered through</w:t>
      </w:r>
      <w:r w:rsidR="007C6450" w:rsidRPr="00DD5ACF">
        <w:rPr>
          <w:rFonts w:ascii="Arial" w:hAnsi="Arial" w:cs="Arial"/>
          <w:lang w:val="en-US"/>
        </w:rPr>
        <w:t xml:space="preserve"> the interpretation of</w:t>
      </w:r>
      <w:r w:rsidR="003E3AB7" w:rsidRPr="00DD5ACF">
        <w:rPr>
          <w:rFonts w:ascii="Arial" w:hAnsi="Arial" w:cs="Arial"/>
          <w:lang w:val="en-US"/>
        </w:rPr>
        <w:t xml:space="preserve"> </w:t>
      </w:r>
      <w:r w:rsidR="007C6450" w:rsidRPr="00DD5ACF">
        <w:rPr>
          <w:rFonts w:ascii="Arial" w:hAnsi="Arial" w:cs="Arial"/>
          <w:lang w:val="en-US"/>
        </w:rPr>
        <w:t xml:space="preserve">Greek on an Egyptian amphora </w:t>
      </w:r>
      <w:r w:rsidR="00293BCB" w:rsidRPr="00DD5ACF">
        <w:rPr>
          <w:rFonts w:ascii="Arial" w:hAnsi="Arial" w:cs="Arial"/>
          <w:lang w:val="en-US"/>
        </w:rPr>
        <w:t xml:space="preserve">in </w:t>
      </w:r>
      <w:proofErr w:type="spellStart"/>
      <w:r w:rsidR="00293BCB" w:rsidRPr="00DD5ACF">
        <w:rPr>
          <w:rFonts w:ascii="Arial" w:hAnsi="Arial" w:cs="Arial"/>
          <w:lang w:val="en-US"/>
        </w:rPr>
        <w:t>Myos</w:t>
      </w:r>
      <w:proofErr w:type="spellEnd"/>
      <w:r w:rsidR="00293BCB" w:rsidRPr="00DD5ACF">
        <w:rPr>
          <w:rFonts w:ascii="Arial" w:hAnsi="Arial" w:cs="Arial"/>
          <w:lang w:val="en-US"/>
        </w:rPr>
        <w:t xml:space="preserve"> </w:t>
      </w:r>
      <w:proofErr w:type="spellStart"/>
      <w:r w:rsidR="00293BCB" w:rsidRPr="00DD5ACF">
        <w:rPr>
          <w:rFonts w:ascii="Arial" w:hAnsi="Arial" w:cs="Arial"/>
          <w:lang w:val="en-US"/>
        </w:rPr>
        <w:t>Hormos</w:t>
      </w:r>
      <w:proofErr w:type="spellEnd"/>
      <w:r w:rsidR="000C185A" w:rsidRPr="00DD5ACF">
        <w:rPr>
          <w:rFonts w:ascii="Arial" w:hAnsi="Arial" w:cs="Arial"/>
          <w:lang w:val="en-US"/>
        </w:rPr>
        <w:t>.</w:t>
      </w:r>
      <w:r w:rsidR="007D3E4A">
        <w:rPr>
          <w:rStyle w:val="FootnoteReference"/>
          <w:rFonts w:ascii="Arial" w:hAnsi="Arial" w:cs="Arial"/>
          <w:lang w:val="en-US"/>
        </w:rPr>
        <w:footnoteReference w:id="99"/>
      </w:r>
      <w:r w:rsidR="000C185A" w:rsidRPr="00DD5ACF">
        <w:rPr>
          <w:rFonts w:ascii="Arial" w:hAnsi="Arial" w:cs="Arial"/>
          <w:lang w:val="en-US"/>
        </w:rPr>
        <w:t xml:space="preserve"> The amphora mentions an individual identified as a </w:t>
      </w:r>
      <w:proofErr w:type="spellStart"/>
      <w:r w:rsidR="000C185A" w:rsidRPr="00DD5ACF">
        <w:rPr>
          <w:rFonts w:ascii="Arial" w:hAnsi="Arial" w:cs="Arial"/>
          <w:lang w:val="en-US"/>
        </w:rPr>
        <w:t>Trogodyte</w:t>
      </w:r>
      <w:proofErr w:type="spellEnd"/>
      <w:r w:rsidR="000C185A" w:rsidRPr="00DD5ACF">
        <w:rPr>
          <w:rFonts w:ascii="Arial" w:hAnsi="Arial" w:cs="Arial"/>
          <w:lang w:val="en-US"/>
        </w:rPr>
        <w:t xml:space="preserve">. </w:t>
      </w:r>
      <w:proofErr w:type="spellStart"/>
      <w:r w:rsidR="000C185A" w:rsidRPr="00DD5ACF">
        <w:rPr>
          <w:rFonts w:ascii="Arial" w:hAnsi="Arial" w:cs="Arial"/>
          <w:lang w:val="en-US"/>
        </w:rPr>
        <w:t>Similary</w:t>
      </w:r>
      <w:proofErr w:type="spellEnd"/>
      <w:r w:rsidR="000C185A" w:rsidRPr="00DD5ACF">
        <w:rPr>
          <w:rFonts w:ascii="Arial" w:hAnsi="Arial" w:cs="Arial"/>
          <w:lang w:val="en-US"/>
        </w:rPr>
        <w:t xml:space="preserve">, an ostracon from </w:t>
      </w:r>
      <w:proofErr w:type="spellStart"/>
      <w:r w:rsidR="000C185A" w:rsidRPr="00DD5ACF">
        <w:rPr>
          <w:rFonts w:ascii="Arial" w:hAnsi="Arial" w:cs="Arial"/>
          <w:lang w:val="en-US"/>
        </w:rPr>
        <w:t>Didymoi</w:t>
      </w:r>
      <w:proofErr w:type="spellEnd"/>
      <w:r w:rsidR="000C185A" w:rsidRPr="00DD5ACF">
        <w:rPr>
          <w:rFonts w:ascii="Arial" w:hAnsi="Arial" w:cs="Arial"/>
          <w:lang w:val="en-US"/>
        </w:rPr>
        <w:t xml:space="preserve"> seems to describe a “barbarian/</w:t>
      </w:r>
      <w:proofErr w:type="spellStart"/>
      <w:r w:rsidR="000C185A" w:rsidRPr="00DD5ACF">
        <w:rPr>
          <w:rFonts w:ascii="Arial" w:hAnsi="Arial" w:cs="Arial"/>
          <w:lang w:val="en-US"/>
        </w:rPr>
        <w:t>barbaroi</w:t>
      </w:r>
      <w:proofErr w:type="spellEnd"/>
      <w:r w:rsidR="000C185A" w:rsidRPr="00DD5ACF">
        <w:rPr>
          <w:rFonts w:ascii="Arial" w:hAnsi="Arial" w:cs="Arial"/>
          <w:lang w:val="en-US"/>
        </w:rPr>
        <w:t xml:space="preserve">” artisan crafting baskets in </w:t>
      </w:r>
      <w:proofErr w:type="spellStart"/>
      <w:r w:rsidR="000C185A" w:rsidRPr="00DD5ACF">
        <w:rPr>
          <w:rFonts w:ascii="Arial" w:hAnsi="Arial" w:cs="Arial"/>
          <w:lang w:val="en-US"/>
        </w:rPr>
        <w:t>Coptos</w:t>
      </w:r>
      <w:proofErr w:type="spellEnd"/>
      <w:r w:rsidR="000C185A" w:rsidRPr="00DD5ACF">
        <w:rPr>
          <w:rFonts w:ascii="Arial" w:hAnsi="Arial" w:cs="Arial"/>
          <w:lang w:val="en-US"/>
        </w:rPr>
        <w:t>.</w:t>
      </w:r>
      <w:r w:rsidR="007D3E4A">
        <w:rPr>
          <w:rStyle w:val="FootnoteReference"/>
          <w:rFonts w:ascii="Arial" w:hAnsi="Arial" w:cs="Arial"/>
          <w:lang w:val="en-US"/>
        </w:rPr>
        <w:footnoteReference w:id="100"/>
      </w:r>
      <w:r w:rsidR="000C185A" w:rsidRPr="00DD5ACF">
        <w:rPr>
          <w:rFonts w:ascii="Arial" w:hAnsi="Arial" w:cs="Arial"/>
          <w:lang w:val="en-US"/>
        </w:rPr>
        <w:t xml:space="preserve"> </w:t>
      </w:r>
      <w:r w:rsidR="0037760A" w:rsidRPr="00DD5ACF">
        <w:rPr>
          <w:rFonts w:ascii="Arial" w:hAnsi="Arial" w:cs="Arial"/>
          <w:lang w:val="en-US"/>
        </w:rPr>
        <w:t xml:space="preserve">Cobb outlines that a number of individuals considered </w:t>
      </w:r>
      <w:proofErr w:type="spellStart"/>
      <w:r w:rsidR="0037760A" w:rsidRPr="00DD5ACF">
        <w:rPr>
          <w:rFonts w:ascii="Arial" w:hAnsi="Arial" w:cs="Arial"/>
          <w:lang w:val="en-US"/>
        </w:rPr>
        <w:t>Trogodytes</w:t>
      </w:r>
      <w:proofErr w:type="spellEnd"/>
      <w:r w:rsidR="0037760A" w:rsidRPr="00DD5ACF">
        <w:rPr>
          <w:rFonts w:ascii="Arial" w:hAnsi="Arial" w:cs="Arial"/>
          <w:lang w:val="en-US"/>
        </w:rPr>
        <w:t xml:space="preserve"> by Romans (but we must remember they termed this in connection to all Eastern Desert dwellers), might have been included in commercial enterprise in the Ptolemaic period, with Egyptians and non-indigenous populations.</w:t>
      </w:r>
      <w:r w:rsidR="007D3E4A">
        <w:rPr>
          <w:rStyle w:val="FootnoteReference"/>
          <w:rFonts w:ascii="Arial" w:hAnsi="Arial" w:cs="Arial"/>
          <w:lang w:val="en-US"/>
        </w:rPr>
        <w:footnoteReference w:id="101"/>
      </w:r>
      <w:r w:rsidR="0037760A" w:rsidRPr="00DD5ACF">
        <w:rPr>
          <w:rFonts w:ascii="Arial" w:hAnsi="Arial" w:cs="Arial"/>
          <w:lang w:val="en-US"/>
        </w:rPr>
        <w:t xml:space="preserve"> </w:t>
      </w:r>
    </w:p>
    <w:p w14:paraId="0535FC32" w14:textId="0CBC235E" w:rsidR="00913A50" w:rsidRPr="00DD5ACF" w:rsidRDefault="007C60A4" w:rsidP="00A72E4A">
      <w:pPr>
        <w:spacing w:line="360" w:lineRule="auto"/>
        <w:rPr>
          <w:rFonts w:ascii="Arial" w:hAnsi="Arial" w:cs="Arial"/>
          <w:lang w:val="en-US"/>
        </w:rPr>
      </w:pPr>
      <w:r w:rsidRPr="00DD5ACF">
        <w:rPr>
          <w:rFonts w:ascii="Arial" w:hAnsi="Arial" w:cs="Arial"/>
          <w:lang w:val="en-US"/>
        </w:rPr>
        <w:t xml:space="preserve">On the 96 </w:t>
      </w:r>
      <w:proofErr w:type="spellStart"/>
      <w:r w:rsidRPr="00DD5ACF">
        <w:rPr>
          <w:rFonts w:ascii="Arial" w:hAnsi="Arial" w:cs="Arial"/>
          <w:lang w:val="en-US"/>
        </w:rPr>
        <w:t>ostraka</w:t>
      </w:r>
      <w:proofErr w:type="spellEnd"/>
      <w:r w:rsidRPr="00DD5ACF">
        <w:rPr>
          <w:rFonts w:ascii="Arial" w:hAnsi="Arial" w:cs="Arial"/>
          <w:lang w:val="en-US"/>
        </w:rPr>
        <w:t xml:space="preserve"> from </w:t>
      </w:r>
      <w:proofErr w:type="spellStart"/>
      <w:r w:rsidRPr="00DD5ACF">
        <w:rPr>
          <w:rFonts w:ascii="Arial" w:hAnsi="Arial" w:cs="Arial"/>
          <w:lang w:val="en-US"/>
        </w:rPr>
        <w:t>Xeron</w:t>
      </w:r>
      <w:proofErr w:type="spellEnd"/>
      <w:r w:rsidRPr="00DD5ACF">
        <w:rPr>
          <w:rFonts w:ascii="Arial" w:hAnsi="Arial" w:cs="Arial"/>
          <w:lang w:val="en-US"/>
        </w:rPr>
        <w:t>, there is various payments made, including private transactions and those made by the Roman State to individuals.</w:t>
      </w:r>
      <w:r w:rsidR="00F254FD">
        <w:rPr>
          <w:rStyle w:val="FootnoteReference"/>
          <w:rFonts w:ascii="Arial" w:hAnsi="Arial" w:cs="Arial"/>
          <w:lang w:val="en-US"/>
        </w:rPr>
        <w:footnoteReference w:id="102"/>
      </w:r>
      <w:r w:rsidRPr="00DD5ACF">
        <w:rPr>
          <w:rFonts w:ascii="Arial" w:hAnsi="Arial" w:cs="Arial"/>
          <w:lang w:val="en-US"/>
        </w:rPr>
        <w:t xml:space="preserve"> For example, some of the inscribed pottery pieces found mention payment of 24 drachmae or fresh fish deliveries to quarries</w:t>
      </w:r>
      <w:r w:rsidR="00203044" w:rsidRPr="00DD5ACF">
        <w:rPr>
          <w:rFonts w:ascii="Arial" w:hAnsi="Arial" w:cs="Arial"/>
          <w:lang w:val="en-US"/>
        </w:rPr>
        <w:t xml:space="preserve">, most likely in Mons Porphyrites, by individuals known as </w:t>
      </w:r>
      <w:proofErr w:type="spellStart"/>
      <w:r w:rsidR="00203044" w:rsidRPr="00DD5ACF">
        <w:rPr>
          <w:rFonts w:ascii="Arial" w:hAnsi="Arial" w:cs="Arial"/>
          <w:lang w:val="en-US"/>
        </w:rPr>
        <w:t>Arabes</w:t>
      </w:r>
      <w:proofErr w:type="spellEnd"/>
      <w:r w:rsidR="00203044" w:rsidRPr="00DD5ACF">
        <w:rPr>
          <w:rFonts w:ascii="Arial" w:hAnsi="Arial" w:cs="Arial"/>
          <w:lang w:val="en-US"/>
        </w:rPr>
        <w:t>. Another example mentions an order for the distribution of wheat to people with local names, perhaps as for either payment of the wheat, but at this higher cost, likely to serve as protection money to avoid any future trouble with the wheat distribution.</w:t>
      </w:r>
      <w:r w:rsidR="00F254FD">
        <w:rPr>
          <w:rStyle w:val="FootnoteReference"/>
          <w:rFonts w:ascii="Arial" w:hAnsi="Arial" w:cs="Arial"/>
          <w:lang w:val="en-US"/>
        </w:rPr>
        <w:footnoteReference w:id="103"/>
      </w:r>
      <w:r w:rsidR="00203044" w:rsidRPr="00DD5ACF">
        <w:rPr>
          <w:rFonts w:ascii="Arial" w:hAnsi="Arial" w:cs="Arial"/>
          <w:lang w:val="en-US"/>
        </w:rPr>
        <w:t xml:space="preserve"> Similarly, an </w:t>
      </w:r>
      <w:proofErr w:type="spellStart"/>
      <w:r w:rsidR="00203044" w:rsidRPr="00DD5ACF">
        <w:rPr>
          <w:rFonts w:ascii="Arial" w:hAnsi="Arial" w:cs="Arial"/>
          <w:lang w:val="en-US"/>
        </w:rPr>
        <w:t>ostrakon</w:t>
      </w:r>
      <w:proofErr w:type="spellEnd"/>
      <w:r w:rsidR="00203044" w:rsidRPr="00DD5ACF">
        <w:rPr>
          <w:rFonts w:ascii="Arial" w:hAnsi="Arial" w:cs="Arial"/>
          <w:lang w:val="en-US"/>
        </w:rPr>
        <w:t xml:space="preserve"> from </w:t>
      </w:r>
      <w:proofErr w:type="spellStart"/>
      <w:r w:rsidR="00203044" w:rsidRPr="00DD5ACF">
        <w:rPr>
          <w:rFonts w:ascii="Arial" w:hAnsi="Arial" w:cs="Arial"/>
          <w:lang w:val="en-US"/>
        </w:rPr>
        <w:t>Didymoi</w:t>
      </w:r>
      <w:proofErr w:type="spellEnd"/>
      <w:r w:rsidR="00203044" w:rsidRPr="00DD5ACF">
        <w:rPr>
          <w:rFonts w:ascii="Arial" w:hAnsi="Arial" w:cs="Arial"/>
          <w:lang w:val="en-US"/>
        </w:rPr>
        <w:t xml:space="preserve"> illustrates a </w:t>
      </w:r>
      <w:proofErr w:type="spellStart"/>
      <w:r w:rsidR="00203044" w:rsidRPr="00DD5ACF">
        <w:rPr>
          <w:rFonts w:ascii="Arial" w:hAnsi="Arial" w:cs="Arial"/>
          <w:lang w:val="en-US"/>
        </w:rPr>
        <w:t>dekanos</w:t>
      </w:r>
      <w:proofErr w:type="spellEnd"/>
      <w:r w:rsidR="00203044" w:rsidRPr="00DD5ACF">
        <w:rPr>
          <w:rFonts w:ascii="Arial" w:hAnsi="Arial" w:cs="Arial"/>
          <w:lang w:val="en-US"/>
        </w:rPr>
        <w:t xml:space="preserve"> (administrative staff or manager), supervising and overseeing the purchase and delivery of wine and food, likely participating in a </w:t>
      </w:r>
      <w:r w:rsidR="000723C3" w:rsidRPr="00DD5ACF">
        <w:rPr>
          <w:rFonts w:ascii="Arial" w:hAnsi="Arial" w:cs="Arial"/>
          <w:lang w:val="en-US"/>
        </w:rPr>
        <w:t>work group or feast around the mid-second to third century CE.</w:t>
      </w:r>
      <w:r w:rsidR="00C20E7B">
        <w:rPr>
          <w:rStyle w:val="FootnoteReference"/>
          <w:rFonts w:ascii="Arial" w:hAnsi="Arial" w:cs="Arial"/>
          <w:lang w:val="en-US"/>
        </w:rPr>
        <w:footnoteReference w:id="104"/>
      </w:r>
      <w:r w:rsidR="000723C3" w:rsidRPr="00DD5ACF">
        <w:rPr>
          <w:rFonts w:ascii="Arial" w:hAnsi="Arial" w:cs="Arial"/>
          <w:lang w:val="en-US"/>
        </w:rPr>
        <w:t xml:space="preserve"> This suggests that these indigenous communities were not only hostile towards Romans and Egyptians, but instead actively </w:t>
      </w:r>
      <w:r w:rsidR="008F6E7A" w:rsidRPr="00DD5ACF">
        <w:rPr>
          <w:rFonts w:ascii="Arial" w:hAnsi="Arial" w:cs="Arial"/>
          <w:lang w:val="en-US"/>
        </w:rPr>
        <w:t>involved</w:t>
      </w:r>
      <w:r w:rsidR="000723C3" w:rsidRPr="00DD5ACF">
        <w:rPr>
          <w:rFonts w:ascii="Arial" w:hAnsi="Arial" w:cs="Arial"/>
          <w:lang w:val="en-US"/>
        </w:rPr>
        <w:t xml:space="preserve"> in the events and region’s daily life. </w:t>
      </w:r>
    </w:p>
    <w:p w14:paraId="7AF25B5E" w14:textId="7FF7B834" w:rsidR="00391DCB" w:rsidRDefault="00426B45" w:rsidP="00A72E4A">
      <w:pPr>
        <w:spacing w:line="360" w:lineRule="auto"/>
        <w:rPr>
          <w:rFonts w:ascii="Arial" w:hAnsi="Arial" w:cs="Arial"/>
          <w:lang w:val="en-US"/>
        </w:rPr>
      </w:pPr>
      <w:r w:rsidRPr="00DD5ACF">
        <w:rPr>
          <w:rFonts w:ascii="Arial" w:hAnsi="Arial" w:cs="Arial"/>
          <w:lang w:val="en-US"/>
        </w:rPr>
        <w:t xml:space="preserve">Cobb argues that </w:t>
      </w:r>
      <w:r w:rsidR="002A57DA" w:rsidRPr="00DD5ACF">
        <w:rPr>
          <w:rFonts w:ascii="Arial" w:hAnsi="Arial" w:cs="Arial"/>
          <w:lang w:val="en-US"/>
        </w:rPr>
        <w:t xml:space="preserve">historians could consider these payments as legal consideration by the Roman State to reduce tensions within the Red Sea port regions in the latter half of </w:t>
      </w:r>
      <w:r w:rsidR="002A57DA" w:rsidRPr="00DD5ACF">
        <w:rPr>
          <w:rFonts w:ascii="Arial" w:hAnsi="Arial" w:cs="Arial"/>
          <w:lang w:val="en-US"/>
        </w:rPr>
        <w:lastRenderedPageBreak/>
        <w:t>the second century to the third century CE.</w:t>
      </w:r>
      <w:r w:rsidR="00C20E7B">
        <w:rPr>
          <w:rStyle w:val="FootnoteReference"/>
          <w:rFonts w:ascii="Arial" w:hAnsi="Arial" w:cs="Arial"/>
          <w:lang w:val="en-US"/>
        </w:rPr>
        <w:footnoteReference w:id="105"/>
      </w:r>
      <w:r w:rsidR="002A57DA" w:rsidRPr="00DD5ACF">
        <w:rPr>
          <w:rFonts w:ascii="Arial" w:hAnsi="Arial" w:cs="Arial"/>
          <w:lang w:val="en-US"/>
        </w:rPr>
        <w:t xml:space="preserve"> </w:t>
      </w:r>
      <w:r w:rsidR="00E35B43" w:rsidRPr="00DD5ACF">
        <w:rPr>
          <w:rFonts w:ascii="Arial" w:hAnsi="Arial" w:cs="Arial"/>
          <w:lang w:val="en-US"/>
        </w:rPr>
        <w:t xml:space="preserve">While conflict likely carried-on, it is also inferred that these payments might have served as a way to acculturate the Desert-dwelling communities into the sphere of influence and more specifically to </w:t>
      </w:r>
      <w:r w:rsidR="00EF500B" w:rsidRPr="00DD5ACF">
        <w:rPr>
          <w:rFonts w:ascii="Arial" w:hAnsi="Arial" w:cs="Arial"/>
          <w:lang w:val="en-US"/>
        </w:rPr>
        <w:t>persuade these indigenous groups to consider</w:t>
      </w:r>
      <w:r w:rsidR="00C20E7B">
        <w:rPr>
          <w:rFonts w:ascii="Arial" w:hAnsi="Arial" w:cs="Arial"/>
          <w:lang w:val="en-US"/>
        </w:rPr>
        <w:t xml:space="preserve"> friendlier reactions towards</w:t>
      </w:r>
      <w:r w:rsidR="00EF500B" w:rsidRPr="00DD5ACF">
        <w:rPr>
          <w:rFonts w:ascii="Arial" w:hAnsi="Arial" w:cs="Arial"/>
          <w:lang w:val="en-US"/>
        </w:rPr>
        <w:t xml:space="preserve"> Roman </w:t>
      </w:r>
      <w:r w:rsidR="002A5BED" w:rsidRPr="00DD5ACF">
        <w:rPr>
          <w:rFonts w:ascii="Arial" w:hAnsi="Arial" w:cs="Arial"/>
          <w:lang w:val="en-US"/>
        </w:rPr>
        <w:t>business interests</w:t>
      </w:r>
      <w:r w:rsidR="00C20E7B">
        <w:rPr>
          <w:rFonts w:ascii="Arial" w:hAnsi="Arial" w:cs="Arial"/>
          <w:lang w:val="en-US"/>
        </w:rPr>
        <w:t>,</w:t>
      </w:r>
      <w:r w:rsidR="002A5BED" w:rsidRPr="00DD5ACF">
        <w:rPr>
          <w:rFonts w:ascii="Arial" w:hAnsi="Arial" w:cs="Arial"/>
          <w:lang w:val="en-US"/>
        </w:rPr>
        <w:t xml:space="preserve"> webbing from the region. </w:t>
      </w:r>
    </w:p>
    <w:p w14:paraId="3F986603" w14:textId="77777777" w:rsidR="00DD5ACF" w:rsidRPr="00DD5ACF" w:rsidRDefault="00DD5ACF" w:rsidP="00A72E4A">
      <w:pPr>
        <w:spacing w:line="360" w:lineRule="auto"/>
        <w:rPr>
          <w:rFonts w:ascii="Arial" w:hAnsi="Arial" w:cs="Arial"/>
          <w:lang w:val="en-US"/>
        </w:rPr>
      </w:pPr>
    </w:p>
    <w:p w14:paraId="5046C68D" w14:textId="48B8B1E4" w:rsidR="00391DCB" w:rsidRPr="00DD5ACF" w:rsidRDefault="00391DCB" w:rsidP="00A72E4A">
      <w:pPr>
        <w:spacing w:line="360" w:lineRule="auto"/>
        <w:rPr>
          <w:rFonts w:ascii="Arial" w:hAnsi="Arial" w:cs="Arial"/>
          <w:lang w:val="en-US"/>
        </w:rPr>
      </w:pPr>
      <w:r w:rsidRPr="00DD5ACF">
        <w:rPr>
          <w:rFonts w:ascii="Arial" w:hAnsi="Arial" w:cs="Arial"/>
          <w:lang w:val="en-US"/>
        </w:rPr>
        <w:t>Summary</w:t>
      </w:r>
    </w:p>
    <w:p w14:paraId="36561E06" w14:textId="443AC54A" w:rsidR="000723C3" w:rsidRPr="00DD5ACF" w:rsidRDefault="00DD5ACF" w:rsidP="00A72E4A">
      <w:pPr>
        <w:spacing w:line="360" w:lineRule="auto"/>
        <w:rPr>
          <w:rFonts w:ascii="Arial" w:hAnsi="Arial" w:cs="Arial"/>
          <w:lang w:val="en-US"/>
        </w:rPr>
      </w:pPr>
      <w:r w:rsidRPr="00DD5ACF">
        <w:rPr>
          <w:rFonts w:ascii="Arial" w:hAnsi="Arial" w:cs="Arial"/>
        </w:rPr>
        <w:br/>
      </w:r>
      <w:r w:rsidRPr="00DD5ACF">
        <w:rPr>
          <w:rFonts w:ascii="Arial" w:hAnsi="Arial" w:cs="Arial"/>
          <w:color w:val="0D0D0D"/>
          <w:shd w:val="clear" w:color="auto" w:fill="FFFFFF"/>
        </w:rPr>
        <w:t>Recent findings and studies reveal instances of cooperation between indigenous communities and the Romans, challenging the predominant narrative of violence in ancient texts.</w:t>
      </w:r>
      <w:r w:rsidR="00C20E7B">
        <w:rPr>
          <w:rFonts w:ascii="Arial" w:hAnsi="Arial" w:cs="Arial"/>
          <w:color w:val="0D0D0D"/>
          <w:shd w:val="clear" w:color="auto" w:fill="FFFFFF"/>
        </w:rPr>
        <w:t xml:space="preserve"> Oikumenization might have been the reason for an expanse of trade in the first century, with it dwindling, due to the climate and difficulty navigating the monsoon winds in the latter part of the second-third century.</w:t>
      </w:r>
      <w:r w:rsidRPr="00DD5ACF">
        <w:rPr>
          <w:rFonts w:ascii="Arial" w:hAnsi="Arial" w:cs="Arial"/>
          <w:color w:val="0D0D0D"/>
          <w:shd w:val="clear" w:color="auto" w:fill="FFFFFF"/>
        </w:rPr>
        <w:t xml:space="preserve"> Evidence suggests that indigenous groups sometimes protected major trade routes, such as Coptos-Myos Hormos and Coptos-Berenike, and engaged in commercial activities alongside Romans and Egyptians</w:t>
      </w:r>
      <w:r w:rsidR="00C20E7B">
        <w:rPr>
          <w:rFonts w:ascii="Arial" w:hAnsi="Arial" w:cs="Arial"/>
          <w:color w:val="0D0D0D"/>
          <w:shd w:val="clear" w:color="auto" w:fill="FFFFFF"/>
        </w:rPr>
        <w:t xml:space="preserve"> for payment</w:t>
      </w:r>
      <w:r w:rsidRPr="00DD5ACF">
        <w:rPr>
          <w:rFonts w:ascii="Arial" w:hAnsi="Arial" w:cs="Arial"/>
          <w:color w:val="0D0D0D"/>
          <w:shd w:val="clear" w:color="auto" w:fill="FFFFFF"/>
        </w:rPr>
        <w:t>. Interactions like intermarriages and joint business ventures indicate a more nuanced relationship than previously thought. Despite occasional conflict, particularly during resource shortages or political instability, payments from the Roman State to indigenous groups likely aimed to ease tensions and integrate them into Roman influence. Recognizing these collaborative efforts sheds light on the diversity of relationships in the Eastern Desert during the 1st to 3rd centuries CE.</w:t>
      </w:r>
    </w:p>
    <w:p w14:paraId="3BC9967E" w14:textId="0E2B671F" w:rsidR="0058292B" w:rsidRDefault="0058292B">
      <w:pPr>
        <w:rPr>
          <w:lang w:val="en-US"/>
        </w:rPr>
      </w:pPr>
    </w:p>
    <w:p w14:paraId="1C64C1B8" w14:textId="77777777" w:rsidR="00A72E4A" w:rsidRDefault="00A72E4A">
      <w:pPr>
        <w:rPr>
          <w:lang w:val="en-US"/>
        </w:rPr>
      </w:pPr>
    </w:p>
    <w:p w14:paraId="22889201" w14:textId="77777777" w:rsidR="00A72E4A" w:rsidRDefault="00A72E4A">
      <w:pPr>
        <w:rPr>
          <w:lang w:val="en-US"/>
        </w:rPr>
      </w:pPr>
    </w:p>
    <w:p w14:paraId="3637DF19" w14:textId="77777777" w:rsidR="00A72E4A" w:rsidRDefault="00A72E4A">
      <w:pPr>
        <w:rPr>
          <w:lang w:val="en-US"/>
        </w:rPr>
      </w:pPr>
    </w:p>
    <w:p w14:paraId="16F2994F" w14:textId="77777777" w:rsidR="00A72E4A" w:rsidRDefault="00A72E4A">
      <w:pPr>
        <w:rPr>
          <w:lang w:val="en-US"/>
        </w:rPr>
      </w:pPr>
    </w:p>
    <w:p w14:paraId="5FD17D08" w14:textId="77777777" w:rsidR="00A72E4A" w:rsidRDefault="00A72E4A">
      <w:pPr>
        <w:rPr>
          <w:lang w:val="en-US"/>
        </w:rPr>
      </w:pPr>
    </w:p>
    <w:p w14:paraId="11BB3291" w14:textId="718F32F4" w:rsidR="00A72E4A" w:rsidRDefault="00A72E4A">
      <w:pPr>
        <w:rPr>
          <w:lang w:val="en-US"/>
        </w:rPr>
      </w:pPr>
    </w:p>
    <w:p w14:paraId="034DE501" w14:textId="2C367E4A" w:rsidR="00A72E4A" w:rsidRPr="00484E36" w:rsidRDefault="00A72E4A" w:rsidP="00A72E4A">
      <w:pPr>
        <w:jc w:val="center"/>
        <w:rPr>
          <w:rFonts w:ascii="Arial" w:hAnsi="Arial" w:cs="Arial"/>
          <w:u w:val="single"/>
          <w:lang w:val="en-US"/>
        </w:rPr>
      </w:pPr>
      <w:r w:rsidRPr="00484E36">
        <w:rPr>
          <w:rFonts w:ascii="Arial" w:hAnsi="Arial" w:cs="Arial"/>
          <w:u w:val="single"/>
          <w:lang w:val="en-US"/>
        </w:rPr>
        <w:t>Bibliography</w:t>
      </w:r>
    </w:p>
    <w:p w14:paraId="70C8D13A" w14:textId="77777777" w:rsidR="00A72E4A" w:rsidRPr="00484E36" w:rsidRDefault="00A72E4A" w:rsidP="00A72E4A">
      <w:pPr>
        <w:jc w:val="center"/>
        <w:rPr>
          <w:rFonts w:ascii="Arial" w:hAnsi="Arial" w:cs="Arial"/>
          <w:u w:val="single"/>
          <w:lang w:val="en-US"/>
        </w:rPr>
      </w:pPr>
    </w:p>
    <w:p w14:paraId="59D62E14" w14:textId="0E2043BC" w:rsidR="00BD3C4A" w:rsidRPr="00484E36" w:rsidRDefault="00BD3C4A" w:rsidP="00BD3C4A">
      <w:pPr>
        <w:rPr>
          <w:rFonts w:ascii="Arial" w:hAnsi="Arial" w:cs="Arial"/>
          <w:lang w:val="en-US"/>
        </w:rPr>
      </w:pPr>
      <w:proofErr w:type="spellStart"/>
      <w:r w:rsidRPr="00484E36">
        <w:rPr>
          <w:rFonts w:ascii="Arial" w:hAnsi="Arial" w:cs="Arial"/>
          <w:lang w:val="en-US"/>
        </w:rPr>
        <w:t>Agarthachides</w:t>
      </w:r>
      <w:proofErr w:type="spellEnd"/>
      <w:r w:rsidRPr="00484E36">
        <w:rPr>
          <w:rFonts w:ascii="Arial" w:hAnsi="Arial" w:cs="Arial"/>
          <w:lang w:val="en-US"/>
        </w:rPr>
        <w:t xml:space="preserve"> </w:t>
      </w:r>
    </w:p>
    <w:p w14:paraId="73391573" w14:textId="5D130503" w:rsidR="00BD3C4A" w:rsidRPr="00484E36" w:rsidRDefault="00BD3C4A" w:rsidP="00BD3C4A">
      <w:pPr>
        <w:rPr>
          <w:rFonts w:ascii="Arial" w:hAnsi="Arial" w:cs="Arial"/>
          <w:lang w:val="en-US"/>
        </w:rPr>
      </w:pPr>
      <w:r w:rsidRPr="00484E36">
        <w:rPr>
          <w:rFonts w:ascii="Arial" w:hAnsi="Arial" w:cs="Arial"/>
          <w:lang w:val="en-US"/>
        </w:rPr>
        <w:t>Pliny</w:t>
      </w:r>
    </w:p>
    <w:p w14:paraId="5CD439E3" w14:textId="732B8C7F" w:rsidR="00DB6087" w:rsidRPr="00484E36" w:rsidRDefault="00DB6087" w:rsidP="00BD3C4A">
      <w:pPr>
        <w:rPr>
          <w:rFonts w:ascii="Arial" w:hAnsi="Arial" w:cs="Arial"/>
          <w:lang w:val="en-US"/>
        </w:rPr>
      </w:pPr>
      <w:r w:rsidRPr="00484E36">
        <w:rPr>
          <w:rFonts w:ascii="Arial" w:hAnsi="Arial" w:cs="Arial"/>
          <w:lang w:val="en-US"/>
        </w:rPr>
        <w:t xml:space="preserve">Cassius </w:t>
      </w:r>
      <w:proofErr w:type="spellStart"/>
      <w:r w:rsidRPr="00484E36">
        <w:rPr>
          <w:rFonts w:ascii="Arial" w:hAnsi="Arial" w:cs="Arial"/>
          <w:lang w:val="en-US"/>
        </w:rPr>
        <w:t>Dio</w:t>
      </w:r>
      <w:proofErr w:type="spellEnd"/>
      <w:r w:rsidRPr="00484E36">
        <w:rPr>
          <w:rFonts w:ascii="Arial" w:hAnsi="Arial" w:cs="Arial"/>
          <w:lang w:val="en-US"/>
        </w:rPr>
        <w:t xml:space="preserve"> </w:t>
      </w:r>
    </w:p>
    <w:p w14:paraId="3C160088" w14:textId="0303BB38" w:rsidR="00BC0928" w:rsidRPr="00484E36" w:rsidRDefault="00BC0928" w:rsidP="00BD3C4A">
      <w:pPr>
        <w:rPr>
          <w:rFonts w:ascii="Arial" w:hAnsi="Arial" w:cs="Arial"/>
          <w:lang w:val="en-US"/>
        </w:rPr>
      </w:pPr>
      <w:proofErr w:type="spellStart"/>
      <w:r w:rsidRPr="00484E36">
        <w:rPr>
          <w:rFonts w:ascii="Arial" w:hAnsi="Arial" w:cs="Arial"/>
          <w:lang w:val="en-US"/>
        </w:rPr>
        <w:t>Diodorus</w:t>
      </w:r>
      <w:proofErr w:type="spellEnd"/>
      <w:r w:rsidRPr="00484E36">
        <w:rPr>
          <w:rFonts w:ascii="Arial" w:hAnsi="Arial" w:cs="Arial"/>
          <w:lang w:val="en-US"/>
        </w:rPr>
        <w:t xml:space="preserve"> Siculus </w:t>
      </w:r>
    </w:p>
    <w:p w14:paraId="2A1E5A18" w14:textId="177FC4F3" w:rsidR="00315792" w:rsidRPr="00484E36" w:rsidRDefault="00315792" w:rsidP="00315792">
      <w:pPr>
        <w:rPr>
          <w:rFonts w:ascii="Arial" w:hAnsi="Arial" w:cs="Arial"/>
          <w:lang w:val="en-US"/>
        </w:rPr>
      </w:pPr>
      <w:r w:rsidRPr="00484E36">
        <w:rPr>
          <w:rFonts w:ascii="Arial" w:hAnsi="Arial" w:cs="Arial"/>
          <w:lang w:val="en-US"/>
        </w:rPr>
        <w:t>Strabo</w:t>
      </w:r>
    </w:p>
    <w:p w14:paraId="566D5518" w14:textId="2F410699" w:rsidR="00DB6087" w:rsidRPr="00484E36" w:rsidRDefault="00DB6087" w:rsidP="00315792">
      <w:pPr>
        <w:rPr>
          <w:rFonts w:ascii="Arial" w:hAnsi="Arial" w:cs="Arial"/>
          <w:lang w:val="en-US"/>
        </w:rPr>
      </w:pPr>
      <w:r w:rsidRPr="00484E36">
        <w:rPr>
          <w:rFonts w:ascii="Arial" w:hAnsi="Arial" w:cs="Arial"/>
          <w:lang w:val="en-US"/>
        </w:rPr>
        <w:t xml:space="preserve">Res </w:t>
      </w:r>
      <w:proofErr w:type="spellStart"/>
      <w:r w:rsidRPr="00484E36">
        <w:rPr>
          <w:rFonts w:ascii="Arial" w:hAnsi="Arial" w:cs="Arial"/>
          <w:lang w:val="en-US"/>
        </w:rPr>
        <w:t>Gestaeus</w:t>
      </w:r>
      <w:proofErr w:type="spellEnd"/>
    </w:p>
    <w:p w14:paraId="0FDDD28C" w14:textId="432740E8" w:rsidR="00D32A2A" w:rsidRPr="00484E36" w:rsidRDefault="00D32A2A" w:rsidP="00315792">
      <w:pPr>
        <w:rPr>
          <w:rFonts w:ascii="Arial" w:hAnsi="Arial" w:cs="Arial"/>
          <w:lang w:val="en-US"/>
        </w:rPr>
      </w:pPr>
      <w:proofErr w:type="spellStart"/>
      <w:r w:rsidRPr="00484E36">
        <w:rPr>
          <w:rFonts w:ascii="Arial" w:hAnsi="Arial" w:cs="Arial"/>
          <w:lang w:val="en-US"/>
        </w:rPr>
        <w:t>Mazuris</w:t>
      </w:r>
      <w:proofErr w:type="spellEnd"/>
      <w:r w:rsidRPr="00484E36">
        <w:rPr>
          <w:rFonts w:ascii="Arial" w:hAnsi="Arial" w:cs="Arial"/>
          <w:lang w:val="en-US"/>
        </w:rPr>
        <w:t xml:space="preserve"> Papyrus</w:t>
      </w:r>
    </w:p>
    <w:p w14:paraId="6DF5CEA7" w14:textId="6343F7BC" w:rsidR="00214ABB" w:rsidRPr="00484E36" w:rsidRDefault="00214ABB" w:rsidP="00315792">
      <w:pPr>
        <w:rPr>
          <w:rFonts w:ascii="Arial" w:hAnsi="Arial" w:cs="Arial"/>
          <w:lang w:val="en-US"/>
        </w:rPr>
      </w:pPr>
      <w:r w:rsidRPr="00484E36">
        <w:rPr>
          <w:rFonts w:ascii="Arial" w:hAnsi="Arial" w:cs="Arial"/>
          <w:lang w:val="en-US"/>
        </w:rPr>
        <w:t xml:space="preserve">O. Claud 77 and 81. </w:t>
      </w:r>
    </w:p>
    <w:p w14:paraId="4DF6FFA1" w14:textId="79958105" w:rsidR="00D32A2A" w:rsidRPr="00484E36" w:rsidRDefault="00315792" w:rsidP="00315792">
      <w:pPr>
        <w:rPr>
          <w:rFonts w:ascii="Arial" w:hAnsi="Arial" w:cs="Arial"/>
          <w:lang w:val="en-US"/>
        </w:rPr>
      </w:pPr>
      <w:r w:rsidRPr="00484E36">
        <w:rPr>
          <w:rFonts w:ascii="Arial" w:hAnsi="Arial" w:cs="Arial"/>
          <w:lang w:val="en-US"/>
        </w:rPr>
        <w:t xml:space="preserve">Fontes </w:t>
      </w:r>
      <w:proofErr w:type="spellStart"/>
      <w:r w:rsidRPr="00484E36">
        <w:rPr>
          <w:rFonts w:ascii="Arial" w:hAnsi="Arial" w:cs="Arial"/>
          <w:lang w:val="en-US"/>
        </w:rPr>
        <w:t>Historiae</w:t>
      </w:r>
      <w:proofErr w:type="spellEnd"/>
      <w:r w:rsidRPr="00484E36">
        <w:rPr>
          <w:rFonts w:ascii="Arial" w:hAnsi="Arial" w:cs="Arial"/>
          <w:lang w:val="en-US"/>
        </w:rPr>
        <w:t xml:space="preserve"> </w:t>
      </w:r>
      <w:proofErr w:type="spellStart"/>
      <w:r w:rsidRPr="00484E36">
        <w:rPr>
          <w:rFonts w:ascii="Arial" w:hAnsi="Arial" w:cs="Arial"/>
          <w:lang w:val="en-US"/>
        </w:rPr>
        <w:t>Nubiorum</w:t>
      </w:r>
      <w:proofErr w:type="spellEnd"/>
    </w:p>
    <w:p w14:paraId="154DA493" w14:textId="77777777" w:rsidR="00484E36" w:rsidRPr="00484E36" w:rsidRDefault="00484E36" w:rsidP="00484E36">
      <w:pPr>
        <w:rPr>
          <w:rFonts w:ascii="Arial" w:hAnsi="Arial" w:cs="Arial"/>
        </w:rPr>
      </w:pPr>
      <w:r w:rsidRPr="00484E36">
        <w:rPr>
          <w:rFonts w:ascii="Arial" w:hAnsi="Arial" w:cs="Arial"/>
        </w:rPr>
        <w:t>Plumley, K. H. (1975). Journal of Egyptian Archaeology, 61.</w:t>
      </w:r>
    </w:p>
    <w:p w14:paraId="5EAF5805" w14:textId="77777777" w:rsidR="00484E36" w:rsidRPr="00484E36" w:rsidRDefault="00484E36" w:rsidP="00484E36">
      <w:pPr>
        <w:rPr>
          <w:rFonts w:ascii="Arial" w:hAnsi="Arial" w:cs="Arial"/>
        </w:rPr>
      </w:pPr>
      <w:r w:rsidRPr="00484E36">
        <w:rPr>
          <w:rFonts w:ascii="Arial" w:hAnsi="Arial" w:cs="Arial"/>
        </w:rPr>
        <w:t>Kennedy, D. L. (1985). The ‘Hadrianic’ Stele from Mons Claudianus. Zeitschrift fur Papyrologie und Epigraphik, 60.</w:t>
      </w:r>
    </w:p>
    <w:p w14:paraId="07D08FA3" w14:textId="77777777" w:rsidR="00484E36" w:rsidRPr="00484E36" w:rsidRDefault="00484E36" w:rsidP="00484E36">
      <w:pPr>
        <w:rPr>
          <w:rFonts w:ascii="Arial" w:hAnsi="Arial" w:cs="Arial"/>
        </w:rPr>
      </w:pPr>
      <w:r w:rsidRPr="00484E36">
        <w:rPr>
          <w:rFonts w:ascii="Arial" w:hAnsi="Arial" w:cs="Arial"/>
        </w:rPr>
        <w:t>Gardener, A. (1994). Egyptian grammar (third edition). Oxford: Ashmolean Museum.</w:t>
      </w:r>
    </w:p>
    <w:p w14:paraId="67230F31" w14:textId="77777777" w:rsidR="00484E36" w:rsidRPr="00484E36" w:rsidRDefault="00484E36" w:rsidP="00484E36">
      <w:pPr>
        <w:rPr>
          <w:rFonts w:ascii="Arial" w:hAnsi="Arial" w:cs="Arial"/>
        </w:rPr>
      </w:pPr>
      <w:r w:rsidRPr="00484E36">
        <w:rPr>
          <w:rFonts w:ascii="Arial" w:hAnsi="Arial" w:cs="Arial"/>
        </w:rPr>
        <w:t>Maxfield, V. (1997). Surveys and Excavations: Mons Claudianus, volume 1: Topography and Quarries (Cairo).</w:t>
      </w:r>
    </w:p>
    <w:p w14:paraId="470AC6BB" w14:textId="77777777" w:rsidR="00484E36" w:rsidRPr="00484E36" w:rsidRDefault="00484E36" w:rsidP="00484E36">
      <w:pPr>
        <w:rPr>
          <w:rFonts w:ascii="Arial" w:hAnsi="Arial" w:cs="Arial"/>
        </w:rPr>
      </w:pPr>
      <w:r w:rsidRPr="00484E36">
        <w:rPr>
          <w:rFonts w:ascii="Arial" w:hAnsi="Arial" w:cs="Arial"/>
        </w:rPr>
        <w:t>Kennedy, D. (1995). Water supply and use in the southern Huaran, Jordan. Journal of Field Archaeology, 22(3), 275-90.</w:t>
      </w:r>
    </w:p>
    <w:p w14:paraId="0376DE69" w14:textId="77777777" w:rsidR="00484E36" w:rsidRPr="00484E36" w:rsidRDefault="00484E36" w:rsidP="00484E36">
      <w:pPr>
        <w:rPr>
          <w:rFonts w:ascii="Arial" w:hAnsi="Arial" w:cs="Arial"/>
        </w:rPr>
      </w:pPr>
      <w:r w:rsidRPr="00484E36">
        <w:rPr>
          <w:rFonts w:ascii="Arial" w:hAnsi="Arial" w:cs="Arial"/>
        </w:rPr>
        <w:t>Cobb, M. A. (2018). Peoples of the Eastern Desert of Egypt and their Impact on the Red Sea Trade: 1st to 3rd Centuries AD. Ancient West and East, 18, 85-112.</w:t>
      </w:r>
    </w:p>
    <w:p w14:paraId="023F19E5" w14:textId="77777777" w:rsidR="00484E36" w:rsidRPr="00484E36" w:rsidRDefault="00484E36" w:rsidP="00484E36">
      <w:pPr>
        <w:rPr>
          <w:rFonts w:ascii="Arial" w:hAnsi="Arial" w:cs="Arial"/>
        </w:rPr>
      </w:pPr>
      <w:r w:rsidRPr="00484E36">
        <w:rPr>
          <w:rFonts w:ascii="Arial" w:hAnsi="Arial" w:cs="Arial"/>
        </w:rPr>
        <w:t>Nappo, D., &amp; Zerbini, A. (2011). On the Fringe: Trade and Taxation in the Egyptian Eastern Desert. In T. Kaizer &amp; O. Hekster (Eds.), Frontiers in the Roman World (pp. 61-77). Leiden.</w:t>
      </w:r>
    </w:p>
    <w:p w14:paraId="49D11F10" w14:textId="77777777" w:rsidR="00484E36" w:rsidRPr="00484E36" w:rsidRDefault="00484E36" w:rsidP="00484E36">
      <w:pPr>
        <w:rPr>
          <w:rFonts w:ascii="Arial" w:hAnsi="Arial" w:cs="Arial"/>
        </w:rPr>
      </w:pPr>
      <w:r w:rsidRPr="00484E36">
        <w:rPr>
          <w:rFonts w:ascii="Arial" w:hAnsi="Arial" w:cs="Arial"/>
        </w:rPr>
        <w:t>Bulow-Jacobsen, Bagnall, R., &amp; Cuvigny, H. (2001). Security and Water on the Eastern Desert Roads: The Prefect Ursus and the Construction of praesidia under Vespasian. JRA, 14, 325-33.</w:t>
      </w:r>
    </w:p>
    <w:p w14:paraId="76A17D7B" w14:textId="77777777" w:rsidR="00484E36" w:rsidRPr="00484E36" w:rsidRDefault="00484E36" w:rsidP="00484E36">
      <w:pPr>
        <w:rPr>
          <w:rFonts w:ascii="Arial" w:hAnsi="Arial" w:cs="Arial"/>
        </w:rPr>
      </w:pPr>
      <w:r w:rsidRPr="00484E36">
        <w:rPr>
          <w:rFonts w:ascii="Arial" w:hAnsi="Arial" w:cs="Arial"/>
        </w:rPr>
        <w:t>Cuvigny, H. (2003). Mons Claudianus, deuxiemeu centenaire d’une carriere imperiale.</w:t>
      </w:r>
    </w:p>
    <w:p w14:paraId="2C57D245" w14:textId="77777777" w:rsidR="00484E36" w:rsidRPr="00484E36" w:rsidRDefault="00484E36" w:rsidP="00484E36">
      <w:pPr>
        <w:rPr>
          <w:rFonts w:ascii="Arial" w:hAnsi="Arial" w:cs="Arial"/>
        </w:rPr>
      </w:pPr>
      <w:r w:rsidRPr="00484E36">
        <w:rPr>
          <w:rFonts w:ascii="Arial" w:hAnsi="Arial" w:cs="Arial"/>
        </w:rPr>
        <w:t>Cuvigny, H. (2005). O. Krok. 6; K693 column III lines 33-46.</w:t>
      </w:r>
    </w:p>
    <w:p w14:paraId="402A5AD6" w14:textId="77777777" w:rsidR="00484E36" w:rsidRPr="00484E36" w:rsidRDefault="00484E36" w:rsidP="00484E36">
      <w:pPr>
        <w:rPr>
          <w:rFonts w:ascii="Arial" w:hAnsi="Arial" w:cs="Arial"/>
        </w:rPr>
      </w:pPr>
      <w:r w:rsidRPr="00484E36">
        <w:rPr>
          <w:rFonts w:ascii="Arial" w:hAnsi="Arial" w:cs="Arial"/>
        </w:rPr>
        <w:lastRenderedPageBreak/>
        <w:t>Helms, C., et al. (2000). Survey of the Via Hadriana: The 1998 Season. JARCE, 37, 115-26.</w:t>
      </w:r>
    </w:p>
    <w:p w14:paraId="33EB9F4E" w14:textId="77777777" w:rsidR="00484E36" w:rsidRPr="00484E36" w:rsidRDefault="00484E36" w:rsidP="00484E36">
      <w:pPr>
        <w:rPr>
          <w:rFonts w:ascii="Arial" w:hAnsi="Arial" w:cs="Arial"/>
        </w:rPr>
      </w:pPr>
      <w:r w:rsidRPr="00484E36">
        <w:rPr>
          <w:rFonts w:ascii="Arial" w:hAnsi="Arial" w:cs="Arial"/>
        </w:rPr>
        <w:t>Sidebotham, R. E., &amp; Zitterkopf, (2000). Survey of the Via Hadriana: the 1998 season. Journal of the American Research Center in Egypt, 37, 115-26.</w:t>
      </w:r>
    </w:p>
    <w:p w14:paraId="714B4BD3" w14:textId="77777777" w:rsidR="00484E36" w:rsidRPr="00484E36" w:rsidRDefault="00484E36" w:rsidP="00484E36">
      <w:pPr>
        <w:rPr>
          <w:rFonts w:ascii="Arial" w:hAnsi="Arial" w:cs="Arial"/>
        </w:rPr>
      </w:pPr>
      <w:r w:rsidRPr="00484E36">
        <w:rPr>
          <w:rFonts w:ascii="Arial" w:hAnsi="Arial" w:cs="Arial"/>
        </w:rPr>
        <w:t>Adams, C. (2007). Land Transport in Roman Egypt. Oxford University Press.</w:t>
      </w:r>
    </w:p>
    <w:p w14:paraId="70A8CB58" w14:textId="77777777" w:rsidR="00484E36" w:rsidRPr="00484E36" w:rsidRDefault="00484E36" w:rsidP="00484E36">
      <w:pPr>
        <w:rPr>
          <w:rFonts w:ascii="Arial" w:hAnsi="Arial" w:cs="Arial"/>
        </w:rPr>
      </w:pPr>
      <w:r w:rsidRPr="00484E36">
        <w:rPr>
          <w:rFonts w:ascii="Arial" w:hAnsi="Arial" w:cs="Arial"/>
        </w:rPr>
        <w:t>Cuvigny, H. (2006). Le route de Myos Hormos: L’armee romaine dans le desert Oriental de Egypte. Volumes 1 and 2, second edition, (Cairo).</w:t>
      </w:r>
    </w:p>
    <w:p w14:paraId="168DEC2D" w14:textId="77777777" w:rsidR="00484E36" w:rsidRPr="00484E36" w:rsidRDefault="00484E36" w:rsidP="00484E36">
      <w:pPr>
        <w:rPr>
          <w:rFonts w:ascii="Arial" w:hAnsi="Arial" w:cs="Arial"/>
        </w:rPr>
      </w:pPr>
      <w:r w:rsidRPr="00484E36">
        <w:rPr>
          <w:rFonts w:ascii="Arial" w:hAnsi="Arial" w:cs="Arial"/>
        </w:rPr>
        <w:t>Thomas, R. I. (2009). Maritime Cultures of the Erythyraean Sea. University of Southampton.</w:t>
      </w:r>
    </w:p>
    <w:p w14:paraId="5DAA41E7" w14:textId="77777777" w:rsidR="00484E36" w:rsidRPr="00484E36" w:rsidRDefault="00484E36" w:rsidP="00484E36">
      <w:pPr>
        <w:rPr>
          <w:rFonts w:ascii="Arial" w:hAnsi="Arial" w:cs="Arial"/>
        </w:rPr>
      </w:pPr>
      <w:r w:rsidRPr="00484E36">
        <w:rPr>
          <w:rFonts w:ascii="Arial" w:hAnsi="Arial" w:cs="Arial"/>
        </w:rPr>
        <w:t>Gates-Foster, J. (2012). The Eastern Desert During the Ptolemaic Period: An Emerging Picture. In H. Barnard &amp; K. Duistermaat (Eds.), History of the Peoples of the Eastern Desert (pp. 191-203). Cotsen Institute of Archaeology, University of California.</w:t>
      </w:r>
    </w:p>
    <w:p w14:paraId="67AF26AA" w14:textId="77777777" w:rsidR="00484E36" w:rsidRPr="00484E36" w:rsidRDefault="00484E36" w:rsidP="00484E36">
      <w:pPr>
        <w:rPr>
          <w:rFonts w:ascii="Arial" w:hAnsi="Arial" w:cs="Arial"/>
        </w:rPr>
      </w:pPr>
      <w:r w:rsidRPr="00484E36">
        <w:rPr>
          <w:rFonts w:ascii="Arial" w:hAnsi="Arial" w:cs="Arial"/>
        </w:rPr>
        <w:t>Seland, (2021). Globalisation and Transculturality from Antiquity to the Pre-Modern World, Routledge Press Eds.</w:t>
      </w:r>
    </w:p>
    <w:p w14:paraId="456B293D" w14:textId="77777777" w:rsidR="00484E36" w:rsidRPr="00484E36" w:rsidRDefault="00484E36" w:rsidP="00484E36">
      <w:pPr>
        <w:rPr>
          <w:rFonts w:ascii="Arial" w:hAnsi="Arial" w:cs="Arial"/>
        </w:rPr>
      </w:pPr>
      <w:r w:rsidRPr="00484E36">
        <w:rPr>
          <w:rFonts w:ascii="Arial" w:hAnsi="Arial" w:cs="Arial"/>
        </w:rPr>
        <w:t>Cuvigny, H. (2014). Papyrological Evidence on ‘Barbarians’ in the Egyptian Eastern Desert. In Dijkstra and Fisher 2014.</w:t>
      </w:r>
    </w:p>
    <w:p w14:paraId="3B19EF10" w14:textId="77777777" w:rsidR="00484E36" w:rsidRPr="00484E36" w:rsidRDefault="00484E36" w:rsidP="00484E36">
      <w:pPr>
        <w:rPr>
          <w:rFonts w:ascii="Arial" w:hAnsi="Arial" w:cs="Arial"/>
        </w:rPr>
      </w:pPr>
      <w:r w:rsidRPr="00484E36">
        <w:rPr>
          <w:rFonts w:ascii="Arial" w:hAnsi="Arial" w:cs="Arial"/>
        </w:rPr>
        <w:t>Aubert, J-J. (2015). Trajan’s Canal: River Navigation from the Nile to the Red Sea? In De Romanis and Maiuro 2015.</w:t>
      </w:r>
    </w:p>
    <w:p w14:paraId="6CF513D9" w14:textId="77777777" w:rsidR="00484E36" w:rsidRPr="00484E36" w:rsidRDefault="00484E36" w:rsidP="00484E36">
      <w:pPr>
        <w:rPr>
          <w:rFonts w:ascii="Arial" w:hAnsi="Arial" w:cs="Arial"/>
        </w:rPr>
      </w:pPr>
      <w:r w:rsidRPr="00484E36">
        <w:rPr>
          <w:rFonts w:ascii="Arial" w:hAnsi="Arial" w:cs="Arial"/>
        </w:rPr>
        <w:t>Wozniak, W., &amp; Radkowska, K. (2018). Berenike Trogodytika: A Hellenistic Fortress on the Red Sea Coast, Egypt.</w:t>
      </w:r>
    </w:p>
    <w:p w14:paraId="11076046" w14:textId="77777777" w:rsidR="00484E36" w:rsidRPr="00484E36" w:rsidRDefault="00484E36" w:rsidP="00484E36">
      <w:pPr>
        <w:rPr>
          <w:rFonts w:ascii="Arial" w:hAnsi="Arial" w:cs="Arial"/>
        </w:rPr>
      </w:pPr>
      <w:r w:rsidRPr="00484E36">
        <w:rPr>
          <w:rFonts w:ascii="Arial" w:hAnsi="Arial" w:cs="Arial"/>
        </w:rPr>
        <w:t>Brun, J., Faucher, T., Redon, B., &amp; Sidebotham, S.E. (2018). The Eastern Desert of Egypt During the Graeco-Roman Period: Archaeological Reports. College de France.</w:t>
      </w:r>
    </w:p>
    <w:p w14:paraId="6C8946DB" w14:textId="77777777" w:rsidR="00970523" w:rsidRPr="00DB6087" w:rsidRDefault="00970523" w:rsidP="00315792">
      <w:pPr>
        <w:rPr>
          <w:lang w:val="en-US"/>
        </w:rPr>
      </w:pPr>
    </w:p>
    <w:p w14:paraId="429E2D90" w14:textId="77777777" w:rsidR="002C4E81" w:rsidRPr="002C4E81" w:rsidRDefault="002C4E81" w:rsidP="00315792">
      <w:pPr>
        <w:rPr>
          <w:lang w:val="en-US"/>
        </w:rPr>
      </w:pPr>
    </w:p>
    <w:p w14:paraId="6DBF0775" w14:textId="77777777" w:rsidR="001B7943" w:rsidRDefault="001B7943" w:rsidP="00315792">
      <w:pPr>
        <w:rPr>
          <w:lang w:val="en-US"/>
        </w:rPr>
      </w:pPr>
    </w:p>
    <w:p w14:paraId="74500036" w14:textId="1EB42DFD" w:rsidR="007E0DED" w:rsidRDefault="007E0DED" w:rsidP="00315792">
      <w:pPr>
        <w:rPr>
          <w:lang w:val="en-US"/>
        </w:rPr>
      </w:pPr>
    </w:p>
    <w:p w14:paraId="5AF2D861" w14:textId="59A7794B" w:rsidR="00BD3C4A" w:rsidRDefault="00BD3C4A" w:rsidP="00315792">
      <w:pPr>
        <w:rPr>
          <w:lang w:val="en-US"/>
        </w:rPr>
      </w:pPr>
    </w:p>
    <w:p w14:paraId="46903044" w14:textId="77777777" w:rsidR="00315792" w:rsidRPr="00315792" w:rsidRDefault="00315792" w:rsidP="00315792">
      <w:pPr>
        <w:rPr>
          <w:lang w:val="en-US"/>
        </w:rPr>
      </w:pPr>
    </w:p>
    <w:p w14:paraId="665D9606" w14:textId="77777777" w:rsidR="00A72E4A" w:rsidRPr="00A72E4A" w:rsidRDefault="00A72E4A" w:rsidP="00A72E4A">
      <w:pPr>
        <w:rPr>
          <w:lang w:val="en-US"/>
        </w:rPr>
      </w:pPr>
    </w:p>
    <w:sectPr w:rsidR="00A72E4A" w:rsidRPr="00A72E4A">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2C13C" w14:textId="77777777" w:rsidR="00DF2099" w:rsidRDefault="00DF2099" w:rsidP="000E00F7">
      <w:pPr>
        <w:spacing w:after="0" w:line="240" w:lineRule="auto"/>
      </w:pPr>
      <w:r>
        <w:separator/>
      </w:r>
    </w:p>
  </w:endnote>
  <w:endnote w:type="continuationSeparator" w:id="0">
    <w:p w14:paraId="6AAE9636" w14:textId="77777777" w:rsidR="00DF2099" w:rsidRDefault="00DF2099" w:rsidP="000E0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7911464"/>
      <w:docPartObj>
        <w:docPartGallery w:val="Page Numbers (Bottom of Page)"/>
        <w:docPartUnique/>
      </w:docPartObj>
    </w:sdtPr>
    <w:sdtContent>
      <w:p w14:paraId="1798B49E" w14:textId="7062A088" w:rsidR="00104759" w:rsidRDefault="00104759" w:rsidP="00A204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AD68C3" w14:textId="77777777" w:rsidR="00104759" w:rsidRDefault="001047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7842937"/>
      <w:docPartObj>
        <w:docPartGallery w:val="Page Numbers (Bottom of Page)"/>
        <w:docPartUnique/>
      </w:docPartObj>
    </w:sdtPr>
    <w:sdtContent>
      <w:p w14:paraId="2F89EC8A" w14:textId="41616D61" w:rsidR="00104759" w:rsidRDefault="00104759" w:rsidP="00A204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DAE4D6" w14:textId="77777777" w:rsidR="00104759" w:rsidRDefault="00104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B18F1" w14:textId="77777777" w:rsidR="00DF2099" w:rsidRDefault="00DF2099" w:rsidP="000E00F7">
      <w:pPr>
        <w:spacing w:after="0" w:line="240" w:lineRule="auto"/>
      </w:pPr>
      <w:r>
        <w:separator/>
      </w:r>
    </w:p>
  </w:footnote>
  <w:footnote w:type="continuationSeparator" w:id="0">
    <w:p w14:paraId="7C62CFDE" w14:textId="77777777" w:rsidR="00DF2099" w:rsidRDefault="00DF2099" w:rsidP="000E00F7">
      <w:pPr>
        <w:spacing w:after="0" w:line="240" w:lineRule="auto"/>
      </w:pPr>
      <w:r>
        <w:continuationSeparator/>
      </w:r>
    </w:p>
  </w:footnote>
  <w:footnote w:id="1">
    <w:p w14:paraId="660205BF" w14:textId="252462D2" w:rsidR="00F572EE" w:rsidRPr="00F572EE" w:rsidRDefault="00F572EE">
      <w:pPr>
        <w:pStyle w:val="FootnoteText"/>
      </w:pPr>
      <w:r>
        <w:rPr>
          <w:rStyle w:val="FootnoteReference"/>
        </w:rPr>
        <w:footnoteRef/>
      </w:r>
      <w:r>
        <w:t xml:space="preserve"> </w:t>
      </w:r>
      <w:r>
        <w:rPr>
          <w:i/>
          <w:iCs/>
        </w:rPr>
        <w:t xml:space="preserve">Fontes Historiae Nubiorum, </w:t>
      </w:r>
      <w:r>
        <w:t xml:space="preserve">(Eid et al. 1998). </w:t>
      </w:r>
    </w:p>
  </w:footnote>
  <w:footnote w:id="2">
    <w:p w14:paraId="59183FFB" w14:textId="03CD40F8" w:rsidR="00F572EE" w:rsidRPr="00F572EE" w:rsidRDefault="00F572EE">
      <w:pPr>
        <w:pStyle w:val="FootnoteText"/>
      </w:pPr>
      <w:r>
        <w:rPr>
          <w:rStyle w:val="FootnoteReference"/>
        </w:rPr>
        <w:footnoteRef/>
      </w:r>
      <w:r>
        <w:t xml:space="preserve"> </w:t>
      </w:r>
      <w:r>
        <w:rPr>
          <w:i/>
          <w:iCs/>
        </w:rPr>
        <w:t>Ibid</w:t>
      </w:r>
      <w:r>
        <w:t xml:space="preserve">. This included translations from the Demotic, Meroitic and Coptic languages. </w:t>
      </w:r>
    </w:p>
  </w:footnote>
  <w:footnote w:id="3">
    <w:p w14:paraId="6F738E01" w14:textId="72798C1D" w:rsidR="00F459E5" w:rsidRPr="00F459E5" w:rsidRDefault="00F459E5">
      <w:pPr>
        <w:pStyle w:val="FootnoteText"/>
        <w:rPr>
          <w:lang w:val="en-US"/>
        </w:rPr>
      </w:pPr>
      <w:r>
        <w:rPr>
          <w:rStyle w:val="FootnoteReference"/>
        </w:rPr>
        <w:footnoteRef/>
      </w:r>
      <w:r>
        <w:t xml:space="preserve"> </w:t>
      </w:r>
      <w:r>
        <w:rPr>
          <w:lang w:val="en-US"/>
        </w:rPr>
        <w:t xml:space="preserve">M. A. Cobb, Peoples of the Eastern Desert of </w:t>
      </w:r>
      <w:proofErr w:type="gramStart"/>
      <w:r>
        <w:rPr>
          <w:lang w:val="en-US"/>
        </w:rPr>
        <w:t>Egypt</w:t>
      </w:r>
      <w:proofErr w:type="gramEnd"/>
      <w:r>
        <w:rPr>
          <w:lang w:val="en-US"/>
        </w:rPr>
        <w:t xml:space="preserve"> and their Impact on the Red Sea Trade: 1</w:t>
      </w:r>
      <w:r w:rsidRPr="00F459E5">
        <w:rPr>
          <w:vertAlign w:val="superscript"/>
          <w:lang w:val="en-US"/>
        </w:rPr>
        <w:t>st</w:t>
      </w:r>
      <w:r>
        <w:rPr>
          <w:lang w:val="en-US"/>
        </w:rPr>
        <w:t xml:space="preserve"> to 3</w:t>
      </w:r>
      <w:r w:rsidRPr="00F459E5">
        <w:rPr>
          <w:vertAlign w:val="superscript"/>
          <w:lang w:val="en-US"/>
        </w:rPr>
        <w:t>rd</w:t>
      </w:r>
      <w:r>
        <w:rPr>
          <w:lang w:val="en-US"/>
        </w:rPr>
        <w:t xml:space="preserve"> Centuries AD, in Ancient West and East, 18:85-112</w:t>
      </w:r>
      <w:r w:rsidR="000D4652">
        <w:rPr>
          <w:lang w:val="en-US"/>
        </w:rPr>
        <w:t xml:space="preserve">; In Egyptian hieroglyphic </w:t>
      </w:r>
      <w:r w:rsidR="00D973B7">
        <w:rPr>
          <w:lang w:val="en-US"/>
        </w:rPr>
        <w:t xml:space="preserve">script fish determinatives were used to denote negative objects, such as abominations, corpse, widow, stink or discontent; Gardener 1994: 476-7. </w:t>
      </w:r>
    </w:p>
  </w:footnote>
  <w:footnote w:id="4">
    <w:p w14:paraId="502A6E5B" w14:textId="1EB00A0C" w:rsidR="00F459E5" w:rsidRPr="00F459E5" w:rsidRDefault="00F459E5">
      <w:pPr>
        <w:pStyle w:val="FootnoteText"/>
        <w:rPr>
          <w:lang w:val="en-US"/>
        </w:rPr>
      </w:pPr>
      <w:r>
        <w:rPr>
          <w:rStyle w:val="FootnoteReference"/>
        </w:rPr>
        <w:footnoteRef/>
      </w:r>
      <w:r>
        <w:t xml:space="preserve"> </w:t>
      </w:r>
      <w:r>
        <w:rPr>
          <w:lang w:val="en-US"/>
        </w:rPr>
        <w:t xml:space="preserve">H.F. Dijkstra, Blemmyes, </w:t>
      </w:r>
      <w:proofErr w:type="spellStart"/>
      <w:r>
        <w:rPr>
          <w:lang w:val="en-US"/>
        </w:rPr>
        <w:t>Noubades</w:t>
      </w:r>
      <w:proofErr w:type="spellEnd"/>
      <w:r>
        <w:rPr>
          <w:lang w:val="en-US"/>
        </w:rPr>
        <w:t xml:space="preserve"> and the Eastern Desert in Late Antiquity: Reassessing the Written Sources, </w:t>
      </w:r>
      <w:r w:rsidR="00F258DF">
        <w:rPr>
          <w:lang w:val="en-US"/>
        </w:rPr>
        <w:t>this also fits into the idea of them being attackers of the defenseless and vulnerabl</w:t>
      </w:r>
      <w:r w:rsidR="005E1834">
        <w:rPr>
          <w:lang w:val="en-US"/>
        </w:rPr>
        <w:t xml:space="preserve">e, in the History of the people of the Eastern Desert, edited by Hans Barnard and Kim </w:t>
      </w:r>
      <w:proofErr w:type="spellStart"/>
      <w:r w:rsidR="005E1834">
        <w:rPr>
          <w:lang w:val="en-US"/>
        </w:rPr>
        <w:t>Duistermaat</w:t>
      </w:r>
      <w:proofErr w:type="spellEnd"/>
      <w:r w:rsidR="005E1834">
        <w:rPr>
          <w:lang w:val="en-US"/>
        </w:rPr>
        <w:t xml:space="preserve">, 2012; </w:t>
      </w:r>
      <w:proofErr w:type="spellStart"/>
      <w:r w:rsidR="005E1834">
        <w:rPr>
          <w:lang w:val="en-US"/>
        </w:rPr>
        <w:t>Cotsen</w:t>
      </w:r>
      <w:proofErr w:type="spellEnd"/>
      <w:r w:rsidR="005E1834">
        <w:rPr>
          <w:lang w:val="en-US"/>
        </w:rPr>
        <w:t xml:space="preserve"> Institute of Archaeology, University of California. </w:t>
      </w:r>
    </w:p>
  </w:footnote>
  <w:footnote w:id="5">
    <w:p w14:paraId="51F39745" w14:textId="18DB9BFF" w:rsidR="00F258DF" w:rsidRPr="00F258DF" w:rsidRDefault="00F258DF">
      <w:pPr>
        <w:pStyle w:val="FootnoteText"/>
        <w:rPr>
          <w:lang w:val="en-US"/>
        </w:rPr>
      </w:pPr>
      <w:r>
        <w:rPr>
          <w:rStyle w:val="FootnoteReference"/>
        </w:rPr>
        <w:footnoteRef/>
      </w:r>
      <w:r>
        <w:t xml:space="preserve"> </w:t>
      </w:r>
      <w:r>
        <w:rPr>
          <w:lang w:val="en-US"/>
        </w:rPr>
        <w:t xml:space="preserve">Strabo, 17.1.53, Eid et al. 1998: 828-835. </w:t>
      </w:r>
    </w:p>
  </w:footnote>
  <w:footnote w:id="6">
    <w:p w14:paraId="79C7D47A" w14:textId="69D4C39E" w:rsidR="00401FBF" w:rsidRPr="00401FBF" w:rsidRDefault="00401FBF">
      <w:pPr>
        <w:pStyle w:val="FootnoteText"/>
      </w:pPr>
      <w:r>
        <w:rPr>
          <w:rStyle w:val="FootnoteReference"/>
        </w:rPr>
        <w:footnoteRef/>
      </w:r>
      <w:r>
        <w:t xml:space="preserve"> </w:t>
      </w:r>
      <w:r>
        <w:rPr>
          <w:i/>
          <w:iCs/>
        </w:rPr>
        <w:t>Ibid</w:t>
      </w:r>
      <w:r>
        <w:t xml:space="preserve">. </w:t>
      </w:r>
    </w:p>
  </w:footnote>
  <w:footnote w:id="7">
    <w:p w14:paraId="53492131" w14:textId="23810267" w:rsidR="00F258DF" w:rsidRPr="00F258DF" w:rsidRDefault="00F258DF">
      <w:pPr>
        <w:pStyle w:val="FootnoteText"/>
      </w:pPr>
      <w:r>
        <w:rPr>
          <w:rStyle w:val="FootnoteReference"/>
        </w:rPr>
        <w:footnoteRef/>
      </w:r>
      <w:r>
        <w:t xml:space="preserve"> </w:t>
      </w:r>
      <w:r>
        <w:rPr>
          <w:i/>
          <w:iCs/>
        </w:rPr>
        <w:t>Ibid</w:t>
      </w:r>
      <w:r>
        <w:t xml:space="preserve">. </w:t>
      </w:r>
    </w:p>
  </w:footnote>
  <w:footnote w:id="8">
    <w:p w14:paraId="5405C58B" w14:textId="631D49E3" w:rsidR="00511FA4" w:rsidRPr="00511FA4" w:rsidRDefault="00511FA4">
      <w:pPr>
        <w:pStyle w:val="FootnoteText"/>
        <w:rPr>
          <w:lang w:val="en-US"/>
        </w:rPr>
      </w:pPr>
      <w:r>
        <w:rPr>
          <w:rStyle w:val="FootnoteReference"/>
        </w:rPr>
        <w:footnoteRef/>
      </w:r>
      <w:r>
        <w:t xml:space="preserve"> </w:t>
      </w:r>
      <w:r>
        <w:t xml:space="preserve">Pliny’s </w:t>
      </w:r>
      <w:r>
        <w:rPr>
          <w:i/>
          <w:iCs/>
        </w:rPr>
        <w:t xml:space="preserve">Natural History, </w:t>
      </w:r>
      <w:r>
        <w:t xml:space="preserve">Book 37, sections 1-106, at section </w:t>
      </w:r>
    </w:p>
  </w:footnote>
  <w:footnote w:id="9">
    <w:p w14:paraId="1398B196" w14:textId="24F7BDB0" w:rsidR="00F258DF" w:rsidRPr="00F258DF" w:rsidRDefault="00F258DF">
      <w:pPr>
        <w:pStyle w:val="FootnoteText"/>
        <w:rPr>
          <w:lang w:val="en-US"/>
        </w:rPr>
      </w:pPr>
      <w:r>
        <w:rPr>
          <w:rStyle w:val="FootnoteReference"/>
        </w:rPr>
        <w:footnoteRef/>
      </w:r>
      <w:r>
        <w:t xml:space="preserve"> </w:t>
      </w:r>
      <w:r>
        <w:rPr>
          <w:i/>
          <w:iCs/>
        </w:rPr>
        <w:t>Ibid</w:t>
      </w:r>
      <w:r>
        <w:t xml:space="preserve">, p. 239. </w:t>
      </w:r>
    </w:p>
  </w:footnote>
  <w:footnote w:id="10">
    <w:p w14:paraId="6D2EF408" w14:textId="39134F84" w:rsidR="00F258DF" w:rsidRPr="00F258DF" w:rsidRDefault="00F258DF">
      <w:pPr>
        <w:pStyle w:val="FootnoteText"/>
        <w:rPr>
          <w:lang w:val="en-US"/>
        </w:rPr>
      </w:pPr>
      <w:r>
        <w:rPr>
          <w:rStyle w:val="FootnoteReference"/>
        </w:rPr>
        <w:footnoteRef/>
      </w:r>
      <w:r>
        <w:t xml:space="preserve"> </w:t>
      </w:r>
      <w:r>
        <w:rPr>
          <w:lang w:val="en-US"/>
        </w:rPr>
        <w:t xml:space="preserve">For the sources on the Blemmyes before 298 CE, see </w:t>
      </w:r>
      <w:proofErr w:type="spellStart"/>
      <w:r>
        <w:rPr>
          <w:lang w:val="en-US"/>
        </w:rPr>
        <w:t>Updegraff</w:t>
      </w:r>
      <w:proofErr w:type="spellEnd"/>
      <w:r>
        <w:rPr>
          <w:lang w:val="en-US"/>
        </w:rPr>
        <w:t xml:space="preserve"> </w:t>
      </w:r>
      <w:proofErr w:type="gramStart"/>
      <w:r>
        <w:rPr>
          <w:lang w:val="en-US"/>
        </w:rPr>
        <w:t>1978;</w:t>
      </w:r>
      <w:proofErr w:type="gramEnd"/>
      <w:r>
        <w:rPr>
          <w:lang w:val="en-US"/>
        </w:rPr>
        <w:t xml:space="preserve"> </w:t>
      </w:r>
      <w:proofErr w:type="spellStart"/>
      <w:r>
        <w:rPr>
          <w:lang w:val="en-US"/>
        </w:rPr>
        <w:t>Updegraff</w:t>
      </w:r>
      <w:proofErr w:type="spellEnd"/>
      <w:r>
        <w:rPr>
          <w:lang w:val="en-US"/>
        </w:rPr>
        <w:t xml:space="preserve"> 1988. </w:t>
      </w:r>
    </w:p>
  </w:footnote>
  <w:footnote w:id="11">
    <w:p w14:paraId="5A01799F" w14:textId="0CE38083" w:rsidR="000D4652" w:rsidRPr="000D4652" w:rsidRDefault="000D4652">
      <w:pPr>
        <w:pStyle w:val="FootnoteText"/>
        <w:rPr>
          <w:lang w:val="en-US"/>
        </w:rPr>
      </w:pPr>
      <w:r>
        <w:rPr>
          <w:rStyle w:val="FootnoteReference"/>
        </w:rPr>
        <w:footnoteRef/>
      </w:r>
      <w:r>
        <w:t xml:space="preserve"> </w:t>
      </w:r>
      <w:proofErr w:type="spellStart"/>
      <w:r>
        <w:rPr>
          <w:lang w:val="en-US"/>
        </w:rPr>
        <w:t>Agatharchides</w:t>
      </w:r>
      <w:proofErr w:type="spellEnd"/>
      <w:r>
        <w:rPr>
          <w:lang w:val="en-US"/>
        </w:rPr>
        <w:t xml:space="preserve"> on </w:t>
      </w:r>
      <w:r>
        <w:rPr>
          <w:i/>
          <w:iCs/>
          <w:lang w:val="en-US"/>
        </w:rPr>
        <w:t xml:space="preserve">the </w:t>
      </w:r>
      <w:proofErr w:type="spellStart"/>
      <w:r>
        <w:rPr>
          <w:i/>
          <w:iCs/>
          <w:lang w:val="en-US"/>
        </w:rPr>
        <w:t>Erythraean</w:t>
      </w:r>
      <w:proofErr w:type="spellEnd"/>
      <w:r>
        <w:rPr>
          <w:i/>
          <w:iCs/>
          <w:lang w:val="en-US"/>
        </w:rPr>
        <w:t xml:space="preserve"> Sea: </w:t>
      </w:r>
      <w:r>
        <w:rPr>
          <w:lang w:val="en-US"/>
        </w:rPr>
        <w:t xml:space="preserve">5.46. </w:t>
      </w:r>
    </w:p>
  </w:footnote>
  <w:footnote w:id="12">
    <w:p w14:paraId="59CA7979" w14:textId="0405CD3E" w:rsidR="000D4652" w:rsidRPr="000D4652" w:rsidRDefault="000D4652">
      <w:pPr>
        <w:pStyle w:val="FootnoteText"/>
        <w:rPr>
          <w:lang w:val="en-US"/>
        </w:rPr>
      </w:pPr>
      <w:r>
        <w:rPr>
          <w:rStyle w:val="FootnoteReference"/>
        </w:rPr>
        <w:footnoteRef/>
      </w:r>
      <w:r>
        <w:t xml:space="preserve"> </w:t>
      </w:r>
      <w:r>
        <w:rPr>
          <w:i/>
          <w:iCs/>
          <w:lang w:val="en-US"/>
        </w:rPr>
        <w:t>Ibid</w:t>
      </w:r>
      <w:r>
        <w:rPr>
          <w:lang w:val="en-US"/>
        </w:rPr>
        <w:t xml:space="preserve">, </w:t>
      </w:r>
      <w:proofErr w:type="spellStart"/>
      <w:r>
        <w:rPr>
          <w:lang w:val="en-US"/>
        </w:rPr>
        <w:t>ftn</w:t>
      </w:r>
      <w:proofErr w:type="spellEnd"/>
      <w:r>
        <w:rPr>
          <w:lang w:val="en-US"/>
        </w:rPr>
        <w:t xml:space="preserve">. 9. </w:t>
      </w:r>
    </w:p>
  </w:footnote>
  <w:footnote w:id="13">
    <w:p w14:paraId="7E5EEA24" w14:textId="01FE9458" w:rsidR="00401FBF" w:rsidRPr="00401FBF" w:rsidRDefault="00401FBF">
      <w:pPr>
        <w:pStyle w:val="FootnoteText"/>
        <w:rPr>
          <w:lang w:val="en-US"/>
        </w:rPr>
      </w:pPr>
      <w:r>
        <w:rPr>
          <w:rStyle w:val="FootnoteReference"/>
        </w:rPr>
        <w:footnoteRef/>
      </w:r>
      <w:r>
        <w:t xml:space="preserve"> </w:t>
      </w:r>
      <w:r w:rsidR="001C28CC">
        <w:t xml:space="preserve">Plumley, Journal of Egyptian Archaeology, 61, 1975, Kathryn. H. </w:t>
      </w:r>
    </w:p>
  </w:footnote>
  <w:footnote w:id="14">
    <w:p w14:paraId="48E2C417" w14:textId="610E7C84" w:rsidR="001C28CC" w:rsidRPr="001C28CC" w:rsidRDefault="001C28CC">
      <w:pPr>
        <w:pStyle w:val="FootnoteText"/>
        <w:rPr>
          <w:lang w:val="en-US"/>
        </w:rPr>
      </w:pPr>
      <w:r>
        <w:rPr>
          <w:rStyle w:val="FootnoteReference"/>
        </w:rPr>
        <w:footnoteRef/>
      </w:r>
      <w:r>
        <w:t xml:space="preserve"> </w:t>
      </w:r>
      <w:r>
        <w:rPr>
          <w:lang w:val="en-US"/>
        </w:rPr>
        <w:t xml:space="preserve">J. H. F. Dijkstra, </w:t>
      </w:r>
      <w:proofErr w:type="gramStart"/>
      <w:r>
        <w:rPr>
          <w:i/>
          <w:iCs/>
          <w:lang w:val="en-US"/>
        </w:rPr>
        <w:t>Philae</w:t>
      </w:r>
      <w:proofErr w:type="gramEnd"/>
      <w:r>
        <w:rPr>
          <w:i/>
          <w:iCs/>
          <w:lang w:val="en-US"/>
        </w:rPr>
        <w:t xml:space="preserve"> and the End of Ancient Egyptian Religion: A Regional Study of Religious Transformation. </w:t>
      </w:r>
      <w:r>
        <w:rPr>
          <w:lang w:val="en-US"/>
        </w:rPr>
        <w:t xml:space="preserve">Orientalia </w:t>
      </w:r>
      <w:proofErr w:type="spellStart"/>
      <w:r>
        <w:rPr>
          <w:lang w:val="en-US"/>
        </w:rPr>
        <w:t>Lovaniensia</w:t>
      </w:r>
      <w:proofErr w:type="spellEnd"/>
      <w:r>
        <w:rPr>
          <w:lang w:val="en-US"/>
        </w:rPr>
        <w:t xml:space="preserve"> Analecta 173. Leuven: </w:t>
      </w:r>
      <w:proofErr w:type="spellStart"/>
      <w:r>
        <w:rPr>
          <w:lang w:val="en-US"/>
        </w:rPr>
        <w:t>Uitgeverij</w:t>
      </w:r>
      <w:proofErr w:type="spellEnd"/>
      <w:r>
        <w:rPr>
          <w:lang w:val="en-US"/>
        </w:rPr>
        <w:t xml:space="preserve"> </w:t>
      </w:r>
      <w:proofErr w:type="spellStart"/>
      <w:r>
        <w:rPr>
          <w:lang w:val="en-US"/>
        </w:rPr>
        <w:t>Peeters</w:t>
      </w:r>
      <w:proofErr w:type="spellEnd"/>
      <w:r>
        <w:rPr>
          <w:lang w:val="en-US"/>
        </w:rPr>
        <w:t xml:space="preserve">. </w:t>
      </w:r>
    </w:p>
  </w:footnote>
  <w:footnote w:id="15">
    <w:p w14:paraId="717A4CB8" w14:textId="6683878A" w:rsidR="001C28CC" w:rsidRPr="00162B97" w:rsidRDefault="001C28CC">
      <w:pPr>
        <w:pStyle w:val="FootnoteText"/>
        <w:rPr>
          <w:lang w:val="en-US"/>
        </w:rPr>
      </w:pPr>
      <w:r>
        <w:rPr>
          <w:rStyle w:val="FootnoteReference"/>
        </w:rPr>
        <w:footnoteRef/>
      </w:r>
      <w:r>
        <w:t xml:space="preserve"> </w:t>
      </w:r>
      <w:r w:rsidR="00162B97">
        <w:rPr>
          <w:i/>
          <w:iCs/>
        </w:rPr>
        <w:t>Ibid</w:t>
      </w:r>
      <w:r w:rsidR="00162B97">
        <w:t xml:space="preserve"> ft.n 3; H. Satzinger, The ‘Barbarian’ Names on the Third-Century Ostraca from Xeron, in Inside and out. Interactions between Rome and the people on the Arabian and Egyptian frontiers, s.199-214. </w:t>
      </w:r>
    </w:p>
  </w:footnote>
  <w:footnote w:id="16">
    <w:p w14:paraId="703031F7" w14:textId="1A9B7F6E" w:rsidR="00C20E7B" w:rsidRPr="00C20E7B" w:rsidRDefault="00C20E7B">
      <w:pPr>
        <w:pStyle w:val="FootnoteText"/>
        <w:rPr>
          <w:lang w:val="en-US"/>
        </w:rPr>
      </w:pPr>
      <w:r>
        <w:rPr>
          <w:rStyle w:val="FootnoteReference"/>
        </w:rPr>
        <w:footnoteRef/>
      </w:r>
      <w:r>
        <w:t xml:space="preserve"> </w:t>
      </w:r>
      <w:r w:rsidR="00A72E4A">
        <w:rPr>
          <w:lang w:val="en-US"/>
        </w:rPr>
        <w:t xml:space="preserve">Dijkstra 2012, p. 245. </w:t>
      </w:r>
    </w:p>
  </w:footnote>
  <w:footnote w:id="17">
    <w:p w14:paraId="1078E09A" w14:textId="7F9B84A7" w:rsidR="00A72E4A" w:rsidRPr="00A72E4A" w:rsidRDefault="00A72E4A">
      <w:pPr>
        <w:pStyle w:val="FootnoteText"/>
        <w:rPr>
          <w:lang w:val="en-US"/>
        </w:rPr>
      </w:pPr>
      <w:r>
        <w:rPr>
          <w:rStyle w:val="FootnoteReference"/>
        </w:rPr>
        <w:footnoteRef/>
      </w:r>
      <w:r>
        <w:t xml:space="preserve"> </w:t>
      </w:r>
      <w:r>
        <w:rPr>
          <w:lang w:val="en-US"/>
        </w:rPr>
        <w:t xml:space="preserve">I. </w:t>
      </w:r>
      <w:proofErr w:type="spellStart"/>
      <w:r>
        <w:rPr>
          <w:lang w:val="en-US"/>
        </w:rPr>
        <w:t>Kanais</w:t>
      </w:r>
      <w:proofErr w:type="spellEnd"/>
      <w:r>
        <w:rPr>
          <w:lang w:val="en-US"/>
        </w:rPr>
        <w:t xml:space="preserve"> 3, 8, 13, 18, 43, 47, 62, 82, 90, Young 2001, 71-2; Pierce 2012, p. 229. </w:t>
      </w:r>
    </w:p>
  </w:footnote>
  <w:footnote w:id="18">
    <w:p w14:paraId="1B17C743" w14:textId="246FACE5" w:rsidR="00A72E4A" w:rsidRPr="00A72E4A" w:rsidRDefault="00A72E4A">
      <w:pPr>
        <w:pStyle w:val="FootnoteText"/>
        <w:rPr>
          <w:lang w:val="en-US"/>
        </w:rPr>
      </w:pPr>
      <w:r>
        <w:rPr>
          <w:rStyle w:val="FootnoteReference"/>
        </w:rPr>
        <w:footnoteRef/>
      </w:r>
      <w:r>
        <w:t xml:space="preserve"> </w:t>
      </w:r>
      <w:r>
        <w:rPr>
          <w:i/>
          <w:iCs/>
          <w:lang w:val="en-US"/>
        </w:rPr>
        <w:t>Ibid</w:t>
      </w:r>
      <w:r>
        <w:rPr>
          <w:lang w:val="en-US"/>
        </w:rPr>
        <w:t xml:space="preserve"> at </w:t>
      </w:r>
      <w:proofErr w:type="spellStart"/>
      <w:proofErr w:type="gramStart"/>
      <w:r>
        <w:rPr>
          <w:lang w:val="en-US"/>
        </w:rPr>
        <w:t>ft.n</w:t>
      </w:r>
      <w:proofErr w:type="spellEnd"/>
      <w:proofErr w:type="gramEnd"/>
      <w:r>
        <w:rPr>
          <w:lang w:val="en-US"/>
        </w:rPr>
        <w:t xml:space="preserve"> 65. </w:t>
      </w:r>
    </w:p>
  </w:footnote>
  <w:footnote w:id="19">
    <w:p w14:paraId="589F44BB" w14:textId="6C0BF7D3" w:rsidR="00A72E4A" w:rsidRPr="00A72E4A" w:rsidRDefault="00A72E4A">
      <w:pPr>
        <w:pStyle w:val="FootnoteText"/>
      </w:pPr>
      <w:r>
        <w:rPr>
          <w:rStyle w:val="FootnoteReference"/>
        </w:rPr>
        <w:footnoteRef/>
      </w:r>
      <w:r>
        <w:t xml:space="preserve"> </w:t>
      </w:r>
      <w:r>
        <w:t xml:space="preserve">Lessanyi 2012, p. 267. </w:t>
      </w:r>
    </w:p>
  </w:footnote>
  <w:footnote w:id="20">
    <w:p w14:paraId="0AC298E6" w14:textId="247064B2" w:rsidR="00A72E4A" w:rsidRPr="00A72E4A" w:rsidRDefault="00A72E4A">
      <w:pPr>
        <w:pStyle w:val="FootnoteText"/>
        <w:rPr>
          <w:lang w:val="en-US"/>
        </w:rPr>
      </w:pPr>
      <w:r>
        <w:rPr>
          <w:rStyle w:val="FootnoteReference"/>
        </w:rPr>
        <w:footnoteRef/>
      </w:r>
      <w:r>
        <w:t xml:space="preserve"> </w:t>
      </w:r>
      <w:proofErr w:type="spellStart"/>
      <w:r>
        <w:rPr>
          <w:lang w:val="en-US"/>
        </w:rPr>
        <w:t>Agatharkhides</w:t>
      </w:r>
      <w:proofErr w:type="spellEnd"/>
      <w:r>
        <w:rPr>
          <w:lang w:val="en-US"/>
        </w:rPr>
        <w:t xml:space="preserve"> Fragments 62-64. </w:t>
      </w:r>
    </w:p>
  </w:footnote>
  <w:footnote w:id="21">
    <w:p w14:paraId="06199391" w14:textId="78E9CF5F" w:rsidR="00A72E4A" w:rsidRPr="00A72E4A" w:rsidRDefault="00A72E4A">
      <w:pPr>
        <w:pStyle w:val="FootnoteText"/>
        <w:rPr>
          <w:lang w:val="en-US"/>
        </w:rPr>
      </w:pPr>
      <w:r>
        <w:rPr>
          <w:rStyle w:val="FootnoteReference"/>
        </w:rPr>
        <w:footnoteRef/>
      </w:r>
      <w:r>
        <w:t xml:space="preserve"> </w:t>
      </w:r>
      <w:r>
        <w:rPr>
          <w:i/>
          <w:iCs/>
          <w:lang w:val="en-US"/>
        </w:rPr>
        <w:t>Ibid</w:t>
      </w:r>
      <w:r>
        <w:rPr>
          <w:lang w:val="en-US"/>
        </w:rPr>
        <w:t xml:space="preserve">. </w:t>
      </w:r>
    </w:p>
  </w:footnote>
  <w:footnote w:id="22">
    <w:p w14:paraId="7A1716C8" w14:textId="2720FA8F" w:rsidR="00A72E4A" w:rsidRPr="00A72E4A" w:rsidRDefault="00A72E4A">
      <w:pPr>
        <w:pStyle w:val="FootnoteText"/>
        <w:rPr>
          <w:lang w:val="en-US"/>
        </w:rPr>
      </w:pPr>
      <w:r>
        <w:rPr>
          <w:rStyle w:val="FootnoteReference"/>
        </w:rPr>
        <w:footnoteRef/>
      </w:r>
      <w:r>
        <w:t xml:space="preserve"> </w:t>
      </w:r>
      <w:r>
        <w:rPr>
          <w:i/>
          <w:iCs/>
          <w:lang w:val="en-US"/>
        </w:rPr>
        <w:t>Ibid</w:t>
      </w:r>
      <w:r>
        <w:rPr>
          <w:lang w:val="en-US"/>
        </w:rPr>
        <w:t xml:space="preserve">. </w:t>
      </w:r>
    </w:p>
  </w:footnote>
  <w:footnote w:id="23">
    <w:p w14:paraId="25AB904C" w14:textId="2CE5A85B" w:rsidR="009D53BF" w:rsidRPr="009D53BF" w:rsidRDefault="009D53BF">
      <w:pPr>
        <w:pStyle w:val="FootnoteText"/>
        <w:rPr>
          <w:lang w:val="en-US"/>
        </w:rPr>
      </w:pPr>
      <w:r>
        <w:rPr>
          <w:rStyle w:val="FootnoteReference"/>
        </w:rPr>
        <w:footnoteRef/>
      </w:r>
      <w:r>
        <w:t xml:space="preserve"> </w:t>
      </w:r>
      <w:r>
        <w:rPr>
          <w:lang w:val="en-US"/>
        </w:rPr>
        <w:t xml:space="preserve">O. </w:t>
      </w:r>
      <w:proofErr w:type="spellStart"/>
      <w:r>
        <w:rPr>
          <w:i/>
          <w:iCs/>
          <w:lang w:val="en-US"/>
        </w:rPr>
        <w:t>Myos</w:t>
      </w:r>
      <w:proofErr w:type="spellEnd"/>
      <w:r>
        <w:rPr>
          <w:lang w:val="en-US"/>
        </w:rPr>
        <w:t xml:space="preserve"> 512. </w:t>
      </w:r>
    </w:p>
  </w:footnote>
  <w:footnote w:id="24">
    <w:p w14:paraId="01001075" w14:textId="1C3CB911" w:rsidR="00162B97" w:rsidRPr="00162B97" w:rsidRDefault="00162B97">
      <w:pPr>
        <w:pStyle w:val="FootnoteText"/>
        <w:rPr>
          <w:lang w:val="en-US"/>
        </w:rPr>
      </w:pPr>
      <w:r>
        <w:rPr>
          <w:rStyle w:val="FootnoteReference"/>
        </w:rPr>
        <w:footnoteRef/>
      </w:r>
      <w:r>
        <w:t xml:space="preserve"> </w:t>
      </w:r>
      <w:r>
        <w:t xml:space="preserve">Agatharchides </w:t>
      </w:r>
      <w:r>
        <w:rPr>
          <w:i/>
          <w:iCs/>
        </w:rPr>
        <w:t xml:space="preserve">On the Erythyraean Sea: </w:t>
      </w:r>
      <w:r>
        <w:t>5.31-3, 46; Strabo</w:t>
      </w:r>
      <w:r>
        <w:rPr>
          <w:i/>
          <w:iCs/>
        </w:rPr>
        <w:t xml:space="preserve"> Geography</w:t>
      </w:r>
      <w:r>
        <w:t xml:space="preserve">: 16.4.13. </w:t>
      </w:r>
    </w:p>
  </w:footnote>
  <w:footnote w:id="25">
    <w:p w14:paraId="62A96080" w14:textId="52DA989E" w:rsidR="00BD2FBA" w:rsidRPr="00C03DE3" w:rsidRDefault="00BD2FBA">
      <w:pPr>
        <w:pStyle w:val="FootnoteText"/>
      </w:pPr>
      <w:r>
        <w:rPr>
          <w:rStyle w:val="FootnoteReference"/>
        </w:rPr>
        <w:footnoteRef/>
      </w:r>
      <w:r>
        <w:t xml:space="preserve"> </w:t>
      </w:r>
      <w:r>
        <w:rPr>
          <w:i/>
          <w:iCs/>
        </w:rPr>
        <w:t xml:space="preserve">O.Max </w:t>
      </w:r>
      <w:r>
        <w:t xml:space="preserve">175, </w:t>
      </w:r>
      <w:r w:rsidR="00C03DE3">
        <w:rPr>
          <w:i/>
          <w:iCs/>
        </w:rPr>
        <w:t xml:space="preserve">O.Myos </w:t>
      </w:r>
      <w:r w:rsidR="00C03DE3">
        <w:t xml:space="preserve">512. </w:t>
      </w:r>
    </w:p>
  </w:footnote>
  <w:footnote w:id="26">
    <w:p w14:paraId="52E6A6D9" w14:textId="67794E5B" w:rsidR="00AC30BB" w:rsidRPr="00AC30BB" w:rsidRDefault="00AC30BB">
      <w:pPr>
        <w:pStyle w:val="FootnoteText"/>
        <w:rPr>
          <w:lang w:val="en-US"/>
        </w:rPr>
      </w:pPr>
      <w:r>
        <w:rPr>
          <w:rStyle w:val="FootnoteReference"/>
        </w:rPr>
        <w:footnoteRef/>
      </w:r>
      <w:r>
        <w:t xml:space="preserve"> </w:t>
      </w:r>
      <w:r>
        <w:t>Plumley, Journal of Egyptian Archaeology, 61, 1975, Kathryn. H.</w:t>
      </w:r>
    </w:p>
  </w:footnote>
  <w:footnote w:id="27">
    <w:p w14:paraId="7DACEF8B" w14:textId="4EC344C6" w:rsidR="00BF69C2" w:rsidRPr="00BF69C2" w:rsidRDefault="00BF69C2">
      <w:pPr>
        <w:pStyle w:val="FootnoteText"/>
      </w:pPr>
      <w:r>
        <w:rPr>
          <w:rStyle w:val="FootnoteReference"/>
        </w:rPr>
        <w:footnoteRef/>
      </w:r>
      <w:r>
        <w:t xml:space="preserve"> </w:t>
      </w:r>
      <w:r>
        <w:rPr>
          <w:lang w:val="en-US"/>
        </w:rPr>
        <w:t xml:space="preserve">R. I. Thomas, Maritime Cultures of the </w:t>
      </w:r>
      <w:proofErr w:type="spellStart"/>
      <w:r>
        <w:rPr>
          <w:lang w:val="en-US"/>
        </w:rPr>
        <w:t>Erythraean</w:t>
      </w:r>
      <w:proofErr w:type="spellEnd"/>
      <w:r>
        <w:rPr>
          <w:lang w:val="en-US"/>
        </w:rPr>
        <w:t xml:space="preserve"> Sea, 2009, University of Southampton, p. 219.</w:t>
      </w:r>
      <w:r>
        <w:rPr>
          <w:lang w:val="en-US"/>
        </w:rPr>
        <w:t xml:space="preserve"> However, it was likely that this was not a deliberate lie. The historians in Rome interpreted the world around them and if they considered something </w:t>
      </w:r>
      <w:proofErr w:type="gramStart"/>
      <w:r>
        <w:rPr>
          <w:lang w:val="en-US"/>
        </w:rPr>
        <w:t>exotic</w:t>
      </w:r>
      <w:proofErr w:type="gramEnd"/>
      <w:r>
        <w:rPr>
          <w:lang w:val="en-US"/>
        </w:rPr>
        <w:t xml:space="preserve"> they would </w:t>
      </w:r>
      <w:proofErr w:type="spellStart"/>
      <w:r>
        <w:rPr>
          <w:lang w:val="en-US"/>
        </w:rPr>
        <w:t>depit</w:t>
      </w:r>
      <w:proofErr w:type="spellEnd"/>
      <w:r>
        <w:rPr>
          <w:lang w:val="en-US"/>
        </w:rPr>
        <w:t xml:space="preserve"> it as so, and exotic traits to them were associated as being uncivilized or barbaric. </w:t>
      </w:r>
    </w:p>
  </w:footnote>
  <w:footnote w:id="28">
    <w:p w14:paraId="6E549858" w14:textId="431334FE" w:rsidR="00B54E9C" w:rsidRPr="00B54E9C" w:rsidRDefault="00B54E9C">
      <w:pPr>
        <w:pStyle w:val="FootnoteText"/>
        <w:rPr>
          <w:lang w:val="en-US"/>
        </w:rPr>
      </w:pPr>
      <w:r>
        <w:rPr>
          <w:rStyle w:val="FootnoteReference"/>
        </w:rPr>
        <w:footnoteRef/>
      </w:r>
      <w:r>
        <w:t xml:space="preserve"> </w:t>
      </w:r>
      <w:r>
        <w:rPr>
          <w:lang w:val="en-US"/>
        </w:rPr>
        <w:t xml:space="preserve">R. I. Thomas, Maritime Cultures of the </w:t>
      </w:r>
      <w:proofErr w:type="spellStart"/>
      <w:r>
        <w:rPr>
          <w:lang w:val="en-US"/>
        </w:rPr>
        <w:t>Erythraean</w:t>
      </w:r>
      <w:proofErr w:type="spellEnd"/>
      <w:r>
        <w:rPr>
          <w:lang w:val="en-US"/>
        </w:rPr>
        <w:t xml:space="preserve"> Sea, 2009, University of Southampton, p. 219. </w:t>
      </w:r>
    </w:p>
  </w:footnote>
  <w:footnote w:id="29">
    <w:p w14:paraId="3060AB4B" w14:textId="5F8C622B" w:rsidR="0097190A" w:rsidRPr="0097190A" w:rsidRDefault="0097190A">
      <w:pPr>
        <w:pStyle w:val="FootnoteText"/>
        <w:rPr>
          <w:lang w:val="en-US"/>
        </w:rPr>
      </w:pPr>
      <w:r>
        <w:rPr>
          <w:rStyle w:val="FootnoteReference"/>
        </w:rPr>
        <w:footnoteRef/>
      </w:r>
      <w:r>
        <w:t xml:space="preserve"> </w:t>
      </w:r>
      <w:r>
        <w:rPr>
          <w:lang w:val="en-US"/>
        </w:rPr>
        <w:t xml:space="preserve">Gardener 1994: 476-7. </w:t>
      </w:r>
    </w:p>
  </w:footnote>
  <w:footnote w:id="30">
    <w:p w14:paraId="181A576B" w14:textId="6BCE10F0" w:rsidR="0097190A" w:rsidRPr="0097190A" w:rsidRDefault="0097190A">
      <w:pPr>
        <w:pStyle w:val="FootnoteText"/>
        <w:rPr>
          <w:i/>
          <w:iCs/>
          <w:lang w:val="en-US"/>
        </w:rPr>
      </w:pPr>
      <w:r>
        <w:rPr>
          <w:rStyle w:val="FootnoteReference"/>
        </w:rPr>
        <w:footnoteRef/>
      </w:r>
      <w:r>
        <w:t xml:space="preserve"> </w:t>
      </w:r>
      <w:r>
        <w:rPr>
          <w:i/>
          <w:iCs/>
          <w:lang w:val="en-US"/>
        </w:rPr>
        <w:t xml:space="preserve">(FHN). </w:t>
      </w:r>
    </w:p>
  </w:footnote>
  <w:footnote w:id="31">
    <w:p w14:paraId="66FDA2A5" w14:textId="3E7A3AF5" w:rsidR="00BF69C2" w:rsidRPr="00BF69C2" w:rsidRDefault="00BF69C2">
      <w:pPr>
        <w:pStyle w:val="FootnoteText"/>
        <w:rPr>
          <w:lang w:val="en-US"/>
        </w:rPr>
      </w:pPr>
      <w:r>
        <w:rPr>
          <w:rStyle w:val="FootnoteReference"/>
        </w:rPr>
        <w:footnoteRef/>
      </w:r>
      <w:r>
        <w:t xml:space="preserve"> </w:t>
      </w:r>
      <w:r>
        <w:rPr>
          <w:i/>
          <w:iCs/>
          <w:lang w:val="en-US"/>
        </w:rPr>
        <w:t>Ibid</w:t>
      </w:r>
      <w:r>
        <w:rPr>
          <w:lang w:val="en-US"/>
        </w:rPr>
        <w:t xml:space="preserve">, p. 222. </w:t>
      </w:r>
    </w:p>
  </w:footnote>
  <w:footnote w:id="32">
    <w:p w14:paraId="68C81CB3" w14:textId="72C54415" w:rsidR="00C35821" w:rsidRPr="00C35821" w:rsidRDefault="00C35821">
      <w:pPr>
        <w:pStyle w:val="FootnoteText"/>
        <w:rPr>
          <w:lang w:val="en-US"/>
        </w:rPr>
      </w:pPr>
      <w:r>
        <w:rPr>
          <w:rStyle w:val="FootnoteReference"/>
        </w:rPr>
        <w:footnoteRef/>
      </w:r>
      <w:r>
        <w:t xml:space="preserve"> </w:t>
      </w:r>
      <w:r>
        <w:rPr>
          <w:i/>
          <w:iCs/>
          <w:lang w:val="en-US"/>
        </w:rPr>
        <w:t>Ibid</w:t>
      </w:r>
      <w:r>
        <w:rPr>
          <w:lang w:val="en-US"/>
        </w:rPr>
        <w:t xml:space="preserve">. </w:t>
      </w:r>
    </w:p>
  </w:footnote>
  <w:footnote w:id="33">
    <w:p w14:paraId="5CDC69C2" w14:textId="0993184A" w:rsidR="00AC30BB" w:rsidRPr="00AC30BB" w:rsidRDefault="00AC30BB">
      <w:pPr>
        <w:pStyle w:val="FootnoteText"/>
        <w:rPr>
          <w:lang w:val="en-US"/>
        </w:rPr>
      </w:pPr>
      <w:r>
        <w:rPr>
          <w:rStyle w:val="FootnoteReference"/>
        </w:rPr>
        <w:footnoteRef/>
      </w:r>
      <w:r>
        <w:t xml:space="preserve"> </w:t>
      </w:r>
      <w:proofErr w:type="spellStart"/>
      <w:r>
        <w:rPr>
          <w:lang w:val="en-US"/>
        </w:rPr>
        <w:t>Satzinger</w:t>
      </w:r>
      <w:proofErr w:type="spellEnd"/>
      <w:r>
        <w:rPr>
          <w:lang w:val="en-US"/>
        </w:rPr>
        <w:t xml:space="preserve">, 2014, 199-214. </w:t>
      </w:r>
    </w:p>
  </w:footnote>
  <w:footnote w:id="34">
    <w:p w14:paraId="3AA21C8A" w14:textId="38ACC941" w:rsidR="0046085D" w:rsidRPr="0046085D" w:rsidRDefault="0046085D">
      <w:pPr>
        <w:pStyle w:val="FootnoteText"/>
        <w:rPr>
          <w:lang w:val="en-US"/>
        </w:rPr>
      </w:pPr>
      <w:r>
        <w:rPr>
          <w:rStyle w:val="FootnoteReference"/>
        </w:rPr>
        <w:footnoteRef/>
      </w:r>
      <w:r>
        <w:t xml:space="preserve"> </w:t>
      </w:r>
      <w:r>
        <w:rPr>
          <w:lang w:val="en-US"/>
        </w:rPr>
        <w:t xml:space="preserve">O. </w:t>
      </w:r>
      <w:proofErr w:type="spellStart"/>
      <w:r>
        <w:rPr>
          <w:lang w:val="en-US"/>
        </w:rPr>
        <w:t>Krok</w:t>
      </w:r>
      <w:proofErr w:type="spellEnd"/>
      <w:r>
        <w:rPr>
          <w:lang w:val="en-US"/>
        </w:rPr>
        <w:t xml:space="preserve">. 6; K693, column III lines 33-46- </w:t>
      </w:r>
      <w:proofErr w:type="spellStart"/>
      <w:r>
        <w:rPr>
          <w:lang w:val="en-US"/>
        </w:rPr>
        <w:t>Cuvigny</w:t>
      </w:r>
      <w:proofErr w:type="spellEnd"/>
      <w:r>
        <w:rPr>
          <w:lang w:val="en-US"/>
        </w:rPr>
        <w:t xml:space="preserve">, 2005, p. 94. </w:t>
      </w:r>
    </w:p>
  </w:footnote>
  <w:footnote w:id="35">
    <w:p w14:paraId="419B63D0" w14:textId="5A89D598" w:rsidR="000E00F7" w:rsidRPr="000E00F7" w:rsidRDefault="000E00F7">
      <w:pPr>
        <w:pStyle w:val="FootnoteText"/>
        <w:rPr>
          <w:lang w:val="en-US"/>
        </w:rPr>
      </w:pPr>
      <w:r>
        <w:rPr>
          <w:rStyle w:val="FootnoteReference"/>
        </w:rPr>
        <w:footnoteRef/>
      </w:r>
      <w:r>
        <w:t xml:space="preserve"> </w:t>
      </w:r>
      <w:proofErr w:type="spellStart"/>
      <w:r>
        <w:rPr>
          <w:lang w:val="en-US"/>
        </w:rPr>
        <w:t>Cuvigny</w:t>
      </w:r>
      <w:proofErr w:type="spellEnd"/>
      <w:r>
        <w:rPr>
          <w:lang w:val="en-US"/>
        </w:rPr>
        <w:t xml:space="preserve">, 2003. </w:t>
      </w:r>
    </w:p>
  </w:footnote>
  <w:footnote w:id="36">
    <w:p w14:paraId="1F8F04E8" w14:textId="63C30B20" w:rsidR="00C10170" w:rsidRPr="00C10170" w:rsidRDefault="00C10170">
      <w:pPr>
        <w:pStyle w:val="FootnoteText"/>
      </w:pPr>
      <w:r>
        <w:rPr>
          <w:rStyle w:val="FootnoteReference"/>
        </w:rPr>
        <w:footnoteRef/>
      </w:r>
      <w:r>
        <w:t xml:space="preserve"> </w:t>
      </w:r>
      <w:r>
        <w:t xml:space="preserve">Periplus. 4. </w:t>
      </w:r>
    </w:p>
  </w:footnote>
  <w:footnote w:id="37">
    <w:p w14:paraId="45952B3A" w14:textId="5CCF0D05" w:rsidR="00383EB7" w:rsidRPr="00383EB7" w:rsidRDefault="00383EB7">
      <w:pPr>
        <w:pStyle w:val="FootnoteText"/>
      </w:pPr>
      <w:r>
        <w:rPr>
          <w:rStyle w:val="FootnoteReference"/>
        </w:rPr>
        <w:footnoteRef/>
      </w:r>
      <w:r>
        <w:t xml:space="preserve"> </w:t>
      </w:r>
      <w:r>
        <w:t xml:space="preserve">I.Pan. 87; Cuvigny 2006c, 348-9. </w:t>
      </w:r>
    </w:p>
  </w:footnote>
  <w:footnote w:id="38">
    <w:p w14:paraId="4AEA01AB" w14:textId="2650640E" w:rsidR="00383EB7" w:rsidRPr="00383EB7" w:rsidRDefault="00383EB7">
      <w:pPr>
        <w:pStyle w:val="FootnoteText"/>
      </w:pPr>
      <w:r>
        <w:rPr>
          <w:rStyle w:val="FootnoteReference"/>
        </w:rPr>
        <w:footnoteRef/>
      </w:r>
      <w:r>
        <w:t xml:space="preserve"> </w:t>
      </w:r>
      <w:r>
        <w:rPr>
          <w:i/>
          <w:iCs/>
        </w:rPr>
        <w:t xml:space="preserve">Ibid. </w:t>
      </w:r>
    </w:p>
  </w:footnote>
  <w:footnote w:id="39">
    <w:p w14:paraId="4348EB2B" w14:textId="4633C151" w:rsidR="000E00F7" w:rsidRPr="000E00F7" w:rsidRDefault="000E00F7">
      <w:pPr>
        <w:pStyle w:val="FootnoteText"/>
        <w:rPr>
          <w:lang w:val="en-US"/>
        </w:rPr>
      </w:pPr>
      <w:r>
        <w:rPr>
          <w:rStyle w:val="FootnoteReference"/>
        </w:rPr>
        <w:footnoteRef/>
      </w:r>
      <w:r>
        <w:t xml:space="preserve"> </w:t>
      </w:r>
      <w:proofErr w:type="spellStart"/>
      <w:r>
        <w:rPr>
          <w:lang w:val="en-US"/>
        </w:rPr>
        <w:t>Cuvigny</w:t>
      </w:r>
      <w:proofErr w:type="spellEnd"/>
      <w:r>
        <w:rPr>
          <w:lang w:val="en-US"/>
        </w:rPr>
        <w:t xml:space="preserve">, Bulow-Jacobsen and </w:t>
      </w:r>
      <w:proofErr w:type="spellStart"/>
      <w:r>
        <w:rPr>
          <w:lang w:val="en-US"/>
        </w:rPr>
        <w:t>Fournet</w:t>
      </w:r>
      <w:proofErr w:type="spellEnd"/>
      <w:r>
        <w:rPr>
          <w:lang w:val="en-US"/>
        </w:rPr>
        <w:t xml:space="preserve">, in Mathieu 2000, p. 509-510. </w:t>
      </w:r>
    </w:p>
  </w:footnote>
  <w:footnote w:id="40">
    <w:p w14:paraId="2E9750A6" w14:textId="541EC8CA" w:rsidR="00383EB7" w:rsidRPr="00383EB7" w:rsidRDefault="00383EB7">
      <w:pPr>
        <w:pStyle w:val="FootnoteText"/>
        <w:rPr>
          <w:lang w:val="en-US"/>
        </w:rPr>
      </w:pPr>
      <w:r>
        <w:rPr>
          <w:rStyle w:val="FootnoteReference"/>
        </w:rPr>
        <w:footnoteRef/>
      </w:r>
      <w:r>
        <w:t xml:space="preserve"> </w:t>
      </w:r>
      <w:r>
        <w:rPr>
          <w:lang w:val="en-US"/>
        </w:rPr>
        <w:t xml:space="preserve">Zitterkopf and </w:t>
      </w:r>
      <w:proofErr w:type="spellStart"/>
      <w:r>
        <w:rPr>
          <w:lang w:val="en-US"/>
        </w:rPr>
        <w:t>Sidebotham</w:t>
      </w:r>
      <w:proofErr w:type="spellEnd"/>
      <w:r>
        <w:rPr>
          <w:lang w:val="en-US"/>
        </w:rPr>
        <w:t xml:space="preserve"> 1989; 166-7; </w:t>
      </w:r>
      <w:proofErr w:type="spellStart"/>
      <w:r>
        <w:rPr>
          <w:lang w:val="en-US"/>
        </w:rPr>
        <w:t>Redde</w:t>
      </w:r>
      <w:proofErr w:type="spellEnd"/>
      <w:r>
        <w:rPr>
          <w:lang w:val="en-US"/>
        </w:rPr>
        <w:t xml:space="preserve"> and Brun 2006, 73-185. </w:t>
      </w:r>
    </w:p>
  </w:footnote>
  <w:footnote w:id="41">
    <w:p w14:paraId="67D3D016" w14:textId="04175AD3" w:rsidR="00BF69C2" w:rsidRPr="00BF69C2" w:rsidRDefault="00BF69C2">
      <w:pPr>
        <w:pStyle w:val="FootnoteText"/>
        <w:rPr>
          <w:lang w:val="en-US"/>
        </w:rPr>
      </w:pPr>
      <w:r>
        <w:rPr>
          <w:rStyle w:val="FootnoteReference"/>
        </w:rPr>
        <w:footnoteRef/>
      </w:r>
      <w:r>
        <w:t xml:space="preserve"> </w:t>
      </w:r>
      <w:proofErr w:type="spellStart"/>
      <w:r w:rsidR="006C15F8">
        <w:rPr>
          <w:lang w:val="en-US"/>
        </w:rPr>
        <w:t>Sidebotham</w:t>
      </w:r>
      <w:proofErr w:type="spellEnd"/>
      <w:r w:rsidR="006C15F8">
        <w:rPr>
          <w:lang w:val="en-US"/>
        </w:rPr>
        <w:t xml:space="preserve"> 2011, p. 154. </w:t>
      </w:r>
    </w:p>
  </w:footnote>
  <w:footnote w:id="42">
    <w:p w14:paraId="385D78DB" w14:textId="33E4EECF" w:rsidR="008A11E8" w:rsidRPr="008A11E8" w:rsidRDefault="008A11E8">
      <w:pPr>
        <w:pStyle w:val="FootnoteText"/>
        <w:rPr>
          <w:lang w:val="en-US"/>
        </w:rPr>
      </w:pPr>
      <w:r>
        <w:rPr>
          <w:rStyle w:val="FootnoteReference"/>
        </w:rPr>
        <w:footnoteRef/>
      </w:r>
      <w:r>
        <w:t xml:space="preserve"> </w:t>
      </w:r>
      <w:r>
        <w:rPr>
          <w:lang w:val="en-US"/>
        </w:rPr>
        <w:t xml:space="preserve">Bagnall, Bulow-Jacobsen and </w:t>
      </w:r>
      <w:proofErr w:type="spellStart"/>
      <w:r>
        <w:rPr>
          <w:lang w:val="en-US"/>
        </w:rPr>
        <w:t>Cuvigny</w:t>
      </w:r>
      <w:proofErr w:type="spellEnd"/>
      <w:r>
        <w:rPr>
          <w:lang w:val="en-US"/>
        </w:rPr>
        <w:t xml:space="preserve"> 2001, 325-8; </w:t>
      </w:r>
      <w:proofErr w:type="spellStart"/>
      <w:r>
        <w:rPr>
          <w:lang w:val="en-US"/>
        </w:rPr>
        <w:t>Cuvigny</w:t>
      </w:r>
      <w:proofErr w:type="spellEnd"/>
      <w:r>
        <w:rPr>
          <w:lang w:val="en-US"/>
        </w:rPr>
        <w:t xml:space="preserve"> 2006c, 356. </w:t>
      </w:r>
    </w:p>
  </w:footnote>
  <w:footnote w:id="43">
    <w:p w14:paraId="7FE3B94C" w14:textId="2114A037" w:rsidR="000746EA" w:rsidRPr="000746EA" w:rsidRDefault="000746EA">
      <w:pPr>
        <w:pStyle w:val="FootnoteText"/>
        <w:rPr>
          <w:lang w:val="en-US"/>
        </w:rPr>
      </w:pPr>
      <w:r>
        <w:rPr>
          <w:rStyle w:val="FootnoteReference"/>
        </w:rPr>
        <w:footnoteRef/>
      </w:r>
      <w:r>
        <w:t xml:space="preserve"> </w:t>
      </w:r>
      <w:r>
        <w:rPr>
          <w:lang w:val="en-US"/>
        </w:rPr>
        <w:t xml:space="preserve">O. Did. 27. </w:t>
      </w:r>
    </w:p>
  </w:footnote>
  <w:footnote w:id="44">
    <w:p w14:paraId="257D5161" w14:textId="5A573667" w:rsidR="000746EA" w:rsidRPr="000746EA" w:rsidRDefault="000746EA">
      <w:pPr>
        <w:pStyle w:val="FootnoteText"/>
        <w:rPr>
          <w:lang w:val="en-US"/>
        </w:rPr>
      </w:pPr>
      <w:r>
        <w:rPr>
          <w:rStyle w:val="FootnoteReference"/>
        </w:rPr>
        <w:footnoteRef/>
      </w:r>
      <w:r>
        <w:t xml:space="preserve"> </w:t>
      </w:r>
      <w:r>
        <w:rPr>
          <w:lang w:val="en-US"/>
        </w:rPr>
        <w:t xml:space="preserve">Pliny </w:t>
      </w:r>
      <w:r>
        <w:rPr>
          <w:i/>
          <w:iCs/>
          <w:lang w:val="en-US"/>
        </w:rPr>
        <w:t>Natural History</w:t>
      </w:r>
      <w:r>
        <w:rPr>
          <w:lang w:val="en-US"/>
        </w:rPr>
        <w:t xml:space="preserve">, 6.26.103. </w:t>
      </w:r>
    </w:p>
  </w:footnote>
  <w:footnote w:id="45">
    <w:p w14:paraId="436516D2" w14:textId="33369B81" w:rsidR="000746EA" w:rsidRPr="000746EA" w:rsidRDefault="000746EA">
      <w:pPr>
        <w:pStyle w:val="FootnoteText"/>
      </w:pPr>
      <w:r>
        <w:rPr>
          <w:rStyle w:val="FootnoteReference"/>
        </w:rPr>
        <w:footnoteRef/>
      </w:r>
      <w:r>
        <w:t xml:space="preserve"> </w:t>
      </w:r>
      <w:r>
        <w:t xml:space="preserve">Brun 2011, 115-23. </w:t>
      </w:r>
    </w:p>
  </w:footnote>
  <w:footnote w:id="46">
    <w:p w14:paraId="662C68E2" w14:textId="34E582A1" w:rsidR="000746EA" w:rsidRPr="000746EA" w:rsidRDefault="000746EA">
      <w:pPr>
        <w:pStyle w:val="FootnoteText"/>
        <w:rPr>
          <w:lang w:val="en-US"/>
        </w:rPr>
      </w:pPr>
      <w:r>
        <w:rPr>
          <w:rStyle w:val="FootnoteReference"/>
        </w:rPr>
        <w:footnoteRef/>
      </w:r>
      <w:r>
        <w:t xml:space="preserve"> </w:t>
      </w:r>
      <w:r>
        <w:rPr>
          <w:i/>
          <w:iCs/>
          <w:lang w:val="en-US"/>
        </w:rPr>
        <w:t>Ibid</w:t>
      </w:r>
      <w:r>
        <w:rPr>
          <w:lang w:val="en-US"/>
        </w:rPr>
        <w:t xml:space="preserve">, </w:t>
      </w:r>
      <w:proofErr w:type="spellStart"/>
      <w:proofErr w:type="gramStart"/>
      <w:r>
        <w:rPr>
          <w:lang w:val="en-US"/>
        </w:rPr>
        <w:t>ft.n</w:t>
      </w:r>
      <w:proofErr w:type="spellEnd"/>
      <w:proofErr w:type="gramEnd"/>
      <w:r>
        <w:rPr>
          <w:lang w:val="en-US"/>
        </w:rPr>
        <w:t xml:space="preserve"> 32. </w:t>
      </w:r>
    </w:p>
  </w:footnote>
  <w:footnote w:id="47">
    <w:p w14:paraId="58C15B3D" w14:textId="29F75AD4" w:rsidR="00F530C8" w:rsidRPr="00F530C8" w:rsidRDefault="00F530C8">
      <w:pPr>
        <w:pStyle w:val="FootnoteText"/>
        <w:rPr>
          <w:lang w:val="en-US"/>
        </w:rPr>
      </w:pPr>
      <w:r>
        <w:rPr>
          <w:rStyle w:val="FootnoteReference"/>
        </w:rPr>
        <w:footnoteRef/>
      </w:r>
      <w:r>
        <w:t xml:space="preserve"> </w:t>
      </w:r>
      <w:r>
        <w:rPr>
          <w:lang w:val="en-US"/>
        </w:rPr>
        <w:t xml:space="preserve">(O Claud. 77 and 81). </w:t>
      </w:r>
      <w:r w:rsidR="00E508EE">
        <w:rPr>
          <w:lang w:val="en-US"/>
        </w:rPr>
        <w:t xml:space="preserve">Bulow-Jacobsen 2003. </w:t>
      </w:r>
    </w:p>
  </w:footnote>
  <w:footnote w:id="48">
    <w:p w14:paraId="4B9F2B5C" w14:textId="1F7E0FE6" w:rsidR="00E508EE" w:rsidRPr="00E508EE" w:rsidRDefault="00E508EE">
      <w:pPr>
        <w:pStyle w:val="FootnoteText"/>
      </w:pPr>
      <w:r>
        <w:rPr>
          <w:rStyle w:val="FootnoteReference"/>
        </w:rPr>
        <w:footnoteRef/>
      </w:r>
      <w:r>
        <w:t xml:space="preserve"> </w:t>
      </w:r>
      <w:r>
        <w:t xml:space="preserve">ILS 2483 = CIL III 6627; for discussion of this inscription see Kennedy 1985; 156-7; Young 2001, 44; Alston 1995, 30; Syme 1995, 249; Bagnall, Bulow-Jacobsen and Cuvigny 2001, 330; Cuvigny 2011b, 5. </w:t>
      </w:r>
    </w:p>
  </w:footnote>
  <w:footnote w:id="49">
    <w:p w14:paraId="3B5215E6" w14:textId="0EA0BC37" w:rsidR="00E508EE" w:rsidRPr="00E508EE" w:rsidRDefault="00E508EE">
      <w:pPr>
        <w:pStyle w:val="FootnoteText"/>
      </w:pPr>
      <w:r>
        <w:rPr>
          <w:rStyle w:val="FootnoteReference"/>
        </w:rPr>
        <w:footnoteRef/>
      </w:r>
      <w:r>
        <w:t xml:space="preserve"> </w:t>
      </w:r>
      <w:r>
        <w:t xml:space="preserve">Kennedy 1985, 157. </w:t>
      </w:r>
    </w:p>
  </w:footnote>
  <w:footnote w:id="50">
    <w:p w14:paraId="62AA65A7" w14:textId="73B32D3E" w:rsidR="00102E3C" w:rsidRPr="00102E3C" w:rsidRDefault="00102E3C">
      <w:pPr>
        <w:pStyle w:val="FootnoteText"/>
        <w:rPr>
          <w:lang w:val="en-US"/>
        </w:rPr>
      </w:pPr>
      <w:r>
        <w:rPr>
          <w:rStyle w:val="FootnoteReference"/>
        </w:rPr>
        <w:footnoteRef/>
      </w:r>
      <w:r>
        <w:t xml:space="preserve"> </w:t>
      </w:r>
      <w:r>
        <w:rPr>
          <w:i/>
          <w:iCs/>
          <w:lang w:val="en-US"/>
        </w:rPr>
        <w:t>Ibid</w:t>
      </w:r>
      <w:r>
        <w:rPr>
          <w:lang w:val="en-US"/>
        </w:rPr>
        <w:t xml:space="preserve">. </w:t>
      </w:r>
      <w:proofErr w:type="spellStart"/>
      <w:r>
        <w:rPr>
          <w:lang w:val="en-US"/>
        </w:rPr>
        <w:t>ftn</w:t>
      </w:r>
      <w:proofErr w:type="spellEnd"/>
      <w:r>
        <w:rPr>
          <w:lang w:val="en-US"/>
        </w:rPr>
        <w:t xml:space="preserve">. 41. </w:t>
      </w:r>
    </w:p>
  </w:footnote>
  <w:footnote w:id="51">
    <w:p w14:paraId="37FAC9AF" w14:textId="2412DA2F" w:rsidR="001C27BE" w:rsidRPr="001C27BE" w:rsidRDefault="001C27BE">
      <w:pPr>
        <w:pStyle w:val="FootnoteText"/>
      </w:pPr>
      <w:r>
        <w:rPr>
          <w:rStyle w:val="FootnoteReference"/>
        </w:rPr>
        <w:footnoteRef/>
      </w:r>
      <w:r>
        <w:t xml:space="preserve"> </w:t>
      </w:r>
      <w:r>
        <w:t xml:space="preserve">See the references of the period being peaceful as Egyptians and indigenous groups had been sudbued Strabo about Augustus’ conquest. </w:t>
      </w:r>
    </w:p>
  </w:footnote>
  <w:footnote w:id="52">
    <w:p w14:paraId="173B68F0" w14:textId="7B59CEE1" w:rsidR="00017F0F" w:rsidRPr="00017F0F" w:rsidRDefault="00017F0F">
      <w:pPr>
        <w:pStyle w:val="FootnoteText"/>
      </w:pPr>
      <w:r>
        <w:rPr>
          <w:rStyle w:val="FootnoteReference"/>
        </w:rPr>
        <w:footnoteRef/>
      </w:r>
      <w:r>
        <w:t xml:space="preserve"> </w:t>
      </w:r>
      <w:r>
        <w:rPr>
          <w:i/>
          <w:iCs/>
        </w:rPr>
        <w:t>Ibid</w:t>
      </w:r>
      <w:r>
        <w:t xml:space="preserve"> ft.n 3. </w:t>
      </w:r>
    </w:p>
  </w:footnote>
  <w:footnote w:id="53">
    <w:p w14:paraId="3F824F9D" w14:textId="754E3CE9" w:rsidR="00017F0F" w:rsidRPr="00017F0F" w:rsidRDefault="00017F0F">
      <w:pPr>
        <w:pStyle w:val="FootnoteText"/>
      </w:pPr>
      <w:r>
        <w:rPr>
          <w:rStyle w:val="FootnoteReference"/>
        </w:rPr>
        <w:footnoteRef/>
      </w:r>
      <w:r>
        <w:t xml:space="preserve"> </w:t>
      </w:r>
      <w:r>
        <w:rPr>
          <w:i/>
          <w:iCs/>
        </w:rPr>
        <w:t>Ibid</w:t>
      </w:r>
      <w:r>
        <w:t xml:space="preserve"> ft.n 37. </w:t>
      </w:r>
    </w:p>
  </w:footnote>
  <w:footnote w:id="54">
    <w:p w14:paraId="3915F410" w14:textId="65E887BC" w:rsidR="00017F0F" w:rsidRPr="00017F0F" w:rsidRDefault="00017F0F">
      <w:pPr>
        <w:pStyle w:val="FootnoteText"/>
      </w:pPr>
      <w:r>
        <w:rPr>
          <w:rStyle w:val="FootnoteReference"/>
        </w:rPr>
        <w:footnoteRef/>
      </w:r>
      <w:r>
        <w:t xml:space="preserve"> </w:t>
      </w:r>
      <w:r>
        <w:t xml:space="preserve">Pliny </w:t>
      </w:r>
      <w:r>
        <w:rPr>
          <w:i/>
          <w:iCs/>
        </w:rPr>
        <w:t>Natural History</w:t>
      </w:r>
      <w:r>
        <w:t xml:space="preserve">, 6.26. 102-3; Sidebotham 1986, 61; Sidebotham 2011, 158. </w:t>
      </w:r>
    </w:p>
  </w:footnote>
  <w:footnote w:id="55">
    <w:p w14:paraId="743067CC" w14:textId="4DC753E3" w:rsidR="00102E3C" w:rsidRPr="00102E3C" w:rsidRDefault="00102E3C">
      <w:pPr>
        <w:pStyle w:val="FootnoteText"/>
      </w:pPr>
      <w:r>
        <w:rPr>
          <w:rStyle w:val="FootnoteReference"/>
        </w:rPr>
        <w:footnoteRef/>
      </w:r>
      <w:r>
        <w:t xml:space="preserve"> </w:t>
      </w:r>
      <w:r>
        <w:t xml:space="preserve">Cites by Diadorus Siculus 3.32- Murray and Warmington 1967. </w:t>
      </w:r>
    </w:p>
  </w:footnote>
  <w:footnote w:id="56">
    <w:p w14:paraId="19B47229" w14:textId="3128E929" w:rsidR="00102E3C" w:rsidRPr="00102E3C" w:rsidRDefault="00102E3C">
      <w:pPr>
        <w:pStyle w:val="FootnoteText"/>
      </w:pPr>
      <w:r>
        <w:rPr>
          <w:rStyle w:val="FootnoteReference"/>
        </w:rPr>
        <w:footnoteRef/>
      </w:r>
      <w:r>
        <w:t xml:space="preserve"> </w:t>
      </w:r>
      <w:r>
        <w:rPr>
          <w:i/>
          <w:iCs/>
        </w:rPr>
        <w:t>Ibid</w:t>
      </w:r>
      <w:r>
        <w:t xml:space="preserve"> ft.n 3 p. 2. </w:t>
      </w:r>
    </w:p>
  </w:footnote>
  <w:footnote w:id="57">
    <w:p w14:paraId="654F0755" w14:textId="7711C95A" w:rsidR="00102E3C" w:rsidRPr="00102E3C" w:rsidRDefault="00102E3C">
      <w:pPr>
        <w:pStyle w:val="FootnoteText"/>
        <w:rPr>
          <w:i/>
          <w:iCs/>
        </w:rPr>
      </w:pPr>
      <w:r>
        <w:rPr>
          <w:rStyle w:val="FootnoteReference"/>
        </w:rPr>
        <w:footnoteRef/>
      </w:r>
      <w:r>
        <w:t xml:space="preserve"> </w:t>
      </w:r>
      <w:r>
        <w:rPr>
          <w:i/>
          <w:iCs/>
        </w:rPr>
        <w:t xml:space="preserve">Ibid. </w:t>
      </w:r>
    </w:p>
  </w:footnote>
  <w:footnote w:id="58">
    <w:p w14:paraId="4AFF2FA5" w14:textId="28F0A832" w:rsidR="00533EED" w:rsidRPr="00533EED" w:rsidRDefault="00533EED">
      <w:pPr>
        <w:pStyle w:val="FootnoteText"/>
        <w:rPr>
          <w:lang w:val="en-US"/>
        </w:rPr>
      </w:pPr>
      <w:r>
        <w:rPr>
          <w:rStyle w:val="FootnoteReference"/>
        </w:rPr>
        <w:footnoteRef/>
      </w:r>
      <w:r>
        <w:t xml:space="preserve"> </w:t>
      </w:r>
      <w:r>
        <w:rPr>
          <w:lang w:val="en-US"/>
        </w:rPr>
        <w:t xml:space="preserve">V. Maxfield, Ostraca and the Roman Army in the Eastern Desert, in </w:t>
      </w:r>
      <w:r>
        <w:rPr>
          <w:i/>
          <w:iCs/>
          <w:lang w:val="en-US"/>
        </w:rPr>
        <w:t xml:space="preserve">the Bulletin of the Institute of Classical Studies, </w:t>
      </w:r>
      <w:r>
        <w:rPr>
          <w:lang w:val="en-US"/>
        </w:rPr>
        <w:t xml:space="preserve">2011, University of Exeter, p. 168-69. </w:t>
      </w:r>
    </w:p>
  </w:footnote>
  <w:footnote w:id="59">
    <w:p w14:paraId="0BA77B8F" w14:textId="299F6DE2" w:rsidR="00102E3C" w:rsidRPr="00102E3C" w:rsidRDefault="00102E3C">
      <w:pPr>
        <w:pStyle w:val="FootnoteText"/>
      </w:pPr>
      <w:r>
        <w:rPr>
          <w:rStyle w:val="FootnoteReference"/>
        </w:rPr>
        <w:footnoteRef/>
      </w:r>
      <w:r>
        <w:t xml:space="preserve"> </w:t>
      </w:r>
      <w:r>
        <w:t xml:space="preserve">Nappo and Zerbini 2011, 65. </w:t>
      </w:r>
    </w:p>
  </w:footnote>
  <w:footnote w:id="60">
    <w:p w14:paraId="1F54FB16" w14:textId="14A13898" w:rsidR="00102E3C" w:rsidRPr="00AE53A6" w:rsidRDefault="00102E3C">
      <w:pPr>
        <w:pStyle w:val="FootnoteText"/>
      </w:pPr>
      <w:r>
        <w:rPr>
          <w:rStyle w:val="FootnoteReference"/>
        </w:rPr>
        <w:footnoteRef/>
      </w:r>
      <w:r>
        <w:t xml:space="preserve"> </w:t>
      </w:r>
      <w:r w:rsidR="00AE53A6">
        <w:rPr>
          <w:i/>
          <w:iCs/>
        </w:rPr>
        <w:t>Ibid</w:t>
      </w:r>
      <w:r w:rsidR="00AE53A6">
        <w:t xml:space="preserve"> ft.n. 3 p. 18. </w:t>
      </w:r>
    </w:p>
  </w:footnote>
  <w:footnote w:id="61">
    <w:p w14:paraId="24D1BA1B" w14:textId="7A0D255E" w:rsidR="00F572EE" w:rsidRPr="00F572EE" w:rsidRDefault="00F572EE">
      <w:pPr>
        <w:pStyle w:val="FootnoteText"/>
        <w:rPr>
          <w:lang w:val="en-US"/>
        </w:rPr>
      </w:pPr>
      <w:r>
        <w:rPr>
          <w:rStyle w:val="FootnoteReference"/>
        </w:rPr>
        <w:footnoteRef/>
      </w:r>
      <w:r>
        <w:t xml:space="preserve"> </w:t>
      </w:r>
      <w:r>
        <w:rPr>
          <w:lang w:val="en-US"/>
        </w:rPr>
        <w:t xml:space="preserve">Eide et al. 1998: p. 1121, for example, the Blemmyes were said to be the “only masters of the area around </w:t>
      </w:r>
      <w:proofErr w:type="spellStart"/>
      <w:r>
        <w:rPr>
          <w:lang w:val="en-US"/>
        </w:rPr>
        <w:t>Talmis</w:t>
      </w:r>
      <w:proofErr w:type="spellEnd"/>
      <w:r>
        <w:rPr>
          <w:lang w:val="en-US"/>
        </w:rPr>
        <w:t xml:space="preserve">”, (modern </w:t>
      </w:r>
      <w:proofErr w:type="spellStart"/>
      <w:r>
        <w:rPr>
          <w:lang w:val="en-US"/>
        </w:rPr>
        <w:t>Kalabsha</w:t>
      </w:r>
      <w:proofErr w:type="spellEnd"/>
      <w:r>
        <w:rPr>
          <w:lang w:val="en-US"/>
        </w:rPr>
        <w:t xml:space="preserve">), around 60 km south of Aswan.” Here is a clear example of their control over a region. </w:t>
      </w:r>
    </w:p>
  </w:footnote>
  <w:footnote w:id="62">
    <w:p w14:paraId="014C40A2" w14:textId="48C7A447" w:rsidR="00862077" w:rsidRPr="00862077" w:rsidRDefault="00862077">
      <w:pPr>
        <w:pStyle w:val="FootnoteText"/>
      </w:pPr>
      <w:r>
        <w:rPr>
          <w:rStyle w:val="FootnoteReference"/>
        </w:rPr>
        <w:footnoteRef/>
      </w:r>
      <w:r>
        <w:t xml:space="preserve"> </w:t>
      </w:r>
      <w:r>
        <w:t xml:space="preserve">Diodorus Siculus 3.32; Murray and Warrington 1967; Cuvigny 2006; Cuvigny 2014. </w:t>
      </w:r>
    </w:p>
  </w:footnote>
  <w:footnote w:id="63">
    <w:p w14:paraId="14D8F20C" w14:textId="0A1CD64A" w:rsidR="00862077" w:rsidRPr="00862077" w:rsidRDefault="00862077">
      <w:pPr>
        <w:pStyle w:val="FootnoteText"/>
      </w:pPr>
      <w:r>
        <w:rPr>
          <w:rStyle w:val="FootnoteReference"/>
        </w:rPr>
        <w:footnoteRef/>
      </w:r>
      <w:r>
        <w:t xml:space="preserve"> </w:t>
      </w:r>
      <w:r>
        <w:t xml:space="preserve">In turn, this would support Cobb who suggests that there is a correlation between </w:t>
      </w:r>
    </w:p>
  </w:footnote>
  <w:footnote w:id="64">
    <w:p w14:paraId="4A0560D4" w14:textId="54611C38" w:rsidR="001035EA" w:rsidRPr="001035EA" w:rsidRDefault="001035EA">
      <w:pPr>
        <w:pStyle w:val="FootnoteText"/>
      </w:pPr>
      <w:r>
        <w:rPr>
          <w:rStyle w:val="FootnoteReference"/>
        </w:rPr>
        <w:footnoteRef/>
      </w:r>
      <w:r>
        <w:t xml:space="preserve"> </w:t>
      </w:r>
      <w:r>
        <w:rPr>
          <w:i/>
          <w:iCs/>
        </w:rPr>
        <w:t>Ibid</w:t>
      </w:r>
      <w:r>
        <w:t xml:space="preserve">. </w:t>
      </w:r>
    </w:p>
  </w:footnote>
  <w:footnote w:id="65">
    <w:p w14:paraId="71B61E8B" w14:textId="1F78E1C5" w:rsidR="001035EA" w:rsidRPr="001035EA" w:rsidRDefault="001035EA">
      <w:pPr>
        <w:pStyle w:val="FootnoteText"/>
      </w:pPr>
      <w:r>
        <w:rPr>
          <w:rStyle w:val="FootnoteReference"/>
        </w:rPr>
        <w:footnoteRef/>
      </w:r>
      <w:r>
        <w:t xml:space="preserve"> </w:t>
      </w:r>
      <w:r>
        <w:rPr>
          <w:i/>
          <w:iCs/>
        </w:rPr>
        <w:t>Ibid</w:t>
      </w:r>
      <w:r>
        <w:t xml:space="preserve"> p. 19; CIL III 24 = ILS 5741 = I.Pan 37 = SEG XXXVI. 1399- Maxfield 1997; 34-41</w:t>
      </w:r>
      <w:r w:rsidR="006C55DF">
        <w:t xml:space="preserve">, 111; Peacock and Maxfield 2001b, 423-45. </w:t>
      </w:r>
    </w:p>
  </w:footnote>
  <w:footnote w:id="66">
    <w:p w14:paraId="11F67D57" w14:textId="77AB4BC6" w:rsidR="006C55DF" w:rsidRPr="006C55DF" w:rsidRDefault="006C55DF">
      <w:pPr>
        <w:pStyle w:val="FootnoteText"/>
      </w:pPr>
      <w:r>
        <w:rPr>
          <w:rStyle w:val="FootnoteReference"/>
        </w:rPr>
        <w:footnoteRef/>
      </w:r>
      <w:r>
        <w:t xml:space="preserve"> </w:t>
      </w:r>
      <w:r>
        <w:t xml:space="preserve">Brun, Faucher, Redon and Sidebotham, The Eastern Desert of Egypt during the Graeco-Roman Period: Archaeological Reports, College de France, 2018. </w:t>
      </w:r>
    </w:p>
  </w:footnote>
  <w:footnote w:id="67">
    <w:p w14:paraId="0E5B1E62" w14:textId="3A737885" w:rsidR="00B60908" w:rsidRPr="00B60908" w:rsidRDefault="00B60908">
      <w:pPr>
        <w:pStyle w:val="FootnoteText"/>
        <w:rPr>
          <w:lang w:val="en-US"/>
        </w:rPr>
      </w:pPr>
      <w:r>
        <w:rPr>
          <w:rStyle w:val="FootnoteReference"/>
        </w:rPr>
        <w:footnoteRef/>
      </w:r>
      <w:r>
        <w:t xml:space="preserve"> </w:t>
      </w:r>
      <w:r>
        <w:rPr>
          <w:lang w:val="en-US"/>
        </w:rPr>
        <w:t xml:space="preserve">Bagnall, Helms et al. 2000: </w:t>
      </w:r>
      <w:proofErr w:type="spellStart"/>
      <w:proofErr w:type="gramStart"/>
      <w:r>
        <w:rPr>
          <w:i/>
          <w:iCs/>
          <w:lang w:val="en-US"/>
        </w:rPr>
        <w:t>O.Ber</w:t>
      </w:r>
      <w:proofErr w:type="spellEnd"/>
      <w:proofErr w:type="gramEnd"/>
      <w:r>
        <w:rPr>
          <w:i/>
          <w:iCs/>
          <w:lang w:val="en-US"/>
        </w:rPr>
        <w:t xml:space="preserve">. </w:t>
      </w:r>
      <w:r>
        <w:rPr>
          <w:lang w:val="en-US"/>
        </w:rPr>
        <w:t xml:space="preserve">25. </w:t>
      </w:r>
    </w:p>
  </w:footnote>
  <w:footnote w:id="68">
    <w:p w14:paraId="2E8A3973" w14:textId="127B9406" w:rsidR="006C55DF" w:rsidRPr="00AA3685" w:rsidRDefault="006C55DF">
      <w:pPr>
        <w:pStyle w:val="FootnoteText"/>
        <w:rPr>
          <w:lang w:val="en-US"/>
        </w:rPr>
      </w:pPr>
      <w:r>
        <w:rPr>
          <w:rStyle w:val="FootnoteReference"/>
        </w:rPr>
        <w:footnoteRef/>
      </w:r>
      <w:r>
        <w:t xml:space="preserve"> </w:t>
      </w:r>
      <w:r w:rsidR="00AA3685">
        <w:rPr>
          <w:i/>
          <w:iCs/>
        </w:rPr>
        <w:t xml:space="preserve">O. Flor. 2. </w:t>
      </w:r>
    </w:p>
  </w:footnote>
  <w:footnote w:id="69">
    <w:p w14:paraId="1F3A4627" w14:textId="2D61C652" w:rsidR="00AA3685" w:rsidRPr="00AA3685" w:rsidRDefault="00AA3685">
      <w:pPr>
        <w:pStyle w:val="FootnoteText"/>
      </w:pPr>
      <w:r>
        <w:rPr>
          <w:rStyle w:val="FootnoteReference"/>
        </w:rPr>
        <w:footnoteRef/>
      </w:r>
      <w:r>
        <w:t xml:space="preserve"> </w:t>
      </w:r>
      <w:r>
        <w:rPr>
          <w:i/>
          <w:iCs/>
        </w:rPr>
        <w:t>Ibid</w:t>
      </w:r>
      <w:r>
        <w:t xml:space="preserve"> ft.n 57. </w:t>
      </w:r>
    </w:p>
  </w:footnote>
  <w:footnote w:id="70">
    <w:p w14:paraId="390683B0" w14:textId="33424A01" w:rsidR="00AA3685" w:rsidRPr="003619CA" w:rsidRDefault="00AA3685">
      <w:pPr>
        <w:pStyle w:val="FootnoteText"/>
      </w:pPr>
      <w:r>
        <w:rPr>
          <w:rStyle w:val="FootnoteReference"/>
        </w:rPr>
        <w:footnoteRef/>
      </w:r>
      <w:r>
        <w:t xml:space="preserve"> </w:t>
      </w:r>
      <w:r w:rsidR="003619CA">
        <w:t xml:space="preserve">Cuvigny, The shrine in the preasidium of Dios in Rome Egypt’s Eastern Desert, vol 2, 2021. </w:t>
      </w:r>
    </w:p>
  </w:footnote>
  <w:footnote w:id="71">
    <w:p w14:paraId="48BBD88A" w14:textId="3F789B2F" w:rsidR="003619CA" w:rsidRPr="003619CA" w:rsidRDefault="003619CA">
      <w:pPr>
        <w:pStyle w:val="FootnoteText"/>
        <w:rPr>
          <w:lang w:val="en-US"/>
        </w:rPr>
      </w:pPr>
      <w:r>
        <w:rPr>
          <w:rStyle w:val="FootnoteReference"/>
        </w:rPr>
        <w:footnoteRef/>
      </w:r>
      <w:r>
        <w:t xml:space="preserve"> </w:t>
      </w:r>
      <w:r>
        <w:rPr>
          <w:i/>
          <w:iCs/>
          <w:lang w:val="en-US"/>
        </w:rPr>
        <w:t>Ibid</w:t>
      </w:r>
      <w:r>
        <w:rPr>
          <w:lang w:val="en-US"/>
        </w:rPr>
        <w:t xml:space="preserve"> </w:t>
      </w:r>
      <w:proofErr w:type="spellStart"/>
      <w:proofErr w:type="gramStart"/>
      <w:r>
        <w:rPr>
          <w:lang w:val="en-US"/>
        </w:rPr>
        <w:t>ft.n</w:t>
      </w:r>
      <w:proofErr w:type="spellEnd"/>
      <w:proofErr w:type="gramEnd"/>
      <w:r>
        <w:rPr>
          <w:lang w:val="en-US"/>
        </w:rPr>
        <w:t xml:space="preserve"> 57. </w:t>
      </w:r>
    </w:p>
  </w:footnote>
  <w:footnote w:id="72">
    <w:p w14:paraId="7AE644C8" w14:textId="333CDB8D" w:rsidR="003619CA" w:rsidRPr="003619CA" w:rsidRDefault="003619CA">
      <w:pPr>
        <w:pStyle w:val="FootnoteText"/>
      </w:pPr>
      <w:r>
        <w:rPr>
          <w:rStyle w:val="FootnoteReference"/>
        </w:rPr>
        <w:footnoteRef/>
      </w:r>
      <w:r>
        <w:t xml:space="preserve"> </w:t>
      </w:r>
      <w:r>
        <w:rPr>
          <w:i/>
          <w:iCs/>
        </w:rPr>
        <w:t>Ibid</w:t>
      </w:r>
      <w:r>
        <w:t xml:space="preserve"> p. 19-20. </w:t>
      </w:r>
    </w:p>
  </w:footnote>
  <w:footnote w:id="73">
    <w:p w14:paraId="687E3774" w14:textId="7A769346" w:rsidR="003619CA" w:rsidRPr="003619CA" w:rsidRDefault="003619CA">
      <w:pPr>
        <w:pStyle w:val="FootnoteText"/>
      </w:pPr>
      <w:r>
        <w:rPr>
          <w:rStyle w:val="FootnoteReference"/>
        </w:rPr>
        <w:footnoteRef/>
      </w:r>
      <w:r>
        <w:t xml:space="preserve"> </w:t>
      </w:r>
      <w:r w:rsidR="00B9301E">
        <w:t xml:space="preserve">Res Gestae 5.31; Strabo 15.1.4, 73; Seutonius Augustus 21; Cassius Dio 54.9, 68.15; Paulus Orosius History Against the Pagans 6.21.19; Periplus 23; SHA Hadrian 21; Florus 4.2; Hou Han Shu 88; I-Wen Lei-Chu 76. </w:t>
      </w:r>
    </w:p>
  </w:footnote>
  <w:footnote w:id="74">
    <w:p w14:paraId="4C6EDCF3" w14:textId="73043746" w:rsidR="00B9301E" w:rsidRPr="00B9301E" w:rsidRDefault="00B9301E">
      <w:pPr>
        <w:pStyle w:val="FootnoteText"/>
        <w:rPr>
          <w:lang w:val="en-US"/>
        </w:rPr>
      </w:pPr>
      <w:r>
        <w:rPr>
          <w:rStyle w:val="FootnoteReference"/>
        </w:rPr>
        <w:footnoteRef/>
      </w:r>
      <w:r>
        <w:t xml:space="preserve"> </w:t>
      </w:r>
      <w:proofErr w:type="spellStart"/>
      <w:r>
        <w:rPr>
          <w:lang w:val="en-US"/>
        </w:rPr>
        <w:t>Cuvigny</w:t>
      </w:r>
      <w:proofErr w:type="spellEnd"/>
      <w:r>
        <w:rPr>
          <w:lang w:val="en-US"/>
        </w:rPr>
        <w:t xml:space="preserve"> 2005. </w:t>
      </w:r>
    </w:p>
  </w:footnote>
  <w:footnote w:id="75">
    <w:p w14:paraId="5F853A4B" w14:textId="34CDF75E" w:rsidR="00B9301E" w:rsidRPr="00B9301E" w:rsidRDefault="00B9301E">
      <w:pPr>
        <w:pStyle w:val="FootnoteText"/>
      </w:pPr>
      <w:r>
        <w:rPr>
          <w:rStyle w:val="FootnoteReference"/>
        </w:rPr>
        <w:footnoteRef/>
      </w:r>
      <w:r>
        <w:t xml:space="preserve"> </w:t>
      </w:r>
      <w:r>
        <w:t xml:space="preserve">Mazuris Papyrus – P. Vindob G 40822 Recto, Column 2 Line 2-4. </w:t>
      </w:r>
    </w:p>
  </w:footnote>
  <w:footnote w:id="76">
    <w:p w14:paraId="03E3955A" w14:textId="202FA8DD" w:rsidR="00B9301E" w:rsidRPr="00B9301E" w:rsidRDefault="00B9301E">
      <w:pPr>
        <w:pStyle w:val="FootnoteText"/>
        <w:rPr>
          <w:lang w:val="en-US"/>
        </w:rPr>
      </w:pPr>
      <w:r>
        <w:rPr>
          <w:rStyle w:val="FootnoteReference"/>
        </w:rPr>
        <w:footnoteRef/>
      </w:r>
      <w:r>
        <w:t xml:space="preserve"> </w:t>
      </w:r>
      <w:r>
        <w:rPr>
          <w:i/>
          <w:iCs/>
          <w:lang w:val="en-US"/>
        </w:rPr>
        <w:t>Ibid</w:t>
      </w:r>
      <w:r>
        <w:rPr>
          <w:lang w:val="en-US"/>
        </w:rPr>
        <w:t xml:space="preserve">. </w:t>
      </w:r>
    </w:p>
  </w:footnote>
  <w:footnote w:id="77">
    <w:p w14:paraId="0697EF58" w14:textId="29AE358A" w:rsidR="002175DE" w:rsidRPr="002175DE" w:rsidRDefault="002175DE">
      <w:pPr>
        <w:pStyle w:val="FootnoteText"/>
      </w:pPr>
      <w:r>
        <w:rPr>
          <w:rStyle w:val="FootnoteReference"/>
        </w:rPr>
        <w:footnoteRef/>
      </w:r>
      <w:r>
        <w:t xml:space="preserve"> </w:t>
      </w:r>
      <w:r>
        <w:t xml:space="preserve">Maxfield 2000. </w:t>
      </w:r>
    </w:p>
  </w:footnote>
  <w:footnote w:id="78">
    <w:p w14:paraId="62543BF7" w14:textId="144B6E99" w:rsidR="002175DE" w:rsidRPr="002175DE" w:rsidRDefault="002175DE">
      <w:pPr>
        <w:pStyle w:val="FootnoteText"/>
      </w:pPr>
      <w:r>
        <w:rPr>
          <w:rStyle w:val="FootnoteReference"/>
        </w:rPr>
        <w:footnoteRef/>
      </w:r>
      <w:r>
        <w:t xml:space="preserve"> </w:t>
      </w:r>
      <w:r>
        <w:rPr>
          <w:lang w:val="en-US"/>
        </w:rPr>
        <w:t xml:space="preserve">R. I. Thomas, Maritime Cultures of the </w:t>
      </w:r>
      <w:proofErr w:type="spellStart"/>
      <w:r>
        <w:rPr>
          <w:lang w:val="en-US"/>
        </w:rPr>
        <w:t>Erythraean</w:t>
      </w:r>
      <w:proofErr w:type="spellEnd"/>
      <w:r>
        <w:rPr>
          <w:lang w:val="en-US"/>
        </w:rPr>
        <w:t xml:space="preserve"> Sea, 2009, University of Southampton, p. </w:t>
      </w:r>
      <w:r>
        <w:rPr>
          <w:lang w:val="en-US"/>
        </w:rPr>
        <w:t xml:space="preserve">29. </w:t>
      </w:r>
    </w:p>
  </w:footnote>
  <w:footnote w:id="79">
    <w:p w14:paraId="75A8D157" w14:textId="189F468B" w:rsidR="002175DE" w:rsidRPr="002175DE" w:rsidRDefault="002175DE">
      <w:pPr>
        <w:pStyle w:val="FootnoteText"/>
        <w:rPr>
          <w:lang w:val="en-US"/>
        </w:rPr>
      </w:pPr>
      <w:r>
        <w:rPr>
          <w:rStyle w:val="FootnoteReference"/>
        </w:rPr>
        <w:footnoteRef/>
      </w:r>
      <w:r>
        <w:t xml:space="preserve"> </w:t>
      </w:r>
      <w:r>
        <w:rPr>
          <w:lang w:val="en-US"/>
        </w:rPr>
        <w:t xml:space="preserve">Facey 2004. </w:t>
      </w:r>
    </w:p>
  </w:footnote>
  <w:footnote w:id="80">
    <w:p w14:paraId="72B693F3" w14:textId="0AFC487A" w:rsidR="002175DE" w:rsidRPr="002175DE" w:rsidRDefault="002175DE">
      <w:pPr>
        <w:pStyle w:val="FootnoteText"/>
      </w:pPr>
      <w:r>
        <w:rPr>
          <w:rStyle w:val="FootnoteReference"/>
        </w:rPr>
        <w:footnoteRef/>
      </w:r>
      <w:r>
        <w:t xml:space="preserve"> </w:t>
      </w:r>
      <w:r>
        <w:t xml:space="preserve">Sidebotham and Zitterkopf 2000. </w:t>
      </w:r>
    </w:p>
  </w:footnote>
  <w:footnote w:id="81">
    <w:p w14:paraId="27EDFAA7" w14:textId="1439D482" w:rsidR="002175DE" w:rsidRPr="002175DE" w:rsidRDefault="002175DE">
      <w:pPr>
        <w:pStyle w:val="FootnoteText"/>
      </w:pPr>
      <w:r>
        <w:rPr>
          <w:rStyle w:val="FootnoteReference"/>
        </w:rPr>
        <w:footnoteRef/>
      </w:r>
      <w:r>
        <w:t xml:space="preserve"> </w:t>
      </w:r>
      <w:r>
        <w:rPr>
          <w:i/>
          <w:iCs/>
        </w:rPr>
        <w:t>Ibid</w:t>
      </w:r>
      <w:r>
        <w:t xml:space="preserve"> ft.n 3 p. 23. </w:t>
      </w:r>
    </w:p>
  </w:footnote>
  <w:footnote w:id="82">
    <w:p w14:paraId="348ACD01" w14:textId="40B4814E" w:rsidR="00262709" w:rsidRPr="00262709" w:rsidRDefault="00262709">
      <w:pPr>
        <w:pStyle w:val="FootnoteText"/>
        <w:rPr>
          <w:lang w:val="en-US"/>
        </w:rPr>
      </w:pPr>
      <w:r>
        <w:rPr>
          <w:rStyle w:val="FootnoteReference"/>
        </w:rPr>
        <w:footnoteRef/>
      </w:r>
      <w:r>
        <w:t xml:space="preserve"> </w:t>
      </w:r>
      <w:r>
        <w:t xml:space="preserve">Bulow-Jacobsen 2003. </w:t>
      </w:r>
    </w:p>
  </w:footnote>
  <w:footnote w:id="83">
    <w:p w14:paraId="58031983" w14:textId="3E6F805F" w:rsidR="00262709" w:rsidRPr="00262709" w:rsidRDefault="00262709">
      <w:pPr>
        <w:pStyle w:val="FootnoteText"/>
        <w:rPr>
          <w:lang w:val="en-US"/>
        </w:rPr>
      </w:pPr>
      <w:r>
        <w:rPr>
          <w:rStyle w:val="FootnoteReference"/>
        </w:rPr>
        <w:footnoteRef/>
      </w:r>
      <w:r>
        <w:t xml:space="preserve"> </w:t>
      </w:r>
      <w:r>
        <w:rPr>
          <w:lang w:val="en-US"/>
        </w:rPr>
        <w:t xml:space="preserve">Meyer 1992; p. 48. </w:t>
      </w:r>
    </w:p>
  </w:footnote>
  <w:footnote w:id="84">
    <w:p w14:paraId="7CA908C6" w14:textId="7923279A" w:rsidR="002175DE" w:rsidRPr="002175DE" w:rsidRDefault="002175DE">
      <w:pPr>
        <w:pStyle w:val="FootnoteText"/>
      </w:pPr>
      <w:r>
        <w:rPr>
          <w:rStyle w:val="FootnoteReference"/>
        </w:rPr>
        <w:footnoteRef/>
      </w:r>
      <w:r>
        <w:t xml:space="preserve"> </w:t>
      </w:r>
      <w:r>
        <w:t xml:space="preserve">Aubert 2015, p. 40. </w:t>
      </w:r>
    </w:p>
  </w:footnote>
  <w:footnote w:id="85">
    <w:p w14:paraId="7D4512A2" w14:textId="0759AA41" w:rsidR="002175DE" w:rsidRPr="00262709" w:rsidRDefault="002175DE">
      <w:pPr>
        <w:pStyle w:val="FootnoteText"/>
      </w:pPr>
      <w:r>
        <w:rPr>
          <w:rStyle w:val="FootnoteReference"/>
        </w:rPr>
        <w:footnoteRef/>
      </w:r>
      <w:r>
        <w:t xml:space="preserve"> </w:t>
      </w:r>
      <w:r w:rsidR="00262709">
        <w:rPr>
          <w:i/>
          <w:iCs/>
        </w:rPr>
        <w:t>Ibid</w:t>
      </w:r>
      <w:r w:rsidR="00262709">
        <w:t xml:space="preserve">. p. 17. </w:t>
      </w:r>
    </w:p>
  </w:footnote>
  <w:footnote w:id="86">
    <w:p w14:paraId="48D32A3C" w14:textId="18C60F1E" w:rsidR="00262709" w:rsidRPr="00262709" w:rsidRDefault="00262709">
      <w:pPr>
        <w:pStyle w:val="FootnoteText"/>
        <w:rPr>
          <w:lang w:val="en-US"/>
        </w:rPr>
      </w:pPr>
      <w:r>
        <w:rPr>
          <w:rStyle w:val="FootnoteReference"/>
        </w:rPr>
        <w:footnoteRef/>
      </w:r>
      <w:r>
        <w:t xml:space="preserve"> </w:t>
      </w:r>
      <w:r w:rsidR="009C2A91">
        <w:t xml:space="preserve">Adams 2007. </w:t>
      </w:r>
    </w:p>
  </w:footnote>
  <w:footnote w:id="87">
    <w:p w14:paraId="25CE1783" w14:textId="458867DB" w:rsidR="009C2A91" w:rsidRPr="009C2A91" w:rsidRDefault="009C2A91">
      <w:pPr>
        <w:pStyle w:val="FootnoteText"/>
      </w:pPr>
      <w:r>
        <w:rPr>
          <w:rStyle w:val="FootnoteReference"/>
        </w:rPr>
        <w:footnoteRef/>
      </w:r>
      <w:r>
        <w:t xml:space="preserve"> </w:t>
      </w:r>
      <w:r>
        <w:t xml:space="preserve">Cuvigny 2005, p. 36. </w:t>
      </w:r>
    </w:p>
  </w:footnote>
  <w:footnote w:id="88">
    <w:p w14:paraId="33BFA77F" w14:textId="03B192A3" w:rsidR="00BD70A4" w:rsidRPr="00BD70A4" w:rsidRDefault="00BD70A4">
      <w:pPr>
        <w:pStyle w:val="FootnoteText"/>
      </w:pPr>
      <w:r>
        <w:rPr>
          <w:rStyle w:val="FootnoteReference"/>
        </w:rPr>
        <w:footnoteRef/>
      </w:r>
      <w:r>
        <w:t xml:space="preserve"> </w:t>
      </w:r>
      <w:r>
        <w:rPr>
          <w:i/>
          <w:iCs/>
        </w:rPr>
        <w:t>Ibid</w:t>
      </w:r>
      <w:r>
        <w:t xml:space="preserve">. </w:t>
      </w:r>
    </w:p>
  </w:footnote>
  <w:footnote w:id="89">
    <w:p w14:paraId="657A526A" w14:textId="43E20643" w:rsidR="00BD70A4" w:rsidRPr="00BD70A4" w:rsidRDefault="00BD70A4">
      <w:pPr>
        <w:pStyle w:val="FootnoteText"/>
      </w:pPr>
      <w:r>
        <w:rPr>
          <w:rStyle w:val="FootnoteReference"/>
        </w:rPr>
        <w:footnoteRef/>
      </w:r>
      <w:r>
        <w:t xml:space="preserve"> </w:t>
      </w:r>
      <w:r>
        <w:t xml:space="preserve">Maxfield, Ostraca and the Roman Army in the Eastern Desert, 2011. </w:t>
      </w:r>
    </w:p>
  </w:footnote>
  <w:footnote w:id="90">
    <w:p w14:paraId="72F6E38A" w14:textId="49E47B5A" w:rsidR="00407353" w:rsidRPr="00407353" w:rsidRDefault="00407353">
      <w:pPr>
        <w:pStyle w:val="FootnoteText"/>
        <w:rPr>
          <w:lang w:val="en-US"/>
        </w:rPr>
      </w:pPr>
      <w:r>
        <w:rPr>
          <w:rStyle w:val="FootnoteReference"/>
        </w:rPr>
        <w:footnoteRef/>
      </w:r>
      <w:r>
        <w:t xml:space="preserve"> </w:t>
      </w:r>
      <w:r>
        <w:rPr>
          <w:i/>
          <w:iCs/>
          <w:lang w:val="en-US"/>
        </w:rPr>
        <w:t>Ibid</w:t>
      </w:r>
      <w:r>
        <w:rPr>
          <w:lang w:val="en-US"/>
        </w:rPr>
        <w:t xml:space="preserve">. </w:t>
      </w:r>
    </w:p>
  </w:footnote>
  <w:footnote w:id="91">
    <w:p w14:paraId="57AD3B9B" w14:textId="4798C371" w:rsidR="00DE154F" w:rsidRPr="00DE154F" w:rsidRDefault="00DE154F">
      <w:pPr>
        <w:pStyle w:val="FootnoteText"/>
        <w:rPr>
          <w:lang w:val="en-US"/>
        </w:rPr>
      </w:pPr>
      <w:r>
        <w:rPr>
          <w:rStyle w:val="FootnoteReference"/>
        </w:rPr>
        <w:footnoteRef/>
      </w:r>
      <w:r>
        <w:t xml:space="preserve"> </w:t>
      </w:r>
      <w:r>
        <w:rPr>
          <w:i/>
          <w:iCs/>
          <w:lang w:val="en-US"/>
        </w:rPr>
        <w:t>Ibid</w:t>
      </w:r>
      <w:r>
        <w:rPr>
          <w:lang w:val="en-US"/>
        </w:rPr>
        <w:t xml:space="preserve">. </w:t>
      </w:r>
    </w:p>
  </w:footnote>
  <w:footnote w:id="92">
    <w:p w14:paraId="5C98BF80" w14:textId="059330B3" w:rsidR="00DE154F" w:rsidRPr="00DE154F" w:rsidRDefault="00DE154F">
      <w:pPr>
        <w:pStyle w:val="FootnoteText"/>
      </w:pPr>
      <w:r>
        <w:rPr>
          <w:rStyle w:val="FootnoteReference"/>
        </w:rPr>
        <w:footnoteRef/>
      </w:r>
      <w:r>
        <w:t xml:space="preserve"> </w:t>
      </w:r>
      <w:r w:rsidR="007D3E4A">
        <w:t xml:space="preserve">Seland, Globalisation and Transculturality from Antiquity to the Pre-Modern World, 2021. </w:t>
      </w:r>
    </w:p>
  </w:footnote>
  <w:footnote w:id="93">
    <w:p w14:paraId="48A21EC7" w14:textId="5C1302F1" w:rsidR="007D3E4A" w:rsidRPr="007D3E4A" w:rsidRDefault="007D3E4A">
      <w:pPr>
        <w:pStyle w:val="FootnoteText"/>
        <w:rPr>
          <w:lang w:val="en-US"/>
        </w:rPr>
      </w:pPr>
      <w:r>
        <w:rPr>
          <w:rStyle w:val="FootnoteReference"/>
        </w:rPr>
        <w:footnoteRef/>
      </w:r>
      <w:r>
        <w:t xml:space="preserve"> </w:t>
      </w:r>
      <w:r>
        <w:rPr>
          <w:lang w:val="en-US"/>
        </w:rPr>
        <w:t xml:space="preserve">Cobb 2015. </w:t>
      </w:r>
    </w:p>
  </w:footnote>
  <w:footnote w:id="94">
    <w:p w14:paraId="7AE9F8D2" w14:textId="2F5FF717" w:rsidR="007D3E4A" w:rsidRPr="007D3E4A" w:rsidRDefault="007D3E4A">
      <w:pPr>
        <w:pStyle w:val="FootnoteText"/>
      </w:pPr>
      <w:r>
        <w:rPr>
          <w:rStyle w:val="FootnoteReference"/>
        </w:rPr>
        <w:footnoteRef/>
      </w:r>
      <w:r>
        <w:t xml:space="preserve"> </w:t>
      </w:r>
      <w:r>
        <w:rPr>
          <w:lang w:val="en-US"/>
        </w:rPr>
        <w:t xml:space="preserve">R. I. Thomas, Maritime Cultures of the </w:t>
      </w:r>
      <w:proofErr w:type="spellStart"/>
      <w:r>
        <w:rPr>
          <w:lang w:val="en-US"/>
        </w:rPr>
        <w:t>Erythraean</w:t>
      </w:r>
      <w:proofErr w:type="spellEnd"/>
      <w:r>
        <w:rPr>
          <w:lang w:val="en-US"/>
        </w:rPr>
        <w:t xml:space="preserve"> Sea, 2009, University of Southampton, p. </w:t>
      </w:r>
      <w:r>
        <w:rPr>
          <w:lang w:val="en-US"/>
        </w:rPr>
        <w:t>40</w:t>
      </w:r>
      <w:r>
        <w:rPr>
          <w:lang w:val="en-US"/>
        </w:rPr>
        <w:t xml:space="preserve">. </w:t>
      </w:r>
    </w:p>
  </w:footnote>
  <w:footnote w:id="95">
    <w:p w14:paraId="7E91DD60" w14:textId="3CAD8DD7" w:rsidR="007D3E4A" w:rsidRPr="007D3E4A" w:rsidRDefault="007D3E4A">
      <w:pPr>
        <w:pStyle w:val="FootnoteText"/>
        <w:rPr>
          <w:lang w:val="en-US"/>
        </w:rPr>
      </w:pPr>
      <w:r>
        <w:rPr>
          <w:rStyle w:val="FootnoteReference"/>
        </w:rPr>
        <w:footnoteRef/>
      </w:r>
      <w:r>
        <w:t xml:space="preserve"> </w:t>
      </w:r>
      <w:r>
        <w:t xml:space="preserve">Wozniak and Radkowska, Berenike Trogodytika: A Hellenistic Fortress on the Red Sea Coast, Egypt, 2018. </w:t>
      </w:r>
    </w:p>
  </w:footnote>
  <w:footnote w:id="96">
    <w:p w14:paraId="24982A66" w14:textId="7AF82416" w:rsidR="007D3E4A" w:rsidRPr="007D3E4A" w:rsidRDefault="007D3E4A">
      <w:pPr>
        <w:pStyle w:val="FootnoteText"/>
        <w:rPr>
          <w:lang w:val="en-US"/>
        </w:rPr>
      </w:pPr>
      <w:r>
        <w:rPr>
          <w:rStyle w:val="FootnoteReference"/>
        </w:rPr>
        <w:footnoteRef/>
      </w:r>
      <w:r>
        <w:t xml:space="preserve"> </w:t>
      </w:r>
      <w:r>
        <w:rPr>
          <w:lang w:val="en-US"/>
        </w:rPr>
        <w:t xml:space="preserve">Gates-Foster 2012, p. 197. </w:t>
      </w:r>
    </w:p>
  </w:footnote>
  <w:footnote w:id="97">
    <w:p w14:paraId="072C06C5" w14:textId="702F00E7" w:rsidR="003F0472" w:rsidRPr="003F0472" w:rsidRDefault="003F0472">
      <w:pPr>
        <w:pStyle w:val="FootnoteText"/>
        <w:rPr>
          <w:lang w:val="en-US"/>
        </w:rPr>
      </w:pPr>
      <w:r>
        <w:rPr>
          <w:rStyle w:val="FootnoteReference"/>
        </w:rPr>
        <w:footnoteRef/>
      </w:r>
      <w:r>
        <w:t xml:space="preserve"> </w:t>
      </w:r>
      <w:proofErr w:type="spellStart"/>
      <w:r>
        <w:rPr>
          <w:lang w:val="en-US"/>
        </w:rPr>
        <w:t>Diodorus</w:t>
      </w:r>
      <w:proofErr w:type="spellEnd"/>
      <w:r>
        <w:rPr>
          <w:lang w:val="en-US"/>
        </w:rPr>
        <w:t xml:space="preserve"> </w:t>
      </w:r>
      <w:r>
        <w:rPr>
          <w:i/>
          <w:iCs/>
          <w:lang w:val="en-US"/>
        </w:rPr>
        <w:t xml:space="preserve">History: </w:t>
      </w:r>
      <w:r>
        <w:rPr>
          <w:lang w:val="en-US"/>
        </w:rPr>
        <w:t xml:space="preserve">3.40.1; Ptolemy </w:t>
      </w:r>
      <w:r>
        <w:rPr>
          <w:i/>
          <w:iCs/>
          <w:lang w:val="en-US"/>
        </w:rPr>
        <w:t xml:space="preserve">Geography </w:t>
      </w:r>
      <w:r>
        <w:rPr>
          <w:lang w:val="en-US"/>
        </w:rPr>
        <w:t xml:space="preserve">4.8.108. </w:t>
      </w:r>
    </w:p>
  </w:footnote>
  <w:footnote w:id="98">
    <w:p w14:paraId="5B0A1592" w14:textId="66470B5D" w:rsidR="00511FA4" w:rsidRPr="003F0472" w:rsidRDefault="00511FA4">
      <w:pPr>
        <w:pStyle w:val="FootnoteText"/>
        <w:rPr>
          <w:lang w:val="en-US"/>
        </w:rPr>
      </w:pPr>
      <w:r>
        <w:rPr>
          <w:rStyle w:val="FootnoteReference"/>
        </w:rPr>
        <w:footnoteRef/>
      </w:r>
      <w:r>
        <w:t xml:space="preserve"> </w:t>
      </w:r>
      <w:proofErr w:type="spellStart"/>
      <w:r>
        <w:rPr>
          <w:i/>
          <w:iCs/>
          <w:lang w:val="en-US"/>
        </w:rPr>
        <w:t>Muziris</w:t>
      </w:r>
      <w:proofErr w:type="spellEnd"/>
      <w:r>
        <w:rPr>
          <w:i/>
          <w:iCs/>
          <w:lang w:val="en-US"/>
        </w:rPr>
        <w:t xml:space="preserve"> Papyrus, </w:t>
      </w:r>
      <w:r>
        <w:rPr>
          <w:lang w:val="en-US"/>
        </w:rPr>
        <w:t xml:space="preserve">20, 27 and Arrian 27-30. </w:t>
      </w:r>
      <w:proofErr w:type="spellStart"/>
      <w:r w:rsidR="003F0472">
        <w:rPr>
          <w:lang w:val="en-US"/>
        </w:rPr>
        <w:t>Diadorus</w:t>
      </w:r>
      <w:proofErr w:type="spellEnd"/>
      <w:r w:rsidR="003F0472">
        <w:rPr>
          <w:lang w:val="en-US"/>
        </w:rPr>
        <w:t xml:space="preserve"> </w:t>
      </w:r>
      <w:r w:rsidR="003F0472">
        <w:rPr>
          <w:i/>
          <w:iCs/>
          <w:lang w:val="en-US"/>
        </w:rPr>
        <w:t xml:space="preserve">Library of History: </w:t>
      </w:r>
      <w:r w:rsidR="003F0472">
        <w:rPr>
          <w:lang w:val="en-US"/>
        </w:rPr>
        <w:t xml:space="preserve">5.53.6. </w:t>
      </w:r>
    </w:p>
  </w:footnote>
  <w:footnote w:id="99">
    <w:p w14:paraId="73E74FFB" w14:textId="3593D2BB" w:rsidR="007D3E4A" w:rsidRPr="007D3E4A" w:rsidRDefault="007D3E4A">
      <w:pPr>
        <w:pStyle w:val="FootnoteText"/>
        <w:rPr>
          <w:lang w:val="en-US"/>
        </w:rPr>
      </w:pPr>
      <w:r>
        <w:rPr>
          <w:rStyle w:val="FootnoteReference"/>
        </w:rPr>
        <w:footnoteRef/>
      </w:r>
      <w:r>
        <w:t xml:space="preserve"> </w:t>
      </w:r>
      <w:proofErr w:type="spellStart"/>
      <w:r>
        <w:rPr>
          <w:lang w:val="en-US"/>
        </w:rPr>
        <w:t>Cuvigny</w:t>
      </w:r>
      <w:proofErr w:type="spellEnd"/>
      <w:r>
        <w:rPr>
          <w:lang w:val="en-US"/>
        </w:rPr>
        <w:t xml:space="preserve"> 2014, p. 171. </w:t>
      </w:r>
    </w:p>
  </w:footnote>
  <w:footnote w:id="100">
    <w:p w14:paraId="69E9F19A" w14:textId="7B10A304" w:rsidR="007D3E4A" w:rsidRPr="007D3E4A" w:rsidRDefault="007D3E4A">
      <w:pPr>
        <w:pStyle w:val="FootnoteText"/>
        <w:rPr>
          <w:lang w:val="en-US"/>
        </w:rPr>
      </w:pPr>
      <w:r>
        <w:rPr>
          <w:rStyle w:val="FootnoteReference"/>
        </w:rPr>
        <w:footnoteRef/>
      </w:r>
      <w:r>
        <w:t xml:space="preserve"> </w:t>
      </w:r>
      <w:proofErr w:type="spellStart"/>
      <w:proofErr w:type="gramStart"/>
      <w:r>
        <w:rPr>
          <w:lang w:val="en-US"/>
        </w:rPr>
        <w:t>O.Did</w:t>
      </w:r>
      <w:proofErr w:type="spellEnd"/>
      <w:proofErr w:type="gramEnd"/>
      <w:r>
        <w:rPr>
          <w:lang w:val="en-US"/>
        </w:rPr>
        <w:t xml:space="preserve">. 40- Brun and </w:t>
      </w:r>
      <w:proofErr w:type="spellStart"/>
      <w:r>
        <w:rPr>
          <w:lang w:val="en-US"/>
        </w:rPr>
        <w:t>Redde</w:t>
      </w:r>
      <w:proofErr w:type="spellEnd"/>
      <w:r>
        <w:rPr>
          <w:lang w:val="en-US"/>
        </w:rPr>
        <w:t xml:space="preserve"> 2011b, 20. </w:t>
      </w:r>
    </w:p>
  </w:footnote>
  <w:footnote w:id="101">
    <w:p w14:paraId="78089C3A" w14:textId="00B8A330" w:rsidR="007D3E4A" w:rsidRPr="007D3E4A" w:rsidRDefault="007D3E4A">
      <w:pPr>
        <w:pStyle w:val="FootnoteText"/>
        <w:rPr>
          <w:lang w:val="en-US"/>
        </w:rPr>
      </w:pPr>
      <w:r>
        <w:rPr>
          <w:rStyle w:val="FootnoteReference"/>
        </w:rPr>
        <w:footnoteRef/>
      </w:r>
      <w:r>
        <w:t xml:space="preserve"> </w:t>
      </w:r>
      <w:r>
        <w:rPr>
          <w:i/>
          <w:iCs/>
          <w:lang w:val="en-US"/>
        </w:rPr>
        <w:t>Ibid</w:t>
      </w:r>
      <w:r>
        <w:rPr>
          <w:lang w:val="en-US"/>
        </w:rPr>
        <w:t xml:space="preserve">. </w:t>
      </w:r>
    </w:p>
  </w:footnote>
  <w:footnote w:id="102">
    <w:p w14:paraId="33647F4C" w14:textId="28560FB8" w:rsidR="00F254FD" w:rsidRPr="00F254FD" w:rsidRDefault="00F254FD">
      <w:pPr>
        <w:pStyle w:val="FootnoteText"/>
        <w:rPr>
          <w:lang w:val="en-US"/>
        </w:rPr>
      </w:pPr>
      <w:r>
        <w:rPr>
          <w:rStyle w:val="FootnoteReference"/>
        </w:rPr>
        <w:footnoteRef/>
      </w:r>
      <w:r>
        <w:t xml:space="preserve"> </w:t>
      </w:r>
      <w:proofErr w:type="spellStart"/>
      <w:r>
        <w:rPr>
          <w:lang w:val="en-US"/>
        </w:rPr>
        <w:t>Cuvigny</w:t>
      </w:r>
      <w:proofErr w:type="spellEnd"/>
      <w:r>
        <w:rPr>
          <w:lang w:val="en-US"/>
        </w:rPr>
        <w:t xml:space="preserve"> 2014. </w:t>
      </w:r>
    </w:p>
  </w:footnote>
  <w:footnote w:id="103">
    <w:p w14:paraId="5C7505E9" w14:textId="2D32B0FA" w:rsidR="00F254FD" w:rsidRPr="00F254FD" w:rsidRDefault="00F254FD">
      <w:pPr>
        <w:pStyle w:val="FootnoteText"/>
        <w:rPr>
          <w:lang w:val="en-US"/>
        </w:rPr>
      </w:pPr>
      <w:r>
        <w:rPr>
          <w:rStyle w:val="FootnoteReference"/>
        </w:rPr>
        <w:footnoteRef/>
      </w:r>
      <w:r>
        <w:t xml:space="preserve"> </w:t>
      </w:r>
      <w:proofErr w:type="spellStart"/>
      <w:r w:rsidR="00C20E7B">
        <w:rPr>
          <w:lang w:val="en-US"/>
        </w:rPr>
        <w:t>Cuvigny</w:t>
      </w:r>
      <w:proofErr w:type="spellEnd"/>
      <w:r w:rsidR="00C20E7B">
        <w:rPr>
          <w:lang w:val="en-US"/>
        </w:rPr>
        <w:t xml:space="preserve"> 2014, p. 188-94. </w:t>
      </w:r>
    </w:p>
  </w:footnote>
  <w:footnote w:id="104">
    <w:p w14:paraId="28A577A2" w14:textId="3AD1FBB4" w:rsidR="00C20E7B" w:rsidRPr="00C20E7B" w:rsidRDefault="00C20E7B">
      <w:pPr>
        <w:pStyle w:val="FootnoteText"/>
        <w:rPr>
          <w:lang w:val="en-US"/>
        </w:rPr>
      </w:pPr>
      <w:r>
        <w:rPr>
          <w:rStyle w:val="FootnoteReference"/>
        </w:rPr>
        <w:footnoteRef/>
      </w:r>
      <w:r>
        <w:t xml:space="preserve"> </w:t>
      </w:r>
      <w:proofErr w:type="spellStart"/>
      <w:proofErr w:type="gramStart"/>
      <w:r>
        <w:rPr>
          <w:lang w:val="en-US"/>
        </w:rPr>
        <w:t>O.Did</w:t>
      </w:r>
      <w:proofErr w:type="spellEnd"/>
      <w:proofErr w:type="gramEnd"/>
      <w:r>
        <w:rPr>
          <w:lang w:val="en-US"/>
        </w:rPr>
        <w:t xml:space="preserve">. 41- </w:t>
      </w:r>
      <w:proofErr w:type="spellStart"/>
      <w:r>
        <w:rPr>
          <w:lang w:val="en-US"/>
        </w:rPr>
        <w:t>Cuvigny</w:t>
      </w:r>
      <w:proofErr w:type="spellEnd"/>
      <w:r>
        <w:rPr>
          <w:lang w:val="en-US"/>
        </w:rPr>
        <w:t xml:space="preserve"> 2014, 187. </w:t>
      </w:r>
    </w:p>
  </w:footnote>
  <w:footnote w:id="105">
    <w:p w14:paraId="58942B11" w14:textId="68B529EB" w:rsidR="00C20E7B" w:rsidRPr="00C20E7B" w:rsidRDefault="00C20E7B">
      <w:pPr>
        <w:pStyle w:val="FootnoteText"/>
        <w:rPr>
          <w:lang w:val="en-US"/>
        </w:rPr>
      </w:pPr>
      <w:r>
        <w:rPr>
          <w:rStyle w:val="FootnoteReference"/>
        </w:rPr>
        <w:footnoteRef/>
      </w:r>
      <w:r>
        <w:t xml:space="preserve"> </w:t>
      </w:r>
      <w:r>
        <w:rPr>
          <w:i/>
          <w:iCs/>
          <w:lang w:val="en-US"/>
        </w:rPr>
        <w:t>Ibid</w:t>
      </w:r>
      <w:r>
        <w:rPr>
          <w:lang w:val="en-US"/>
        </w:rPr>
        <w:t xml:space="preserve">, p. 27.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73D1" w14:textId="693D1FE8" w:rsidR="00104759" w:rsidRPr="00104759" w:rsidRDefault="00104759">
    <w:pPr>
      <w:pStyle w:val="Header"/>
      <w:rPr>
        <w:lang w:val="en-US"/>
      </w:rPr>
    </w:pPr>
    <w:r>
      <w:rPr>
        <w:lang w:val="en-US"/>
      </w:rPr>
      <w:t>Candidate Number: 1601773, Word Count: 4,400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B2C15"/>
    <w:multiLevelType w:val="multilevel"/>
    <w:tmpl w:val="D2A4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6978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4DC"/>
    <w:rsid w:val="00006608"/>
    <w:rsid w:val="00010D77"/>
    <w:rsid w:val="00017F0F"/>
    <w:rsid w:val="00023B0B"/>
    <w:rsid w:val="00024C0A"/>
    <w:rsid w:val="00024DB1"/>
    <w:rsid w:val="00044ED1"/>
    <w:rsid w:val="000723C3"/>
    <w:rsid w:val="000746EA"/>
    <w:rsid w:val="00081F97"/>
    <w:rsid w:val="00086497"/>
    <w:rsid w:val="000906F7"/>
    <w:rsid w:val="000B351B"/>
    <w:rsid w:val="000B4829"/>
    <w:rsid w:val="000C185A"/>
    <w:rsid w:val="000C3ED0"/>
    <w:rsid w:val="000D4652"/>
    <w:rsid w:val="000D7B21"/>
    <w:rsid w:val="000E00F7"/>
    <w:rsid w:val="000E17FC"/>
    <w:rsid w:val="000F5354"/>
    <w:rsid w:val="00101A6E"/>
    <w:rsid w:val="00102E3C"/>
    <w:rsid w:val="001035EA"/>
    <w:rsid w:val="00104759"/>
    <w:rsid w:val="00162941"/>
    <w:rsid w:val="00162B97"/>
    <w:rsid w:val="0017638C"/>
    <w:rsid w:val="00177194"/>
    <w:rsid w:val="001834E4"/>
    <w:rsid w:val="001A4118"/>
    <w:rsid w:val="001B15E1"/>
    <w:rsid w:val="001B7943"/>
    <w:rsid w:val="001C0B11"/>
    <w:rsid w:val="001C27BE"/>
    <w:rsid w:val="001C28CC"/>
    <w:rsid w:val="001C3A88"/>
    <w:rsid w:val="001D5E05"/>
    <w:rsid w:val="001D71BA"/>
    <w:rsid w:val="001E7241"/>
    <w:rsid w:val="00203044"/>
    <w:rsid w:val="002118EB"/>
    <w:rsid w:val="00212118"/>
    <w:rsid w:val="00214ABB"/>
    <w:rsid w:val="002175DE"/>
    <w:rsid w:val="00223BCB"/>
    <w:rsid w:val="00226C0E"/>
    <w:rsid w:val="00262709"/>
    <w:rsid w:val="00263B88"/>
    <w:rsid w:val="00293BCB"/>
    <w:rsid w:val="00295FBB"/>
    <w:rsid w:val="002A237D"/>
    <w:rsid w:val="002A4546"/>
    <w:rsid w:val="002A57DA"/>
    <w:rsid w:val="002A5BED"/>
    <w:rsid w:val="002B37AB"/>
    <w:rsid w:val="002B6E3F"/>
    <w:rsid w:val="002C0018"/>
    <w:rsid w:val="002C4E81"/>
    <w:rsid w:val="002F662F"/>
    <w:rsid w:val="00303569"/>
    <w:rsid w:val="0031004C"/>
    <w:rsid w:val="00315792"/>
    <w:rsid w:val="003178A0"/>
    <w:rsid w:val="00321E47"/>
    <w:rsid w:val="00333D03"/>
    <w:rsid w:val="003579A1"/>
    <w:rsid w:val="00357C54"/>
    <w:rsid w:val="003619CA"/>
    <w:rsid w:val="003761E2"/>
    <w:rsid w:val="0037760A"/>
    <w:rsid w:val="00383EB7"/>
    <w:rsid w:val="00390351"/>
    <w:rsid w:val="00391DCB"/>
    <w:rsid w:val="00393F68"/>
    <w:rsid w:val="003C04EB"/>
    <w:rsid w:val="003C19D0"/>
    <w:rsid w:val="003D4D9F"/>
    <w:rsid w:val="003E3AB7"/>
    <w:rsid w:val="003F0472"/>
    <w:rsid w:val="00401FBF"/>
    <w:rsid w:val="00407353"/>
    <w:rsid w:val="00426B45"/>
    <w:rsid w:val="00437669"/>
    <w:rsid w:val="00444211"/>
    <w:rsid w:val="00451383"/>
    <w:rsid w:val="0046085D"/>
    <w:rsid w:val="00484E36"/>
    <w:rsid w:val="00486DA6"/>
    <w:rsid w:val="004A3668"/>
    <w:rsid w:val="004A43AC"/>
    <w:rsid w:val="004F5001"/>
    <w:rsid w:val="00511FA4"/>
    <w:rsid w:val="005159B3"/>
    <w:rsid w:val="00526C0D"/>
    <w:rsid w:val="00527A7A"/>
    <w:rsid w:val="0053227F"/>
    <w:rsid w:val="00533EED"/>
    <w:rsid w:val="0053666B"/>
    <w:rsid w:val="00545149"/>
    <w:rsid w:val="005456CC"/>
    <w:rsid w:val="00562E65"/>
    <w:rsid w:val="005645A5"/>
    <w:rsid w:val="0058292B"/>
    <w:rsid w:val="00590D46"/>
    <w:rsid w:val="00595635"/>
    <w:rsid w:val="005B5829"/>
    <w:rsid w:val="005C374A"/>
    <w:rsid w:val="005E074E"/>
    <w:rsid w:val="005E0B72"/>
    <w:rsid w:val="005E1834"/>
    <w:rsid w:val="0060540D"/>
    <w:rsid w:val="00634ED8"/>
    <w:rsid w:val="00647014"/>
    <w:rsid w:val="00676240"/>
    <w:rsid w:val="00690DCC"/>
    <w:rsid w:val="006B4E30"/>
    <w:rsid w:val="006C15F8"/>
    <w:rsid w:val="006C55DF"/>
    <w:rsid w:val="006D1CA0"/>
    <w:rsid w:val="00716C87"/>
    <w:rsid w:val="00723ABF"/>
    <w:rsid w:val="007266A1"/>
    <w:rsid w:val="00743B88"/>
    <w:rsid w:val="00747314"/>
    <w:rsid w:val="00756BE4"/>
    <w:rsid w:val="00760EDC"/>
    <w:rsid w:val="007848A9"/>
    <w:rsid w:val="0078535E"/>
    <w:rsid w:val="007A3C00"/>
    <w:rsid w:val="007C60A4"/>
    <w:rsid w:val="007C6450"/>
    <w:rsid w:val="007D3E4A"/>
    <w:rsid w:val="007D4B37"/>
    <w:rsid w:val="007E0DED"/>
    <w:rsid w:val="007E2AFC"/>
    <w:rsid w:val="007E7EDF"/>
    <w:rsid w:val="00812E05"/>
    <w:rsid w:val="00836007"/>
    <w:rsid w:val="008367F1"/>
    <w:rsid w:val="00842F5A"/>
    <w:rsid w:val="008602F5"/>
    <w:rsid w:val="00862077"/>
    <w:rsid w:val="00865769"/>
    <w:rsid w:val="00880D3D"/>
    <w:rsid w:val="008A11E8"/>
    <w:rsid w:val="008A2880"/>
    <w:rsid w:val="008B5BF8"/>
    <w:rsid w:val="008C77EF"/>
    <w:rsid w:val="008D41E5"/>
    <w:rsid w:val="008F2C36"/>
    <w:rsid w:val="008F6E7A"/>
    <w:rsid w:val="009007D2"/>
    <w:rsid w:val="00913A50"/>
    <w:rsid w:val="00914BAA"/>
    <w:rsid w:val="00935BCF"/>
    <w:rsid w:val="009412FD"/>
    <w:rsid w:val="0094728F"/>
    <w:rsid w:val="00952DC5"/>
    <w:rsid w:val="00957A60"/>
    <w:rsid w:val="0096109E"/>
    <w:rsid w:val="00970523"/>
    <w:rsid w:val="0097190A"/>
    <w:rsid w:val="009A0597"/>
    <w:rsid w:val="009A0C59"/>
    <w:rsid w:val="009B7FC9"/>
    <w:rsid w:val="009C2165"/>
    <w:rsid w:val="009C2A91"/>
    <w:rsid w:val="009C46B3"/>
    <w:rsid w:val="009C4B32"/>
    <w:rsid w:val="009D02EF"/>
    <w:rsid w:val="009D3FEA"/>
    <w:rsid w:val="009D53BF"/>
    <w:rsid w:val="009E453C"/>
    <w:rsid w:val="009F12D6"/>
    <w:rsid w:val="009F6597"/>
    <w:rsid w:val="00A0179C"/>
    <w:rsid w:val="00A067A4"/>
    <w:rsid w:val="00A26231"/>
    <w:rsid w:val="00A43620"/>
    <w:rsid w:val="00A5196B"/>
    <w:rsid w:val="00A52A40"/>
    <w:rsid w:val="00A54650"/>
    <w:rsid w:val="00A60762"/>
    <w:rsid w:val="00A61213"/>
    <w:rsid w:val="00A72E4A"/>
    <w:rsid w:val="00A77657"/>
    <w:rsid w:val="00A84FEE"/>
    <w:rsid w:val="00A86D86"/>
    <w:rsid w:val="00A97AF1"/>
    <w:rsid w:val="00AA29CB"/>
    <w:rsid w:val="00AA3685"/>
    <w:rsid w:val="00AC1A9F"/>
    <w:rsid w:val="00AC30BB"/>
    <w:rsid w:val="00AC7C47"/>
    <w:rsid w:val="00AD5CC4"/>
    <w:rsid w:val="00AE0625"/>
    <w:rsid w:val="00AE53A6"/>
    <w:rsid w:val="00AE77BE"/>
    <w:rsid w:val="00B01A5A"/>
    <w:rsid w:val="00B063D5"/>
    <w:rsid w:val="00B400A1"/>
    <w:rsid w:val="00B50E97"/>
    <w:rsid w:val="00B54E9C"/>
    <w:rsid w:val="00B60908"/>
    <w:rsid w:val="00B73360"/>
    <w:rsid w:val="00B85359"/>
    <w:rsid w:val="00B9301E"/>
    <w:rsid w:val="00BC0928"/>
    <w:rsid w:val="00BD02C6"/>
    <w:rsid w:val="00BD2FBA"/>
    <w:rsid w:val="00BD3C4A"/>
    <w:rsid w:val="00BD70A4"/>
    <w:rsid w:val="00BD7C7A"/>
    <w:rsid w:val="00BF301A"/>
    <w:rsid w:val="00BF69C2"/>
    <w:rsid w:val="00BF6FDC"/>
    <w:rsid w:val="00C03DE3"/>
    <w:rsid w:val="00C03EF8"/>
    <w:rsid w:val="00C10170"/>
    <w:rsid w:val="00C131A2"/>
    <w:rsid w:val="00C15D2C"/>
    <w:rsid w:val="00C20E7B"/>
    <w:rsid w:val="00C350EB"/>
    <w:rsid w:val="00C35821"/>
    <w:rsid w:val="00C5272B"/>
    <w:rsid w:val="00C73EA9"/>
    <w:rsid w:val="00C90C16"/>
    <w:rsid w:val="00C93C8C"/>
    <w:rsid w:val="00CA1D67"/>
    <w:rsid w:val="00CF53D0"/>
    <w:rsid w:val="00D030E0"/>
    <w:rsid w:val="00D24DE9"/>
    <w:rsid w:val="00D32A2A"/>
    <w:rsid w:val="00D346B6"/>
    <w:rsid w:val="00D35973"/>
    <w:rsid w:val="00D40744"/>
    <w:rsid w:val="00D44080"/>
    <w:rsid w:val="00D7348C"/>
    <w:rsid w:val="00D806BF"/>
    <w:rsid w:val="00D87F19"/>
    <w:rsid w:val="00D914FF"/>
    <w:rsid w:val="00D96FF5"/>
    <w:rsid w:val="00D973B7"/>
    <w:rsid w:val="00DB3D82"/>
    <w:rsid w:val="00DB6087"/>
    <w:rsid w:val="00DD013C"/>
    <w:rsid w:val="00DD5ACF"/>
    <w:rsid w:val="00DD6FBF"/>
    <w:rsid w:val="00DE154F"/>
    <w:rsid w:val="00DE1EFC"/>
    <w:rsid w:val="00DF2099"/>
    <w:rsid w:val="00E116A6"/>
    <w:rsid w:val="00E20AD0"/>
    <w:rsid w:val="00E303E6"/>
    <w:rsid w:val="00E3567A"/>
    <w:rsid w:val="00E35B43"/>
    <w:rsid w:val="00E508EE"/>
    <w:rsid w:val="00E51484"/>
    <w:rsid w:val="00E576D2"/>
    <w:rsid w:val="00E5774F"/>
    <w:rsid w:val="00E60C51"/>
    <w:rsid w:val="00E6402D"/>
    <w:rsid w:val="00E6732C"/>
    <w:rsid w:val="00E85D6F"/>
    <w:rsid w:val="00E91BE8"/>
    <w:rsid w:val="00EA2E08"/>
    <w:rsid w:val="00EA7BFF"/>
    <w:rsid w:val="00EB4FDA"/>
    <w:rsid w:val="00EF500B"/>
    <w:rsid w:val="00F2262C"/>
    <w:rsid w:val="00F254FD"/>
    <w:rsid w:val="00F258DF"/>
    <w:rsid w:val="00F25BC9"/>
    <w:rsid w:val="00F459E5"/>
    <w:rsid w:val="00F46EE3"/>
    <w:rsid w:val="00F530C8"/>
    <w:rsid w:val="00F55C3E"/>
    <w:rsid w:val="00F572EE"/>
    <w:rsid w:val="00F663BB"/>
    <w:rsid w:val="00F76C33"/>
    <w:rsid w:val="00F83CDE"/>
    <w:rsid w:val="00F83DDE"/>
    <w:rsid w:val="00F93C2F"/>
    <w:rsid w:val="00F9484E"/>
    <w:rsid w:val="00FA14DC"/>
    <w:rsid w:val="00FB7722"/>
    <w:rsid w:val="00FC57F4"/>
    <w:rsid w:val="00FE5EAA"/>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A098822"/>
  <w15:chartTrackingRefBased/>
  <w15:docId w15:val="{01FECF80-01F7-1340-9EA8-737758D9F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CN"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1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4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4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4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4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4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4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4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4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14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4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4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4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4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4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4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4DC"/>
    <w:rPr>
      <w:rFonts w:eastAsiaTheme="majorEastAsia" w:cstheme="majorBidi"/>
      <w:color w:val="272727" w:themeColor="text1" w:themeTint="D8"/>
    </w:rPr>
  </w:style>
  <w:style w:type="paragraph" w:styleId="Title">
    <w:name w:val="Title"/>
    <w:basedOn w:val="Normal"/>
    <w:next w:val="Normal"/>
    <w:link w:val="TitleChar"/>
    <w:uiPriority w:val="10"/>
    <w:qFormat/>
    <w:rsid w:val="00FA14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4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4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4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4DC"/>
    <w:pPr>
      <w:spacing w:before="160"/>
      <w:jc w:val="center"/>
    </w:pPr>
    <w:rPr>
      <w:i/>
      <w:iCs/>
      <w:color w:val="404040" w:themeColor="text1" w:themeTint="BF"/>
    </w:rPr>
  </w:style>
  <w:style w:type="character" w:customStyle="1" w:styleId="QuoteChar">
    <w:name w:val="Quote Char"/>
    <w:basedOn w:val="DefaultParagraphFont"/>
    <w:link w:val="Quote"/>
    <w:uiPriority w:val="29"/>
    <w:rsid w:val="00FA14DC"/>
    <w:rPr>
      <w:i/>
      <w:iCs/>
      <w:color w:val="404040" w:themeColor="text1" w:themeTint="BF"/>
    </w:rPr>
  </w:style>
  <w:style w:type="paragraph" w:styleId="ListParagraph">
    <w:name w:val="List Paragraph"/>
    <w:basedOn w:val="Normal"/>
    <w:uiPriority w:val="34"/>
    <w:qFormat/>
    <w:rsid w:val="00FA14DC"/>
    <w:pPr>
      <w:ind w:left="720"/>
      <w:contextualSpacing/>
    </w:pPr>
  </w:style>
  <w:style w:type="character" w:styleId="IntenseEmphasis">
    <w:name w:val="Intense Emphasis"/>
    <w:basedOn w:val="DefaultParagraphFont"/>
    <w:uiPriority w:val="21"/>
    <w:qFormat/>
    <w:rsid w:val="00FA14DC"/>
    <w:rPr>
      <w:i/>
      <w:iCs/>
      <w:color w:val="0F4761" w:themeColor="accent1" w:themeShade="BF"/>
    </w:rPr>
  </w:style>
  <w:style w:type="paragraph" w:styleId="IntenseQuote">
    <w:name w:val="Intense Quote"/>
    <w:basedOn w:val="Normal"/>
    <w:next w:val="Normal"/>
    <w:link w:val="IntenseQuoteChar"/>
    <w:uiPriority w:val="30"/>
    <w:qFormat/>
    <w:rsid w:val="00FA1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4DC"/>
    <w:rPr>
      <w:i/>
      <w:iCs/>
      <w:color w:val="0F4761" w:themeColor="accent1" w:themeShade="BF"/>
    </w:rPr>
  </w:style>
  <w:style w:type="character" w:styleId="IntenseReference">
    <w:name w:val="Intense Reference"/>
    <w:basedOn w:val="DefaultParagraphFont"/>
    <w:uiPriority w:val="32"/>
    <w:qFormat/>
    <w:rsid w:val="00FA14DC"/>
    <w:rPr>
      <w:b/>
      <w:bCs/>
      <w:smallCaps/>
      <w:color w:val="0F4761" w:themeColor="accent1" w:themeShade="BF"/>
      <w:spacing w:val="5"/>
    </w:rPr>
  </w:style>
  <w:style w:type="paragraph" w:styleId="FootnoteText">
    <w:name w:val="footnote text"/>
    <w:basedOn w:val="Normal"/>
    <w:link w:val="FootnoteTextChar"/>
    <w:uiPriority w:val="99"/>
    <w:semiHidden/>
    <w:unhideWhenUsed/>
    <w:rsid w:val="000E00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00F7"/>
    <w:rPr>
      <w:sz w:val="20"/>
      <w:szCs w:val="20"/>
    </w:rPr>
  </w:style>
  <w:style w:type="character" w:styleId="FootnoteReference">
    <w:name w:val="footnote reference"/>
    <w:basedOn w:val="DefaultParagraphFont"/>
    <w:uiPriority w:val="99"/>
    <w:semiHidden/>
    <w:unhideWhenUsed/>
    <w:rsid w:val="000E00F7"/>
    <w:rPr>
      <w:vertAlign w:val="superscript"/>
    </w:rPr>
  </w:style>
  <w:style w:type="paragraph" w:styleId="Header">
    <w:name w:val="header"/>
    <w:basedOn w:val="Normal"/>
    <w:link w:val="HeaderChar"/>
    <w:uiPriority w:val="99"/>
    <w:unhideWhenUsed/>
    <w:rsid w:val="001047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4759"/>
  </w:style>
  <w:style w:type="paragraph" w:styleId="Footer">
    <w:name w:val="footer"/>
    <w:basedOn w:val="Normal"/>
    <w:link w:val="FooterChar"/>
    <w:uiPriority w:val="99"/>
    <w:unhideWhenUsed/>
    <w:rsid w:val="001047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4759"/>
  </w:style>
  <w:style w:type="character" w:styleId="PageNumber">
    <w:name w:val="page number"/>
    <w:basedOn w:val="DefaultParagraphFont"/>
    <w:uiPriority w:val="99"/>
    <w:semiHidden/>
    <w:unhideWhenUsed/>
    <w:rsid w:val="00104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49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32F6B-70C3-7247-9698-37316F737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5928</Words>
  <Characters>32728</Characters>
  <Application>Microsoft Office Word</Application>
  <DocSecurity>0</DocSecurity>
  <Lines>488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Stockton-Finch [STAFF]</dc:creator>
  <cp:keywords/>
  <dc:description/>
  <cp:lastModifiedBy>Benjamin Stockton-Finch [STAFF]</cp:lastModifiedBy>
  <cp:revision>4</cp:revision>
  <dcterms:created xsi:type="dcterms:W3CDTF">2024-05-09T18:11:00Z</dcterms:created>
  <dcterms:modified xsi:type="dcterms:W3CDTF">2024-05-09T18:17:00Z</dcterms:modified>
</cp:coreProperties>
</file>