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605289" w:rsidRDefault="007A716C">
      <w:pPr>
        <w:rPr>
          <w:u w:val="single"/>
        </w:rPr>
      </w:pPr>
      <w:r>
        <w:rPr>
          <w:u w:val="single"/>
        </w:rPr>
        <w:t>Introduction</w:t>
      </w:r>
    </w:p>
    <w:p w14:paraId="00000002" w14:textId="77777777" w:rsidR="00605289" w:rsidRDefault="00605289">
      <w:pPr>
        <w:rPr>
          <w:u w:val="single"/>
        </w:rPr>
      </w:pPr>
    </w:p>
    <w:p w14:paraId="00000003" w14:textId="77777777" w:rsidR="00605289" w:rsidRDefault="007A716C">
      <w:pPr>
        <w:rPr>
          <w:b/>
          <w:color w:val="FF0000"/>
        </w:rPr>
      </w:pPr>
      <w:r>
        <w:rPr>
          <w:highlight w:val="white"/>
        </w:rPr>
        <w:t>A critical incident in the teaching context does not need to be a dangerous or serious event, it is however interpreted as a relevant or important event with significance to the individual. Furthermore, an ‘incident’ is a situation that makes the teacher s</w:t>
      </w:r>
      <w:r>
        <w:rPr>
          <w:highlight w:val="white"/>
        </w:rPr>
        <w:t>top and think or one that raises questions regarding approach. According to Brookfield (1987) through reflection teachers can question what they already know and investigate new theories that define experiences in the classroom. This allows teachers to lea</w:t>
      </w:r>
      <w:r>
        <w:rPr>
          <w:highlight w:val="white"/>
        </w:rPr>
        <w:t>rn from their daily experiences enabling them to become better teachers by developing their professional practice and judgements. There are a number of theorists who have developed pedagogical theories to analyse incidents which allows self-reflection on t</w:t>
      </w:r>
      <w:r>
        <w:rPr>
          <w:highlight w:val="white"/>
        </w:rPr>
        <w:t>eaching situations known as the ‘the critical incident’ that result from observations of what happens in classrooms. According to Calderhead (1989), some interpret the meaning of critical incident to merely be a constructive self-criticism of the actions w</w:t>
      </w:r>
      <w:r>
        <w:rPr>
          <w:highlight w:val="white"/>
        </w:rPr>
        <w:t>ith a view to improvement. By aiming to identify the underlying issues that have produced powerful feelings about a particular teaching situation and lead the teacher to reflect upon it and consider possibilities for future actions, critical incident analy</w:t>
      </w:r>
      <w:r>
        <w:rPr>
          <w:highlight w:val="white"/>
        </w:rPr>
        <w:t xml:space="preserve">sis strives to explore the incident deeper. Critical incidents are common in everyday teaching and can have an impact either positive or negative. In this assignment, I will critically evaluate and reflect on </w:t>
      </w:r>
      <w:r>
        <w:t>a case study of an individual learner, based on</w:t>
      </w:r>
      <w:r>
        <w:t xml:space="preserve"> an observed critical incident during my school experience and relate the incident to a number of theorists. </w:t>
      </w:r>
    </w:p>
    <w:p w14:paraId="00000004" w14:textId="77777777" w:rsidR="00605289" w:rsidRDefault="00605289">
      <w:pPr>
        <w:rPr>
          <w:b/>
          <w:color w:val="FF0000"/>
        </w:rPr>
      </w:pPr>
    </w:p>
    <w:p w14:paraId="00000005" w14:textId="77777777" w:rsidR="00605289" w:rsidRDefault="007A716C">
      <w:pPr>
        <w:rPr>
          <w:u w:val="single"/>
        </w:rPr>
      </w:pPr>
      <w:r>
        <w:rPr>
          <w:u w:val="single"/>
        </w:rPr>
        <w:t>The Role of Critical Reflection</w:t>
      </w:r>
    </w:p>
    <w:p w14:paraId="00000006" w14:textId="77777777" w:rsidR="00605289" w:rsidRDefault="00605289">
      <w:pPr>
        <w:rPr>
          <w:u w:val="single"/>
        </w:rPr>
      </w:pPr>
    </w:p>
    <w:p w14:paraId="00000007" w14:textId="77777777" w:rsidR="00605289" w:rsidRDefault="007A716C">
      <w:pPr>
        <w:rPr>
          <w:highlight w:val="white"/>
        </w:rPr>
      </w:pPr>
      <w:r>
        <w:rPr>
          <w:highlight w:val="white"/>
        </w:rPr>
        <w:t>Reflective practice in teaching is one of the most important sources of personal professional development and im</w:t>
      </w:r>
      <w:r>
        <w:rPr>
          <w:highlight w:val="white"/>
        </w:rPr>
        <w:t xml:space="preserve">provement. Dewey (1933, 1938) supported that reflection is an important feature of learning from experience. Similarly, Cranton (1996) states that </w:t>
      </w:r>
      <w:r>
        <w:rPr>
          <w:shd w:val="clear" w:color="auto" w:fill="FCFCFC"/>
        </w:rPr>
        <w:t>critical reflection is the process by which teachers identify the assumptions governing their actions, locate</w:t>
      </w:r>
      <w:r>
        <w:rPr>
          <w:shd w:val="clear" w:color="auto" w:fill="FCFCFC"/>
        </w:rPr>
        <w:t xml:space="preserve"> the historical and cultural origins of the assumptions, question the meaning of assumptions, and develop alternative ways of acting. Reflective thinking leads educators to act intentionally and deliberately in opposition to randomly and reactively. Howeve</w:t>
      </w:r>
      <w:r>
        <w:rPr>
          <w:shd w:val="clear" w:color="auto" w:fill="FCFCFC"/>
        </w:rPr>
        <w:t>r, Lesnick (2005) suggests that reflective practice needs redefining as it represents a more static approach than modern contexts imply. Brookfield (2004) argues that without reflection, teachers run the continual risk of making poor decisions and bad judg</w:t>
      </w:r>
      <w:r>
        <w:rPr>
          <w:shd w:val="clear" w:color="auto" w:fill="FCFCFC"/>
        </w:rPr>
        <w:t xml:space="preserve">ments. </w:t>
      </w:r>
      <w:r>
        <w:rPr>
          <w:highlight w:val="white"/>
        </w:rPr>
        <w:t xml:space="preserve">Schön (1983; 1987) broadened Dewey’s reflection model. Schön (1983; 1987) theory was based on two perspectives: reflection-in-action, focussing on the experience itself, thinking about it during the event, deciding how to act at the time and acting </w:t>
      </w:r>
      <w:r>
        <w:rPr>
          <w:highlight w:val="white"/>
        </w:rPr>
        <w:t>immediately; and reflection-on-action, which focuses on reflecting on something that has happened, thinking about what might be done differently should the incident happen again, enabling the new information gained by the reflectors to process feelings and</w:t>
      </w:r>
      <w:r>
        <w:rPr>
          <w:highlight w:val="white"/>
        </w:rPr>
        <w:t xml:space="preserve"> actions. When trying to comprehend the contexts of critical incidents, perspectives such as these have been considered a paramount theoretical framework for educators.</w:t>
      </w:r>
    </w:p>
    <w:p w14:paraId="00000008" w14:textId="77777777" w:rsidR="00605289" w:rsidRDefault="00605289">
      <w:pPr>
        <w:rPr>
          <w:highlight w:val="white"/>
        </w:rPr>
      </w:pPr>
    </w:p>
    <w:p w14:paraId="00000009" w14:textId="77777777" w:rsidR="00605289" w:rsidRDefault="007A716C">
      <w:pPr>
        <w:rPr>
          <w:rFonts w:ascii="Calibri" w:eastAsia="Calibri" w:hAnsi="Calibri" w:cs="Calibri"/>
          <w:color w:val="FF0000"/>
          <w:sz w:val="48"/>
          <w:szCs w:val="48"/>
          <w:highlight w:val="white"/>
        </w:rPr>
      </w:pPr>
      <w:r>
        <w:rPr>
          <w:highlight w:val="white"/>
        </w:rPr>
        <w:t>Teachers serve a number of roles within the school environment from conveying knowledg</w:t>
      </w:r>
      <w:r>
        <w:rPr>
          <w:highlight w:val="white"/>
        </w:rPr>
        <w:t>e to safeguarding children’s welfare, stimulating critical thought and moral values. In order to raise the level of education, teachers are required to have sufficient knowledge, attitudes and skills. Becoming a teacher and having the authorisation to teac</w:t>
      </w:r>
      <w:r>
        <w:rPr>
          <w:highlight w:val="white"/>
        </w:rPr>
        <w:t xml:space="preserve">h in a maintained school in Wales requires trainee teachers to gain </w:t>
      </w:r>
      <w:hyperlink r:id="rId4">
        <w:r>
          <w:rPr>
            <w:highlight w:val="white"/>
          </w:rPr>
          <w:t>Qualified Teacher Status (QTS)</w:t>
        </w:r>
      </w:hyperlink>
      <w:r>
        <w:rPr>
          <w:highlight w:val="white"/>
        </w:rPr>
        <w:t xml:space="preserve">. All Initial Teacher </w:t>
      </w:r>
      <w:r>
        <w:rPr>
          <w:highlight w:val="white"/>
        </w:rPr>
        <w:lastRenderedPageBreak/>
        <w:t>Education (ITE) trainees must meet the professional standards for teac</w:t>
      </w:r>
      <w:r>
        <w:rPr>
          <w:highlight w:val="white"/>
        </w:rPr>
        <w:t>hing and leadership (Welsh Government 2016). Currently, in Wales, there are 5 professional standards for teaching and leadership namely:- Pedagogy, collaboration, leadership, innovation and professional learning. Professional standards are made up of the k</w:t>
      </w:r>
      <w:r>
        <w:rPr>
          <w:highlight w:val="white"/>
        </w:rPr>
        <w:t xml:space="preserve">nowledge, skills and behaviours that distinguish excellent practice and underpins professional growth and are intended to enable practitioners to reflect on their practice, individually and collectively, against nationally consented standards of effective </w:t>
      </w:r>
      <w:r>
        <w:rPr>
          <w:highlight w:val="white"/>
        </w:rPr>
        <w:t xml:space="preserve">practice. </w:t>
      </w:r>
    </w:p>
    <w:p w14:paraId="0000000A" w14:textId="77777777" w:rsidR="00605289" w:rsidRDefault="00605289">
      <w:pPr>
        <w:rPr>
          <w:color w:val="1F1F1F"/>
          <w:sz w:val="27"/>
          <w:szCs w:val="27"/>
          <w:highlight w:val="white"/>
        </w:rPr>
      </w:pPr>
    </w:p>
    <w:p w14:paraId="0000000B" w14:textId="77777777" w:rsidR="00605289" w:rsidRDefault="007A716C">
      <w:pPr>
        <w:rPr>
          <w:color w:val="292A4A"/>
          <w:sz w:val="26"/>
          <w:szCs w:val="26"/>
          <w:highlight w:val="white"/>
        </w:rPr>
      </w:pPr>
      <w:r>
        <w:rPr>
          <w:highlight w:val="white"/>
        </w:rPr>
        <w:t>With the introduction of a new Curriculum for Wales its aim is to cater to the needs of Welsh learners in the 21st century. Reflection makes sure all students learn more effectively as learning can be tailored to individual needs, thus ensuring</w:t>
      </w:r>
      <w:r>
        <w:rPr>
          <w:highlight w:val="white"/>
        </w:rPr>
        <w:t xml:space="preserve"> that Professor Donaldson’s four purposes to learning are achieved. Reflective practice can expand a teacher's ability to acknowledge how their students learn and the best ways to teach them. By reflecting on teaching methods allows the teacher to identify</w:t>
      </w:r>
      <w:r>
        <w:rPr>
          <w:highlight w:val="white"/>
        </w:rPr>
        <w:t xml:space="preserve"> any barriers to learning that their students encounter. By following any of the theorists' models of reflection, will allow the teacher to have a questioning approach to teaching resulting in a carefully planned classroom that is informed by research from</w:t>
      </w:r>
      <w:r>
        <w:rPr>
          <w:highlight w:val="white"/>
        </w:rPr>
        <w:t xml:space="preserve"> previous experience, and focused, with logical reasons. All of the theorists focus on the importance of repeating the cycle of reflection to ensure that knowledge is secure and progression is continued. </w:t>
      </w:r>
    </w:p>
    <w:p w14:paraId="0000000C" w14:textId="77777777" w:rsidR="00605289" w:rsidRDefault="00605289">
      <w:pPr>
        <w:rPr>
          <w:b/>
          <w:color w:val="FF0000"/>
          <w:highlight w:val="white"/>
        </w:rPr>
      </w:pPr>
    </w:p>
    <w:p w14:paraId="0000000D" w14:textId="77777777" w:rsidR="00605289" w:rsidRDefault="007A716C">
      <w:pPr>
        <w:rPr>
          <w:color w:val="292A4A"/>
          <w:highlight w:val="white"/>
          <w:u w:val="single"/>
        </w:rPr>
      </w:pPr>
      <w:r>
        <w:rPr>
          <w:color w:val="292A4A"/>
          <w:highlight w:val="white"/>
          <w:u w:val="single"/>
        </w:rPr>
        <w:t>Observation</w:t>
      </w:r>
    </w:p>
    <w:p w14:paraId="0000000E" w14:textId="77777777" w:rsidR="00605289" w:rsidRDefault="00605289">
      <w:pPr>
        <w:rPr>
          <w:color w:val="292A4A"/>
          <w:highlight w:val="white"/>
          <w:u w:val="single"/>
        </w:rPr>
      </w:pPr>
    </w:p>
    <w:p w14:paraId="0000000F" w14:textId="77777777" w:rsidR="00605289" w:rsidRDefault="007A716C">
      <w:pPr>
        <w:shd w:val="clear" w:color="auto" w:fill="FFFFFF"/>
        <w:spacing w:after="360"/>
        <w:rPr>
          <w:b/>
          <w:color w:val="FF0000"/>
          <w:highlight w:val="white"/>
        </w:rPr>
      </w:pPr>
      <w:r>
        <w:rPr>
          <w:highlight w:val="white"/>
        </w:rPr>
        <w:t>The next section will present a descr</w:t>
      </w:r>
      <w:r>
        <w:rPr>
          <w:highlight w:val="white"/>
        </w:rPr>
        <w:t xml:space="preserve">iptive analysis of a critical incident that occurred whilst observing a class of year 2 children in a mixed-gender Welsh-medium primary school based near the village of Gwaun Cae Gurwen in the local authority of Neath Port Talbot (NPT) and will be used as </w:t>
      </w:r>
      <w:r>
        <w:rPr>
          <w:highlight w:val="white"/>
        </w:rPr>
        <w:t>a basis of reflection. The school has 173 pupils on roll between 3 and 11 years old, which include 24 nursery age pupils. They are divided into seven classes, one of which is a mixed-age class and are supported by 9 teaching staff and 6 teaching assistants</w:t>
      </w:r>
      <w:r>
        <w:rPr>
          <w:highlight w:val="white"/>
        </w:rPr>
        <w:t>. The period covering the last three years, shows on average 18% of pupils eligible for free school meals, which is comparable to the national average (Estyn, 2019). The school has 23% of pupils on the special educational needs register, which is marginall</w:t>
      </w:r>
      <w:r>
        <w:rPr>
          <w:highlight w:val="white"/>
        </w:rPr>
        <w:t>y higher than the national percentage of 21% (Estyn, 2019). The curriculum skilfully engages pupils’ interests and there is an effective emphasis on developing their skills across the areas of learning. The outdoor area is used effectively to reinforce lea</w:t>
      </w:r>
      <w:r>
        <w:rPr>
          <w:highlight w:val="white"/>
        </w:rPr>
        <w:t>rning activities (Estyn, 2019). The teaching strategies succeed in providing valuable pupil experience. For the purpose of the observation, I was seated at the back of the classroom where I had permission to take notes. Following BERA (2018) guidelines I r</w:t>
      </w:r>
      <w:r>
        <w:rPr>
          <w:highlight w:val="white"/>
        </w:rPr>
        <w:t>ecognised the prerogative of the school and the individual to privacy, and accord them their rights to anonymity and confidentiality. According to BERA (2018) “the confidential and anonymous treatment of participants’ data is considered the norm for the co</w:t>
      </w:r>
      <w:r>
        <w:rPr>
          <w:highlight w:val="white"/>
        </w:rPr>
        <w:t xml:space="preserve">nduct of research”.  </w:t>
      </w:r>
    </w:p>
    <w:p w14:paraId="00000010" w14:textId="77777777" w:rsidR="00605289" w:rsidRDefault="007A716C">
      <w:pPr>
        <w:shd w:val="clear" w:color="auto" w:fill="FFFFFF"/>
        <w:spacing w:after="360"/>
        <w:rPr>
          <w:highlight w:val="white"/>
          <w:u w:val="single"/>
        </w:rPr>
      </w:pPr>
      <w:r>
        <w:rPr>
          <w:highlight w:val="white"/>
          <w:u w:val="single"/>
        </w:rPr>
        <w:t>Critical Incident Analysis</w:t>
      </w:r>
    </w:p>
    <w:p w14:paraId="00000011" w14:textId="77777777" w:rsidR="00605289" w:rsidRDefault="007A716C">
      <w:pPr>
        <w:shd w:val="clear" w:color="auto" w:fill="FFFFFF"/>
        <w:spacing w:after="360"/>
        <w:rPr>
          <w:highlight w:val="white"/>
        </w:rPr>
      </w:pPr>
      <w:r>
        <w:rPr>
          <w:highlight w:val="white"/>
        </w:rPr>
        <w:t>The analysis of the critical incident commences by describing the essence of the incident as follows: During morning session, child X arrived late to school and was refusing to sit on the carpet with the res</w:t>
      </w:r>
      <w:r>
        <w:rPr>
          <w:highlight w:val="white"/>
        </w:rPr>
        <w:t xml:space="preserve">t of the pupils. Child X proceeded to run around shouting out loud to himself. The class teacher was absent and the teaching assistant was responsible for the </w:t>
      </w:r>
      <w:r>
        <w:rPr>
          <w:highlight w:val="white"/>
        </w:rPr>
        <w:lastRenderedPageBreak/>
        <w:t xml:space="preserve">class. Child X was repeatedly told to be quiet and was uncooperative and disrupting the teaching </w:t>
      </w:r>
      <w:r>
        <w:rPr>
          <w:highlight w:val="white"/>
        </w:rPr>
        <w:t>assistant from taking the register</w:t>
      </w:r>
      <w:r>
        <w:rPr>
          <w:i/>
          <w:highlight w:val="white"/>
        </w:rPr>
        <w:t>. The teaching assistant approached the child, and said, ‘X, be quiet and sit down’ quite assertively, although she did not raise her voice. Child X looked surprised however continued to be disruptive. At this point the te</w:t>
      </w:r>
      <w:r>
        <w:rPr>
          <w:i/>
          <w:highlight w:val="white"/>
        </w:rPr>
        <w:t xml:space="preserve">aching assistant segregated child X from the rest of his peers and was told to sit at a table at the front of the class. </w:t>
      </w:r>
      <w:r>
        <w:rPr>
          <w:highlight w:val="white"/>
        </w:rPr>
        <w:t>The teaching assistant found it difficult to control the situation resulting in help being sought. The year 3 teacher came into the cla</w:t>
      </w:r>
      <w:r>
        <w:rPr>
          <w:highlight w:val="white"/>
        </w:rPr>
        <w:t>ssroom and offered their assistance and re-engaged the attention of child X by offering child X to help take the morning register. Child X cooperated, sat on the carpet quietly and helped take the register. During morning break I asked the teaching assista</w:t>
      </w:r>
      <w:r>
        <w:rPr>
          <w:highlight w:val="white"/>
        </w:rPr>
        <w:t xml:space="preserve">nt if there was a reason why child X was late to school and was informed that it was due to issues at home. </w:t>
      </w:r>
    </w:p>
    <w:p w14:paraId="00000012" w14:textId="77777777" w:rsidR="00605289" w:rsidRDefault="007A716C">
      <w:pPr>
        <w:shd w:val="clear" w:color="auto" w:fill="FFFFFF"/>
        <w:spacing w:after="360"/>
        <w:rPr>
          <w:b/>
          <w:color w:val="FF0000"/>
          <w:highlight w:val="white"/>
        </w:rPr>
      </w:pPr>
      <w:r>
        <w:rPr>
          <w:highlight w:val="white"/>
        </w:rPr>
        <w:t>One of Donaldson’s four purposes for the new curriculum focuses on healthy confident individuals which aims to help children and young people to bu</w:t>
      </w:r>
      <w:r>
        <w:rPr>
          <w:highlight w:val="white"/>
        </w:rPr>
        <w:t>ild the knowledge, understanding and skills to develop positive and appropriate relationships. In this critical incident, it would be a beneficial lesson for child X as there would be the opportunity to learn to deal with difficult issues. With the introdu</w:t>
      </w:r>
      <w:r>
        <w:rPr>
          <w:highlight w:val="white"/>
        </w:rPr>
        <w:t>ction of the health and well-being area, would have given the teaching assistant the ability to tackle the mental and emotional well-being issues that child X may have been experiencing. According to Donaldson (2017) health and well-being encompass the int</w:t>
      </w:r>
      <w:r>
        <w:rPr>
          <w:highlight w:val="white"/>
        </w:rPr>
        <w:t>erdependencies of the physical, psychological, emotional, cultural and social dimensions which enable everyone to participate in life to the best of their ability. The Well-being of Future Generations Act (2015) stated that schools in Wales have a ‘well-be</w:t>
      </w:r>
      <w:r>
        <w:rPr>
          <w:highlight w:val="white"/>
        </w:rPr>
        <w:t xml:space="preserve">ing duty’ to support the emotional and mental well being of all learners. Life events can have a continuing impression on levels of health and confidence. Research has shown that by developing relevant responses and by understanding their effect, learners </w:t>
      </w:r>
      <w:r>
        <w:rPr>
          <w:highlight w:val="white"/>
        </w:rPr>
        <w:t xml:space="preserve">will be in a better position to understand and control their emotions; build confidence, grow resilience; and develop empathy which </w:t>
      </w:r>
      <w:r>
        <w:rPr>
          <w:color w:val="202124"/>
          <w:highlight w:val="white"/>
        </w:rPr>
        <w:t xml:space="preserve">synchronously </w:t>
      </w:r>
      <w:r>
        <w:rPr>
          <w:highlight w:val="white"/>
        </w:rPr>
        <w:t>contributes to their readiness to learn. This concept allows learners to further develop their understanding o</w:t>
      </w:r>
      <w:r>
        <w:rPr>
          <w:highlight w:val="white"/>
        </w:rPr>
        <w:t>f how favourable and unfavourable experiences influence emotional and mental well-being, thus allowing them to develop coping strategies. With the introduction of the new curriculum, this would be exercised across the continuum of learning from the earlies</w:t>
      </w:r>
      <w:r>
        <w:rPr>
          <w:highlight w:val="white"/>
        </w:rPr>
        <w:t xml:space="preserve">t developmental stages, leading to life-long learning. Learners will be supported to develop qualities that will enable them to become healthy confident individuals able to live fulfilling lives as members of society. </w:t>
      </w:r>
    </w:p>
    <w:p w14:paraId="00000013" w14:textId="77777777" w:rsidR="00605289" w:rsidRDefault="007A716C">
      <w:pPr>
        <w:shd w:val="clear" w:color="auto" w:fill="FFFFFF"/>
        <w:spacing w:after="360"/>
        <w:rPr>
          <w:highlight w:val="white"/>
          <w:u w:val="single"/>
        </w:rPr>
      </w:pPr>
      <w:r>
        <w:rPr>
          <w:highlight w:val="white"/>
          <w:u w:val="single"/>
        </w:rPr>
        <w:t xml:space="preserve">Literature review </w:t>
      </w:r>
    </w:p>
    <w:p w14:paraId="00000014" w14:textId="77777777" w:rsidR="00605289" w:rsidRDefault="007A716C">
      <w:pPr>
        <w:shd w:val="clear" w:color="auto" w:fill="FFFFFF"/>
        <w:spacing w:after="360"/>
        <w:rPr>
          <w:highlight w:val="white"/>
        </w:rPr>
      </w:pPr>
      <w:r>
        <w:rPr>
          <w:highlight w:val="white"/>
        </w:rPr>
        <w:t>According to Tripp (1993) when an incident goes wrong we need to ask why it occured and what caused it to occur. Using Tripp’s (1993) approaches, with reference to the critical incident that I witnessed, the first question posed is to ask why child X was l</w:t>
      </w:r>
      <w:r>
        <w:rPr>
          <w:highlight w:val="white"/>
        </w:rPr>
        <w:t>ate coming into school and refusing to sit on the mat. By answering a series of ‘why’ questions, the ‘why challenge’ allows the reflector the ability to use an analysis approach to analyse the incident. According to Tripp (1993) asking ‘why?’ coerces criti</w:t>
      </w:r>
      <w:r>
        <w:rPr>
          <w:highlight w:val="white"/>
        </w:rPr>
        <w:t xml:space="preserve">cal reflectors to question their reaction to critical incidents. This element of the critical incident has led me to further analyse classroom behaviour with an emphasis on mental health and well being. </w:t>
      </w:r>
    </w:p>
    <w:p w14:paraId="00000015" w14:textId="77777777" w:rsidR="00605289" w:rsidRDefault="007A716C">
      <w:pPr>
        <w:shd w:val="clear" w:color="auto" w:fill="FFFFFF"/>
        <w:spacing w:after="360"/>
        <w:rPr>
          <w:highlight w:val="white"/>
        </w:rPr>
      </w:pPr>
      <w:r>
        <w:rPr>
          <w:highlight w:val="white"/>
        </w:rPr>
        <w:t>Pollard (2014) states that the classroom setting has</w:t>
      </w:r>
      <w:r>
        <w:rPr>
          <w:highlight w:val="white"/>
        </w:rPr>
        <w:t xml:space="preserve"> an effect on the way in which a child's attitude to learning and strategies are enacted. Moreover he states that social expectations </w:t>
      </w:r>
      <w:r>
        <w:rPr>
          <w:highlight w:val="white"/>
        </w:rPr>
        <w:lastRenderedPageBreak/>
        <w:t>and rules that are taken for granted influence behaviour. From observing it is evident that sitting on the carpet for morn</w:t>
      </w:r>
      <w:r>
        <w:rPr>
          <w:highlight w:val="white"/>
        </w:rPr>
        <w:t>ing registration was a normal daily procedure for the children. This can be compared to Pollard (2014) reference to social expectations and middle class families having structured set meals at home such as Sunday lunch. The same can be said of the classroo</w:t>
      </w:r>
      <w:r>
        <w:rPr>
          <w:highlight w:val="white"/>
        </w:rPr>
        <w:t xml:space="preserve">m. The idea of rule structure describes the nature of the rules in play in any phase or situation of a teaching session. These rules are acquired from the gradual negotiation of understanding about behaviour which takes place routinely between the teacher </w:t>
      </w:r>
      <w:r>
        <w:rPr>
          <w:highlight w:val="white"/>
        </w:rPr>
        <w:t xml:space="preserve">and pupils. On reflection, as the school has 23% of pupils that are on the special educational needs register, which is slightly higher than the national average child X could have fallen into this category and not just simply have bad behavioural issues. </w:t>
      </w:r>
    </w:p>
    <w:p w14:paraId="00000016" w14:textId="77777777" w:rsidR="00605289" w:rsidRDefault="007A716C">
      <w:pPr>
        <w:shd w:val="clear" w:color="auto" w:fill="FFFFFF"/>
        <w:spacing w:after="360"/>
      </w:pPr>
      <w:r>
        <w:rPr>
          <w:highlight w:val="white"/>
        </w:rPr>
        <w:t>According to Crutchley (2017) children and young people with special education needs (SEN) must be regarded as competent and valuable members of society. She raised concerns about how the arrangements for funding for schools can ensure that appropriate su</w:t>
      </w:r>
      <w:r>
        <w:rPr>
          <w:highlight w:val="white"/>
        </w:rPr>
        <w:t>pport can be provided for those children whose SEN does not meet the threshold for an Education Health Care (EHC) plan, but which require significant additional support for example those previously on Early Years/School Action Plus who are now placed in th</w:t>
      </w:r>
      <w:r>
        <w:rPr>
          <w:highlight w:val="white"/>
        </w:rPr>
        <w:t xml:space="preserve">e SEN Support category. Bourne and Pollard (1994) state it is not always easy to make the distinction between those who have learning difficulties. This is backed by Moore &amp; Hansen (2012) who state that some misbehaviors are sparked by conditions that are </w:t>
      </w:r>
      <w:r>
        <w:rPr>
          <w:highlight w:val="white"/>
        </w:rPr>
        <w:t>not readily obvious. Moreover, Moore &amp; Hansen (2012) state that careful examination of childrens’' behaviors, desirable as well as undesirable, reveals that they are influenced by forces and pressures both inside and outside the classroom. Furthemore Belve</w:t>
      </w:r>
      <w:r>
        <w:rPr>
          <w:highlight w:val="white"/>
        </w:rPr>
        <w:t xml:space="preserve">l (2010) states that by identifying and addressing these issues will proactively prevent future behavioral outbursts.  </w:t>
      </w:r>
      <w:r>
        <w:t>Interestingly, Bourne &amp; Pollard (1994) record that teachers make judgements not only about a child's ability but also about their behavio</w:t>
      </w:r>
      <w:r>
        <w:t>ur. Behaviour control is also regarded as an important aspect of classroom management. During research conducted by Bourne &amp; Pollard (1994) they report that teachers spent more time on management and other non work matters with poorly behaved pupils and cr</w:t>
      </w:r>
      <w:r>
        <w:t>iticised their behaviour more frequently. However it was also found that teachers tended to commend the good behaviour of those children who were generally behaved poorly notably more often than that of their well behaved peers.</w:t>
      </w:r>
    </w:p>
    <w:p w14:paraId="00000017" w14:textId="77777777" w:rsidR="00605289" w:rsidRDefault="007A716C">
      <w:pPr>
        <w:shd w:val="clear" w:color="auto" w:fill="FFFFFF"/>
        <w:spacing w:after="360"/>
        <w:rPr>
          <w:highlight w:val="white"/>
        </w:rPr>
      </w:pPr>
      <w:r>
        <w:rPr>
          <w:highlight w:val="white"/>
        </w:rPr>
        <w:t xml:space="preserve">Whether or not child X had </w:t>
      </w:r>
      <w:r>
        <w:rPr>
          <w:highlight w:val="white"/>
        </w:rPr>
        <w:t>special education needs or was just miss behaving that morning, it is crucial that by establishing trust and forming strong relationships sets an example for the child about working together with others for mutual benefit, and positive role models. However</w:t>
      </w:r>
      <w:r>
        <w:rPr>
          <w:highlight w:val="white"/>
        </w:rPr>
        <w:t>, working collaboratively does not come without its problems and can be difficult for both teachers and parents. According to Callan and Morrall (2009) creating environments where the ethos is inclusive and there is a sense of shared responsibility will he</w:t>
      </w:r>
      <w:r>
        <w:rPr>
          <w:highlight w:val="white"/>
        </w:rPr>
        <w:t>lp to avoid an ‘us and them’ culture. Murray (2015) documents about the importance of school staff communicating effectively with parents, and keeping relations positive. This means that if an issue with the child’s behaviour arises, a relationship has alr</w:t>
      </w:r>
      <w:r>
        <w:rPr>
          <w:highlight w:val="white"/>
        </w:rPr>
        <w:t>eady been established with the parents and they are more likely to take the issue seriously. As child x was late to school due to home issues, Digman and Soan (2008) state that while there are other professions that deal directly with families and children</w:t>
      </w:r>
      <w:r>
        <w:rPr>
          <w:highlight w:val="white"/>
        </w:rPr>
        <w:t xml:space="preserve">, school support is a very broad remit and takes place in establishments where education is the main aim, and not social welfare. Furthermore they state that managing behavioural difficulties to help these children achieve their full potential </w:t>
      </w:r>
      <w:r>
        <w:rPr>
          <w:highlight w:val="white"/>
        </w:rPr>
        <w:lastRenderedPageBreak/>
        <w:t xml:space="preserve">requires an </w:t>
      </w:r>
      <w:r>
        <w:rPr>
          <w:highlight w:val="white"/>
        </w:rPr>
        <w:t>approach that does not try to change the child to fit the school, but rather considers more flexible ways to enable that child to cope better. Lawrence (2006) state that many children with behavioural difficulties will present as deeply unhappy with very l</w:t>
      </w:r>
      <w:r>
        <w:rPr>
          <w:highlight w:val="white"/>
        </w:rPr>
        <w:t>ow self-esteem and will often feel stupid and a failure in the classroom. These feelings in an adult could easily be described as a form of depression, and in children may actually have the same effect. Tutt (2011) believes that by working closely with par</w:t>
      </w:r>
      <w:r>
        <w:rPr>
          <w:highlight w:val="white"/>
        </w:rPr>
        <w:t xml:space="preserve">ents, teachers can reassure them that school is working towards a solution and cares about the child's educational future, and can offer valuable support to parents who may feel isolated and desperate in the face of extreme behaviour. </w:t>
      </w:r>
    </w:p>
    <w:p w14:paraId="00000018" w14:textId="77777777" w:rsidR="00605289" w:rsidRDefault="007A716C">
      <w:pPr>
        <w:shd w:val="clear" w:color="auto" w:fill="FFFFFF"/>
        <w:spacing w:after="360"/>
        <w:rPr>
          <w:highlight w:val="white"/>
        </w:rPr>
      </w:pPr>
      <w:r>
        <w:rPr>
          <w:highlight w:val="white"/>
        </w:rPr>
        <w:t>Another aspect highl</w:t>
      </w:r>
      <w:r>
        <w:rPr>
          <w:highlight w:val="white"/>
        </w:rPr>
        <w:t>ighted by the critical incident which led me to investigate further was that of health and well being. Children’s health is an integral part of their mental, emotional, social, environmental and spiritual well-being and is supported by attention to these d</w:t>
      </w:r>
      <w:r>
        <w:rPr>
          <w:highlight w:val="white"/>
        </w:rPr>
        <w:t xml:space="preserve">etails. For this reason well-being is important at school because schools have a crucial role to play in assisting students to make healthy lifestyle choices and understand the effects of their choices on their health and well-being. </w:t>
      </w:r>
      <w:r>
        <w:t xml:space="preserve">This is backed by The </w:t>
      </w:r>
      <w:r>
        <w:t>Department of Education (2018) who state that schools play an important role in the advancement of positive mental health in children. Moreover they state that with such a large amount of time spent in the classroom, schools can provide a safe supportive e</w:t>
      </w:r>
      <w:r>
        <w:t xml:space="preserve">nvironment for promoting good emotional wellbeing and be able to detect behaviour changes and signs of mental distress early. According to </w:t>
      </w:r>
      <w:r>
        <w:rPr>
          <w:highlight w:val="white"/>
        </w:rPr>
        <w:t>Poliner &amp; Benson (2017)</w:t>
      </w:r>
      <w:r>
        <w:rPr>
          <w:color w:val="333333"/>
          <w:sz w:val="21"/>
          <w:szCs w:val="21"/>
          <w:highlight w:val="white"/>
        </w:rPr>
        <w:t xml:space="preserve"> </w:t>
      </w:r>
      <w:r>
        <w:t>the social and emotional skills, knowledge and behaviours that children learn during the earl</w:t>
      </w:r>
      <w:r>
        <w:t xml:space="preserve">y years can help them build resilience and encourage a coping technique for how they will control their mental health throughout their lives. There is extensive literature reporting on </w:t>
      </w:r>
      <w:r>
        <w:rPr>
          <w:highlight w:val="white"/>
        </w:rPr>
        <w:t>evidence showing that wellbeing provision in schools can lead to a redu</w:t>
      </w:r>
      <w:r>
        <w:rPr>
          <w:highlight w:val="white"/>
        </w:rPr>
        <w:t>ction in classroom misbehaviour and bullying, along with notable improvements in the mental health, and social and emotional skills of children. From observing the critical incident, it was evident that the school was aware of how important it is to develo</w:t>
      </w:r>
      <w:r>
        <w:rPr>
          <w:highlight w:val="white"/>
        </w:rPr>
        <w:t>p an environment that benefits and protects the mental health of their pupils. Bethune (2018) states that children build a rapport of trust with their peers and by giving them the opportunity to explore and play in a safe and secure environment contributes</w:t>
      </w:r>
      <w:r>
        <w:rPr>
          <w:highlight w:val="white"/>
        </w:rPr>
        <w:t xml:space="preserve"> to improving their wellbeing. There is little wonder why primary schools across the country are trying to combat new methods to support children’s mental health and the worries they may encounter. With most children experiencing some kind of life challeng</w:t>
      </w:r>
      <w:r>
        <w:rPr>
          <w:highlight w:val="white"/>
        </w:rPr>
        <w:t>es that can make them vulnerable, schools are recognising that children at some point may need additional emotional support. For this reason schools are emphasising on improving emotional wellbeing as it is a clear signal of academic attainment, success an</w:t>
      </w:r>
      <w:r>
        <w:rPr>
          <w:highlight w:val="white"/>
        </w:rPr>
        <w:t xml:space="preserve">d satisfaction in later life. </w:t>
      </w:r>
    </w:p>
    <w:p w14:paraId="00000019" w14:textId="77777777" w:rsidR="00605289" w:rsidRDefault="00605289">
      <w:pPr>
        <w:rPr>
          <w:highlight w:val="white"/>
        </w:rPr>
      </w:pPr>
    </w:p>
    <w:p w14:paraId="0000001A" w14:textId="77777777" w:rsidR="00605289" w:rsidRDefault="007A716C">
      <w:pPr>
        <w:rPr>
          <w:highlight w:val="white"/>
        </w:rPr>
      </w:pPr>
      <w:r>
        <w:rPr>
          <w:highlight w:val="white"/>
        </w:rPr>
        <w:t xml:space="preserve">Worryingly, a presentation by the NHS (2018) showed that one in ten primary school children aged five to ten has an identifiable mental health condition. That equates to approximately three children in every class suffering </w:t>
      </w:r>
      <w:r>
        <w:rPr>
          <w:highlight w:val="white"/>
        </w:rPr>
        <w:t xml:space="preserve">from a diagnosable mental health problem. However, Morris and Casey (2006) document that school staff, which include teachers, frequently have inadequate confidence and capacity to help pupils with their emotional and mental health and that it is a hurdle </w:t>
      </w:r>
      <w:r>
        <w:rPr>
          <w:highlight w:val="white"/>
        </w:rPr>
        <w:t>that must be overcome. There can be a distinct dread of making the situation worse and therefore a tendency to refer to health professionals, adding to the pressures on services already in-demand. Despite the known benefits of good wellbeing provision, the</w:t>
      </w:r>
      <w:r>
        <w:rPr>
          <w:highlight w:val="white"/>
        </w:rPr>
        <w:t xml:space="preserve"> education system currently is thought to be </w:t>
      </w:r>
      <w:r>
        <w:rPr>
          <w:highlight w:val="white"/>
        </w:rPr>
        <w:lastRenderedPageBreak/>
        <w:t>unbalanced. The curriculum has been criticised by educators for having too much emphasis on academic achievement and not enough focus on promoting the wellbeing of children.  As a result for young people aged 3-</w:t>
      </w:r>
      <w:r>
        <w:rPr>
          <w:highlight w:val="white"/>
        </w:rPr>
        <w:t>16 the new curriculum for Wales has Health and Wellbeing as one of the six core Areas of Learning and Experience (AoLE) and for the first time  it will be a separate structured part of the curriculum. This new perspective will provide an emphasis on equipp</w:t>
      </w:r>
      <w:r>
        <w:rPr>
          <w:highlight w:val="white"/>
        </w:rPr>
        <w:t>ing young people for life, including through experience and skills-based learning. Teachers are in an influential position to be able to make a positive contribution to the development of children’s self-esteem and guide them on the path to become responsi</w:t>
      </w:r>
      <w:r>
        <w:rPr>
          <w:highlight w:val="white"/>
        </w:rPr>
        <w:t>ble and caring adults (Smith and McKee 2005).</w:t>
      </w:r>
    </w:p>
    <w:p w14:paraId="0000001B" w14:textId="77777777" w:rsidR="00605289" w:rsidRDefault="00605289">
      <w:pPr>
        <w:rPr>
          <w:highlight w:val="white"/>
        </w:rPr>
      </w:pPr>
    </w:p>
    <w:p w14:paraId="0000001C" w14:textId="77777777" w:rsidR="00605289" w:rsidRDefault="007A716C">
      <w:pPr>
        <w:rPr>
          <w:highlight w:val="white"/>
          <w:u w:val="single"/>
        </w:rPr>
      </w:pPr>
      <w:r>
        <w:rPr>
          <w:highlight w:val="white"/>
          <w:u w:val="single"/>
        </w:rPr>
        <w:t xml:space="preserve">Reflection / Evaluation &amp; Next Steps </w:t>
      </w:r>
    </w:p>
    <w:p w14:paraId="0000001D" w14:textId="77777777" w:rsidR="00605289" w:rsidRDefault="00605289">
      <w:pPr>
        <w:rPr>
          <w:b/>
          <w:color w:val="FF0000"/>
          <w:highlight w:val="white"/>
        </w:rPr>
      </w:pPr>
    </w:p>
    <w:p w14:paraId="0000001E" w14:textId="77777777" w:rsidR="00605289" w:rsidRDefault="007A716C">
      <w:pPr>
        <w:shd w:val="clear" w:color="auto" w:fill="FFFFFF"/>
        <w:spacing w:after="360"/>
        <w:rPr>
          <w:u w:val="single"/>
        </w:rPr>
      </w:pPr>
      <w:r>
        <w:t xml:space="preserve">According to Louden (1991), the ability to recognise an uncomfortable predicament that appears as a dilemma will enable the reflector to address the situation in a clearer manner. According to Kolb (1984) the teaching practice is a complex profession that </w:t>
      </w:r>
      <w:r>
        <w:t>exposes teachers every day to new experiences and pedagogical knowledge. Kolb’s learning cycle allows the reflector to structure a piece of reflective writing around four distinct stages namely experience, reflect ,conceptualise and finally the apply stage</w:t>
      </w:r>
      <w:r>
        <w:t>. Having consciously and physically experienced a critical incident, using Kolb’s reflective model (1984) I will review, analyse and evaluate systematically in order to learn something new from the experience which I will then take forward with me in order</w:t>
      </w:r>
      <w:r>
        <w:t xml:space="preserve"> to improve my skills and practice for future personal development. By asking questions such as, Why did child X react in that way? Did child X react the way expected? What were child X’s opinions about the critical incident? What were the opinions of the </w:t>
      </w:r>
      <w:r>
        <w:t>other children involved in this incident? What was the opinion of the teaching assistant? would enable me to have a better understanding about the views of others surrounding the critical incident. When thinking about critical incidents, consideration must</w:t>
      </w:r>
      <w:r>
        <w:t xml:space="preserve"> be taken into non-events which reinforce the idea that when something has happened, this generally means that other things have not happened.Therefore, if the teaching assistant had thought about what did not happen with child X, it may have revealed the </w:t>
      </w:r>
      <w:r>
        <w:t>reason for his disruptive behaviour. This form of thinking strategy would be effective in reflecting on the good and bad points of the critical incident. Thinking about the outcome when child X helped the teacher take the register, could have left the othe</w:t>
      </w:r>
      <w:r>
        <w:t xml:space="preserve">r children feeling isolated and feel that child X was being rewarded for bad behaviour. The teaching assistant could have given child X a warning to reinforce that disruptive behaviour would not be tolerated in the class and furthermore child X could have </w:t>
      </w:r>
      <w:r>
        <w:t>been removed from the classroom. However Bourne and Pollard (1994) state that in classroom teaching, there is often little opportunity to reflect upon problems as teachers must often respond immediately with the ability to know or understand things without</w:t>
      </w:r>
      <w:r>
        <w:t xml:space="preserve"> any proof or evidence. According to Pollard  (2014) reflection can help develop the quality of teaching and provides children with valued learning experiences. However, on the other hand Cottrell (2017) argues that there can be barriers to critical thinki</w:t>
      </w:r>
      <w:r>
        <w:t>ng believing that it is negative activity leading some to believe that it is only necessary to make positive comments rather than searching for areas of development. However in my opinion I believe it to be more beneficial for my future practice if I refle</w:t>
      </w:r>
      <w:r>
        <w:t>ct and be critical of my teaching practice in order to progress.  When presented with a critical incident, it is the personal professional and cultural values of teachers that leads to professional judgment and hence help make the favourable choice of acti</w:t>
      </w:r>
      <w:r>
        <w:t xml:space="preserve">on. According to Richards &amp; Ferrell (2005) in this case professional judgment is a judgment that is influenced by new forms of knowledge as opposed to assumptions that are already existing. Going </w:t>
      </w:r>
      <w:r>
        <w:lastRenderedPageBreak/>
        <w:t>forward my desire would be to use positive strategies to hel</w:t>
      </w:r>
      <w:r>
        <w:t>p pupils develop good behaviors. Therefore, my suggestion on this critical incident is that the teaching assistant would have benefitted using a more</w:t>
      </w:r>
      <w:bookmarkStart w:id="0" w:name="_GoBack"/>
      <w:bookmarkEnd w:id="0"/>
      <w:r>
        <w:t xml:space="preserve"> positive intervention to help child X change their poor behavior. This critical incident has taught me tha</w:t>
      </w:r>
      <w:r>
        <w:t xml:space="preserve">t </w:t>
      </w:r>
      <w:r>
        <w:rPr>
          <w:highlight w:val="white"/>
        </w:rPr>
        <w:t>as a teacher, if encountered with a similar scenario it is important to understand that dealing with children with behavioral issues is a challenging practice that if not dealt with in a sensitive manner may jeopardise my teaching profession. I also need</w:t>
      </w:r>
      <w:r>
        <w:rPr>
          <w:highlight w:val="white"/>
        </w:rPr>
        <w:t xml:space="preserve"> to understand that experiences such as the critical incident that I witnessed are essential in challenging my personal and professional beliefs and develop myself as a professional teacher. From my experience with the critical incident, one of the main be</w:t>
      </w:r>
      <w:r>
        <w:rPr>
          <w:highlight w:val="white"/>
        </w:rPr>
        <w:t xml:space="preserve">nefits I have learnt from it is that professional judgment is like a journey whose perfection depends on reflection. </w:t>
      </w:r>
    </w:p>
    <w:sectPr w:rsidR="0060528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289"/>
    <w:rsid w:val="00605289"/>
    <w:rsid w:val="007A7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gov.wales/qualified-teacher-status-qts"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3583</Words>
  <Characters>20425</Characters>
  <Application>Microsoft Macintosh Word</Application>
  <DocSecurity>0</DocSecurity>
  <Lines>170</Lines>
  <Paragraphs>47</Paragraphs>
  <ScaleCrop>false</ScaleCrop>
  <LinksUpToDate>false</LinksUpToDate>
  <CharactersWithSpaces>23961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2021-10-27T19:07:00Z</dcterms:created>
  <dcterms:modified xsi:type="dcterms:W3CDTF">2021-10-27T19:07:00Z</dcterms:modified>
</cp:coreProperties>
</file>