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3DD87" w14:textId="6A605831" w:rsidR="003D038B" w:rsidRDefault="000275A9" w:rsidP="00DF0927">
      <w:r>
        <w:t>Employment relationship management Donna Macdonald 2413460</w:t>
      </w:r>
    </w:p>
    <w:p w14:paraId="450CC8D0" w14:textId="40F2FCA5" w:rsidR="000275A9" w:rsidRDefault="000275A9" w:rsidP="00DF0927">
      <w:r>
        <w:t xml:space="preserve">Word Count: </w:t>
      </w:r>
      <w:r w:rsidR="007B47B0" w:rsidRPr="009E5BD6">
        <w:rPr>
          <w:strike/>
        </w:rPr>
        <w:t>4112</w:t>
      </w:r>
      <w:r w:rsidR="009E5BD6">
        <w:rPr>
          <w:strike/>
        </w:rPr>
        <w:t xml:space="preserve"> </w:t>
      </w:r>
      <w:r w:rsidR="00095F89" w:rsidRPr="002165D7">
        <w:rPr>
          <w:strike/>
        </w:rPr>
        <w:t>4284</w:t>
      </w:r>
      <w:r w:rsidR="002165D7">
        <w:rPr>
          <w:strike/>
        </w:rPr>
        <w:t xml:space="preserve"> </w:t>
      </w:r>
      <w:r w:rsidR="002165D7" w:rsidRPr="002165D7">
        <w:rPr>
          <w:b/>
          <w:bCs/>
          <w:color w:val="EE0000"/>
        </w:rPr>
        <w:t>4</w:t>
      </w:r>
      <w:r w:rsidR="00CB2B80">
        <w:rPr>
          <w:b/>
          <w:bCs/>
          <w:color w:val="EE0000"/>
        </w:rPr>
        <w:t>295</w:t>
      </w:r>
    </w:p>
    <w:p w14:paraId="20645B9E" w14:textId="77777777" w:rsidR="008609CB" w:rsidRPr="008609CB" w:rsidRDefault="008609CB" w:rsidP="008609CB">
      <w:r w:rsidRPr="008609CB">
        <w:rPr>
          <w:b/>
          <w:bCs/>
        </w:rPr>
        <w:t>AC 1.1 Differentiate between employee involvement and employee participation and how they build relationships</w:t>
      </w:r>
    </w:p>
    <w:p w14:paraId="451B8800" w14:textId="77777777" w:rsidR="008609CB" w:rsidRPr="008609CB" w:rsidRDefault="008609CB" w:rsidP="008609CB">
      <w:r w:rsidRPr="008609CB">
        <w:t>Employee involvement and employee participation are often used interchangeably, but they reflect different levels of engagement and influence within the employment relationship. Understanding these distinctions is crucial in appreciating how they contribute to building positive, trust-based relationships at work (CIPD, 2021a).</w:t>
      </w:r>
    </w:p>
    <w:p w14:paraId="4C3D4C67" w14:textId="77777777" w:rsidR="008609CB" w:rsidRPr="008609CB" w:rsidRDefault="008609CB" w:rsidP="008609CB">
      <w:r w:rsidRPr="008609CB">
        <w:t>Employee involvement refers to a management-led approach where employees are encouraged to contribute ideas, share feedback, and engage with workplace initiatives. However, the decision-making power remains with the employer. It is consultative rather than collaborative. Involvement initiatives might include staff surveys, suggestion schemes, or team briefings (Daniels, 2022). These aim to create a culture where employees feel heard, even though they do not have formal power over outcomes. This type of involvement can enhance motivation, promote openness, and build goodwill when employees see that their input is considered and sometimes acted upon (CIPD, 2021a).</w:t>
      </w:r>
    </w:p>
    <w:p w14:paraId="66A8F48A" w14:textId="77777777" w:rsidR="008609CB" w:rsidRPr="008609CB" w:rsidRDefault="008609CB" w:rsidP="008609CB">
      <w:r w:rsidRPr="008609CB">
        <w:t>In contrast, employee participation goes further by granting employees a degree of influence or decision-making authority over matters that affect them. Participation can take the form of joint consultation committees, trade union representation, or employee representatives on boards (Torrington et al., 2020). It is a more democratic approach and aligns with the pluralist view of employment relations, where multiple interests are recognised and negotiated. Participation reflects a deeper level of trust and encourages long-term engagement, particularly where employees are involved in shaping policies, work design, or organisational change (Armstrong &amp; Taylor, 2023).</w:t>
      </w:r>
    </w:p>
    <w:p w14:paraId="7ABA4C43" w14:textId="77777777" w:rsidR="008609CB" w:rsidRPr="008609CB" w:rsidRDefault="008609CB" w:rsidP="008609CB">
      <w:r w:rsidRPr="008609CB">
        <w:t>Both involvement and participation play a role in shaping the psychological contract, which refers to the unspoken expectations between employer and employee. When employees are involved or participate in decision-making, it signals respect, transparency, and fairness. These qualities help develop a culture of mutual trust, which is essential for good employee relations (CIPD, 2023a). Participation, in particular, can reduce conflict and increase acceptance of difficult organisational decisions because employees have been part of the process (Daniels, 2022).</w:t>
      </w:r>
    </w:p>
    <w:p w14:paraId="580CA963" w14:textId="77777777" w:rsidR="008609CB" w:rsidRPr="008609CB" w:rsidRDefault="008609CB" w:rsidP="008609CB">
      <w:r w:rsidRPr="008609CB">
        <w:t>While involvement might be quicker to implement and more flexible for employers, participation can lead to more sustainable relationships and better outcomes, especially in unionised environments or where large-scale change is taking place. Organisations should consider using both approaches in a complementary way, tailoring them to context and workforce expectations (Armstrong &amp; Taylor, 2023).</w:t>
      </w:r>
    </w:p>
    <w:p w14:paraId="1F7BB9D6" w14:textId="77777777" w:rsidR="008609CB" w:rsidRPr="008609CB" w:rsidRDefault="008609CB" w:rsidP="008609CB">
      <w:pPr>
        <w:rPr>
          <w:b/>
          <w:bCs/>
        </w:rPr>
      </w:pPr>
      <w:r w:rsidRPr="008609CB">
        <w:rPr>
          <w:b/>
          <w:bCs/>
        </w:rPr>
        <w:lastRenderedPageBreak/>
        <w:t>AC 1.2 Compare forms of union and non-union employee representation</w:t>
      </w:r>
    </w:p>
    <w:p w14:paraId="68950395" w14:textId="77777777" w:rsidR="008609CB" w:rsidRPr="00E62804" w:rsidRDefault="008609CB" w:rsidP="008609CB">
      <w:pPr>
        <w:rPr>
          <w:strike/>
        </w:rPr>
      </w:pPr>
      <w:r w:rsidRPr="00E62804">
        <w:rPr>
          <w:strike/>
        </w:rPr>
        <w:t>Employee representation plays a key role in shaping the employment relationship by providing channels for employees to express concerns, influence decisions, and engage with organisational change. Representation can take the form of union or non-union models, each with different structures, legal standing, and implications for employers and employees (CIPD, 2023a).</w:t>
      </w:r>
    </w:p>
    <w:p w14:paraId="37B757DA" w14:textId="77777777" w:rsidR="008609CB" w:rsidRPr="008609CB" w:rsidRDefault="008609CB" w:rsidP="008609CB">
      <w:r w:rsidRPr="008609CB">
        <w:t>Union representation involves formal engagement through recognised trade unions, which are independent bodies that negotiate on behalf of their members. In the UK, union recognition can be voluntary or achieved through a statutory process overseen by the Central Arbitration Committee (CAC), provided the union demonstrates sufficient support. Once recognised, trade unions have the legal right to engage in collective bargaining over pay, hours, and holiday entitlements (TULRCA, 1992). Unions also assist members in grievance and disciplinary matters and may offer legal representation (ACAS, 2023).</w:t>
      </w:r>
    </w:p>
    <w:p w14:paraId="0FB20F2E" w14:textId="10B1B883" w:rsidR="008609CB" w:rsidRPr="00A60262" w:rsidRDefault="008609CB" w:rsidP="008609CB">
      <w:pPr>
        <w:rPr>
          <w:color w:val="EE0000"/>
        </w:rPr>
      </w:pPr>
      <w:r w:rsidRPr="00C0038D">
        <w:rPr>
          <w:strike/>
        </w:rPr>
        <w:t xml:space="preserve">The independence of unions from management is often cited as a major strength. </w:t>
      </w:r>
      <w:r w:rsidR="00C0038D" w:rsidRPr="00C0038D">
        <w:rPr>
          <w:color w:val="FF0000"/>
        </w:rPr>
        <w:t>Unions’ independence from management is particularly valuable in a public sector merger context</w:t>
      </w:r>
      <w:r w:rsidR="00A457DB">
        <w:rPr>
          <w:color w:val="FF0000"/>
        </w:rPr>
        <w:t>,</w:t>
      </w:r>
      <w:r w:rsidR="00C0038D" w:rsidRPr="00C0038D">
        <w:rPr>
          <w:color w:val="FF0000"/>
        </w:rPr>
        <w:t xml:space="preserve"> where employees may fear that service restructuring will lead to job losses or changes to pay structures.</w:t>
      </w:r>
      <w:r w:rsidR="00C0038D">
        <w:t xml:space="preserve"> </w:t>
      </w:r>
      <w:r w:rsidRPr="008609CB">
        <w:t>Employees may be more willing to raise concerns when their representative is not aligned with management. However, union relations can be adversarial, especially if communication is poor or if management is resistant to compromise.</w:t>
      </w:r>
      <w:r w:rsidR="00C0038D">
        <w:t xml:space="preserve"> </w:t>
      </w:r>
      <w:r w:rsidR="00165CD8">
        <w:rPr>
          <w:color w:val="FF0000"/>
        </w:rPr>
        <w:t>W</w:t>
      </w:r>
      <w:r w:rsidR="00C0038D" w:rsidRPr="00C0038D">
        <w:rPr>
          <w:color w:val="FF0000"/>
        </w:rPr>
        <w:t>here two public sector teams are merging into a single function, unions could resist proposed changes to legacy terms and conditions, creating tension between organisational efficiency goals and employee concerns.</w:t>
      </w:r>
      <w:r w:rsidRPr="008609CB">
        <w:t xml:space="preserve"> </w:t>
      </w:r>
      <w:r w:rsidRPr="00AB2F62">
        <w:rPr>
          <w:strike/>
        </w:rPr>
        <w:t xml:space="preserve">Industrial disputes, including strikes, can occur when negotiations break down, affecting service delivery and staff morale (Daniels, </w:t>
      </w:r>
      <w:r w:rsidRPr="0039485C">
        <w:rPr>
          <w:strike/>
        </w:rPr>
        <w:t>2022</w:t>
      </w:r>
      <w:r w:rsidRPr="0039485C">
        <w:t>).</w:t>
      </w:r>
      <w:r w:rsidR="00C0038D" w:rsidRPr="0039485C">
        <w:t xml:space="preserve"> </w:t>
      </w:r>
      <w:r w:rsidR="00A60262" w:rsidRPr="00A60262">
        <w:rPr>
          <w:color w:val="EE0000"/>
        </w:rPr>
        <w:t xml:space="preserve">Breakdowns in negotiation can result in industrial action, with implications for service delivery and morale </w:t>
      </w:r>
      <w:r w:rsidR="00C0038D" w:rsidRPr="00A60262">
        <w:rPr>
          <w:color w:val="EE0000"/>
        </w:rPr>
        <w:t>(Daniels, 2022; Bach, 2021).</w:t>
      </w:r>
    </w:p>
    <w:p w14:paraId="3CFD080A" w14:textId="59947284" w:rsidR="008609CB" w:rsidRPr="0097569F" w:rsidRDefault="008609CB" w:rsidP="008609CB">
      <w:pPr>
        <w:rPr>
          <w:color w:val="FF0000"/>
        </w:rPr>
      </w:pPr>
      <w:r w:rsidRPr="008609CB">
        <w:t>Non-union representation includes mechanisms such as employee forums, staff councils, or elected workplace representatives who liaise with management. These are often voluntary arrangements, created by employers to improve communication and encourage engagement (CIPD, 2021b). Unlike unions, non-union structures do not have statutory powers and cannot engage in formal negotiation or industrial action. They are usually consultative and tend to focus on workplace wellbeing, communication, or minor operational issues</w:t>
      </w:r>
      <w:r w:rsidRPr="00C0038D">
        <w:rPr>
          <w:color w:val="FF0000"/>
        </w:rPr>
        <w:t>.</w:t>
      </w:r>
      <w:r w:rsidR="00C0038D" w:rsidRPr="00C0038D">
        <w:rPr>
          <w:color w:val="FF0000"/>
        </w:rPr>
        <w:t xml:space="preserve"> </w:t>
      </w:r>
      <w:r w:rsidR="00C0038D" w:rsidRPr="0097569F">
        <w:rPr>
          <w:color w:val="FF0000"/>
        </w:rPr>
        <w:t>For the public sector merger scenario, non-union structures such as a merger-specific employee forum may help with change communication and feedback loops. However, the lack of legal power and influence may reduce their credibility in the eyes of staff affected by contractual or structural change.</w:t>
      </w:r>
    </w:p>
    <w:p w14:paraId="522A478A" w14:textId="77777777" w:rsidR="008609CB" w:rsidRPr="008609CB" w:rsidRDefault="008609CB" w:rsidP="008609CB">
      <w:r w:rsidRPr="008609CB">
        <w:t xml:space="preserve">One advantage of non-union representation is its flexibility. It can be adapted to the organisational culture and scaled to fit specific needs. It also tends to promote a </w:t>
      </w:r>
      <w:r w:rsidRPr="008609CB">
        <w:lastRenderedPageBreak/>
        <w:t>cooperative rather than confrontational style of dialogue. However, employees may perceive these mechanisms as symbolic if they lack the power to influence outcomes. Where employees believe their views are not genuinely considered, trust can erode (Torrington et al., 2020).</w:t>
      </w:r>
    </w:p>
    <w:p w14:paraId="3B076627" w14:textId="41BF50F1" w:rsidR="008609CB" w:rsidRPr="00C0038D" w:rsidRDefault="008609CB" w:rsidP="008609CB">
      <w:pPr>
        <w:rPr>
          <w:color w:val="FF0000"/>
        </w:rPr>
      </w:pPr>
      <w:r w:rsidRPr="008609CB">
        <w:t>Some organisations adopt a hybrid model, using both union and non-union approaches. For example, a firm might negotiate pay with a recognised union while also operating internal forums to consult on wellbeing initiatives or cultu</w:t>
      </w:r>
      <w:r w:rsidRPr="00F04813">
        <w:rPr>
          <w:color w:val="000000" w:themeColor="text1"/>
        </w:rPr>
        <w:t>re</w:t>
      </w:r>
      <w:r w:rsidR="00F04813" w:rsidRPr="00F04813">
        <w:rPr>
          <w:color w:val="000000" w:themeColor="text1"/>
        </w:rPr>
        <w:t xml:space="preserve">. </w:t>
      </w:r>
      <w:r w:rsidR="00F04813">
        <w:rPr>
          <w:color w:val="FF0000"/>
        </w:rPr>
        <w:t>T</w:t>
      </w:r>
      <w:r w:rsidR="00C0038D" w:rsidRPr="00C0038D">
        <w:rPr>
          <w:color w:val="FF0000"/>
        </w:rPr>
        <w:t xml:space="preserve">he merged HR team might consider maintaining formal union recognition for national pay and conditions but introducing local staff panels to consult on operational </w:t>
      </w:r>
      <w:r w:rsidR="00C0038D" w:rsidRPr="0041270E">
        <w:rPr>
          <w:color w:val="EE0000"/>
        </w:rPr>
        <w:t xml:space="preserve">decisions. </w:t>
      </w:r>
      <w:r w:rsidRPr="008609CB">
        <w:t xml:space="preserve">This dual strategy can support a broader employee voice if both systems are genuinely supported and resourced </w:t>
      </w:r>
      <w:r w:rsidRPr="00C0038D">
        <w:rPr>
          <w:strike/>
        </w:rPr>
        <w:t>(Armstrong &amp; Taylor, 2023).</w:t>
      </w:r>
      <w:r w:rsidR="00C0038D" w:rsidRPr="00C0038D">
        <w:rPr>
          <w:strike/>
        </w:rPr>
        <w:t xml:space="preserve"> </w:t>
      </w:r>
      <w:r w:rsidR="00C0038D" w:rsidRPr="00C0038D">
        <w:rPr>
          <w:color w:val="FF0000"/>
        </w:rPr>
        <w:t>(Armstrong &amp; Taylor, 2023; Gennard &amp; Judge, 2010).</w:t>
      </w:r>
    </w:p>
    <w:p w14:paraId="25E6CB06" w14:textId="1BF51EC0" w:rsidR="008609CB" w:rsidRPr="00CB0F4F" w:rsidRDefault="008609CB" w:rsidP="008609CB">
      <w:pPr>
        <w:rPr>
          <w:color w:val="FF0000"/>
        </w:rPr>
      </w:pPr>
      <w:r w:rsidRPr="008609CB">
        <w:t>Ultimately, the success of either model depends on trust, clarity of purpose, and the willingness of both sides to engage meaningfully in dialogue.</w:t>
      </w:r>
      <w:r w:rsidR="00CB0F4F">
        <w:t xml:space="preserve"> </w:t>
      </w:r>
    </w:p>
    <w:p w14:paraId="2C0B6CA9" w14:textId="77777777" w:rsidR="007B47B0" w:rsidRPr="008609CB" w:rsidRDefault="007B47B0" w:rsidP="008609CB"/>
    <w:p w14:paraId="4B1F5B3B" w14:textId="77777777" w:rsidR="008609CB" w:rsidRPr="008609CB" w:rsidRDefault="008609CB" w:rsidP="008609CB">
      <w:pPr>
        <w:rPr>
          <w:b/>
          <w:bCs/>
        </w:rPr>
      </w:pPr>
      <w:r w:rsidRPr="008609CB">
        <w:rPr>
          <w:b/>
          <w:bCs/>
        </w:rPr>
        <w:t>AC 1.3 Evaluate the relationship between employee voice and organisational performance</w:t>
      </w:r>
    </w:p>
    <w:p w14:paraId="0CFBCED0" w14:textId="6BFE937D" w:rsidR="008609CB" w:rsidRPr="006A5E4E" w:rsidRDefault="008609CB" w:rsidP="008609CB">
      <w:pPr>
        <w:rPr>
          <w:color w:val="FF0000"/>
        </w:rPr>
      </w:pPr>
      <w:r w:rsidRPr="008609CB">
        <w:t xml:space="preserve">Employee voice refers to the various ways employees communicate their views, concerns, and suggestions to influence organisational decisions. It is a central component of effective employment relations and plays a significant role in shaping organisational culture, performance, and resilience </w:t>
      </w:r>
      <w:r w:rsidR="0043045D" w:rsidRPr="0043045D">
        <w:t>(CIPD, 2024)</w:t>
      </w:r>
      <w:r w:rsidR="0043045D">
        <w:t xml:space="preserve">. </w:t>
      </w:r>
    </w:p>
    <w:p w14:paraId="52DC9B5C" w14:textId="168D9928" w:rsidR="006A5E4E" w:rsidRPr="006A5E4E" w:rsidRDefault="008609CB" w:rsidP="008609CB">
      <w:pPr>
        <w:rPr>
          <w:strike/>
        </w:rPr>
      </w:pPr>
      <w:r w:rsidRPr="008609CB">
        <w:t xml:space="preserve">A strong employee voice is positively associated with higher levels of engagement, motivation, and retention. When employees feel heard, they are more likely to trust leadership, contribute ideas, and remain committed to the organisation’s success. The CIPD (2023b) notes that organisations which create clear channels for employee voice tend to report better wellbeing outcomes, reduced conflict, and improved decision-making. </w:t>
      </w:r>
      <w:r w:rsidRPr="006A5E4E">
        <w:rPr>
          <w:strike/>
        </w:rPr>
        <w:t>This is especially true in environments where staff feedback is acted upon, not merely collected.</w:t>
      </w:r>
      <w:r w:rsidR="006A5E4E">
        <w:rPr>
          <w:strike/>
        </w:rPr>
        <w:t xml:space="preserve"> </w:t>
      </w:r>
      <w:r w:rsidR="006A5E4E" w:rsidRPr="006A5E4E">
        <w:rPr>
          <w:color w:val="FF0000"/>
        </w:rPr>
        <w:t>Where staff concerns are listened to and visibly influence decisions, teams are more likely to buy into change and maintain service standards under pressure.</w:t>
      </w:r>
    </w:p>
    <w:p w14:paraId="480870A0" w14:textId="592A7BD6" w:rsidR="008609CB" w:rsidRPr="008609CB" w:rsidRDefault="008609CB" w:rsidP="008609CB">
      <w:r w:rsidRPr="008609CB">
        <w:t xml:space="preserve">From a performance perspective, enabling employee voice contributes to innovation, agility, and responsiveness. </w:t>
      </w:r>
      <w:r w:rsidRPr="006A5E4E">
        <w:rPr>
          <w:strike/>
        </w:rPr>
        <w:t>For example, in sectors like retail or customer service, employees on the front line often have insights into customer behaviour or operational inefficiencies.</w:t>
      </w:r>
      <w:r w:rsidRPr="008609CB">
        <w:t xml:space="preserve"> </w:t>
      </w:r>
      <w:r w:rsidR="006A5E4E">
        <w:t xml:space="preserve"> </w:t>
      </w:r>
      <w:r w:rsidR="006A5E4E" w:rsidRPr="006A5E4E">
        <w:rPr>
          <w:color w:val="FF0000"/>
        </w:rPr>
        <w:t>Employees closer to service delivery often identify problems early, such as duplicated tasks, inefficient workflows, or unclear responsibilities, particularly when roles are being redefined.</w:t>
      </w:r>
      <w:r w:rsidR="006A5E4E">
        <w:rPr>
          <w:color w:val="FF0000"/>
        </w:rPr>
        <w:t xml:space="preserve"> </w:t>
      </w:r>
      <w:r w:rsidRPr="008609CB">
        <w:t xml:space="preserve">If these insights are captured and integrated into business </w:t>
      </w:r>
      <w:r w:rsidRPr="008609CB">
        <w:lastRenderedPageBreak/>
        <w:t>planning, organisations can improve service delivery and increase competitiveness (Armstrong &amp; Taylor, 2023).</w:t>
      </w:r>
    </w:p>
    <w:p w14:paraId="06D5744F" w14:textId="41612BC9" w:rsidR="008609CB" w:rsidRPr="006A5E4E" w:rsidRDefault="008609CB" w:rsidP="008609CB">
      <w:pPr>
        <w:rPr>
          <w:color w:val="FF0000"/>
        </w:rPr>
      </w:pPr>
      <w:r w:rsidRPr="008609CB">
        <w:t xml:space="preserve">Voice mechanisms can be both formal and informal. Formal channels include trade union representation, employee forums, or consultative committees. Informal voice includes open-door policies, suggestion boxes, and anonymous feedback platforms. The choice of mechanism depends on organisational culture, size, and structure. Importantly, the effectiveness of voice is not just </w:t>
      </w:r>
      <w:r w:rsidRPr="00D62AD9">
        <w:t>about having a channel, but about how the feedback is received and acted upon (Torrington et al., 2020).</w:t>
      </w:r>
      <w:r w:rsidR="006A5E4E" w:rsidRPr="00D62AD9">
        <w:t xml:space="preserve"> </w:t>
      </w:r>
      <w:r w:rsidR="006A5E4E" w:rsidRPr="006A5E4E">
        <w:rPr>
          <w:color w:val="FF0000"/>
        </w:rPr>
        <w:t>Informal feedback routes, such as team check-ins or listening sessions, often surface day-to-day challenges that formal processes miss and can help leadership respond to emerging issues before they escalate.</w:t>
      </w:r>
    </w:p>
    <w:p w14:paraId="45DBA76E" w14:textId="77777777" w:rsidR="008609CB" w:rsidRPr="008609CB" w:rsidRDefault="008609CB" w:rsidP="008609CB">
      <w:r w:rsidRPr="008609CB">
        <w:t xml:space="preserve">There is also a legal and ethical case for voice. Under UK employment law, certain employee voice provisions are mandatory, such as informing and consulting employees during redundancy or TUPE processes (Employment Rights Act 1996; TULRCA 1992). </w:t>
      </w:r>
      <w:r w:rsidRPr="006A5E4E">
        <w:rPr>
          <w:strike/>
        </w:rPr>
        <w:t>Ethically, giving employees a voice reflects a culture of fairness, inclusion, and respect.</w:t>
      </w:r>
      <w:r w:rsidRPr="008609CB">
        <w:t xml:space="preserve"> It contributes to psychological safety, where staff feel safe to speak up without fear of reprisal (CIPD, 2023a).</w:t>
      </w:r>
    </w:p>
    <w:p w14:paraId="16B311A9" w14:textId="2350FD6A" w:rsidR="008609CB" w:rsidRPr="002B6F7B" w:rsidRDefault="008609CB" w:rsidP="008609CB">
      <w:pPr>
        <w:rPr>
          <w:color w:val="FF0000"/>
        </w:rPr>
      </w:pPr>
      <w:r w:rsidRPr="008609CB">
        <w:t xml:space="preserve">However, the link between employee voice and performance is not automatic. Tokenistic approaches can undermine trust and increase cynicism. </w:t>
      </w:r>
      <w:r w:rsidRPr="002B6F7B">
        <w:rPr>
          <w:strike/>
        </w:rPr>
        <w:t>If feedback is consistently ignored or decisions appear predetermined, employees may disengage entirely.</w:t>
      </w:r>
      <w:r w:rsidRPr="008609CB">
        <w:t xml:space="preserve"> </w:t>
      </w:r>
      <w:r w:rsidR="002B6F7B">
        <w:t xml:space="preserve"> </w:t>
      </w:r>
      <w:r w:rsidR="002B6F7B" w:rsidRPr="002B6F7B">
        <w:rPr>
          <w:color w:val="FF0000"/>
        </w:rPr>
        <w:t>Where employees perceive consultation as superficial, with little influence over outcomes, motivation and cooperation can decline</w:t>
      </w:r>
      <w:r w:rsidR="002B6F7B" w:rsidRPr="002B6F7B">
        <w:t>.</w:t>
      </w:r>
      <w:r w:rsidR="002B6F7B">
        <w:t xml:space="preserve"> </w:t>
      </w:r>
      <w:r w:rsidRPr="008609CB">
        <w:t>Additionally, some managers may view voice as a challenge to authority rather than a resource for improvement, particularly in hierarchical or target-driven environments (Daniels, 2022).</w:t>
      </w:r>
      <w:r w:rsidR="002B6F7B">
        <w:t xml:space="preserve"> </w:t>
      </w:r>
      <w:r w:rsidR="002B6F7B" w:rsidRPr="002B6F7B">
        <w:rPr>
          <w:color w:val="FF0000"/>
        </w:rPr>
        <w:t>This can discourage open dialogue and limit opportunities to identify risks or performance issues early.</w:t>
      </w:r>
    </w:p>
    <w:p w14:paraId="5F6062CA" w14:textId="1A29A360" w:rsidR="00513FD5" w:rsidRDefault="008609CB" w:rsidP="00CC2CA5">
      <w:pPr>
        <w:rPr>
          <w:b/>
          <w:bCs/>
        </w:rPr>
      </w:pPr>
      <w:r w:rsidRPr="00155670">
        <w:rPr>
          <w:strike/>
        </w:rPr>
        <w:t>Organisations that get voice right embed it into everyday practices, support it with transparent communication, and hold leaders accountable for listening.</w:t>
      </w:r>
      <w:r w:rsidRPr="008609CB">
        <w:t xml:space="preserve"> </w:t>
      </w:r>
      <w:r w:rsidRPr="002B6F7B">
        <w:rPr>
          <w:strike/>
        </w:rPr>
        <w:t xml:space="preserve">When properly implemented, employee voice is not just good for employees – it is also good for business performance, adaptability, and long-term </w:t>
      </w:r>
      <w:r w:rsidRPr="00F009F0">
        <w:rPr>
          <w:strike/>
        </w:rPr>
        <w:t>sustainability</w:t>
      </w:r>
      <w:r w:rsidRPr="00F009F0">
        <w:t>.</w:t>
      </w:r>
      <w:r w:rsidR="002B6F7B" w:rsidRPr="00F009F0">
        <w:t xml:space="preserve"> </w:t>
      </w:r>
      <w:r w:rsidR="003A32DF" w:rsidRPr="003A32DF">
        <w:rPr>
          <w:color w:val="FF0000"/>
        </w:rPr>
        <w:t>Holding leaders accountable for listening and responding to employee input helps ensure that voice contributes to improved decision-making and sustained performance, rather than becoming a procedural exercise</w:t>
      </w:r>
      <w:r w:rsidR="003A32DF">
        <w:rPr>
          <w:color w:val="FF0000"/>
        </w:rPr>
        <w:t>.</w:t>
      </w:r>
    </w:p>
    <w:p w14:paraId="0CF07400" w14:textId="77777777" w:rsidR="00C77D91" w:rsidRDefault="00C77D91" w:rsidP="00CC2CA5">
      <w:pPr>
        <w:rPr>
          <w:b/>
          <w:bCs/>
        </w:rPr>
      </w:pPr>
    </w:p>
    <w:p w14:paraId="0A44A5F0" w14:textId="77777777" w:rsidR="00C77D91" w:rsidRDefault="00C77D91" w:rsidP="00CC2CA5">
      <w:pPr>
        <w:rPr>
          <w:b/>
          <w:bCs/>
        </w:rPr>
      </w:pPr>
    </w:p>
    <w:p w14:paraId="0E22964B" w14:textId="77777777" w:rsidR="00C77D91" w:rsidRDefault="00C77D91" w:rsidP="00CC2CA5">
      <w:pPr>
        <w:rPr>
          <w:b/>
          <w:bCs/>
        </w:rPr>
      </w:pPr>
    </w:p>
    <w:p w14:paraId="0F8B1C6A" w14:textId="77777777" w:rsidR="00C77D91" w:rsidRDefault="00C77D91" w:rsidP="00CC2CA5">
      <w:pPr>
        <w:rPr>
          <w:b/>
          <w:bCs/>
        </w:rPr>
      </w:pPr>
    </w:p>
    <w:p w14:paraId="12291FD4" w14:textId="5FEC83DA" w:rsidR="00CC2CA5" w:rsidRPr="00CC2CA5" w:rsidRDefault="00CC2CA5" w:rsidP="00CC2CA5">
      <w:r w:rsidRPr="00CC2CA5">
        <w:rPr>
          <w:b/>
          <w:bCs/>
        </w:rPr>
        <w:lastRenderedPageBreak/>
        <w:t>AC 1.4 Explain the concept of better working lives and how this can be designed</w:t>
      </w:r>
    </w:p>
    <w:p w14:paraId="4EB6CEAC" w14:textId="1F827D2F" w:rsidR="00CC2CA5" w:rsidRPr="00CC2CA5" w:rsidRDefault="00CC2CA5" w:rsidP="00CC2CA5">
      <w:r w:rsidRPr="00CC2CA5">
        <w:t>The concept of “better working lives” refers to the aspiration that work should be good for individuals, supporting their wellbeing, development, and financial security. It is a central part of modern employment practices and is gaining momentum as employers face growing expectations to create positive, supportive work environments (CIPD, 2023</w:t>
      </w:r>
      <w:r w:rsidR="00AF0EF0">
        <w:t>b</w:t>
      </w:r>
      <w:r w:rsidRPr="00CC2CA5">
        <w:t>).</w:t>
      </w:r>
      <w:r w:rsidR="002B6F7B">
        <w:t xml:space="preserve"> </w:t>
      </w:r>
    </w:p>
    <w:p w14:paraId="7C1B5759" w14:textId="05F22752" w:rsidR="00FA6BE5" w:rsidRDefault="00CC2CA5" w:rsidP="00CC2CA5">
      <w:pPr>
        <w:rPr>
          <w:color w:val="EE0000"/>
        </w:rPr>
      </w:pPr>
      <w:r w:rsidRPr="00CC2CA5">
        <w:t xml:space="preserve">According to the CIPD’s Good Work Index (2023b), better working lives are characterised by fair pay, job security, autonomy, supportive management, meaningful work, and a healthy work–life balance. These elements are not only important for individual wellbeing but are also linked to productivity, engagement, and lower staff </w:t>
      </w:r>
      <w:r w:rsidRPr="003C2D08">
        <w:rPr>
          <w:color w:val="000000" w:themeColor="text1"/>
        </w:rPr>
        <w:t>turnover</w:t>
      </w:r>
      <w:r w:rsidR="004B2DD4" w:rsidRPr="003C2D08">
        <w:rPr>
          <w:color w:val="000000" w:themeColor="text1"/>
        </w:rPr>
        <w:t xml:space="preserve">. </w:t>
      </w:r>
    </w:p>
    <w:p w14:paraId="2B25ACD1" w14:textId="10FD3778" w:rsidR="00CC2CA5" w:rsidRPr="00CC2CA5" w:rsidRDefault="00CC2CA5" w:rsidP="00CC2CA5">
      <w:r w:rsidRPr="00CC2CA5">
        <w:t xml:space="preserve">Designing better working lives starts with understanding the diverse needs of employees. </w:t>
      </w:r>
      <w:r w:rsidRPr="003C2D08">
        <w:rPr>
          <w:strike/>
        </w:rPr>
        <w:t>What constitutes “good work” can vary depending on life stage, caring responsibilities, or career aspirations</w:t>
      </w:r>
      <w:r w:rsidRPr="00DC2790">
        <w:rPr>
          <w:strike/>
        </w:rPr>
        <w:t>. For example,</w:t>
      </w:r>
      <w:r w:rsidRPr="00CC2CA5">
        <w:t xml:space="preserve"> </w:t>
      </w:r>
      <w:r w:rsidR="00DC2790">
        <w:t>F</w:t>
      </w:r>
      <w:r w:rsidRPr="00CC2CA5">
        <w:t>lexible working is valued highly by parents and carers, while younger employees might prioritise learning opportunities and career progression. Employers should use tools like engagement surveys, exit interviews, and regular one-to-ones to understand what matters most to their workforce (Daniels, 2022).</w:t>
      </w:r>
    </w:p>
    <w:p w14:paraId="5F6388F8" w14:textId="4412161D" w:rsidR="00CC2CA5" w:rsidRPr="00FA6BE5" w:rsidRDefault="00CC2CA5" w:rsidP="00CC2CA5">
      <w:pPr>
        <w:rPr>
          <w:color w:val="EE0000"/>
        </w:rPr>
      </w:pPr>
      <w:r w:rsidRPr="00CC2CA5">
        <w:t>Workplace design can also influence employee experience. This includes job design</w:t>
      </w:r>
      <w:r w:rsidR="001331B0">
        <w:t>,</w:t>
      </w:r>
      <w:r w:rsidRPr="00CC2CA5">
        <w:t xml:space="preserve"> ensuring roles have variety, purpose, and manageable demands</w:t>
      </w:r>
      <w:r w:rsidR="002F6772">
        <w:t>,</w:t>
      </w:r>
      <w:r w:rsidRPr="00CC2CA5">
        <w:t xml:space="preserve"> as well as organisational culture, leadership behaviours, and support for wellbeing. </w:t>
      </w:r>
      <w:r w:rsidRPr="0023241B">
        <w:rPr>
          <w:strike/>
        </w:rPr>
        <w:t>Giving employees more autonomy and involvement in decisions about how they work can boost motivation and satisfaction (Armstrong &amp; Taylor, 2023).</w:t>
      </w:r>
      <w:r w:rsidR="00FA6BE5">
        <w:t xml:space="preserve"> </w:t>
      </w:r>
      <w:r w:rsidR="00334423" w:rsidRPr="00334423">
        <w:rPr>
          <w:color w:val="EE0000"/>
        </w:rPr>
        <w:t>Greater autonomy can improve motivation (Armstrong &amp; Taylor, 2023)</w:t>
      </w:r>
      <w:r w:rsidR="00334423">
        <w:rPr>
          <w:color w:val="EE0000"/>
        </w:rPr>
        <w:t xml:space="preserve">. </w:t>
      </w:r>
      <w:r w:rsidR="00FA6BE5" w:rsidRPr="00FA6BE5">
        <w:rPr>
          <w:color w:val="EE0000"/>
        </w:rPr>
        <w:t>Practical design choices such as clear role boundaries, manageable caseloads, and employee input into working practices help ensure that autonomy does not result in work intensification.</w:t>
      </w:r>
    </w:p>
    <w:p w14:paraId="088A7108" w14:textId="77777777" w:rsidR="00CC2CA5" w:rsidRPr="00CC2CA5" w:rsidRDefault="00CC2CA5" w:rsidP="00CC2CA5">
      <w:r w:rsidRPr="00CC2CA5">
        <w:t>The better working lives agenda is also closely linked to fairness and inclusion. Disparities in access to flexible working, progression opportunities, or health support can create inequalities that affect morale and retention. Employers have a responsibility to remove systemic barriers and build inclusive practices into their policies and people strategy (CIPD, 2023a).</w:t>
      </w:r>
    </w:p>
    <w:p w14:paraId="421EF8B4" w14:textId="77777777" w:rsidR="00CC2CA5" w:rsidRPr="00CC2CA5" w:rsidRDefault="00CC2CA5" w:rsidP="00CC2CA5">
      <w:r w:rsidRPr="00CC2CA5">
        <w:t xml:space="preserve">From a practical standpoint, improving working lives involves initiatives like wellbeing programmes, mental health support, hybrid working policies, and clear career development pathways. </w:t>
      </w:r>
      <w:r w:rsidRPr="003257FF">
        <w:rPr>
          <w:strike/>
        </w:rPr>
        <w:t>The key is not to offer generic benefits but to tailor support to the workforce.</w:t>
      </w:r>
      <w:r w:rsidRPr="00CC2CA5">
        <w:t xml:space="preserve"> For example, hybrid working policies introduced during the pandemic have allowed many employees to achieve better balance and focus, but they require regular review to remain fair and sustainable (CIPD, 2023b).</w:t>
      </w:r>
    </w:p>
    <w:p w14:paraId="3B35FE1B" w14:textId="503D3573" w:rsidR="008609CB" w:rsidRDefault="00CC2CA5" w:rsidP="008609CB">
      <w:r w:rsidRPr="00CC2CA5">
        <w:lastRenderedPageBreak/>
        <w:t>Ultimately, designing better working lives requires long-term commitment. It is not about quick fixes but about embedding good practice across the employee lifecycle</w:t>
      </w:r>
      <w:r w:rsidR="0066356D">
        <w:t xml:space="preserve">, </w:t>
      </w:r>
      <w:r w:rsidRPr="00CC2CA5">
        <w:t>from recruitment to retirement. Employers that invest in this approach are more likely to attract and retain talent, reduce conflict, and build a reputation as an ethical and progressive employer</w:t>
      </w:r>
      <w:r w:rsidR="00CC1DE3">
        <w:t xml:space="preserve">. </w:t>
      </w:r>
    </w:p>
    <w:p w14:paraId="6C5CDBF5" w14:textId="77777777" w:rsidR="008609CB" w:rsidRPr="008609CB" w:rsidRDefault="008609CB" w:rsidP="008609CB"/>
    <w:p w14:paraId="5FFF3432" w14:textId="77777777" w:rsidR="00CC2CA5" w:rsidRPr="00CC2CA5" w:rsidRDefault="00CC2CA5" w:rsidP="00CC2CA5">
      <w:pPr>
        <w:rPr>
          <w:b/>
          <w:bCs/>
        </w:rPr>
      </w:pPr>
      <w:r w:rsidRPr="00CC2CA5">
        <w:rPr>
          <w:b/>
          <w:bCs/>
        </w:rPr>
        <w:t>AC 2.1 Distinguish between organisational conflict and misbehaviour</w:t>
      </w:r>
    </w:p>
    <w:p w14:paraId="5C8240B9" w14:textId="4849E2F6" w:rsidR="00CC2CA5" w:rsidRPr="00CC2CA5" w:rsidRDefault="00CC2CA5" w:rsidP="00CC2CA5">
      <w:r w:rsidRPr="00E06987">
        <w:rPr>
          <w:strike/>
        </w:rPr>
        <w:t>Organisational conflict and employee misbehaviour are distinct but closely linked concepts within the employment relationship</w:t>
      </w:r>
      <w:r w:rsidRPr="00CC2CA5">
        <w:t xml:space="preserve">. </w:t>
      </w:r>
      <w:r w:rsidR="005D3CA1" w:rsidRPr="005D3CA1">
        <w:rPr>
          <w:color w:val="EE0000"/>
        </w:rPr>
        <w:t>Within the organisational change described in the case study, organisational conflict and employee misbehaviour are distinct but closely linked concepts within the employment relationship.</w:t>
      </w:r>
      <w:r w:rsidR="005D3CA1">
        <w:t xml:space="preserve"> </w:t>
      </w:r>
      <w:r w:rsidRPr="00CC2CA5">
        <w:t>While both can disrupt workplace harmony, they differ in intent, causes, and how they should be addressed by management.</w:t>
      </w:r>
    </w:p>
    <w:p w14:paraId="0BF9DBE4" w14:textId="2E29F124" w:rsidR="00CC2CA5" w:rsidRPr="001F1E62" w:rsidRDefault="00CC2CA5" w:rsidP="00CC2CA5">
      <w:pPr>
        <w:rPr>
          <w:color w:val="EE0000"/>
        </w:rPr>
      </w:pPr>
      <w:r w:rsidRPr="00CC2CA5">
        <w:t xml:space="preserve">Organisational conflict refers to disagreements or tensions between individuals, groups, or hierarchies within the organisation. This can arise from differences in goals, communication styles, values, or competition for resources (CIPD, 2023a). </w:t>
      </w:r>
      <w:r w:rsidRPr="00046541">
        <w:rPr>
          <w:strike/>
        </w:rPr>
        <w:t>Conflict is often a natural part of working life, particularly in dynamic or fast-paced environments.</w:t>
      </w:r>
      <w:r w:rsidRPr="00CC2CA5">
        <w:t xml:space="preserve"> </w:t>
      </w:r>
      <w:r w:rsidRPr="006C696B">
        <w:rPr>
          <w:strike/>
        </w:rPr>
        <w:t>Not all conflict is harmful. When managed effectively, it can stimulate innovation, surface hidden problems, and lead to stronger decisions.</w:t>
      </w:r>
      <w:r w:rsidRPr="00CC2CA5">
        <w:t xml:space="preserve"> </w:t>
      </w:r>
      <w:r w:rsidR="006C696B">
        <w:t xml:space="preserve"> </w:t>
      </w:r>
      <w:r w:rsidR="006C696B" w:rsidRPr="006C696B">
        <w:rPr>
          <w:color w:val="EE0000"/>
        </w:rPr>
        <w:t xml:space="preserve">Not all conflict is harmful and, if managed well, can support better decision-making. </w:t>
      </w:r>
      <w:r w:rsidRPr="00CC2CA5">
        <w:t>For instance, a well-facilitated debate over team priorities may strengthen outcomes and build respect among team members (Daniels, 2022).</w:t>
      </w:r>
      <w:r w:rsidR="001F1E62">
        <w:t xml:space="preserve"> </w:t>
      </w:r>
      <w:r w:rsidR="001F1E62" w:rsidRPr="001F1E62">
        <w:rPr>
          <w:color w:val="EE0000"/>
        </w:rPr>
        <w:t>Organisational conflict is therefore primarily relational or structural in nature and does not necessarily involve wrongdoing.</w:t>
      </w:r>
    </w:p>
    <w:p w14:paraId="3433EC65" w14:textId="5EEA6668" w:rsidR="00CC2CA5" w:rsidRPr="00CB590B" w:rsidRDefault="00CC2CA5" w:rsidP="00CC2CA5">
      <w:r w:rsidRPr="00CC2CA5">
        <w:t>Conflict becomes problematic when it is poorly managed or ignored. Prolonged conflict can cause stress, lower morale, increase absenteeism, and damage team cohesion. Common causes include unclear roles, poor communication, lack of support, or perceived unfairness (CIPD, 2023b</w:t>
      </w:r>
      <w:r w:rsidRPr="003B3634">
        <w:rPr>
          <w:strike/>
        </w:rPr>
        <w:t>). In such cases, intervention may be needed through structured resolution processes, such as mediation or facilitated discussion</w:t>
      </w:r>
      <w:r w:rsidR="004E7C87" w:rsidRPr="003B3634">
        <w:rPr>
          <w:strike/>
        </w:rPr>
        <w:t>.</w:t>
      </w:r>
      <w:r w:rsidR="004E7C87">
        <w:t xml:space="preserve"> </w:t>
      </w:r>
      <w:r w:rsidR="00C26142" w:rsidRPr="00C26142">
        <w:rPr>
          <w:color w:val="EE0000"/>
        </w:rPr>
        <w:t>During the integration of two public sector teams under new leadership arrangements, unresolved conflict is more likely to escalate if informal resolution is not applied early and consistently.</w:t>
      </w:r>
      <w:r w:rsidR="004E7C87">
        <w:rPr>
          <w:color w:val="EE0000"/>
        </w:rPr>
        <w:t xml:space="preserve"> </w:t>
      </w:r>
      <w:r w:rsidRPr="00CC2CA5">
        <w:t>In contrast, employee misbehaviour refers to intentional actions that go against workplace rules, norms, or expectations. This may include persistent lateness, deliberate underperformance, insubordination, bullying, or misuse of company systems (ACAS, 2024). Misbehaviour is usually deliberate and is viewed as a breach of trust or discipline. It is addressed through formal procedures, often beginning with informal warnings and escalating to disciplinary action depending on the severity and recurrence</w:t>
      </w:r>
      <w:r w:rsidR="00CB590B">
        <w:t>.</w:t>
      </w:r>
    </w:p>
    <w:p w14:paraId="7AC4655D" w14:textId="77777777" w:rsidR="00147BD8" w:rsidRDefault="00CC2CA5" w:rsidP="00CC2CA5">
      <w:pPr>
        <w:rPr>
          <w:color w:val="EE0000"/>
        </w:rPr>
      </w:pPr>
      <w:r w:rsidRPr="00CC2CA5">
        <w:lastRenderedPageBreak/>
        <w:t xml:space="preserve">Unlike conflict, which often stems from misunderstandings or structural issues, misbehaviour is rooted in an individual’s decision to act contrary to standards. However, the two can be linked. For example, if an unresolved conflict creates frustration, it might lead to acts of passive resistance or disengagement. </w:t>
      </w:r>
      <w:r w:rsidRPr="001115E2">
        <w:rPr>
          <w:strike/>
        </w:rPr>
        <w:t xml:space="preserve">Equally, what appears to be misbehaviour may actually reflect an unacknowledged conflict, especially where a manager misinterprets feedback or challenge as insubordination (Torrington et al., </w:t>
      </w:r>
      <w:r w:rsidRPr="00147BD8">
        <w:rPr>
          <w:strike/>
        </w:rPr>
        <w:t>2020</w:t>
      </w:r>
      <w:r w:rsidRPr="00147BD8">
        <w:t>).</w:t>
      </w:r>
      <w:r w:rsidR="004A4F30" w:rsidRPr="00147BD8">
        <w:t xml:space="preserve"> </w:t>
      </w:r>
      <w:r w:rsidR="00750364" w:rsidRPr="00147BD8">
        <w:t xml:space="preserve"> </w:t>
      </w:r>
      <w:r w:rsidR="00CB590B" w:rsidRPr="00CB590B">
        <w:rPr>
          <w:color w:val="EE0000"/>
        </w:rPr>
        <w:t>Equally, what appears to be misbehaviour may reflect unacknowledged conflict, particularly where resistance to change is misinterpreted as insubordination during organisational transition (Torrington et al., 2020).</w:t>
      </w:r>
    </w:p>
    <w:p w14:paraId="00D6B50A" w14:textId="0BDEA30B" w:rsidR="00CC2CA5" w:rsidRPr="00227448" w:rsidRDefault="00CC2CA5" w:rsidP="00CC2CA5">
      <w:pPr>
        <w:rPr>
          <w:color w:val="EE0000"/>
        </w:rPr>
      </w:pPr>
      <w:r w:rsidRPr="00750364">
        <w:rPr>
          <w:strike/>
        </w:rPr>
        <w:t>Employers should be cautious not to conflate the two. Misclassifying conflict as misconduct may escalate issues unnecessarily and erode trust</w:t>
      </w:r>
      <w:r w:rsidR="003B64FB" w:rsidRPr="00750364">
        <w:rPr>
          <w:strike/>
        </w:rPr>
        <w:t xml:space="preserve">. </w:t>
      </w:r>
      <w:r w:rsidRPr="00750364">
        <w:rPr>
          <w:strike/>
        </w:rPr>
        <w:t>Similarly, failing to act on genuine misbehaviour can set poor precedents and undermine discipline. Clear policies, consistent treatment, and fair procedures are essential for distinguishing and addressing each issue appropriately (Armstrong &amp; Taylor, 2023</w:t>
      </w:r>
      <w:r w:rsidR="00227448" w:rsidRPr="00750364">
        <w:rPr>
          <w:strike/>
        </w:rPr>
        <w:t>.</w:t>
      </w:r>
      <w:r w:rsidR="00227448">
        <w:rPr>
          <w:strike/>
        </w:rPr>
        <w:t xml:space="preserve"> </w:t>
      </w:r>
      <w:r w:rsidR="00032F92">
        <w:rPr>
          <w:strike/>
        </w:rPr>
        <w:t xml:space="preserve"> </w:t>
      </w:r>
      <w:r w:rsidR="00227448">
        <w:rPr>
          <w:strike/>
        </w:rPr>
        <w:t xml:space="preserve"> </w:t>
      </w:r>
      <w:r w:rsidR="00245496" w:rsidRPr="00245496">
        <w:rPr>
          <w:color w:val="EE0000"/>
        </w:rPr>
        <w:t>Employers should be cautious not to conflate the two, as treating conflict as misconduct can escalate tensions</w:t>
      </w:r>
      <w:r w:rsidR="00147BD8">
        <w:rPr>
          <w:color w:val="EE0000"/>
        </w:rPr>
        <w:t xml:space="preserve">. </w:t>
      </w:r>
      <w:r w:rsidR="00245496" w:rsidRPr="00245496">
        <w:rPr>
          <w:color w:val="EE0000"/>
        </w:rPr>
        <w:t>Clear policies, consistent procedures, and fair treatment help managers distinguish between conflict and misbehaviour and respond appropriately (Armstrong &amp; Taylor, 2023; ACAS, 2023).</w:t>
      </w:r>
      <w:r w:rsidR="00245496">
        <w:rPr>
          <w:color w:val="EE0000"/>
        </w:rPr>
        <w:t xml:space="preserve"> </w:t>
      </w:r>
    </w:p>
    <w:p w14:paraId="47EBFE13" w14:textId="147D86BF" w:rsidR="00CC2CA5" w:rsidRDefault="005D5469" w:rsidP="00CC2CA5">
      <w:r w:rsidRPr="005D5469">
        <w:rPr>
          <w:color w:val="EE0000"/>
        </w:rPr>
        <w:t>There is a heightened risk that conflict may be misinterpreted as misconduct where leadership styles and performance expectations shift following structural change.</w:t>
      </w:r>
      <w:r>
        <w:rPr>
          <w:color w:val="EE0000"/>
        </w:rPr>
        <w:t xml:space="preserve"> </w:t>
      </w:r>
      <w:r w:rsidR="00CC2CA5" w:rsidRPr="00CC2CA5">
        <w:t>Ultimately, recognising the differences between conflict and misbehaviour allows for more targeted and effective interventions, protecting both organisational integrity and the employee experience.</w:t>
      </w:r>
      <w:r w:rsidR="00F1526F">
        <w:t xml:space="preserve"> </w:t>
      </w:r>
    </w:p>
    <w:p w14:paraId="39647F55" w14:textId="77777777" w:rsidR="007B47B0" w:rsidRPr="00CC2CA5" w:rsidRDefault="007B47B0" w:rsidP="00CC2CA5"/>
    <w:p w14:paraId="54D2F7B0" w14:textId="77777777" w:rsidR="00CC2CA5" w:rsidRPr="00CC2CA5" w:rsidRDefault="00CC2CA5" w:rsidP="00CC2CA5">
      <w:pPr>
        <w:rPr>
          <w:b/>
          <w:bCs/>
        </w:rPr>
      </w:pPr>
      <w:r w:rsidRPr="00CC2CA5">
        <w:rPr>
          <w:b/>
          <w:bCs/>
        </w:rPr>
        <w:t>AC 2.2 Assess emerging trends in the types of conflict and industrial sanctions</w:t>
      </w:r>
    </w:p>
    <w:p w14:paraId="3C74F4ED" w14:textId="77777777" w:rsidR="00CC2CA5" w:rsidRDefault="00CC2CA5" w:rsidP="00CC2CA5">
      <w:pPr>
        <w:rPr>
          <w:strike/>
        </w:rPr>
      </w:pPr>
      <w:r w:rsidRPr="00E81C51">
        <w:rPr>
          <w:strike/>
        </w:rPr>
        <w:t xml:space="preserve">Workplace conflict continues to evolve in response to broader changes in the labour market, employee expectations, and external pressures such as economic instability or technological disruption. </w:t>
      </w:r>
      <w:r w:rsidRPr="00B135CF">
        <w:rPr>
          <w:strike/>
        </w:rPr>
        <w:t>Understanding emerging trends helps employers prepare appropriate responses and maintain constructive employment relations.</w:t>
      </w:r>
    </w:p>
    <w:p w14:paraId="1839F869" w14:textId="7070278F" w:rsidR="00AB0202" w:rsidRDefault="00F93BC9" w:rsidP="00CC2CA5">
      <w:pPr>
        <w:rPr>
          <w:color w:val="EE0000"/>
        </w:rPr>
      </w:pPr>
      <w:r w:rsidRPr="00F93BC9">
        <w:rPr>
          <w:color w:val="EE0000"/>
        </w:rPr>
        <w:t>Workplace conflict continues to evolve in response to wider labour market changes, employee expectations, and external pressures such as economic instability and technological disruption.</w:t>
      </w:r>
      <w:r>
        <w:rPr>
          <w:color w:val="EE0000"/>
        </w:rPr>
        <w:t xml:space="preserve"> </w:t>
      </w:r>
      <w:r w:rsidR="00CC2CA5" w:rsidRPr="00CC2CA5">
        <w:t xml:space="preserve">One of the most noticeable trends in recent years is the rise in conflict related to hybrid and remote working. While flexible arrangements have improved work–life balance for many, they have also introduced new sources of tension, including communication breakdowns, perceptions of unfairness in workload distribution, and blurred boundaries between work and home life (CIPD, 2023a). </w:t>
      </w:r>
      <w:r w:rsidR="00CC2CA5" w:rsidRPr="00A4282D">
        <w:rPr>
          <w:strike/>
        </w:rPr>
        <w:t xml:space="preserve">Managers may struggle to spot early signs of conflict without regular in-person contact, allowing issues to escalate before being </w:t>
      </w:r>
      <w:r w:rsidR="00CC2CA5" w:rsidRPr="00763B49">
        <w:rPr>
          <w:strike/>
        </w:rPr>
        <w:t>addressed.</w:t>
      </w:r>
      <w:r w:rsidR="008F263C" w:rsidRPr="00763B49">
        <w:t xml:space="preserve"> </w:t>
      </w:r>
      <w:r w:rsidR="00E35C07" w:rsidRPr="00E35C07">
        <w:rPr>
          <w:color w:val="EE0000"/>
        </w:rPr>
        <w:t xml:space="preserve">Where previously separate public </w:t>
      </w:r>
      <w:r w:rsidR="00E35C07" w:rsidRPr="00E35C07">
        <w:rPr>
          <w:color w:val="EE0000"/>
        </w:rPr>
        <w:lastRenderedPageBreak/>
        <w:t>sector teams are integrated, hybrid working arrangements can intensify conflict if expectations and management approaches are not aligned.</w:t>
      </w:r>
      <w:r w:rsidR="00E35C07">
        <w:rPr>
          <w:color w:val="EE0000"/>
        </w:rPr>
        <w:t xml:space="preserve"> </w:t>
      </w:r>
      <w:r w:rsidR="00CC2CA5" w:rsidRPr="00CC2CA5">
        <w:t xml:space="preserve">Another trend is the growing link between conflict and issues of equality, diversity, and inclusion. Employees are increasingly vocal about discriminatory behaviour or systemic bias. This has led to more grievances concerning microaggressions, exclusion from opportunities, or insensitive behaviour. </w:t>
      </w:r>
      <w:r w:rsidR="00CC2CA5" w:rsidRPr="00564072">
        <w:rPr>
          <w:strike/>
        </w:rPr>
        <w:t>Failure to deal with such concerns not only damages morale but can also affect an organisation’s reputation (Daniels, 2022).</w:t>
      </w:r>
      <w:r w:rsidR="004C1251">
        <w:t xml:space="preserve"> </w:t>
      </w:r>
      <w:r w:rsidR="00564072" w:rsidRPr="00564072">
        <w:rPr>
          <w:color w:val="EE0000"/>
        </w:rPr>
        <w:t>Poor handling of such concerns can harm morale and organisational reputation (Daniels</w:t>
      </w:r>
      <w:r w:rsidR="00564072" w:rsidRPr="00FE71BC">
        <w:rPr>
          <w:color w:val="EE0000"/>
        </w:rPr>
        <w:t xml:space="preserve">, </w:t>
      </w:r>
      <w:r w:rsidR="00FE71BC" w:rsidRPr="00FE71BC">
        <w:rPr>
          <w:color w:val="EE0000"/>
        </w:rPr>
        <w:t>2022). These conflicts are often more complex to resolve during organisational change, as they involve values, identity, and perceptions of fairness, requiring sensitive management responses.</w:t>
      </w:r>
      <w:r w:rsidR="00FE71BC">
        <w:rPr>
          <w:color w:val="EE0000"/>
        </w:rPr>
        <w:t xml:space="preserve"> </w:t>
      </w:r>
      <w:r w:rsidR="00CC2CA5" w:rsidRPr="00CC2CA5">
        <w:t>Younger workers, in particular, are more likely to challenge traditional hierarchies and expect a collaborative, transparent working environment</w:t>
      </w:r>
      <w:r w:rsidR="00CC2CA5" w:rsidRPr="00A04BF5">
        <w:rPr>
          <w:strike/>
        </w:rPr>
        <w:t xml:space="preserve">. This generational shift has prompted more open disagreement with management decisions and a greater willingness to challenge perceived unfairness. </w:t>
      </w:r>
      <w:r w:rsidR="00CC2CA5" w:rsidRPr="00887011">
        <w:rPr>
          <w:strike/>
        </w:rPr>
        <w:t>While this can foster accountability, it may also lead to friction where leadership is unprepared for open feedback (CIPD, 2023b).</w:t>
      </w:r>
      <w:r w:rsidR="008F7433">
        <w:t xml:space="preserve"> </w:t>
      </w:r>
      <w:r w:rsidR="00887011">
        <w:rPr>
          <w:color w:val="EE0000"/>
        </w:rPr>
        <w:t xml:space="preserve"> </w:t>
      </w:r>
      <w:r w:rsidR="00740DAC" w:rsidRPr="00740DAC">
        <w:rPr>
          <w:color w:val="EE0000"/>
        </w:rPr>
        <w:t>This generational shift has prompted more open disagreement with management decisions and a greater willingness to challenge perceived unfairness.</w:t>
      </w:r>
      <w:r w:rsidR="00740DAC">
        <w:rPr>
          <w:color w:val="EE0000"/>
        </w:rPr>
        <w:t xml:space="preserve"> </w:t>
      </w:r>
      <w:r w:rsidR="00AB0202" w:rsidRPr="00AB0202">
        <w:rPr>
          <w:color w:val="EE0000"/>
        </w:rPr>
        <w:t>This may increase accountability but can also create friction where leadership is unprepared for open feedback, particularly where management styles have not adapted to more participative expectations (CIPD, 2023b).</w:t>
      </w:r>
    </w:p>
    <w:p w14:paraId="2554F085" w14:textId="77777777" w:rsidR="00161C9F" w:rsidRDefault="00CC2CA5" w:rsidP="00CC2CA5">
      <w:pPr>
        <w:rPr>
          <w:color w:val="EE0000"/>
        </w:rPr>
      </w:pPr>
      <w:r w:rsidRPr="00CC2CA5">
        <w:t>In terms of industrial sanctions, there has been a marked resurgence in strike action and formal disputes, especially in the public sector and transport industries. Rising living costs and inflation have triggered widespread dissatisfaction over pay, pensions, and working conditions. According to recent government data, the UK saw its highest number of strike days in over a decade in 2022 and 2023, with disputes often involving nurses, teachers, and rail workers (Office for National Statistics, 2023).</w:t>
      </w:r>
      <w:r w:rsidR="00102C93">
        <w:t xml:space="preserve"> </w:t>
      </w:r>
      <w:r w:rsidR="00102C93" w:rsidRPr="00102C93">
        <w:rPr>
          <w:color w:val="EE0000"/>
        </w:rPr>
        <w:t>This resurgence reflects not only economic pressure but also a breakdown in trust and dialogue where earlier conflict resolution mechanisms have failed.</w:t>
      </w:r>
      <w:r w:rsidR="000F700D">
        <w:rPr>
          <w:color w:val="EE0000"/>
        </w:rPr>
        <w:t xml:space="preserve"> </w:t>
      </w:r>
      <w:r w:rsidR="00161C9F" w:rsidRPr="00161C9F">
        <w:rPr>
          <w:color w:val="EE0000"/>
        </w:rPr>
        <w:t>For an organisation undergoing structural integration, this wider resurgence in industrial action increases the risk that unresolved collective concerns may escalate if consultation and employee voice mechanisms lack credibility or consistency.</w:t>
      </w:r>
    </w:p>
    <w:p w14:paraId="53FA6155" w14:textId="77777777" w:rsidR="000D4B0F" w:rsidRDefault="00CC2CA5" w:rsidP="00CC2CA5">
      <w:pPr>
        <w:rPr>
          <w:color w:val="EE0000"/>
        </w:rPr>
      </w:pPr>
      <w:r w:rsidRPr="00CC2CA5">
        <w:t>The legal context also continues to evolve. For example, the UK government introduced temporary measures to allow agency workers to cover during strikes</w:t>
      </w:r>
      <w:r w:rsidR="00EA0376">
        <w:t xml:space="preserve">, </w:t>
      </w:r>
      <w:r w:rsidRPr="00CC2CA5">
        <w:t xml:space="preserve">a move heavily criticised by unions and challenged in the High Court, which ruled the change unlawful in 2023 (R v Secretary of State for Business and Trade, 2023). </w:t>
      </w:r>
      <w:r w:rsidRPr="00EA0376">
        <w:rPr>
          <w:strike/>
        </w:rPr>
        <w:t>This case highlighted growing legal scrutiny around the balance between employer flexibility and the right to strike.</w:t>
      </w:r>
      <w:r w:rsidR="003334FD">
        <w:t xml:space="preserve"> </w:t>
      </w:r>
      <w:r w:rsidR="002C6856" w:rsidRPr="002C6856">
        <w:rPr>
          <w:color w:val="EE0000"/>
        </w:rPr>
        <w:t>This development highlights increasing legal and political tension around industrial action and the need for employers to understand associated legal and employee relations risks (ACAS, 2023).</w:t>
      </w:r>
    </w:p>
    <w:p w14:paraId="52FF2FEE" w14:textId="5454CAF1" w:rsidR="00CC2CA5" w:rsidRPr="006E6744" w:rsidRDefault="00CC2CA5" w:rsidP="00CC2CA5">
      <w:pPr>
        <w:rPr>
          <w:color w:val="EE0000"/>
        </w:rPr>
      </w:pPr>
      <w:r w:rsidRPr="00EA0376">
        <w:rPr>
          <w:strike/>
        </w:rPr>
        <w:lastRenderedPageBreak/>
        <w:t>Another trend is the use of informal or “quiet” sanctions, such as social exclusion or withholding development opportunities, especially in workplaces that avoid confrontation. These behaviours may not be captured by formal reporting mechanisms but can have a lasting impact on employee trust and wellbeing.</w:t>
      </w:r>
      <w:r w:rsidR="006E6744" w:rsidRPr="00EA0376">
        <w:rPr>
          <w:strike/>
        </w:rPr>
        <w:t xml:space="preserve"> </w:t>
      </w:r>
    </w:p>
    <w:p w14:paraId="3667918C" w14:textId="269A0803" w:rsidR="00245262" w:rsidRDefault="00CC2CA5" w:rsidP="00CC2CA5">
      <w:pPr>
        <w:rPr>
          <w:b/>
          <w:bCs/>
        </w:rPr>
      </w:pPr>
      <w:r w:rsidRPr="00DE653B">
        <w:rPr>
          <w:strike/>
        </w:rPr>
        <w:t>To manage these developments, employers must invest in proactive conflict resolution strategies. This includes</w:t>
      </w:r>
      <w:r w:rsidRPr="00112E6D">
        <w:rPr>
          <w:strike/>
        </w:rPr>
        <w:t xml:space="preserve"> training managers to have difficult conversations, improving mechanisms for early intervention, and ensuring fair treatment in both formal and informal processes.</w:t>
      </w:r>
      <w:r w:rsidR="006E6744">
        <w:t xml:space="preserve"> </w:t>
      </w:r>
      <w:r w:rsidR="000D4B0F">
        <w:t xml:space="preserve"> </w:t>
      </w:r>
      <w:r w:rsidR="00BD3BCE" w:rsidRPr="00BD3BCE">
        <w:rPr>
          <w:color w:val="EE0000"/>
        </w:rPr>
        <w:t>Without early intervention, consistent consultation, and skilled people management, these trends increase the likelihood that interpersonal conflict will escalate into formal disputes or collective action.</w:t>
      </w:r>
    </w:p>
    <w:p w14:paraId="7AD6BEEB" w14:textId="19D25DDC" w:rsidR="00CC2CA5" w:rsidRPr="00CC2CA5" w:rsidRDefault="00CC2CA5" w:rsidP="00CC2CA5">
      <w:r w:rsidRPr="00CC2CA5">
        <w:rPr>
          <w:b/>
          <w:bCs/>
        </w:rPr>
        <w:t>AC 2.3 Distinguish between third-party conciliation, mediation and arbitration</w:t>
      </w:r>
    </w:p>
    <w:p w14:paraId="1B6730B0" w14:textId="5D839F11" w:rsidR="00CC2CA5" w:rsidRPr="00A23367" w:rsidRDefault="00CC2CA5" w:rsidP="00CC2CA5">
      <w:pPr>
        <w:rPr>
          <w:color w:val="EE0000"/>
        </w:rPr>
      </w:pPr>
      <w:r w:rsidRPr="00DF5D54">
        <w:rPr>
          <w:strike/>
        </w:rPr>
        <w:t>When internal efforts to resolve workplace disputes fail, organisations often turn to third-party interventions.</w:t>
      </w:r>
      <w:r w:rsidRPr="00CC2CA5">
        <w:t xml:space="preserve"> </w:t>
      </w:r>
      <w:r w:rsidRPr="003B4B7A">
        <w:rPr>
          <w:strike/>
        </w:rPr>
        <w:t>The most common approaches are conciliation, mediation, and arbitration. While these all involve independent involvement, each</w:t>
      </w:r>
      <w:r w:rsidRPr="00A23367">
        <w:rPr>
          <w:strike/>
        </w:rPr>
        <w:t xml:space="preserve"> differs in process, formality, and outcome</w:t>
      </w:r>
      <w:r w:rsidR="00F97BCF">
        <w:rPr>
          <w:strike/>
        </w:rPr>
        <w:t xml:space="preserve"> </w:t>
      </w:r>
      <w:r w:rsidR="00F97BCF" w:rsidRPr="00F97BCF">
        <w:rPr>
          <w:color w:val="EE0000"/>
        </w:rPr>
        <w:t>The main approaches are conciliation, mediation, and arbitration, which differ in process, formality, and the level of control retained by the parties.</w:t>
      </w:r>
      <w:r w:rsidR="00EB5C79" w:rsidRPr="00F97BCF">
        <w:rPr>
          <w:strike/>
          <w:color w:val="EE0000"/>
        </w:rPr>
        <w:t xml:space="preserve"> </w:t>
      </w:r>
    </w:p>
    <w:p w14:paraId="60C39864" w14:textId="7D187196" w:rsidR="00CC2CA5" w:rsidRPr="00734D88" w:rsidRDefault="00CC2CA5" w:rsidP="00CC2CA5">
      <w:pPr>
        <w:rPr>
          <w:color w:val="EE0000"/>
        </w:rPr>
      </w:pPr>
      <w:r w:rsidRPr="00CC2CA5">
        <w:t xml:space="preserve">Conciliation is typically used where a formal dispute has arisen, often just before or during early stages of litigation. It is most commonly associated with the Acas Early Conciliation process, which is mandatory before most tribunal claims in the UK can proceed. Conciliation involves an impartial Acas officer helping both parties explore resolution options without offering a judgement. The conciliator facilitates discussion and relays offers between parties but does not decide who is right or wrong (ACAS, 2023). </w:t>
      </w:r>
      <w:r w:rsidRPr="00734D88">
        <w:rPr>
          <w:strike/>
        </w:rPr>
        <w:t>The goal is to encourage a voluntary agreement to avoid the time and cost of tribunal proceedings.</w:t>
      </w:r>
      <w:r w:rsidR="00874D7B" w:rsidRPr="00734D88">
        <w:rPr>
          <w:strike/>
        </w:rPr>
        <w:t xml:space="preserve"> </w:t>
      </w:r>
      <w:r w:rsidR="00734D88" w:rsidRPr="00734D88">
        <w:rPr>
          <w:color w:val="EE0000"/>
        </w:rPr>
        <w:t>The aim is to encourage voluntary agreement and avoid tribunal proceedings.</w:t>
      </w:r>
    </w:p>
    <w:p w14:paraId="411630A0" w14:textId="77777777" w:rsidR="00C31D05" w:rsidRDefault="00CC2CA5" w:rsidP="00CC2CA5">
      <w:pPr>
        <w:rPr>
          <w:color w:val="EE0000"/>
        </w:rPr>
      </w:pPr>
      <w:r w:rsidRPr="00CC2CA5">
        <w:t>Mediation is a voluntary and informal process, often used within workplaces to resolve interpersonal disputes such as communication breakdowns or personality clashes. A trained mediator, either internal or external, helps the parties involved identify issues and agree on a mutually acceptable outcome. Unlike conciliation, mediation typically happens before any formal complaint is made. It is confidential and non-judgemental. Mediation focuses on restoring relationships rather than determining fault, which makes it particularly useful in maintaining longer-term working relationships (Daniels, 2022</w:t>
      </w:r>
      <w:r w:rsidR="008D28EA">
        <w:t>)</w:t>
      </w:r>
      <w:r w:rsidR="005903AF">
        <w:t xml:space="preserve">. </w:t>
      </w:r>
      <w:r w:rsidR="00C31D05" w:rsidRPr="00C31D05">
        <w:rPr>
          <w:color w:val="EE0000"/>
        </w:rPr>
        <w:t>During the integration of staff from previously separate public sector teams, mediation may be particularly valuable for addressing interpersonal tensions while preserving working relationships.</w:t>
      </w:r>
    </w:p>
    <w:p w14:paraId="6275CE7C" w14:textId="6A0E4912" w:rsidR="00CC2CA5" w:rsidRPr="00744C67" w:rsidRDefault="00CC2CA5" w:rsidP="00CC2CA5">
      <w:pPr>
        <w:rPr>
          <w:color w:val="EE0000"/>
        </w:rPr>
      </w:pPr>
      <w:r w:rsidRPr="00CC2CA5">
        <w:t xml:space="preserve">Arbitration is the most formal of the three. It involves both parties presenting their arguments to an independent arbitrator, who makes a binding decision. Arbitration is </w:t>
      </w:r>
      <w:r w:rsidRPr="00CC2CA5">
        <w:lastRenderedPageBreak/>
        <w:t>usually used where there is a prior agreement to use it instead of litigation, often outlined in employment contracts or collective agreements. While it avoids the publicity of tribunal hearings, it shares similarities in procedure, including evidence submission and structured hearings. Acas also provides arbitration in limited circumstances, such as collective disputes over pay (ACAS, 2023).</w:t>
      </w:r>
      <w:r w:rsidR="00744C67">
        <w:t xml:space="preserve"> </w:t>
      </w:r>
    </w:p>
    <w:p w14:paraId="1EF8CDF1" w14:textId="77777777" w:rsidR="00C96F3D" w:rsidRDefault="00CC2CA5" w:rsidP="00CC2CA5">
      <w:pPr>
        <w:rPr>
          <w:color w:val="EE0000"/>
        </w:rPr>
      </w:pPr>
      <w:r w:rsidRPr="00DB3A5C">
        <w:rPr>
          <w:strike/>
        </w:rPr>
        <w:t>The main distinctions lie in outcome and control.</w:t>
      </w:r>
      <w:r w:rsidRPr="00CC2CA5">
        <w:t xml:space="preserve"> </w:t>
      </w:r>
      <w:r w:rsidR="00DB3A5C" w:rsidRPr="00DB3A5C">
        <w:rPr>
          <w:color w:val="EE0000"/>
        </w:rPr>
        <w:t>The main distinctions between conciliation, mediation, and arbitration lie in outcome and control</w:t>
      </w:r>
      <w:r w:rsidR="009F5A28">
        <w:rPr>
          <w:color w:val="EE0000"/>
        </w:rPr>
        <w:t xml:space="preserve">. </w:t>
      </w:r>
      <w:r w:rsidRPr="00CC2CA5">
        <w:t>In mediation and conciliation, parties retain control over the decision and can walk away without agreement. In arbitration, the arbitrator’s decision is final and enforceable. Mediation is generally quicker and more focused on preserving relationships, while arbitration may suit more serious or technical disputes that require a definitive outcome (Armstrong &amp; Taylor, 2023).</w:t>
      </w:r>
      <w:r w:rsidR="00D83EA1">
        <w:t xml:space="preserve"> </w:t>
      </w:r>
      <w:r w:rsidR="00C96F3D" w:rsidRPr="00C96F3D">
        <w:rPr>
          <w:color w:val="EE0000"/>
        </w:rPr>
        <w:t>CIPD guidance emphasises that early use of mediation can reduce the likelihood of disputes escalating into formal processes (CIPD, 2023a).</w:t>
      </w:r>
    </w:p>
    <w:p w14:paraId="1BFDCD8F" w14:textId="4E798141" w:rsidR="00CC2CA5" w:rsidRPr="00CC2CA5" w:rsidRDefault="00CC2CA5" w:rsidP="00CC2CA5">
      <w:r w:rsidRPr="009B65B4">
        <w:rPr>
          <w:strike/>
        </w:rPr>
        <w:t>Choosing the right method depends on the nature of the dispute, its stage, and the desired resolution.</w:t>
      </w:r>
      <w:r w:rsidRPr="00CC2CA5">
        <w:t xml:space="preserve"> </w:t>
      </w:r>
      <w:r w:rsidR="004D6867" w:rsidRPr="004D6867">
        <w:rPr>
          <w:color w:val="EE0000"/>
        </w:rPr>
        <w:t>Choosing the right method depends on the nature of the dispute, its stage, and the desired resolution.</w:t>
      </w:r>
      <w:r w:rsidR="00C34D14">
        <w:rPr>
          <w:color w:val="EE0000"/>
        </w:rPr>
        <w:t xml:space="preserve"> </w:t>
      </w:r>
      <w:r w:rsidRPr="00CC2CA5">
        <w:t>Where relationships need repairing, mediation is often most effective. Where legal clarity is needed, arbitration may be appropriate. Conciliation acts as a middle ground, offering informal support with the potential to prevent escalation.</w:t>
      </w:r>
    </w:p>
    <w:p w14:paraId="4DFA75FB" w14:textId="77777777" w:rsidR="000275A9" w:rsidRPr="000275A9" w:rsidRDefault="000275A9" w:rsidP="000275A9">
      <w:pPr>
        <w:rPr>
          <w:lang w:val="en-US"/>
        </w:rPr>
      </w:pPr>
    </w:p>
    <w:p w14:paraId="767A8DD6" w14:textId="77777777" w:rsidR="00CC2CA5" w:rsidRPr="00CC2CA5" w:rsidRDefault="00CC2CA5" w:rsidP="00CC2CA5">
      <w:r w:rsidRPr="00CC2CA5">
        <w:rPr>
          <w:b/>
          <w:bCs/>
        </w:rPr>
        <w:t>AC 3.1 Explain the principles of legislation relating to unfair dismissal in respect of capability and misconduct issues</w:t>
      </w:r>
    </w:p>
    <w:p w14:paraId="56A0518A" w14:textId="63D42873" w:rsidR="00CC2CA5" w:rsidRPr="00B97B99" w:rsidRDefault="00CC2CA5" w:rsidP="00CC2CA5">
      <w:pPr>
        <w:rPr>
          <w:color w:val="EE0000"/>
        </w:rPr>
      </w:pPr>
      <w:r w:rsidRPr="00CC2CA5">
        <w:t xml:space="preserve">Unfair dismissal occurs when an employee is dismissed without a fair reason or without the employer following a fair procedure, as defined in the Employment Rights Act 1996. </w:t>
      </w:r>
      <w:r w:rsidRPr="0091064C">
        <w:rPr>
          <w:strike/>
        </w:rPr>
        <w:t>Employees must usually have at least two years of continuous service to claim unfair dismissal, although there are exceptions for automatically unfair reasons such as whistleblowing or discrimination.</w:t>
      </w:r>
      <w:r w:rsidR="00B97B99">
        <w:t xml:space="preserve"> </w:t>
      </w:r>
      <w:r w:rsidR="003C126A">
        <w:rPr>
          <w:color w:val="EE0000"/>
        </w:rPr>
        <w:t xml:space="preserve"> </w:t>
      </w:r>
      <w:r w:rsidR="003C126A" w:rsidRPr="003C126A">
        <w:rPr>
          <w:color w:val="EE0000"/>
        </w:rPr>
        <w:t>Employees usually require two years’ continuous service to claim unfair dismissal, subject to exceptions for automatically unfair reasons</w:t>
      </w:r>
      <w:r w:rsidR="003C126A">
        <w:rPr>
          <w:color w:val="EE0000"/>
        </w:rPr>
        <w:t>.</w:t>
      </w:r>
      <w:r w:rsidR="003C126A" w:rsidRPr="003C126A">
        <w:rPr>
          <w:color w:val="EE0000"/>
        </w:rPr>
        <w:t xml:space="preserve"> </w:t>
      </w:r>
      <w:r w:rsidR="00B97B99" w:rsidRPr="00B97B99">
        <w:rPr>
          <w:color w:val="EE0000"/>
        </w:rPr>
        <w:t>(Employment Rights Act 1996; ACAS, 2023)</w:t>
      </w:r>
      <w:r w:rsidR="0048344C">
        <w:rPr>
          <w:color w:val="EE0000"/>
        </w:rPr>
        <w:t>.</w:t>
      </w:r>
      <w:r w:rsidR="00F93ECD">
        <w:rPr>
          <w:color w:val="EE0000"/>
        </w:rPr>
        <w:t xml:space="preserve"> </w:t>
      </w:r>
      <w:r w:rsidR="00F93ECD" w:rsidRPr="00F93ECD">
        <w:rPr>
          <w:color w:val="EE0000"/>
        </w:rPr>
        <w:t>For the organisation described in the scenario, these principles apply to permanent employees affected by restructuring and changes in management approach following the public sector merger.</w:t>
      </w:r>
    </w:p>
    <w:p w14:paraId="5F64EC47" w14:textId="356DC564" w:rsidR="00CC2CA5" w:rsidRPr="00B4689E" w:rsidRDefault="00CC2CA5" w:rsidP="00CC2CA5">
      <w:pPr>
        <w:rPr>
          <w:color w:val="EE0000"/>
        </w:rPr>
      </w:pPr>
      <w:r w:rsidRPr="00CC2CA5">
        <w:t>The Act sets out five potentially fair reasons for dismissal: conduct, capability, redundancy, statutory illegality, and “some other substantial reason” (Employment Rights Act 1996, s.98). Capability and misconduct are two of the most common grounds and must be assessed carefully by employers to avoid legal challenge.</w:t>
      </w:r>
      <w:r w:rsidR="00B4689E">
        <w:t xml:space="preserve"> </w:t>
      </w:r>
      <w:r w:rsidR="00B4689E" w:rsidRPr="00B4689E">
        <w:rPr>
          <w:color w:val="EE0000"/>
        </w:rPr>
        <w:t>Tribunals will assess not only whether the reason for dismissal falls within these categories, but whether the employer acted reasonably in treating that reason as sufficient to dismiss (ACAS, 2023; Daniels, 2022).</w:t>
      </w:r>
      <w:r w:rsidR="004743CB">
        <w:rPr>
          <w:color w:val="EE0000"/>
        </w:rPr>
        <w:t xml:space="preserve"> </w:t>
      </w:r>
    </w:p>
    <w:p w14:paraId="3DC95522" w14:textId="6F2C9BAE" w:rsidR="00CC2CA5" w:rsidRPr="0089430E" w:rsidRDefault="00CC2CA5" w:rsidP="00CC2CA5">
      <w:r w:rsidRPr="00CC2CA5">
        <w:lastRenderedPageBreak/>
        <w:t xml:space="preserve">Dismissal for capability relates to an employee’s ability to perform their role, either due to lack of skill or ill health. Employers must demonstrate that performance issues are genuine, that support has been provided, and that the employee was given a chance to improve. In </w:t>
      </w:r>
      <w:r w:rsidRPr="00CC2CA5">
        <w:rPr>
          <w:i/>
          <w:iCs/>
        </w:rPr>
        <w:t>East Lindsey District Council v Daubney [1977]</w:t>
      </w:r>
      <w:r w:rsidRPr="00CC2CA5">
        <w:t>, it was held that an employer should not dismiss for ill health without consulting the employee and obtaining proper medical evidence. Reasonable adjustments may also be required under the Equality Act 2010 where health issues amount to a disability</w:t>
      </w:r>
      <w:r w:rsidR="0089430E">
        <w:t xml:space="preserve">. </w:t>
      </w:r>
      <w:r w:rsidR="004743CB" w:rsidRPr="004743CB">
        <w:rPr>
          <w:color w:val="EE0000"/>
        </w:rPr>
        <w:t>In the merger context, capability concerns may arise where employees are required to adapt to new systems or altered role expectations, requiring careful performance management and appropriate support.</w:t>
      </w:r>
    </w:p>
    <w:p w14:paraId="6FD3BE0F" w14:textId="65451042" w:rsidR="00CC2CA5" w:rsidRPr="007E1DA9" w:rsidRDefault="00CC2CA5" w:rsidP="00CC2CA5">
      <w:pPr>
        <w:rPr>
          <w:color w:val="EE0000"/>
        </w:rPr>
      </w:pPr>
      <w:r w:rsidRPr="00CC2CA5">
        <w:t xml:space="preserve">Dismissal for misconduct involves behaviour that breaches company policies or expectations. Misconduct can range from persistent lateness to serious breaches like theft or harassment. A key principle is that dismissal must be a proportionate response. In </w:t>
      </w:r>
      <w:r w:rsidRPr="00CC2CA5">
        <w:rPr>
          <w:i/>
          <w:iCs/>
        </w:rPr>
        <w:t>British Home Stores Ltd v Burchell [1978]</w:t>
      </w:r>
      <w:r w:rsidRPr="00CC2CA5">
        <w:t>, the tribunal established that for a misconduct dismissal to be fair, the employer must have a genuine belief in the employee’s guilt, based on a reasonable investigation, and must have acted reasonably in treating that conduct as sufficient grounds for dismissal.</w:t>
      </w:r>
      <w:r w:rsidR="007E1DA9">
        <w:t xml:space="preserve"> </w:t>
      </w:r>
    </w:p>
    <w:p w14:paraId="292F34F2" w14:textId="3A44352E" w:rsidR="00CC2CA5" w:rsidRPr="00CC2CA5" w:rsidRDefault="00CC2CA5" w:rsidP="00CC2CA5">
      <w:r w:rsidRPr="00CC2CA5">
        <w:t>ACAS provides a statutory Code of Practice on Disciplinary and Grievance Procedures, which outlines expected steps for fair handling, including conducting investigations, giving the employee an opportunity to respond, and offering the right to appeal (ACAS, 2023). While the Code is not legally binding, failure to follow it can result in an uplift of up to 25% in compensation awarded by an employment tribunal.</w:t>
      </w:r>
      <w:r w:rsidR="000C3495">
        <w:t xml:space="preserve"> </w:t>
      </w:r>
    </w:p>
    <w:p w14:paraId="130EE62F" w14:textId="2F769B04" w:rsidR="00CC2CA5" w:rsidRPr="00651B8F" w:rsidRDefault="00CC2CA5" w:rsidP="00CC2CA5">
      <w:pPr>
        <w:rPr>
          <w:color w:val="EE0000"/>
        </w:rPr>
      </w:pPr>
      <w:r w:rsidRPr="00CC2CA5">
        <w:t>The test of fairness is assessed by considering whether the employer acted within the range of reasonable responses. This gives employers some discretion but requires consistent, documented, and transparent procedures. Poor handling, even where the reason for dismissal is valid, can still lead to a successful unfair dismissal claim.</w:t>
      </w:r>
      <w:r w:rsidR="00651B8F">
        <w:t xml:space="preserve"> </w:t>
      </w:r>
      <w:r w:rsidR="00651B8F" w:rsidRPr="00651B8F">
        <w:rPr>
          <w:color w:val="EE0000"/>
        </w:rPr>
        <w:t>This principle has been consistently applied by tribunals when assessing procedural fairness and employer decision-making (Iceland Frozen Foods Ltd v Jones [1983]; ACAS, 2023).</w:t>
      </w:r>
    </w:p>
    <w:p w14:paraId="3DA14A61" w14:textId="0D1CF451" w:rsidR="00CC2CA5" w:rsidRPr="003A325B" w:rsidRDefault="00CC2CA5" w:rsidP="00CC2CA5">
      <w:pPr>
        <w:rPr>
          <w:color w:val="EE0000"/>
        </w:rPr>
      </w:pPr>
      <w:r w:rsidRPr="00CC2CA5">
        <w:t xml:space="preserve">In summary, dismissals for capability or misconduct must be handled with care, ensuring procedural fairness, proper evidence, and reasonable judgement. </w:t>
      </w:r>
      <w:r w:rsidRPr="000C3495">
        <w:rPr>
          <w:strike/>
        </w:rPr>
        <w:t>Clear communication, early intervention, and well-trained managers are essential to managing these risks effectively.</w:t>
      </w:r>
      <w:r w:rsidR="003A325B">
        <w:rPr>
          <w:strike/>
        </w:rPr>
        <w:t xml:space="preserve"> </w:t>
      </w:r>
      <w:r w:rsidR="003A325B" w:rsidRPr="003A325B">
        <w:rPr>
          <w:color w:val="EE0000"/>
        </w:rPr>
        <w:t>For the organisation in the scenario, consistent application of these principles will be critical to maintaining fairness, minimising legal risk, and sustaining employee confidence during the merger process.</w:t>
      </w:r>
    </w:p>
    <w:p w14:paraId="4273D8BD" w14:textId="77777777" w:rsidR="007B47B0" w:rsidRPr="003A325B" w:rsidRDefault="007B47B0" w:rsidP="00CC2CA5">
      <w:pPr>
        <w:rPr>
          <w:color w:val="EE0000"/>
        </w:rPr>
      </w:pPr>
    </w:p>
    <w:p w14:paraId="3A74EC81" w14:textId="77777777" w:rsidR="00BC7437" w:rsidRDefault="00BC7437" w:rsidP="00CC2CA5">
      <w:pPr>
        <w:rPr>
          <w:b/>
          <w:bCs/>
        </w:rPr>
      </w:pPr>
    </w:p>
    <w:p w14:paraId="497A35F6" w14:textId="77777777" w:rsidR="001F2ACF" w:rsidRDefault="001F2ACF" w:rsidP="00CC2CA5">
      <w:pPr>
        <w:rPr>
          <w:b/>
          <w:bCs/>
        </w:rPr>
      </w:pPr>
    </w:p>
    <w:p w14:paraId="157FBB1F" w14:textId="2067CEEE" w:rsidR="00CC2CA5" w:rsidRPr="00CC2CA5" w:rsidRDefault="00CC2CA5" w:rsidP="00CC2CA5">
      <w:r w:rsidRPr="00CC2CA5">
        <w:rPr>
          <w:b/>
          <w:bCs/>
        </w:rPr>
        <w:lastRenderedPageBreak/>
        <w:t>AC 3.2 Analyse three key causes of employee grievances</w:t>
      </w:r>
    </w:p>
    <w:p w14:paraId="603A475C" w14:textId="64EA97FC" w:rsidR="00CC2CA5" w:rsidRPr="00994794" w:rsidRDefault="00CC2CA5" w:rsidP="00CC2CA5">
      <w:pPr>
        <w:rPr>
          <w:color w:val="EE0000"/>
        </w:rPr>
      </w:pPr>
      <w:r w:rsidRPr="00F62D4D">
        <w:rPr>
          <w:strike/>
        </w:rPr>
        <w:t>Employee grievances are formal complaints raised by staff when they feel they have been treated unfairly or when working conditions negatively impact their wellbeing. Grievances are a natural part of working life, but if left unresolved, they can damage trust, lead to disengagement, and increase turnover.</w:t>
      </w:r>
      <w:r w:rsidRPr="00CC2CA5">
        <w:t xml:space="preserve"> </w:t>
      </w:r>
      <w:r w:rsidRPr="00DD247D">
        <w:rPr>
          <w:strike/>
        </w:rPr>
        <w:t>While causes vary, three issues consistently appear in grievance cases: unfair treatment, poor communication, and excessive workload or pressure</w:t>
      </w:r>
      <w:r w:rsidR="00513C64" w:rsidRPr="00DD247D">
        <w:rPr>
          <w:strike/>
        </w:rPr>
        <w:t xml:space="preserve">. </w:t>
      </w:r>
      <w:r w:rsidR="00994794" w:rsidRPr="00994794">
        <w:rPr>
          <w:color w:val="EE0000"/>
        </w:rPr>
        <w:t>Employee grievances are formal complaints raised when employees feel treated unfairly or when working conditions negatively affect their wellbeing. If left unresolved, grievances can damage trust, reduce engagement, and increase turnover. Within the public sector merger scenario, three common causes are unfair treatment, poor communication, and excessive workload</w:t>
      </w:r>
      <w:r w:rsidR="00994794">
        <w:rPr>
          <w:color w:val="EE0000"/>
        </w:rPr>
        <w:t>.</w:t>
      </w:r>
    </w:p>
    <w:p w14:paraId="47907E71" w14:textId="7A38BD8F" w:rsidR="00450D96" w:rsidRDefault="00CC2CA5" w:rsidP="00CC2CA5">
      <w:pPr>
        <w:rPr>
          <w:color w:val="EE0000"/>
        </w:rPr>
      </w:pPr>
      <w:r w:rsidRPr="00CC2CA5">
        <w:t>One of the most common causes is perceived unfair treatment, particularly relating to promotions, pay decisions, or disciplinary action. Employees may feel they’ve been overlooked due to bias, favouritism, or inconsistent application of policies</w:t>
      </w:r>
      <w:r w:rsidRPr="007C4658">
        <w:rPr>
          <w:strike/>
        </w:rPr>
        <w:t>. These feelings can intensify where there is a lack of transparency around decision-making or where managers are not trained in handling sensitive matters fairly.</w:t>
      </w:r>
      <w:r w:rsidRPr="00CC2CA5">
        <w:t xml:space="preserve"> </w:t>
      </w:r>
      <w:r w:rsidRPr="00FC7CBE">
        <w:rPr>
          <w:strike/>
        </w:rPr>
        <w:t xml:space="preserve">Perceptions of injustice undermine the psychological contract and are often linked to wider cultural issues in the </w:t>
      </w:r>
      <w:r w:rsidRPr="00400426">
        <w:rPr>
          <w:strike/>
        </w:rPr>
        <w:t xml:space="preserve">organisation </w:t>
      </w:r>
      <w:r w:rsidR="008E4B43" w:rsidRPr="00400426">
        <w:rPr>
          <w:strike/>
        </w:rPr>
        <w:t xml:space="preserve">(CIPD, 2023a; Torrington et al., 2020). </w:t>
      </w:r>
      <w:r w:rsidR="00135FBD" w:rsidRPr="00135FBD">
        <w:rPr>
          <w:color w:val="EE0000"/>
        </w:rPr>
        <w:t xml:space="preserve">Perceptions of injustice undermine the psychological contract and are particularly likely to arise where previously separate public sector teams are </w:t>
      </w:r>
      <w:r w:rsidR="0087716A" w:rsidRPr="00135FBD">
        <w:rPr>
          <w:color w:val="EE0000"/>
        </w:rPr>
        <w:t>merged,</w:t>
      </w:r>
      <w:r w:rsidR="00135FBD" w:rsidRPr="00135FBD">
        <w:rPr>
          <w:color w:val="EE0000"/>
        </w:rPr>
        <w:t xml:space="preserve"> and employees perceive inconsistent treatment under new leadership (CIPD, 2023a; Torrington et al., 2020).</w:t>
      </w:r>
    </w:p>
    <w:p w14:paraId="7A3057D0" w14:textId="6DCD217D" w:rsidR="00CC2CA5" w:rsidRPr="00B6760E" w:rsidRDefault="00CC2CA5" w:rsidP="00CC2CA5">
      <w:pPr>
        <w:rPr>
          <w:color w:val="EE0000"/>
        </w:rPr>
      </w:pPr>
      <w:r w:rsidRPr="00CC2CA5">
        <w:t xml:space="preserve">Communication problems are another major cause of grievances. This includes unclear expectations, poor feedback, and inconsistent messaging from managers. </w:t>
      </w:r>
      <w:r w:rsidRPr="00D63EAF">
        <w:rPr>
          <w:strike/>
        </w:rPr>
        <w:t>In some cases, a lack of explanation for organisational changes or decisions can lead to resentment, especially when changes affect job roles, pay, or benefits</w:t>
      </w:r>
      <w:r w:rsidRPr="00D63EAF">
        <w:rPr>
          <w:strike/>
          <w:color w:val="EE0000"/>
        </w:rPr>
        <w:t>.</w:t>
      </w:r>
      <w:r w:rsidRPr="00D63EAF">
        <w:rPr>
          <w:color w:val="EE0000"/>
        </w:rPr>
        <w:t xml:space="preserve"> </w:t>
      </w:r>
      <w:r w:rsidR="00E91881" w:rsidRPr="00E91881">
        <w:rPr>
          <w:color w:val="EE0000"/>
        </w:rPr>
        <w:t>When communication breaks down, employees may feel unsupported or misinformed. During the merger of previously separate public sector teams, limited explanation about changes to structures, roles, or reporting lines can increase resentment and grievance activity</w:t>
      </w:r>
      <w:r w:rsidR="00D77D3C">
        <w:rPr>
          <w:color w:val="EE0000"/>
        </w:rPr>
        <w:t>.</w:t>
      </w:r>
      <w:r w:rsidR="00D63EAF">
        <w:t xml:space="preserve"> </w:t>
      </w:r>
      <w:r w:rsidRPr="00CC2CA5">
        <w:t>Poor communication can also cause misunderstandings between colleagues, escalating into interpersonal conflict or claims of bullying or exclusion (ACAS, 2024).</w:t>
      </w:r>
      <w:r w:rsidR="00B6760E">
        <w:t xml:space="preserve"> </w:t>
      </w:r>
    </w:p>
    <w:p w14:paraId="2BA5B947" w14:textId="66665438" w:rsidR="00CC2CA5" w:rsidRPr="000F167C" w:rsidRDefault="00CC2CA5" w:rsidP="00CC2CA5">
      <w:pPr>
        <w:rPr>
          <w:color w:val="EE0000"/>
        </w:rPr>
      </w:pPr>
      <w:r w:rsidRPr="001B07FC">
        <w:rPr>
          <w:strike/>
        </w:rPr>
        <w:t>A third key cause is unmanageable workload and pressure.</w:t>
      </w:r>
      <w:r w:rsidRPr="00CC2CA5">
        <w:t xml:space="preserve"> </w:t>
      </w:r>
      <w:r w:rsidR="001B07FC" w:rsidRPr="001B07FC">
        <w:rPr>
          <w:color w:val="EE0000"/>
        </w:rPr>
        <w:t>A third key cause within the public sector merger scenario is unmanageable workload and pressure.</w:t>
      </w:r>
      <w:r w:rsidR="001B07FC">
        <w:t xml:space="preserve"> </w:t>
      </w:r>
      <w:r w:rsidRPr="00CC2CA5">
        <w:t>This has become more prominent with the rise of remote and hybrid working, where boundaries between work and home are often blurred. Employees may feel they are expected to be constantly available, or that targets are unrealistic. If performance pressures are not managed with appropriate support, staff can experience burnout, stress, and a drop in morale. This environment is a breeding ground for formal complaints, particularly if concerns are repeatedly raised and ignored (CIPD, 2023b).</w:t>
      </w:r>
      <w:r w:rsidR="000F167C">
        <w:t xml:space="preserve"> </w:t>
      </w:r>
    </w:p>
    <w:p w14:paraId="1012A099" w14:textId="77777777" w:rsidR="00DA138E" w:rsidRDefault="00CC2CA5" w:rsidP="00CC2CA5">
      <w:pPr>
        <w:rPr>
          <w:b/>
          <w:bCs/>
          <w:color w:val="EE0000"/>
        </w:rPr>
      </w:pPr>
      <w:r w:rsidRPr="00CC2CA5">
        <w:lastRenderedPageBreak/>
        <w:t xml:space="preserve">While these causes can overlap, they all point to the importance of fair processes, manager capability, and open communication. </w:t>
      </w:r>
      <w:r w:rsidRPr="007964B8">
        <w:rPr>
          <w:strike/>
        </w:rPr>
        <w:t xml:space="preserve">Employers should actively monitor the workplace climate, listen to concerns early, and ensure that policies are applied consistently. </w:t>
      </w:r>
      <w:r w:rsidRPr="00485E4F">
        <w:rPr>
          <w:strike/>
        </w:rPr>
        <w:t>Grievance data can also be a valuable source of insight into emerging issues or systemic risks that require intervention</w:t>
      </w:r>
      <w:r w:rsidR="00485E4F">
        <w:rPr>
          <w:strike/>
        </w:rPr>
        <w:t xml:space="preserve">.  </w:t>
      </w:r>
      <w:r w:rsidR="00DA138E" w:rsidRPr="00DA138E">
        <w:rPr>
          <w:color w:val="EE0000"/>
        </w:rPr>
        <w:t>Employers should monitor workplace climate, address concerns early, and apply policies consistently. Grievance data can highlight emerging risks linked to workload, communication, or inconsistent management practices during the integration of public sector teams.</w:t>
      </w:r>
      <w:r w:rsidR="00DA138E" w:rsidRPr="00DA138E">
        <w:rPr>
          <w:b/>
          <w:bCs/>
          <w:color w:val="EE0000"/>
        </w:rPr>
        <w:t xml:space="preserve"> </w:t>
      </w:r>
    </w:p>
    <w:p w14:paraId="7E0840BE" w14:textId="77777777" w:rsidR="00DA138E" w:rsidRDefault="00DA138E" w:rsidP="00CC2CA5">
      <w:pPr>
        <w:rPr>
          <w:b/>
          <w:bCs/>
          <w:color w:val="EE0000"/>
        </w:rPr>
      </w:pPr>
    </w:p>
    <w:p w14:paraId="4B1368A8" w14:textId="35A7B645" w:rsidR="00CC2CA5" w:rsidRPr="00CC2CA5" w:rsidRDefault="00CC2CA5" w:rsidP="00CC2CA5">
      <w:r w:rsidRPr="00CC2CA5">
        <w:rPr>
          <w:b/>
          <w:bCs/>
        </w:rPr>
        <w:t>AC 3.3 Advise on the importance of handling grievances effectively</w:t>
      </w:r>
    </w:p>
    <w:p w14:paraId="42A2CEB8" w14:textId="7F28BCF5" w:rsidR="00CC2CA5" w:rsidRPr="00E420C5" w:rsidRDefault="00CC2CA5" w:rsidP="00CC2CA5">
      <w:pPr>
        <w:rPr>
          <w:color w:val="EE0000"/>
        </w:rPr>
      </w:pPr>
      <w:r w:rsidRPr="00F74542">
        <w:rPr>
          <w:strike/>
        </w:rPr>
        <w:t>Handling grievances effectively is essential for maintaining trust, fairness, and a positive working environment</w:t>
      </w:r>
      <w:r w:rsidRPr="00B7599E">
        <w:rPr>
          <w:color w:val="EE0000"/>
        </w:rPr>
        <w:t>.</w:t>
      </w:r>
      <w:r w:rsidR="00B7599E" w:rsidRPr="00B7599E">
        <w:rPr>
          <w:color w:val="EE0000"/>
        </w:rPr>
        <w:t xml:space="preserve"> Handling grievances effectively is essential for maintaining trust, fairness, and a positive working environment during the public sector merger described in the scenario.</w:t>
      </w:r>
      <w:r w:rsidRPr="00CC2CA5">
        <w:t xml:space="preserve"> </w:t>
      </w:r>
      <w:r w:rsidRPr="008B3960">
        <w:rPr>
          <w:strike/>
        </w:rPr>
        <w:t xml:space="preserve">When employees raise concerns and feel genuinely heard, it strengthens engagement and shows that the organisation values openness. </w:t>
      </w:r>
      <w:r w:rsidRPr="00CC2CA5">
        <w:t>On the other hand, poor grievance management can lead to resentment, increased turnover, and even legal action.</w:t>
      </w:r>
      <w:r w:rsidR="001A44CE">
        <w:t xml:space="preserve"> </w:t>
      </w:r>
    </w:p>
    <w:p w14:paraId="6F3E489B" w14:textId="0B898908" w:rsidR="00BD024C" w:rsidRDefault="00CC2CA5" w:rsidP="00CC2CA5">
      <w:pPr>
        <w:rPr>
          <w:color w:val="EE0000"/>
        </w:rPr>
      </w:pPr>
      <w:r w:rsidRPr="00CC2CA5">
        <w:t xml:space="preserve">A key reason to address grievances promptly and fairly is to prevent escalation. What begins as a minor issue can quickly grow if ignored. </w:t>
      </w:r>
      <w:r w:rsidRPr="002941A7">
        <w:rPr>
          <w:strike/>
        </w:rPr>
        <w:t xml:space="preserve">For instance, a grievance about workload or favouritism may lead to wider disengagement or group dissatisfaction if not resolved. </w:t>
      </w:r>
      <w:r w:rsidRPr="002E244A">
        <w:rPr>
          <w:strike/>
        </w:rPr>
        <w:t>Early intervention helps contain problems and maintain morale, particularly in teams where harmony is essential to productivity (CIPD, 2023a</w:t>
      </w:r>
      <w:r w:rsidR="000F1E3E">
        <w:rPr>
          <w:strike/>
        </w:rPr>
        <w:t xml:space="preserve">. </w:t>
      </w:r>
      <w:r w:rsidR="00ED0BFA" w:rsidRPr="00ED0BFA">
        <w:t xml:space="preserve"> </w:t>
      </w:r>
      <w:r w:rsidR="000F1E3E" w:rsidRPr="000F1E3E">
        <w:rPr>
          <w:color w:val="EE0000"/>
        </w:rPr>
        <w:t>For instance, a grievance about workload or favouritism may escalate if not resolved. Early intervention helps contain problems, particularly where teams are adjusting to new leadership structures (CIPD, 2023a).</w:t>
      </w:r>
    </w:p>
    <w:p w14:paraId="3137C92F" w14:textId="1BA8F8F9" w:rsidR="00CC2CA5" w:rsidRPr="00CC2CA5" w:rsidRDefault="00CC2CA5" w:rsidP="00CC2CA5">
      <w:r w:rsidRPr="00CC2CA5">
        <w:t>Another benefit is that effective grievance handling reinforces a culture of fairness and</w:t>
      </w:r>
      <w:r w:rsidRPr="00CC2CA5">
        <w:rPr>
          <w:b/>
          <w:bCs/>
        </w:rPr>
        <w:t xml:space="preserve"> </w:t>
      </w:r>
      <w:r w:rsidRPr="00CC2CA5">
        <w:t xml:space="preserve">respect. When employees see that concerns are taken seriously and addressed impartially, it boosts confidence in leadership. This is particularly important in diverse workplaces where individuals may be more vulnerable to exclusion, unconscious bias, or inappropriate behaviour. </w:t>
      </w:r>
      <w:r w:rsidRPr="00BD024C">
        <w:rPr>
          <w:strike/>
        </w:rPr>
        <w:t>Organisations that take complaints seriously are more likely to retain talent and protect their reputation (ACAS, 2023).</w:t>
      </w:r>
      <w:r w:rsidR="00B86D7A">
        <w:t xml:space="preserve"> </w:t>
      </w:r>
      <w:r w:rsidR="00571305" w:rsidRPr="00571305">
        <w:rPr>
          <w:color w:val="EE0000"/>
        </w:rPr>
        <w:t>Consistent grievance handling supports confidence in leadership and reduces perceptions of favouritism during organisational change (ACAS, 2023).</w:t>
      </w:r>
      <w:r w:rsidR="00C31696">
        <w:rPr>
          <w:color w:val="EE0000"/>
        </w:rPr>
        <w:t xml:space="preserve"> </w:t>
      </w:r>
      <w:r w:rsidR="00B86D7A" w:rsidRPr="00B86D7A">
        <w:rPr>
          <w:color w:val="EE0000"/>
        </w:rPr>
        <w:t>Research shows that perceived procedural fairness is a key predictor of employee trust and acceptance of outcomes, even where the decision itself is not favourable (Torrington et al., 2020).</w:t>
      </w:r>
    </w:p>
    <w:p w14:paraId="442DDDA0" w14:textId="12E44948" w:rsidR="00CC2CA5" w:rsidRPr="00453E60" w:rsidRDefault="00CC2CA5" w:rsidP="00CC2CA5">
      <w:pPr>
        <w:rPr>
          <w:color w:val="EE0000"/>
        </w:rPr>
      </w:pPr>
      <w:r w:rsidRPr="00CC2CA5">
        <w:t xml:space="preserve">Grievance handling is also crucial for legal risk management. If internal procedures are poor or inconsistent, employees may feel forced to pursue claims externally. </w:t>
      </w:r>
      <w:r w:rsidRPr="004B2DD3">
        <w:rPr>
          <w:strike/>
        </w:rPr>
        <w:t xml:space="preserve">Tribunals look unfavourably on employers who have not followed the ACAS Code of Practice, </w:t>
      </w:r>
      <w:r w:rsidRPr="004B2DD3">
        <w:rPr>
          <w:strike/>
        </w:rPr>
        <w:lastRenderedPageBreak/>
        <w:t>which recommends having clear procedures, treating grievances confidentially, and offering employees the chance to explain their concerns and appeal outcomes.</w:t>
      </w:r>
      <w:r w:rsidRPr="00CC2CA5">
        <w:t xml:space="preserve"> </w:t>
      </w:r>
      <w:r w:rsidRPr="00B86D7A">
        <w:rPr>
          <w:strike/>
        </w:rPr>
        <w:t>A failure to comply can result in increased compensation if a claim is upheld (Employment Rights Act 1996; ACAS, 2023).</w:t>
      </w:r>
      <w:r w:rsidR="00453E60">
        <w:rPr>
          <w:strike/>
        </w:rPr>
        <w:t xml:space="preserve"> </w:t>
      </w:r>
      <w:r w:rsidR="004B2DD3" w:rsidRPr="004B2DD3">
        <w:rPr>
          <w:color w:val="EE0000"/>
        </w:rPr>
        <w:t>Tribunals look unfavourably on employers who have not followed the ACAS Code of Practice, particularly where organisations undergoing structural change fail to apply grievance procedures consistently across merged teams</w:t>
      </w:r>
      <w:r w:rsidR="004B2DD3">
        <w:rPr>
          <w:color w:val="EE0000"/>
        </w:rPr>
        <w:t xml:space="preserve">. </w:t>
      </w:r>
      <w:r w:rsidR="00453E60" w:rsidRPr="00453E60">
        <w:rPr>
          <w:color w:val="EE0000"/>
        </w:rPr>
        <w:t>Failure to follow the ACAS Code of Practice may result in an uplift of up to 25 per cent in tribunal compensation awards where a claim is successful (ACAS, 2023).</w:t>
      </w:r>
    </w:p>
    <w:p w14:paraId="2E9C1CE4" w14:textId="5A59DA1C" w:rsidR="00CC2CA5" w:rsidRPr="003C2263" w:rsidRDefault="00CC2CA5" w:rsidP="00CC2CA5">
      <w:pPr>
        <w:rPr>
          <w:color w:val="EE0000"/>
        </w:rPr>
      </w:pPr>
      <w:r w:rsidRPr="0000653D">
        <w:rPr>
          <w:strike/>
        </w:rPr>
        <w:t>Importantly, grievances can also provide valuable insight into systemic issues.</w:t>
      </w:r>
      <w:r w:rsidRPr="00CC2CA5">
        <w:t xml:space="preserve"> </w:t>
      </w:r>
      <w:r w:rsidR="0000653D" w:rsidRPr="0000653D">
        <w:rPr>
          <w:color w:val="EE0000"/>
        </w:rPr>
        <w:t>In the context of the public sector merger, grievances can also provide valuable insight into systemic issues.</w:t>
      </w:r>
      <w:r w:rsidR="0000653D">
        <w:t xml:space="preserve"> </w:t>
      </w:r>
      <w:r w:rsidRPr="00CC2CA5">
        <w:t xml:space="preserve">Patterns in complaints might reveal deeper problems in leadership, policies, or culture. </w:t>
      </w:r>
      <w:r w:rsidRPr="00BA3255">
        <w:rPr>
          <w:strike/>
        </w:rPr>
        <w:t>For example, repeated grievances about workload or communication could indicate a need for better resource planning or manager training.</w:t>
      </w:r>
      <w:r w:rsidRPr="00CC2CA5">
        <w:t xml:space="preserve"> </w:t>
      </w:r>
      <w:r w:rsidR="00BA3255">
        <w:t xml:space="preserve"> </w:t>
      </w:r>
      <w:r w:rsidR="0071470C" w:rsidRPr="0071470C">
        <w:rPr>
          <w:color w:val="EE0000"/>
        </w:rPr>
        <w:t xml:space="preserve">Repeated grievances about workload or communication may indicate wider resourcing or management issues. </w:t>
      </w:r>
      <w:r w:rsidRPr="00CC2CA5">
        <w:t>By analysing grievance trends, organisations can make targeted improvements and prevent future issues (CIPD, 2023b).</w:t>
      </w:r>
      <w:r w:rsidR="003C2263">
        <w:t xml:space="preserve"> </w:t>
      </w:r>
      <w:r w:rsidR="003C2263" w:rsidRPr="003C2263">
        <w:rPr>
          <w:color w:val="EE0000"/>
        </w:rPr>
        <w:t>Using grievance data proactively allows employers to address root causes and demonstrates a commitment to continuous improvement.</w:t>
      </w:r>
    </w:p>
    <w:p w14:paraId="360D2188" w14:textId="0BC54B7A" w:rsidR="00CC2CA5" w:rsidRPr="007762BA" w:rsidRDefault="00CC2CA5" w:rsidP="00CC2CA5">
      <w:r w:rsidRPr="00CC2CA5">
        <w:t>To manage grievances well, organisations should ensure managers are trained to listen, stay impartial, and document proceedings clearly. They should also encourage early resolution where possible, through informal discussion or mediation. Where formal processes are needed, timelines should be followed, and outcomes communicated respectfully</w:t>
      </w:r>
      <w:r w:rsidR="007762BA">
        <w:t>.</w:t>
      </w:r>
    </w:p>
    <w:p w14:paraId="0A8F3AC1" w14:textId="12D31DAE" w:rsidR="00CC2CA5" w:rsidRDefault="00CC2CA5" w:rsidP="000275A9">
      <w:pPr>
        <w:rPr>
          <w:color w:val="EE0000"/>
        </w:rPr>
      </w:pPr>
      <w:r w:rsidRPr="00CC2CA5">
        <w:t>In summary, effective grievance handling protects relationships, supports legal compliance, and improves organisational learning. It is not just a process to manage complaints but an opportunity to build a culture of trust and</w:t>
      </w:r>
      <w:r w:rsidRPr="00222E9D">
        <w:t xml:space="preserve"> accountability</w:t>
      </w:r>
      <w:r w:rsidR="00222E9D" w:rsidRPr="00222E9D">
        <w:t xml:space="preserve">. </w:t>
      </w:r>
      <w:r w:rsidR="00492D6D" w:rsidRPr="00492D6D">
        <w:rPr>
          <w:color w:val="EE0000"/>
        </w:rPr>
        <w:t>For the organisation, treating grievance handling as a strategic priority supports stable employment relationships during organisational change.</w:t>
      </w:r>
    </w:p>
    <w:p w14:paraId="5E135C09" w14:textId="77777777" w:rsidR="00DE4B6A" w:rsidRDefault="00DE4B6A" w:rsidP="000275A9">
      <w:pPr>
        <w:rPr>
          <w:color w:val="EE0000"/>
        </w:rPr>
      </w:pPr>
    </w:p>
    <w:p w14:paraId="5B8B118F" w14:textId="77777777" w:rsidR="00DE4B6A" w:rsidRDefault="00DE4B6A" w:rsidP="000275A9">
      <w:pPr>
        <w:rPr>
          <w:color w:val="EE0000"/>
        </w:rPr>
      </w:pPr>
    </w:p>
    <w:p w14:paraId="4C194AB0" w14:textId="77777777" w:rsidR="00DE4B6A" w:rsidRDefault="00DE4B6A" w:rsidP="000275A9">
      <w:pPr>
        <w:rPr>
          <w:color w:val="EE0000"/>
        </w:rPr>
      </w:pPr>
    </w:p>
    <w:p w14:paraId="6B498AD8" w14:textId="77777777" w:rsidR="00DE4B6A" w:rsidRDefault="00DE4B6A" w:rsidP="000275A9">
      <w:pPr>
        <w:rPr>
          <w:color w:val="EE0000"/>
        </w:rPr>
      </w:pPr>
    </w:p>
    <w:p w14:paraId="2EFC7FD5" w14:textId="77777777" w:rsidR="00DE4B6A" w:rsidRDefault="00DE4B6A" w:rsidP="000275A9">
      <w:pPr>
        <w:rPr>
          <w:color w:val="EE0000"/>
        </w:rPr>
      </w:pPr>
    </w:p>
    <w:p w14:paraId="2E1B03B5" w14:textId="77777777" w:rsidR="00DE4B6A" w:rsidRDefault="00DE4B6A" w:rsidP="000275A9">
      <w:pPr>
        <w:rPr>
          <w:color w:val="EE0000"/>
        </w:rPr>
      </w:pPr>
    </w:p>
    <w:p w14:paraId="3F764102" w14:textId="77777777" w:rsidR="00A65E39" w:rsidRDefault="00A65E39" w:rsidP="000275A9">
      <w:pPr>
        <w:rPr>
          <w:lang w:val="en-US"/>
        </w:rPr>
      </w:pPr>
    </w:p>
    <w:p w14:paraId="67AE424C" w14:textId="4330BAAC" w:rsidR="00CC2CA5" w:rsidRDefault="00DE4B6A" w:rsidP="000275A9">
      <w:pPr>
        <w:rPr>
          <w:lang w:val="en-US"/>
        </w:rPr>
      </w:pPr>
      <w:r>
        <w:rPr>
          <w:lang w:val="en-US"/>
        </w:rPr>
        <w:lastRenderedPageBreak/>
        <w:t>References</w:t>
      </w:r>
    </w:p>
    <w:p w14:paraId="5AF82445" w14:textId="77777777" w:rsidR="00DE4B6A" w:rsidRDefault="00DE4B6A" w:rsidP="000275A9">
      <w:pPr>
        <w:rPr>
          <w:lang w:val="en-US"/>
        </w:rPr>
      </w:pPr>
    </w:p>
    <w:p w14:paraId="17B86381" w14:textId="77777777" w:rsidR="00DE4B6A" w:rsidRPr="00F65DE6" w:rsidRDefault="00DE4B6A" w:rsidP="00DE4B6A">
      <w:r w:rsidRPr="00F65DE6">
        <w:t xml:space="preserve">ACAS (2023) </w:t>
      </w:r>
      <w:r w:rsidRPr="00F65DE6">
        <w:rPr>
          <w:i/>
          <w:iCs/>
        </w:rPr>
        <w:t>Code of Practice on Disciplinary and Grievance Procedures</w:t>
      </w:r>
      <w:r w:rsidRPr="00F65DE6">
        <w:t>.</w:t>
      </w:r>
      <w:r w:rsidRPr="00F65DE6">
        <w:br/>
        <w:t xml:space="preserve">Available at: </w:t>
      </w:r>
      <w:hyperlink r:id="rId4" w:tgtFrame="_new" w:history="1">
        <w:r w:rsidRPr="00F65DE6">
          <w:rPr>
            <w:rStyle w:val="Hyperlink"/>
          </w:rPr>
          <w:t>https://www.acas.org.uk/codes-of-practice</w:t>
        </w:r>
      </w:hyperlink>
      <w:r w:rsidRPr="00F65DE6">
        <w:br/>
        <w:t>Accessed: 25 May 2025.</w:t>
      </w:r>
    </w:p>
    <w:p w14:paraId="17CDF860" w14:textId="77777777" w:rsidR="00DE4B6A" w:rsidRPr="00F65DE6" w:rsidRDefault="00DE4B6A" w:rsidP="00DE4B6A">
      <w:r w:rsidRPr="00F65DE6">
        <w:t xml:space="preserve">ACAS (2024) </w:t>
      </w:r>
      <w:r w:rsidRPr="00F65DE6">
        <w:rPr>
          <w:i/>
          <w:iCs/>
        </w:rPr>
        <w:t>Handling conflict at work</w:t>
      </w:r>
      <w:r w:rsidRPr="00F65DE6">
        <w:t>.</w:t>
      </w:r>
      <w:r w:rsidRPr="00F65DE6">
        <w:br/>
        <w:t xml:space="preserve">Available at: </w:t>
      </w:r>
      <w:hyperlink r:id="rId5" w:tgtFrame="_new" w:history="1">
        <w:r w:rsidRPr="00F65DE6">
          <w:rPr>
            <w:rStyle w:val="Hyperlink"/>
          </w:rPr>
          <w:t>https://www.acas.org.uk/handling-conflict</w:t>
        </w:r>
      </w:hyperlink>
      <w:r w:rsidRPr="00F65DE6">
        <w:br/>
        <w:t>Accessed: 2 June 2025.</w:t>
      </w:r>
    </w:p>
    <w:p w14:paraId="53BE2A4E" w14:textId="77777777" w:rsidR="00DE4B6A" w:rsidRPr="00F65DE6" w:rsidRDefault="00DE4B6A" w:rsidP="00DE4B6A">
      <w:r w:rsidRPr="00F65DE6">
        <w:t xml:space="preserve">Armstrong, M. and Taylor, S. (2023) </w:t>
      </w:r>
      <w:r w:rsidRPr="00F65DE6">
        <w:rPr>
          <w:i/>
          <w:iCs/>
        </w:rPr>
        <w:t>Armstrong’s Handbook of Human Resource Management Practice</w:t>
      </w:r>
      <w:r w:rsidRPr="00F65DE6">
        <w:t>. 16th edn. London: Kogan Page.</w:t>
      </w:r>
    </w:p>
    <w:p w14:paraId="4169CB5A" w14:textId="77777777" w:rsidR="00DE4B6A" w:rsidRPr="00F65DE6" w:rsidRDefault="00DE4B6A" w:rsidP="00DE4B6A">
      <w:r w:rsidRPr="00F65DE6">
        <w:t xml:space="preserve">Bach, S. (2021) </w:t>
      </w:r>
      <w:r w:rsidRPr="00F65DE6">
        <w:rPr>
          <w:i/>
          <w:iCs/>
        </w:rPr>
        <w:t>Managing Human Resources: Personnel Management in Transition</w:t>
      </w:r>
      <w:r w:rsidRPr="00F65DE6">
        <w:t>. 6th edn. Oxford: Blackwell.</w:t>
      </w:r>
      <w:r w:rsidRPr="00F65DE6">
        <w:br/>
        <w:t>Accessed: 8 January 2026.</w:t>
      </w:r>
    </w:p>
    <w:p w14:paraId="12AB0D72" w14:textId="77777777" w:rsidR="00DE4B6A" w:rsidRPr="00F65DE6" w:rsidRDefault="00DE4B6A" w:rsidP="00DE4B6A">
      <w:r w:rsidRPr="00F65DE6">
        <w:t>British Home Stores Ltd v Burchell [1978] IRLR 379.</w:t>
      </w:r>
    </w:p>
    <w:p w14:paraId="472F8869" w14:textId="77777777" w:rsidR="00DE4B6A" w:rsidRPr="00F65DE6" w:rsidRDefault="00DE4B6A" w:rsidP="00DE4B6A">
      <w:r w:rsidRPr="00F65DE6">
        <w:t xml:space="preserve">CIPD (2021a) </w:t>
      </w:r>
      <w:r w:rsidRPr="00F65DE6">
        <w:rPr>
          <w:i/>
          <w:iCs/>
        </w:rPr>
        <w:t>Employee involvement and participation</w:t>
      </w:r>
      <w:r w:rsidRPr="00F65DE6">
        <w:t>.</w:t>
      </w:r>
      <w:r w:rsidRPr="00F65DE6">
        <w:br/>
        <w:t>Available at: https://www.cipd.org/uk/knowledge/factsheets/employee-involvement-participation</w:t>
      </w:r>
      <w:r w:rsidRPr="00F65DE6">
        <w:br/>
        <w:t>Accessed: 20 May 2025.</w:t>
      </w:r>
    </w:p>
    <w:p w14:paraId="0590EE41" w14:textId="77777777" w:rsidR="00DE4B6A" w:rsidRPr="00F65DE6" w:rsidRDefault="00DE4B6A" w:rsidP="00DE4B6A">
      <w:r w:rsidRPr="00F65DE6">
        <w:t xml:space="preserve">CIPD (2021b) </w:t>
      </w:r>
      <w:r w:rsidRPr="00F65DE6">
        <w:rPr>
          <w:i/>
          <w:iCs/>
        </w:rPr>
        <w:t>Managing employee voice</w:t>
      </w:r>
      <w:r w:rsidRPr="00F65DE6">
        <w:t>.</w:t>
      </w:r>
      <w:r w:rsidRPr="00F65DE6">
        <w:br/>
        <w:t xml:space="preserve">Available at: </w:t>
      </w:r>
      <w:hyperlink r:id="rId6" w:tgtFrame="_new" w:history="1">
        <w:r w:rsidRPr="00F65DE6">
          <w:rPr>
            <w:rStyle w:val="Hyperlink"/>
          </w:rPr>
          <w:t>https://www.cipd.org/uk/knowledge/factsheets/employee-voice</w:t>
        </w:r>
      </w:hyperlink>
      <w:r w:rsidRPr="00F65DE6">
        <w:br/>
        <w:t>Accessed: 20 May 2025.</w:t>
      </w:r>
    </w:p>
    <w:p w14:paraId="2410D961" w14:textId="77777777" w:rsidR="00DE4B6A" w:rsidRPr="00F65DE6" w:rsidRDefault="00DE4B6A" w:rsidP="00DE4B6A">
      <w:r w:rsidRPr="00F65DE6">
        <w:t xml:space="preserve">CIPD (2022) </w:t>
      </w:r>
      <w:r w:rsidRPr="00F65DE6">
        <w:rPr>
          <w:i/>
          <w:iCs/>
        </w:rPr>
        <w:t>Employee engagement and motivation</w:t>
      </w:r>
      <w:r w:rsidRPr="00F65DE6">
        <w:t>.</w:t>
      </w:r>
      <w:r w:rsidRPr="00F65DE6">
        <w:br/>
        <w:t xml:space="preserve">Available at: </w:t>
      </w:r>
      <w:hyperlink r:id="rId7" w:tgtFrame="_new" w:history="1">
        <w:r w:rsidRPr="00F65DE6">
          <w:rPr>
            <w:rStyle w:val="Hyperlink"/>
          </w:rPr>
          <w:t>https://www.cipd.org/uk/knowledge/factsheets/engagement-motivation</w:t>
        </w:r>
      </w:hyperlink>
      <w:r w:rsidRPr="00F65DE6">
        <w:br/>
        <w:t>Accessed: 20 May 2025.</w:t>
      </w:r>
    </w:p>
    <w:p w14:paraId="357026B2" w14:textId="77777777" w:rsidR="00DE4B6A" w:rsidRPr="00F65DE6" w:rsidRDefault="00DE4B6A" w:rsidP="00DE4B6A">
      <w:r w:rsidRPr="00F65DE6">
        <w:t xml:space="preserve">CIPD (2023a) </w:t>
      </w:r>
      <w:r w:rsidRPr="00F65DE6">
        <w:rPr>
          <w:i/>
          <w:iCs/>
        </w:rPr>
        <w:t>Conflict management survey report</w:t>
      </w:r>
      <w:r w:rsidRPr="00F65DE6">
        <w:t>.</w:t>
      </w:r>
      <w:r w:rsidRPr="00F65DE6">
        <w:br/>
        <w:t xml:space="preserve">Available at: </w:t>
      </w:r>
      <w:hyperlink r:id="rId8" w:tgtFrame="_new" w:history="1">
        <w:r w:rsidRPr="00F65DE6">
          <w:rPr>
            <w:rStyle w:val="Hyperlink"/>
          </w:rPr>
          <w:t>https://www.cipd.org/uk/knowledge/reports/conflict-management</w:t>
        </w:r>
      </w:hyperlink>
      <w:r w:rsidRPr="00F65DE6">
        <w:br/>
        <w:t>Accessed: 1 June 2025.</w:t>
      </w:r>
    </w:p>
    <w:p w14:paraId="2A8946F1" w14:textId="77777777" w:rsidR="00DE4B6A" w:rsidRPr="00F65DE6" w:rsidRDefault="00DE4B6A" w:rsidP="00DE4B6A">
      <w:r w:rsidRPr="00F65DE6">
        <w:t xml:space="preserve">CIPD (2023b) </w:t>
      </w:r>
      <w:r w:rsidRPr="00F65DE6">
        <w:rPr>
          <w:i/>
          <w:iCs/>
        </w:rPr>
        <w:t>Good Work Index</w:t>
      </w:r>
      <w:r w:rsidRPr="00F65DE6">
        <w:t>.</w:t>
      </w:r>
      <w:r w:rsidRPr="00F65DE6">
        <w:br/>
        <w:t xml:space="preserve">Available at: </w:t>
      </w:r>
      <w:hyperlink r:id="rId9" w:tgtFrame="_new" w:history="1">
        <w:r w:rsidRPr="00F65DE6">
          <w:rPr>
            <w:rStyle w:val="Hyperlink"/>
          </w:rPr>
          <w:t>https://www.cipd.org/uk/knowledge/reports/goodwork-index</w:t>
        </w:r>
      </w:hyperlink>
      <w:r w:rsidRPr="00F65DE6">
        <w:br/>
        <w:t>Accessed: 2 June 2025.</w:t>
      </w:r>
    </w:p>
    <w:p w14:paraId="6F7361F1" w14:textId="77777777" w:rsidR="00DE4B6A" w:rsidRPr="00F65DE6" w:rsidRDefault="00DE4B6A" w:rsidP="00DE4B6A">
      <w:r w:rsidRPr="00F65DE6">
        <w:t xml:space="preserve">CIPD (2024) </w:t>
      </w:r>
      <w:r w:rsidRPr="00F65DE6">
        <w:rPr>
          <w:i/>
          <w:iCs/>
        </w:rPr>
        <w:t>Employee voice factsheet</w:t>
      </w:r>
      <w:r w:rsidRPr="00F65DE6">
        <w:t>.</w:t>
      </w:r>
      <w:r w:rsidRPr="00F65DE6">
        <w:br/>
        <w:t xml:space="preserve">Available at: </w:t>
      </w:r>
      <w:hyperlink r:id="rId10" w:tgtFrame="_new" w:history="1">
        <w:r w:rsidRPr="00F65DE6">
          <w:rPr>
            <w:rStyle w:val="Hyperlink"/>
          </w:rPr>
          <w:t>https://www.cipd.org/uk/knowledge/factsheets/employee-voice</w:t>
        </w:r>
      </w:hyperlink>
      <w:r w:rsidRPr="00F65DE6">
        <w:br/>
        <w:t>Accessed: 10 May 2025.</w:t>
      </w:r>
    </w:p>
    <w:p w14:paraId="388144F3" w14:textId="77777777" w:rsidR="00DE4B6A" w:rsidRPr="00F65DE6" w:rsidRDefault="00DE4B6A" w:rsidP="00DE4B6A">
      <w:r w:rsidRPr="00F65DE6">
        <w:t xml:space="preserve">Daniels, K. (2022) </w:t>
      </w:r>
      <w:r w:rsidRPr="00F65DE6">
        <w:rPr>
          <w:i/>
          <w:iCs/>
        </w:rPr>
        <w:t>Employee Relations in an Organisational Context</w:t>
      </w:r>
      <w:r w:rsidRPr="00F65DE6">
        <w:t>. 6th edn. London: CIPD.</w:t>
      </w:r>
    </w:p>
    <w:p w14:paraId="523EF56B" w14:textId="77777777" w:rsidR="00DE4B6A" w:rsidRPr="00F65DE6" w:rsidRDefault="00DE4B6A" w:rsidP="00DE4B6A">
      <w:r w:rsidRPr="00F65DE6">
        <w:lastRenderedPageBreak/>
        <w:t>East Lindsey District Council v Daubney [1977] ICR 566.</w:t>
      </w:r>
    </w:p>
    <w:p w14:paraId="5459ED3A" w14:textId="77777777" w:rsidR="00DE4B6A" w:rsidRPr="00F65DE6" w:rsidRDefault="00DE4B6A" w:rsidP="00DE4B6A">
      <w:r w:rsidRPr="00F65DE6">
        <w:t>Employment Rights Act 1996.</w:t>
      </w:r>
      <w:r w:rsidRPr="00F65DE6">
        <w:br/>
        <w:t xml:space="preserve">Available at: </w:t>
      </w:r>
      <w:hyperlink r:id="rId11" w:tgtFrame="_new" w:history="1">
        <w:r w:rsidRPr="00F65DE6">
          <w:rPr>
            <w:rStyle w:val="Hyperlink"/>
          </w:rPr>
          <w:t>https://www.legislation.gov.uk/ukpga/1996/18/contents</w:t>
        </w:r>
      </w:hyperlink>
      <w:r w:rsidRPr="00F65DE6">
        <w:br/>
        <w:t>Accessed: 18 May 2025.</w:t>
      </w:r>
    </w:p>
    <w:p w14:paraId="18EE9E5E" w14:textId="77777777" w:rsidR="00DE4B6A" w:rsidRPr="00F65DE6" w:rsidRDefault="00DE4B6A" w:rsidP="00DE4B6A">
      <w:r w:rsidRPr="00F65DE6">
        <w:t>Equality Act 2010.</w:t>
      </w:r>
      <w:r w:rsidRPr="00F65DE6">
        <w:br/>
        <w:t xml:space="preserve">Available at: </w:t>
      </w:r>
      <w:hyperlink r:id="rId12" w:tgtFrame="_new" w:history="1">
        <w:r w:rsidRPr="00F65DE6">
          <w:rPr>
            <w:rStyle w:val="Hyperlink"/>
          </w:rPr>
          <w:t>https://www.legislation.gov.uk/ukpga/2010/15/contents</w:t>
        </w:r>
      </w:hyperlink>
      <w:r w:rsidRPr="00F65DE6">
        <w:br/>
        <w:t>Accessed: 7 January 2026.</w:t>
      </w:r>
    </w:p>
    <w:p w14:paraId="153E3CE4" w14:textId="77777777" w:rsidR="00DE4B6A" w:rsidRPr="00F65DE6" w:rsidRDefault="00DE4B6A" w:rsidP="00DE4B6A">
      <w:r w:rsidRPr="00F65DE6">
        <w:t xml:space="preserve">Gennard, J. and Judge, G. (2010) </w:t>
      </w:r>
      <w:r w:rsidRPr="00F65DE6">
        <w:rPr>
          <w:i/>
          <w:iCs/>
        </w:rPr>
        <w:t>Employee Relations</w:t>
      </w:r>
      <w:r w:rsidRPr="00F65DE6">
        <w:t>. 5th edn. London: CIPD.</w:t>
      </w:r>
      <w:r w:rsidRPr="00F65DE6">
        <w:br/>
        <w:t>Accessed: 6 January 2026.</w:t>
      </w:r>
    </w:p>
    <w:p w14:paraId="0FB2A7E9" w14:textId="77777777" w:rsidR="00DE4B6A" w:rsidRPr="00F65DE6" w:rsidRDefault="00DE4B6A" w:rsidP="00DE4B6A">
      <w:r w:rsidRPr="00F65DE6">
        <w:t>Iceland Frozen Foods Ltd v Jones [1983] ICR 17.</w:t>
      </w:r>
    </w:p>
    <w:p w14:paraId="53E04825" w14:textId="77777777" w:rsidR="00DE4B6A" w:rsidRPr="00F65DE6" w:rsidRDefault="00DE4B6A" w:rsidP="00DE4B6A">
      <w:r w:rsidRPr="00F65DE6">
        <w:t xml:space="preserve">Office for National Statistics (2023) </w:t>
      </w:r>
      <w:r w:rsidRPr="00F65DE6">
        <w:rPr>
          <w:i/>
          <w:iCs/>
        </w:rPr>
        <w:t>Labour disputes in the UK: 2023</w:t>
      </w:r>
      <w:r w:rsidRPr="00F65DE6">
        <w:t>.</w:t>
      </w:r>
      <w:r w:rsidRPr="00F65DE6">
        <w:br/>
        <w:t xml:space="preserve">Available at: </w:t>
      </w:r>
      <w:hyperlink r:id="rId13" w:tgtFrame="_new" w:history="1">
        <w:r w:rsidRPr="00F65DE6">
          <w:rPr>
            <w:rStyle w:val="Hyperlink"/>
          </w:rPr>
          <w:t>https://www.ons.gov.uk/employmentandlabourmarket/peopleinwork/workplacedisputes</w:t>
        </w:r>
      </w:hyperlink>
      <w:r w:rsidRPr="00F65DE6">
        <w:br/>
        <w:t>Accessed: 28 May 2025.</w:t>
      </w:r>
    </w:p>
    <w:p w14:paraId="5E3C9D9D" w14:textId="77777777" w:rsidR="00DE4B6A" w:rsidRPr="00F65DE6" w:rsidRDefault="00DE4B6A" w:rsidP="00DE4B6A">
      <w:r w:rsidRPr="00F65DE6">
        <w:t>R v Secretary of State for Business and Trade [2023] EWHC 1781 (Admin).</w:t>
      </w:r>
    </w:p>
    <w:p w14:paraId="567778A2" w14:textId="77777777" w:rsidR="00DE4B6A" w:rsidRPr="00F65DE6" w:rsidRDefault="00DE4B6A" w:rsidP="00DE4B6A">
      <w:r w:rsidRPr="00F65DE6">
        <w:t xml:space="preserve">Torrington, D., Hall, L., Taylor, S. and Atkinson, C. (2020) </w:t>
      </w:r>
      <w:r w:rsidRPr="00F65DE6">
        <w:rPr>
          <w:i/>
          <w:iCs/>
        </w:rPr>
        <w:t>Human Resource Management</w:t>
      </w:r>
      <w:r w:rsidRPr="00F65DE6">
        <w:t>. 11th edn. Harlow: Pearson Education.</w:t>
      </w:r>
      <w:r w:rsidRPr="00F65DE6">
        <w:br/>
        <w:t>Accessed: 4 January 2026.</w:t>
      </w:r>
    </w:p>
    <w:p w14:paraId="405BCE92" w14:textId="77777777" w:rsidR="00DE4B6A" w:rsidRPr="00F65DE6" w:rsidRDefault="00DE4B6A" w:rsidP="00DE4B6A">
      <w:r w:rsidRPr="00F65DE6">
        <w:t>Trade Union and Labour Relations (Consolidation) Act 1992.</w:t>
      </w:r>
      <w:r w:rsidRPr="00F65DE6">
        <w:br/>
        <w:t xml:space="preserve">Available at: </w:t>
      </w:r>
      <w:hyperlink r:id="rId14" w:tgtFrame="_new" w:history="1">
        <w:r w:rsidRPr="00F65DE6">
          <w:rPr>
            <w:rStyle w:val="Hyperlink"/>
          </w:rPr>
          <w:t>https://www.legislation.gov.uk/ukpga/1992/52/contents</w:t>
        </w:r>
      </w:hyperlink>
      <w:r w:rsidRPr="00F65DE6">
        <w:br/>
        <w:t>Accessed: 9 January 2026.</w:t>
      </w:r>
    </w:p>
    <w:p w14:paraId="1D108A36" w14:textId="77777777" w:rsidR="00DE4B6A" w:rsidRDefault="00DE4B6A" w:rsidP="00DE4B6A"/>
    <w:p w14:paraId="6129B2AC" w14:textId="77777777" w:rsidR="00DE4B6A" w:rsidRDefault="00DE4B6A" w:rsidP="000275A9">
      <w:pPr>
        <w:rPr>
          <w:lang w:val="en-US"/>
        </w:rPr>
      </w:pPr>
    </w:p>
    <w:p w14:paraId="58BCB174" w14:textId="77777777" w:rsidR="00CC2CA5" w:rsidRDefault="00CC2CA5" w:rsidP="000275A9">
      <w:pPr>
        <w:rPr>
          <w:lang w:val="en-US"/>
        </w:rPr>
      </w:pPr>
    </w:p>
    <w:p w14:paraId="000265F9" w14:textId="77777777" w:rsidR="00CC2CA5" w:rsidRDefault="00CC2CA5" w:rsidP="000275A9">
      <w:pPr>
        <w:rPr>
          <w:lang w:val="en-US"/>
        </w:rPr>
      </w:pPr>
    </w:p>
    <w:p w14:paraId="71DF461E" w14:textId="77777777" w:rsidR="007A0B25" w:rsidRDefault="007A0B25" w:rsidP="007B47B0">
      <w:pPr>
        <w:rPr>
          <w:b/>
          <w:bCs/>
        </w:rPr>
      </w:pPr>
    </w:p>
    <w:p w14:paraId="7DB88470" w14:textId="77777777" w:rsidR="007A0B25" w:rsidRDefault="007A0B25" w:rsidP="007B47B0">
      <w:pPr>
        <w:rPr>
          <w:b/>
          <w:bCs/>
        </w:rPr>
      </w:pPr>
    </w:p>
    <w:p w14:paraId="7353AA6E" w14:textId="77777777" w:rsidR="002165D7" w:rsidRDefault="002165D7" w:rsidP="007B47B0">
      <w:pPr>
        <w:rPr>
          <w:b/>
          <w:bCs/>
        </w:rPr>
      </w:pPr>
    </w:p>
    <w:p w14:paraId="3CD08CDB" w14:textId="77777777" w:rsidR="001E31F8" w:rsidRDefault="001E31F8" w:rsidP="007B47B0">
      <w:pPr>
        <w:rPr>
          <w:b/>
          <w:bCs/>
          <w:strike/>
        </w:rPr>
      </w:pPr>
    </w:p>
    <w:p w14:paraId="6B7479A4" w14:textId="77777777" w:rsidR="001E31F8" w:rsidRDefault="001E31F8" w:rsidP="007B47B0">
      <w:pPr>
        <w:rPr>
          <w:b/>
          <w:bCs/>
          <w:strike/>
        </w:rPr>
      </w:pPr>
    </w:p>
    <w:p w14:paraId="2BB95171" w14:textId="77777777" w:rsidR="001E31F8" w:rsidRDefault="001E31F8" w:rsidP="007B47B0">
      <w:pPr>
        <w:rPr>
          <w:b/>
          <w:bCs/>
          <w:strike/>
        </w:rPr>
      </w:pPr>
    </w:p>
    <w:p w14:paraId="1E390A60" w14:textId="6E6B76CC" w:rsidR="007B47B0" w:rsidRPr="00DE4B6A" w:rsidRDefault="007B47B0" w:rsidP="007B47B0">
      <w:pPr>
        <w:rPr>
          <w:b/>
          <w:bCs/>
          <w:strike/>
        </w:rPr>
      </w:pPr>
      <w:r w:rsidRPr="00DE4B6A">
        <w:rPr>
          <w:b/>
          <w:bCs/>
          <w:strike/>
        </w:rPr>
        <w:lastRenderedPageBreak/>
        <w:t>References</w:t>
      </w:r>
    </w:p>
    <w:p w14:paraId="28ED3FD5" w14:textId="77777777" w:rsidR="003A151C" w:rsidRPr="00DE4B6A" w:rsidRDefault="003A151C" w:rsidP="003A151C">
      <w:pPr>
        <w:rPr>
          <w:b/>
          <w:bCs/>
          <w:strike/>
        </w:rPr>
      </w:pPr>
      <w:r w:rsidRPr="00DE4B6A">
        <w:rPr>
          <w:b/>
          <w:bCs/>
          <w:strike/>
        </w:rPr>
        <w:t>ACAS (2023) Code of Practice on Disciplinary and Grievance Procedures.</w:t>
      </w:r>
      <w:r w:rsidRPr="00DE4B6A">
        <w:rPr>
          <w:b/>
          <w:bCs/>
          <w:strike/>
        </w:rPr>
        <w:br/>
        <w:t xml:space="preserve">Available at: </w:t>
      </w:r>
      <w:hyperlink r:id="rId15" w:tgtFrame="_new" w:history="1">
        <w:r w:rsidRPr="00DE4B6A">
          <w:rPr>
            <w:rStyle w:val="Hyperlink"/>
            <w:b/>
            <w:bCs/>
            <w:strike/>
          </w:rPr>
          <w:t>https://www.acas.org.uk/codes-of-practice</w:t>
        </w:r>
      </w:hyperlink>
      <w:r w:rsidRPr="00DE4B6A">
        <w:rPr>
          <w:b/>
          <w:bCs/>
          <w:strike/>
        </w:rPr>
        <w:br/>
        <w:t>Accessed: 25 May 2025.</w:t>
      </w:r>
    </w:p>
    <w:p w14:paraId="30B6A479" w14:textId="77777777" w:rsidR="003A151C" w:rsidRPr="00DE4B6A" w:rsidRDefault="003A151C" w:rsidP="003A151C">
      <w:pPr>
        <w:rPr>
          <w:b/>
          <w:bCs/>
          <w:strike/>
        </w:rPr>
      </w:pPr>
      <w:r w:rsidRPr="00DE4B6A">
        <w:rPr>
          <w:b/>
          <w:bCs/>
          <w:strike/>
        </w:rPr>
        <w:t>ACAS (2024) Handling conflict at work.</w:t>
      </w:r>
      <w:r w:rsidRPr="00DE4B6A">
        <w:rPr>
          <w:b/>
          <w:bCs/>
          <w:strike/>
        </w:rPr>
        <w:br/>
        <w:t xml:space="preserve">Available at: </w:t>
      </w:r>
      <w:hyperlink r:id="rId16" w:tgtFrame="_new" w:history="1">
        <w:r w:rsidRPr="00DE4B6A">
          <w:rPr>
            <w:rStyle w:val="Hyperlink"/>
            <w:b/>
            <w:bCs/>
            <w:strike/>
          </w:rPr>
          <w:t>https://www.acas.org.uk/handling-conflict</w:t>
        </w:r>
      </w:hyperlink>
      <w:r w:rsidRPr="00DE4B6A">
        <w:rPr>
          <w:b/>
          <w:bCs/>
          <w:strike/>
        </w:rPr>
        <w:br/>
        <w:t>Accessed: 2 June 2025.</w:t>
      </w:r>
    </w:p>
    <w:p w14:paraId="69D0847B" w14:textId="77777777" w:rsidR="003A151C" w:rsidRPr="00DE4B6A" w:rsidRDefault="003A151C" w:rsidP="003A151C">
      <w:pPr>
        <w:rPr>
          <w:b/>
          <w:bCs/>
          <w:strike/>
        </w:rPr>
      </w:pPr>
      <w:r w:rsidRPr="00DE4B6A">
        <w:rPr>
          <w:b/>
          <w:bCs/>
          <w:strike/>
        </w:rPr>
        <w:t xml:space="preserve">Armstrong, M. and Taylor, S. (2023) </w:t>
      </w:r>
      <w:r w:rsidRPr="00DE4B6A">
        <w:rPr>
          <w:b/>
          <w:bCs/>
          <w:i/>
          <w:iCs/>
          <w:strike/>
        </w:rPr>
        <w:t>Armstrong’s Handbook of Human Resource Management Practice</w:t>
      </w:r>
      <w:r w:rsidRPr="00DE4B6A">
        <w:rPr>
          <w:b/>
          <w:bCs/>
          <w:strike/>
        </w:rPr>
        <w:t>. 16th edn. London: Kogan Page.</w:t>
      </w:r>
    </w:p>
    <w:p w14:paraId="7F774A4E" w14:textId="77777777" w:rsidR="003A151C" w:rsidRPr="00DE4B6A" w:rsidRDefault="003A151C" w:rsidP="003A151C">
      <w:pPr>
        <w:rPr>
          <w:b/>
          <w:bCs/>
          <w:strike/>
        </w:rPr>
      </w:pPr>
      <w:r w:rsidRPr="00DE4B6A">
        <w:rPr>
          <w:b/>
          <w:bCs/>
          <w:strike/>
        </w:rPr>
        <w:t xml:space="preserve">Bach, S. (2021) </w:t>
      </w:r>
      <w:r w:rsidRPr="00DE4B6A">
        <w:rPr>
          <w:b/>
          <w:bCs/>
          <w:i/>
          <w:iCs/>
          <w:strike/>
        </w:rPr>
        <w:t>Managing Human Resources: Personnel Management in Transition</w:t>
      </w:r>
      <w:r w:rsidRPr="00DE4B6A">
        <w:rPr>
          <w:b/>
          <w:bCs/>
          <w:strike/>
        </w:rPr>
        <w:t>. 6th edn. Oxford: Blackwell.</w:t>
      </w:r>
      <w:r w:rsidRPr="00DE4B6A">
        <w:rPr>
          <w:b/>
          <w:bCs/>
          <w:strike/>
        </w:rPr>
        <w:br/>
        <w:t>Accessed: 8 January 2026.</w:t>
      </w:r>
    </w:p>
    <w:p w14:paraId="1E6A9A8F" w14:textId="77777777" w:rsidR="003A151C" w:rsidRPr="00DE4B6A" w:rsidRDefault="003A151C" w:rsidP="003A151C">
      <w:pPr>
        <w:rPr>
          <w:b/>
          <w:bCs/>
          <w:strike/>
        </w:rPr>
      </w:pPr>
      <w:r w:rsidRPr="00DE4B6A">
        <w:rPr>
          <w:b/>
          <w:bCs/>
          <w:strike/>
        </w:rPr>
        <w:t>British Home Stores Ltd v Burchell [1978] IRLR 379.</w:t>
      </w:r>
    </w:p>
    <w:p w14:paraId="7AB81C1D" w14:textId="77777777" w:rsidR="003A151C" w:rsidRPr="00DE4B6A" w:rsidRDefault="003A151C" w:rsidP="003A151C">
      <w:pPr>
        <w:rPr>
          <w:b/>
          <w:bCs/>
          <w:strike/>
        </w:rPr>
      </w:pPr>
      <w:r w:rsidRPr="00DE4B6A">
        <w:rPr>
          <w:b/>
          <w:bCs/>
          <w:strike/>
        </w:rPr>
        <w:t>CIPD (2022) Employee engagement and motivation.</w:t>
      </w:r>
      <w:r w:rsidRPr="00DE4B6A">
        <w:rPr>
          <w:b/>
          <w:bCs/>
          <w:strike/>
        </w:rPr>
        <w:br/>
        <w:t xml:space="preserve">Available at: </w:t>
      </w:r>
      <w:hyperlink r:id="rId17" w:tgtFrame="_new" w:history="1">
        <w:r w:rsidRPr="00DE4B6A">
          <w:rPr>
            <w:rStyle w:val="Hyperlink"/>
            <w:b/>
            <w:bCs/>
            <w:strike/>
          </w:rPr>
          <w:t>https://www.cipd.org/uk/knowledge/factsheets/engagement-motivation</w:t>
        </w:r>
      </w:hyperlink>
      <w:r w:rsidRPr="00DE4B6A">
        <w:rPr>
          <w:b/>
          <w:bCs/>
          <w:strike/>
        </w:rPr>
        <w:br/>
        <w:t>Accessed: 20 May 2025.</w:t>
      </w:r>
    </w:p>
    <w:p w14:paraId="041B7F46" w14:textId="77777777" w:rsidR="003A151C" w:rsidRPr="00DE4B6A" w:rsidRDefault="003A151C" w:rsidP="003A151C">
      <w:pPr>
        <w:rPr>
          <w:b/>
          <w:bCs/>
          <w:strike/>
        </w:rPr>
      </w:pPr>
      <w:r w:rsidRPr="00DE4B6A">
        <w:rPr>
          <w:b/>
          <w:bCs/>
          <w:strike/>
        </w:rPr>
        <w:t>CIPD (2023a) Conflict management survey report.</w:t>
      </w:r>
      <w:r w:rsidRPr="00DE4B6A">
        <w:rPr>
          <w:b/>
          <w:bCs/>
          <w:strike/>
        </w:rPr>
        <w:br/>
        <w:t xml:space="preserve">Available at: </w:t>
      </w:r>
      <w:hyperlink r:id="rId18" w:tgtFrame="_new" w:history="1">
        <w:r w:rsidRPr="00DE4B6A">
          <w:rPr>
            <w:rStyle w:val="Hyperlink"/>
            <w:b/>
            <w:bCs/>
            <w:strike/>
          </w:rPr>
          <w:t>https://www.cipd.org/uk/knowledge/reports/conflict-management</w:t>
        </w:r>
      </w:hyperlink>
      <w:r w:rsidRPr="00DE4B6A">
        <w:rPr>
          <w:b/>
          <w:bCs/>
          <w:strike/>
        </w:rPr>
        <w:br/>
        <w:t>Accessed: 1 June 2025.</w:t>
      </w:r>
    </w:p>
    <w:p w14:paraId="2DEE41ED" w14:textId="77777777" w:rsidR="003A151C" w:rsidRPr="00DE4B6A" w:rsidRDefault="003A151C" w:rsidP="003A151C">
      <w:pPr>
        <w:rPr>
          <w:b/>
          <w:bCs/>
          <w:strike/>
        </w:rPr>
      </w:pPr>
      <w:r w:rsidRPr="00DE4B6A">
        <w:rPr>
          <w:b/>
          <w:bCs/>
          <w:strike/>
        </w:rPr>
        <w:t>CIPD (2023b) Good Work Index.</w:t>
      </w:r>
      <w:r w:rsidRPr="00DE4B6A">
        <w:rPr>
          <w:b/>
          <w:bCs/>
          <w:strike/>
        </w:rPr>
        <w:br/>
        <w:t xml:space="preserve">Available at: </w:t>
      </w:r>
      <w:hyperlink r:id="rId19" w:tgtFrame="_new" w:history="1">
        <w:r w:rsidRPr="00DE4B6A">
          <w:rPr>
            <w:rStyle w:val="Hyperlink"/>
            <w:b/>
            <w:bCs/>
            <w:strike/>
          </w:rPr>
          <w:t>https://www.cipd.org/uk/knowledge/reports/goodwork-index</w:t>
        </w:r>
      </w:hyperlink>
      <w:r w:rsidRPr="00DE4B6A">
        <w:rPr>
          <w:b/>
          <w:bCs/>
          <w:strike/>
        </w:rPr>
        <w:br/>
        <w:t>Accessed: 2 June 2025.</w:t>
      </w:r>
    </w:p>
    <w:p w14:paraId="2863DBFE" w14:textId="77777777" w:rsidR="003A151C" w:rsidRPr="00DE4B6A" w:rsidRDefault="003A151C" w:rsidP="003A151C">
      <w:pPr>
        <w:rPr>
          <w:b/>
          <w:bCs/>
          <w:strike/>
        </w:rPr>
      </w:pPr>
      <w:r w:rsidRPr="00DE4B6A">
        <w:rPr>
          <w:b/>
          <w:bCs/>
          <w:strike/>
        </w:rPr>
        <w:t>CIPD (2024) Employee voice factsheet.</w:t>
      </w:r>
      <w:r w:rsidRPr="00DE4B6A">
        <w:rPr>
          <w:b/>
          <w:bCs/>
          <w:strike/>
        </w:rPr>
        <w:br/>
        <w:t xml:space="preserve">Available at: </w:t>
      </w:r>
      <w:hyperlink r:id="rId20" w:tgtFrame="_new" w:history="1">
        <w:r w:rsidRPr="00DE4B6A">
          <w:rPr>
            <w:rStyle w:val="Hyperlink"/>
            <w:b/>
            <w:bCs/>
            <w:strike/>
          </w:rPr>
          <w:t>https://www.cipd.org/uk/knowledge/factsheets/employee-voice</w:t>
        </w:r>
      </w:hyperlink>
      <w:r w:rsidRPr="00DE4B6A">
        <w:rPr>
          <w:b/>
          <w:bCs/>
          <w:strike/>
        </w:rPr>
        <w:br/>
        <w:t>Accessed: 10 May 2025.</w:t>
      </w:r>
    </w:p>
    <w:p w14:paraId="19FB7046" w14:textId="77777777" w:rsidR="003A151C" w:rsidRPr="00DE4B6A" w:rsidRDefault="003A151C" w:rsidP="003A151C">
      <w:pPr>
        <w:rPr>
          <w:b/>
          <w:bCs/>
          <w:strike/>
        </w:rPr>
      </w:pPr>
      <w:r w:rsidRPr="00DE4B6A">
        <w:rPr>
          <w:b/>
          <w:bCs/>
          <w:strike/>
        </w:rPr>
        <w:t xml:space="preserve">Daniels, K. (2022) </w:t>
      </w:r>
      <w:r w:rsidRPr="00DE4B6A">
        <w:rPr>
          <w:b/>
          <w:bCs/>
          <w:i/>
          <w:iCs/>
          <w:strike/>
        </w:rPr>
        <w:t>Employee Relations in an Organisational Context</w:t>
      </w:r>
      <w:r w:rsidRPr="00DE4B6A">
        <w:rPr>
          <w:b/>
          <w:bCs/>
          <w:strike/>
        </w:rPr>
        <w:t>. 6th edn. London: CIPD.</w:t>
      </w:r>
    </w:p>
    <w:p w14:paraId="5E0EEE77" w14:textId="77777777" w:rsidR="003A151C" w:rsidRPr="00DE4B6A" w:rsidRDefault="003A151C" w:rsidP="003A151C">
      <w:pPr>
        <w:rPr>
          <w:b/>
          <w:bCs/>
          <w:strike/>
        </w:rPr>
      </w:pPr>
      <w:r w:rsidRPr="00DE4B6A">
        <w:rPr>
          <w:b/>
          <w:bCs/>
          <w:strike/>
        </w:rPr>
        <w:t>East Lindsey District Council v Daubney [1977] ICR 566.</w:t>
      </w:r>
    </w:p>
    <w:p w14:paraId="7DDF3E8B" w14:textId="77777777" w:rsidR="003A151C" w:rsidRPr="00DE4B6A" w:rsidRDefault="003A151C" w:rsidP="003A151C">
      <w:pPr>
        <w:rPr>
          <w:b/>
          <w:bCs/>
          <w:strike/>
        </w:rPr>
      </w:pPr>
      <w:r w:rsidRPr="00DE4B6A">
        <w:rPr>
          <w:b/>
          <w:bCs/>
          <w:strike/>
        </w:rPr>
        <w:t>Employment Rights Act 1996</w:t>
      </w:r>
      <w:r w:rsidRPr="00DE4B6A">
        <w:rPr>
          <w:b/>
          <w:bCs/>
          <w:strike/>
        </w:rPr>
        <w:br/>
        <w:t xml:space="preserve">Available at: </w:t>
      </w:r>
      <w:hyperlink r:id="rId21" w:tgtFrame="_new" w:history="1">
        <w:r w:rsidRPr="00DE4B6A">
          <w:rPr>
            <w:rStyle w:val="Hyperlink"/>
            <w:b/>
            <w:bCs/>
            <w:strike/>
          </w:rPr>
          <w:t>https://www.legislation.gov.uk/ukpga/1996/18/contents</w:t>
        </w:r>
      </w:hyperlink>
      <w:r w:rsidRPr="00DE4B6A">
        <w:rPr>
          <w:b/>
          <w:bCs/>
          <w:strike/>
        </w:rPr>
        <w:br/>
        <w:t>Accessed: 18 May 2025.</w:t>
      </w:r>
    </w:p>
    <w:p w14:paraId="786F493D" w14:textId="77777777" w:rsidR="003A151C" w:rsidRPr="00DE4B6A" w:rsidRDefault="003A151C" w:rsidP="003A151C">
      <w:pPr>
        <w:rPr>
          <w:b/>
          <w:bCs/>
          <w:strike/>
        </w:rPr>
      </w:pPr>
      <w:r w:rsidRPr="00DE4B6A">
        <w:rPr>
          <w:b/>
          <w:bCs/>
          <w:strike/>
        </w:rPr>
        <w:t>Equality Act 2010</w:t>
      </w:r>
      <w:r w:rsidRPr="00DE4B6A">
        <w:rPr>
          <w:b/>
          <w:bCs/>
          <w:strike/>
        </w:rPr>
        <w:br/>
        <w:t xml:space="preserve">Available at: </w:t>
      </w:r>
      <w:hyperlink r:id="rId22" w:tgtFrame="_new" w:history="1">
        <w:r w:rsidRPr="00DE4B6A">
          <w:rPr>
            <w:rStyle w:val="Hyperlink"/>
            <w:b/>
            <w:bCs/>
            <w:strike/>
          </w:rPr>
          <w:t>https://www.legislation.gov.uk/ukpga/2010/15/contents</w:t>
        </w:r>
      </w:hyperlink>
      <w:r w:rsidRPr="00DE4B6A">
        <w:rPr>
          <w:b/>
          <w:bCs/>
          <w:strike/>
        </w:rPr>
        <w:br/>
        <w:t>Accessed: 7 January 2026.</w:t>
      </w:r>
    </w:p>
    <w:p w14:paraId="605994FB" w14:textId="77777777" w:rsidR="003A151C" w:rsidRPr="00DE4B6A" w:rsidRDefault="003A151C" w:rsidP="003A151C">
      <w:pPr>
        <w:rPr>
          <w:b/>
          <w:bCs/>
          <w:strike/>
        </w:rPr>
      </w:pPr>
      <w:r w:rsidRPr="00DE4B6A">
        <w:rPr>
          <w:b/>
          <w:bCs/>
          <w:strike/>
        </w:rPr>
        <w:lastRenderedPageBreak/>
        <w:t xml:space="preserve">Gennard, J. and Judge, G. (2010) </w:t>
      </w:r>
      <w:r w:rsidRPr="00DE4B6A">
        <w:rPr>
          <w:b/>
          <w:bCs/>
          <w:i/>
          <w:iCs/>
          <w:strike/>
        </w:rPr>
        <w:t>Employee Relations</w:t>
      </w:r>
      <w:r w:rsidRPr="00DE4B6A">
        <w:rPr>
          <w:b/>
          <w:bCs/>
          <w:strike/>
        </w:rPr>
        <w:t>. 5th edn. London: CIPD.</w:t>
      </w:r>
      <w:r w:rsidRPr="00DE4B6A">
        <w:rPr>
          <w:b/>
          <w:bCs/>
          <w:strike/>
        </w:rPr>
        <w:br/>
        <w:t>Accessed: 6 January 2026.</w:t>
      </w:r>
    </w:p>
    <w:p w14:paraId="67B549B5" w14:textId="77777777" w:rsidR="003A151C" w:rsidRPr="00DE4B6A" w:rsidRDefault="003A151C" w:rsidP="003A151C">
      <w:pPr>
        <w:rPr>
          <w:b/>
          <w:bCs/>
          <w:strike/>
        </w:rPr>
      </w:pPr>
      <w:r w:rsidRPr="00DE4B6A">
        <w:rPr>
          <w:b/>
          <w:bCs/>
          <w:strike/>
        </w:rPr>
        <w:t>Iceland Frozen Foods Ltd v Jones [1983] ICR 17.</w:t>
      </w:r>
    </w:p>
    <w:p w14:paraId="30D98D81" w14:textId="77777777" w:rsidR="003A151C" w:rsidRPr="00DE4B6A" w:rsidRDefault="003A151C" w:rsidP="003A151C">
      <w:pPr>
        <w:rPr>
          <w:b/>
          <w:bCs/>
          <w:strike/>
        </w:rPr>
      </w:pPr>
      <w:r w:rsidRPr="00DE4B6A">
        <w:rPr>
          <w:b/>
          <w:bCs/>
          <w:strike/>
        </w:rPr>
        <w:t>Office for National Statistics (2023) Labour disputes in the UK: 2023.</w:t>
      </w:r>
      <w:r w:rsidRPr="00DE4B6A">
        <w:rPr>
          <w:b/>
          <w:bCs/>
          <w:strike/>
        </w:rPr>
        <w:br/>
        <w:t xml:space="preserve">Available at: </w:t>
      </w:r>
      <w:hyperlink r:id="rId23" w:tgtFrame="_new" w:history="1">
        <w:r w:rsidRPr="00DE4B6A">
          <w:rPr>
            <w:rStyle w:val="Hyperlink"/>
            <w:b/>
            <w:bCs/>
            <w:strike/>
          </w:rPr>
          <w:t>https://www.ons.gov.uk/employmentandlabourmarket/peopleinwork/workplacedisputes</w:t>
        </w:r>
      </w:hyperlink>
      <w:r w:rsidRPr="00DE4B6A">
        <w:rPr>
          <w:b/>
          <w:bCs/>
          <w:strike/>
        </w:rPr>
        <w:br/>
        <w:t>Accessed: 28 May 2025.</w:t>
      </w:r>
    </w:p>
    <w:p w14:paraId="25166528" w14:textId="77777777" w:rsidR="003A151C" w:rsidRPr="00DE4B6A" w:rsidRDefault="003A151C" w:rsidP="003A151C">
      <w:pPr>
        <w:rPr>
          <w:b/>
          <w:bCs/>
          <w:strike/>
        </w:rPr>
      </w:pPr>
      <w:r w:rsidRPr="00DE4B6A">
        <w:rPr>
          <w:b/>
          <w:bCs/>
          <w:strike/>
        </w:rPr>
        <w:t>R v Secretary of State for Business and Trade [2023] EWHC 1781 (Admin).</w:t>
      </w:r>
    </w:p>
    <w:p w14:paraId="67337A75" w14:textId="77777777" w:rsidR="003A151C" w:rsidRPr="00DE4B6A" w:rsidRDefault="003A151C" w:rsidP="003A151C">
      <w:pPr>
        <w:rPr>
          <w:b/>
          <w:bCs/>
          <w:strike/>
        </w:rPr>
      </w:pPr>
      <w:r w:rsidRPr="00DE4B6A">
        <w:rPr>
          <w:b/>
          <w:bCs/>
          <w:strike/>
        </w:rPr>
        <w:t xml:space="preserve">Torrington, D., Hall, L., Taylor, S. and Atkinson, C. (2020) </w:t>
      </w:r>
      <w:r w:rsidRPr="00DE4B6A">
        <w:rPr>
          <w:b/>
          <w:bCs/>
          <w:i/>
          <w:iCs/>
          <w:strike/>
        </w:rPr>
        <w:t>Human Resource Management</w:t>
      </w:r>
      <w:r w:rsidRPr="00DE4B6A">
        <w:rPr>
          <w:b/>
          <w:bCs/>
          <w:strike/>
        </w:rPr>
        <w:t>. 11th edn. Harlow: Pearson Education.</w:t>
      </w:r>
      <w:r w:rsidRPr="00DE4B6A">
        <w:rPr>
          <w:b/>
          <w:bCs/>
          <w:strike/>
        </w:rPr>
        <w:br/>
        <w:t>Accessed: 4 January 2026.</w:t>
      </w:r>
    </w:p>
    <w:p w14:paraId="3CEDCCEB" w14:textId="77777777" w:rsidR="003A151C" w:rsidRPr="00DE4B6A" w:rsidRDefault="003A151C" w:rsidP="003A151C">
      <w:pPr>
        <w:rPr>
          <w:b/>
          <w:bCs/>
          <w:strike/>
        </w:rPr>
      </w:pPr>
      <w:r w:rsidRPr="00DE4B6A">
        <w:rPr>
          <w:b/>
          <w:bCs/>
          <w:strike/>
        </w:rPr>
        <w:t>Trade Union and Labour Relations (Consolidation) Act 1992</w:t>
      </w:r>
      <w:r w:rsidRPr="00DE4B6A">
        <w:rPr>
          <w:b/>
          <w:bCs/>
          <w:strike/>
        </w:rPr>
        <w:br/>
        <w:t xml:space="preserve">Available at: </w:t>
      </w:r>
      <w:hyperlink r:id="rId24" w:tgtFrame="_new" w:history="1">
        <w:r w:rsidRPr="00DE4B6A">
          <w:rPr>
            <w:rStyle w:val="Hyperlink"/>
            <w:b/>
            <w:bCs/>
            <w:strike/>
          </w:rPr>
          <w:t>https://www.legislation.gov.uk/ukpga/1992/52/contents</w:t>
        </w:r>
      </w:hyperlink>
      <w:r w:rsidRPr="00DE4B6A">
        <w:rPr>
          <w:b/>
          <w:bCs/>
          <w:strike/>
        </w:rPr>
        <w:br/>
        <w:t>Accessed: 9 January 2026.</w:t>
      </w:r>
    </w:p>
    <w:p w14:paraId="57DC2DDB" w14:textId="77777777" w:rsidR="00525FCF" w:rsidRPr="007B47B0" w:rsidRDefault="00525FCF" w:rsidP="003A151C"/>
    <w:sectPr w:rsidR="00525FCF" w:rsidRPr="007B47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8F4"/>
    <w:rsid w:val="000012C9"/>
    <w:rsid w:val="0000653D"/>
    <w:rsid w:val="000275A9"/>
    <w:rsid w:val="00032F92"/>
    <w:rsid w:val="00034001"/>
    <w:rsid w:val="00046541"/>
    <w:rsid w:val="00095F89"/>
    <w:rsid w:val="000B7A4E"/>
    <w:rsid w:val="000C3495"/>
    <w:rsid w:val="000D14CD"/>
    <w:rsid w:val="000D4B0F"/>
    <w:rsid w:val="000D6BE2"/>
    <w:rsid w:val="000F167C"/>
    <w:rsid w:val="000F1E3E"/>
    <w:rsid w:val="000F700D"/>
    <w:rsid w:val="00100ED4"/>
    <w:rsid w:val="00102C93"/>
    <w:rsid w:val="00103C1E"/>
    <w:rsid w:val="001115E2"/>
    <w:rsid w:val="0011287E"/>
    <w:rsid w:val="00112E6D"/>
    <w:rsid w:val="001331B0"/>
    <w:rsid w:val="00135FBD"/>
    <w:rsid w:val="001479BE"/>
    <w:rsid w:val="00147BD8"/>
    <w:rsid w:val="00155670"/>
    <w:rsid w:val="00161C9F"/>
    <w:rsid w:val="00163901"/>
    <w:rsid w:val="00165CD8"/>
    <w:rsid w:val="00196AC0"/>
    <w:rsid w:val="001A44CE"/>
    <w:rsid w:val="001B07FC"/>
    <w:rsid w:val="001E31F8"/>
    <w:rsid w:val="001F1E62"/>
    <w:rsid w:val="001F2ACF"/>
    <w:rsid w:val="001F728D"/>
    <w:rsid w:val="002165D7"/>
    <w:rsid w:val="00221F41"/>
    <w:rsid w:val="00222E9D"/>
    <w:rsid w:val="00227448"/>
    <w:rsid w:val="0023241B"/>
    <w:rsid w:val="00237264"/>
    <w:rsid w:val="0024350F"/>
    <w:rsid w:val="00243738"/>
    <w:rsid w:val="00245262"/>
    <w:rsid w:val="00245496"/>
    <w:rsid w:val="002859B3"/>
    <w:rsid w:val="002941A7"/>
    <w:rsid w:val="002B6F7B"/>
    <w:rsid w:val="002C1359"/>
    <w:rsid w:val="002C5721"/>
    <w:rsid w:val="002C6856"/>
    <w:rsid w:val="002E244A"/>
    <w:rsid w:val="002F6772"/>
    <w:rsid w:val="00306E4B"/>
    <w:rsid w:val="003257FF"/>
    <w:rsid w:val="003334FD"/>
    <w:rsid w:val="00334423"/>
    <w:rsid w:val="00383FCE"/>
    <w:rsid w:val="0039485C"/>
    <w:rsid w:val="003A151C"/>
    <w:rsid w:val="003A325B"/>
    <w:rsid w:val="003A32DF"/>
    <w:rsid w:val="003B3634"/>
    <w:rsid w:val="003B4B7A"/>
    <w:rsid w:val="003B64FB"/>
    <w:rsid w:val="003C126A"/>
    <w:rsid w:val="003C2263"/>
    <w:rsid w:val="003C2D08"/>
    <w:rsid w:val="003D038B"/>
    <w:rsid w:val="00400426"/>
    <w:rsid w:val="0041270E"/>
    <w:rsid w:val="0043045D"/>
    <w:rsid w:val="00450D96"/>
    <w:rsid w:val="00453E60"/>
    <w:rsid w:val="004743CB"/>
    <w:rsid w:val="0048344C"/>
    <w:rsid w:val="00485E4F"/>
    <w:rsid w:val="00492D6D"/>
    <w:rsid w:val="00494ED8"/>
    <w:rsid w:val="004972F4"/>
    <w:rsid w:val="004A4F30"/>
    <w:rsid w:val="004B2DD3"/>
    <w:rsid w:val="004B2DD4"/>
    <w:rsid w:val="004C1251"/>
    <w:rsid w:val="004D6867"/>
    <w:rsid w:val="004E5B15"/>
    <w:rsid w:val="004E7C87"/>
    <w:rsid w:val="00513C64"/>
    <w:rsid w:val="00513FD5"/>
    <w:rsid w:val="00525FCF"/>
    <w:rsid w:val="00541B9C"/>
    <w:rsid w:val="005552D2"/>
    <w:rsid w:val="00564072"/>
    <w:rsid w:val="00571305"/>
    <w:rsid w:val="005836E8"/>
    <w:rsid w:val="005903AF"/>
    <w:rsid w:val="005A20DD"/>
    <w:rsid w:val="005C5DFE"/>
    <w:rsid w:val="005D3CA1"/>
    <w:rsid w:val="005D47F1"/>
    <w:rsid w:val="005D5469"/>
    <w:rsid w:val="00651B8F"/>
    <w:rsid w:val="0066356D"/>
    <w:rsid w:val="00667889"/>
    <w:rsid w:val="006679AF"/>
    <w:rsid w:val="006760FB"/>
    <w:rsid w:val="006A1474"/>
    <w:rsid w:val="006A5E4E"/>
    <w:rsid w:val="006C696B"/>
    <w:rsid w:val="006C77FC"/>
    <w:rsid w:val="006D6FD9"/>
    <w:rsid w:val="006E03FF"/>
    <w:rsid w:val="006E1EF2"/>
    <w:rsid w:val="006E61F9"/>
    <w:rsid w:val="006E6744"/>
    <w:rsid w:val="00702E70"/>
    <w:rsid w:val="0071470C"/>
    <w:rsid w:val="00734D88"/>
    <w:rsid w:val="00740DAC"/>
    <w:rsid w:val="00744C67"/>
    <w:rsid w:val="00745A45"/>
    <w:rsid w:val="00750364"/>
    <w:rsid w:val="00763B49"/>
    <w:rsid w:val="00765E55"/>
    <w:rsid w:val="007762BA"/>
    <w:rsid w:val="00781992"/>
    <w:rsid w:val="007964B8"/>
    <w:rsid w:val="007A0B25"/>
    <w:rsid w:val="007B47B0"/>
    <w:rsid w:val="007C4658"/>
    <w:rsid w:val="007E1D78"/>
    <w:rsid w:val="007E1DA9"/>
    <w:rsid w:val="00804AD9"/>
    <w:rsid w:val="008066B5"/>
    <w:rsid w:val="008075CA"/>
    <w:rsid w:val="0083293F"/>
    <w:rsid w:val="00837E9B"/>
    <w:rsid w:val="00843D73"/>
    <w:rsid w:val="008609CB"/>
    <w:rsid w:val="00860B89"/>
    <w:rsid w:val="00870917"/>
    <w:rsid w:val="00874D7B"/>
    <w:rsid w:val="0087716A"/>
    <w:rsid w:val="00887011"/>
    <w:rsid w:val="00891BEA"/>
    <w:rsid w:val="0089430E"/>
    <w:rsid w:val="008B3960"/>
    <w:rsid w:val="008D28EA"/>
    <w:rsid w:val="008E4B43"/>
    <w:rsid w:val="008F263C"/>
    <w:rsid w:val="008F7433"/>
    <w:rsid w:val="0091064C"/>
    <w:rsid w:val="009375FE"/>
    <w:rsid w:val="0097569F"/>
    <w:rsid w:val="009879BE"/>
    <w:rsid w:val="00994794"/>
    <w:rsid w:val="009B65B4"/>
    <w:rsid w:val="009E5BD6"/>
    <w:rsid w:val="009F5A28"/>
    <w:rsid w:val="00A04BF5"/>
    <w:rsid w:val="00A203FD"/>
    <w:rsid w:val="00A23367"/>
    <w:rsid w:val="00A4282D"/>
    <w:rsid w:val="00A457DB"/>
    <w:rsid w:val="00A60262"/>
    <w:rsid w:val="00A65E39"/>
    <w:rsid w:val="00A7253F"/>
    <w:rsid w:val="00AB0202"/>
    <w:rsid w:val="00AB2F62"/>
    <w:rsid w:val="00AF0EF0"/>
    <w:rsid w:val="00B11860"/>
    <w:rsid w:val="00B1297F"/>
    <w:rsid w:val="00B135CF"/>
    <w:rsid w:val="00B4689E"/>
    <w:rsid w:val="00B55DD5"/>
    <w:rsid w:val="00B6760E"/>
    <w:rsid w:val="00B7599E"/>
    <w:rsid w:val="00B86D7A"/>
    <w:rsid w:val="00B97B99"/>
    <w:rsid w:val="00BA3255"/>
    <w:rsid w:val="00BC7437"/>
    <w:rsid w:val="00BD024C"/>
    <w:rsid w:val="00BD3BCE"/>
    <w:rsid w:val="00BE707C"/>
    <w:rsid w:val="00C0038D"/>
    <w:rsid w:val="00C14806"/>
    <w:rsid w:val="00C14DE3"/>
    <w:rsid w:val="00C24DA0"/>
    <w:rsid w:val="00C26142"/>
    <w:rsid w:val="00C31696"/>
    <w:rsid w:val="00C31D05"/>
    <w:rsid w:val="00C34D14"/>
    <w:rsid w:val="00C418C2"/>
    <w:rsid w:val="00C77D91"/>
    <w:rsid w:val="00C96F3D"/>
    <w:rsid w:val="00CB0F4F"/>
    <w:rsid w:val="00CB2B80"/>
    <w:rsid w:val="00CB590B"/>
    <w:rsid w:val="00CB7234"/>
    <w:rsid w:val="00CC1DE3"/>
    <w:rsid w:val="00CC2CA5"/>
    <w:rsid w:val="00CD38F4"/>
    <w:rsid w:val="00CE1198"/>
    <w:rsid w:val="00CE1BC9"/>
    <w:rsid w:val="00CF6149"/>
    <w:rsid w:val="00CF6F58"/>
    <w:rsid w:val="00D54357"/>
    <w:rsid w:val="00D62AD9"/>
    <w:rsid w:val="00D63EAF"/>
    <w:rsid w:val="00D77D3C"/>
    <w:rsid w:val="00D83EA1"/>
    <w:rsid w:val="00DA138E"/>
    <w:rsid w:val="00DB2F97"/>
    <w:rsid w:val="00DB3A5C"/>
    <w:rsid w:val="00DC2790"/>
    <w:rsid w:val="00DD247D"/>
    <w:rsid w:val="00DE4B6A"/>
    <w:rsid w:val="00DE653B"/>
    <w:rsid w:val="00DF0927"/>
    <w:rsid w:val="00DF1B46"/>
    <w:rsid w:val="00DF5D54"/>
    <w:rsid w:val="00E045CA"/>
    <w:rsid w:val="00E04F60"/>
    <w:rsid w:val="00E06987"/>
    <w:rsid w:val="00E35C07"/>
    <w:rsid w:val="00E420C5"/>
    <w:rsid w:val="00E62804"/>
    <w:rsid w:val="00E81C51"/>
    <w:rsid w:val="00E85C8F"/>
    <w:rsid w:val="00E91881"/>
    <w:rsid w:val="00E94D1F"/>
    <w:rsid w:val="00E95865"/>
    <w:rsid w:val="00EA0376"/>
    <w:rsid w:val="00EB5C79"/>
    <w:rsid w:val="00ED0BFA"/>
    <w:rsid w:val="00ED1D55"/>
    <w:rsid w:val="00F009F0"/>
    <w:rsid w:val="00F04813"/>
    <w:rsid w:val="00F1526F"/>
    <w:rsid w:val="00F22137"/>
    <w:rsid w:val="00F62D4D"/>
    <w:rsid w:val="00F74542"/>
    <w:rsid w:val="00F93BC9"/>
    <w:rsid w:val="00F93ECD"/>
    <w:rsid w:val="00F97BCF"/>
    <w:rsid w:val="00FA10E6"/>
    <w:rsid w:val="00FA6BE5"/>
    <w:rsid w:val="00FB16E8"/>
    <w:rsid w:val="00FC7C16"/>
    <w:rsid w:val="00FC7CBE"/>
    <w:rsid w:val="00FD2915"/>
    <w:rsid w:val="00FE71BC"/>
    <w:rsid w:val="00FF3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30129"/>
  <w15:chartTrackingRefBased/>
  <w15:docId w15:val="{D35F9427-6A9A-421B-888A-7A0709DC0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8F4"/>
  </w:style>
  <w:style w:type="paragraph" w:styleId="Heading1">
    <w:name w:val="heading 1"/>
    <w:basedOn w:val="Normal"/>
    <w:next w:val="Normal"/>
    <w:link w:val="Heading1Char"/>
    <w:uiPriority w:val="9"/>
    <w:qFormat/>
    <w:rsid w:val="00CD38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8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8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8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8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8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8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8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8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8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8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8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8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8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8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8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8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8F4"/>
    <w:rPr>
      <w:rFonts w:eastAsiaTheme="majorEastAsia" w:cstheme="majorBidi"/>
      <w:color w:val="272727" w:themeColor="text1" w:themeTint="D8"/>
    </w:rPr>
  </w:style>
  <w:style w:type="paragraph" w:styleId="Title">
    <w:name w:val="Title"/>
    <w:basedOn w:val="Normal"/>
    <w:next w:val="Normal"/>
    <w:link w:val="TitleChar"/>
    <w:uiPriority w:val="10"/>
    <w:qFormat/>
    <w:rsid w:val="00CD38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8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8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8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8F4"/>
    <w:pPr>
      <w:spacing w:before="160"/>
      <w:jc w:val="center"/>
    </w:pPr>
    <w:rPr>
      <w:i/>
      <w:iCs/>
      <w:color w:val="404040" w:themeColor="text1" w:themeTint="BF"/>
    </w:rPr>
  </w:style>
  <w:style w:type="character" w:customStyle="1" w:styleId="QuoteChar">
    <w:name w:val="Quote Char"/>
    <w:basedOn w:val="DefaultParagraphFont"/>
    <w:link w:val="Quote"/>
    <w:uiPriority w:val="29"/>
    <w:rsid w:val="00CD38F4"/>
    <w:rPr>
      <w:i/>
      <w:iCs/>
      <w:color w:val="404040" w:themeColor="text1" w:themeTint="BF"/>
    </w:rPr>
  </w:style>
  <w:style w:type="paragraph" w:styleId="ListParagraph">
    <w:name w:val="List Paragraph"/>
    <w:basedOn w:val="Normal"/>
    <w:uiPriority w:val="34"/>
    <w:qFormat/>
    <w:rsid w:val="00CD38F4"/>
    <w:pPr>
      <w:ind w:left="720"/>
      <w:contextualSpacing/>
    </w:pPr>
  </w:style>
  <w:style w:type="character" w:styleId="IntenseEmphasis">
    <w:name w:val="Intense Emphasis"/>
    <w:basedOn w:val="DefaultParagraphFont"/>
    <w:uiPriority w:val="21"/>
    <w:qFormat/>
    <w:rsid w:val="00CD38F4"/>
    <w:rPr>
      <w:i/>
      <w:iCs/>
      <w:color w:val="0F4761" w:themeColor="accent1" w:themeShade="BF"/>
    </w:rPr>
  </w:style>
  <w:style w:type="paragraph" w:styleId="IntenseQuote">
    <w:name w:val="Intense Quote"/>
    <w:basedOn w:val="Normal"/>
    <w:next w:val="Normal"/>
    <w:link w:val="IntenseQuoteChar"/>
    <w:uiPriority w:val="30"/>
    <w:qFormat/>
    <w:rsid w:val="00CD38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8F4"/>
    <w:rPr>
      <w:i/>
      <w:iCs/>
      <w:color w:val="0F4761" w:themeColor="accent1" w:themeShade="BF"/>
    </w:rPr>
  </w:style>
  <w:style w:type="character" w:styleId="IntenseReference">
    <w:name w:val="Intense Reference"/>
    <w:basedOn w:val="DefaultParagraphFont"/>
    <w:uiPriority w:val="32"/>
    <w:qFormat/>
    <w:rsid w:val="00CD38F4"/>
    <w:rPr>
      <w:b/>
      <w:bCs/>
      <w:smallCaps/>
      <w:color w:val="0F4761" w:themeColor="accent1" w:themeShade="BF"/>
      <w:spacing w:val="5"/>
    </w:rPr>
  </w:style>
  <w:style w:type="character" w:styleId="Hyperlink">
    <w:name w:val="Hyperlink"/>
    <w:basedOn w:val="DefaultParagraphFont"/>
    <w:uiPriority w:val="99"/>
    <w:unhideWhenUsed/>
    <w:rsid w:val="00CD38F4"/>
    <w:rPr>
      <w:color w:val="467886" w:themeColor="hyperlink"/>
      <w:u w:val="single"/>
    </w:rPr>
  </w:style>
  <w:style w:type="character" w:styleId="UnresolvedMention">
    <w:name w:val="Unresolved Mention"/>
    <w:basedOn w:val="DefaultParagraphFont"/>
    <w:uiPriority w:val="99"/>
    <w:semiHidden/>
    <w:unhideWhenUsed/>
    <w:rsid w:val="00CD38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8310">
      <w:bodyDiv w:val="1"/>
      <w:marLeft w:val="0"/>
      <w:marRight w:val="0"/>
      <w:marTop w:val="0"/>
      <w:marBottom w:val="0"/>
      <w:divBdr>
        <w:top w:val="none" w:sz="0" w:space="0" w:color="auto"/>
        <w:left w:val="none" w:sz="0" w:space="0" w:color="auto"/>
        <w:bottom w:val="none" w:sz="0" w:space="0" w:color="auto"/>
        <w:right w:val="none" w:sz="0" w:space="0" w:color="auto"/>
      </w:divBdr>
    </w:div>
    <w:div w:id="81070814">
      <w:bodyDiv w:val="1"/>
      <w:marLeft w:val="0"/>
      <w:marRight w:val="0"/>
      <w:marTop w:val="0"/>
      <w:marBottom w:val="0"/>
      <w:divBdr>
        <w:top w:val="none" w:sz="0" w:space="0" w:color="auto"/>
        <w:left w:val="none" w:sz="0" w:space="0" w:color="auto"/>
        <w:bottom w:val="none" w:sz="0" w:space="0" w:color="auto"/>
        <w:right w:val="none" w:sz="0" w:space="0" w:color="auto"/>
      </w:divBdr>
    </w:div>
    <w:div w:id="159200997">
      <w:bodyDiv w:val="1"/>
      <w:marLeft w:val="0"/>
      <w:marRight w:val="0"/>
      <w:marTop w:val="0"/>
      <w:marBottom w:val="0"/>
      <w:divBdr>
        <w:top w:val="none" w:sz="0" w:space="0" w:color="auto"/>
        <w:left w:val="none" w:sz="0" w:space="0" w:color="auto"/>
        <w:bottom w:val="none" w:sz="0" w:space="0" w:color="auto"/>
        <w:right w:val="none" w:sz="0" w:space="0" w:color="auto"/>
      </w:divBdr>
    </w:div>
    <w:div w:id="350379263">
      <w:bodyDiv w:val="1"/>
      <w:marLeft w:val="0"/>
      <w:marRight w:val="0"/>
      <w:marTop w:val="0"/>
      <w:marBottom w:val="0"/>
      <w:divBdr>
        <w:top w:val="none" w:sz="0" w:space="0" w:color="auto"/>
        <w:left w:val="none" w:sz="0" w:space="0" w:color="auto"/>
        <w:bottom w:val="none" w:sz="0" w:space="0" w:color="auto"/>
        <w:right w:val="none" w:sz="0" w:space="0" w:color="auto"/>
      </w:divBdr>
    </w:div>
    <w:div w:id="388384026">
      <w:bodyDiv w:val="1"/>
      <w:marLeft w:val="0"/>
      <w:marRight w:val="0"/>
      <w:marTop w:val="0"/>
      <w:marBottom w:val="0"/>
      <w:divBdr>
        <w:top w:val="none" w:sz="0" w:space="0" w:color="auto"/>
        <w:left w:val="none" w:sz="0" w:space="0" w:color="auto"/>
        <w:bottom w:val="none" w:sz="0" w:space="0" w:color="auto"/>
        <w:right w:val="none" w:sz="0" w:space="0" w:color="auto"/>
      </w:divBdr>
    </w:div>
    <w:div w:id="427240215">
      <w:bodyDiv w:val="1"/>
      <w:marLeft w:val="0"/>
      <w:marRight w:val="0"/>
      <w:marTop w:val="0"/>
      <w:marBottom w:val="0"/>
      <w:divBdr>
        <w:top w:val="none" w:sz="0" w:space="0" w:color="auto"/>
        <w:left w:val="none" w:sz="0" w:space="0" w:color="auto"/>
        <w:bottom w:val="none" w:sz="0" w:space="0" w:color="auto"/>
        <w:right w:val="none" w:sz="0" w:space="0" w:color="auto"/>
      </w:divBdr>
    </w:div>
    <w:div w:id="524052125">
      <w:bodyDiv w:val="1"/>
      <w:marLeft w:val="0"/>
      <w:marRight w:val="0"/>
      <w:marTop w:val="0"/>
      <w:marBottom w:val="0"/>
      <w:divBdr>
        <w:top w:val="none" w:sz="0" w:space="0" w:color="auto"/>
        <w:left w:val="none" w:sz="0" w:space="0" w:color="auto"/>
        <w:bottom w:val="none" w:sz="0" w:space="0" w:color="auto"/>
        <w:right w:val="none" w:sz="0" w:space="0" w:color="auto"/>
      </w:divBdr>
    </w:div>
    <w:div w:id="532814443">
      <w:bodyDiv w:val="1"/>
      <w:marLeft w:val="0"/>
      <w:marRight w:val="0"/>
      <w:marTop w:val="0"/>
      <w:marBottom w:val="0"/>
      <w:divBdr>
        <w:top w:val="none" w:sz="0" w:space="0" w:color="auto"/>
        <w:left w:val="none" w:sz="0" w:space="0" w:color="auto"/>
        <w:bottom w:val="none" w:sz="0" w:space="0" w:color="auto"/>
        <w:right w:val="none" w:sz="0" w:space="0" w:color="auto"/>
      </w:divBdr>
    </w:div>
    <w:div w:id="602104400">
      <w:bodyDiv w:val="1"/>
      <w:marLeft w:val="0"/>
      <w:marRight w:val="0"/>
      <w:marTop w:val="0"/>
      <w:marBottom w:val="0"/>
      <w:divBdr>
        <w:top w:val="none" w:sz="0" w:space="0" w:color="auto"/>
        <w:left w:val="none" w:sz="0" w:space="0" w:color="auto"/>
        <w:bottom w:val="none" w:sz="0" w:space="0" w:color="auto"/>
        <w:right w:val="none" w:sz="0" w:space="0" w:color="auto"/>
      </w:divBdr>
    </w:div>
    <w:div w:id="643779119">
      <w:bodyDiv w:val="1"/>
      <w:marLeft w:val="0"/>
      <w:marRight w:val="0"/>
      <w:marTop w:val="0"/>
      <w:marBottom w:val="0"/>
      <w:divBdr>
        <w:top w:val="none" w:sz="0" w:space="0" w:color="auto"/>
        <w:left w:val="none" w:sz="0" w:space="0" w:color="auto"/>
        <w:bottom w:val="none" w:sz="0" w:space="0" w:color="auto"/>
        <w:right w:val="none" w:sz="0" w:space="0" w:color="auto"/>
      </w:divBdr>
    </w:div>
    <w:div w:id="653224851">
      <w:bodyDiv w:val="1"/>
      <w:marLeft w:val="0"/>
      <w:marRight w:val="0"/>
      <w:marTop w:val="0"/>
      <w:marBottom w:val="0"/>
      <w:divBdr>
        <w:top w:val="none" w:sz="0" w:space="0" w:color="auto"/>
        <w:left w:val="none" w:sz="0" w:space="0" w:color="auto"/>
        <w:bottom w:val="none" w:sz="0" w:space="0" w:color="auto"/>
        <w:right w:val="none" w:sz="0" w:space="0" w:color="auto"/>
      </w:divBdr>
    </w:div>
    <w:div w:id="726147332">
      <w:bodyDiv w:val="1"/>
      <w:marLeft w:val="0"/>
      <w:marRight w:val="0"/>
      <w:marTop w:val="0"/>
      <w:marBottom w:val="0"/>
      <w:divBdr>
        <w:top w:val="none" w:sz="0" w:space="0" w:color="auto"/>
        <w:left w:val="none" w:sz="0" w:space="0" w:color="auto"/>
        <w:bottom w:val="none" w:sz="0" w:space="0" w:color="auto"/>
        <w:right w:val="none" w:sz="0" w:space="0" w:color="auto"/>
      </w:divBdr>
    </w:div>
    <w:div w:id="768964607">
      <w:bodyDiv w:val="1"/>
      <w:marLeft w:val="0"/>
      <w:marRight w:val="0"/>
      <w:marTop w:val="0"/>
      <w:marBottom w:val="0"/>
      <w:divBdr>
        <w:top w:val="none" w:sz="0" w:space="0" w:color="auto"/>
        <w:left w:val="none" w:sz="0" w:space="0" w:color="auto"/>
        <w:bottom w:val="none" w:sz="0" w:space="0" w:color="auto"/>
        <w:right w:val="none" w:sz="0" w:space="0" w:color="auto"/>
      </w:divBdr>
    </w:div>
    <w:div w:id="869100693">
      <w:bodyDiv w:val="1"/>
      <w:marLeft w:val="0"/>
      <w:marRight w:val="0"/>
      <w:marTop w:val="0"/>
      <w:marBottom w:val="0"/>
      <w:divBdr>
        <w:top w:val="none" w:sz="0" w:space="0" w:color="auto"/>
        <w:left w:val="none" w:sz="0" w:space="0" w:color="auto"/>
        <w:bottom w:val="none" w:sz="0" w:space="0" w:color="auto"/>
        <w:right w:val="none" w:sz="0" w:space="0" w:color="auto"/>
      </w:divBdr>
    </w:div>
    <w:div w:id="893585818">
      <w:bodyDiv w:val="1"/>
      <w:marLeft w:val="0"/>
      <w:marRight w:val="0"/>
      <w:marTop w:val="0"/>
      <w:marBottom w:val="0"/>
      <w:divBdr>
        <w:top w:val="none" w:sz="0" w:space="0" w:color="auto"/>
        <w:left w:val="none" w:sz="0" w:space="0" w:color="auto"/>
        <w:bottom w:val="none" w:sz="0" w:space="0" w:color="auto"/>
        <w:right w:val="none" w:sz="0" w:space="0" w:color="auto"/>
      </w:divBdr>
    </w:div>
    <w:div w:id="986202034">
      <w:bodyDiv w:val="1"/>
      <w:marLeft w:val="0"/>
      <w:marRight w:val="0"/>
      <w:marTop w:val="0"/>
      <w:marBottom w:val="0"/>
      <w:divBdr>
        <w:top w:val="none" w:sz="0" w:space="0" w:color="auto"/>
        <w:left w:val="none" w:sz="0" w:space="0" w:color="auto"/>
        <w:bottom w:val="none" w:sz="0" w:space="0" w:color="auto"/>
        <w:right w:val="none" w:sz="0" w:space="0" w:color="auto"/>
      </w:divBdr>
    </w:div>
    <w:div w:id="1031806020">
      <w:bodyDiv w:val="1"/>
      <w:marLeft w:val="0"/>
      <w:marRight w:val="0"/>
      <w:marTop w:val="0"/>
      <w:marBottom w:val="0"/>
      <w:divBdr>
        <w:top w:val="none" w:sz="0" w:space="0" w:color="auto"/>
        <w:left w:val="none" w:sz="0" w:space="0" w:color="auto"/>
        <w:bottom w:val="none" w:sz="0" w:space="0" w:color="auto"/>
        <w:right w:val="none" w:sz="0" w:space="0" w:color="auto"/>
      </w:divBdr>
    </w:div>
    <w:div w:id="1042747969">
      <w:bodyDiv w:val="1"/>
      <w:marLeft w:val="0"/>
      <w:marRight w:val="0"/>
      <w:marTop w:val="0"/>
      <w:marBottom w:val="0"/>
      <w:divBdr>
        <w:top w:val="none" w:sz="0" w:space="0" w:color="auto"/>
        <w:left w:val="none" w:sz="0" w:space="0" w:color="auto"/>
        <w:bottom w:val="none" w:sz="0" w:space="0" w:color="auto"/>
        <w:right w:val="none" w:sz="0" w:space="0" w:color="auto"/>
      </w:divBdr>
    </w:div>
    <w:div w:id="1151169182">
      <w:bodyDiv w:val="1"/>
      <w:marLeft w:val="0"/>
      <w:marRight w:val="0"/>
      <w:marTop w:val="0"/>
      <w:marBottom w:val="0"/>
      <w:divBdr>
        <w:top w:val="none" w:sz="0" w:space="0" w:color="auto"/>
        <w:left w:val="none" w:sz="0" w:space="0" w:color="auto"/>
        <w:bottom w:val="none" w:sz="0" w:space="0" w:color="auto"/>
        <w:right w:val="none" w:sz="0" w:space="0" w:color="auto"/>
      </w:divBdr>
    </w:div>
    <w:div w:id="1333877769">
      <w:bodyDiv w:val="1"/>
      <w:marLeft w:val="0"/>
      <w:marRight w:val="0"/>
      <w:marTop w:val="0"/>
      <w:marBottom w:val="0"/>
      <w:divBdr>
        <w:top w:val="none" w:sz="0" w:space="0" w:color="auto"/>
        <w:left w:val="none" w:sz="0" w:space="0" w:color="auto"/>
        <w:bottom w:val="none" w:sz="0" w:space="0" w:color="auto"/>
        <w:right w:val="none" w:sz="0" w:space="0" w:color="auto"/>
      </w:divBdr>
    </w:div>
    <w:div w:id="1369256415">
      <w:bodyDiv w:val="1"/>
      <w:marLeft w:val="0"/>
      <w:marRight w:val="0"/>
      <w:marTop w:val="0"/>
      <w:marBottom w:val="0"/>
      <w:divBdr>
        <w:top w:val="none" w:sz="0" w:space="0" w:color="auto"/>
        <w:left w:val="none" w:sz="0" w:space="0" w:color="auto"/>
        <w:bottom w:val="none" w:sz="0" w:space="0" w:color="auto"/>
        <w:right w:val="none" w:sz="0" w:space="0" w:color="auto"/>
      </w:divBdr>
    </w:div>
    <w:div w:id="1440829572">
      <w:bodyDiv w:val="1"/>
      <w:marLeft w:val="0"/>
      <w:marRight w:val="0"/>
      <w:marTop w:val="0"/>
      <w:marBottom w:val="0"/>
      <w:divBdr>
        <w:top w:val="none" w:sz="0" w:space="0" w:color="auto"/>
        <w:left w:val="none" w:sz="0" w:space="0" w:color="auto"/>
        <w:bottom w:val="none" w:sz="0" w:space="0" w:color="auto"/>
        <w:right w:val="none" w:sz="0" w:space="0" w:color="auto"/>
      </w:divBdr>
    </w:div>
    <w:div w:id="1474758391">
      <w:bodyDiv w:val="1"/>
      <w:marLeft w:val="0"/>
      <w:marRight w:val="0"/>
      <w:marTop w:val="0"/>
      <w:marBottom w:val="0"/>
      <w:divBdr>
        <w:top w:val="none" w:sz="0" w:space="0" w:color="auto"/>
        <w:left w:val="none" w:sz="0" w:space="0" w:color="auto"/>
        <w:bottom w:val="none" w:sz="0" w:space="0" w:color="auto"/>
        <w:right w:val="none" w:sz="0" w:space="0" w:color="auto"/>
      </w:divBdr>
    </w:div>
    <w:div w:id="1510438071">
      <w:bodyDiv w:val="1"/>
      <w:marLeft w:val="0"/>
      <w:marRight w:val="0"/>
      <w:marTop w:val="0"/>
      <w:marBottom w:val="0"/>
      <w:divBdr>
        <w:top w:val="none" w:sz="0" w:space="0" w:color="auto"/>
        <w:left w:val="none" w:sz="0" w:space="0" w:color="auto"/>
        <w:bottom w:val="none" w:sz="0" w:space="0" w:color="auto"/>
        <w:right w:val="none" w:sz="0" w:space="0" w:color="auto"/>
      </w:divBdr>
    </w:div>
    <w:div w:id="1551961966">
      <w:bodyDiv w:val="1"/>
      <w:marLeft w:val="0"/>
      <w:marRight w:val="0"/>
      <w:marTop w:val="0"/>
      <w:marBottom w:val="0"/>
      <w:divBdr>
        <w:top w:val="none" w:sz="0" w:space="0" w:color="auto"/>
        <w:left w:val="none" w:sz="0" w:space="0" w:color="auto"/>
        <w:bottom w:val="none" w:sz="0" w:space="0" w:color="auto"/>
        <w:right w:val="none" w:sz="0" w:space="0" w:color="auto"/>
      </w:divBdr>
    </w:div>
    <w:div w:id="1564176811">
      <w:bodyDiv w:val="1"/>
      <w:marLeft w:val="0"/>
      <w:marRight w:val="0"/>
      <w:marTop w:val="0"/>
      <w:marBottom w:val="0"/>
      <w:divBdr>
        <w:top w:val="none" w:sz="0" w:space="0" w:color="auto"/>
        <w:left w:val="none" w:sz="0" w:space="0" w:color="auto"/>
        <w:bottom w:val="none" w:sz="0" w:space="0" w:color="auto"/>
        <w:right w:val="none" w:sz="0" w:space="0" w:color="auto"/>
      </w:divBdr>
    </w:div>
    <w:div w:id="1608730345">
      <w:bodyDiv w:val="1"/>
      <w:marLeft w:val="0"/>
      <w:marRight w:val="0"/>
      <w:marTop w:val="0"/>
      <w:marBottom w:val="0"/>
      <w:divBdr>
        <w:top w:val="none" w:sz="0" w:space="0" w:color="auto"/>
        <w:left w:val="none" w:sz="0" w:space="0" w:color="auto"/>
        <w:bottom w:val="none" w:sz="0" w:space="0" w:color="auto"/>
        <w:right w:val="none" w:sz="0" w:space="0" w:color="auto"/>
      </w:divBdr>
    </w:div>
    <w:div w:id="1709187114">
      <w:bodyDiv w:val="1"/>
      <w:marLeft w:val="0"/>
      <w:marRight w:val="0"/>
      <w:marTop w:val="0"/>
      <w:marBottom w:val="0"/>
      <w:divBdr>
        <w:top w:val="none" w:sz="0" w:space="0" w:color="auto"/>
        <w:left w:val="none" w:sz="0" w:space="0" w:color="auto"/>
        <w:bottom w:val="none" w:sz="0" w:space="0" w:color="auto"/>
        <w:right w:val="none" w:sz="0" w:space="0" w:color="auto"/>
      </w:divBdr>
    </w:div>
    <w:div w:id="1722287715">
      <w:bodyDiv w:val="1"/>
      <w:marLeft w:val="0"/>
      <w:marRight w:val="0"/>
      <w:marTop w:val="0"/>
      <w:marBottom w:val="0"/>
      <w:divBdr>
        <w:top w:val="none" w:sz="0" w:space="0" w:color="auto"/>
        <w:left w:val="none" w:sz="0" w:space="0" w:color="auto"/>
        <w:bottom w:val="none" w:sz="0" w:space="0" w:color="auto"/>
        <w:right w:val="none" w:sz="0" w:space="0" w:color="auto"/>
      </w:divBdr>
    </w:div>
    <w:div w:id="1745107414">
      <w:bodyDiv w:val="1"/>
      <w:marLeft w:val="0"/>
      <w:marRight w:val="0"/>
      <w:marTop w:val="0"/>
      <w:marBottom w:val="0"/>
      <w:divBdr>
        <w:top w:val="none" w:sz="0" w:space="0" w:color="auto"/>
        <w:left w:val="none" w:sz="0" w:space="0" w:color="auto"/>
        <w:bottom w:val="none" w:sz="0" w:space="0" w:color="auto"/>
        <w:right w:val="none" w:sz="0" w:space="0" w:color="auto"/>
      </w:divBdr>
    </w:div>
    <w:div w:id="1790738418">
      <w:bodyDiv w:val="1"/>
      <w:marLeft w:val="0"/>
      <w:marRight w:val="0"/>
      <w:marTop w:val="0"/>
      <w:marBottom w:val="0"/>
      <w:divBdr>
        <w:top w:val="none" w:sz="0" w:space="0" w:color="auto"/>
        <w:left w:val="none" w:sz="0" w:space="0" w:color="auto"/>
        <w:bottom w:val="none" w:sz="0" w:space="0" w:color="auto"/>
        <w:right w:val="none" w:sz="0" w:space="0" w:color="auto"/>
      </w:divBdr>
    </w:div>
    <w:div w:id="1947618056">
      <w:bodyDiv w:val="1"/>
      <w:marLeft w:val="0"/>
      <w:marRight w:val="0"/>
      <w:marTop w:val="0"/>
      <w:marBottom w:val="0"/>
      <w:divBdr>
        <w:top w:val="none" w:sz="0" w:space="0" w:color="auto"/>
        <w:left w:val="none" w:sz="0" w:space="0" w:color="auto"/>
        <w:bottom w:val="none" w:sz="0" w:space="0" w:color="auto"/>
        <w:right w:val="none" w:sz="0" w:space="0" w:color="auto"/>
      </w:divBdr>
    </w:div>
    <w:div w:id="2000499306">
      <w:bodyDiv w:val="1"/>
      <w:marLeft w:val="0"/>
      <w:marRight w:val="0"/>
      <w:marTop w:val="0"/>
      <w:marBottom w:val="0"/>
      <w:divBdr>
        <w:top w:val="none" w:sz="0" w:space="0" w:color="auto"/>
        <w:left w:val="none" w:sz="0" w:space="0" w:color="auto"/>
        <w:bottom w:val="none" w:sz="0" w:space="0" w:color="auto"/>
        <w:right w:val="none" w:sz="0" w:space="0" w:color="auto"/>
      </w:divBdr>
    </w:div>
    <w:div w:id="2026400062">
      <w:bodyDiv w:val="1"/>
      <w:marLeft w:val="0"/>
      <w:marRight w:val="0"/>
      <w:marTop w:val="0"/>
      <w:marBottom w:val="0"/>
      <w:divBdr>
        <w:top w:val="none" w:sz="0" w:space="0" w:color="auto"/>
        <w:left w:val="none" w:sz="0" w:space="0" w:color="auto"/>
        <w:bottom w:val="none" w:sz="0" w:space="0" w:color="auto"/>
        <w:right w:val="none" w:sz="0" w:space="0" w:color="auto"/>
      </w:divBdr>
    </w:div>
    <w:div w:id="2064327036">
      <w:bodyDiv w:val="1"/>
      <w:marLeft w:val="0"/>
      <w:marRight w:val="0"/>
      <w:marTop w:val="0"/>
      <w:marBottom w:val="0"/>
      <w:divBdr>
        <w:top w:val="none" w:sz="0" w:space="0" w:color="auto"/>
        <w:left w:val="none" w:sz="0" w:space="0" w:color="auto"/>
        <w:bottom w:val="none" w:sz="0" w:space="0" w:color="auto"/>
        <w:right w:val="none" w:sz="0" w:space="0" w:color="auto"/>
      </w:divBdr>
    </w:div>
    <w:div w:id="212488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reports/conflict-management" TargetMode="External"/><Relationship Id="rId13" Type="http://schemas.openxmlformats.org/officeDocument/2006/relationships/hyperlink" Target="https://www.ons.gov.uk/employmentandlabourmarket/peopleinwork/workplacedisputes" TargetMode="External"/><Relationship Id="rId18" Type="http://schemas.openxmlformats.org/officeDocument/2006/relationships/hyperlink" Target="https://www.cipd.org/uk/knowledge/reports/conflict-management"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legislation.gov.uk/ukpga/1996/18/contents" TargetMode="External"/><Relationship Id="rId7" Type="http://schemas.openxmlformats.org/officeDocument/2006/relationships/hyperlink" Target="https://www.cipd.org/uk/knowledge/factsheets/engagement-motivation" TargetMode="External"/><Relationship Id="rId12" Type="http://schemas.openxmlformats.org/officeDocument/2006/relationships/hyperlink" Target="https://www.legislation.gov.uk/ukpga/2010/15/contents" TargetMode="External"/><Relationship Id="rId17" Type="http://schemas.openxmlformats.org/officeDocument/2006/relationships/hyperlink" Target="https://www.cipd.org/uk/knowledge/factsheets/engagement-motivation"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acas.org.uk/handling-conflict" TargetMode="External"/><Relationship Id="rId20" Type="http://schemas.openxmlformats.org/officeDocument/2006/relationships/hyperlink" Target="https://www.cipd.org/uk/knowledge/factsheets/employee-voice" TargetMode="External"/><Relationship Id="rId1" Type="http://schemas.openxmlformats.org/officeDocument/2006/relationships/styles" Target="styles.xml"/><Relationship Id="rId6" Type="http://schemas.openxmlformats.org/officeDocument/2006/relationships/hyperlink" Target="https://www.cipd.org/uk/knowledge/factsheets/employee-voice" TargetMode="External"/><Relationship Id="rId11" Type="http://schemas.openxmlformats.org/officeDocument/2006/relationships/hyperlink" Target="https://www.legislation.gov.uk/ukpga/1996/18/contents" TargetMode="External"/><Relationship Id="rId24" Type="http://schemas.openxmlformats.org/officeDocument/2006/relationships/hyperlink" Target="https://www.legislation.gov.uk/ukpga/1992/52/contents" TargetMode="External"/><Relationship Id="rId5" Type="http://schemas.openxmlformats.org/officeDocument/2006/relationships/hyperlink" Target="https://www.acas.org.uk/handling-conflict" TargetMode="External"/><Relationship Id="rId15" Type="http://schemas.openxmlformats.org/officeDocument/2006/relationships/hyperlink" Target="https://www.acas.org.uk/codes-of-practice" TargetMode="External"/><Relationship Id="rId23" Type="http://schemas.openxmlformats.org/officeDocument/2006/relationships/hyperlink" Target="https://www.ons.gov.uk/employmentandlabourmarket/peopleinwork/workplacedisputes" TargetMode="External"/><Relationship Id="rId10" Type="http://schemas.openxmlformats.org/officeDocument/2006/relationships/hyperlink" Target="https://www.cipd.org/uk/knowledge/factsheets/employee-voice" TargetMode="External"/><Relationship Id="rId19" Type="http://schemas.openxmlformats.org/officeDocument/2006/relationships/hyperlink" Target="https://www.cipd.org/uk/knowledge/reports/goodwork-index" TargetMode="External"/><Relationship Id="rId4" Type="http://schemas.openxmlformats.org/officeDocument/2006/relationships/hyperlink" Target="https://www.acas.org.uk/codes-of-practice" TargetMode="External"/><Relationship Id="rId9" Type="http://schemas.openxmlformats.org/officeDocument/2006/relationships/hyperlink" Target="https://www.cipd.org/uk/knowledge/reports/goodwork-index" TargetMode="External"/><Relationship Id="rId14" Type="http://schemas.openxmlformats.org/officeDocument/2006/relationships/hyperlink" Target="https://www.legislation.gov.uk/ukpga/1992/52/contents" TargetMode="External"/><Relationship Id="rId22" Type="http://schemas.openxmlformats.org/officeDocument/2006/relationships/hyperlink" Target="https://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616</TotalTime>
  <Pages>18</Pages>
  <Words>6870</Words>
  <Characters>39161</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MACDONALD, Donna</dc:creator>
  <cp:keywords/>
  <dc:description/>
  <cp:lastModifiedBy>Donna Macdonald</cp:lastModifiedBy>
  <cp:revision>247</cp:revision>
  <dcterms:created xsi:type="dcterms:W3CDTF">2025-07-28T17:17:00Z</dcterms:created>
  <dcterms:modified xsi:type="dcterms:W3CDTF">2026-01-21T12:04:00Z</dcterms:modified>
</cp:coreProperties>
</file>