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nts/font1.odttf" ContentType="application/vnd.openxmlformats-officedocument.obfuscatedFont"/>
  <Override PartName="/word/fonts/font2.odttf" ContentType="application/vnd.openxmlformats-officedocument.obfuscatedFont"/>
  <Override PartName="/word/fonts/font3.odttf" ContentType="application/vnd.openxmlformats-officedocument.obfuscatedFont"/>
  <Override PartName="/word/fonts/font4.odttf" ContentType="application/vnd.openxmlformats-officedocument.obfuscatedFont"/>
  <Override PartName="/word/fonts/font5.odttf" ContentType="application/vnd.openxmlformats-officedocument.obfuscatedFont"/>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A82FA30">
      <w:pPr>
        <w:pStyle w:val="12"/>
        <w:spacing w:line="360" w:lineRule="auto"/>
        <w:jc w:val="both"/>
        <w:rPr>
          <w:rFonts w:ascii="Arial" w:hAnsi="Arial" w:cs="Arial"/>
        </w:rPr>
      </w:pPr>
      <w:bookmarkStart w:id="0" w:name="_heading=h.wsq0kv2nwtzk" w:colFirst="0" w:colLast="0"/>
      <w:bookmarkEnd w:id="0"/>
      <w:bookmarkStart w:id="1" w:name="_heading=h.3182q8bn0rpb" w:colFirst="0" w:colLast="0"/>
      <w:bookmarkEnd w:id="1"/>
      <w:bookmarkStart w:id="2" w:name="_heading=h.5hovb3c6pn7y" w:colFirst="0" w:colLast="0"/>
      <w:bookmarkEnd w:id="2"/>
      <w:bookmarkStart w:id="3" w:name="_heading=h.njgkudenkiy9" w:colFirst="0" w:colLast="0"/>
      <w:bookmarkEnd w:id="3"/>
      <w:bookmarkStart w:id="4" w:name="_heading=h.xf46787w7ssk" w:colFirst="0" w:colLast="0"/>
      <w:bookmarkEnd w:id="4"/>
      <w:bookmarkStart w:id="5" w:name="_heading=h.s928caynb9ms" w:colFirst="0" w:colLast="0"/>
      <w:bookmarkEnd w:id="5"/>
      <w:bookmarkStart w:id="6" w:name="_heading=h.itbvif71glkf" w:colFirst="0" w:colLast="0"/>
      <w:bookmarkEnd w:id="6"/>
      <w:r>
        <w:rPr>
          <w:rFonts w:ascii="Arial" w:hAnsi="Arial" w:cs="Arial"/>
          <w:lang w:val="en-US"/>
        </w:rPr>
        <w:drawing>
          <wp:inline distT="0" distB="0" distL="0" distR="0">
            <wp:extent cx="1844040" cy="701040"/>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1" name="image4.png"/>
                    <pic:cNvPicPr preferRelativeResize="0"/>
                  </pic:nvPicPr>
                  <pic:blipFill>
                    <a:blip r:embed="rId7"/>
                    <a:srcRect/>
                    <a:stretch>
                      <a:fillRect/>
                    </a:stretch>
                  </pic:blipFill>
                  <pic:spPr>
                    <a:xfrm>
                      <a:off x="0" y="0"/>
                      <a:ext cx="1844200" cy="701101"/>
                    </a:xfrm>
                    <a:prstGeom prst="rect">
                      <a:avLst/>
                    </a:prstGeom>
                  </pic:spPr>
                </pic:pic>
              </a:graphicData>
            </a:graphic>
          </wp:inline>
        </w:drawing>
      </w:r>
    </w:p>
    <w:p w14:paraId="209718A9">
      <w:pPr>
        <w:pStyle w:val="12"/>
        <w:spacing w:line="360" w:lineRule="auto"/>
        <w:rPr>
          <w:rFonts w:ascii="Arial" w:hAnsi="Arial" w:cs="Arial"/>
        </w:rPr>
      </w:pPr>
      <w:bookmarkStart w:id="7" w:name="_heading=h.dn8z2efob4ok" w:colFirst="0" w:colLast="0"/>
      <w:bookmarkEnd w:id="7"/>
    </w:p>
    <w:tbl>
      <w:tblPr>
        <w:tblStyle w:val="9"/>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ayout w:type="autofit"/>
        <w:tblCellMar>
          <w:top w:w="0" w:type="dxa"/>
          <w:left w:w="108" w:type="dxa"/>
          <w:bottom w:w="0" w:type="dxa"/>
          <w:right w:w="108" w:type="dxa"/>
        </w:tblCellMar>
      </w:tblPr>
      <w:tblGrid>
        <w:gridCol w:w="8880"/>
      </w:tblGrid>
      <w:tr w14:paraId="7DA2ADA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79" w:hRule="atLeast"/>
        </w:trPr>
        <w:tc>
          <w:tcPr>
            <w:tcW w:w="8880" w:type="dxa"/>
            <w:shd w:val="clear" w:color="auto" w:fill="C0C0C0"/>
          </w:tcPr>
          <w:p w14:paraId="42882FE8">
            <w:pPr>
              <w:pStyle w:val="5"/>
              <w:rPr>
                <w:rFonts w:ascii="Arial" w:hAnsi="Arial" w:cs="Arial"/>
                <w:b/>
                <w:color w:val="000000" w:themeColor="text1"/>
                <w14:textFill>
                  <w14:solidFill>
                    <w14:schemeClr w14:val="tx1"/>
                  </w14:solidFill>
                </w14:textFill>
              </w:rPr>
            </w:pPr>
            <w:bookmarkStart w:id="8" w:name="_heading=h.13pjenk25ra" w:colFirst="0" w:colLast="0"/>
            <w:bookmarkEnd w:id="8"/>
            <w:r>
              <w:rPr>
                <w:rFonts w:ascii="Arial" w:hAnsi="Arial" w:cs="Arial"/>
                <w:b/>
                <w:color w:val="000000" w:themeColor="text1"/>
                <w14:textFill>
                  <w14:solidFill>
                    <w14:schemeClr w14:val="tx1"/>
                  </w14:solidFill>
                </w14:textFill>
              </w:rPr>
              <w:t xml:space="preserve">LEVEL 7 ASSESSMENT SPECIFICATION </w:t>
            </w:r>
          </w:p>
        </w:tc>
      </w:tr>
    </w:tbl>
    <w:p w14:paraId="64ED89E1">
      <w:pPr>
        <w:jc w:val="center"/>
        <w:rPr>
          <w:rFonts w:ascii="Arial" w:hAnsi="Arial" w:cs="Arial"/>
          <w:b/>
          <w:i/>
          <w:sz w:val="32"/>
        </w:rPr>
      </w:pPr>
    </w:p>
    <w:tbl>
      <w:tblPr>
        <w:tblStyle w:val="9"/>
        <w:tblW w:w="887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801"/>
        <w:gridCol w:w="3018"/>
        <w:gridCol w:w="2029"/>
        <w:gridCol w:w="2029"/>
      </w:tblGrid>
      <w:tr w14:paraId="3BFFFD2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33" w:hRule="atLeast"/>
        </w:trPr>
        <w:tc>
          <w:tcPr>
            <w:tcW w:w="1801" w:type="dxa"/>
            <w:shd w:val="clear" w:color="auto" w:fill="D8D8D8" w:themeFill="background1" w:themeFillShade="D9"/>
            <w:vAlign w:val="center"/>
          </w:tcPr>
          <w:p w14:paraId="07CF7A3F">
            <w:pPr>
              <w:spacing w:before="120" w:after="120"/>
              <w:rPr>
                <w:rFonts w:ascii="Arial" w:hAnsi="Arial" w:cs="Arial"/>
                <w:b/>
                <w:sz w:val="22"/>
                <w:szCs w:val="22"/>
              </w:rPr>
            </w:pPr>
            <w:r>
              <w:rPr>
                <w:rFonts w:ascii="Arial" w:hAnsi="Arial" w:cs="Arial"/>
                <w:b/>
                <w:sz w:val="22"/>
                <w:szCs w:val="22"/>
              </w:rPr>
              <w:t>Student name:</w:t>
            </w:r>
          </w:p>
        </w:tc>
        <w:tc>
          <w:tcPr>
            <w:tcW w:w="3018" w:type="dxa"/>
            <w:vAlign w:val="center"/>
          </w:tcPr>
          <w:p w14:paraId="3D917FE1">
            <w:pPr>
              <w:spacing w:before="120" w:after="120"/>
              <w:rPr>
                <w:rFonts w:hint="default" w:ascii="Arial" w:hAnsi="Arial" w:cs="Arial"/>
                <w:b/>
                <w:sz w:val="22"/>
                <w:szCs w:val="22"/>
                <w:lang w:val="en-IN"/>
              </w:rPr>
            </w:pPr>
            <w:r>
              <w:rPr>
                <w:rFonts w:hint="default" w:ascii="Arial" w:hAnsi="Arial" w:cs="Arial"/>
                <w:b/>
                <w:sz w:val="22"/>
                <w:szCs w:val="22"/>
                <w:lang w:val="en-IN"/>
              </w:rPr>
              <w:t>Sejal Choudhary</w:t>
            </w:r>
          </w:p>
        </w:tc>
        <w:tc>
          <w:tcPr>
            <w:tcW w:w="2029" w:type="dxa"/>
            <w:shd w:val="clear" w:color="auto" w:fill="D8D8D8" w:themeFill="background1" w:themeFillShade="D9"/>
            <w:vAlign w:val="center"/>
          </w:tcPr>
          <w:p w14:paraId="11E3AF09">
            <w:pPr>
              <w:spacing w:before="120" w:after="120"/>
              <w:jc w:val="left"/>
              <w:rPr>
                <w:rFonts w:ascii="Arial" w:hAnsi="Arial" w:cs="Arial"/>
                <w:b/>
                <w:sz w:val="22"/>
                <w:szCs w:val="22"/>
              </w:rPr>
            </w:pPr>
            <w:r>
              <w:rPr>
                <w:rFonts w:ascii="Arial" w:hAnsi="Arial" w:cs="Arial"/>
                <w:b/>
                <w:sz w:val="22"/>
                <w:szCs w:val="22"/>
              </w:rPr>
              <w:t>Student</w:t>
            </w:r>
            <w:r>
              <w:rPr>
                <w:rFonts w:hint="default" w:ascii="Arial" w:hAnsi="Arial" w:cs="Arial"/>
                <w:b/>
                <w:sz w:val="22"/>
                <w:szCs w:val="22"/>
                <w:lang w:val="en-IN"/>
              </w:rPr>
              <w:t xml:space="preserve"> </w:t>
            </w:r>
            <w:r>
              <w:rPr>
                <w:rFonts w:ascii="Arial" w:hAnsi="Arial" w:cs="Arial"/>
                <w:b/>
                <w:sz w:val="22"/>
                <w:szCs w:val="22"/>
              </w:rPr>
              <w:t>ID number:</w:t>
            </w:r>
          </w:p>
        </w:tc>
        <w:tc>
          <w:tcPr>
            <w:tcW w:w="2029" w:type="dxa"/>
            <w:vAlign w:val="center"/>
          </w:tcPr>
          <w:p w14:paraId="66BEAD01">
            <w:pPr>
              <w:spacing w:before="120" w:after="120"/>
              <w:rPr>
                <w:rFonts w:ascii="Arial" w:hAnsi="Arial" w:cs="Arial"/>
                <w:b/>
                <w:sz w:val="22"/>
                <w:szCs w:val="22"/>
              </w:rPr>
            </w:pPr>
            <w:r>
              <w:rPr>
                <w:rFonts w:ascii="Arial" w:hAnsi="Arial" w:cs="Arial"/>
              </w:rPr>
              <w:t>2538991</w:t>
            </w:r>
          </w:p>
        </w:tc>
      </w:tr>
      <w:tr w14:paraId="08CF7AF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33" w:hRule="atLeast"/>
        </w:trPr>
        <w:tc>
          <w:tcPr>
            <w:tcW w:w="1801" w:type="dxa"/>
            <w:shd w:val="clear" w:color="auto" w:fill="D8D8D8" w:themeFill="background1" w:themeFillShade="D9"/>
            <w:vAlign w:val="center"/>
          </w:tcPr>
          <w:p w14:paraId="66A0337C">
            <w:pPr>
              <w:spacing w:before="120" w:after="120"/>
              <w:rPr>
                <w:rFonts w:ascii="Arial" w:hAnsi="Arial" w:cs="Arial"/>
                <w:b/>
                <w:sz w:val="22"/>
                <w:szCs w:val="22"/>
              </w:rPr>
            </w:pPr>
            <w:r>
              <w:rPr>
                <w:rFonts w:ascii="Arial" w:hAnsi="Arial" w:cs="Arial"/>
                <w:b/>
                <w:sz w:val="22"/>
                <w:szCs w:val="22"/>
              </w:rPr>
              <w:t>Programme:</w:t>
            </w:r>
          </w:p>
        </w:tc>
        <w:tc>
          <w:tcPr>
            <w:tcW w:w="7076" w:type="dxa"/>
            <w:gridSpan w:val="3"/>
            <w:vAlign w:val="center"/>
          </w:tcPr>
          <w:p w14:paraId="2AE40639">
            <w:pPr>
              <w:spacing w:before="120" w:after="120"/>
              <w:rPr>
                <w:rFonts w:ascii="Arial" w:hAnsi="Arial" w:cs="Arial"/>
                <w:b/>
                <w:sz w:val="22"/>
                <w:szCs w:val="22"/>
              </w:rPr>
            </w:pPr>
            <w:r>
              <w:rPr>
                <w:rFonts w:ascii="Arial" w:hAnsi="Arial" w:cs="Arial"/>
                <w:b/>
                <w:sz w:val="22"/>
                <w:szCs w:val="22"/>
              </w:rPr>
              <w:t>Master of Business Administration</w:t>
            </w:r>
          </w:p>
        </w:tc>
      </w:tr>
      <w:tr w14:paraId="7735C87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33" w:hRule="atLeast"/>
        </w:trPr>
        <w:tc>
          <w:tcPr>
            <w:tcW w:w="1801" w:type="dxa"/>
            <w:shd w:val="clear" w:color="auto" w:fill="D8D8D8" w:themeFill="background1" w:themeFillShade="D9"/>
            <w:vAlign w:val="center"/>
          </w:tcPr>
          <w:p w14:paraId="1AAC5F45">
            <w:pPr>
              <w:spacing w:before="120" w:after="120"/>
              <w:rPr>
                <w:rFonts w:ascii="Arial" w:hAnsi="Arial" w:cs="Arial"/>
                <w:b/>
                <w:sz w:val="22"/>
                <w:szCs w:val="22"/>
              </w:rPr>
            </w:pPr>
            <w:r>
              <w:rPr>
                <w:rFonts w:ascii="Arial" w:hAnsi="Arial" w:cs="Arial"/>
                <w:b/>
                <w:sz w:val="22"/>
                <w:szCs w:val="22"/>
              </w:rPr>
              <w:t>Module:</w:t>
            </w:r>
          </w:p>
        </w:tc>
        <w:tc>
          <w:tcPr>
            <w:tcW w:w="7076" w:type="dxa"/>
            <w:gridSpan w:val="3"/>
            <w:vAlign w:val="center"/>
          </w:tcPr>
          <w:p w14:paraId="61CFAD3C">
            <w:pPr>
              <w:spacing w:before="120" w:after="120"/>
              <w:rPr>
                <w:rFonts w:ascii="Arial" w:hAnsi="Arial" w:cs="Arial"/>
                <w:b/>
                <w:sz w:val="22"/>
                <w:szCs w:val="22"/>
              </w:rPr>
            </w:pPr>
            <w:bookmarkStart w:id="40" w:name="_GoBack"/>
            <w:r>
              <w:rPr>
                <w:rFonts w:ascii="Arial" w:hAnsi="Arial" w:cs="Arial"/>
                <w:b/>
                <w:sz w:val="22"/>
                <w:szCs w:val="22"/>
              </w:rPr>
              <w:t>Financial Management</w:t>
            </w:r>
            <w:bookmarkEnd w:id="40"/>
          </w:p>
        </w:tc>
      </w:tr>
      <w:tr w14:paraId="08994C3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70" w:hRule="atLeast"/>
        </w:trPr>
        <w:tc>
          <w:tcPr>
            <w:tcW w:w="1801" w:type="dxa"/>
            <w:shd w:val="clear" w:color="auto" w:fill="D8D8D8" w:themeFill="background1" w:themeFillShade="D9"/>
            <w:vAlign w:val="center"/>
          </w:tcPr>
          <w:p w14:paraId="655845C2">
            <w:pPr>
              <w:spacing w:before="120" w:after="120"/>
              <w:rPr>
                <w:rFonts w:ascii="Arial" w:hAnsi="Arial" w:cs="Arial"/>
                <w:b/>
                <w:sz w:val="22"/>
                <w:szCs w:val="22"/>
              </w:rPr>
            </w:pPr>
            <w:r>
              <w:rPr>
                <w:rFonts w:ascii="Arial" w:hAnsi="Arial" w:cs="Arial"/>
                <w:b/>
                <w:sz w:val="22"/>
                <w:szCs w:val="22"/>
              </w:rPr>
              <w:t>Module code:</w:t>
            </w:r>
          </w:p>
        </w:tc>
        <w:tc>
          <w:tcPr>
            <w:tcW w:w="3018" w:type="dxa"/>
            <w:vAlign w:val="center"/>
          </w:tcPr>
          <w:p w14:paraId="06791D17">
            <w:pPr>
              <w:spacing w:before="120" w:after="120"/>
              <w:rPr>
                <w:rFonts w:ascii="Arial" w:hAnsi="Arial" w:cs="Arial"/>
                <w:b/>
                <w:bCs/>
                <w:sz w:val="22"/>
                <w:szCs w:val="22"/>
              </w:rPr>
            </w:pPr>
            <w:r>
              <w:rPr>
                <w:rFonts w:ascii="Arial" w:hAnsi="Arial" w:cs="Arial"/>
                <w:b/>
                <w:bCs/>
                <w:sz w:val="22"/>
                <w:szCs w:val="22"/>
              </w:rPr>
              <w:t>LCMB7002</w:t>
            </w:r>
          </w:p>
        </w:tc>
        <w:tc>
          <w:tcPr>
            <w:tcW w:w="2029" w:type="dxa"/>
            <w:shd w:val="clear" w:color="auto" w:fill="D8D8D8" w:themeFill="background1" w:themeFillShade="D9"/>
            <w:vAlign w:val="center"/>
          </w:tcPr>
          <w:p w14:paraId="6F5DA743">
            <w:pPr>
              <w:pStyle w:val="3"/>
              <w:jc w:val="left"/>
              <w:rPr>
                <w:rFonts w:ascii="Arial" w:hAnsi="Arial" w:cs="Arial"/>
                <w:sz w:val="22"/>
                <w:szCs w:val="22"/>
              </w:rPr>
            </w:pPr>
            <w:r>
              <w:rPr>
                <w:rFonts w:ascii="Arial" w:hAnsi="Arial" w:cs="Arial"/>
                <w:sz w:val="22"/>
                <w:szCs w:val="22"/>
              </w:rPr>
              <w:t>Contribution to Overall Module Assessment (%):</w:t>
            </w:r>
          </w:p>
        </w:tc>
        <w:tc>
          <w:tcPr>
            <w:tcW w:w="2029" w:type="dxa"/>
            <w:vAlign w:val="center"/>
          </w:tcPr>
          <w:p w14:paraId="76E6A01C">
            <w:pPr>
              <w:spacing w:before="120" w:after="120"/>
              <w:rPr>
                <w:rFonts w:ascii="Arial" w:hAnsi="Arial" w:cs="Arial"/>
                <w:b/>
                <w:bCs/>
                <w:sz w:val="22"/>
                <w:szCs w:val="22"/>
              </w:rPr>
            </w:pPr>
            <w:r>
              <w:rPr>
                <w:rFonts w:ascii="Arial" w:hAnsi="Arial" w:cs="Arial"/>
                <w:b/>
                <w:bCs/>
                <w:sz w:val="22"/>
                <w:szCs w:val="22"/>
              </w:rPr>
              <w:t>100%</w:t>
            </w:r>
          </w:p>
        </w:tc>
      </w:tr>
      <w:tr w14:paraId="1EEB20E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38" w:hRule="atLeast"/>
        </w:trPr>
        <w:tc>
          <w:tcPr>
            <w:tcW w:w="1801" w:type="dxa"/>
            <w:shd w:val="clear" w:color="auto" w:fill="D8D8D8" w:themeFill="background1" w:themeFillShade="D9"/>
            <w:vAlign w:val="center"/>
          </w:tcPr>
          <w:p w14:paraId="7C0E4939">
            <w:pPr>
              <w:spacing w:before="120" w:after="120"/>
              <w:rPr>
                <w:rFonts w:ascii="Arial" w:hAnsi="Arial" w:cs="Arial"/>
                <w:b/>
                <w:sz w:val="22"/>
                <w:szCs w:val="22"/>
              </w:rPr>
            </w:pPr>
            <w:r>
              <w:rPr>
                <w:rFonts w:ascii="Arial" w:hAnsi="Arial" w:cs="Arial"/>
                <w:b/>
                <w:sz w:val="22"/>
                <w:szCs w:val="22"/>
              </w:rPr>
              <w:t>Lecturer:</w:t>
            </w:r>
          </w:p>
        </w:tc>
        <w:tc>
          <w:tcPr>
            <w:tcW w:w="3018" w:type="dxa"/>
            <w:vAlign w:val="center"/>
          </w:tcPr>
          <w:p w14:paraId="61227692">
            <w:pPr>
              <w:spacing w:before="120" w:after="120"/>
              <w:rPr>
                <w:rFonts w:ascii="Arial" w:hAnsi="Arial" w:cs="Arial"/>
                <w:b/>
                <w:bCs/>
                <w:sz w:val="22"/>
                <w:szCs w:val="22"/>
              </w:rPr>
            </w:pPr>
            <w:r>
              <w:rPr>
                <w:rFonts w:ascii="Arial" w:hAnsi="Arial" w:cs="Arial"/>
                <w:b/>
                <w:bCs/>
                <w:sz w:val="22"/>
                <w:szCs w:val="22"/>
              </w:rPr>
              <w:t>Shengfeng Mei (London)</w:t>
            </w:r>
          </w:p>
          <w:p w14:paraId="4B1C0F16">
            <w:pPr>
              <w:spacing w:before="120" w:after="120"/>
              <w:rPr>
                <w:rFonts w:ascii="Arial" w:hAnsi="Arial" w:cs="Arial"/>
                <w:b/>
                <w:bCs/>
                <w:sz w:val="22"/>
                <w:szCs w:val="22"/>
              </w:rPr>
            </w:pPr>
            <w:r>
              <w:rPr>
                <w:rFonts w:ascii="Arial" w:hAnsi="Arial" w:cs="Arial"/>
                <w:b/>
                <w:bCs/>
                <w:sz w:val="22"/>
                <w:szCs w:val="22"/>
              </w:rPr>
              <w:t>Patrick Yeboah (Birmingham)</w:t>
            </w:r>
          </w:p>
        </w:tc>
        <w:tc>
          <w:tcPr>
            <w:tcW w:w="2029" w:type="dxa"/>
            <w:shd w:val="clear" w:color="auto" w:fill="D8D8D8" w:themeFill="background1" w:themeFillShade="D9"/>
            <w:vAlign w:val="center"/>
          </w:tcPr>
          <w:p w14:paraId="0E7B90BE">
            <w:pPr>
              <w:spacing w:before="120" w:after="120"/>
              <w:rPr>
                <w:rFonts w:ascii="Arial" w:hAnsi="Arial" w:cs="Arial"/>
                <w:b/>
                <w:bCs/>
                <w:sz w:val="22"/>
                <w:szCs w:val="22"/>
              </w:rPr>
            </w:pPr>
            <w:r>
              <w:rPr>
                <w:rFonts w:ascii="Arial" w:hAnsi="Arial" w:cs="Arial"/>
                <w:b/>
                <w:bCs/>
                <w:sz w:val="22"/>
                <w:szCs w:val="22"/>
              </w:rPr>
              <w:t>Internal Verifier:</w:t>
            </w:r>
          </w:p>
        </w:tc>
        <w:tc>
          <w:tcPr>
            <w:tcW w:w="2029" w:type="dxa"/>
            <w:vAlign w:val="center"/>
          </w:tcPr>
          <w:p w14:paraId="561CE450">
            <w:pPr>
              <w:spacing w:before="120" w:after="120"/>
              <w:rPr>
                <w:rFonts w:ascii="Arial" w:hAnsi="Arial" w:cs="Arial"/>
                <w:b/>
                <w:bCs/>
                <w:sz w:val="22"/>
                <w:szCs w:val="22"/>
              </w:rPr>
            </w:pPr>
            <w:r>
              <w:rPr>
                <w:rFonts w:ascii="Arial" w:hAnsi="Arial" w:cs="Arial"/>
                <w:b/>
                <w:bCs/>
                <w:sz w:val="22"/>
                <w:szCs w:val="22"/>
              </w:rPr>
              <w:t>Vasilios Tavlaridis</w:t>
            </w:r>
          </w:p>
          <w:p w14:paraId="356C8305">
            <w:pPr>
              <w:spacing w:before="120" w:after="120"/>
              <w:rPr>
                <w:rFonts w:ascii="Arial" w:hAnsi="Arial" w:cs="Arial"/>
                <w:b/>
                <w:bCs/>
                <w:sz w:val="22"/>
                <w:szCs w:val="22"/>
              </w:rPr>
            </w:pPr>
            <w:r>
              <w:rPr>
                <w:rFonts w:ascii="Arial" w:hAnsi="Arial" w:cs="Arial"/>
                <w:b/>
                <w:bCs/>
                <w:sz w:val="22"/>
                <w:szCs w:val="22"/>
              </w:rPr>
              <w:t>Hoang Nguyen</w:t>
            </w:r>
          </w:p>
        </w:tc>
      </w:tr>
      <w:tr w14:paraId="0B207E4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107" w:hRule="atLeast"/>
        </w:trPr>
        <w:tc>
          <w:tcPr>
            <w:tcW w:w="1801" w:type="dxa"/>
            <w:shd w:val="clear" w:color="auto" w:fill="D8D8D8" w:themeFill="background1" w:themeFillShade="D9"/>
            <w:vAlign w:val="center"/>
          </w:tcPr>
          <w:p w14:paraId="3D5AC9DD">
            <w:pPr>
              <w:spacing w:before="120" w:after="120"/>
              <w:rPr>
                <w:rFonts w:ascii="Arial" w:hAnsi="Arial" w:cs="Arial"/>
                <w:b/>
                <w:sz w:val="22"/>
                <w:szCs w:val="22"/>
              </w:rPr>
            </w:pPr>
            <w:r>
              <w:rPr>
                <w:rFonts w:ascii="Arial" w:hAnsi="Arial" w:cs="Arial"/>
                <w:b/>
                <w:sz w:val="22"/>
                <w:szCs w:val="22"/>
              </w:rPr>
              <w:t>Assignment Title:</w:t>
            </w:r>
          </w:p>
        </w:tc>
        <w:tc>
          <w:tcPr>
            <w:tcW w:w="3018" w:type="dxa"/>
            <w:vAlign w:val="center"/>
          </w:tcPr>
          <w:p w14:paraId="5EFEEBBD">
            <w:pPr>
              <w:spacing w:before="120" w:after="120"/>
              <w:rPr>
                <w:rFonts w:ascii="Arial" w:hAnsi="Arial" w:cs="Arial"/>
                <w:b/>
                <w:bCs/>
                <w:sz w:val="22"/>
                <w:szCs w:val="22"/>
              </w:rPr>
            </w:pPr>
            <w:r>
              <w:rPr>
                <w:rFonts w:ascii="Arial" w:hAnsi="Arial" w:cs="Arial"/>
                <w:b/>
                <w:bCs/>
                <w:sz w:val="22"/>
                <w:szCs w:val="22"/>
              </w:rPr>
              <w:t>Assessment component: Financial performance and management</w:t>
            </w:r>
          </w:p>
        </w:tc>
        <w:tc>
          <w:tcPr>
            <w:tcW w:w="2029" w:type="dxa"/>
            <w:shd w:val="clear" w:color="auto" w:fill="D8D8D8" w:themeFill="background1" w:themeFillShade="D9"/>
            <w:vAlign w:val="center"/>
          </w:tcPr>
          <w:p w14:paraId="74A6A44C">
            <w:pPr>
              <w:spacing w:before="120" w:after="120"/>
              <w:rPr>
                <w:rFonts w:ascii="Arial" w:hAnsi="Arial" w:cs="Arial"/>
                <w:b/>
                <w:bCs/>
                <w:sz w:val="22"/>
                <w:szCs w:val="22"/>
              </w:rPr>
            </w:pPr>
            <w:r>
              <w:rPr>
                <w:rFonts w:ascii="Arial" w:hAnsi="Arial" w:cs="Arial"/>
                <w:b/>
                <w:bCs/>
                <w:sz w:val="22"/>
                <w:szCs w:val="22"/>
              </w:rPr>
              <w:t>Word count (or equivalent):</w:t>
            </w:r>
          </w:p>
        </w:tc>
        <w:tc>
          <w:tcPr>
            <w:tcW w:w="2029" w:type="dxa"/>
            <w:vAlign w:val="center"/>
          </w:tcPr>
          <w:p w14:paraId="37F9F45E">
            <w:pPr>
              <w:spacing w:before="120" w:after="120"/>
              <w:rPr>
                <w:rFonts w:ascii="Arial" w:hAnsi="Arial" w:cs="Arial"/>
                <w:b/>
                <w:bCs/>
                <w:sz w:val="22"/>
                <w:szCs w:val="22"/>
              </w:rPr>
            </w:pPr>
            <w:r>
              <w:rPr>
                <w:rFonts w:ascii="Arial" w:hAnsi="Arial" w:cs="Arial"/>
                <w:b/>
                <w:bCs/>
                <w:sz w:val="22"/>
                <w:szCs w:val="22"/>
              </w:rPr>
              <w:t>5,000 (± 10%)</w:t>
            </w:r>
          </w:p>
        </w:tc>
      </w:tr>
      <w:tr w14:paraId="5497614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116" w:hRule="atLeast"/>
        </w:trPr>
        <w:tc>
          <w:tcPr>
            <w:tcW w:w="1801" w:type="dxa"/>
            <w:shd w:val="clear" w:color="auto" w:fill="D8D8D8" w:themeFill="background1" w:themeFillShade="D9"/>
            <w:vAlign w:val="center"/>
          </w:tcPr>
          <w:p w14:paraId="78988815">
            <w:pPr>
              <w:spacing w:before="120" w:after="120"/>
              <w:rPr>
                <w:rFonts w:ascii="Arial" w:hAnsi="Arial" w:cs="Arial"/>
                <w:b/>
                <w:sz w:val="22"/>
                <w:szCs w:val="22"/>
              </w:rPr>
            </w:pPr>
            <w:r>
              <w:rPr>
                <w:rFonts w:ascii="Arial" w:hAnsi="Arial" w:cs="Arial"/>
                <w:b/>
                <w:sz w:val="22"/>
                <w:szCs w:val="22"/>
              </w:rPr>
              <w:t>Submission deadline:</w:t>
            </w:r>
          </w:p>
        </w:tc>
        <w:tc>
          <w:tcPr>
            <w:tcW w:w="3018" w:type="dxa"/>
            <w:vAlign w:val="center"/>
          </w:tcPr>
          <w:p w14:paraId="0EA9933B">
            <w:pPr>
              <w:spacing w:before="120" w:after="120"/>
              <w:rPr>
                <w:rFonts w:ascii="Arial" w:hAnsi="Arial" w:cs="Arial"/>
                <w:b/>
                <w:bCs/>
                <w:sz w:val="22"/>
                <w:szCs w:val="22"/>
              </w:rPr>
            </w:pPr>
            <w:r>
              <w:rPr>
                <w:rFonts w:ascii="Arial" w:hAnsi="Arial" w:cs="Arial"/>
                <w:b/>
                <w:bCs/>
                <w:color w:val="FF0000"/>
                <w:sz w:val="22"/>
                <w:szCs w:val="22"/>
              </w:rPr>
              <w:t>Friday 24</w:t>
            </w:r>
            <w:r>
              <w:rPr>
                <w:rFonts w:ascii="Arial" w:hAnsi="Arial" w:cs="Arial"/>
                <w:b/>
                <w:bCs/>
                <w:color w:val="FF0000"/>
                <w:sz w:val="22"/>
                <w:szCs w:val="22"/>
                <w:vertAlign w:val="superscript"/>
              </w:rPr>
              <w:t>th</w:t>
            </w:r>
            <w:r>
              <w:rPr>
                <w:rFonts w:ascii="Arial" w:hAnsi="Arial" w:cs="Arial"/>
                <w:b/>
                <w:bCs/>
                <w:color w:val="FF0000"/>
                <w:sz w:val="22"/>
                <w:szCs w:val="22"/>
              </w:rPr>
              <w:t xml:space="preserve"> July 2026 by 2pm</w:t>
            </w:r>
          </w:p>
        </w:tc>
        <w:tc>
          <w:tcPr>
            <w:tcW w:w="2029" w:type="dxa"/>
            <w:shd w:val="clear" w:color="auto" w:fill="D8D8D8" w:themeFill="background1" w:themeFillShade="D9"/>
            <w:vAlign w:val="center"/>
          </w:tcPr>
          <w:p w14:paraId="1A81ECD1">
            <w:pPr>
              <w:spacing w:before="120" w:after="120"/>
              <w:rPr>
                <w:rFonts w:ascii="Arial" w:hAnsi="Arial" w:cs="Arial"/>
                <w:b/>
                <w:bCs/>
                <w:sz w:val="22"/>
                <w:szCs w:val="22"/>
              </w:rPr>
            </w:pPr>
            <w:r>
              <w:rPr>
                <w:rFonts w:ascii="Arial" w:hAnsi="Arial" w:cs="Arial"/>
                <w:b/>
                <w:bCs/>
                <w:sz w:val="22"/>
                <w:szCs w:val="22"/>
              </w:rPr>
              <w:t>Return date of provisional marks &amp; written feedback:</w:t>
            </w:r>
          </w:p>
        </w:tc>
        <w:tc>
          <w:tcPr>
            <w:tcW w:w="2029" w:type="dxa"/>
            <w:vAlign w:val="center"/>
          </w:tcPr>
          <w:p w14:paraId="0566D21D">
            <w:pPr>
              <w:spacing w:before="120" w:after="120"/>
              <w:rPr>
                <w:rFonts w:ascii="Arial" w:hAnsi="Arial" w:cs="Arial"/>
                <w:b/>
                <w:bCs/>
                <w:sz w:val="22"/>
                <w:szCs w:val="22"/>
              </w:rPr>
            </w:pPr>
            <w:r>
              <w:rPr>
                <w:rFonts w:ascii="Arial" w:hAnsi="Arial" w:cs="Arial"/>
                <w:b/>
                <w:bCs/>
                <w:color w:val="FF0000"/>
                <w:sz w:val="22"/>
                <w:szCs w:val="22"/>
              </w:rPr>
              <w:t>21</w:t>
            </w:r>
            <w:r>
              <w:rPr>
                <w:rFonts w:ascii="Arial" w:hAnsi="Arial" w:cs="Arial"/>
                <w:b/>
                <w:bCs/>
                <w:color w:val="FF0000"/>
                <w:sz w:val="22"/>
                <w:szCs w:val="22"/>
                <w:vertAlign w:val="superscript"/>
              </w:rPr>
              <w:t>st</w:t>
            </w:r>
            <w:r>
              <w:rPr>
                <w:rFonts w:ascii="Arial" w:hAnsi="Arial" w:cs="Arial"/>
                <w:b/>
                <w:bCs/>
                <w:color w:val="FF0000"/>
                <w:sz w:val="22"/>
                <w:szCs w:val="22"/>
              </w:rPr>
              <w:t xml:space="preserve"> August 2026</w:t>
            </w:r>
          </w:p>
        </w:tc>
      </w:tr>
    </w:tbl>
    <w:p w14:paraId="13EC1F30">
      <w:pPr>
        <w:spacing w:line="360" w:lineRule="auto"/>
        <w:jc w:val="center"/>
        <w:rPr>
          <w:rFonts w:ascii="Arial" w:hAnsi="Arial" w:cs="Arial"/>
          <w:b/>
          <w:bCs/>
          <w:sz w:val="28"/>
          <w:szCs w:val="28"/>
        </w:rPr>
      </w:pPr>
      <w:r>
        <w:rPr>
          <w:rFonts w:ascii="Arial" w:hAnsi="Arial" w:cs="Arial"/>
        </w:rPr>
        <w:br w:type="page"/>
      </w:r>
    </w:p>
    <w:p w14:paraId="08B88D58">
      <w:pPr>
        <w:spacing w:line="360" w:lineRule="auto"/>
        <w:jc w:val="center"/>
        <w:rPr>
          <w:rFonts w:ascii="Arial" w:hAnsi="Arial" w:cs="Arial"/>
          <w:b/>
          <w:bCs/>
          <w:sz w:val="28"/>
          <w:szCs w:val="28"/>
        </w:rPr>
      </w:pPr>
      <w:r>
        <w:rPr>
          <w:rFonts w:ascii="Arial" w:hAnsi="Arial" w:cs="Arial"/>
          <w:b/>
          <w:bCs/>
          <w:sz w:val="28"/>
          <w:szCs w:val="28"/>
        </w:rPr>
        <w:t>AI Declaration</w:t>
      </w:r>
    </w:p>
    <w:p w14:paraId="309267EC">
      <w:pPr>
        <w:spacing w:line="360" w:lineRule="auto"/>
        <w:rPr>
          <w:rFonts w:ascii="Arial" w:hAnsi="Arial" w:cs="Arial"/>
        </w:rPr>
      </w:pPr>
      <w:r>
        <w:rPr>
          <w:rFonts w:ascii="Arial" w:hAnsi="Arial" w:cs="Arial"/>
        </w:rPr>
        <w:t>I confirm that Artificial Intelligence (AI) tools were used only as supportive resources during the preparation of this report. AI assisted with improving the organisation of ideas, refining academic language, enhancing the report structure and generating preliminary drafts for selected sections. However, all financial calculations, ratio analysis, investment appraisal, data interpretation, critical evaluation and conclusions were independently completed and verified by me using Whitbread PLC's official annual reports, financial statements and other credible academic sources.</w:t>
      </w:r>
    </w:p>
    <w:p w14:paraId="4007CF40">
      <w:pPr>
        <w:spacing w:line="360" w:lineRule="auto"/>
        <w:rPr>
          <w:rFonts w:ascii="Arial" w:hAnsi="Arial" w:cs="Arial"/>
        </w:rPr>
      </w:pPr>
      <w:r>
        <w:rPr>
          <w:rFonts w:ascii="Arial" w:hAnsi="Arial" w:cs="Arial"/>
        </w:rPr>
        <w:t>Any errors, inconsistencies or unsupported information identified during the drafting process were corrected through independent verification. I accept full responsibility for the originality, accuracy and academic quality of this submission and confirm that this report complies with the University's policies regarding the ethical and responsible use of Artificial Intelligence.</w:t>
      </w:r>
    </w:p>
    <w:p w14:paraId="3D46EB5E">
      <w:pPr>
        <w:spacing w:line="360" w:lineRule="auto"/>
        <w:rPr>
          <w:rFonts w:ascii="Arial" w:hAnsi="Arial" w:cs="Arial"/>
        </w:rPr>
      </w:pPr>
    </w:p>
    <w:p w14:paraId="5DBBBFED">
      <w:pPr>
        <w:spacing w:line="360" w:lineRule="auto"/>
        <w:rPr>
          <w:rFonts w:ascii="Arial" w:hAnsi="Arial" w:cs="Arial"/>
        </w:rPr>
      </w:pPr>
      <w:r>
        <w:rPr>
          <w:rFonts w:ascii="Arial" w:hAnsi="Arial" w:cs="Arial"/>
        </w:rPr>
        <w:t>Student Name: Sejal Choudhary</w:t>
      </w:r>
    </w:p>
    <w:p w14:paraId="4E902353">
      <w:pPr>
        <w:spacing w:line="360" w:lineRule="auto"/>
        <w:rPr>
          <w:rFonts w:ascii="Arial" w:hAnsi="Arial" w:cs="Arial"/>
        </w:rPr>
      </w:pPr>
    </w:p>
    <w:p w14:paraId="26D6D6C2">
      <w:pPr>
        <w:spacing w:line="360" w:lineRule="auto"/>
        <w:rPr>
          <w:rFonts w:ascii="Arial" w:hAnsi="Arial" w:cs="Arial"/>
        </w:rPr>
      </w:pPr>
      <w:r>
        <w:rPr>
          <w:rFonts w:ascii="Arial" w:hAnsi="Arial" w:cs="Arial"/>
        </w:rPr>
        <w:t>Student ID: 2538991</w:t>
      </w:r>
    </w:p>
    <w:p w14:paraId="455739BB">
      <w:pPr>
        <w:spacing w:line="360" w:lineRule="auto"/>
        <w:rPr>
          <w:rFonts w:ascii="Arial" w:hAnsi="Arial" w:cs="Arial"/>
        </w:rPr>
      </w:pPr>
    </w:p>
    <w:p w14:paraId="114E7E67">
      <w:pPr>
        <w:spacing w:line="360" w:lineRule="auto"/>
        <w:rPr>
          <w:rFonts w:ascii="Arial" w:hAnsi="Arial" w:cs="Arial"/>
        </w:rPr>
      </w:pPr>
      <w:r>
        <w:rPr>
          <w:rFonts w:ascii="Arial" w:hAnsi="Arial" w:cs="Arial"/>
        </w:rPr>
        <w:t xml:space="preserve">Date: </w:t>
      </w:r>
      <w:r>
        <w:rPr>
          <w:rFonts w:hint="default" w:ascii="Arial" w:hAnsi="Arial" w:cs="Arial"/>
          <w:lang w:val="en-IN"/>
        </w:rPr>
        <w:t>24/07/2026</w:t>
      </w:r>
      <w:r>
        <w:rPr>
          <w:rFonts w:ascii="Arial" w:hAnsi="Arial" w:cs="Arial"/>
        </w:rPr>
        <w:br w:type="page"/>
      </w:r>
    </w:p>
    <w:p w14:paraId="2C98994C">
      <w:pPr>
        <w:pStyle w:val="2"/>
        <w:spacing w:line="360" w:lineRule="auto"/>
        <w:jc w:val="center"/>
        <w:rPr>
          <w:rFonts w:ascii="Arial" w:hAnsi="Arial" w:cs="Arial"/>
        </w:rPr>
      </w:pPr>
      <w:bookmarkStart w:id="9" w:name="_Toc235706189"/>
      <w:r>
        <w:rPr>
          <w:rFonts w:ascii="Arial" w:hAnsi="Arial" w:cs="Arial"/>
        </w:rPr>
        <w:t>Executive Summary</w:t>
      </w:r>
      <w:bookmarkEnd w:id="9"/>
    </w:p>
    <w:p w14:paraId="022B2369">
      <w:pPr>
        <w:spacing w:line="360" w:lineRule="auto"/>
        <w:rPr>
          <w:rFonts w:ascii="Arial" w:hAnsi="Arial" w:cs="Arial"/>
        </w:rPr>
      </w:pPr>
      <w:r>
        <w:rPr>
          <w:rFonts w:ascii="Arial" w:hAnsi="Arial" w:cs="Arial"/>
        </w:rPr>
        <w:t>The financial performance and management of Whitbread PLC is assessed in this report on the basis of the 5 years of financial statements from FY2021/22 to 2025/26. Discusses the financial condition of the company using trend analysis and key financial ratios, including profitability, liquidity, efficiency, gearing, investment, and cash flow. A second part of the report involves an evaluation of Whitbread's working capital management (WCM) through a discussion of the cash operating cycle and the suggested ways to enhance liquidity. It offers finance restructuring suggestions that create value-added for shareholders and improve financial flexibility to support sustainable development, including international and ethical considerations. An investment appraisal aims to perform a comparison of three proposed projects against the three tools below, so as to choose the most financially beneficial project under capital rationing: Payback Period, ARR, NPV, PI and IRR. The report critically discusses responsible use of Artificial Intelligence as part of the research, analysis and report development process.</w:t>
      </w:r>
      <w:r>
        <w:rPr>
          <w:rFonts w:ascii="Arial" w:hAnsi="Arial" w:cs="Arial"/>
        </w:rPr>
        <w:br w:type="page"/>
      </w:r>
    </w:p>
    <w:p w14:paraId="1B24227A">
      <w:pPr>
        <w:keepNext/>
        <w:keepLines/>
        <w:pBdr>
          <w:top w:val="none" w:color="auto" w:sz="0" w:space="0"/>
          <w:left w:val="none" w:color="auto" w:sz="0" w:space="0"/>
          <w:bottom w:val="none" w:color="auto" w:sz="0" w:space="0"/>
          <w:right w:val="none" w:color="auto" w:sz="0" w:space="0"/>
          <w:between w:val="none" w:color="auto" w:sz="0" w:space="0"/>
        </w:pBdr>
        <w:spacing w:before="240" w:line="360" w:lineRule="auto"/>
        <w:jc w:val="center"/>
        <w:rPr>
          <w:rFonts w:ascii="Arial" w:hAnsi="Arial" w:cs="Arial"/>
          <w:b/>
          <w:bCs/>
          <w:color w:val="000000"/>
          <w:sz w:val="28"/>
          <w:szCs w:val="28"/>
        </w:rPr>
      </w:pPr>
      <w:bookmarkStart w:id="10" w:name="_heading=h.duu6n66h2itl" w:colFirst="0" w:colLast="0"/>
      <w:bookmarkEnd w:id="10"/>
      <w:r>
        <w:rPr>
          <w:rFonts w:ascii="Arial" w:hAnsi="Arial" w:cs="Arial"/>
          <w:b/>
          <w:bCs/>
          <w:color w:val="000000"/>
          <w:sz w:val="28"/>
          <w:szCs w:val="28"/>
        </w:rPr>
        <w:t>Table of Contents</w:t>
      </w:r>
    </w:p>
    <w:sdt>
      <w:sdtPr>
        <w:rPr>
          <w:rFonts w:ascii="Arial" w:hAnsi="Arial" w:cs="Arial"/>
        </w:rPr>
        <w:id w:val="-1684281457"/>
        <w:docPartObj>
          <w:docPartGallery w:val="Table of Contents"/>
          <w:docPartUnique/>
        </w:docPartObj>
      </w:sdtPr>
      <w:sdtEndPr>
        <w:rPr>
          <w:rFonts w:ascii="Arial" w:hAnsi="Arial" w:cs="Arial"/>
        </w:rPr>
      </w:sdtEndPr>
      <w:sdtContent>
        <w:p w14:paraId="32B43A56">
          <w:pPr>
            <w:pStyle w:val="13"/>
            <w:tabs>
              <w:tab w:val="right" w:leader="dot" w:pos="9350"/>
            </w:tabs>
            <w:spacing w:line="360" w:lineRule="auto"/>
            <w:rPr>
              <w:rFonts w:ascii="Arial" w:hAnsi="Arial" w:cs="Arial" w:eastAsiaTheme="minorEastAsia"/>
              <w:sz w:val="22"/>
              <w:szCs w:val="22"/>
              <w:lang w:val="en-US"/>
            </w:rPr>
          </w:pPr>
          <w:r>
            <w:rPr>
              <w:rFonts w:ascii="Arial" w:hAnsi="Arial" w:cs="Arial"/>
            </w:rPr>
            <w:fldChar w:fldCharType="begin"/>
          </w:r>
          <w:r>
            <w:rPr>
              <w:rFonts w:ascii="Arial" w:hAnsi="Arial" w:cs="Arial"/>
            </w:rPr>
            <w:instrText xml:space="preserve"> TOC \h \u \z \t "Heading 1,1,Heading 2,2,Heading 3,3,"</w:instrText>
          </w:r>
          <w:r>
            <w:rPr>
              <w:rFonts w:ascii="Arial" w:hAnsi="Arial" w:cs="Arial"/>
            </w:rPr>
            <w:fldChar w:fldCharType="separate"/>
          </w:r>
          <w:r>
            <w:fldChar w:fldCharType="begin"/>
          </w:r>
          <w:r>
            <w:instrText xml:space="preserve"> HYPERLINK \l "_Toc235706189" </w:instrText>
          </w:r>
          <w:r>
            <w:fldChar w:fldCharType="separate"/>
          </w:r>
          <w:r>
            <w:rPr>
              <w:rStyle w:val="10"/>
              <w:rFonts w:ascii="Arial" w:hAnsi="Arial" w:cs="Arial"/>
            </w:rPr>
            <w:t>Executive Summary</w:t>
          </w:r>
          <w:r>
            <w:rPr>
              <w:rFonts w:ascii="Arial" w:hAnsi="Arial" w:cs="Arial"/>
            </w:rPr>
            <w:tab/>
          </w:r>
          <w:r>
            <w:rPr>
              <w:rFonts w:ascii="Arial" w:hAnsi="Arial" w:cs="Arial"/>
            </w:rPr>
            <w:fldChar w:fldCharType="begin"/>
          </w:r>
          <w:r>
            <w:rPr>
              <w:rFonts w:ascii="Arial" w:hAnsi="Arial" w:cs="Arial"/>
            </w:rPr>
            <w:instrText xml:space="preserve"> PAGEREF _Toc235706189 \h </w:instrText>
          </w:r>
          <w:r>
            <w:rPr>
              <w:rFonts w:ascii="Arial" w:hAnsi="Arial" w:cs="Arial"/>
            </w:rPr>
            <w:fldChar w:fldCharType="separate"/>
          </w:r>
          <w:r>
            <w:rPr>
              <w:rFonts w:ascii="Arial" w:hAnsi="Arial" w:cs="Arial"/>
            </w:rPr>
            <w:t>3</w:t>
          </w:r>
          <w:r>
            <w:rPr>
              <w:rFonts w:ascii="Arial" w:hAnsi="Arial" w:cs="Arial"/>
            </w:rPr>
            <w:fldChar w:fldCharType="end"/>
          </w:r>
          <w:r>
            <w:rPr>
              <w:rFonts w:ascii="Arial" w:hAnsi="Arial" w:cs="Arial"/>
            </w:rPr>
            <w:fldChar w:fldCharType="end"/>
          </w:r>
        </w:p>
        <w:p w14:paraId="6F8B34E2">
          <w:pPr>
            <w:pStyle w:val="13"/>
            <w:tabs>
              <w:tab w:val="right" w:leader="dot" w:pos="9350"/>
            </w:tabs>
            <w:spacing w:line="360" w:lineRule="auto"/>
            <w:rPr>
              <w:rFonts w:ascii="Arial" w:hAnsi="Arial" w:cs="Arial" w:eastAsiaTheme="minorEastAsia"/>
              <w:sz w:val="22"/>
              <w:szCs w:val="22"/>
              <w:lang w:val="en-US"/>
            </w:rPr>
          </w:pPr>
          <w:r>
            <w:fldChar w:fldCharType="begin"/>
          </w:r>
          <w:r>
            <w:instrText xml:space="preserve"> HYPERLINK \l "_Toc235706190" </w:instrText>
          </w:r>
          <w:r>
            <w:fldChar w:fldCharType="separate"/>
          </w:r>
          <w:r>
            <w:rPr>
              <w:rStyle w:val="10"/>
              <w:rFonts w:ascii="Arial" w:hAnsi="Arial" w:cs="Arial"/>
            </w:rPr>
            <w:t>1. Financial Health Check</w:t>
          </w:r>
          <w:r>
            <w:rPr>
              <w:rFonts w:ascii="Arial" w:hAnsi="Arial" w:cs="Arial"/>
            </w:rPr>
            <w:tab/>
          </w:r>
          <w:r>
            <w:rPr>
              <w:rFonts w:ascii="Arial" w:hAnsi="Arial" w:cs="Arial"/>
            </w:rPr>
            <w:fldChar w:fldCharType="begin"/>
          </w:r>
          <w:r>
            <w:rPr>
              <w:rFonts w:ascii="Arial" w:hAnsi="Arial" w:cs="Arial"/>
            </w:rPr>
            <w:instrText xml:space="preserve"> PAGEREF _Toc235706190 \h </w:instrText>
          </w:r>
          <w:r>
            <w:rPr>
              <w:rFonts w:ascii="Arial" w:hAnsi="Arial" w:cs="Arial"/>
            </w:rPr>
            <w:fldChar w:fldCharType="separate"/>
          </w:r>
          <w:r>
            <w:rPr>
              <w:rFonts w:ascii="Arial" w:hAnsi="Arial" w:cs="Arial"/>
            </w:rPr>
            <w:t>5</w:t>
          </w:r>
          <w:r>
            <w:rPr>
              <w:rFonts w:ascii="Arial" w:hAnsi="Arial" w:cs="Arial"/>
            </w:rPr>
            <w:fldChar w:fldCharType="end"/>
          </w:r>
          <w:r>
            <w:rPr>
              <w:rFonts w:ascii="Arial" w:hAnsi="Arial" w:cs="Arial"/>
            </w:rPr>
            <w:fldChar w:fldCharType="end"/>
          </w:r>
        </w:p>
        <w:p w14:paraId="3E519CA1">
          <w:pPr>
            <w:pStyle w:val="14"/>
            <w:tabs>
              <w:tab w:val="right" w:leader="dot" w:pos="9350"/>
            </w:tabs>
            <w:spacing w:line="360" w:lineRule="auto"/>
            <w:rPr>
              <w:rFonts w:ascii="Arial" w:hAnsi="Arial" w:cs="Arial" w:eastAsiaTheme="minorEastAsia"/>
              <w:sz w:val="22"/>
              <w:szCs w:val="22"/>
              <w:lang w:val="en-US"/>
            </w:rPr>
          </w:pPr>
          <w:r>
            <w:fldChar w:fldCharType="begin"/>
          </w:r>
          <w:r>
            <w:instrText xml:space="preserve"> HYPERLINK \l "_Toc235706191" </w:instrText>
          </w:r>
          <w:r>
            <w:fldChar w:fldCharType="separate"/>
          </w:r>
          <w:r>
            <w:rPr>
              <w:rStyle w:val="10"/>
              <w:rFonts w:ascii="Arial" w:hAnsi="Arial" w:cs="Arial"/>
            </w:rPr>
            <w:t>a) Analysis of Financial Statements</w:t>
          </w:r>
          <w:r>
            <w:rPr>
              <w:rFonts w:ascii="Arial" w:hAnsi="Arial" w:cs="Arial"/>
            </w:rPr>
            <w:tab/>
          </w:r>
          <w:r>
            <w:rPr>
              <w:rFonts w:ascii="Arial" w:hAnsi="Arial" w:cs="Arial"/>
            </w:rPr>
            <w:fldChar w:fldCharType="begin"/>
          </w:r>
          <w:r>
            <w:rPr>
              <w:rFonts w:ascii="Arial" w:hAnsi="Arial" w:cs="Arial"/>
            </w:rPr>
            <w:instrText xml:space="preserve"> PAGEREF _Toc235706191 \h </w:instrText>
          </w:r>
          <w:r>
            <w:rPr>
              <w:rFonts w:ascii="Arial" w:hAnsi="Arial" w:cs="Arial"/>
            </w:rPr>
            <w:fldChar w:fldCharType="separate"/>
          </w:r>
          <w:r>
            <w:rPr>
              <w:rFonts w:ascii="Arial" w:hAnsi="Arial" w:cs="Arial"/>
            </w:rPr>
            <w:t>5</w:t>
          </w:r>
          <w:r>
            <w:rPr>
              <w:rFonts w:ascii="Arial" w:hAnsi="Arial" w:cs="Arial"/>
            </w:rPr>
            <w:fldChar w:fldCharType="end"/>
          </w:r>
          <w:r>
            <w:rPr>
              <w:rFonts w:ascii="Arial" w:hAnsi="Arial" w:cs="Arial"/>
            </w:rPr>
            <w:fldChar w:fldCharType="end"/>
          </w:r>
        </w:p>
        <w:p w14:paraId="60B707AF">
          <w:pPr>
            <w:pStyle w:val="14"/>
            <w:tabs>
              <w:tab w:val="right" w:leader="dot" w:pos="9350"/>
            </w:tabs>
            <w:spacing w:line="360" w:lineRule="auto"/>
            <w:rPr>
              <w:rFonts w:ascii="Arial" w:hAnsi="Arial" w:cs="Arial" w:eastAsiaTheme="minorEastAsia"/>
              <w:sz w:val="22"/>
              <w:szCs w:val="22"/>
              <w:lang w:val="en-US"/>
            </w:rPr>
          </w:pPr>
          <w:r>
            <w:fldChar w:fldCharType="begin"/>
          </w:r>
          <w:r>
            <w:instrText xml:space="preserve"> HYPERLINK \l "_Toc235706192" </w:instrText>
          </w:r>
          <w:r>
            <w:fldChar w:fldCharType="separate"/>
          </w:r>
          <w:r>
            <w:rPr>
              <w:rStyle w:val="10"/>
              <w:rFonts w:ascii="Arial" w:hAnsi="Arial" w:cs="Arial"/>
            </w:rPr>
            <w:t>b) Comprehensive Ratio Analysis</w:t>
          </w:r>
          <w:r>
            <w:rPr>
              <w:rFonts w:ascii="Arial" w:hAnsi="Arial" w:cs="Arial"/>
            </w:rPr>
            <w:tab/>
          </w:r>
          <w:r>
            <w:rPr>
              <w:rFonts w:ascii="Arial" w:hAnsi="Arial" w:cs="Arial"/>
            </w:rPr>
            <w:fldChar w:fldCharType="begin"/>
          </w:r>
          <w:r>
            <w:rPr>
              <w:rFonts w:ascii="Arial" w:hAnsi="Arial" w:cs="Arial"/>
            </w:rPr>
            <w:instrText xml:space="preserve"> PAGEREF _Toc235706192 \h </w:instrText>
          </w:r>
          <w:r>
            <w:rPr>
              <w:rFonts w:ascii="Arial" w:hAnsi="Arial" w:cs="Arial"/>
            </w:rPr>
            <w:fldChar w:fldCharType="separate"/>
          </w:r>
          <w:r>
            <w:rPr>
              <w:rFonts w:ascii="Arial" w:hAnsi="Arial" w:cs="Arial"/>
            </w:rPr>
            <w:t>8</w:t>
          </w:r>
          <w:r>
            <w:rPr>
              <w:rFonts w:ascii="Arial" w:hAnsi="Arial" w:cs="Arial"/>
            </w:rPr>
            <w:fldChar w:fldCharType="end"/>
          </w:r>
          <w:r>
            <w:rPr>
              <w:rFonts w:ascii="Arial" w:hAnsi="Arial" w:cs="Arial"/>
            </w:rPr>
            <w:fldChar w:fldCharType="end"/>
          </w:r>
        </w:p>
        <w:p w14:paraId="1962CA2E">
          <w:pPr>
            <w:pStyle w:val="14"/>
            <w:tabs>
              <w:tab w:val="right" w:leader="dot" w:pos="9350"/>
            </w:tabs>
            <w:spacing w:line="360" w:lineRule="auto"/>
            <w:rPr>
              <w:rFonts w:ascii="Arial" w:hAnsi="Arial" w:cs="Arial" w:eastAsiaTheme="minorEastAsia"/>
              <w:sz w:val="22"/>
              <w:szCs w:val="22"/>
              <w:lang w:val="en-US"/>
            </w:rPr>
          </w:pPr>
          <w:r>
            <w:fldChar w:fldCharType="begin"/>
          </w:r>
          <w:r>
            <w:instrText xml:space="preserve"> HYPERLINK \l "_Toc235706193" </w:instrText>
          </w:r>
          <w:r>
            <w:fldChar w:fldCharType="separate"/>
          </w:r>
          <w:r>
            <w:rPr>
              <w:rStyle w:val="10"/>
              <w:rFonts w:ascii="Arial" w:hAnsi="Arial" w:cs="Arial"/>
            </w:rPr>
            <w:t>c) Trend, Strength and Potential Threats</w:t>
          </w:r>
          <w:r>
            <w:rPr>
              <w:rFonts w:ascii="Arial" w:hAnsi="Arial" w:cs="Arial"/>
            </w:rPr>
            <w:tab/>
          </w:r>
          <w:r>
            <w:rPr>
              <w:rFonts w:ascii="Arial" w:hAnsi="Arial" w:cs="Arial"/>
            </w:rPr>
            <w:fldChar w:fldCharType="begin"/>
          </w:r>
          <w:r>
            <w:rPr>
              <w:rFonts w:ascii="Arial" w:hAnsi="Arial" w:cs="Arial"/>
            </w:rPr>
            <w:instrText xml:space="preserve"> PAGEREF _Toc235706193 \h </w:instrText>
          </w:r>
          <w:r>
            <w:rPr>
              <w:rFonts w:ascii="Arial" w:hAnsi="Arial" w:cs="Arial"/>
            </w:rPr>
            <w:fldChar w:fldCharType="separate"/>
          </w:r>
          <w:r>
            <w:rPr>
              <w:rFonts w:ascii="Arial" w:hAnsi="Arial" w:cs="Arial"/>
            </w:rPr>
            <w:t>12</w:t>
          </w:r>
          <w:r>
            <w:rPr>
              <w:rFonts w:ascii="Arial" w:hAnsi="Arial" w:cs="Arial"/>
            </w:rPr>
            <w:fldChar w:fldCharType="end"/>
          </w:r>
          <w:r>
            <w:rPr>
              <w:rFonts w:ascii="Arial" w:hAnsi="Arial" w:cs="Arial"/>
            </w:rPr>
            <w:fldChar w:fldCharType="end"/>
          </w:r>
        </w:p>
        <w:p w14:paraId="2BAF76C1">
          <w:pPr>
            <w:pStyle w:val="14"/>
            <w:tabs>
              <w:tab w:val="right" w:leader="dot" w:pos="9350"/>
            </w:tabs>
            <w:spacing w:line="360" w:lineRule="auto"/>
            <w:rPr>
              <w:rFonts w:ascii="Arial" w:hAnsi="Arial" w:cs="Arial" w:eastAsiaTheme="minorEastAsia"/>
              <w:sz w:val="22"/>
              <w:szCs w:val="22"/>
              <w:lang w:val="en-US"/>
            </w:rPr>
          </w:pPr>
          <w:r>
            <w:fldChar w:fldCharType="begin"/>
          </w:r>
          <w:r>
            <w:instrText xml:space="preserve"> HYPERLINK \l "_Toc235706194" </w:instrText>
          </w:r>
          <w:r>
            <w:fldChar w:fldCharType="separate"/>
          </w:r>
          <w:r>
            <w:rPr>
              <w:rStyle w:val="10"/>
              <w:rFonts w:ascii="Arial" w:hAnsi="Arial" w:cs="Arial"/>
            </w:rPr>
            <w:t>d) Comparison of Liquidity Ratios with Industry Benchmark</w:t>
          </w:r>
          <w:r>
            <w:rPr>
              <w:rFonts w:ascii="Arial" w:hAnsi="Arial" w:cs="Arial"/>
            </w:rPr>
            <w:tab/>
          </w:r>
          <w:r>
            <w:rPr>
              <w:rFonts w:ascii="Arial" w:hAnsi="Arial" w:cs="Arial"/>
            </w:rPr>
            <w:fldChar w:fldCharType="begin"/>
          </w:r>
          <w:r>
            <w:rPr>
              <w:rFonts w:ascii="Arial" w:hAnsi="Arial" w:cs="Arial"/>
            </w:rPr>
            <w:instrText xml:space="preserve"> PAGEREF _Toc235706194 \h </w:instrText>
          </w:r>
          <w:r>
            <w:rPr>
              <w:rFonts w:ascii="Arial" w:hAnsi="Arial" w:cs="Arial"/>
            </w:rPr>
            <w:fldChar w:fldCharType="separate"/>
          </w:r>
          <w:r>
            <w:rPr>
              <w:rFonts w:ascii="Arial" w:hAnsi="Arial" w:cs="Arial"/>
            </w:rPr>
            <w:t>13</w:t>
          </w:r>
          <w:r>
            <w:rPr>
              <w:rFonts w:ascii="Arial" w:hAnsi="Arial" w:cs="Arial"/>
            </w:rPr>
            <w:fldChar w:fldCharType="end"/>
          </w:r>
          <w:r>
            <w:rPr>
              <w:rFonts w:ascii="Arial" w:hAnsi="Arial" w:cs="Arial"/>
            </w:rPr>
            <w:fldChar w:fldCharType="end"/>
          </w:r>
        </w:p>
        <w:p w14:paraId="3E6955E2">
          <w:pPr>
            <w:pStyle w:val="13"/>
            <w:tabs>
              <w:tab w:val="right" w:leader="dot" w:pos="9350"/>
            </w:tabs>
            <w:spacing w:line="360" w:lineRule="auto"/>
            <w:rPr>
              <w:rFonts w:ascii="Arial" w:hAnsi="Arial" w:cs="Arial" w:eastAsiaTheme="minorEastAsia"/>
              <w:sz w:val="22"/>
              <w:szCs w:val="22"/>
              <w:lang w:val="en-US"/>
            </w:rPr>
          </w:pPr>
          <w:r>
            <w:fldChar w:fldCharType="begin"/>
          </w:r>
          <w:r>
            <w:instrText xml:space="preserve"> HYPERLINK \l "_Toc235706195" </w:instrText>
          </w:r>
          <w:r>
            <w:fldChar w:fldCharType="separate"/>
          </w:r>
          <w:r>
            <w:rPr>
              <w:rStyle w:val="10"/>
              <w:rFonts w:ascii="Arial" w:hAnsi="Arial" w:cs="Arial"/>
            </w:rPr>
            <w:t>2. Working Capital Management Analysis</w:t>
          </w:r>
          <w:r>
            <w:rPr>
              <w:rFonts w:ascii="Arial" w:hAnsi="Arial" w:cs="Arial"/>
            </w:rPr>
            <w:tab/>
          </w:r>
          <w:r>
            <w:rPr>
              <w:rFonts w:ascii="Arial" w:hAnsi="Arial" w:cs="Arial"/>
            </w:rPr>
            <w:fldChar w:fldCharType="begin"/>
          </w:r>
          <w:r>
            <w:rPr>
              <w:rFonts w:ascii="Arial" w:hAnsi="Arial" w:cs="Arial"/>
            </w:rPr>
            <w:instrText xml:space="preserve"> PAGEREF _Toc235706195 \h </w:instrText>
          </w:r>
          <w:r>
            <w:rPr>
              <w:rFonts w:ascii="Arial" w:hAnsi="Arial" w:cs="Arial"/>
            </w:rPr>
            <w:fldChar w:fldCharType="separate"/>
          </w:r>
          <w:r>
            <w:rPr>
              <w:rFonts w:ascii="Arial" w:hAnsi="Arial" w:cs="Arial"/>
            </w:rPr>
            <w:t>14</w:t>
          </w:r>
          <w:r>
            <w:rPr>
              <w:rFonts w:ascii="Arial" w:hAnsi="Arial" w:cs="Arial"/>
            </w:rPr>
            <w:fldChar w:fldCharType="end"/>
          </w:r>
          <w:r>
            <w:rPr>
              <w:rFonts w:ascii="Arial" w:hAnsi="Arial" w:cs="Arial"/>
            </w:rPr>
            <w:fldChar w:fldCharType="end"/>
          </w:r>
        </w:p>
        <w:p w14:paraId="2E031DAD">
          <w:pPr>
            <w:pStyle w:val="14"/>
            <w:tabs>
              <w:tab w:val="right" w:leader="dot" w:pos="9350"/>
            </w:tabs>
            <w:spacing w:line="360" w:lineRule="auto"/>
            <w:rPr>
              <w:rFonts w:ascii="Arial" w:hAnsi="Arial" w:cs="Arial" w:eastAsiaTheme="minorEastAsia"/>
              <w:sz w:val="22"/>
              <w:szCs w:val="22"/>
              <w:lang w:val="en-US"/>
            </w:rPr>
          </w:pPr>
          <w:r>
            <w:fldChar w:fldCharType="begin"/>
          </w:r>
          <w:r>
            <w:instrText xml:space="preserve"> HYPERLINK \l "_Toc235706196" </w:instrText>
          </w:r>
          <w:r>
            <w:fldChar w:fldCharType="separate"/>
          </w:r>
          <w:r>
            <w:rPr>
              <w:rStyle w:val="10"/>
              <w:rFonts w:ascii="Arial" w:hAnsi="Arial" w:cs="Arial"/>
            </w:rPr>
            <w:t>a) Cash Operating Cycle</w:t>
          </w:r>
          <w:r>
            <w:rPr>
              <w:rFonts w:ascii="Arial" w:hAnsi="Arial" w:cs="Arial"/>
            </w:rPr>
            <w:tab/>
          </w:r>
          <w:r>
            <w:rPr>
              <w:rFonts w:ascii="Arial" w:hAnsi="Arial" w:cs="Arial"/>
            </w:rPr>
            <w:fldChar w:fldCharType="begin"/>
          </w:r>
          <w:r>
            <w:rPr>
              <w:rFonts w:ascii="Arial" w:hAnsi="Arial" w:cs="Arial"/>
            </w:rPr>
            <w:instrText xml:space="preserve"> PAGEREF _Toc235706196 \h </w:instrText>
          </w:r>
          <w:r>
            <w:rPr>
              <w:rFonts w:ascii="Arial" w:hAnsi="Arial" w:cs="Arial"/>
            </w:rPr>
            <w:fldChar w:fldCharType="separate"/>
          </w:r>
          <w:r>
            <w:rPr>
              <w:rFonts w:ascii="Arial" w:hAnsi="Arial" w:cs="Arial"/>
            </w:rPr>
            <w:t>14</w:t>
          </w:r>
          <w:r>
            <w:rPr>
              <w:rFonts w:ascii="Arial" w:hAnsi="Arial" w:cs="Arial"/>
            </w:rPr>
            <w:fldChar w:fldCharType="end"/>
          </w:r>
          <w:r>
            <w:rPr>
              <w:rFonts w:ascii="Arial" w:hAnsi="Arial" w:cs="Arial"/>
            </w:rPr>
            <w:fldChar w:fldCharType="end"/>
          </w:r>
        </w:p>
        <w:p w14:paraId="7575512A">
          <w:pPr>
            <w:pStyle w:val="14"/>
            <w:tabs>
              <w:tab w:val="right" w:leader="dot" w:pos="9350"/>
            </w:tabs>
            <w:spacing w:line="360" w:lineRule="auto"/>
            <w:rPr>
              <w:rFonts w:ascii="Arial" w:hAnsi="Arial" w:cs="Arial" w:eastAsiaTheme="minorEastAsia"/>
              <w:sz w:val="22"/>
              <w:szCs w:val="22"/>
              <w:lang w:val="en-US"/>
            </w:rPr>
          </w:pPr>
          <w:r>
            <w:fldChar w:fldCharType="begin"/>
          </w:r>
          <w:r>
            <w:instrText xml:space="preserve"> HYPERLINK \l "_Toc235706197" </w:instrText>
          </w:r>
          <w:r>
            <w:fldChar w:fldCharType="separate"/>
          </w:r>
          <w:r>
            <w:rPr>
              <w:rStyle w:val="10"/>
              <w:rFonts w:ascii="Arial" w:hAnsi="Arial" w:cs="Arial"/>
            </w:rPr>
            <w:t>b) Recommendation to improve liquidity</w:t>
          </w:r>
          <w:r>
            <w:rPr>
              <w:rFonts w:ascii="Arial" w:hAnsi="Arial" w:cs="Arial"/>
            </w:rPr>
            <w:tab/>
          </w:r>
          <w:r>
            <w:rPr>
              <w:rFonts w:ascii="Arial" w:hAnsi="Arial" w:cs="Arial"/>
            </w:rPr>
            <w:fldChar w:fldCharType="begin"/>
          </w:r>
          <w:r>
            <w:rPr>
              <w:rFonts w:ascii="Arial" w:hAnsi="Arial" w:cs="Arial"/>
            </w:rPr>
            <w:instrText xml:space="preserve"> PAGEREF _Toc235706197 \h </w:instrText>
          </w:r>
          <w:r>
            <w:rPr>
              <w:rFonts w:ascii="Arial" w:hAnsi="Arial" w:cs="Arial"/>
            </w:rPr>
            <w:fldChar w:fldCharType="separate"/>
          </w:r>
          <w:r>
            <w:rPr>
              <w:rFonts w:ascii="Arial" w:hAnsi="Arial" w:cs="Arial"/>
            </w:rPr>
            <w:t>15</w:t>
          </w:r>
          <w:r>
            <w:rPr>
              <w:rFonts w:ascii="Arial" w:hAnsi="Arial" w:cs="Arial"/>
            </w:rPr>
            <w:fldChar w:fldCharType="end"/>
          </w:r>
          <w:r>
            <w:rPr>
              <w:rFonts w:ascii="Arial" w:hAnsi="Arial" w:cs="Arial"/>
            </w:rPr>
            <w:fldChar w:fldCharType="end"/>
          </w:r>
        </w:p>
        <w:p w14:paraId="10BF863A">
          <w:pPr>
            <w:pStyle w:val="14"/>
            <w:tabs>
              <w:tab w:val="right" w:leader="dot" w:pos="9350"/>
            </w:tabs>
            <w:spacing w:line="360" w:lineRule="auto"/>
            <w:rPr>
              <w:rFonts w:ascii="Arial" w:hAnsi="Arial" w:cs="Arial" w:eastAsiaTheme="minorEastAsia"/>
              <w:sz w:val="22"/>
              <w:szCs w:val="22"/>
              <w:lang w:val="en-US"/>
            </w:rPr>
          </w:pPr>
          <w:r>
            <w:fldChar w:fldCharType="begin"/>
          </w:r>
          <w:r>
            <w:instrText xml:space="preserve"> HYPERLINK \l "_Toc235706198" </w:instrText>
          </w:r>
          <w:r>
            <w:fldChar w:fldCharType="separate"/>
          </w:r>
          <w:r>
            <w:rPr>
              <w:rStyle w:val="10"/>
              <w:rFonts w:ascii="Arial" w:hAnsi="Arial" w:cs="Arial"/>
            </w:rPr>
            <w:t>c) Comparison of short-term and long-term financial options</w:t>
          </w:r>
          <w:r>
            <w:rPr>
              <w:rFonts w:ascii="Arial" w:hAnsi="Arial" w:cs="Arial"/>
            </w:rPr>
            <w:tab/>
          </w:r>
          <w:r>
            <w:rPr>
              <w:rFonts w:ascii="Arial" w:hAnsi="Arial" w:cs="Arial"/>
            </w:rPr>
            <w:fldChar w:fldCharType="begin"/>
          </w:r>
          <w:r>
            <w:rPr>
              <w:rFonts w:ascii="Arial" w:hAnsi="Arial" w:cs="Arial"/>
            </w:rPr>
            <w:instrText xml:space="preserve"> PAGEREF _Toc235706198 \h </w:instrText>
          </w:r>
          <w:r>
            <w:rPr>
              <w:rFonts w:ascii="Arial" w:hAnsi="Arial" w:cs="Arial"/>
            </w:rPr>
            <w:fldChar w:fldCharType="separate"/>
          </w:r>
          <w:r>
            <w:rPr>
              <w:rFonts w:ascii="Arial" w:hAnsi="Arial" w:cs="Arial"/>
            </w:rPr>
            <w:t>15</w:t>
          </w:r>
          <w:r>
            <w:rPr>
              <w:rFonts w:ascii="Arial" w:hAnsi="Arial" w:cs="Arial"/>
            </w:rPr>
            <w:fldChar w:fldCharType="end"/>
          </w:r>
          <w:r>
            <w:rPr>
              <w:rFonts w:ascii="Arial" w:hAnsi="Arial" w:cs="Arial"/>
            </w:rPr>
            <w:fldChar w:fldCharType="end"/>
          </w:r>
        </w:p>
        <w:p w14:paraId="79E41CDD">
          <w:pPr>
            <w:pStyle w:val="13"/>
            <w:tabs>
              <w:tab w:val="right" w:leader="dot" w:pos="9350"/>
            </w:tabs>
            <w:spacing w:line="360" w:lineRule="auto"/>
            <w:rPr>
              <w:rFonts w:ascii="Arial" w:hAnsi="Arial" w:cs="Arial" w:eastAsiaTheme="minorEastAsia"/>
              <w:sz w:val="22"/>
              <w:szCs w:val="22"/>
              <w:lang w:val="en-US"/>
            </w:rPr>
          </w:pPr>
          <w:r>
            <w:fldChar w:fldCharType="begin"/>
          </w:r>
          <w:r>
            <w:instrText xml:space="preserve"> HYPERLINK \l "_Toc235706199" </w:instrText>
          </w:r>
          <w:r>
            <w:fldChar w:fldCharType="separate"/>
          </w:r>
          <w:r>
            <w:rPr>
              <w:rStyle w:val="10"/>
              <w:rFonts w:ascii="Arial" w:hAnsi="Arial" w:cs="Arial"/>
            </w:rPr>
            <w:t>3. Strategic Financial Restructuring Plan</w:t>
          </w:r>
          <w:r>
            <w:rPr>
              <w:rFonts w:ascii="Arial" w:hAnsi="Arial" w:cs="Arial"/>
            </w:rPr>
            <w:tab/>
          </w:r>
          <w:r>
            <w:rPr>
              <w:rFonts w:ascii="Arial" w:hAnsi="Arial" w:cs="Arial"/>
            </w:rPr>
            <w:fldChar w:fldCharType="begin"/>
          </w:r>
          <w:r>
            <w:rPr>
              <w:rFonts w:ascii="Arial" w:hAnsi="Arial" w:cs="Arial"/>
            </w:rPr>
            <w:instrText xml:space="preserve"> PAGEREF _Toc235706199 \h </w:instrText>
          </w:r>
          <w:r>
            <w:rPr>
              <w:rFonts w:ascii="Arial" w:hAnsi="Arial" w:cs="Arial"/>
            </w:rPr>
            <w:fldChar w:fldCharType="separate"/>
          </w:r>
          <w:r>
            <w:rPr>
              <w:rFonts w:ascii="Arial" w:hAnsi="Arial" w:cs="Arial"/>
            </w:rPr>
            <w:t>17</w:t>
          </w:r>
          <w:r>
            <w:rPr>
              <w:rFonts w:ascii="Arial" w:hAnsi="Arial" w:cs="Arial"/>
            </w:rPr>
            <w:fldChar w:fldCharType="end"/>
          </w:r>
          <w:r>
            <w:rPr>
              <w:rFonts w:ascii="Arial" w:hAnsi="Arial" w:cs="Arial"/>
            </w:rPr>
            <w:fldChar w:fldCharType="end"/>
          </w:r>
        </w:p>
        <w:p w14:paraId="4FF1075F">
          <w:pPr>
            <w:pStyle w:val="14"/>
            <w:tabs>
              <w:tab w:val="right" w:leader="dot" w:pos="9350"/>
            </w:tabs>
            <w:spacing w:line="360" w:lineRule="auto"/>
            <w:rPr>
              <w:rFonts w:ascii="Arial" w:hAnsi="Arial" w:cs="Arial" w:eastAsiaTheme="minorEastAsia"/>
              <w:sz w:val="22"/>
              <w:szCs w:val="22"/>
              <w:lang w:val="en-US"/>
            </w:rPr>
          </w:pPr>
          <w:r>
            <w:fldChar w:fldCharType="begin"/>
          </w:r>
          <w:r>
            <w:instrText xml:space="preserve"> HYPERLINK \l "_Toc235706200" </w:instrText>
          </w:r>
          <w:r>
            <w:fldChar w:fldCharType="separate"/>
          </w:r>
          <w:r>
            <w:rPr>
              <w:rStyle w:val="10"/>
              <w:rFonts w:ascii="Arial" w:hAnsi="Arial" w:cs="Arial"/>
            </w:rPr>
            <w:t>a) Recommendation of financial restructuring options</w:t>
          </w:r>
          <w:r>
            <w:rPr>
              <w:rFonts w:ascii="Arial" w:hAnsi="Arial" w:cs="Arial"/>
            </w:rPr>
            <w:tab/>
          </w:r>
          <w:r>
            <w:rPr>
              <w:rFonts w:ascii="Arial" w:hAnsi="Arial" w:cs="Arial"/>
            </w:rPr>
            <w:fldChar w:fldCharType="begin"/>
          </w:r>
          <w:r>
            <w:rPr>
              <w:rFonts w:ascii="Arial" w:hAnsi="Arial" w:cs="Arial"/>
            </w:rPr>
            <w:instrText xml:space="preserve"> PAGEREF _Toc235706200 \h </w:instrText>
          </w:r>
          <w:r>
            <w:rPr>
              <w:rFonts w:ascii="Arial" w:hAnsi="Arial" w:cs="Arial"/>
            </w:rPr>
            <w:fldChar w:fldCharType="separate"/>
          </w:r>
          <w:r>
            <w:rPr>
              <w:rFonts w:ascii="Arial" w:hAnsi="Arial" w:cs="Arial"/>
            </w:rPr>
            <w:t>17</w:t>
          </w:r>
          <w:r>
            <w:rPr>
              <w:rFonts w:ascii="Arial" w:hAnsi="Arial" w:cs="Arial"/>
            </w:rPr>
            <w:fldChar w:fldCharType="end"/>
          </w:r>
          <w:r>
            <w:rPr>
              <w:rFonts w:ascii="Arial" w:hAnsi="Arial" w:cs="Arial"/>
            </w:rPr>
            <w:fldChar w:fldCharType="end"/>
          </w:r>
        </w:p>
        <w:p w14:paraId="1E11A2D7">
          <w:pPr>
            <w:pStyle w:val="14"/>
            <w:tabs>
              <w:tab w:val="right" w:leader="dot" w:pos="9350"/>
            </w:tabs>
            <w:spacing w:line="360" w:lineRule="auto"/>
            <w:rPr>
              <w:rFonts w:ascii="Arial" w:hAnsi="Arial" w:cs="Arial" w:eastAsiaTheme="minorEastAsia"/>
              <w:sz w:val="22"/>
              <w:szCs w:val="22"/>
              <w:lang w:val="en-US"/>
            </w:rPr>
          </w:pPr>
          <w:r>
            <w:fldChar w:fldCharType="begin"/>
          </w:r>
          <w:r>
            <w:instrText xml:space="preserve"> HYPERLINK \l "_Toc235706201" </w:instrText>
          </w:r>
          <w:r>
            <w:fldChar w:fldCharType="separate"/>
          </w:r>
          <w:r>
            <w:rPr>
              <w:rStyle w:val="10"/>
              <w:rFonts w:ascii="Arial" w:hAnsi="Arial" w:cs="Arial"/>
            </w:rPr>
            <w:t>b) Shareholder Impact evaluation</w:t>
          </w:r>
          <w:r>
            <w:rPr>
              <w:rFonts w:ascii="Arial" w:hAnsi="Arial" w:cs="Arial"/>
            </w:rPr>
            <w:tab/>
          </w:r>
          <w:r>
            <w:rPr>
              <w:rFonts w:ascii="Arial" w:hAnsi="Arial" w:cs="Arial"/>
            </w:rPr>
            <w:fldChar w:fldCharType="begin"/>
          </w:r>
          <w:r>
            <w:rPr>
              <w:rFonts w:ascii="Arial" w:hAnsi="Arial" w:cs="Arial"/>
            </w:rPr>
            <w:instrText xml:space="preserve"> PAGEREF _Toc235706201 \h </w:instrText>
          </w:r>
          <w:r>
            <w:rPr>
              <w:rFonts w:ascii="Arial" w:hAnsi="Arial" w:cs="Arial"/>
            </w:rPr>
            <w:fldChar w:fldCharType="separate"/>
          </w:r>
          <w:r>
            <w:rPr>
              <w:rFonts w:ascii="Arial" w:hAnsi="Arial" w:cs="Arial"/>
            </w:rPr>
            <w:t>17</w:t>
          </w:r>
          <w:r>
            <w:rPr>
              <w:rFonts w:ascii="Arial" w:hAnsi="Arial" w:cs="Arial"/>
            </w:rPr>
            <w:fldChar w:fldCharType="end"/>
          </w:r>
          <w:r>
            <w:rPr>
              <w:rFonts w:ascii="Arial" w:hAnsi="Arial" w:cs="Arial"/>
            </w:rPr>
            <w:fldChar w:fldCharType="end"/>
          </w:r>
        </w:p>
        <w:p w14:paraId="673AC2F1">
          <w:pPr>
            <w:pStyle w:val="14"/>
            <w:tabs>
              <w:tab w:val="right" w:leader="dot" w:pos="9350"/>
            </w:tabs>
            <w:spacing w:line="360" w:lineRule="auto"/>
            <w:rPr>
              <w:rFonts w:ascii="Arial" w:hAnsi="Arial" w:cs="Arial" w:eastAsiaTheme="minorEastAsia"/>
              <w:sz w:val="22"/>
              <w:szCs w:val="22"/>
              <w:lang w:val="en-US"/>
            </w:rPr>
          </w:pPr>
          <w:r>
            <w:fldChar w:fldCharType="begin"/>
          </w:r>
          <w:r>
            <w:instrText xml:space="preserve"> HYPERLINK \l "_Toc235706202" </w:instrText>
          </w:r>
          <w:r>
            <w:fldChar w:fldCharType="separate"/>
          </w:r>
          <w:r>
            <w:rPr>
              <w:rStyle w:val="10"/>
              <w:rFonts w:ascii="Arial" w:hAnsi="Arial" w:cs="Arial"/>
            </w:rPr>
            <w:t>c) Ethical Considerations</w:t>
          </w:r>
          <w:r>
            <w:rPr>
              <w:rFonts w:ascii="Arial" w:hAnsi="Arial" w:cs="Arial"/>
            </w:rPr>
            <w:tab/>
          </w:r>
          <w:r>
            <w:rPr>
              <w:rFonts w:ascii="Arial" w:hAnsi="Arial" w:cs="Arial"/>
            </w:rPr>
            <w:fldChar w:fldCharType="begin"/>
          </w:r>
          <w:r>
            <w:rPr>
              <w:rFonts w:ascii="Arial" w:hAnsi="Arial" w:cs="Arial"/>
            </w:rPr>
            <w:instrText xml:space="preserve"> PAGEREF _Toc235706202 \h </w:instrText>
          </w:r>
          <w:r>
            <w:rPr>
              <w:rFonts w:ascii="Arial" w:hAnsi="Arial" w:cs="Arial"/>
            </w:rPr>
            <w:fldChar w:fldCharType="separate"/>
          </w:r>
          <w:r>
            <w:rPr>
              <w:rFonts w:ascii="Arial" w:hAnsi="Arial" w:cs="Arial"/>
            </w:rPr>
            <w:t>18</w:t>
          </w:r>
          <w:r>
            <w:rPr>
              <w:rFonts w:ascii="Arial" w:hAnsi="Arial" w:cs="Arial"/>
            </w:rPr>
            <w:fldChar w:fldCharType="end"/>
          </w:r>
          <w:r>
            <w:rPr>
              <w:rFonts w:ascii="Arial" w:hAnsi="Arial" w:cs="Arial"/>
            </w:rPr>
            <w:fldChar w:fldCharType="end"/>
          </w:r>
        </w:p>
        <w:p w14:paraId="5279ADF6">
          <w:pPr>
            <w:pStyle w:val="13"/>
            <w:tabs>
              <w:tab w:val="right" w:leader="dot" w:pos="9350"/>
            </w:tabs>
            <w:spacing w:line="360" w:lineRule="auto"/>
            <w:rPr>
              <w:rFonts w:ascii="Arial" w:hAnsi="Arial" w:cs="Arial" w:eastAsiaTheme="minorEastAsia"/>
              <w:sz w:val="22"/>
              <w:szCs w:val="22"/>
              <w:lang w:val="en-US"/>
            </w:rPr>
          </w:pPr>
          <w:r>
            <w:fldChar w:fldCharType="begin"/>
          </w:r>
          <w:r>
            <w:instrText xml:space="preserve"> HYPERLINK \l "_Toc235706203" </w:instrText>
          </w:r>
          <w:r>
            <w:fldChar w:fldCharType="separate"/>
          </w:r>
          <w:r>
            <w:rPr>
              <w:rStyle w:val="10"/>
              <w:rFonts w:ascii="Arial" w:hAnsi="Arial" w:cs="Arial"/>
            </w:rPr>
            <w:t>4. Investment Appraisal and Capital Budgeting</w:t>
          </w:r>
          <w:r>
            <w:rPr>
              <w:rFonts w:ascii="Arial" w:hAnsi="Arial" w:cs="Arial"/>
            </w:rPr>
            <w:tab/>
          </w:r>
          <w:r>
            <w:rPr>
              <w:rFonts w:ascii="Arial" w:hAnsi="Arial" w:cs="Arial"/>
            </w:rPr>
            <w:fldChar w:fldCharType="begin"/>
          </w:r>
          <w:r>
            <w:rPr>
              <w:rFonts w:ascii="Arial" w:hAnsi="Arial" w:cs="Arial"/>
            </w:rPr>
            <w:instrText xml:space="preserve"> PAGEREF _Toc235706203 \h </w:instrText>
          </w:r>
          <w:r>
            <w:rPr>
              <w:rFonts w:ascii="Arial" w:hAnsi="Arial" w:cs="Arial"/>
            </w:rPr>
            <w:fldChar w:fldCharType="separate"/>
          </w:r>
          <w:r>
            <w:rPr>
              <w:rFonts w:ascii="Arial" w:hAnsi="Arial" w:cs="Arial"/>
            </w:rPr>
            <w:t>19</w:t>
          </w:r>
          <w:r>
            <w:rPr>
              <w:rFonts w:ascii="Arial" w:hAnsi="Arial" w:cs="Arial"/>
            </w:rPr>
            <w:fldChar w:fldCharType="end"/>
          </w:r>
          <w:r>
            <w:rPr>
              <w:rFonts w:ascii="Arial" w:hAnsi="Arial" w:cs="Arial"/>
            </w:rPr>
            <w:fldChar w:fldCharType="end"/>
          </w:r>
        </w:p>
        <w:p w14:paraId="55846AA0">
          <w:pPr>
            <w:pStyle w:val="14"/>
            <w:tabs>
              <w:tab w:val="right" w:leader="dot" w:pos="9350"/>
            </w:tabs>
            <w:spacing w:line="360" w:lineRule="auto"/>
            <w:rPr>
              <w:rFonts w:ascii="Arial" w:hAnsi="Arial" w:cs="Arial" w:eastAsiaTheme="minorEastAsia"/>
              <w:sz w:val="22"/>
              <w:szCs w:val="22"/>
              <w:lang w:val="en-US"/>
            </w:rPr>
          </w:pPr>
          <w:r>
            <w:fldChar w:fldCharType="begin"/>
          </w:r>
          <w:r>
            <w:instrText xml:space="preserve"> HYPERLINK \l "_Toc235706204" </w:instrText>
          </w:r>
          <w:r>
            <w:fldChar w:fldCharType="separate"/>
          </w:r>
          <w:r>
            <w:rPr>
              <w:rStyle w:val="10"/>
              <w:rFonts w:ascii="Arial" w:hAnsi="Arial" w:cs="Arial"/>
            </w:rPr>
            <w:t>a) Investment project selection</w:t>
          </w:r>
          <w:r>
            <w:rPr>
              <w:rFonts w:ascii="Arial" w:hAnsi="Arial" w:cs="Arial"/>
            </w:rPr>
            <w:tab/>
          </w:r>
          <w:r>
            <w:rPr>
              <w:rFonts w:ascii="Arial" w:hAnsi="Arial" w:cs="Arial"/>
            </w:rPr>
            <w:fldChar w:fldCharType="begin"/>
          </w:r>
          <w:r>
            <w:rPr>
              <w:rFonts w:ascii="Arial" w:hAnsi="Arial" w:cs="Arial"/>
            </w:rPr>
            <w:instrText xml:space="preserve"> PAGEREF _Toc235706204 \h </w:instrText>
          </w:r>
          <w:r>
            <w:rPr>
              <w:rFonts w:ascii="Arial" w:hAnsi="Arial" w:cs="Arial"/>
            </w:rPr>
            <w:fldChar w:fldCharType="separate"/>
          </w:r>
          <w:r>
            <w:rPr>
              <w:rFonts w:ascii="Arial" w:hAnsi="Arial" w:cs="Arial"/>
            </w:rPr>
            <w:t>19</w:t>
          </w:r>
          <w:r>
            <w:rPr>
              <w:rFonts w:ascii="Arial" w:hAnsi="Arial" w:cs="Arial"/>
            </w:rPr>
            <w:fldChar w:fldCharType="end"/>
          </w:r>
          <w:r>
            <w:rPr>
              <w:rFonts w:ascii="Arial" w:hAnsi="Arial" w:cs="Arial"/>
            </w:rPr>
            <w:fldChar w:fldCharType="end"/>
          </w:r>
        </w:p>
        <w:p w14:paraId="38351C63">
          <w:pPr>
            <w:pStyle w:val="14"/>
            <w:tabs>
              <w:tab w:val="right" w:leader="dot" w:pos="9350"/>
            </w:tabs>
            <w:spacing w:line="360" w:lineRule="auto"/>
            <w:rPr>
              <w:rFonts w:ascii="Arial" w:hAnsi="Arial" w:cs="Arial" w:eastAsiaTheme="minorEastAsia"/>
              <w:sz w:val="22"/>
              <w:szCs w:val="22"/>
              <w:lang w:val="en-US"/>
            </w:rPr>
          </w:pPr>
          <w:r>
            <w:fldChar w:fldCharType="begin"/>
          </w:r>
          <w:r>
            <w:instrText xml:space="preserve"> HYPERLINK \l "_Toc235706205" </w:instrText>
          </w:r>
          <w:r>
            <w:fldChar w:fldCharType="separate"/>
          </w:r>
          <w:r>
            <w:rPr>
              <w:rStyle w:val="10"/>
              <w:rFonts w:ascii="Arial" w:hAnsi="Arial" w:cs="Arial"/>
            </w:rPr>
            <w:t>b) Project detail analysis</w:t>
          </w:r>
          <w:r>
            <w:rPr>
              <w:rFonts w:ascii="Arial" w:hAnsi="Arial" w:cs="Arial"/>
            </w:rPr>
            <w:tab/>
          </w:r>
          <w:r>
            <w:rPr>
              <w:rFonts w:ascii="Arial" w:hAnsi="Arial" w:cs="Arial"/>
            </w:rPr>
            <w:fldChar w:fldCharType="begin"/>
          </w:r>
          <w:r>
            <w:rPr>
              <w:rFonts w:ascii="Arial" w:hAnsi="Arial" w:cs="Arial"/>
            </w:rPr>
            <w:instrText xml:space="preserve"> PAGEREF _Toc235706205 \h </w:instrText>
          </w:r>
          <w:r>
            <w:rPr>
              <w:rFonts w:ascii="Arial" w:hAnsi="Arial" w:cs="Arial"/>
            </w:rPr>
            <w:fldChar w:fldCharType="separate"/>
          </w:r>
          <w:r>
            <w:rPr>
              <w:rFonts w:ascii="Arial" w:hAnsi="Arial" w:cs="Arial"/>
            </w:rPr>
            <w:t>19</w:t>
          </w:r>
          <w:r>
            <w:rPr>
              <w:rFonts w:ascii="Arial" w:hAnsi="Arial" w:cs="Arial"/>
            </w:rPr>
            <w:fldChar w:fldCharType="end"/>
          </w:r>
          <w:r>
            <w:rPr>
              <w:rFonts w:ascii="Arial" w:hAnsi="Arial" w:cs="Arial"/>
            </w:rPr>
            <w:fldChar w:fldCharType="end"/>
          </w:r>
        </w:p>
        <w:p w14:paraId="51DDF4A7">
          <w:pPr>
            <w:pStyle w:val="14"/>
            <w:tabs>
              <w:tab w:val="right" w:leader="dot" w:pos="9350"/>
            </w:tabs>
            <w:spacing w:line="360" w:lineRule="auto"/>
            <w:rPr>
              <w:rFonts w:ascii="Arial" w:hAnsi="Arial" w:cs="Arial" w:eastAsiaTheme="minorEastAsia"/>
              <w:sz w:val="22"/>
              <w:szCs w:val="22"/>
              <w:lang w:val="en-US"/>
            </w:rPr>
          </w:pPr>
          <w:r>
            <w:fldChar w:fldCharType="begin"/>
          </w:r>
          <w:r>
            <w:instrText xml:space="preserve"> HYPERLINK \l "_Toc235706206" </w:instrText>
          </w:r>
          <w:r>
            <w:fldChar w:fldCharType="separate"/>
          </w:r>
          <w:r>
            <w:rPr>
              <w:rStyle w:val="10"/>
              <w:rFonts w:ascii="Arial" w:hAnsi="Arial" w:cs="Arial"/>
            </w:rPr>
            <w:t>c) Project selection when discount rate is 8%</w:t>
          </w:r>
          <w:r>
            <w:rPr>
              <w:rFonts w:ascii="Arial" w:hAnsi="Arial" w:cs="Arial"/>
            </w:rPr>
            <w:tab/>
          </w:r>
          <w:r>
            <w:rPr>
              <w:rFonts w:ascii="Arial" w:hAnsi="Arial" w:cs="Arial"/>
            </w:rPr>
            <w:fldChar w:fldCharType="begin"/>
          </w:r>
          <w:r>
            <w:rPr>
              <w:rFonts w:ascii="Arial" w:hAnsi="Arial" w:cs="Arial"/>
            </w:rPr>
            <w:instrText xml:space="preserve"> PAGEREF _Toc235706206 \h </w:instrText>
          </w:r>
          <w:r>
            <w:rPr>
              <w:rFonts w:ascii="Arial" w:hAnsi="Arial" w:cs="Arial"/>
            </w:rPr>
            <w:fldChar w:fldCharType="separate"/>
          </w:r>
          <w:r>
            <w:rPr>
              <w:rFonts w:ascii="Arial" w:hAnsi="Arial" w:cs="Arial"/>
            </w:rPr>
            <w:t>23</w:t>
          </w:r>
          <w:r>
            <w:rPr>
              <w:rFonts w:ascii="Arial" w:hAnsi="Arial" w:cs="Arial"/>
            </w:rPr>
            <w:fldChar w:fldCharType="end"/>
          </w:r>
          <w:r>
            <w:rPr>
              <w:rFonts w:ascii="Arial" w:hAnsi="Arial" w:cs="Arial"/>
            </w:rPr>
            <w:fldChar w:fldCharType="end"/>
          </w:r>
        </w:p>
        <w:p w14:paraId="02BD8336">
          <w:pPr>
            <w:pStyle w:val="14"/>
            <w:tabs>
              <w:tab w:val="right" w:leader="dot" w:pos="9350"/>
            </w:tabs>
            <w:spacing w:line="360" w:lineRule="auto"/>
            <w:rPr>
              <w:rFonts w:ascii="Arial" w:hAnsi="Arial" w:cs="Arial" w:eastAsiaTheme="minorEastAsia"/>
              <w:sz w:val="22"/>
              <w:szCs w:val="22"/>
              <w:lang w:val="en-US"/>
            </w:rPr>
          </w:pPr>
          <w:r>
            <w:fldChar w:fldCharType="begin"/>
          </w:r>
          <w:r>
            <w:instrText xml:space="preserve"> HYPERLINK \l "_Toc235706207" </w:instrText>
          </w:r>
          <w:r>
            <w:fldChar w:fldCharType="separate"/>
          </w:r>
          <w:r>
            <w:rPr>
              <w:rStyle w:val="10"/>
              <w:rFonts w:ascii="Arial" w:hAnsi="Arial" w:cs="Arial"/>
            </w:rPr>
            <w:t>d) Justification for project recommendation</w:t>
          </w:r>
          <w:r>
            <w:rPr>
              <w:rFonts w:ascii="Arial" w:hAnsi="Arial" w:cs="Arial"/>
            </w:rPr>
            <w:tab/>
          </w:r>
          <w:r>
            <w:rPr>
              <w:rFonts w:ascii="Arial" w:hAnsi="Arial" w:cs="Arial"/>
            </w:rPr>
            <w:fldChar w:fldCharType="begin"/>
          </w:r>
          <w:r>
            <w:rPr>
              <w:rFonts w:ascii="Arial" w:hAnsi="Arial" w:cs="Arial"/>
            </w:rPr>
            <w:instrText xml:space="preserve"> PAGEREF _Toc235706207 \h </w:instrText>
          </w:r>
          <w:r>
            <w:rPr>
              <w:rFonts w:ascii="Arial" w:hAnsi="Arial" w:cs="Arial"/>
            </w:rPr>
            <w:fldChar w:fldCharType="separate"/>
          </w:r>
          <w:r>
            <w:rPr>
              <w:rFonts w:ascii="Arial" w:hAnsi="Arial" w:cs="Arial"/>
            </w:rPr>
            <w:t>24</w:t>
          </w:r>
          <w:r>
            <w:rPr>
              <w:rFonts w:ascii="Arial" w:hAnsi="Arial" w:cs="Arial"/>
            </w:rPr>
            <w:fldChar w:fldCharType="end"/>
          </w:r>
          <w:r>
            <w:rPr>
              <w:rFonts w:ascii="Arial" w:hAnsi="Arial" w:cs="Arial"/>
            </w:rPr>
            <w:fldChar w:fldCharType="end"/>
          </w:r>
        </w:p>
        <w:p w14:paraId="4393E55B">
          <w:pPr>
            <w:pStyle w:val="14"/>
            <w:tabs>
              <w:tab w:val="right" w:leader="dot" w:pos="9350"/>
            </w:tabs>
            <w:spacing w:line="360" w:lineRule="auto"/>
            <w:rPr>
              <w:rFonts w:ascii="Arial" w:hAnsi="Arial" w:cs="Arial" w:eastAsiaTheme="minorEastAsia"/>
              <w:sz w:val="22"/>
              <w:szCs w:val="22"/>
              <w:lang w:val="en-US"/>
            </w:rPr>
          </w:pPr>
          <w:r>
            <w:fldChar w:fldCharType="begin"/>
          </w:r>
          <w:r>
            <w:instrText xml:space="preserve"> HYPERLINK \l "_Toc235706208" </w:instrText>
          </w:r>
          <w:r>
            <w:fldChar w:fldCharType="separate"/>
          </w:r>
          <w:r>
            <w:rPr>
              <w:rStyle w:val="10"/>
              <w:rFonts w:ascii="Arial" w:hAnsi="Arial" w:cs="Arial"/>
            </w:rPr>
            <w:t>e) Project selection with capital rationing</w:t>
          </w:r>
          <w:r>
            <w:rPr>
              <w:rFonts w:ascii="Arial" w:hAnsi="Arial" w:cs="Arial"/>
            </w:rPr>
            <w:tab/>
          </w:r>
          <w:r>
            <w:rPr>
              <w:rFonts w:ascii="Arial" w:hAnsi="Arial" w:cs="Arial"/>
            </w:rPr>
            <w:fldChar w:fldCharType="begin"/>
          </w:r>
          <w:r>
            <w:rPr>
              <w:rFonts w:ascii="Arial" w:hAnsi="Arial" w:cs="Arial"/>
            </w:rPr>
            <w:instrText xml:space="preserve"> PAGEREF _Toc235706208 \h </w:instrText>
          </w:r>
          <w:r>
            <w:rPr>
              <w:rFonts w:ascii="Arial" w:hAnsi="Arial" w:cs="Arial"/>
            </w:rPr>
            <w:fldChar w:fldCharType="separate"/>
          </w:r>
          <w:r>
            <w:rPr>
              <w:rFonts w:ascii="Arial" w:hAnsi="Arial" w:cs="Arial"/>
            </w:rPr>
            <w:t>24</w:t>
          </w:r>
          <w:r>
            <w:rPr>
              <w:rFonts w:ascii="Arial" w:hAnsi="Arial" w:cs="Arial"/>
            </w:rPr>
            <w:fldChar w:fldCharType="end"/>
          </w:r>
          <w:r>
            <w:rPr>
              <w:rFonts w:ascii="Arial" w:hAnsi="Arial" w:cs="Arial"/>
            </w:rPr>
            <w:fldChar w:fldCharType="end"/>
          </w:r>
        </w:p>
        <w:p w14:paraId="620CB2E1">
          <w:pPr>
            <w:pStyle w:val="13"/>
            <w:tabs>
              <w:tab w:val="right" w:leader="dot" w:pos="9350"/>
            </w:tabs>
            <w:spacing w:line="360" w:lineRule="auto"/>
            <w:rPr>
              <w:rFonts w:ascii="Arial" w:hAnsi="Arial" w:cs="Arial" w:eastAsiaTheme="minorEastAsia"/>
              <w:sz w:val="22"/>
              <w:szCs w:val="22"/>
              <w:lang w:val="en-US"/>
            </w:rPr>
          </w:pPr>
          <w:r>
            <w:fldChar w:fldCharType="begin"/>
          </w:r>
          <w:r>
            <w:instrText xml:space="preserve"> HYPERLINK \l "_Toc235706209" </w:instrText>
          </w:r>
          <w:r>
            <w:fldChar w:fldCharType="separate"/>
          </w:r>
          <w:r>
            <w:rPr>
              <w:rStyle w:val="10"/>
              <w:rFonts w:ascii="Arial" w:hAnsi="Arial" w:cs="Arial"/>
            </w:rPr>
            <w:t>5. Critical Reflection on AI Usage</w:t>
          </w:r>
          <w:r>
            <w:rPr>
              <w:rFonts w:ascii="Arial" w:hAnsi="Arial" w:cs="Arial"/>
            </w:rPr>
            <w:tab/>
          </w:r>
          <w:r>
            <w:rPr>
              <w:rFonts w:ascii="Arial" w:hAnsi="Arial" w:cs="Arial"/>
            </w:rPr>
            <w:fldChar w:fldCharType="begin"/>
          </w:r>
          <w:r>
            <w:rPr>
              <w:rFonts w:ascii="Arial" w:hAnsi="Arial" w:cs="Arial"/>
            </w:rPr>
            <w:instrText xml:space="preserve"> PAGEREF _Toc235706209 \h </w:instrText>
          </w:r>
          <w:r>
            <w:rPr>
              <w:rFonts w:ascii="Arial" w:hAnsi="Arial" w:cs="Arial"/>
            </w:rPr>
            <w:fldChar w:fldCharType="separate"/>
          </w:r>
          <w:r>
            <w:rPr>
              <w:rFonts w:ascii="Arial" w:hAnsi="Arial" w:cs="Arial"/>
            </w:rPr>
            <w:t>25</w:t>
          </w:r>
          <w:r>
            <w:rPr>
              <w:rFonts w:ascii="Arial" w:hAnsi="Arial" w:cs="Arial"/>
            </w:rPr>
            <w:fldChar w:fldCharType="end"/>
          </w:r>
          <w:r>
            <w:rPr>
              <w:rFonts w:ascii="Arial" w:hAnsi="Arial" w:cs="Arial"/>
            </w:rPr>
            <w:fldChar w:fldCharType="end"/>
          </w:r>
        </w:p>
        <w:p w14:paraId="742EF6CE">
          <w:pPr>
            <w:pStyle w:val="14"/>
            <w:tabs>
              <w:tab w:val="right" w:leader="dot" w:pos="9350"/>
            </w:tabs>
            <w:spacing w:line="360" w:lineRule="auto"/>
            <w:rPr>
              <w:rFonts w:ascii="Arial" w:hAnsi="Arial" w:cs="Arial" w:eastAsiaTheme="minorEastAsia"/>
              <w:sz w:val="22"/>
              <w:szCs w:val="22"/>
              <w:lang w:val="en-US"/>
            </w:rPr>
          </w:pPr>
          <w:r>
            <w:fldChar w:fldCharType="begin"/>
          </w:r>
          <w:r>
            <w:instrText xml:space="preserve"> HYPERLINK \l "_Toc235706210" </w:instrText>
          </w:r>
          <w:r>
            <w:fldChar w:fldCharType="separate"/>
          </w:r>
          <w:r>
            <w:rPr>
              <w:rStyle w:val="10"/>
              <w:rFonts w:ascii="Arial" w:hAnsi="Arial" w:cs="Arial"/>
            </w:rPr>
            <w:t>a) Tool Disclosure</w:t>
          </w:r>
          <w:r>
            <w:rPr>
              <w:rFonts w:ascii="Arial" w:hAnsi="Arial" w:cs="Arial"/>
            </w:rPr>
            <w:tab/>
          </w:r>
          <w:r>
            <w:rPr>
              <w:rFonts w:ascii="Arial" w:hAnsi="Arial" w:cs="Arial"/>
            </w:rPr>
            <w:fldChar w:fldCharType="begin"/>
          </w:r>
          <w:r>
            <w:rPr>
              <w:rFonts w:ascii="Arial" w:hAnsi="Arial" w:cs="Arial"/>
            </w:rPr>
            <w:instrText xml:space="preserve"> PAGEREF _Toc235706210 \h </w:instrText>
          </w:r>
          <w:r>
            <w:rPr>
              <w:rFonts w:ascii="Arial" w:hAnsi="Arial" w:cs="Arial"/>
            </w:rPr>
            <w:fldChar w:fldCharType="separate"/>
          </w:r>
          <w:r>
            <w:rPr>
              <w:rFonts w:ascii="Arial" w:hAnsi="Arial" w:cs="Arial"/>
            </w:rPr>
            <w:t>25</w:t>
          </w:r>
          <w:r>
            <w:rPr>
              <w:rFonts w:ascii="Arial" w:hAnsi="Arial" w:cs="Arial"/>
            </w:rPr>
            <w:fldChar w:fldCharType="end"/>
          </w:r>
          <w:r>
            <w:rPr>
              <w:rFonts w:ascii="Arial" w:hAnsi="Arial" w:cs="Arial"/>
            </w:rPr>
            <w:fldChar w:fldCharType="end"/>
          </w:r>
        </w:p>
        <w:p w14:paraId="23594E54">
          <w:pPr>
            <w:pStyle w:val="14"/>
            <w:tabs>
              <w:tab w:val="right" w:leader="dot" w:pos="9350"/>
            </w:tabs>
            <w:spacing w:line="360" w:lineRule="auto"/>
            <w:rPr>
              <w:rFonts w:ascii="Arial" w:hAnsi="Arial" w:cs="Arial" w:eastAsiaTheme="minorEastAsia"/>
              <w:sz w:val="22"/>
              <w:szCs w:val="22"/>
              <w:lang w:val="en-US"/>
            </w:rPr>
          </w:pPr>
          <w:r>
            <w:fldChar w:fldCharType="begin"/>
          </w:r>
          <w:r>
            <w:instrText xml:space="preserve"> HYPERLINK \l "_Toc235706211" </w:instrText>
          </w:r>
          <w:r>
            <w:fldChar w:fldCharType="separate"/>
          </w:r>
          <w:r>
            <w:rPr>
              <w:rStyle w:val="10"/>
              <w:rFonts w:ascii="Arial" w:hAnsi="Arial" w:cs="Arial"/>
            </w:rPr>
            <w:t>b) Critical Evaluation of AI output</w:t>
          </w:r>
          <w:r>
            <w:rPr>
              <w:rFonts w:ascii="Arial" w:hAnsi="Arial" w:cs="Arial"/>
            </w:rPr>
            <w:tab/>
          </w:r>
          <w:r>
            <w:rPr>
              <w:rFonts w:ascii="Arial" w:hAnsi="Arial" w:cs="Arial"/>
            </w:rPr>
            <w:fldChar w:fldCharType="begin"/>
          </w:r>
          <w:r>
            <w:rPr>
              <w:rFonts w:ascii="Arial" w:hAnsi="Arial" w:cs="Arial"/>
            </w:rPr>
            <w:instrText xml:space="preserve"> PAGEREF _Toc235706211 \h </w:instrText>
          </w:r>
          <w:r>
            <w:rPr>
              <w:rFonts w:ascii="Arial" w:hAnsi="Arial" w:cs="Arial"/>
            </w:rPr>
            <w:fldChar w:fldCharType="separate"/>
          </w:r>
          <w:r>
            <w:rPr>
              <w:rFonts w:ascii="Arial" w:hAnsi="Arial" w:cs="Arial"/>
            </w:rPr>
            <w:t>25</w:t>
          </w:r>
          <w:r>
            <w:rPr>
              <w:rFonts w:ascii="Arial" w:hAnsi="Arial" w:cs="Arial"/>
            </w:rPr>
            <w:fldChar w:fldCharType="end"/>
          </w:r>
          <w:r>
            <w:rPr>
              <w:rFonts w:ascii="Arial" w:hAnsi="Arial" w:cs="Arial"/>
            </w:rPr>
            <w:fldChar w:fldCharType="end"/>
          </w:r>
        </w:p>
        <w:p w14:paraId="7AD71ACF">
          <w:pPr>
            <w:pStyle w:val="14"/>
            <w:tabs>
              <w:tab w:val="right" w:leader="dot" w:pos="9350"/>
            </w:tabs>
            <w:spacing w:line="360" w:lineRule="auto"/>
            <w:rPr>
              <w:rFonts w:ascii="Arial" w:hAnsi="Arial" w:cs="Arial" w:eastAsiaTheme="minorEastAsia"/>
              <w:sz w:val="22"/>
              <w:szCs w:val="22"/>
              <w:lang w:val="en-US"/>
            </w:rPr>
          </w:pPr>
          <w:r>
            <w:fldChar w:fldCharType="begin"/>
          </w:r>
          <w:r>
            <w:instrText xml:space="preserve"> HYPERLINK \l "_Toc235706212" </w:instrText>
          </w:r>
          <w:r>
            <w:fldChar w:fldCharType="separate"/>
          </w:r>
          <w:r>
            <w:rPr>
              <w:rStyle w:val="10"/>
              <w:rFonts w:ascii="Arial" w:hAnsi="Arial" w:cs="Arial"/>
            </w:rPr>
            <w:t>c) Contribution Analysis</w:t>
          </w:r>
          <w:r>
            <w:rPr>
              <w:rFonts w:ascii="Arial" w:hAnsi="Arial" w:cs="Arial"/>
            </w:rPr>
            <w:tab/>
          </w:r>
          <w:r>
            <w:rPr>
              <w:rFonts w:ascii="Arial" w:hAnsi="Arial" w:cs="Arial"/>
            </w:rPr>
            <w:fldChar w:fldCharType="begin"/>
          </w:r>
          <w:r>
            <w:rPr>
              <w:rFonts w:ascii="Arial" w:hAnsi="Arial" w:cs="Arial"/>
            </w:rPr>
            <w:instrText xml:space="preserve"> PAGEREF _Toc235706212 \h </w:instrText>
          </w:r>
          <w:r>
            <w:rPr>
              <w:rFonts w:ascii="Arial" w:hAnsi="Arial" w:cs="Arial"/>
            </w:rPr>
            <w:fldChar w:fldCharType="separate"/>
          </w:r>
          <w:r>
            <w:rPr>
              <w:rFonts w:ascii="Arial" w:hAnsi="Arial" w:cs="Arial"/>
            </w:rPr>
            <w:t>26</w:t>
          </w:r>
          <w:r>
            <w:rPr>
              <w:rFonts w:ascii="Arial" w:hAnsi="Arial" w:cs="Arial"/>
            </w:rPr>
            <w:fldChar w:fldCharType="end"/>
          </w:r>
          <w:r>
            <w:rPr>
              <w:rFonts w:ascii="Arial" w:hAnsi="Arial" w:cs="Arial"/>
            </w:rPr>
            <w:fldChar w:fldCharType="end"/>
          </w:r>
        </w:p>
        <w:p w14:paraId="6D42AF93">
          <w:pPr>
            <w:pStyle w:val="14"/>
            <w:tabs>
              <w:tab w:val="right" w:leader="dot" w:pos="9350"/>
            </w:tabs>
            <w:spacing w:line="360" w:lineRule="auto"/>
            <w:rPr>
              <w:rFonts w:ascii="Arial" w:hAnsi="Arial" w:cs="Arial" w:eastAsiaTheme="minorEastAsia"/>
              <w:sz w:val="22"/>
              <w:szCs w:val="22"/>
              <w:lang w:val="en-US"/>
            </w:rPr>
          </w:pPr>
          <w:r>
            <w:fldChar w:fldCharType="begin"/>
          </w:r>
          <w:r>
            <w:instrText xml:space="preserve"> HYPERLINK \l "_Toc235706213" </w:instrText>
          </w:r>
          <w:r>
            <w:fldChar w:fldCharType="separate"/>
          </w:r>
          <w:r>
            <w:rPr>
              <w:rStyle w:val="10"/>
              <w:rFonts w:ascii="Arial" w:hAnsi="Arial" w:cs="Arial"/>
            </w:rPr>
            <w:t>d) Ethical and Professional Reflection</w:t>
          </w:r>
          <w:r>
            <w:rPr>
              <w:rFonts w:ascii="Arial" w:hAnsi="Arial" w:cs="Arial"/>
            </w:rPr>
            <w:tab/>
          </w:r>
          <w:r>
            <w:rPr>
              <w:rFonts w:ascii="Arial" w:hAnsi="Arial" w:cs="Arial"/>
            </w:rPr>
            <w:fldChar w:fldCharType="begin"/>
          </w:r>
          <w:r>
            <w:rPr>
              <w:rFonts w:ascii="Arial" w:hAnsi="Arial" w:cs="Arial"/>
            </w:rPr>
            <w:instrText xml:space="preserve"> PAGEREF _Toc235706213 \h </w:instrText>
          </w:r>
          <w:r>
            <w:rPr>
              <w:rFonts w:ascii="Arial" w:hAnsi="Arial" w:cs="Arial"/>
            </w:rPr>
            <w:fldChar w:fldCharType="separate"/>
          </w:r>
          <w:r>
            <w:rPr>
              <w:rFonts w:ascii="Arial" w:hAnsi="Arial" w:cs="Arial"/>
            </w:rPr>
            <w:t>26</w:t>
          </w:r>
          <w:r>
            <w:rPr>
              <w:rFonts w:ascii="Arial" w:hAnsi="Arial" w:cs="Arial"/>
            </w:rPr>
            <w:fldChar w:fldCharType="end"/>
          </w:r>
          <w:r>
            <w:rPr>
              <w:rFonts w:ascii="Arial" w:hAnsi="Arial" w:cs="Arial"/>
            </w:rPr>
            <w:fldChar w:fldCharType="end"/>
          </w:r>
        </w:p>
        <w:p w14:paraId="01BCC7F1">
          <w:pPr>
            <w:pStyle w:val="13"/>
            <w:tabs>
              <w:tab w:val="right" w:leader="dot" w:pos="9350"/>
            </w:tabs>
            <w:spacing w:line="360" w:lineRule="auto"/>
            <w:rPr>
              <w:rFonts w:ascii="Arial" w:hAnsi="Arial" w:cs="Arial" w:eastAsiaTheme="minorEastAsia"/>
              <w:sz w:val="22"/>
              <w:szCs w:val="22"/>
              <w:lang w:val="en-US"/>
            </w:rPr>
          </w:pPr>
          <w:r>
            <w:fldChar w:fldCharType="begin"/>
          </w:r>
          <w:r>
            <w:instrText xml:space="preserve"> HYPERLINK \l "_Toc235706214" </w:instrText>
          </w:r>
          <w:r>
            <w:fldChar w:fldCharType="separate"/>
          </w:r>
          <w:r>
            <w:rPr>
              <w:rStyle w:val="10"/>
              <w:rFonts w:ascii="Arial" w:hAnsi="Arial" w:cs="Arial"/>
            </w:rPr>
            <w:t>6. Conclusion</w:t>
          </w:r>
          <w:r>
            <w:rPr>
              <w:rFonts w:ascii="Arial" w:hAnsi="Arial" w:cs="Arial"/>
            </w:rPr>
            <w:tab/>
          </w:r>
          <w:r>
            <w:rPr>
              <w:rFonts w:ascii="Arial" w:hAnsi="Arial" w:cs="Arial"/>
            </w:rPr>
            <w:fldChar w:fldCharType="begin"/>
          </w:r>
          <w:r>
            <w:rPr>
              <w:rFonts w:ascii="Arial" w:hAnsi="Arial" w:cs="Arial"/>
            </w:rPr>
            <w:instrText xml:space="preserve"> PAGEREF _Toc235706214 \h </w:instrText>
          </w:r>
          <w:r>
            <w:rPr>
              <w:rFonts w:ascii="Arial" w:hAnsi="Arial" w:cs="Arial"/>
            </w:rPr>
            <w:fldChar w:fldCharType="separate"/>
          </w:r>
          <w:r>
            <w:rPr>
              <w:rFonts w:ascii="Arial" w:hAnsi="Arial" w:cs="Arial"/>
            </w:rPr>
            <w:t>26</w:t>
          </w:r>
          <w:r>
            <w:rPr>
              <w:rFonts w:ascii="Arial" w:hAnsi="Arial" w:cs="Arial"/>
            </w:rPr>
            <w:fldChar w:fldCharType="end"/>
          </w:r>
          <w:r>
            <w:rPr>
              <w:rFonts w:ascii="Arial" w:hAnsi="Arial" w:cs="Arial"/>
            </w:rPr>
            <w:fldChar w:fldCharType="end"/>
          </w:r>
        </w:p>
        <w:p w14:paraId="6FC74030">
          <w:pPr>
            <w:pStyle w:val="13"/>
            <w:tabs>
              <w:tab w:val="right" w:leader="dot" w:pos="9350"/>
            </w:tabs>
            <w:spacing w:line="360" w:lineRule="auto"/>
            <w:rPr>
              <w:rFonts w:ascii="Arial" w:hAnsi="Arial" w:cs="Arial" w:eastAsiaTheme="minorEastAsia"/>
              <w:sz w:val="22"/>
              <w:szCs w:val="22"/>
              <w:lang w:val="en-US"/>
            </w:rPr>
          </w:pPr>
          <w:r>
            <w:fldChar w:fldCharType="begin"/>
          </w:r>
          <w:r>
            <w:instrText xml:space="preserve"> HYPERLINK \l "_Toc235706215" </w:instrText>
          </w:r>
          <w:r>
            <w:fldChar w:fldCharType="separate"/>
          </w:r>
          <w:r>
            <w:rPr>
              <w:rStyle w:val="10"/>
              <w:rFonts w:ascii="Arial" w:hAnsi="Arial" w:cs="Arial"/>
            </w:rPr>
            <w:t>References</w:t>
          </w:r>
          <w:r>
            <w:rPr>
              <w:rFonts w:ascii="Arial" w:hAnsi="Arial" w:cs="Arial"/>
            </w:rPr>
            <w:tab/>
          </w:r>
          <w:r>
            <w:rPr>
              <w:rFonts w:ascii="Arial" w:hAnsi="Arial" w:cs="Arial"/>
            </w:rPr>
            <w:fldChar w:fldCharType="begin"/>
          </w:r>
          <w:r>
            <w:rPr>
              <w:rFonts w:ascii="Arial" w:hAnsi="Arial" w:cs="Arial"/>
            </w:rPr>
            <w:instrText xml:space="preserve"> PAGEREF _Toc235706215 \h </w:instrText>
          </w:r>
          <w:r>
            <w:rPr>
              <w:rFonts w:ascii="Arial" w:hAnsi="Arial" w:cs="Arial"/>
            </w:rPr>
            <w:fldChar w:fldCharType="separate"/>
          </w:r>
          <w:r>
            <w:rPr>
              <w:rFonts w:ascii="Arial" w:hAnsi="Arial" w:cs="Arial"/>
            </w:rPr>
            <w:t>27</w:t>
          </w:r>
          <w:r>
            <w:rPr>
              <w:rFonts w:ascii="Arial" w:hAnsi="Arial" w:cs="Arial"/>
            </w:rPr>
            <w:fldChar w:fldCharType="end"/>
          </w:r>
          <w:r>
            <w:rPr>
              <w:rFonts w:ascii="Arial" w:hAnsi="Arial" w:cs="Arial"/>
            </w:rPr>
            <w:fldChar w:fldCharType="end"/>
          </w:r>
        </w:p>
        <w:p w14:paraId="153E4144">
          <w:pPr>
            <w:pStyle w:val="13"/>
            <w:tabs>
              <w:tab w:val="right" w:leader="dot" w:pos="9350"/>
            </w:tabs>
            <w:spacing w:line="360" w:lineRule="auto"/>
            <w:rPr>
              <w:rFonts w:ascii="Arial" w:hAnsi="Arial" w:cs="Arial" w:eastAsiaTheme="minorEastAsia"/>
              <w:sz w:val="22"/>
              <w:szCs w:val="22"/>
              <w:lang w:val="en-US"/>
            </w:rPr>
          </w:pPr>
          <w:r>
            <w:fldChar w:fldCharType="begin"/>
          </w:r>
          <w:r>
            <w:instrText xml:space="preserve"> HYPERLINK \l "_Toc235706216" </w:instrText>
          </w:r>
          <w:r>
            <w:fldChar w:fldCharType="separate"/>
          </w:r>
          <w:r>
            <w:rPr>
              <w:rStyle w:val="10"/>
              <w:rFonts w:ascii="Arial" w:hAnsi="Arial" w:cs="Arial"/>
            </w:rPr>
            <w:t>Appendix</w:t>
          </w:r>
          <w:r>
            <w:rPr>
              <w:rFonts w:ascii="Arial" w:hAnsi="Arial" w:cs="Arial"/>
            </w:rPr>
            <w:tab/>
          </w:r>
          <w:r>
            <w:rPr>
              <w:rFonts w:ascii="Arial" w:hAnsi="Arial" w:cs="Arial"/>
            </w:rPr>
            <w:fldChar w:fldCharType="begin"/>
          </w:r>
          <w:r>
            <w:rPr>
              <w:rFonts w:ascii="Arial" w:hAnsi="Arial" w:cs="Arial"/>
            </w:rPr>
            <w:instrText xml:space="preserve"> PAGEREF _Toc235706216 \h </w:instrText>
          </w:r>
          <w:r>
            <w:rPr>
              <w:rFonts w:ascii="Arial" w:hAnsi="Arial" w:cs="Arial"/>
            </w:rPr>
            <w:fldChar w:fldCharType="separate"/>
          </w:r>
          <w:r>
            <w:rPr>
              <w:rFonts w:ascii="Arial" w:hAnsi="Arial" w:cs="Arial"/>
            </w:rPr>
            <w:t>31</w:t>
          </w:r>
          <w:r>
            <w:rPr>
              <w:rFonts w:ascii="Arial" w:hAnsi="Arial" w:cs="Arial"/>
            </w:rPr>
            <w:fldChar w:fldCharType="end"/>
          </w:r>
          <w:r>
            <w:rPr>
              <w:rFonts w:ascii="Arial" w:hAnsi="Arial" w:cs="Arial"/>
            </w:rPr>
            <w:fldChar w:fldCharType="end"/>
          </w:r>
        </w:p>
        <w:p w14:paraId="557D316C">
          <w:pPr>
            <w:spacing w:line="360" w:lineRule="auto"/>
            <w:rPr>
              <w:rFonts w:ascii="Arial" w:hAnsi="Arial" w:cs="Arial"/>
            </w:rPr>
          </w:pPr>
          <w:r>
            <w:rPr>
              <w:rFonts w:ascii="Arial" w:hAnsi="Arial" w:cs="Arial"/>
            </w:rPr>
            <w:fldChar w:fldCharType="end"/>
          </w:r>
        </w:p>
      </w:sdtContent>
    </w:sdt>
    <w:p w14:paraId="24635C1A">
      <w:pPr>
        <w:spacing w:line="360" w:lineRule="auto"/>
        <w:rPr>
          <w:rFonts w:ascii="Arial" w:hAnsi="Arial" w:cs="Arial"/>
          <w:b/>
          <w:bCs/>
          <w:sz w:val="28"/>
          <w:szCs w:val="28"/>
        </w:rPr>
      </w:pPr>
      <w:bookmarkStart w:id="11" w:name="_heading=h.1bst5lllyjzi" w:colFirst="0" w:colLast="0"/>
      <w:bookmarkEnd w:id="11"/>
      <w:r>
        <w:rPr>
          <w:rFonts w:ascii="Arial" w:hAnsi="Arial" w:cs="Arial"/>
        </w:rPr>
        <w:br w:type="page"/>
      </w:r>
    </w:p>
    <w:p w14:paraId="3DECDFD0">
      <w:pPr>
        <w:pStyle w:val="2"/>
        <w:spacing w:line="360" w:lineRule="auto"/>
        <w:rPr>
          <w:rFonts w:ascii="Arial" w:hAnsi="Arial" w:cs="Arial"/>
        </w:rPr>
      </w:pPr>
      <w:bookmarkStart w:id="12" w:name="_Toc235706190"/>
      <w:r>
        <w:rPr>
          <w:rFonts w:ascii="Arial" w:hAnsi="Arial" w:cs="Arial"/>
        </w:rPr>
        <w:t>1. Financial Health Check</w:t>
      </w:r>
      <w:bookmarkEnd w:id="12"/>
    </w:p>
    <w:p w14:paraId="65D1141A">
      <w:pPr>
        <w:pStyle w:val="3"/>
        <w:spacing w:line="360" w:lineRule="auto"/>
        <w:rPr>
          <w:rFonts w:ascii="Arial" w:hAnsi="Arial" w:cs="Arial"/>
        </w:rPr>
      </w:pPr>
      <w:bookmarkStart w:id="13" w:name="_Toc235706191"/>
      <w:r>
        <w:rPr>
          <w:rFonts w:ascii="Arial" w:hAnsi="Arial" w:cs="Arial"/>
        </w:rPr>
        <w:t>a) Analysis of Financial Statements</w:t>
      </w:r>
      <w:bookmarkEnd w:id="13"/>
    </w:p>
    <w:p w14:paraId="780F838E">
      <w:pPr>
        <w:spacing w:line="360" w:lineRule="auto"/>
        <w:rPr>
          <w:rFonts w:ascii="Arial" w:hAnsi="Arial" w:cs="Arial"/>
        </w:rPr>
      </w:pPr>
      <w:r>
        <w:rPr>
          <w:rFonts w:ascii="Arial" w:hAnsi="Arial" w:cs="Arial"/>
        </w:rPr>
        <w:t>Overall revenue shows strong recovery from the impact of the pandemic, rising sharply from £1,703.4m in FY2021/22 to £2,959.9m in FY2023/24, supporting increases in occupancies and customer numbers. Revenue had a slightly negative start, though, in FY2024/25 with a reduction to £2,921.9 million and a slight increase to £2,920.2 million in FY2025/26.</w:t>
      </w:r>
    </w:p>
    <w:p w14:paraId="73B7E23B">
      <w:pPr>
        <w:spacing w:line="360" w:lineRule="auto"/>
        <w:jc w:val="center"/>
        <w:rPr>
          <w:rFonts w:ascii="Arial" w:hAnsi="Arial" w:cs="Arial"/>
        </w:rPr>
      </w:pPr>
      <w:r>
        <w:rPr>
          <w:rFonts w:ascii="Arial" w:hAnsi="Arial" w:cs="Arial"/>
          <w:lang w:val="en-US"/>
        </w:rPr>
        <w:drawing>
          <wp:inline distT="114300" distB="114300" distL="114300" distR="114300">
            <wp:extent cx="5424170" cy="2546985"/>
            <wp:effectExtent l="0" t="0" r="0" b="0"/>
            <wp:docPr id="3" name="image10.png"/>
            <wp:cNvGraphicFramePr/>
            <a:graphic xmlns:a="http://schemas.openxmlformats.org/drawingml/2006/main">
              <a:graphicData uri="http://schemas.openxmlformats.org/drawingml/2006/picture">
                <pic:pic xmlns:pic="http://schemas.openxmlformats.org/drawingml/2006/picture">
                  <pic:nvPicPr>
                    <pic:cNvPr id="3" name="image10.png"/>
                    <pic:cNvPicPr preferRelativeResize="0"/>
                  </pic:nvPicPr>
                  <pic:blipFill>
                    <a:blip r:embed="rId8"/>
                    <a:srcRect/>
                    <a:stretch>
                      <a:fillRect/>
                    </a:stretch>
                  </pic:blipFill>
                  <pic:spPr>
                    <a:xfrm>
                      <a:off x="0" y="0"/>
                      <a:ext cx="5424488" cy="2547075"/>
                    </a:xfrm>
                    <a:prstGeom prst="rect">
                      <a:avLst/>
                    </a:prstGeom>
                  </pic:spPr>
                </pic:pic>
              </a:graphicData>
            </a:graphic>
          </wp:inline>
        </w:drawing>
      </w:r>
    </w:p>
    <w:p w14:paraId="3D1BC080">
      <w:pPr>
        <w:spacing w:line="360" w:lineRule="auto"/>
        <w:jc w:val="center"/>
        <w:rPr>
          <w:rFonts w:ascii="Arial" w:hAnsi="Arial" w:cs="Arial"/>
          <w:b/>
          <w:bCs/>
        </w:rPr>
      </w:pPr>
      <w:r>
        <w:rPr>
          <w:rFonts w:ascii="Arial" w:hAnsi="Arial" w:cs="Arial"/>
          <w:b/>
          <w:bCs/>
        </w:rPr>
        <w:t>Figure 1: Revenue trend year-wise</w:t>
      </w:r>
    </w:p>
    <w:p w14:paraId="53F044B2">
      <w:pPr>
        <w:spacing w:line="360" w:lineRule="auto"/>
        <w:jc w:val="center"/>
        <w:rPr>
          <w:rFonts w:ascii="Arial" w:hAnsi="Arial" w:cs="Arial"/>
        </w:rPr>
      </w:pPr>
      <w:r>
        <w:rPr>
          <w:rFonts w:ascii="Arial" w:hAnsi="Arial" w:cs="Arial"/>
        </w:rPr>
        <w:t>(Source: Whitbread PLC, Annual Report and Accounts 2021/22, 2022/23, 2023/24, 2024/25, 2025/26)</w:t>
      </w:r>
    </w:p>
    <w:p w14:paraId="06820F70">
      <w:pPr>
        <w:spacing w:line="36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The revenue growth slowdown from FY2023/24 indicates that Whitbread is moving into the later stages of revenue growth: future revenue growth will increasingly be driven by delivering greater value to customers, negotiating more discounted rates and operational efficiencies. The management must focus on sustainable income generation, not just recovery, from the market.</w:t>
      </w:r>
    </w:p>
    <w:p w14:paraId="1E183D85">
      <w:pPr>
        <w:spacing w:line="360" w:lineRule="auto"/>
        <w:jc w:val="center"/>
        <w:rPr>
          <w:rFonts w:ascii="Arial" w:hAnsi="Arial" w:cs="Arial"/>
          <w:b/>
          <w:bCs/>
        </w:rPr>
      </w:pPr>
      <w:r>
        <w:rPr>
          <w:rFonts w:ascii="Arial" w:hAnsi="Arial" w:cs="Arial"/>
          <w:b/>
          <w:bCs/>
          <w:lang w:val="en-US"/>
        </w:rPr>
        <w:drawing>
          <wp:inline distT="114300" distB="114300" distL="114300" distR="114300">
            <wp:extent cx="5186045" cy="3000375"/>
            <wp:effectExtent l="12700" t="12700" r="12700" b="12700"/>
            <wp:docPr id="2" name="image7.png"/>
            <wp:cNvGraphicFramePr/>
            <a:graphic xmlns:a="http://schemas.openxmlformats.org/drawingml/2006/main">
              <a:graphicData uri="http://schemas.openxmlformats.org/drawingml/2006/picture">
                <pic:pic xmlns:pic="http://schemas.openxmlformats.org/drawingml/2006/picture">
                  <pic:nvPicPr>
                    <pic:cNvPr id="2" name="image7.png"/>
                    <pic:cNvPicPr preferRelativeResize="0"/>
                  </pic:nvPicPr>
                  <pic:blipFill>
                    <a:blip r:embed="rId9"/>
                    <a:srcRect/>
                    <a:stretch>
                      <a:fillRect/>
                    </a:stretch>
                  </pic:blipFill>
                  <pic:spPr>
                    <a:xfrm>
                      <a:off x="0" y="0"/>
                      <a:ext cx="5186363" cy="3000444"/>
                    </a:xfrm>
                    <a:prstGeom prst="rect">
                      <a:avLst/>
                    </a:prstGeom>
                    <a:ln w="12700">
                      <a:solidFill>
                        <a:srgbClr val="000000"/>
                      </a:solidFill>
                      <a:prstDash val="solid"/>
                    </a:ln>
                  </pic:spPr>
                </pic:pic>
              </a:graphicData>
            </a:graphic>
          </wp:inline>
        </w:drawing>
      </w:r>
    </w:p>
    <w:p w14:paraId="0465DCFD">
      <w:pPr>
        <w:spacing w:line="360" w:lineRule="auto"/>
        <w:jc w:val="center"/>
        <w:rPr>
          <w:rFonts w:ascii="Arial" w:hAnsi="Arial" w:cs="Arial"/>
          <w:b/>
          <w:bCs/>
        </w:rPr>
      </w:pPr>
      <w:r>
        <w:rPr>
          <w:rFonts w:ascii="Arial" w:hAnsi="Arial" w:cs="Arial"/>
          <w:b/>
          <w:bCs/>
        </w:rPr>
        <w:t>Figure 2: Operating profit trend</w:t>
      </w:r>
    </w:p>
    <w:p w14:paraId="255088E5">
      <w:pPr>
        <w:spacing w:line="360" w:lineRule="auto"/>
        <w:jc w:val="center"/>
        <w:rPr>
          <w:rFonts w:ascii="Arial" w:hAnsi="Arial" w:cs="Arial"/>
        </w:rPr>
      </w:pPr>
      <w:r>
        <w:rPr>
          <w:rFonts w:ascii="Arial" w:hAnsi="Arial" w:cs="Arial"/>
        </w:rPr>
        <w:t>(Source: Whitbread PLC, Annual Report and Accounts 2021/22, 2022/23, 2023/24, 2024/25, 2025/26)</w:t>
      </w:r>
    </w:p>
    <w:p w14:paraId="11ACBED0">
      <w:pPr>
        <w:spacing w:line="36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The operating profit trend has seen a significant improvement from £227.3 million in FY2021/22 to a record £564.8 million in FY2023/24, due to which Euro NCAP industry team members feel the company is exhibiting strong operational recovery through higher occupancy and cost efficiency down from the pandemic. Operating profit declined despite relatively stable revenue, which shows rising operating cost pressures and decreasing operating margins. From a strategic point of view, the challenges Whitbread faces to ensure the company's profitability are: reinforce cost optimisation, increase productivity, and optimise the operation. Otherwise, inadequate management of operating costs can limit the financial capacity and the ability to invest in the future.</w:t>
      </w:r>
    </w:p>
    <w:p w14:paraId="2DD848F0">
      <w:pPr>
        <w:spacing w:line="360" w:lineRule="auto"/>
        <w:jc w:val="center"/>
        <w:rPr>
          <w:rFonts w:ascii="Arial" w:hAnsi="Arial" w:cs="Arial"/>
          <w:b/>
          <w:bCs/>
        </w:rPr>
      </w:pPr>
      <w:r>
        <w:rPr>
          <w:rFonts w:ascii="Arial" w:hAnsi="Arial" w:cs="Arial"/>
          <w:b/>
          <w:bCs/>
          <w:lang w:val="en-US"/>
        </w:rPr>
        <w:drawing>
          <wp:inline distT="114300" distB="114300" distL="114300" distR="114300">
            <wp:extent cx="5414645" cy="2472690"/>
            <wp:effectExtent l="0" t="0" r="0" b="0"/>
            <wp:docPr id="5" name="image13.png"/>
            <wp:cNvGraphicFramePr/>
            <a:graphic xmlns:a="http://schemas.openxmlformats.org/drawingml/2006/main">
              <a:graphicData uri="http://schemas.openxmlformats.org/drawingml/2006/picture">
                <pic:pic xmlns:pic="http://schemas.openxmlformats.org/drawingml/2006/picture">
                  <pic:nvPicPr>
                    <pic:cNvPr id="5" name="image13.png"/>
                    <pic:cNvPicPr preferRelativeResize="0"/>
                  </pic:nvPicPr>
                  <pic:blipFill>
                    <a:blip r:embed="rId10"/>
                    <a:srcRect/>
                    <a:stretch>
                      <a:fillRect/>
                    </a:stretch>
                  </pic:blipFill>
                  <pic:spPr>
                    <a:xfrm>
                      <a:off x="0" y="0"/>
                      <a:ext cx="5414963" cy="2473180"/>
                    </a:xfrm>
                    <a:prstGeom prst="rect">
                      <a:avLst/>
                    </a:prstGeom>
                  </pic:spPr>
                </pic:pic>
              </a:graphicData>
            </a:graphic>
          </wp:inline>
        </w:drawing>
      </w:r>
    </w:p>
    <w:p w14:paraId="577EA0C9">
      <w:pPr>
        <w:spacing w:line="360" w:lineRule="auto"/>
        <w:jc w:val="center"/>
        <w:rPr>
          <w:rFonts w:ascii="Arial" w:hAnsi="Arial" w:cs="Arial"/>
          <w:b/>
          <w:bCs/>
        </w:rPr>
      </w:pPr>
      <w:r>
        <w:rPr>
          <w:rFonts w:ascii="Arial" w:hAnsi="Arial" w:cs="Arial"/>
          <w:b/>
          <w:bCs/>
        </w:rPr>
        <w:t xml:space="preserve">Figure 3: Profit before tax trend </w:t>
      </w:r>
    </w:p>
    <w:p w14:paraId="21BB6E51">
      <w:pPr>
        <w:spacing w:line="360" w:lineRule="auto"/>
        <w:jc w:val="center"/>
        <w:rPr>
          <w:rFonts w:ascii="Arial" w:hAnsi="Arial" w:cs="Arial"/>
        </w:rPr>
      </w:pPr>
      <w:r>
        <w:rPr>
          <w:rFonts w:ascii="Arial" w:hAnsi="Arial" w:cs="Arial"/>
        </w:rPr>
        <w:t>(Source: Whitbread PLC, Annual Report and Accounts 2021/22, 2022/23, 2023/24, 2024/25, 2025/26)</w:t>
      </w:r>
    </w:p>
    <w:p w14:paraId="2B43437E">
      <w:pPr>
        <w:spacing w:line="360" w:lineRule="auto"/>
        <w:rPr>
          <w:rFonts w:ascii="Arial" w:hAnsi="Arial" w:cs="Arial"/>
          <w:color w:val="000000" w:themeColor="text1"/>
          <w14:textFill>
            <w14:solidFill>
              <w14:schemeClr w14:val="tx1"/>
            </w14:solidFill>
          </w14:textFill>
        </w:rPr>
      </w:pPr>
      <w:r>
        <w:rPr>
          <w:rFonts w:ascii="Arial" w:hAnsi="Arial" w:cs="Arial"/>
        </w:rPr>
        <w:t>Profit before tax stood at £58.2 million during FY2021/22, having improved significantly, compared to £451.7 million in FY2023/24, which indicated strong financial recovery with revenue up and operational performance up. Nevertheless, it declined to £367.8 million in FY2024/25 and further to £298.4 mi</w:t>
      </w:r>
      <w:r>
        <w:rPr>
          <w:rFonts w:ascii="Arial" w:hAnsi="Arial" w:cs="Arial"/>
          <w:color w:val="000000" w:themeColor="text1"/>
          <w14:textFill>
            <w14:solidFill>
              <w14:schemeClr w14:val="tx1"/>
            </w14:solidFill>
          </w14:textFill>
        </w:rPr>
        <w:t>llion in FY2025/26. A decrease in pre-tax profit in the closing two years indicates that the overall financial situation has worsened by increased financing costs and operating expenses. This may potentially leave Whitbread needing to rely more heavily on external sources for the capital to carry out strategic growth, which could lead to a rise in financial risk.</w:t>
      </w:r>
    </w:p>
    <w:p w14:paraId="57F35456">
      <w:pPr>
        <w:spacing w:line="360" w:lineRule="auto"/>
        <w:jc w:val="center"/>
        <w:rPr>
          <w:rFonts w:ascii="Arial" w:hAnsi="Arial" w:cs="Arial"/>
          <w:b/>
          <w:bCs/>
        </w:rPr>
      </w:pPr>
      <w:r>
        <w:rPr>
          <w:rFonts w:ascii="Arial" w:hAnsi="Arial" w:cs="Arial"/>
          <w:b/>
          <w:bCs/>
          <w:lang w:val="en-US"/>
        </w:rPr>
        <w:drawing>
          <wp:inline distT="114300" distB="114300" distL="114300" distR="114300">
            <wp:extent cx="5338445" cy="2985770"/>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4" name="image3.png"/>
                    <pic:cNvPicPr preferRelativeResize="0"/>
                  </pic:nvPicPr>
                  <pic:blipFill>
                    <a:blip r:embed="rId11"/>
                    <a:srcRect/>
                    <a:stretch>
                      <a:fillRect/>
                    </a:stretch>
                  </pic:blipFill>
                  <pic:spPr>
                    <a:xfrm>
                      <a:off x="0" y="0"/>
                      <a:ext cx="5338763" cy="2985942"/>
                    </a:xfrm>
                    <a:prstGeom prst="rect">
                      <a:avLst/>
                    </a:prstGeom>
                  </pic:spPr>
                </pic:pic>
              </a:graphicData>
            </a:graphic>
          </wp:inline>
        </w:drawing>
      </w:r>
    </w:p>
    <w:p w14:paraId="23FC96F8">
      <w:pPr>
        <w:spacing w:line="360" w:lineRule="auto"/>
        <w:jc w:val="center"/>
        <w:rPr>
          <w:rFonts w:ascii="Arial" w:hAnsi="Arial" w:cs="Arial"/>
          <w:b/>
          <w:bCs/>
        </w:rPr>
      </w:pPr>
      <w:r>
        <w:rPr>
          <w:rFonts w:ascii="Arial" w:hAnsi="Arial" w:cs="Arial"/>
          <w:b/>
          <w:bCs/>
        </w:rPr>
        <w:t>Figure 4: Profit after tax trend</w:t>
      </w:r>
    </w:p>
    <w:p w14:paraId="667A336D">
      <w:pPr>
        <w:spacing w:line="360" w:lineRule="auto"/>
        <w:jc w:val="center"/>
        <w:rPr>
          <w:rFonts w:ascii="Arial" w:hAnsi="Arial" w:cs="Arial"/>
        </w:rPr>
      </w:pPr>
      <w:r>
        <w:rPr>
          <w:rFonts w:ascii="Arial" w:hAnsi="Arial" w:cs="Arial"/>
        </w:rPr>
        <w:t>(Source: Whitbread PLC, Annual Report and Accounts 2021/22, 2022/23, 2023/24, 2024/25, 2025/26)</w:t>
      </w:r>
    </w:p>
    <w:p w14:paraId="63B5978C">
      <w:pPr>
        <w:spacing w:line="360" w:lineRule="auto"/>
        <w:rPr>
          <w:rFonts w:ascii="Arial" w:hAnsi="Arial" w:cs="Arial"/>
          <w:color w:val="000000" w:themeColor="text1"/>
          <w14:textFill>
            <w14:solidFill>
              <w14:schemeClr w14:val="tx1"/>
            </w14:solidFill>
          </w14:textFill>
        </w:rPr>
      </w:pPr>
      <w:r>
        <w:rPr>
          <w:rFonts w:ascii="Arial" w:hAnsi="Arial" w:cs="Arial"/>
        </w:rPr>
        <w:t>The increase in PAT from 2021/22, where it was £42.5 million, to FY2023/24 at £312.1 million, was significant due to the revenue growth and optimisation of operating performance. In FY2024/25, however, the net earnings fell to a loss of £253.7 million and again to a loss of £212.9 million in FY2025/26, through increases in finance costs and inflationary pressures, and due to higher operating co</w:t>
      </w:r>
      <w:r>
        <w:rPr>
          <w:rFonts w:ascii="Arial" w:hAnsi="Arial" w:cs="Arial"/>
          <w:color w:val="000000" w:themeColor="text1"/>
          <w14:textFill>
            <w14:solidFill>
              <w14:schemeClr w14:val="tx1"/>
            </w14:solidFill>
          </w14:textFill>
        </w:rPr>
        <w:t>sts. Profit after tax is still declining, which can have a negative impact on shareholder returns, retained earnings and future dividend ability. Whilst the company is profitable, it will need better cost management and more productive use of resources and more disciplined use of capital to ensure long-term earnings growth and investor confidence to allow for the sustainable development of the business.</w:t>
      </w:r>
    </w:p>
    <w:p w14:paraId="06456D7B">
      <w:pPr>
        <w:spacing w:line="360" w:lineRule="auto"/>
        <w:rPr>
          <w:rFonts w:ascii="Arial" w:hAnsi="Arial" w:cs="Arial"/>
        </w:rPr>
      </w:pPr>
    </w:p>
    <w:p w14:paraId="010D7A2E">
      <w:pPr>
        <w:pStyle w:val="3"/>
        <w:spacing w:line="360" w:lineRule="auto"/>
        <w:rPr>
          <w:rFonts w:ascii="Arial" w:hAnsi="Arial" w:cs="Arial"/>
        </w:rPr>
      </w:pPr>
      <w:bookmarkStart w:id="14" w:name="_Toc235706192"/>
      <w:r>
        <w:rPr>
          <w:rFonts w:ascii="Arial" w:hAnsi="Arial" w:cs="Arial"/>
        </w:rPr>
        <w:t>b) Comprehensive Ratio Analysis</w:t>
      </w:r>
      <w:bookmarkEnd w:id="14"/>
    </w:p>
    <w:p w14:paraId="01F3DB13">
      <w:pPr>
        <w:spacing w:line="360" w:lineRule="auto"/>
        <w:jc w:val="center"/>
        <w:rPr>
          <w:rFonts w:ascii="Arial" w:hAnsi="Arial" w:cs="Arial"/>
          <w:b/>
          <w:bCs/>
        </w:rPr>
      </w:pPr>
      <w:r>
        <w:rPr>
          <w:rFonts w:ascii="Arial" w:hAnsi="Arial" w:cs="Arial"/>
          <w:lang w:val="en-US"/>
        </w:rPr>
        <w:drawing>
          <wp:inline distT="114300" distB="114300" distL="114300" distR="114300">
            <wp:extent cx="2614295" cy="2693035"/>
            <wp:effectExtent l="12700" t="12700" r="12700" b="12700"/>
            <wp:docPr id="7" name="image11.png"/>
            <wp:cNvGraphicFramePr/>
            <a:graphic xmlns:a="http://schemas.openxmlformats.org/drawingml/2006/main">
              <a:graphicData uri="http://schemas.openxmlformats.org/drawingml/2006/picture">
                <pic:pic xmlns:pic="http://schemas.openxmlformats.org/drawingml/2006/picture">
                  <pic:nvPicPr>
                    <pic:cNvPr id="7" name="image11.png"/>
                    <pic:cNvPicPr preferRelativeResize="0"/>
                  </pic:nvPicPr>
                  <pic:blipFill>
                    <a:blip r:embed="rId12"/>
                    <a:srcRect/>
                    <a:stretch>
                      <a:fillRect/>
                    </a:stretch>
                  </pic:blipFill>
                  <pic:spPr>
                    <a:xfrm>
                      <a:off x="0" y="0"/>
                      <a:ext cx="2614613" cy="2693366"/>
                    </a:xfrm>
                    <a:prstGeom prst="rect">
                      <a:avLst/>
                    </a:prstGeom>
                    <a:ln w="12700">
                      <a:solidFill>
                        <a:srgbClr val="000000"/>
                      </a:solidFill>
                      <a:prstDash val="solid"/>
                    </a:ln>
                  </pic:spPr>
                </pic:pic>
              </a:graphicData>
            </a:graphic>
          </wp:inline>
        </w:drawing>
      </w:r>
    </w:p>
    <w:p w14:paraId="31C88288">
      <w:pPr>
        <w:spacing w:line="360" w:lineRule="auto"/>
        <w:jc w:val="center"/>
        <w:rPr>
          <w:rFonts w:ascii="Arial" w:hAnsi="Arial" w:cs="Arial"/>
          <w:b/>
          <w:bCs/>
        </w:rPr>
      </w:pPr>
      <w:r>
        <w:rPr>
          <w:rFonts w:ascii="Arial" w:hAnsi="Arial" w:cs="Arial"/>
          <w:b/>
          <w:bCs/>
        </w:rPr>
        <w:t>Figure 5: Result of Profitability ratio</w:t>
      </w:r>
    </w:p>
    <w:p w14:paraId="5F508005">
      <w:pPr>
        <w:spacing w:line="360" w:lineRule="auto"/>
        <w:jc w:val="center"/>
        <w:rPr>
          <w:rFonts w:ascii="Arial" w:hAnsi="Arial" w:cs="Arial"/>
        </w:rPr>
      </w:pPr>
      <w:r>
        <w:rPr>
          <w:rFonts w:ascii="Arial" w:hAnsi="Arial" w:cs="Arial"/>
        </w:rPr>
        <w:t>(Source: Whitbread PLC, Annual Report and Accounts 2021/22, 2022/23, 2023/24, 2024/25, 2025/26)</w:t>
      </w:r>
    </w:p>
    <w:p w14:paraId="0095FAA6">
      <w:pPr>
        <w:spacing w:line="360" w:lineRule="auto"/>
        <w:rPr>
          <w:rFonts w:ascii="Arial" w:hAnsi="Arial" w:cs="Arial"/>
          <w:color w:val="000000" w:themeColor="text1"/>
          <w14:textFill>
            <w14:solidFill>
              <w14:schemeClr w14:val="tx1"/>
            </w14:solidFill>
          </w14:textFill>
        </w:rPr>
      </w:pPr>
      <w:r>
        <w:rPr>
          <w:rFonts w:ascii="Arial" w:hAnsi="Arial" w:cs="Arial"/>
        </w:rPr>
        <w:t xml:space="preserve">Profit margin, ROA, ROE and net profit margin all improved markedly during the period FY2021/22 to FY2023/24 that is, thereby heightening the profitability of Whitbread during this period. None of the profitability measures posted a decline, however, in FY2024/25 and FY2025/26, driven by a mixture of increasing operating costs and inflation, whilst revenue growth more or less levelled </w:t>
      </w:r>
      <w:r>
        <w:rPr>
          <w:rFonts w:ascii="Arial" w:hAnsi="Arial" w:cs="Arial"/>
          <w:color w:val="000000" w:themeColor="text1"/>
          <w14:textFill>
            <w14:solidFill>
              <w14:schemeClr w14:val="tx1"/>
            </w14:solidFill>
          </w14:textFill>
        </w:rPr>
        <w:t>off. Although Whitbread is still profitable, the fall in profitability measures in the last 2 years indicates that revenue growth alone is not enough to maintain the level of profitability. Pricing optimisation, Cost Efficiency, and improving productivity need to be the primary focus of management to regain healthy margins, boost stakeholder value, and build a healthy EWFP for future strategic investments.</w:t>
      </w:r>
    </w:p>
    <w:p w14:paraId="58819740">
      <w:pPr>
        <w:spacing w:line="360" w:lineRule="auto"/>
        <w:jc w:val="center"/>
        <w:rPr>
          <w:rFonts w:ascii="Arial" w:hAnsi="Arial" w:cs="Arial"/>
          <w:b/>
          <w:bCs/>
        </w:rPr>
      </w:pPr>
      <w:r>
        <w:rPr>
          <w:rFonts w:ascii="Arial" w:hAnsi="Arial" w:cs="Arial"/>
          <w:b/>
          <w:bCs/>
          <w:lang w:val="en-US"/>
        </w:rPr>
        <w:drawing>
          <wp:inline distT="114300" distB="114300" distL="114300" distR="114300">
            <wp:extent cx="3133725" cy="2800985"/>
            <wp:effectExtent l="12700" t="12700" r="12700" b="12700"/>
            <wp:docPr id="6" name="image2.png"/>
            <wp:cNvGraphicFramePr/>
            <a:graphic xmlns:a="http://schemas.openxmlformats.org/drawingml/2006/main">
              <a:graphicData uri="http://schemas.openxmlformats.org/drawingml/2006/picture">
                <pic:pic xmlns:pic="http://schemas.openxmlformats.org/drawingml/2006/picture">
                  <pic:nvPicPr>
                    <pic:cNvPr id="6" name="image2.png"/>
                    <pic:cNvPicPr preferRelativeResize="0"/>
                  </pic:nvPicPr>
                  <pic:blipFill>
                    <a:blip r:embed="rId13"/>
                    <a:srcRect/>
                    <a:stretch>
                      <a:fillRect/>
                    </a:stretch>
                  </pic:blipFill>
                  <pic:spPr>
                    <a:xfrm>
                      <a:off x="0" y="0"/>
                      <a:ext cx="3133725" cy="2801234"/>
                    </a:xfrm>
                    <a:prstGeom prst="rect">
                      <a:avLst/>
                    </a:prstGeom>
                    <a:ln w="12700">
                      <a:solidFill>
                        <a:srgbClr val="000000"/>
                      </a:solidFill>
                      <a:prstDash val="solid"/>
                    </a:ln>
                  </pic:spPr>
                </pic:pic>
              </a:graphicData>
            </a:graphic>
          </wp:inline>
        </w:drawing>
      </w:r>
    </w:p>
    <w:p w14:paraId="4AE306EF">
      <w:pPr>
        <w:spacing w:line="360" w:lineRule="auto"/>
        <w:jc w:val="center"/>
        <w:rPr>
          <w:rFonts w:ascii="Arial" w:hAnsi="Arial" w:cs="Arial"/>
          <w:b/>
          <w:bCs/>
        </w:rPr>
      </w:pPr>
      <w:r>
        <w:rPr>
          <w:rFonts w:ascii="Arial" w:hAnsi="Arial" w:cs="Arial"/>
          <w:b/>
          <w:bCs/>
        </w:rPr>
        <w:t>Figure 6: Results of liquidity ratios</w:t>
      </w:r>
    </w:p>
    <w:p w14:paraId="65CFCB58">
      <w:pPr>
        <w:spacing w:line="360" w:lineRule="auto"/>
        <w:jc w:val="center"/>
        <w:rPr>
          <w:rFonts w:ascii="Arial" w:hAnsi="Arial" w:cs="Arial"/>
        </w:rPr>
      </w:pPr>
      <w:r>
        <w:rPr>
          <w:rFonts w:ascii="Arial" w:hAnsi="Arial" w:cs="Arial"/>
        </w:rPr>
        <w:t>(Source: Whitbread PLC, Annual Report and Accounts 2021/22, 2022/23, 2023/24, 2024/25, 2025/26)</w:t>
      </w:r>
    </w:p>
    <w:p w14:paraId="7C075198">
      <w:pPr>
        <w:spacing w:line="360" w:lineRule="auto"/>
        <w:rPr>
          <w:rFonts w:ascii="Arial" w:hAnsi="Arial" w:cs="Arial"/>
          <w:color w:val="000000" w:themeColor="text1"/>
          <w14:textFill>
            <w14:solidFill>
              <w14:schemeClr w14:val="tx1"/>
            </w14:solidFill>
          </w14:textFill>
        </w:rPr>
      </w:pPr>
      <w:r>
        <w:rPr>
          <w:rFonts w:ascii="Arial" w:hAnsi="Arial" w:cs="Arial"/>
        </w:rPr>
        <w:t xml:space="preserve">Throughout the five years, the liquidity ratios decreased steadily. The current ratio dropped from 0.44 in FY2025/26 to 1.49 in FY2021/22, and the quick and cash ratios were on a similar trajectory. </w:t>
      </w:r>
      <w:r>
        <w:rPr>
          <w:rFonts w:ascii="Arial" w:hAnsi="Arial" w:cs="Arial"/>
          <w:color w:val="000000" w:themeColor="text1"/>
          <w14:textFill>
            <w14:solidFill>
              <w14:schemeClr w14:val="tx1"/>
            </w14:solidFill>
          </w14:textFill>
        </w:rPr>
        <w:t>A continuous falling of liquidity ratios suggests greater reliance on liquidity management as a means of fulfilling short-term commitments. This is a feature of the hospitality industry's operation, but weak liquidity could make companies more vulnerable to unforeseen tough economic times or unexpected shifts in customer demand.</w:t>
      </w:r>
    </w:p>
    <w:p w14:paraId="1894355E">
      <w:pPr>
        <w:spacing w:line="360" w:lineRule="auto"/>
        <w:jc w:val="center"/>
        <w:rPr>
          <w:rFonts w:ascii="Arial" w:hAnsi="Arial" w:cs="Arial"/>
          <w:b/>
          <w:bCs/>
        </w:rPr>
      </w:pPr>
      <w:r>
        <w:rPr>
          <w:rFonts w:ascii="Arial" w:hAnsi="Arial" w:cs="Arial"/>
          <w:b/>
          <w:bCs/>
          <w:lang w:val="en-US"/>
        </w:rPr>
        <w:drawing>
          <wp:inline distT="114300" distB="114300" distL="114300" distR="114300">
            <wp:extent cx="4271645" cy="2238375"/>
            <wp:effectExtent l="12700" t="12700" r="12700" b="12700"/>
            <wp:docPr id="9" name="image5.png"/>
            <wp:cNvGraphicFramePr/>
            <a:graphic xmlns:a="http://schemas.openxmlformats.org/drawingml/2006/main">
              <a:graphicData uri="http://schemas.openxmlformats.org/drawingml/2006/picture">
                <pic:pic xmlns:pic="http://schemas.openxmlformats.org/drawingml/2006/picture">
                  <pic:nvPicPr>
                    <pic:cNvPr id="9" name="image5.png"/>
                    <pic:cNvPicPr preferRelativeResize="0"/>
                  </pic:nvPicPr>
                  <pic:blipFill>
                    <a:blip r:embed="rId14"/>
                    <a:srcRect/>
                    <a:stretch>
                      <a:fillRect/>
                    </a:stretch>
                  </pic:blipFill>
                  <pic:spPr>
                    <a:xfrm>
                      <a:off x="0" y="0"/>
                      <a:ext cx="4271963" cy="2238673"/>
                    </a:xfrm>
                    <a:prstGeom prst="rect">
                      <a:avLst/>
                    </a:prstGeom>
                    <a:ln w="12700">
                      <a:solidFill>
                        <a:srgbClr val="000000"/>
                      </a:solidFill>
                      <a:prstDash val="solid"/>
                    </a:ln>
                  </pic:spPr>
                </pic:pic>
              </a:graphicData>
            </a:graphic>
          </wp:inline>
        </w:drawing>
      </w:r>
    </w:p>
    <w:p w14:paraId="3619E1BB">
      <w:pPr>
        <w:spacing w:line="360" w:lineRule="auto"/>
        <w:jc w:val="center"/>
        <w:rPr>
          <w:rFonts w:ascii="Arial" w:hAnsi="Arial" w:cs="Arial"/>
          <w:b/>
          <w:bCs/>
        </w:rPr>
      </w:pPr>
      <w:r>
        <w:rPr>
          <w:rFonts w:ascii="Arial" w:hAnsi="Arial" w:cs="Arial"/>
          <w:b/>
          <w:bCs/>
        </w:rPr>
        <w:t>Figure 7: Result of efficiency ratios</w:t>
      </w:r>
    </w:p>
    <w:p w14:paraId="55D805E1">
      <w:pPr>
        <w:spacing w:line="360" w:lineRule="auto"/>
        <w:jc w:val="center"/>
        <w:rPr>
          <w:rFonts w:ascii="Arial" w:hAnsi="Arial" w:cs="Arial"/>
        </w:rPr>
      </w:pPr>
      <w:r>
        <w:rPr>
          <w:rFonts w:ascii="Arial" w:hAnsi="Arial" w:cs="Arial"/>
        </w:rPr>
        <w:t>(Source: Whitbread PLC, Annual Report and Accounts 2021/22, 2022/23, 2023/24, 2024/25, 2025/26)</w:t>
      </w:r>
    </w:p>
    <w:p w14:paraId="16832EA7">
      <w:pPr>
        <w:spacing w:line="360" w:lineRule="auto"/>
        <w:rPr>
          <w:rFonts w:ascii="Arial" w:hAnsi="Arial" w:cs="Arial"/>
        </w:rPr>
      </w:pPr>
      <w:r>
        <w:rPr>
          <w:rFonts w:ascii="Arial" w:hAnsi="Arial" w:cs="Arial"/>
          <w:color w:val="000000" w:themeColor="text1"/>
          <w14:textFill>
            <w14:solidFill>
              <w14:schemeClr w14:val="tx1"/>
            </w14:solidFill>
          </w14:textFill>
        </w:rPr>
        <w:t>An indicative improvement on asset utilisation and the management of receivables indicates better operational efficiency and a better allocation of resources. The recent underperformance in collections and negative working capital turnover, however, indicates that the company's management needs to continually review and improve its working capital policies to ensure that cash is available for use yet can be used efficiently in the operating day-to-day business. The receivable an</w:t>
      </w:r>
      <w:r>
        <w:rPr>
          <w:rFonts w:ascii="Arial" w:hAnsi="Arial" w:cs="Arial"/>
        </w:rPr>
        <w:t>d payable periods decreased from FY 2021/22, showcasing improved working capital management. Late Years results in negative working capital turnover, however, which signifies more gearing up on short-term term financing and tighter liquidity.</w:t>
      </w:r>
    </w:p>
    <w:p w14:paraId="73C22589">
      <w:pPr>
        <w:spacing w:line="360" w:lineRule="auto"/>
        <w:jc w:val="center"/>
        <w:rPr>
          <w:rFonts w:ascii="Arial" w:hAnsi="Arial" w:cs="Arial"/>
          <w:b/>
          <w:bCs/>
        </w:rPr>
      </w:pPr>
      <w:r>
        <w:rPr>
          <w:rFonts w:ascii="Arial" w:hAnsi="Arial" w:cs="Arial"/>
          <w:b/>
          <w:bCs/>
          <w:lang w:val="en-US"/>
        </w:rPr>
        <w:drawing>
          <wp:inline distT="114300" distB="114300" distL="114300" distR="114300">
            <wp:extent cx="4281170" cy="2407285"/>
            <wp:effectExtent l="12700" t="12700" r="12700" b="12700"/>
            <wp:docPr id="8" name="image6.png"/>
            <wp:cNvGraphicFramePr/>
            <a:graphic xmlns:a="http://schemas.openxmlformats.org/drawingml/2006/main">
              <a:graphicData uri="http://schemas.openxmlformats.org/drawingml/2006/picture">
                <pic:pic xmlns:pic="http://schemas.openxmlformats.org/drawingml/2006/picture">
                  <pic:nvPicPr>
                    <pic:cNvPr id="8" name="image6.png"/>
                    <pic:cNvPicPr preferRelativeResize="0"/>
                  </pic:nvPicPr>
                  <pic:blipFill>
                    <a:blip r:embed="rId15"/>
                    <a:srcRect/>
                    <a:stretch>
                      <a:fillRect/>
                    </a:stretch>
                  </pic:blipFill>
                  <pic:spPr>
                    <a:xfrm>
                      <a:off x="0" y="0"/>
                      <a:ext cx="4281488" cy="2407357"/>
                    </a:xfrm>
                    <a:prstGeom prst="rect">
                      <a:avLst/>
                    </a:prstGeom>
                    <a:ln w="12700">
                      <a:solidFill>
                        <a:srgbClr val="000000"/>
                      </a:solidFill>
                      <a:prstDash val="solid"/>
                    </a:ln>
                  </pic:spPr>
                </pic:pic>
              </a:graphicData>
            </a:graphic>
          </wp:inline>
        </w:drawing>
      </w:r>
    </w:p>
    <w:p w14:paraId="6294EBAC">
      <w:pPr>
        <w:spacing w:line="360" w:lineRule="auto"/>
        <w:jc w:val="center"/>
        <w:rPr>
          <w:rFonts w:ascii="Arial" w:hAnsi="Arial" w:cs="Arial"/>
          <w:b/>
          <w:bCs/>
        </w:rPr>
      </w:pPr>
      <w:r>
        <w:rPr>
          <w:rFonts w:ascii="Arial" w:hAnsi="Arial" w:cs="Arial"/>
          <w:b/>
          <w:bCs/>
        </w:rPr>
        <w:t>Figure 8: Result of gearing ratios</w:t>
      </w:r>
    </w:p>
    <w:p w14:paraId="2566B82E">
      <w:pPr>
        <w:spacing w:line="360" w:lineRule="auto"/>
        <w:jc w:val="center"/>
        <w:rPr>
          <w:rFonts w:ascii="Arial" w:hAnsi="Arial" w:cs="Arial"/>
        </w:rPr>
      </w:pPr>
      <w:r>
        <w:rPr>
          <w:rFonts w:ascii="Arial" w:hAnsi="Arial" w:cs="Arial"/>
        </w:rPr>
        <w:t>(Source: Whitbread PLC, Annual Report and Accounts 2021/22, 2022/23, 2023/24, 2024/25, 2025/26)</w:t>
      </w:r>
    </w:p>
    <w:p w14:paraId="3B91F992">
      <w:pPr>
        <w:spacing w:line="360" w:lineRule="auto"/>
        <w:rPr>
          <w:rFonts w:ascii="Arial" w:hAnsi="Arial" w:cs="Arial"/>
          <w:color w:val="000000" w:themeColor="text1"/>
          <w14:textFill>
            <w14:solidFill>
              <w14:schemeClr w14:val="tx1"/>
            </w14:solidFill>
          </w14:textFill>
        </w:rPr>
      </w:pPr>
      <w:r>
        <w:rPr>
          <w:rFonts w:ascii="Arial" w:hAnsi="Arial" w:cs="Arial"/>
        </w:rPr>
        <w:t>Whitbread's capital structure remained fairly constant with an average debt ratio of 0.51 during the period. Although interest coverage had deteriorated since FY2021/22, it improved significantly in this period, with the peak year in FY2023/24, followed by drops in the following years due to lower operating profit and higher finance charges, which lowered the level of debt-servicing capacity.</w:t>
      </w:r>
      <w:r>
        <w:rPr>
          <w:rFonts w:ascii="Arial" w:hAnsi="Arial" w:cs="Arial"/>
          <w:color w:val="000000" w:themeColor="text1"/>
          <w14:textFill>
            <w14:solidFill>
              <w14:schemeClr w14:val="tx1"/>
            </w14:solidFill>
          </w14:textFill>
        </w:rPr>
        <w:t xml:space="preserve"> The gearing position of Whitbread has stayed somewhat unchanged, suggesting a mix of financing that is balanced to ensure financial stability and capacity to borrow. However, given the reduced interest coverage in the later years, it is clear that operating earnings are under pressure in paying interest on the debt burden and that it is necessary to ensure a balanced approach between a debt strategy and operational profitability.</w:t>
      </w:r>
    </w:p>
    <w:p w14:paraId="4C9F3379">
      <w:pPr>
        <w:spacing w:line="360" w:lineRule="auto"/>
        <w:jc w:val="center"/>
        <w:rPr>
          <w:rFonts w:ascii="Arial" w:hAnsi="Arial" w:cs="Arial"/>
          <w:b/>
          <w:bCs/>
        </w:rPr>
      </w:pPr>
      <w:r>
        <w:rPr>
          <w:rFonts w:ascii="Arial" w:hAnsi="Arial" w:cs="Arial"/>
          <w:b/>
          <w:bCs/>
          <w:lang w:val="en-US"/>
        </w:rPr>
        <w:drawing>
          <wp:inline distT="114300" distB="114300" distL="114300" distR="114300">
            <wp:extent cx="4004945" cy="2724150"/>
            <wp:effectExtent l="12700" t="12700" r="12700" b="12700"/>
            <wp:docPr id="12" name="image9.png"/>
            <wp:cNvGraphicFramePr/>
            <a:graphic xmlns:a="http://schemas.openxmlformats.org/drawingml/2006/main">
              <a:graphicData uri="http://schemas.openxmlformats.org/drawingml/2006/picture">
                <pic:pic xmlns:pic="http://schemas.openxmlformats.org/drawingml/2006/picture">
                  <pic:nvPicPr>
                    <pic:cNvPr id="12" name="image9.png"/>
                    <pic:cNvPicPr preferRelativeResize="0"/>
                  </pic:nvPicPr>
                  <pic:blipFill>
                    <a:blip r:embed="rId16"/>
                    <a:srcRect/>
                    <a:stretch>
                      <a:fillRect/>
                    </a:stretch>
                  </pic:blipFill>
                  <pic:spPr>
                    <a:xfrm>
                      <a:off x="0" y="0"/>
                      <a:ext cx="4005263" cy="2724428"/>
                    </a:xfrm>
                    <a:prstGeom prst="rect">
                      <a:avLst/>
                    </a:prstGeom>
                    <a:ln w="12700">
                      <a:solidFill>
                        <a:srgbClr val="000000"/>
                      </a:solidFill>
                      <a:prstDash val="solid"/>
                    </a:ln>
                  </pic:spPr>
                </pic:pic>
              </a:graphicData>
            </a:graphic>
          </wp:inline>
        </w:drawing>
      </w:r>
    </w:p>
    <w:p w14:paraId="660C8FFE">
      <w:pPr>
        <w:spacing w:line="360" w:lineRule="auto"/>
        <w:jc w:val="center"/>
        <w:rPr>
          <w:rFonts w:ascii="Arial" w:hAnsi="Arial" w:cs="Arial"/>
          <w:b/>
          <w:bCs/>
        </w:rPr>
      </w:pPr>
      <w:r>
        <w:rPr>
          <w:rFonts w:ascii="Arial" w:hAnsi="Arial" w:cs="Arial"/>
          <w:b/>
          <w:bCs/>
        </w:rPr>
        <w:t>Figure 9: Result for investment ratio</w:t>
      </w:r>
    </w:p>
    <w:p w14:paraId="137E6D4F">
      <w:pPr>
        <w:spacing w:line="360" w:lineRule="auto"/>
        <w:jc w:val="center"/>
        <w:rPr>
          <w:rFonts w:ascii="Arial" w:hAnsi="Arial" w:cs="Arial"/>
        </w:rPr>
      </w:pPr>
      <w:r>
        <w:rPr>
          <w:rFonts w:ascii="Arial" w:hAnsi="Arial" w:cs="Arial"/>
        </w:rPr>
        <w:t>(Source: Whitbread PLC, Annual Report and Accounts 2021/22, 2022/23, 2023/24, 2024/25, 2025/26)</w:t>
      </w:r>
    </w:p>
    <w:p w14:paraId="49ABEF01">
      <w:pPr>
        <w:spacing w:line="360" w:lineRule="auto"/>
        <w:rPr>
          <w:rFonts w:ascii="Arial" w:hAnsi="Arial" w:cs="Arial"/>
          <w:color w:val="000000" w:themeColor="text1"/>
          <w14:textFill>
            <w14:solidFill>
              <w14:schemeClr w14:val="tx1"/>
            </w14:solidFill>
          </w14:textFill>
        </w:rPr>
      </w:pPr>
      <w:r>
        <w:rPr>
          <w:rFonts w:ascii="Arial" w:hAnsi="Arial" w:cs="Arial"/>
        </w:rPr>
        <w:t xml:space="preserve">In the wake of the recovery from the pandemic, investment performance peaked. The Epstein and dividend cover rebounded in a large manner until FY2023/24, and then fell in tandem due to a decline in </w:t>
      </w:r>
      <w:r>
        <w:rPr>
          <w:rFonts w:ascii="Arial" w:hAnsi="Arial" w:cs="Arial"/>
          <w:color w:val="000000" w:themeColor="text1"/>
          <w14:textFill>
            <w14:solidFill>
              <w14:schemeClr w14:val="tx1"/>
            </w14:solidFill>
          </w14:textFill>
        </w:rPr>
        <w:t xml:space="preserve">profitability in FY2024/25 and FY2025/26. Earnings per share and dividend cover weakened in the final two years, which shows that despite the company's overall profit performance, it was less rewarding to the shareholders. In order to remain attractive to investors, the improvement of earnings growth and diligent capital allocation, combined with investment decision-making to create greater long-term shareholder value while reducing financial risk, will have to be achieved. </w:t>
      </w:r>
    </w:p>
    <w:p w14:paraId="489DDEB1">
      <w:pPr>
        <w:spacing w:line="360" w:lineRule="auto"/>
        <w:jc w:val="center"/>
        <w:rPr>
          <w:rFonts w:ascii="Arial" w:hAnsi="Arial" w:cs="Arial"/>
          <w:b/>
          <w:bCs/>
        </w:rPr>
      </w:pPr>
      <w:r>
        <w:rPr>
          <w:rFonts w:ascii="Arial" w:hAnsi="Arial" w:cs="Arial"/>
          <w:b/>
          <w:bCs/>
          <w:lang w:val="en-US"/>
        </w:rPr>
        <w:drawing>
          <wp:inline distT="114300" distB="114300" distL="114300" distR="114300">
            <wp:extent cx="4462145" cy="2792095"/>
            <wp:effectExtent l="12700" t="12700" r="12700" b="12700"/>
            <wp:docPr id="10" name="image12.png"/>
            <wp:cNvGraphicFramePr/>
            <a:graphic xmlns:a="http://schemas.openxmlformats.org/drawingml/2006/main">
              <a:graphicData uri="http://schemas.openxmlformats.org/drawingml/2006/picture">
                <pic:pic xmlns:pic="http://schemas.openxmlformats.org/drawingml/2006/picture">
                  <pic:nvPicPr>
                    <pic:cNvPr id="10" name="image12.png"/>
                    <pic:cNvPicPr preferRelativeResize="0"/>
                  </pic:nvPicPr>
                  <pic:blipFill>
                    <a:blip r:embed="rId17"/>
                    <a:srcRect/>
                    <a:stretch>
                      <a:fillRect/>
                    </a:stretch>
                  </pic:blipFill>
                  <pic:spPr>
                    <a:xfrm>
                      <a:off x="0" y="0"/>
                      <a:ext cx="4462463" cy="2792685"/>
                    </a:xfrm>
                    <a:prstGeom prst="rect">
                      <a:avLst/>
                    </a:prstGeom>
                    <a:ln w="12700">
                      <a:solidFill>
                        <a:srgbClr val="000000"/>
                      </a:solidFill>
                      <a:prstDash val="solid"/>
                    </a:ln>
                  </pic:spPr>
                </pic:pic>
              </a:graphicData>
            </a:graphic>
          </wp:inline>
        </w:drawing>
      </w:r>
    </w:p>
    <w:p w14:paraId="06C55F99">
      <w:pPr>
        <w:spacing w:line="360" w:lineRule="auto"/>
        <w:jc w:val="center"/>
        <w:rPr>
          <w:rFonts w:ascii="Arial" w:hAnsi="Arial" w:cs="Arial"/>
        </w:rPr>
      </w:pPr>
      <w:r>
        <w:rPr>
          <w:rFonts w:ascii="Arial" w:hAnsi="Arial" w:cs="Arial"/>
          <w:b/>
          <w:bCs/>
        </w:rPr>
        <w:t>Figure 10: Results for cash flow ratios</w:t>
      </w:r>
      <w:r>
        <w:rPr>
          <w:rFonts w:ascii="Arial" w:hAnsi="Arial" w:cs="Arial"/>
          <w:b/>
          <w:bCs/>
        </w:rPr>
        <w:br w:type="textWrapping"/>
      </w:r>
      <w:r>
        <w:rPr>
          <w:rFonts w:ascii="Arial" w:hAnsi="Arial" w:cs="Arial"/>
        </w:rPr>
        <w:t>(Source: Whitbread PLC, Annual Report and Accounts 2021/22, 2022/23, 2023/24, 2024/25, 2025/26)</w:t>
      </w:r>
    </w:p>
    <w:p w14:paraId="1506A184">
      <w:pPr>
        <w:spacing w:line="360" w:lineRule="auto"/>
        <w:rPr>
          <w:rFonts w:ascii="Arial" w:hAnsi="Arial" w:cs="Arial"/>
          <w:color w:val="000000" w:themeColor="text1"/>
          <w14:textFill>
            <w14:solidFill>
              <w14:schemeClr w14:val="tx1"/>
            </w14:solidFill>
          </w14:textFill>
        </w:rPr>
      </w:pPr>
      <w:r>
        <w:rPr>
          <w:rFonts w:ascii="Arial" w:hAnsi="Arial" w:cs="Arial"/>
        </w:rPr>
        <w:t>Cash flow ratios highlight that although Whitbread is less profitable, it is maintaining its capacity to produce positive operating cash flows. Cash flow margin is relatively stable, with operating cash flow improving and cash flow margin to total debt improving from FY2021/22 results. However, the cash flow margins have narrowed in FY2024/25 and FY2025/26, suggesting a bigger s</w:t>
      </w:r>
      <w:r>
        <w:rPr>
          <w:rFonts w:ascii="Arial" w:hAnsi="Arial" w:cs="Arial"/>
          <w:color w:val="000000" w:themeColor="text1"/>
          <w14:textFill>
            <w14:solidFill>
              <w14:schemeClr w14:val="tx1"/>
            </w14:solidFill>
          </w14:textFill>
        </w:rPr>
        <w:t xml:space="preserve">train on cash generation potential. Negative cash flow ratios during the assessment period indicate increasing liquidity pressure despite positive operating cash flows. This marks an increase in illiquidity position and a decrease in the company's ability to finance investments from within. </w:t>
      </w:r>
    </w:p>
    <w:p w14:paraId="4F45A0BC">
      <w:pPr>
        <w:pStyle w:val="3"/>
        <w:spacing w:line="360" w:lineRule="auto"/>
        <w:rPr>
          <w:rFonts w:ascii="Arial" w:hAnsi="Arial" w:cs="Arial"/>
          <w:color w:val="000000" w:themeColor="text1"/>
          <w14:textFill>
            <w14:solidFill>
              <w14:schemeClr w14:val="tx1"/>
            </w14:solidFill>
          </w14:textFill>
        </w:rPr>
      </w:pPr>
      <w:bookmarkStart w:id="15" w:name="_Toc235706193"/>
      <w:r>
        <w:rPr>
          <w:rFonts w:ascii="Arial" w:hAnsi="Arial" w:cs="Arial"/>
          <w:color w:val="000000" w:themeColor="text1"/>
          <w14:textFill>
            <w14:solidFill>
              <w14:schemeClr w14:val="tx1"/>
            </w14:solidFill>
          </w14:textFill>
        </w:rPr>
        <w:t>c) Trend, Strength and Potential Threats</w:t>
      </w:r>
      <w:bookmarkEnd w:id="15"/>
    </w:p>
    <w:p w14:paraId="359FACB7">
      <w:pPr>
        <w:spacing w:line="36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Financial Trend 5 years shows that Whitbread PLC posted a very strong recovery from the pandemic, albeit the growth slowed down in the last two financial years. The five-year financial trend highlights that Whitbread PLC's recovery point after the Covid-19 period has been solid, with a slowdown seen in the last four financial years. Occupancy rates as well as customer demand have played a key role in the rise, with the hospitality industry in the UK bouncing back from the pandemic to drive revenue growth from £1,703.4 million in FY2021/22 to £2,959.9 million in the current FY2023/24. The financial performance means Whitbread is entering a more advanced stage of business development after the pandemic. Going forward, therefore, it is cost efficiency, capital allocation and cost control which will now be the key measures for future competitiveness, rather than continued revenue growth. Financial resilience will be increased, sustainable growth and shareholder value will be continued and improved in the competitive hospitality market, with a strengthening of these areas. Existing research indicates that long-term profitability, efficient use of assets and optimal capital structure can positively influence long-term corporate success and shareholder value (</w:t>
      </w:r>
      <w:r>
        <w:rPr>
          <w:rFonts w:ascii="Arial" w:hAnsi="Arial" w:cs="Arial"/>
          <w:color w:val="000000" w:themeColor="text1"/>
          <w:highlight w:val="white"/>
          <w14:textFill>
            <w14:solidFill>
              <w14:schemeClr w14:val="tx1"/>
            </w14:solidFill>
          </w14:textFill>
        </w:rPr>
        <w:t>Hafidzi</w:t>
      </w:r>
      <w:r>
        <w:rPr>
          <w:rFonts w:ascii="Arial" w:hAnsi="Arial" w:cs="Arial"/>
          <w:color w:val="000000" w:themeColor="text1"/>
          <w14:textFill>
            <w14:solidFill>
              <w14:schemeClr w14:val="tx1"/>
            </w14:solidFill>
          </w14:textFill>
        </w:rPr>
        <w:t xml:space="preserve"> </w:t>
      </w:r>
      <w:r>
        <w:rPr>
          <w:rFonts w:ascii="Arial" w:hAnsi="Arial" w:cs="Arial"/>
          <w:i/>
          <w:iCs/>
          <w:color w:val="000000" w:themeColor="text1"/>
          <w14:textFill>
            <w14:solidFill>
              <w14:schemeClr w14:val="tx1"/>
            </w14:solidFill>
          </w14:textFill>
        </w:rPr>
        <w:t xml:space="preserve">et al. </w:t>
      </w:r>
      <w:r>
        <w:rPr>
          <w:rFonts w:ascii="Arial" w:hAnsi="Arial" w:cs="Arial"/>
          <w:color w:val="000000" w:themeColor="text1"/>
          <w:highlight w:val="white"/>
          <w14:textFill>
            <w14:solidFill>
              <w14:schemeClr w14:val="tx1"/>
            </w14:solidFill>
          </w14:textFill>
        </w:rPr>
        <w:t>2022)</w:t>
      </w:r>
      <w:r>
        <w:rPr>
          <w:rFonts w:ascii="Arial" w:hAnsi="Arial" w:cs="Arial"/>
          <w:color w:val="000000" w:themeColor="text1"/>
          <w14:textFill>
            <w14:solidFill>
              <w14:schemeClr w14:val="tx1"/>
            </w14:solidFill>
          </w14:textFill>
        </w:rPr>
        <w:t>.</w:t>
      </w:r>
    </w:p>
    <w:p w14:paraId="472CAAC0">
      <w:pPr>
        <w:spacing w:line="36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Lower profitability and earnings on assets and equity in its last two years also suggest that the increased operating expenses and increased financing costs had a negative impact on financial performance (</w:t>
      </w:r>
      <w:r>
        <w:rPr>
          <w:rFonts w:ascii="Arial" w:hAnsi="Arial" w:cs="Arial"/>
          <w:color w:val="000000" w:themeColor="text1"/>
          <w:highlight w:val="white"/>
          <w14:textFill>
            <w14:solidFill>
              <w14:schemeClr w14:val="tx1"/>
            </w14:solidFill>
          </w14:textFill>
        </w:rPr>
        <w:t>Qaisar</w:t>
      </w:r>
      <w:r>
        <w:rPr>
          <w:rFonts w:ascii="Arial" w:hAnsi="Arial" w:cs="Arial"/>
          <w:color w:val="000000" w:themeColor="text1"/>
          <w14:textFill>
            <w14:solidFill>
              <w14:schemeClr w14:val="tx1"/>
            </w14:solidFill>
          </w14:textFill>
        </w:rPr>
        <w:t xml:space="preserve"> </w:t>
      </w:r>
      <w:r>
        <w:rPr>
          <w:rFonts w:ascii="Arial" w:hAnsi="Arial" w:cs="Arial"/>
          <w:i/>
          <w:iCs/>
          <w:color w:val="000000" w:themeColor="text1"/>
          <w14:textFill>
            <w14:solidFill>
              <w14:schemeClr w14:val="tx1"/>
            </w14:solidFill>
          </w14:textFill>
        </w:rPr>
        <w:t xml:space="preserve">et al. </w:t>
      </w:r>
      <w:r>
        <w:rPr>
          <w:rFonts w:ascii="Arial" w:hAnsi="Arial" w:cs="Arial"/>
          <w:color w:val="000000" w:themeColor="text1"/>
          <w:highlight w:val="white"/>
          <w14:textFill>
            <w14:solidFill>
              <w14:schemeClr w14:val="tx1"/>
            </w14:solidFill>
          </w14:textFill>
        </w:rPr>
        <w:t>2025)</w:t>
      </w:r>
      <w:r>
        <w:rPr>
          <w:rFonts w:ascii="Arial" w:hAnsi="Arial" w:cs="Arial"/>
          <w:color w:val="000000" w:themeColor="text1"/>
          <w14:textFill>
            <w14:solidFill>
              <w14:schemeClr w14:val="tx1"/>
            </w14:solidFill>
          </w14:textFill>
        </w:rPr>
        <w:t>. The effects of bad liquidity and profitability have been identified as having a negative impact on financial resilience and the investment potential to grow. Companies operating in competitive industries must continuously improve operational efficiency and financial discipline to maintain sustainable growth (</w:t>
      </w:r>
      <w:r>
        <w:rPr>
          <w:rFonts w:ascii="Arial" w:hAnsi="Arial" w:cs="Arial"/>
          <w:color w:val="000000" w:themeColor="text1"/>
          <w:highlight w:val="white"/>
          <w14:textFill>
            <w14:solidFill>
              <w14:schemeClr w14:val="tx1"/>
            </w14:solidFill>
          </w14:textFill>
        </w:rPr>
        <w:t>Bari</w:t>
      </w:r>
      <w:r>
        <w:rPr>
          <w:rFonts w:ascii="Arial" w:hAnsi="Arial" w:cs="Arial"/>
          <w:color w:val="000000" w:themeColor="text1"/>
          <w14:textFill>
            <w14:solidFill>
              <w14:schemeClr w14:val="tx1"/>
            </w14:solidFill>
          </w14:textFill>
        </w:rPr>
        <w:t xml:space="preserve"> </w:t>
      </w:r>
      <w:r>
        <w:rPr>
          <w:rFonts w:ascii="Arial" w:hAnsi="Arial" w:cs="Arial"/>
          <w:i/>
          <w:iCs/>
          <w:color w:val="000000" w:themeColor="text1"/>
          <w14:textFill>
            <w14:solidFill>
              <w14:schemeClr w14:val="tx1"/>
            </w14:solidFill>
          </w14:textFill>
        </w:rPr>
        <w:t xml:space="preserve">et al. </w:t>
      </w:r>
      <w:r>
        <w:rPr>
          <w:rFonts w:ascii="Arial" w:hAnsi="Arial" w:cs="Arial"/>
          <w:color w:val="000000" w:themeColor="text1"/>
          <w:highlight w:val="white"/>
          <w14:textFill>
            <w14:solidFill>
              <w14:schemeClr w14:val="tx1"/>
            </w14:solidFill>
          </w14:textFill>
        </w:rPr>
        <w:t>2022)</w:t>
      </w:r>
      <w:r>
        <w:rPr>
          <w:rFonts w:ascii="Arial" w:hAnsi="Arial" w:cs="Arial"/>
          <w:color w:val="000000" w:themeColor="text1"/>
          <w14:textFill>
            <w14:solidFill>
              <w14:schemeClr w14:val="tx1"/>
            </w14:solidFill>
          </w14:textFill>
        </w:rPr>
        <w:t>.</w:t>
      </w:r>
    </w:p>
    <w:p w14:paraId="0F4295C0">
      <w:pPr>
        <w:pStyle w:val="3"/>
        <w:spacing w:line="360" w:lineRule="auto"/>
        <w:rPr>
          <w:rFonts w:ascii="Arial" w:hAnsi="Arial" w:cs="Arial"/>
          <w:color w:val="000000" w:themeColor="text1"/>
          <w14:textFill>
            <w14:solidFill>
              <w14:schemeClr w14:val="tx1"/>
            </w14:solidFill>
          </w14:textFill>
        </w:rPr>
      </w:pPr>
      <w:bookmarkStart w:id="16" w:name="_Toc235706194"/>
      <w:r>
        <w:rPr>
          <w:rFonts w:ascii="Arial" w:hAnsi="Arial" w:cs="Arial"/>
          <w:color w:val="000000" w:themeColor="text1"/>
          <w14:textFill>
            <w14:solidFill>
              <w14:schemeClr w14:val="tx1"/>
            </w14:solidFill>
          </w14:textFill>
        </w:rPr>
        <w:t>d) Comparison of Liquidity Ratios with Industry Benchmark</w:t>
      </w:r>
      <w:bookmarkEnd w:id="16"/>
    </w:p>
    <w:p w14:paraId="2A07643B">
      <w:pPr>
        <w:spacing w:line="360" w:lineRule="auto"/>
        <w:rPr>
          <w:rFonts w:ascii="Arial" w:hAnsi="Arial" w:cs="Arial"/>
          <w:color w:val="000000" w:themeColor="text1"/>
          <w14:textFill>
            <w14:solidFill>
              <w14:schemeClr w14:val="tx1"/>
            </w14:solidFill>
          </w14:textFill>
        </w:rPr>
      </w:pPr>
      <w:r>
        <w:rPr>
          <w:rFonts w:ascii="Arial" w:hAnsi="Arial" w:cs="Arial"/>
          <w:color w:val="000000" w:themeColor="text1"/>
          <w:highlight w:val="white"/>
          <w14:textFill>
            <w14:solidFill>
              <w14:schemeClr w14:val="tx1"/>
            </w14:solidFill>
          </w14:textFill>
        </w:rPr>
        <w:t>Saleh</w:t>
      </w:r>
      <w:r>
        <w:rPr>
          <w:rFonts w:ascii="Arial" w:hAnsi="Arial" w:cs="Arial"/>
          <w:color w:val="000000" w:themeColor="text1"/>
          <w14:textFill>
            <w14:solidFill>
              <w14:schemeClr w14:val="tx1"/>
            </w14:solidFill>
          </w14:textFill>
        </w:rPr>
        <w:t xml:space="preserve"> (</w:t>
      </w:r>
      <w:r>
        <w:rPr>
          <w:rFonts w:ascii="Arial" w:hAnsi="Arial" w:cs="Arial"/>
          <w:color w:val="000000" w:themeColor="text1"/>
          <w:highlight w:val="white"/>
          <w14:textFill>
            <w14:solidFill>
              <w14:schemeClr w14:val="tx1"/>
            </w14:solidFill>
          </w14:textFill>
        </w:rPr>
        <w:t>2023) has</w:t>
      </w:r>
      <w:r>
        <w:rPr>
          <w:rFonts w:ascii="Arial" w:hAnsi="Arial" w:cs="Arial"/>
          <w:color w:val="000000" w:themeColor="text1"/>
          <w14:textFill>
            <w14:solidFill>
              <w14:schemeClr w14:val="tx1"/>
            </w14:solidFill>
          </w14:textFill>
        </w:rPr>
        <w:t xml:space="preserve"> indicated that the optimal ratio of liquidity will differ by industry and that operating cash flow is a more relevant indicator of liquidity than the traditional liquidity ratios. The trend is downward in Whitbread PLC's liquidity over the past 5 years compared to the rest of the UK hospitality industry. The current ratio of the company has fallen from 1.49 in FY2021/22 to 0.44 in FY2025/26, and the quick ratio has fallen from 1.47 to 0.43 over the same period. </w:t>
      </w:r>
    </w:p>
    <w:p w14:paraId="0E6450A1">
      <w:pPr>
        <w:spacing w:line="36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Over the five-year assessment period, Whitbread's liquidity position can be compared with Marriott International, one of the leading global hospitality companies. In 2025, Whitbread reported a current ratio of 0.79 and a quick ratio of 0.79, whereas Marriott recorded a significantly lower current ratio and quick ratio of 0.43. Marriott's working capital remained negative at approximately US$4.81 billion, reflecting current assets of US$3.58 billion against current liabilities of US$8.40 billion (Marriott International, Annual Report 2025). This demonstrates that both companies operate with relatively low liquidity levels, although Marriott follows a more aggressive asset-light financing model.</w:t>
      </w:r>
    </w:p>
    <w:p w14:paraId="0BE5D239">
      <w:pPr>
        <w:spacing w:line="360" w:lineRule="auto"/>
        <w:rPr>
          <w:rFonts w:ascii="Arial" w:hAnsi="Arial" w:cs="Arial"/>
        </w:rPr>
      </w:pPr>
      <w:r>
        <w:rPr>
          <w:rFonts w:ascii="Arial" w:hAnsi="Arial" w:cs="Arial"/>
          <w:color w:val="000000" w:themeColor="text1"/>
          <w14:textFill>
            <w14:solidFill>
              <w14:schemeClr w14:val="tx1"/>
            </w14:solidFill>
          </w14:textFill>
        </w:rPr>
        <w:t>Compared with Marriott, Whitbread maintains relatively stronger short-term liquidity despite operating with a similarly efficient working capital structure. Marriott's substantially lower liquidity ratios are supported by its highly cash-generative, asset-light business model, whereas Whitbread's owned-property strategy requires greater investment in operating assets and property infrastructure. A low liquidity number does not necessarily relate to the poor financial management of a hospitality business, even though it also may raise financial risk (</w:t>
      </w:r>
      <w:r>
        <w:rPr>
          <w:rFonts w:ascii="Arial" w:hAnsi="Arial" w:cs="Arial"/>
          <w:color w:val="000000" w:themeColor="text1"/>
          <w:highlight w:val="white"/>
          <w14:textFill>
            <w14:solidFill>
              <w14:schemeClr w14:val="tx1"/>
            </w14:solidFill>
          </w14:textFill>
        </w:rPr>
        <w:t>Gonçalves</w:t>
      </w:r>
      <w:r>
        <w:rPr>
          <w:rFonts w:ascii="Arial" w:hAnsi="Arial" w:cs="Arial"/>
          <w:color w:val="000000" w:themeColor="text1"/>
          <w14:textFill>
            <w14:solidFill>
              <w14:schemeClr w14:val="tx1"/>
            </w14:solidFill>
          </w14:textFill>
        </w:rPr>
        <w:t xml:space="preserve"> </w:t>
      </w:r>
      <w:r>
        <w:rPr>
          <w:rFonts w:ascii="Arial" w:hAnsi="Arial" w:cs="Arial"/>
          <w:i/>
          <w:iCs/>
          <w:color w:val="000000" w:themeColor="text1"/>
          <w14:textFill>
            <w14:solidFill>
              <w14:schemeClr w14:val="tx1"/>
            </w14:solidFill>
          </w14:textFill>
        </w:rPr>
        <w:t xml:space="preserve">et al. </w:t>
      </w:r>
      <w:r>
        <w:rPr>
          <w:rFonts w:ascii="Arial" w:hAnsi="Arial" w:cs="Arial"/>
          <w:color w:val="000000" w:themeColor="text1"/>
          <w:highlight w:val="white"/>
          <w14:textFill>
            <w14:solidFill>
              <w14:schemeClr w14:val="tx1"/>
            </w14:solidFill>
          </w14:textFill>
        </w:rPr>
        <w:t>2024)</w:t>
      </w:r>
      <w:r>
        <w:rPr>
          <w:rFonts w:ascii="Arial" w:hAnsi="Arial" w:cs="Arial"/>
          <w:color w:val="000000" w:themeColor="text1"/>
          <w14:textFill>
            <w14:solidFill>
              <w14:schemeClr w14:val="tx1"/>
            </w14:solidFill>
          </w14:textFill>
        </w:rPr>
        <w:t xml:space="preserve">. Large hotel owners </w:t>
      </w:r>
      <w:r>
        <w:rPr>
          <w:rFonts w:ascii="Arial" w:hAnsi="Arial" w:cs="Arial"/>
        </w:rPr>
        <w:t>frequently have lean working capital policies due to predictable cash inflows, cash payments by customers in advance, and high operating cash generation (</w:t>
      </w:r>
      <w:r>
        <w:rPr>
          <w:rFonts w:ascii="Arial" w:hAnsi="Arial" w:cs="Arial"/>
          <w:highlight w:val="white"/>
        </w:rPr>
        <w:t>Koroma</w:t>
      </w:r>
      <w:r>
        <w:rPr>
          <w:rFonts w:ascii="Arial" w:hAnsi="Arial" w:cs="Arial"/>
        </w:rPr>
        <w:t xml:space="preserve"> </w:t>
      </w:r>
      <w:r>
        <w:rPr>
          <w:rFonts w:ascii="Arial" w:hAnsi="Arial" w:cs="Arial"/>
          <w:i/>
          <w:iCs/>
        </w:rPr>
        <w:t xml:space="preserve">et al. </w:t>
      </w:r>
      <w:r>
        <w:rPr>
          <w:rFonts w:ascii="Arial" w:hAnsi="Arial" w:cs="Arial"/>
          <w:highlight w:val="white"/>
        </w:rPr>
        <w:t>2024)</w:t>
      </w:r>
      <w:r>
        <w:rPr>
          <w:rFonts w:ascii="Arial" w:hAnsi="Arial" w:cs="Arial"/>
        </w:rPr>
        <w:t xml:space="preserve">. </w:t>
      </w:r>
    </w:p>
    <w:p w14:paraId="6660C8FD">
      <w:pPr>
        <w:pStyle w:val="2"/>
        <w:spacing w:line="360" w:lineRule="auto"/>
        <w:rPr>
          <w:rFonts w:ascii="Arial" w:hAnsi="Arial" w:cs="Arial"/>
        </w:rPr>
      </w:pPr>
      <w:bookmarkStart w:id="17" w:name="_Toc235706195"/>
      <w:r>
        <w:rPr>
          <w:rFonts w:ascii="Arial" w:hAnsi="Arial" w:cs="Arial"/>
        </w:rPr>
        <w:t>2. Working Capital Management Analysis</w:t>
      </w:r>
      <w:bookmarkEnd w:id="17"/>
    </w:p>
    <w:p w14:paraId="1BED1FBB">
      <w:pPr>
        <w:pStyle w:val="3"/>
        <w:spacing w:line="360" w:lineRule="auto"/>
        <w:rPr>
          <w:rFonts w:ascii="Arial" w:hAnsi="Arial" w:cs="Arial"/>
        </w:rPr>
      </w:pPr>
      <w:bookmarkStart w:id="18" w:name="_Toc235706196"/>
      <w:r>
        <w:rPr>
          <w:rFonts w:ascii="Arial" w:hAnsi="Arial" w:cs="Arial"/>
        </w:rPr>
        <w:t>a) Cash Operating Cycle</w:t>
      </w:r>
      <w:bookmarkEnd w:id="18"/>
    </w:p>
    <w:p w14:paraId="2964886C">
      <w:pPr>
        <w:spacing w:line="360" w:lineRule="auto"/>
        <w:rPr>
          <w:rFonts w:ascii="Arial" w:hAnsi="Arial" w:cs="Arial"/>
        </w:rPr>
      </w:pPr>
      <w:r>
        <w:rPr>
          <w:rFonts w:ascii="Arial" w:hAnsi="Arial" w:cs="Arial"/>
        </w:rPr>
        <w:t>The cash operating cycle analysis shows that Whitbread PLC had a negative cash conversion cycle (CCC) over the five years, ranging from -97.35 days in FY 2021/22 to -66.67 days in FY 2024/25, with a slightly positive result of -69.12 days in FY 2025/26. When customers pay the company much earlier than the company pays its suppliers, and the company has a negative CCC, that is essentially financing the customer. This position is perceived as a good ratio of working capital for the industry, especially the hotel industry where the form of transaction between hotel and guests is either cash or advance payment for stays.</w:t>
      </w:r>
    </w:p>
    <w:p w14:paraId="62FEBDDE">
      <w:pPr>
        <w:spacing w:line="360" w:lineRule="auto"/>
        <w:jc w:val="center"/>
        <w:rPr>
          <w:rFonts w:ascii="Arial" w:hAnsi="Arial" w:cs="Arial"/>
        </w:rPr>
      </w:pPr>
      <w:r>
        <w:rPr>
          <w:rFonts w:ascii="Arial" w:hAnsi="Arial" w:cs="Arial"/>
          <w:lang w:val="en-US"/>
        </w:rPr>
        <w:drawing>
          <wp:inline distT="114300" distB="114300" distL="114300" distR="114300">
            <wp:extent cx="4662170" cy="1483995"/>
            <wp:effectExtent l="12700" t="12700" r="12700" b="12700"/>
            <wp:docPr id="11" name="image8.png"/>
            <wp:cNvGraphicFramePr/>
            <a:graphic xmlns:a="http://schemas.openxmlformats.org/drawingml/2006/main">
              <a:graphicData uri="http://schemas.openxmlformats.org/drawingml/2006/picture">
                <pic:pic xmlns:pic="http://schemas.openxmlformats.org/drawingml/2006/picture">
                  <pic:nvPicPr>
                    <pic:cNvPr id="11" name="image8.png"/>
                    <pic:cNvPicPr preferRelativeResize="0"/>
                  </pic:nvPicPr>
                  <pic:blipFill>
                    <a:blip r:embed="rId18"/>
                    <a:srcRect/>
                    <a:stretch>
                      <a:fillRect/>
                    </a:stretch>
                  </pic:blipFill>
                  <pic:spPr>
                    <a:xfrm>
                      <a:off x="0" y="0"/>
                      <a:ext cx="4662488" cy="1484225"/>
                    </a:xfrm>
                    <a:prstGeom prst="rect">
                      <a:avLst/>
                    </a:prstGeom>
                    <a:ln w="12700">
                      <a:solidFill>
                        <a:srgbClr val="000000"/>
                      </a:solidFill>
                      <a:prstDash val="solid"/>
                    </a:ln>
                  </pic:spPr>
                </pic:pic>
              </a:graphicData>
            </a:graphic>
          </wp:inline>
        </w:drawing>
      </w:r>
    </w:p>
    <w:p w14:paraId="279C364C">
      <w:pPr>
        <w:spacing w:line="360" w:lineRule="auto"/>
        <w:jc w:val="center"/>
        <w:rPr>
          <w:rFonts w:ascii="Arial" w:hAnsi="Arial" w:cs="Arial"/>
          <w:b/>
          <w:bCs/>
        </w:rPr>
      </w:pPr>
      <w:r>
        <w:rPr>
          <w:rFonts w:ascii="Arial" w:hAnsi="Arial" w:cs="Arial"/>
          <w:b/>
          <w:bCs/>
        </w:rPr>
        <w:t>Figure 11: Result of cash operating cycle</w:t>
      </w:r>
    </w:p>
    <w:p w14:paraId="69CE03CC">
      <w:pPr>
        <w:spacing w:line="360" w:lineRule="auto"/>
        <w:jc w:val="center"/>
        <w:rPr>
          <w:rFonts w:ascii="Arial" w:hAnsi="Arial" w:cs="Arial"/>
        </w:rPr>
      </w:pPr>
      <w:bookmarkStart w:id="19" w:name="_heading=h.n9izs05l2k6" w:colFirst="0" w:colLast="0"/>
      <w:bookmarkEnd w:id="19"/>
      <w:r>
        <w:rPr>
          <w:rFonts w:ascii="Arial" w:hAnsi="Arial" w:cs="Arial"/>
        </w:rPr>
        <w:t>(Source: Whitbread PLC, Annual Report and Accounts 2021/22, 2022/23, 2023/24, 2024/25, 2025/26)</w:t>
      </w:r>
    </w:p>
    <w:p w14:paraId="40924694">
      <w:pPr>
        <w:spacing w:line="360" w:lineRule="auto"/>
        <w:rPr>
          <w:rFonts w:ascii="Arial" w:hAnsi="Arial" w:cs="Arial"/>
        </w:rPr>
      </w:pPr>
      <w:r>
        <w:rPr>
          <w:rFonts w:ascii="Arial" w:hAnsi="Arial" w:cs="Arial"/>
        </w:rPr>
        <w:t>There has always been an improvement in receivable days - from 24.94 days in FY2021/22 to 14.71 days in FY2023/24, a sign of better credit management and quicker cash collection. Days to receivables rose slightly in FY2024/25 and FY2025/26, but were still much lower than the starting point, suggesting that the company maintained a healthy pace in collecting dues from concerned parties. Similarly, days paid decreased from 122.29 days to around 83-86 days, implying Whitbread has shortened the time for which it is paying suppliers. This can help reinforce suppliers' involvement in the transaction and enhance payment discipline, but it also cuts the financing advantage of taking trade credit.</w:t>
      </w:r>
    </w:p>
    <w:p w14:paraId="36153855">
      <w:pPr>
        <w:spacing w:line="360" w:lineRule="auto"/>
        <w:rPr>
          <w:rFonts w:ascii="Arial" w:hAnsi="Arial" w:cs="Arial"/>
        </w:rPr>
      </w:pPr>
      <w:r>
        <w:rPr>
          <w:rFonts w:ascii="Arial" w:hAnsi="Arial" w:cs="Arial"/>
        </w:rPr>
        <w:t>Many businesses have a positive cash conversion cycle; Whitbread has had a consistently negative cash conversion cycle, indicative of an operating cash generation model that is difficult to add value to and efficient in relation to working capital. However, this gradual decrease in the negative value of cash conversion cycle is also a sign of the fact that the company is holding onto supplier financing for a smaller amount of time as compared to earlier years.</w:t>
      </w:r>
    </w:p>
    <w:p w14:paraId="32907DE7">
      <w:pPr>
        <w:pStyle w:val="3"/>
        <w:spacing w:line="360" w:lineRule="auto"/>
        <w:rPr>
          <w:rFonts w:ascii="Arial" w:hAnsi="Arial" w:cs="Arial"/>
        </w:rPr>
      </w:pPr>
      <w:bookmarkStart w:id="20" w:name="_Toc235706197"/>
      <w:r>
        <w:rPr>
          <w:rFonts w:ascii="Arial" w:hAnsi="Arial" w:cs="Arial"/>
        </w:rPr>
        <w:t>b) Recommendation to improve liquidity</w:t>
      </w:r>
      <w:bookmarkEnd w:id="20"/>
    </w:p>
    <w:p w14:paraId="7B68363F">
      <w:pPr>
        <w:spacing w:line="360" w:lineRule="auto"/>
        <w:rPr>
          <w:rFonts w:ascii="Arial" w:hAnsi="Arial" w:cs="Arial"/>
          <w:color w:val="000000" w:themeColor="text1"/>
          <w14:textFill>
            <w14:solidFill>
              <w14:schemeClr w14:val="tx1"/>
            </w14:solidFill>
          </w14:textFill>
        </w:rPr>
      </w:pPr>
      <w:r>
        <w:rPr>
          <w:rFonts w:ascii="Arial" w:hAnsi="Arial" w:cs="Arial"/>
        </w:rPr>
        <w:t>Research on financial management shows that managing receivables efficiently benefits by increasing available cash and reducing short-term financial risk (</w:t>
      </w:r>
      <w:r>
        <w:rPr>
          <w:rFonts w:ascii="Arial" w:hAnsi="Arial" w:cs="Arial"/>
          <w:highlight w:val="white"/>
        </w:rPr>
        <w:t>Upreti</w:t>
      </w:r>
      <w:r>
        <w:rPr>
          <w:rFonts w:ascii="Arial" w:hAnsi="Arial" w:cs="Arial"/>
        </w:rPr>
        <w:t xml:space="preserve"> </w:t>
      </w:r>
      <w:r>
        <w:rPr>
          <w:rFonts w:ascii="Arial" w:hAnsi="Arial" w:cs="Arial"/>
          <w:i/>
          <w:iCs/>
        </w:rPr>
        <w:t xml:space="preserve">et al. </w:t>
      </w:r>
      <w:r>
        <w:rPr>
          <w:rFonts w:ascii="Arial" w:hAnsi="Arial" w:cs="Arial"/>
          <w:highlight w:val="white"/>
        </w:rPr>
        <w:t>2022)</w:t>
      </w:r>
      <w:r>
        <w:rPr>
          <w:rFonts w:ascii="Arial" w:hAnsi="Arial" w:cs="Arial"/>
        </w:rPr>
        <w:t>. There was an improvement in the receivable collection period across the 5 years taken, but the slight rise on both those two occasions during FY2024/25 and FY2025/26 indicates that there is still room fo</w:t>
      </w:r>
      <w:r>
        <w:rPr>
          <w:rFonts w:ascii="Arial" w:hAnsi="Arial" w:cs="Arial"/>
          <w:color w:val="000000" w:themeColor="text1"/>
          <w14:textFill>
            <w14:solidFill>
              <w14:schemeClr w14:val="tx1"/>
            </w14:solidFill>
          </w14:textFill>
        </w:rPr>
        <w:t>r improvement. The recommendation is predicted to increase Whitbread's liquidity resilience, enhance the liquidity of its cash flow, and increase financial flexibility in supporting future investment opportunities. Tighter working capital management, however, might have an impact on the operational flexibility or supplier agreements for the short term (</w:t>
      </w:r>
      <w:r>
        <w:rPr>
          <w:rFonts w:ascii="Arial" w:hAnsi="Arial" w:cs="Arial"/>
          <w:color w:val="000000" w:themeColor="text1"/>
          <w:highlight w:val="white"/>
          <w14:textFill>
            <w14:solidFill>
              <w14:schemeClr w14:val="tx1"/>
            </w14:solidFill>
          </w14:textFill>
        </w:rPr>
        <w:t>Habib</w:t>
      </w:r>
      <w:r>
        <w:rPr>
          <w:rFonts w:ascii="Arial" w:hAnsi="Arial" w:cs="Arial"/>
          <w:color w:val="000000" w:themeColor="text1"/>
          <w14:textFill>
            <w14:solidFill>
              <w14:schemeClr w14:val="tx1"/>
            </w14:solidFill>
          </w14:textFill>
        </w:rPr>
        <w:t xml:space="preserve"> </w:t>
      </w:r>
      <w:r>
        <w:rPr>
          <w:rFonts w:ascii="Arial" w:hAnsi="Arial" w:cs="Arial"/>
          <w:i/>
          <w:iCs/>
          <w:color w:val="000000" w:themeColor="text1"/>
          <w14:textFill>
            <w14:solidFill>
              <w14:schemeClr w14:val="tx1"/>
            </w14:solidFill>
          </w14:textFill>
        </w:rPr>
        <w:t xml:space="preserve">et al. </w:t>
      </w:r>
      <w:r>
        <w:rPr>
          <w:rFonts w:ascii="Arial" w:hAnsi="Arial" w:cs="Arial"/>
          <w:color w:val="000000" w:themeColor="text1"/>
          <w:highlight w:val="white"/>
          <w14:textFill>
            <w14:solidFill>
              <w14:schemeClr w14:val="tx1"/>
            </w14:solidFill>
          </w14:textFill>
        </w:rPr>
        <w:t>2024)</w:t>
      </w:r>
      <w:r>
        <w:rPr>
          <w:rFonts w:ascii="Arial" w:hAnsi="Arial" w:cs="Arial"/>
          <w:color w:val="000000" w:themeColor="text1"/>
          <w14:textFill>
            <w14:solidFill>
              <w14:schemeClr w14:val="tx1"/>
            </w14:solidFill>
          </w14:textFill>
        </w:rPr>
        <w:t>. These risks can be addressed with a phased approach, with liquidity continually monitored and existing suppliers regularly consulted, while service levels, standard efficiency, and service quality are improved without compromising liquidity.</w:t>
      </w:r>
    </w:p>
    <w:p w14:paraId="53C3EA75">
      <w:pPr>
        <w:spacing w:line="360" w:lineRule="auto"/>
        <w:rPr>
          <w:rFonts w:ascii="Arial" w:hAnsi="Arial" w:cs="Arial"/>
        </w:rPr>
      </w:pPr>
      <w:r>
        <w:rPr>
          <w:rFonts w:ascii="Arial" w:hAnsi="Arial" w:cs="Arial"/>
          <w:highlight w:val="white"/>
        </w:rPr>
        <w:t>Zheng</w:t>
      </w:r>
      <w:r>
        <w:rPr>
          <w:rFonts w:ascii="Arial" w:hAnsi="Arial" w:cs="Arial"/>
        </w:rPr>
        <w:t xml:space="preserve"> </w:t>
      </w:r>
      <w:r>
        <w:rPr>
          <w:rFonts w:ascii="Arial" w:hAnsi="Arial" w:cs="Arial"/>
          <w:i/>
          <w:iCs/>
        </w:rPr>
        <w:t xml:space="preserve">et al. </w:t>
      </w:r>
      <w:r>
        <w:rPr>
          <w:rFonts w:ascii="Arial" w:hAnsi="Arial" w:cs="Arial"/>
        </w:rPr>
        <w:t>(</w:t>
      </w:r>
      <w:r>
        <w:rPr>
          <w:rFonts w:ascii="Arial" w:hAnsi="Arial" w:cs="Arial"/>
          <w:highlight w:val="white"/>
        </w:rPr>
        <w:t xml:space="preserve">2022) </w:t>
      </w:r>
      <w:r>
        <w:rPr>
          <w:rFonts w:ascii="Arial" w:hAnsi="Arial" w:cs="Arial"/>
        </w:rPr>
        <w:t xml:space="preserve">indicate that effective trade credit management can provide a valuable source of low-cost short-term financing and optimise working capital management. The period to pay decreased sharply from 122 days to around 86 days, suggesting faster settlement of supplier obligations than before; liabilities are being paid down faster than those of Whitbread. Payments that are made in time improve supplier relationships, but making shorter and shorter periods of payment can be unneeded and costly extra expenditure in the short term. </w:t>
      </w:r>
    </w:p>
    <w:p w14:paraId="64ED163F">
      <w:pPr>
        <w:spacing w:line="360" w:lineRule="auto"/>
        <w:rPr>
          <w:rFonts w:ascii="Arial" w:hAnsi="Arial" w:cs="Arial"/>
        </w:rPr>
      </w:pPr>
      <w:r>
        <w:rPr>
          <w:rFonts w:ascii="Arial" w:hAnsi="Arial" w:cs="Arial"/>
          <w:highlight w:val="white"/>
        </w:rPr>
        <w:t>Kumar</w:t>
      </w:r>
      <w:r>
        <w:rPr>
          <w:rFonts w:ascii="Arial" w:hAnsi="Arial" w:cs="Arial"/>
        </w:rPr>
        <w:t>,</w:t>
      </w:r>
      <w:r>
        <w:rPr>
          <w:rFonts w:ascii="Arial" w:hAnsi="Arial" w:cs="Arial"/>
          <w:i/>
          <w:iCs/>
        </w:rPr>
        <w:t xml:space="preserve"> </w:t>
      </w:r>
      <w:r>
        <w:rPr>
          <w:rFonts w:ascii="Arial" w:hAnsi="Arial" w:cs="Arial"/>
        </w:rPr>
        <w:t>(</w:t>
      </w:r>
      <w:r>
        <w:rPr>
          <w:rFonts w:ascii="Arial" w:hAnsi="Arial" w:cs="Arial"/>
          <w:highlight w:val="white"/>
        </w:rPr>
        <w:t xml:space="preserve">2025) states that </w:t>
      </w:r>
      <w:r>
        <w:rPr>
          <w:rFonts w:ascii="Arial" w:hAnsi="Arial" w:cs="Arial"/>
        </w:rPr>
        <w:t xml:space="preserve">financial management and proactive cash planning make liquidity resilience better and also help to carry out sustainable operational performance. The narrowing gap is despite the negative cash conversion cycle and suggests a slight deterioration in liquidity efficiency. </w:t>
      </w:r>
    </w:p>
    <w:p w14:paraId="3FD824AB">
      <w:pPr>
        <w:pStyle w:val="3"/>
        <w:spacing w:line="360" w:lineRule="auto"/>
        <w:rPr>
          <w:rFonts w:ascii="Arial" w:hAnsi="Arial" w:cs="Arial"/>
        </w:rPr>
      </w:pPr>
      <w:bookmarkStart w:id="21" w:name="_Toc235706198"/>
      <w:r>
        <w:rPr>
          <w:rFonts w:ascii="Arial" w:hAnsi="Arial" w:cs="Arial"/>
        </w:rPr>
        <w:t>c) Comparison of short-term and long-term financial options</w:t>
      </w:r>
      <w:bookmarkEnd w:id="21"/>
    </w:p>
    <w:p w14:paraId="65F73A43">
      <w:pPr>
        <w:spacing w:line="360" w:lineRule="auto"/>
        <w:rPr>
          <w:rFonts w:ascii="Arial" w:hAnsi="Arial" w:cs="Arial"/>
        </w:rPr>
      </w:pPr>
    </w:p>
    <w:tbl>
      <w:tblPr>
        <w:tblStyle w:val="16"/>
        <w:tblW w:w="9339" w:type="dxa"/>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fixed"/>
        <w:tblCellMar>
          <w:top w:w="100" w:type="dxa"/>
          <w:left w:w="100" w:type="dxa"/>
          <w:bottom w:w="100" w:type="dxa"/>
          <w:right w:w="100" w:type="dxa"/>
        </w:tblCellMar>
      </w:tblPr>
      <w:tblGrid>
        <w:gridCol w:w="1956"/>
        <w:gridCol w:w="3699"/>
        <w:gridCol w:w="3684"/>
      </w:tblGrid>
      <w:tr w14:paraId="582C180E">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trPr>
        <w:tc>
          <w:tcPr>
            <w:tcW w:w="1957"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B821D82">
            <w:pPr>
              <w:spacing w:line="360" w:lineRule="auto"/>
              <w:jc w:val="center"/>
              <w:rPr>
                <w:rFonts w:ascii="Arial" w:hAnsi="Arial" w:cs="Arial"/>
              </w:rPr>
            </w:pPr>
            <w:r>
              <w:rPr>
                <w:rFonts w:ascii="Arial" w:hAnsi="Arial" w:cs="Arial"/>
                <w:b/>
                <w:bCs/>
              </w:rPr>
              <w:t>Criteria</w:t>
            </w:r>
          </w:p>
        </w:tc>
        <w:tc>
          <w:tcPr>
            <w:tcW w:w="3699"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BEBB4EF">
            <w:pPr>
              <w:spacing w:line="360" w:lineRule="auto"/>
              <w:jc w:val="center"/>
              <w:rPr>
                <w:rFonts w:ascii="Arial" w:hAnsi="Arial" w:cs="Arial"/>
              </w:rPr>
            </w:pPr>
            <w:r>
              <w:rPr>
                <w:rFonts w:ascii="Arial" w:hAnsi="Arial" w:cs="Arial"/>
                <w:b/>
                <w:bCs/>
              </w:rPr>
              <w:t>Short-term Financing</w:t>
            </w:r>
          </w:p>
        </w:tc>
        <w:tc>
          <w:tcPr>
            <w:tcW w:w="368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7A405EB">
            <w:pPr>
              <w:spacing w:line="360" w:lineRule="auto"/>
              <w:jc w:val="center"/>
              <w:rPr>
                <w:rFonts w:ascii="Arial" w:hAnsi="Arial" w:cs="Arial"/>
              </w:rPr>
            </w:pPr>
            <w:r>
              <w:rPr>
                <w:rFonts w:ascii="Arial" w:hAnsi="Arial" w:cs="Arial"/>
                <w:b/>
                <w:bCs/>
              </w:rPr>
              <w:t>Long-term Financing</w:t>
            </w:r>
          </w:p>
        </w:tc>
      </w:tr>
      <w:tr w14:paraId="53CAF4B5">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1055" w:hRule="atLeast"/>
        </w:trPr>
        <w:tc>
          <w:tcPr>
            <w:tcW w:w="1957"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B2AFD3F">
            <w:pPr>
              <w:spacing w:line="360" w:lineRule="auto"/>
              <w:rPr>
                <w:rFonts w:ascii="Arial" w:hAnsi="Arial" w:cs="Arial"/>
              </w:rPr>
            </w:pPr>
            <w:r>
              <w:rPr>
                <w:rFonts w:ascii="Arial" w:hAnsi="Arial" w:cs="Arial"/>
                <w:b/>
                <w:bCs/>
              </w:rPr>
              <w:t>Common Sources</w:t>
            </w:r>
          </w:p>
        </w:tc>
        <w:tc>
          <w:tcPr>
            <w:tcW w:w="3699"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73802AA5">
            <w:pPr>
              <w:spacing w:line="360" w:lineRule="auto"/>
              <w:rPr>
                <w:rFonts w:ascii="Arial" w:hAnsi="Arial" w:cs="Arial"/>
              </w:rPr>
            </w:pPr>
            <w:r>
              <w:rPr>
                <w:rFonts w:ascii="Arial" w:hAnsi="Arial" w:cs="Arial"/>
              </w:rPr>
              <w:t>Bank overdrafts, trade credit, revolving credit facilities, short-term bank loans.</w:t>
            </w:r>
          </w:p>
        </w:tc>
        <w:tc>
          <w:tcPr>
            <w:tcW w:w="368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79274DC9">
            <w:pPr>
              <w:spacing w:line="360" w:lineRule="auto"/>
              <w:rPr>
                <w:rFonts w:ascii="Arial" w:hAnsi="Arial" w:cs="Arial"/>
              </w:rPr>
            </w:pPr>
            <w:r>
              <w:rPr>
                <w:rFonts w:ascii="Arial" w:hAnsi="Arial" w:cs="Arial"/>
              </w:rPr>
              <w:t>Term loans, corporate bonds, equity financing, lease financing.</w:t>
            </w:r>
          </w:p>
        </w:tc>
      </w:tr>
      <w:tr w14:paraId="1ED8496C">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1055" w:hRule="atLeast"/>
        </w:trPr>
        <w:tc>
          <w:tcPr>
            <w:tcW w:w="1957"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34B5432">
            <w:pPr>
              <w:spacing w:line="360" w:lineRule="auto"/>
              <w:rPr>
                <w:rFonts w:ascii="Arial" w:hAnsi="Arial" w:cs="Arial"/>
              </w:rPr>
            </w:pPr>
            <w:r>
              <w:rPr>
                <w:rFonts w:ascii="Arial" w:hAnsi="Arial" w:cs="Arial"/>
                <w:b/>
                <w:bCs/>
              </w:rPr>
              <w:t>Cost of Finance</w:t>
            </w:r>
          </w:p>
        </w:tc>
        <w:tc>
          <w:tcPr>
            <w:tcW w:w="3699"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19CD214B">
            <w:pPr>
              <w:spacing w:line="360" w:lineRule="auto"/>
              <w:rPr>
                <w:rFonts w:ascii="Arial" w:hAnsi="Arial" w:cs="Arial"/>
              </w:rPr>
            </w:pPr>
            <w:r>
              <w:rPr>
                <w:rFonts w:ascii="Arial" w:hAnsi="Arial" w:cs="Arial"/>
              </w:rPr>
              <w:t>Generally lower interest rates but variable and sensitive to market fluctuations.</w:t>
            </w:r>
          </w:p>
        </w:tc>
        <w:tc>
          <w:tcPr>
            <w:tcW w:w="368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742FF2E5">
            <w:pPr>
              <w:spacing w:line="360" w:lineRule="auto"/>
              <w:rPr>
                <w:rFonts w:ascii="Arial" w:hAnsi="Arial" w:cs="Arial"/>
              </w:rPr>
            </w:pPr>
            <w:r>
              <w:rPr>
                <w:rFonts w:ascii="Arial" w:hAnsi="Arial" w:cs="Arial"/>
              </w:rPr>
              <w:t>Usually higher overall cost but offers greater interest rate stability over time.</w:t>
            </w:r>
          </w:p>
        </w:tc>
      </w:tr>
      <w:tr w14:paraId="1C148C7B">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785" w:hRule="atLeast"/>
        </w:trPr>
        <w:tc>
          <w:tcPr>
            <w:tcW w:w="1957"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116DC8C8">
            <w:pPr>
              <w:spacing w:line="360" w:lineRule="auto"/>
              <w:rPr>
                <w:rFonts w:ascii="Arial" w:hAnsi="Arial" w:cs="Arial"/>
              </w:rPr>
            </w:pPr>
            <w:r>
              <w:rPr>
                <w:rFonts w:ascii="Arial" w:hAnsi="Arial" w:cs="Arial"/>
                <w:b/>
                <w:bCs/>
              </w:rPr>
              <w:t>Repayment Period</w:t>
            </w:r>
          </w:p>
        </w:tc>
        <w:tc>
          <w:tcPr>
            <w:tcW w:w="3699"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169E2165">
            <w:pPr>
              <w:spacing w:line="360" w:lineRule="auto"/>
              <w:rPr>
                <w:rFonts w:ascii="Arial" w:hAnsi="Arial" w:cs="Arial"/>
              </w:rPr>
            </w:pPr>
            <w:r>
              <w:rPr>
                <w:rFonts w:ascii="Arial" w:hAnsi="Arial" w:cs="Arial"/>
              </w:rPr>
              <w:t>Repayable within one year.</w:t>
            </w:r>
          </w:p>
        </w:tc>
        <w:tc>
          <w:tcPr>
            <w:tcW w:w="368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C6BE102">
            <w:pPr>
              <w:spacing w:line="360" w:lineRule="auto"/>
              <w:rPr>
                <w:rFonts w:ascii="Arial" w:hAnsi="Arial" w:cs="Arial"/>
              </w:rPr>
            </w:pPr>
            <w:r>
              <w:rPr>
                <w:rFonts w:ascii="Arial" w:hAnsi="Arial" w:cs="Arial"/>
              </w:rPr>
              <w:t>Repayable over several years according to agreed terms.</w:t>
            </w:r>
          </w:p>
        </w:tc>
      </w:tr>
      <w:tr w14:paraId="036FB21C">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1055" w:hRule="atLeast"/>
        </w:trPr>
        <w:tc>
          <w:tcPr>
            <w:tcW w:w="1957"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275BEB2">
            <w:pPr>
              <w:spacing w:line="360" w:lineRule="auto"/>
              <w:rPr>
                <w:rFonts w:ascii="Arial" w:hAnsi="Arial" w:cs="Arial"/>
              </w:rPr>
            </w:pPr>
            <w:r>
              <w:rPr>
                <w:rFonts w:ascii="Arial" w:hAnsi="Arial" w:cs="Arial"/>
                <w:b/>
                <w:bCs/>
              </w:rPr>
              <w:t>Liquidity Impact</w:t>
            </w:r>
          </w:p>
        </w:tc>
        <w:tc>
          <w:tcPr>
            <w:tcW w:w="3699"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E9321ED">
            <w:pPr>
              <w:spacing w:line="360" w:lineRule="auto"/>
              <w:rPr>
                <w:rFonts w:ascii="Arial" w:hAnsi="Arial" w:cs="Arial"/>
              </w:rPr>
            </w:pPr>
            <w:r>
              <w:rPr>
                <w:rFonts w:ascii="Arial" w:hAnsi="Arial" w:cs="Arial"/>
              </w:rPr>
              <w:t>Improves immediate liquidity but increases short-term repayment pressure.</w:t>
            </w:r>
          </w:p>
        </w:tc>
        <w:tc>
          <w:tcPr>
            <w:tcW w:w="368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AA98CC7">
            <w:pPr>
              <w:spacing w:line="360" w:lineRule="auto"/>
              <w:rPr>
                <w:rFonts w:ascii="Arial" w:hAnsi="Arial" w:cs="Arial"/>
              </w:rPr>
            </w:pPr>
            <w:r>
              <w:rPr>
                <w:rFonts w:ascii="Arial" w:hAnsi="Arial" w:cs="Arial"/>
              </w:rPr>
              <w:t>Supports liquidity by spreading repayments over a longer period.</w:t>
            </w:r>
          </w:p>
        </w:tc>
      </w:tr>
      <w:tr w14:paraId="2596680F">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1055" w:hRule="atLeast"/>
        </w:trPr>
        <w:tc>
          <w:tcPr>
            <w:tcW w:w="1957"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91CB880">
            <w:pPr>
              <w:spacing w:line="360" w:lineRule="auto"/>
              <w:rPr>
                <w:rFonts w:ascii="Arial" w:hAnsi="Arial" w:cs="Arial"/>
              </w:rPr>
            </w:pPr>
            <w:r>
              <w:rPr>
                <w:rFonts w:ascii="Arial" w:hAnsi="Arial" w:cs="Arial"/>
                <w:b/>
                <w:bCs/>
              </w:rPr>
              <w:t>Financial Risk</w:t>
            </w:r>
          </w:p>
        </w:tc>
        <w:tc>
          <w:tcPr>
            <w:tcW w:w="3699"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5E38D13">
            <w:pPr>
              <w:spacing w:line="360" w:lineRule="auto"/>
              <w:rPr>
                <w:rFonts w:ascii="Arial" w:hAnsi="Arial" w:cs="Arial"/>
              </w:rPr>
            </w:pPr>
            <w:r>
              <w:rPr>
                <w:rFonts w:ascii="Arial" w:hAnsi="Arial" w:cs="Arial"/>
              </w:rPr>
              <w:t>Higher refinancing and interest rate risk due to frequent renewals.</w:t>
            </w:r>
          </w:p>
        </w:tc>
        <w:tc>
          <w:tcPr>
            <w:tcW w:w="368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EE87964">
            <w:pPr>
              <w:spacing w:line="360" w:lineRule="auto"/>
              <w:rPr>
                <w:rFonts w:ascii="Arial" w:hAnsi="Arial" w:cs="Arial"/>
              </w:rPr>
            </w:pPr>
            <w:r>
              <w:rPr>
                <w:rFonts w:ascii="Arial" w:hAnsi="Arial" w:cs="Arial"/>
              </w:rPr>
              <w:t>Lower refinancing risk but increases long-term financial commitments.</w:t>
            </w:r>
          </w:p>
        </w:tc>
      </w:tr>
      <w:tr w14:paraId="6E0B6668">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1055" w:hRule="atLeast"/>
        </w:trPr>
        <w:tc>
          <w:tcPr>
            <w:tcW w:w="1957"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5ED09A2">
            <w:pPr>
              <w:spacing w:line="360" w:lineRule="auto"/>
              <w:rPr>
                <w:rFonts w:ascii="Arial" w:hAnsi="Arial" w:cs="Arial"/>
              </w:rPr>
            </w:pPr>
            <w:r>
              <w:rPr>
                <w:rFonts w:ascii="Arial" w:hAnsi="Arial" w:cs="Arial"/>
                <w:b/>
                <w:bCs/>
              </w:rPr>
              <w:t>Flexibility</w:t>
            </w:r>
          </w:p>
        </w:tc>
        <w:tc>
          <w:tcPr>
            <w:tcW w:w="3699"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25009C2">
            <w:pPr>
              <w:spacing w:line="360" w:lineRule="auto"/>
              <w:rPr>
                <w:rFonts w:ascii="Arial" w:hAnsi="Arial" w:cs="Arial"/>
              </w:rPr>
            </w:pPr>
            <w:r>
              <w:rPr>
                <w:rFonts w:ascii="Arial" w:hAnsi="Arial" w:cs="Arial"/>
              </w:rPr>
              <w:t>Highly flexible for seasonal or temporary funding needs.</w:t>
            </w:r>
          </w:p>
        </w:tc>
        <w:tc>
          <w:tcPr>
            <w:tcW w:w="368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DAE37C2">
            <w:pPr>
              <w:spacing w:line="360" w:lineRule="auto"/>
              <w:rPr>
                <w:rFonts w:ascii="Arial" w:hAnsi="Arial" w:cs="Arial"/>
              </w:rPr>
            </w:pPr>
            <w:r>
              <w:rPr>
                <w:rFonts w:ascii="Arial" w:hAnsi="Arial" w:cs="Arial"/>
              </w:rPr>
              <w:t>Less flexible because of contractual obligations and long repayment periods.</w:t>
            </w:r>
          </w:p>
        </w:tc>
      </w:tr>
      <w:tr w14:paraId="5811F43F">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1055" w:hRule="atLeast"/>
        </w:trPr>
        <w:tc>
          <w:tcPr>
            <w:tcW w:w="1957"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1615360">
            <w:pPr>
              <w:spacing w:line="360" w:lineRule="auto"/>
              <w:rPr>
                <w:rFonts w:ascii="Arial" w:hAnsi="Arial" w:cs="Arial"/>
              </w:rPr>
            </w:pPr>
            <w:r>
              <w:rPr>
                <w:rFonts w:ascii="Arial" w:hAnsi="Arial" w:cs="Arial"/>
                <w:b/>
                <w:bCs/>
              </w:rPr>
              <w:t>Impact on Profitability</w:t>
            </w:r>
          </w:p>
        </w:tc>
        <w:tc>
          <w:tcPr>
            <w:tcW w:w="3699"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7694407A">
            <w:pPr>
              <w:spacing w:line="360" w:lineRule="auto"/>
              <w:rPr>
                <w:rFonts w:ascii="Arial" w:hAnsi="Arial" w:cs="Arial"/>
              </w:rPr>
            </w:pPr>
            <w:r>
              <w:rPr>
                <w:rFonts w:ascii="Arial" w:hAnsi="Arial" w:cs="Arial"/>
              </w:rPr>
              <w:t>Lower financing costs may improve short-term profitability if managed efficiently.</w:t>
            </w:r>
          </w:p>
        </w:tc>
        <w:tc>
          <w:tcPr>
            <w:tcW w:w="368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4176F40">
            <w:pPr>
              <w:spacing w:line="360" w:lineRule="auto"/>
              <w:rPr>
                <w:rFonts w:ascii="Arial" w:hAnsi="Arial" w:cs="Arial"/>
              </w:rPr>
            </w:pPr>
            <w:r>
              <w:rPr>
                <w:rFonts w:ascii="Arial" w:hAnsi="Arial" w:cs="Arial"/>
              </w:rPr>
              <w:t>Higher financing costs may reduce short-term profits but support future growth and returns.</w:t>
            </w:r>
          </w:p>
        </w:tc>
      </w:tr>
      <w:tr w14:paraId="23D0811A">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1340" w:hRule="atLeast"/>
        </w:trPr>
        <w:tc>
          <w:tcPr>
            <w:tcW w:w="1957"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4309B7">
            <w:pPr>
              <w:spacing w:line="360" w:lineRule="auto"/>
              <w:rPr>
                <w:rFonts w:ascii="Arial" w:hAnsi="Arial" w:cs="Arial"/>
              </w:rPr>
            </w:pPr>
            <w:r>
              <w:rPr>
                <w:rFonts w:ascii="Arial" w:hAnsi="Arial" w:cs="Arial"/>
                <w:b/>
                <w:bCs/>
              </w:rPr>
              <w:t>Suitability for Whitbread PLC</w:t>
            </w:r>
          </w:p>
        </w:tc>
        <w:tc>
          <w:tcPr>
            <w:tcW w:w="3699"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A765FD0">
            <w:pPr>
              <w:spacing w:line="360" w:lineRule="auto"/>
              <w:rPr>
                <w:rFonts w:ascii="Arial" w:hAnsi="Arial" w:cs="Arial"/>
              </w:rPr>
            </w:pPr>
            <w:r>
              <w:rPr>
                <w:rFonts w:ascii="Arial" w:hAnsi="Arial" w:cs="Arial"/>
              </w:rPr>
              <w:t>Suitable for managing seasonal cash flow fluctuations and day-to-day working capital requirements.</w:t>
            </w:r>
          </w:p>
        </w:tc>
        <w:tc>
          <w:tcPr>
            <w:tcW w:w="368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75723F02">
            <w:pPr>
              <w:spacing w:line="360" w:lineRule="auto"/>
              <w:rPr>
                <w:rFonts w:ascii="Arial" w:hAnsi="Arial" w:cs="Arial"/>
              </w:rPr>
            </w:pPr>
            <w:r>
              <w:rPr>
                <w:rFonts w:ascii="Arial" w:hAnsi="Arial" w:cs="Arial"/>
              </w:rPr>
              <w:t>More appropriate for hotel expansion, refurbishment projects and long-term strategic investments.</w:t>
            </w:r>
          </w:p>
        </w:tc>
      </w:tr>
    </w:tbl>
    <w:p w14:paraId="09E3B590">
      <w:pPr>
        <w:spacing w:line="360" w:lineRule="auto"/>
        <w:rPr>
          <w:rFonts w:ascii="Arial" w:hAnsi="Arial" w:cs="Arial"/>
          <w:b/>
          <w:bCs/>
        </w:rPr>
      </w:pPr>
    </w:p>
    <w:p w14:paraId="2D8A8B09">
      <w:pPr>
        <w:spacing w:line="360" w:lineRule="auto"/>
        <w:jc w:val="center"/>
        <w:rPr>
          <w:rFonts w:ascii="Arial" w:hAnsi="Arial" w:cs="Arial"/>
          <w:b/>
          <w:bCs/>
        </w:rPr>
      </w:pPr>
      <w:r>
        <w:rPr>
          <w:rFonts w:ascii="Arial" w:hAnsi="Arial" w:cs="Arial"/>
          <w:b/>
          <w:bCs/>
        </w:rPr>
        <w:t>Table 1: Short-term and long-term financial options</w:t>
      </w:r>
    </w:p>
    <w:p w14:paraId="7C2A0874">
      <w:pPr>
        <w:pStyle w:val="2"/>
        <w:spacing w:line="360" w:lineRule="auto"/>
        <w:rPr>
          <w:rFonts w:ascii="Arial" w:hAnsi="Arial" w:cs="Arial"/>
        </w:rPr>
      </w:pPr>
      <w:bookmarkStart w:id="22" w:name="_Toc235706199"/>
      <w:r>
        <w:rPr>
          <w:rFonts w:ascii="Arial" w:hAnsi="Arial" w:cs="Arial"/>
        </w:rPr>
        <w:t>3. Strategic Financial Restructuring Plan</w:t>
      </w:r>
      <w:bookmarkEnd w:id="22"/>
    </w:p>
    <w:p w14:paraId="66D377CE">
      <w:pPr>
        <w:pStyle w:val="3"/>
        <w:spacing w:line="360" w:lineRule="auto"/>
        <w:rPr>
          <w:rFonts w:ascii="Arial" w:hAnsi="Arial" w:cs="Arial"/>
        </w:rPr>
      </w:pPr>
      <w:bookmarkStart w:id="23" w:name="_Toc235706200"/>
      <w:r>
        <w:rPr>
          <w:rFonts w:ascii="Arial" w:hAnsi="Arial" w:cs="Arial"/>
        </w:rPr>
        <w:t>a) Recommendation of financial restructuring options</w:t>
      </w:r>
      <w:bookmarkEnd w:id="23"/>
    </w:p>
    <w:p w14:paraId="00FBD975">
      <w:pPr>
        <w:spacing w:line="360" w:lineRule="auto"/>
        <w:rPr>
          <w:rFonts w:ascii="Arial" w:hAnsi="Arial" w:cs="Arial"/>
        </w:rPr>
      </w:pPr>
      <w:r>
        <w:rPr>
          <w:rFonts w:ascii="Arial" w:hAnsi="Arial" w:cs="Arial"/>
        </w:rPr>
        <w:t>There's a need for a financial restructuring option that is tailored for Whitbread PLC to increase its financial flexibility and provide support for long-term growth. From a financial analysis perspective, sale and leaseback, debt restructuring using selective debt, and targeted divestment of non-core assets are the most appropriate restructuring methods, while equity financing and major acquisition do not seem as appropriate under the current situation.</w:t>
      </w:r>
    </w:p>
    <w:p w14:paraId="655DD698">
      <w:pPr>
        <w:spacing w:line="360" w:lineRule="auto"/>
        <w:rPr>
          <w:rFonts w:ascii="Arial" w:hAnsi="Arial" w:cs="Arial"/>
        </w:rPr>
      </w:pPr>
      <w:r>
        <w:rPr>
          <w:rFonts w:ascii="Arial" w:hAnsi="Arial" w:cs="Arial"/>
          <w:color w:val="000000" w:themeColor="text1"/>
          <w14:textFill>
            <w14:solidFill>
              <w14:schemeClr w14:val="tx1"/>
            </w14:solidFill>
          </w14:textFill>
        </w:rPr>
        <w:t>In order to maximise the asset portfolio, Whitbread needs to focus more on high-performing properties whilst additionally liquidating poorly performing assets. This is based on declining profitability and increasing costs, with a view to making capital more efficient and increasing the long-term returns (Whitbread Annual Report 2025/26). The key risk is the disruption associated with the restructuring and sale of assets (</w:t>
      </w:r>
      <w:r>
        <w:rPr>
          <w:rFonts w:ascii="Arial" w:hAnsi="Arial" w:cs="Arial"/>
          <w:color w:val="000000" w:themeColor="text1"/>
          <w:highlight w:val="white"/>
          <w14:textFill>
            <w14:solidFill>
              <w14:schemeClr w14:val="tx1"/>
            </w14:solidFill>
          </w14:textFill>
        </w:rPr>
        <w:t>Luo</w:t>
      </w:r>
      <w:r>
        <w:rPr>
          <w:rFonts w:ascii="Arial" w:hAnsi="Arial" w:cs="Arial"/>
          <w:color w:val="000000" w:themeColor="text1"/>
          <w14:textFill>
            <w14:solidFill>
              <w14:schemeClr w14:val="tx1"/>
            </w14:solidFill>
          </w14:textFill>
        </w:rPr>
        <w:t xml:space="preserve"> </w:t>
      </w:r>
      <w:r>
        <w:rPr>
          <w:rFonts w:ascii="Arial" w:hAnsi="Arial" w:cs="Arial"/>
          <w:i/>
          <w:iCs/>
          <w:color w:val="000000" w:themeColor="text1"/>
          <w14:textFill>
            <w14:solidFill>
              <w14:schemeClr w14:val="tx1"/>
            </w14:solidFill>
          </w14:textFill>
        </w:rPr>
        <w:t xml:space="preserve">et al. </w:t>
      </w:r>
      <w:r>
        <w:rPr>
          <w:rFonts w:ascii="Arial" w:hAnsi="Arial" w:cs="Arial"/>
          <w:color w:val="000000" w:themeColor="text1"/>
          <w:highlight w:val="white"/>
          <w14:textFill>
            <w14:solidFill>
              <w14:schemeClr w14:val="tx1"/>
            </w14:solidFill>
          </w14:textFill>
        </w:rPr>
        <w:t>2025)</w:t>
      </w:r>
      <w:r>
        <w:rPr>
          <w:rFonts w:ascii="Arial" w:hAnsi="Arial" w:cs="Arial"/>
          <w:color w:val="000000" w:themeColor="text1"/>
          <w14:textFill>
            <w14:solidFill>
              <w14:schemeClr w14:val="tx1"/>
            </w14:solidFill>
          </w14:textFill>
        </w:rPr>
        <w:t>. This can be reduced by implementing the interventions in a phased manner, conducting a detailed evaluation of the financial cost, and performance tracking to champion real value creation. Based on financial research, ap</w:t>
      </w:r>
      <w:r>
        <w:rPr>
          <w:rFonts w:ascii="Arial" w:hAnsi="Arial" w:cs="Arial"/>
        </w:rPr>
        <w:t>propriate asset optimisation can enhance capital efficiency and enhance the company's liquidity position (</w:t>
      </w:r>
      <w:r>
        <w:rPr>
          <w:rFonts w:ascii="Arial" w:hAnsi="Arial" w:cs="Arial"/>
          <w:highlight w:val="white"/>
        </w:rPr>
        <w:t>Nguyen</w:t>
      </w:r>
      <w:r>
        <w:rPr>
          <w:rFonts w:ascii="Arial" w:hAnsi="Arial" w:cs="Arial"/>
        </w:rPr>
        <w:t xml:space="preserve"> </w:t>
      </w:r>
      <w:r>
        <w:rPr>
          <w:rFonts w:ascii="Arial" w:hAnsi="Arial" w:cs="Arial"/>
          <w:i/>
          <w:iCs/>
        </w:rPr>
        <w:t xml:space="preserve">et al. </w:t>
      </w:r>
      <w:r>
        <w:rPr>
          <w:rFonts w:ascii="Arial" w:hAnsi="Arial" w:cs="Arial"/>
          <w:highlight w:val="white"/>
        </w:rPr>
        <w:t>2024)</w:t>
      </w:r>
      <w:r>
        <w:rPr>
          <w:rFonts w:ascii="Arial" w:hAnsi="Arial" w:cs="Arial"/>
        </w:rPr>
        <w:t>.</w:t>
      </w:r>
    </w:p>
    <w:p w14:paraId="65DB7974">
      <w:pPr>
        <w:spacing w:line="360" w:lineRule="auto"/>
        <w:rPr>
          <w:rFonts w:ascii="Arial" w:hAnsi="Arial" w:cs="Arial"/>
        </w:rPr>
      </w:pPr>
      <w:r>
        <w:rPr>
          <w:rFonts w:ascii="Arial" w:hAnsi="Arial" w:cs="Arial"/>
        </w:rPr>
        <w:t xml:space="preserve">Interest restructuring, such as refinancing the existing borrowings with a long-term time frame or low finance costs, should also be considered. With capital structure remaining relatively stable, especially in recent years, the company can benefit from higher cash flows in the future with lower financing costs, as seen by a drop in profitability and interest coverage in the last two years. </w:t>
      </w:r>
      <w:r>
        <w:rPr>
          <w:rFonts w:ascii="Arial" w:hAnsi="Arial" w:cs="Arial"/>
          <w:highlight w:val="white"/>
        </w:rPr>
        <w:t>Mehmood</w:t>
      </w:r>
      <w:r>
        <w:rPr>
          <w:rFonts w:ascii="Arial" w:hAnsi="Arial" w:cs="Arial"/>
        </w:rPr>
        <w:t xml:space="preserve"> </w:t>
      </w:r>
      <w:r>
        <w:rPr>
          <w:rFonts w:ascii="Arial" w:hAnsi="Arial" w:cs="Arial"/>
          <w:i/>
          <w:iCs/>
        </w:rPr>
        <w:t xml:space="preserve">et al. </w:t>
      </w:r>
      <w:r>
        <w:rPr>
          <w:rFonts w:ascii="Arial" w:hAnsi="Arial" w:cs="Arial"/>
        </w:rPr>
        <w:t>(</w:t>
      </w:r>
      <w:r>
        <w:rPr>
          <w:rFonts w:ascii="Arial" w:hAnsi="Arial" w:cs="Arial"/>
          <w:highlight w:val="white"/>
        </w:rPr>
        <w:t>2025)</w:t>
      </w:r>
      <w:r>
        <w:rPr>
          <w:rFonts w:ascii="Arial" w:hAnsi="Arial" w:cs="Arial"/>
        </w:rPr>
        <w:t xml:space="preserve"> suggest that proactive restructuring of debt would serve to enhance financial stability and limit refinancing risk in an environment of uncertainty.</w:t>
      </w:r>
    </w:p>
    <w:p w14:paraId="5FEF0B4E">
      <w:pPr>
        <w:pStyle w:val="3"/>
        <w:spacing w:line="360" w:lineRule="auto"/>
        <w:rPr>
          <w:rFonts w:ascii="Arial" w:hAnsi="Arial" w:cs="Arial"/>
        </w:rPr>
      </w:pPr>
      <w:bookmarkStart w:id="24" w:name="_Toc235706201"/>
      <w:r>
        <w:rPr>
          <w:rFonts w:ascii="Arial" w:hAnsi="Arial" w:cs="Arial"/>
        </w:rPr>
        <w:t>b) Shareholder Impact evaluation</w:t>
      </w:r>
      <w:bookmarkEnd w:id="24"/>
      <w:r>
        <w:rPr>
          <w:rFonts w:ascii="Arial" w:hAnsi="Arial" w:cs="Arial"/>
        </w:rPr>
        <w:t xml:space="preserve"> </w:t>
      </w:r>
    </w:p>
    <w:p w14:paraId="7EA6A8A5">
      <w:pPr>
        <w:spacing w:line="360" w:lineRule="auto"/>
        <w:rPr>
          <w:rFonts w:ascii="Arial" w:hAnsi="Arial" w:cs="Arial"/>
        </w:rPr>
      </w:pPr>
      <w:r>
        <w:rPr>
          <w:rFonts w:ascii="Arial" w:hAnsi="Arial" w:cs="Arial"/>
        </w:rPr>
        <w:t>Through the financial restructuring strategy, positive outcomes are expected to occur for Whitbread PLC that will lead to an increase in shareholder value, a positive restructuring of the debt policy, financial flexibility, and support their profitability in the long term. The measures of asset optimisation would provide sufficient additional free capital without disrupting the activities. Such money could be used to redevelop a hotel, upgrade the technology and the building for future use, thus growing the company's long-term earning power and its shareholder value. The financial management research indicates that developing effective capital allocation directly influences the maximisation of shareholder wealth sustainably through value-added investments (</w:t>
      </w:r>
      <w:r>
        <w:rPr>
          <w:rFonts w:ascii="Arial" w:hAnsi="Arial" w:cs="Arial"/>
          <w:highlight w:val="white"/>
        </w:rPr>
        <w:t>Arenbo</w:t>
      </w:r>
      <w:r>
        <w:rPr>
          <w:rFonts w:ascii="Arial" w:hAnsi="Arial" w:cs="Arial"/>
        </w:rPr>
        <w:t xml:space="preserve">, </w:t>
      </w:r>
      <w:r>
        <w:rPr>
          <w:rFonts w:ascii="Arial" w:hAnsi="Arial" w:cs="Arial"/>
          <w:highlight w:val="white"/>
        </w:rPr>
        <w:t>2023).</w:t>
      </w:r>
    </w:p>
    <w:p w14:paraId="0A2CE973">
      <w:pPr>
        <w:spacing w:line="360" w:lineRule="auto"/>
        <w:rPr>
          <w:rFonts w:ascii="Arial" w:hAnsi="Arial" w:cs="Arial"/>
        </w:rPr>
      </w:pPr>
      <w:r>
        <w:rPr>
          <w:rFonts w:ascii="Arial" w:hAnsi="Arial" w:cs="Arial"/>
        </w:rPr>
        <w:t xml:space="preserve">In terms of debt, refinancing some of the debts through longer-term or at a lower cost would alleviate refinancing pressure and enhance interest coverage. This would further diversify Whitbread's capital mix with minimal effect on financial leverage. </w:t>
      </w:r>
      <w:r>
        <w:rPr>
          <w:rFonts w:ascii="Arial" w:hAnsi="Arial" w:cs="Arial"/>
          <w:highlight w:val="white"/>
        </w:rPr>
        <w:t>Uyar</w:t>
      </w:r>
      <w:r>
        <w:rPr>
          <w:rFonts w:ascii="Arial" w:hAnsi="Arial" w:cs="Arial"/>
        </w:rPr>
        <w:t xml:space="preserve"> </w:t>
      </w:r>
      <w:r>
        <w:rPr>
          <w:rFonts w:ascii="Arial" w:hAnsi="Arial" w:cs="Arial"/>
          <w:i/>
          <w:iCs/>
        </w:rPr>
        <w:t xml:space="preserve">et al. </w:t>
      </w:r>
      <w:r>
        <w:rPr>
          <w:rFonts w:ascii="Arial" w:hAnsi="Arial" w:cs="Arial"/>
        </w:rPr>
        <w:t>(</w:t>
      </w:r>
      <w:r>
        <w:rPr>
          <w:rFonts w:ascii="Arial" w:hAnsi="Arial" w:cs="Arial"/>
          <w:highlight w:val="white"/>
        </w:rPr>
        <w:t>2024)</w:t>
      </w:r>
      <w:r>
        <w:rPr>
          <w:rFonts w:ascii="Arial" w:hAnsi="Arial" w:cs="Arial"/>
        </w:rPr>
        <w:t xml:space="preserve"> suggest that an optimal debt structure minimizes financial risk and will still allow access to future borrowing lines.</w:t>
      </w:r>
    </w:p>
    <w:p w14:paraId="7941A4CA">
      <w:pPr>
        <w:spacing w:line="360" w:lineRule="auto"/>
        <w:rPr>
          <w:rFonts w:ascii="Arial" w:hAnsi="Arial" w:cs="Arial"/>
        </w:rPr>
      </w:pPr>
      <w:r>
        <w:rPr>
          <w:rFonts w:ascii="Arial" w:hAnsi="Arial" w:cs="Arial"/>
        </w:rPr>
        <w:t>Another benefit of the planned restructuring would be to enhance financial flexibility through an increase in liquidity and better cash flow management. Having more money allows an organisation to adapt appropriately to volatile economics, inflationary pressures and market conditions. Scientific studies often report that Companies with higher financial flexibility have better performance in causing them to take advantage of investment opportunities and facing adverse events.</w:t>
      </w:r>
    </w:p>
    <w:p w14:paraId="085DFAC5">
      <w:pPr>
        <w:pStyle w:val="3"/>
        <w:spacing w:line="360" w:lineRule="auto"/>
        <w:rPr>
          <w:rFonts w:ascii="Arial" w:hAnsi="Arial" w:cs="Arial"/>
        </w:rPr>
      </w:pPr>
      <w:bookmarkStart w:id="25" w:name="_Toc235706202"/>
      <w:r>
        <w:rPr>
          <w:rFonts w:ascii="Arial" w:hAnsi="Arial" w:cs="Arial"/>
        </w:rPr>
        <w:t>c) Ethical Considerations</w:t>
      </w:r>
      <w:bookmarkEnd w:id="25"/>
    </w:p>
    <w:p w14:paraId="2F508BA9">
      <w:pPr>
        <w:spacing w:line="360" w:lineRule="auto"/>
        <w:rPr>
          <w:rFonts w:ascii="Arial" w:hAnsi="Arial" w:cs="Arial"/>
        </w:rPr>
      </w:pPr>
      <w:r>
        <w:rPr>
          <w:rFonts w:ascii="Arial" w:hAnsi="Arial" w:cs="Arial"/>
        </w:rPr>
        <w:t>Financial restructuring should be done in conjunction with careful appraisal of international financial risks and ethical responsibilities of Whitbread. However, taxation should not be ignored as alterations in UK corporate tax rates and tax regimes also have a direct impact on profitability, investment returns and cash flows. Hence, it is reasonable to expect that Whitbread will institute transparent and compliant tax planning that maximises tax efficiency without any regulatory and reputational risk. Research in the academic community states that good tax governance contributes to trust and credibility of companies and, ultimately, of corporate supply chains and strategies, alongside stakeholder confidence and trust (</w:t>
      </w:r>
      <w:r>
        <w:rPr>
          <w:rFonts w:ascii="Arial" w:hAnsi="Arial" w:cs="Arial"/>
          <w:highlight w:val="white"/>
        </w:rPr>
        <w:t>Gribnau</w:t>
      </w:r>
      <w:r>
        <w:rPr>
          <w:rFonts w:ascii="Arial" w:hAnsi="Arial" w:cs="Arial"/>
        </w:rPr>
        <w:t xml:space="preserve">, </w:t>
      </w:r>
      <w:r>
        <w:rPr>
          <w:rFonts w:ascii="Arial" w:hAnsi="Arial" w:cs="Arial"/>
          <w:highlight w:val="white"/>
        </w:rPr>
        <w:t>2024)</w:t>
      </w:r>
      <w:r>
        <w:rPr>
          <w:rFonts w:ascii="Arial" w:hAnsi="Arial" w:cs="Arial"/>
        </w:rPr>
        <w:t>.</w:t>
      </w:r>
    </w:p>
    <w:p w14:paraId="04DCE2CF">
      <w:pPr>
        <w:spacing w:line="360" w:lineRule="auto"/>
        <w:rPr>
          <w:rFonts w:ascii="Arial" w:hAnsi="Arial" w:cs="Arial"/>
        </w:rPr>
      </w:pPr>
      <w:r>
        <w:rPr>
          <w:rFonts w:ascii="Arial" w:hAnsi="Arial" w:cs="Arial"/>
        </w:rPr>
        <w:t xml:space="preserve">While Whitbread's activities are mainly targeted in the UK, external sourcing activities mean the company is vulnerable to exchange rate movements. Increased volatility of the currency could contribute to higher procurement costs of imported goods, equipment, and technology, which could impact operating margins. Diversification of suppliers and appropriate hedging techniques will help minimise foreign exchange risks and enhance profitability. According to </w:t>
      </w:r>
      <w:r>
        <w:rPr>
          <w:rFonts w:ascii="Arial" w:hAnsi="Arial" w:cs="Arial"/>
          <w:highlight w:val="white"/>
        </w:rPr>
        <w:t xml:space="preserve">Eyinade </w:t>
      </w:r>
      <w:r>
        <w:rPr>
          <w:rFonts w:ascii="Arial" w:hAnsi="Arial" w:cs="Arial"/>
          <w:i/>
          <w:iCs/>
          <w:highlight w:val="white"/>
        </w:rPr>
        <w:t xml:space="preserve">et al. </w:t>
      </w:r>
      <w:r>
        <w:rPr>
          <w:rFonts w:ascii="Arial" w:hAnsi="Arial" w:cs="Arial"/>
        </w:rPr>
        <w:t>(</w:t>
      </w:r>
      <w:r>
        <w:rPr>
          <w:rFonts w:ascii="Arial" w:hAnsi="Arial" w:cs="Arial"/>
          <w:highlight w:val="white"/>
        </w:rPr>
        <w:t xml:space="preserve">2022), </w:t>
      </w:r>
      <w:r>
        <w:rPr>
          <w:rFonts w:ascii="Arial" w:hAnsi="Arial" w:cs="Arial"/>
        </w:rPr>
        <w:t>a proper approach towards currency risk management can help in strengthening corporate resiliency during volatile markets.</w:t>
      </w:r>
    </w:p>
    <w:p w14:paraId="02A6BCB2">
      <w:pPr>
        <w:spacing w:line="360" w:lineRule="auto"/>
        <w:rPr>
          <w:rFonts w:ascii="Arial" w:hAnsi="Arial" w:cs="Arial"/>
        </w:rPr>
      </w:pPr>
      <w:r>
        <w:rPr>
          <w:rFonts w:ascii="Arial" w:hAnsi="Arial" w:cs="Arial"/>
        </w:rPr>
        <w:t>Persistent inflation has been another obstacle due to higher labour, energy, and operating costs. Although some comp inflation can be achieved, further price changes could reduce customer demand and occupancy rates. It is, therefore, essential to maintain operational efficiency and cost control to ensure profitability (</w:t>
      </w:r>
      <w:r>
        <w:rPr>
          <w:rFonts w:ascii="Arial" w:hAnsi="Arial" w:cs="Arial"/>
          <w:highlight w:val="white"/>
        </w:rPr>
        <w:t>Dobrota</w:t>
      </w:r>
      <w:r>
        <w:rPr>
          <w:rFonts w:ascii="Arial" w:hAnsi="Arial" w:cs="Arial"/>
        </w:rPr>
        <w:t xml:space="preserve"> </w:t>
      </w:r>
      <w:r>
        <w:rPr>
          <w:rFonts w:ascii="Arial" w:hAnsi="Arial" w:cs="Arial"/>
          <w:i/>
          <w:iCs/>
        </w:rPr>
        <w:t xml:space="preserve">et al. </w:t>
      </w:r>
      <w:r>
        <w:rPr>
          <w:rFonts w:ascii="Arial" w:hAnsi="Arial" w:cs="Arial"/>
          <w:highlight w:val="white"/>
        </w:rPr>
        <w:t>2023)</w:t>
      </w:r>
      <w:r>
        <w:rPr>
          <w:rFonts w:ascii="Arial" w:hAnsi="Arial" w:cs="Arial"/>
        </w:rPr>
        <w:t>. It is important to incorporate ESG factors and CSR into the restructuring process for Whitbread. Sustainable investments, energy-efficient hotel operations, responsible sourcing activities, and good governance transparency improve company image and are conducive to sustainable value creation (</w:t>
      </w:r>
      <w:r>
        <w:rPr>
          <w:rFonts w:ascii="Arial" w:hAnsi="Arial" w:cs="Arial"/>
          <w:highlight w:val="white"/>
        </w:rPr>
        <w:t>Lee</w:t>
      </w:r>
      <w:r>
        <w:rPr>
          <w:rFonts w:ascii="Arial" w:hAnsi="Arial" w:cs="Arial"/>
        </w:rPr>
        <w:t xml:space="preserve"> </w:t>
      </w:r>
      <w:r>
        <w:rPr>
          <w:rFonts w:ascii="Arial" w:hAnsi="Arial" w:cs="Arial"/>
          <w:i/>
          <w:iCs/>
        </w:rPr>
        <w:t xml:space="preserve">et al. </w:t>
      </w:r>
      <w:r>
        <w:rPr>
          <w:rFonts w:ascii="Arial" w:hAnsi="Arial" w:cs="Arial"/>
          <w:highlight w:val="white"/>
        </w:rPr>
        <w:t>2023)</w:t>
      </w:r>
      <w:r>
        <w:rPr>
          <w:rFonts w:ascii="Arial" w:hAnsi="Arial" w:cs="Arial"/>
        </w:rPr>
        <w:t xml:space="preserve">. </w:t>
      </w:r>
    </w:p>
    <w:p w14:paraId="13E9B889">
      <w:pPr>
        <w:pStyle w:val="2"/>
        <w:spacing w:line="360" w:lineRule="auto"/>
        <w:rPr>
          <w:rFonts w:ascii="Arial" w:hAnsi="Arial" w:cs="Arial"/>
        </w:rPr>
      </w:pPr>
      <w:bookmarkStart w:id="26" w:name="_Toc235706203"/>
      <w:r>
        <w:rPr>
          <w:rFonts w:ascii="Arial" w:hAnsi="Arial" w:cs="Arial"/>
        </w:rPr>
        <w:t>4. Investment Appraisal and Capital Budgeting</w:t>
      </w:r>
      <w:bookmarkEnd w:id="26"/>
    </w:p>
    <w:p w14:paraId="4C2C7E03">
      <w:pPr>
        <w:pStyle w:val="3"/>
        <w:spacing w:line="360" w:lineRule="auto"/>
        <w:rPr>
          <w:rFonts w:ascii="Arial" w:hAnsi="Arial" w:cs="Arial"/>
        </w:rPr>
      </w:pPr>
      <w:bookmarkStart w:id="27" w:name="_Toc235706204"/>
      <w:r>
        <w:rPr>
          <w:rFonts w:ascii="Arial" w:hAnsi="Arial" w:cs="Arial"/>
        </w:rPr>
        <w:t>a) Investment project selection</w:t>
      </w:r>
      <w:bookmarkEnd w:id="27"/>
    </w:p>
    <w:p w14:paraId="37FEE774">
      <w:pPr>
        <w:spacing w:line="360" w:lineRule="auto"/>
        <w:rPr>
          <w:rFonts w:ascii="Arial" w:hAnsi="Arial" w:cs="Arial"/>
        </w:rPr>
      </w:pPr>
      <w:r>
        <w:rPr>
          <w:rFonts w:ascii="Arial" w:hAnsi="Arial" w:cs="Arial"/>
          <w:highlight w:val="white"/>
        </w:rPr>
        <w:t>Awodire</w:t>
      </w:r>
      <w:r>
        <w:rPr>
          <w:rFonts w:ascii="Arial" w:hAnsi="Arial" w:cs="Arial"/>
        </w:rPr>
        <w:t xml:space="preserve"> </w:t>
      </w:r>
      <w:r>
        <w:rPr>
          <w:rFonts w:ascii="Arial" w:hAnsi="Arial" w:cs="Arial"/>
          <w:i/>
          <w:iCs/>
        </w:rPr>
        <w:t xml:space="preserve">et al. </w:t>
      </w:r>
      <w:r>
        <w:rPr>
          <w:rFonts w:ascii="Arial" w:hAnsi="Arial" w:cs="Arial"/>
        </w:rPr>
        <w:t>(</w:t>
      </w:r>
      <w:r>
        <w:rPr>
          <w:rFonts w:ascii="Arial" w:hAnsi="Arial" w:cs="Arial"/>
          <w:highlight w:val="white"/>
        </w:rPr>
        <w:t>2023) states</w:t>
      </w:r>
      <w:r>
        <w:rPr>
          <w:rFonts w:ascii="Arial" w:hAnsi="Arial" w:cs="Arial"/>
        </w:rPr>
        <w:t xml:space="preserve"> the use of multiple appraisal techniques increases the reliability of the financial decisions taken and aids in the implementation of better capital budgeting. Investment appraisal is an important financial management tool for analyzing the financial viability of capital expenditure projects and aids decision-making on strategic investment decisions (</w:t>
      </w:r>
      <w:r>
        <w:rPr>
          <w:rFonts w:ascii="Arial" w:hAnsi="Arial" w:cs="Arial"/>
          <w:highlight w:val="white"/>
        </w:rPr>
        <w:t>Sahoo</w:t>
      </w:r>
      <w:r>
        <w:rPr>
          <w:rFonts w:ascii="Arial" w:hAnsi="Arial" w:cs="Arial"/>
        </w:rPr>
        <w:t xml:space="preserve"> </w:t>
      </w:r>
      <w:r>
        <w:rPr>
          <w:rFonts w:ascii="Arial" w:hAnsi="Arial" w:cs="Arial"/>
          <w:i/>
          <w:iCs/>
        </w:rPr>
        <w:t xml:space="preserve">et al. </w:t>
      </w:r>
      <w:r>
        <w:rPr>
          <w:rFonts w:ascii="Arial" w:hAnsi="Arial" w:cs="Arial"/>
          <w:highlight w:val="white"/>
        </w:rPr>
        <w:t>2023)</w:t>
      </w:r>
      <w:r>
        <w:rPr>
          <w:rFonts w:ascii="Arial" w:hAnsi="Arial" w:cs="Arial"/>
        </w:rPr>
        <w:t>. It can help organizations rank projects according to the potential for creating shareholder value, while minimizing the risk of their investment, and then rank projects based on this. Tools and methods for appraisals are used from different angles of projects such as profitability, liquidity, and long-term value creation. The following 5 popular methods are used in this report: Payback Period (PBP), Accounting Rate of Return (ARR), Net Present Value (NPV), Profitability Index (PI), and Internal Rate of Return (IRR). Combined, these techniques offer a thorough understanding of the economic merits of each project, through one lens of investment recovery analysis and the other of accounting returns and discounted cash flows.</w:t>
      </w:r>
    </w:p>
    <w:p w14:paraId="43F3317C">
      <w:pPr>
        <w:pStyle w:val="3"/>
        <w:spacing w:line="360" w:lineRule="auto"/>
        <w:rPr>
          <w:rFonts w:ascii="Arial" w:hAnsi="Arial" w:cs="Arial"/>
        </w:rPr>
      </w:pPr>
      <w:bookmarkStart w:id="28" w:name="_Toc235706205"/>
      <w:r>
        <w:rPr>
          <w:rFonts w:ascii="Arial" w:hAnsi="Arial" w:cs="Arial"/>
        </w:rPr>
        <w:t>b) Project detail analysis</w:t>
      </w:r>
      <w:bookmarkEnd w:id="28"/>
    </w:p>
    <w:p w14:paraId="6B477DB3">
      <w:pPr>
        <w:spacing w:line="360" w:lineRule="auto"/>
        <w:rPr>
          <w:rFonts w:ascii="Arial" w:hAnsi="Arial" w:cs="Arial"/>
        </w:rPr>
      </w:pPr>
    </w:p>
    <w:tbl>
      <w:tblPr>
        <w:tblStyle w:val="17"/>
        <w:tblW w:w="9340" w:type="dxa"/>
        <w:jc w:val="center"/>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fixed"/>
        <w:tblCellMar>
          <w:top w:w="100" w:type="dxa"/>
          <w:left w:w="100" w:type="dxa"/>
          <w:bottom w:w="100" w:type="dxa"/>
          <w:right w:w="100" w:type="dxa"/>
        </w:tblCellMar>
      </w:tblPr>
      <w:tblGrid>
        <w:gridCol w:w="2736"/>
        <w:gridCol w:w="2182"/>
        <w:gridCol w:w="2201"/>
        <w:gridCol w:w="2221"/>
      </w:tblGrid>
      <w:tr w14:paraId="09BC6895">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2736"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CC2371E">
            <w:pPr>
              <w:spacing w:line="360" w:lineRule="auto"/>
              <w:jc w:val="center"/>
              <w:rPr>
                <w:rFonts w:ascii="Arial" w:hAnsi="Arial" w:cs="Arial"/>
              </w:rPr>
            </w:pPr>
            <w:r>
              <w:rPr>
                <w:rFonts w:ascii="Arial" w:hAnsi="Arial" w:cs="Arial"/>
                <w:b/>
                <w:bCs/>
              </w:rPr>
              <w:t>Year</w:t>
            </w:r>
          </w:p>
        </w:tc>
        <w:tc>
          <w:tcPr>
            <w:tcW w:w="2182"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0628497">
            <w:pPr>
              <w:spacing w:line="360" w:lineRule="auto"/>
              <w:jc w:val="center"/>
              <w:rPr>
                <w:rFonts w:ascii="Arial" w:hAnsi="Arial" w:cs="Arial"/>
              </w:rPr>
            </w:pPr>
            <w:r>
              <w:rPr>
                <w:rFonts w:ascii="Arial" w:hAnsi="Arial" w:cs="Arial"/>
                <w:b/>
                <w:bCs/>
              </w:rPr>
              <w:t>Project A (£m)</w:t>
            </w:r>
          </w:p>
        </w:tc>
        <w:tc>
          <w:tcPr>
            <w:tcW w:w="2201"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163A43E">
            <w:pPr>
              <w:spacing w:line="360" w:lineRule="auto"/>
              <w:jc w:val="center"/>
              <w:rPr>
                <w:rFonts w:ascii="Arial" w:hAnsi="Arial" w:cs="Arial"/>
              </w:rPr>
            </w:pPr>
            <w:r>
              <w:rPr>
                <w:rFonts w:ascii="Arial" w:hAnsi="Arial" w:cs="Arial"/>
                <w:b/>
                <w:bCs/>
              </w:rPr>
              <w:t>Project B (£m)</w:t>
            </w:r>
          </w:p>
        </w:tc>
        <w:tc>
          <w:tcPr>
            <w:tcW w:w="2221"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3CF1D76">
            <w:pPr>
              <w:spacing w:line="360" w:lineRule="auto"/>
              <w:jc w:val="center"/>
              <w:rPr>
                <w:rFonts w:ascii="Arial" w:hAnsi="Arial" w:cs="Arial"/>
              </w:rPr>
            </w:pPr>
            <w:r>
              <w:rPr>
                <w:rFonts w:ascii="Arial" w:hAnsi="Arial" w:cs="Arial"/>
                <w:b/>
                <w:bCs/>
              </w:rPr>
              <w:t>Project C (£m)</w:t>
            </w:r>
          </w:p>
        </w:tc>
      </w:tr>
      <w:tr w14:paraId="4E5A0432">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2736"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CC44DEA">
            <w:pPr>
              <w:spacing w:line="360" w:lineRule="auto"/>
              <w:rPr>
                <w:rFonts w:ascii="Arial" w:hAnsi="Arial" w:cs="Arial"/>
              </w:rPr>
            </w:pPr>
            <w:r>
              <w:rPr>
                <w:rFonts w:ascii="Arial" w:hAnsi="Arial" w:cs="Arial"/>
              </w:rPr>
              <w:t>Initial Investment</w:t>
            </w:r>
          </w:p>
        </w:tc>
        <w:tc>
          <w:tcPr>
            <w:tcW w:w="2182"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2078468">
            <w:pPr>
              <w:spacing w:line="360" w:lineRule="auto"/>
              <w:rPr>
                <w:rFonts w:ascii="Arial" w:hAnsi="Arial" w:cs="Arial"/>
              </w:rPr>
            </w:pPr>
            <w:r>
              <w:rPr>
                <w:rFonts w:ascii="Arial" w:hAnsi="Arial" w:cs="Arial"/>
              </w:rPr>
              <w:t>(50)</w:t>
            </w:r>
          </w:p>
        </w:tc>
        <w:tc>
          <w:tcPr>
            <w:tcW w:w="2201"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81A6AFD">
            <w:pPr>
              <w:spacing w:line="360" w:lineRule="auto"/>
              <w:rPr>
                <w:rFonts w:ascii="Arial" w:hAnsi="Arial" w:cs="Arial"/>
              </w:rPr>
            </w:pPr>
            <w:r>
              <w:rPr>
                <w:rFonts w:ascii="Arial" w:hAnsi="Arial" w:cs="Arial"/>
              </w:rPr>
              <w:t>(50)</w:t>
            </w:r>
          </w:p>
        </w:tc>
        <w:tc>
          <w:tcPr>
            <w:tcW w:w="2221"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2AC2EE3">
            <w:pPr>
              <w:spacing w:line="360" w:lineRule="auto"/>
              <w:rPr>
                <w:rFonts w:ascii="Arial" w:hAnsi="Arial" w:cs="Arial"/>
              </w:rPr>
            </w:pPr>
            <w:r>
              <w:rPr>
                <w:rFonts w:ascii="Arial" w:hAnsi="Arial" w:cs="Arial"/>
              </w:rPr>
              <w:t>(50)</w:t>
            </w:r>
          </w:p>
        </w:tc>
      </w:tr>
      <w:tr w14:paraId="7BE1CDAE">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2736"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9FAF67">
            <w:pPr>
              <w:spacing w:line="360" w:lineRule="auto"/>
              <w:rPr>
                <w:rFonts w:ascii="Arial" w:hAnsi="Arial" w:cs="Arial"/>
              </w:rPr>
            </w:pPr>
            <w:r>
              <w:rPr>
                <w:rFonts w:ascii="Arial" w:hAnsi="Arial" w:cs="Arial"/>
              </w:rPr>
              <w:t>Year 1</w:t>
            </w:r>
          </w:p>
        </w:tc>
        <w:tc>
          <w:tcPr>
            <w:tcW w:w="2182"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1FE69CD4">
            <w:pPr>
              <w:spacing w:line="360" w:lineRule="auto"/>
              <w:rPr>
                <w:rFonts w:ascii="Arial" w:hAnsi="Arial" w:cs="Arial"/>
              </w:rPr>
            </w:pPr>
            <w:r>
              <w:rPr>
                <w:rFonts w:ascii="Arial" w:hAnsi="Arial" w:cs="Arial"/>
              </w:rPr>
              <w:t>10</w:t>
            </w:r>
          </w:p>
        </w:tc>
        <w:tc>
          <w:tcPr>
            <w:tcW w:w="2201"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48BEEE8">
            <w:pPr>
              <w:spacing w:line="360" w:lineRule="auto"/>
              <w:rPr>
                <w:rFonts w:ascii="Arial" w:hAnsi="Arial" w:cs="Arial"/>
              </w:rPr>
            </w:pPr>
            <w:r>
              <w:rPr>
                <w:rFonts w:ascii="Arial" w:hAnsi="Arial" w:cs="Arial"/>
              </w:rPr>
              <w:t>11</w:t>
            </w:r>
          </w:p>
        </w:tc>
        <w:tc>
          <w:tcPr>
            <w:tcW w:w="2221"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5B2EA95">
            <w:pPr>
              <w:spacing w:line="360" w:lineRule="auto"/>
              <w:rPr>
                <w:rFonts w:ascii="Arial" w:hAnsi="Arial" w:cs="Arial"/>
              </w:rPr>
            </w:pPr>
            <w:r>
              <w:rPr>
                <w:rFonts w:ascii="Arial" w:hAnsi="Arial" w:cs="Arial"/>
              </w:rPr>
              <w:t>5</w:t>
            </w:r>
          </w:p>
        </w:tc>
      </w:tr>
      <w:tr w14:paraId="5065F55A">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2736"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BF7A84D">
            <w:pPr>
              <w:spacing w:line="360" w:lineRule="auto"/>
              <w:rPr>
                <w:rFonts w:ascii="Arial" w:hAnsi="Arial" w:cs="Arial"/>
              </w:rPr>
            </w:pPr>
            <w:r>
              <w:rPr>
                <w:rFonts w:ascii="Arial" w:hAnsi="Arial" w:cs="Arial"/>
              </w:rPr>
              <w:t>Year 2</w:t>
            </w:r>
          </w:p>
        </w:tc>
        <w:tc>
          <w:tcPr>
            <w:tcW w:w="2182"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2A3FB72">
            <w:pPr>
              <w:spacing w:line="360" w:lineRule="auto"/>
              <w:rPr>
                <w:rFonts w:ascii="Arial" w:hAnsi="Arial" w:cs="Arial"/>
              </w:rPr>
            </w:pPr>
            <w:r>
              <w:rPr>
                <w:rFonts w:ascii="Arial" w:hAnsi="Arial" w:cs="Arial"/>
              </w:rPr>
              <w:t>12</w:t>
            </w:r>
          </w:p>
        </w:tc>
        <w:tc>
          <w:tcPr>
            <w:tcW w:w="2201"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77E4BBD2">
            <w:pPr>
              <w:spacing w:line="360" w:lineRule="auto"/>
              <w:rPr>
                <w:rFonts w:ascii="Arial" w:hAnsi="Arial" w:cs="Arial"/>
              </w:rPr>
            </w:pPr>
            <w:r>
              <w:rPr>
                <w:rFonts w:ascii="Arial" w:hAnsi="Arial" w:cs="Arial"/>
              </w:rPr>
              <w:t>11</w:t>
            </w:r>
          </w:p>
        </w:tc>
        <w:tc>
          <w:tcPr>
            <w:tcW w:w="2221"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412D9EC">
            <w:pPr>
              <w:spacing w:line="360" w:lineRule="auto"/>
              <w:rPr>
                <w:rFonts w:ascii="Arial" w:hAnsi="Arial" w:cs="Arial"/>
              </w:rPr>
            </w:pPr>
            <w:r>
              <w:rPr>
                <w:rFonts w:ascii="Arial" w:hAnsi="Arial" w:cs="Arial"/>
              </w:rPr>
              <w:t>10</w:t>
            </w:r>
          </w:p>
        </w:tc>
      </w:tr>
      <w:tr w14:paraId="4BE08D4B">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2736"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126A0DA">
            <w:pPr>
              <w:spacing w:line="360" w:lineRule="auto"/>
              <w:rPr>
                <w:rFonts w:ascii="Arial" w:hAnsi="Arial" w:cs="Arial"/>
              </w:rPr>
            </w:pPr>
            <w:r>
              <w:rPr>
                <w:rFonts w:ascii="Arial" w:hAnsi="Arial" w:cs="Arial"/>
              </w:rPr>
              <w:t>Year 3</w:t>
            </w:r>
          </w:p>
        </w:tc>
        <w:tc>
          <w:tcPr>
            <w:tcW w:w="2182"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34FCD24">
            <w:pPr>
              <w:spacing w:line="360" w:lineRule="auto"/>
              <w:rPr>
                <w:rFonts w:ascii="Arial" w:hAnsi="Arial" w:cs="Arial"/>
              </w:rPr>
            </w:pPr>
            <w:r>
              <w:rPr>
                <w:rFonts w:ascii="Arial" w:hAnsi="Arial" w:cs="Arial"/>
              </w:rPr>
              <w:t>14</w:t>
            </w:r>
          </w:p>
        </w:tc>
        <w:tc>
          <w:tcPr>
            <w:tcW w:w="2201"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A24A25A">
            <w:pPr>
              <w:spacing w:line="360" w:lineRule="auto"/>
              <w:rPr>
                <w:rFonts w:ascii="Arial" w:hAnsi="Arial" w:cs="Arial"/>
              </w:rPr>
            </w:pPr>
            <w:r>
              <w:rPr>
                <w:rFonts w:ascii="Arial" w:hAnsi="Arial" w:cs="Arial"/>
              </w:rPr>
              <w:t>11</w:t>
            </w:r>
          </w:p>
        </w:tc>
        <w:tc>
          <w:tcPr>
            <w:tcW w:w="2221"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61A2C19">
            <w:pPr>
              <w:spacing w:line="360" w:lineRule="auto"/>
              <w:rPr>
                <w:rFonts w:ascii="Arial" w:hAnsi="Arial" w:cs="Arial"/>
              </w:rPr>
            </w:pPr>
            <w:r>
              <w:rPr>
                <w:rFonts w:ascii="Arial" w:hAnsi="Arial" w:cs="Arial"/>
              </w:rPr>
              <w:t>20</w:t>
            </w:r>
          </w:p>
        </w:tc>
      </w:tr>
      <w:tr w14:paraId="257C3677">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2736"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4469F3A">
            <w:pPr>
              <w:spacing w:line="360" w:lineRule="auto"/>
              <w:rPr>
                <w:rFonts w:ascii="Arial" w:hAnsi="Arial" w:cs="Arial"/>
              </w:rPr>
            </w:pPr>
            <w:r>
              <w:rPr>
                <w:rFonts w:ascii="Arial" w:hAnsi="Arial" w:cs="Arial"/>
              </w:rPr>
              <w:t>Year 4</w:t>
            </w:r>
          </w:p>
        </w:tc>
        <w:tc>
          <w:tcPr>
            <w:tcW w:w="2182"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7D824F5B">
            <w:pPr>
              <w:spacing w:line="360" w:lineRule="auto"/>
              <w:rPr>
                <w:rFonts w:ascii="Arial" w:hAnsi="Arial" w:cs="Arial"/>
              </w:rPr>
            </w:pPr>
            <w:r>
              <w:rPr>
                <w:rFonts w:ascii="Arial" w:hAnsi="Arial" w:cs="Arial"/>
              </w:rPr>
              <w:t>10</w:t>
            </w:r>
          </w:p>
        </w:tc>
        <w:tc>
          <w:tcPr>
            <w:tcW w:w="2201"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C8C5E6A">
            <w:pPr>
              <w:spacing w:line="360" w:lineRule="auto"/>
              <w:rPr>
                <w:rFonts w:ascii="Arial" w:hAnsi="Arial" w:cs="Arial"/>
              </w:rPr>
            </w:pPr>
            <w:r>
              <w:rPr>
                <w:rFonts w:ascii="Arial" w:hAnsi="Arial" w:cs="Arial"/>
              </w:rPr>
              <w:t>11</w:t>
            </w:r>
          </w:p>
        </w:tc>
        <w:tc>
          <w:tcPr>
            <w:tcW w:w="2221"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D234475">
            <w:pPr>
              <w:spacing w:line="360" w:lineRule="auto"/>
              <w:rPr>
                <w:rFonts w:ascii="Arial" w:hAnsi="Arial" w:cs="Arial"/>
              </w:rPr>
            </w:pPr>
            <w:r>
              <w:rPr>
                <w:rFonts w:ascii="Arial" w:hAnsi="Arial" w:cs="Arial"/>
              </w:rPr>
              <w:t>25</w:t>
            </w:r>
          </w:p>
        </w:tc>
      </w:tr>
      <w:tr w14:paraId="3B0411D1">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2736"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92E5689">
            <w:pPr>
              <w:spacing w:line="360" w:lineRule="auto"/>
              <w:rPr>
                <w:rFonts w:ascii="Arial" w:hAnsi="Arial" w:cs="Arial"/>
              </w:rPr>
            </w:pPr>
            <w:r>
              <w:rPr>
                <w:rFonts w:ascii="Arial" w:hAnsi="Arial" w:cs="Arial"/>
              </w:rPr>
              <w:t>Year 5</w:t>
            </w:r>
          </w:p>
        </w:tc>
        <w:tc>
          <w:tcPr>
            <w:tcW w:w="2182"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E30DEE8">
            <w:pPr>
              <w:spacing w:line="360" w:lineRule="auto"/>
              <w:rPr>
                <w:rFonts w:ascii="Arial" w:hAnsi="Arial" w:cs="Arial"/>
              </w:rPr>
            </w:pPr>
            <w:r>
              <w:rPr>
                <w:rFonts w:ascii="Arial" w:hAnsi="Arial" w:cs="Arial"/>
              </w:rPr>
              <w:t>8</w:t>
            </w:r>
          </w:p>
        </w:tc>
        <w:tc>
          <w:tcPr>
            <w:tcW w:w="2201"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B12F80A">
            <w:pPr>
              <w:spacing w:line="360" w:lineRule="auto"/>
              <w:rPr>
                <w:rFonts w:ascii="Arial" w:hAnsi="Arial" w:cs="Arial"/>
              </w:rPr>
            </w:pPr>
            <w:r>
              <w:rPr>
                <w:rFonts w:ascii="Arial" w:hAnsi="Arial" w:cs="Arial"/>
              </w:rPr>
              <w:t>11</w:t>
            </w:r>
          </w:p>
        </w:tc>
        <w:tc>
          <w:tcPr>
            <w:tcW w:w="2221"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101925C6">
            <w:pPr>
              <w:spacing w:line="360" w:lineRule="auto"/>
              <w:rPr>
                <w:rFonts w:ascii="Arial" w:hAnsi="Arial" w:cs="Arial"/>
              </w:rPr>
            </w:pPr>
            <w:r>
              <w:rPr>
                <w:rFonts w:ascii="Arial" w:hAnsi="Arial" w:cs="Arial"/>
              </w:rPr>
              <w:t>5</w:t>
            </w:r>
          </w:p>
        </w:tc>
      </w:tr>
      <w:tr w14:paraId="024FDA4F">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2736"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725D939">
            <w:pPr>
              <w:spacing w:line="360" w:lineRule="auto"/>
              <w:rPr>
                <w:rFonts w:ascii="Arial" w:hAnsi="Arial" w:cs="Arial"/>
              </w:rPr>
            </w:pPr>
            <w:r>
              <w:rPr>
                <w:rFonts w:ascii="Arial" w:hAnsi="Arial" w:cs="Arial"/>
              </w:rPr>
              <w:t>Total Cash Inflows</w:t>
            </w:r>
          </w:p>
        </w:tc>
        <w:tc>
          <w:tcPr>
            <w:tcW w:w="2182"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F616A61">
            <w:pPr>
              <w:spacing w:line="360" w:lineRule="auto"/>
              <w:rPr>
                <w:rFonts w:ascii="Arial" w:hAnsi="Arial" w:cs="Arial"/>
              </w:rPr>
            </w:pPr>
            <w:r>
              <w:rPr>
                <w:rFonts w:ascii="Arial" w:hAnsi="Arial" w:cs="Arial"/>
              </w:rPr>
              <w:t>54</w:t>
            </w:r>
          </w:p>
        </w:tc>
        <w:tc>
          <w:tcPr>
            <w:tcW w:w="2201"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76C6F0E1">
            <w:pPr>
              <w:spacing w:line="360" w:lineRule="auto"/>
              <w:rPr>
                <w:rFonts w:ascii="Arial" w:hAnsi="Arial" w:cs="Arial"/>
              </w:rPr>
            </w:pPr>
            <w:r>
              <w:rPr>
                <w:rFonts w:ascii="Arial" w:hAnsi="Arial" w:cs="Arial"/>
              </w:rPr>
              <w:t>55</w:t>
            </w:r>
          </w:p>
        </w:tc>
        <w:tc>
          <w:tcPr>
            <w:tcW w:w="2221"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9F3E4CE">
            <w:pPr>
              <w:spacing w:line="360" w:lineRule="auto"/>
              <w:rPr>
                <w:rFonts w:ascii="Arial" w:hAnsi="Arial" w:cs="Arial"/>
              </w:rPr>
            </w:pPr>
            <w:r>
              <w:rPr>
                <w:rFonts w:ascii="Arial" w:hAnsi="Arial" w:cs="Arial"/>
              </w:rPr>
              <w:t>65</w:t>
            </w:r>
          </w:p>
        </w:tc>
      </w:tr>
    </w:tbl>
    <w:p w14:paraId="3EA4D911">
      <w:pPr>
        <w:spacing w:line="360" w:lineRule="auto"/>
        <w:rPr>
          <w:rFonts w:ascii="Arial" w:hAnsi="Arial" w:cs="Arial"/>
        </w:rPr>
      </w:pPr>
    </w:p>
    <w:p w14:paraId="7F50C65A">
      <w:pPr>
        <w:spacing w:line="360" w:lineRule="auto"/>
        <w:jc w:val="center"/>
        <w:rPr>
          <w:rFonts w:ascii="Arial" w:hAnsi="Arial" w:cs="Arial"/>
          <w:b/>
          <w:bCs/>
        </w:rPr>
      </w:pPr>
      <w:r>
        <w:rPr>
          <w:rFonts w:ascii="Arial" w:hAnsi="Arial" w:cs="Arial"/>
          <w:b/>
          <w:bCs/>
        </w:rPr>
        <w:t>Table 2: Project Cash Flow Details</w:t>
      </w:r>
    </w:p>
    <w:p w14:paraId="3FA08CB6">
      <w:pPr>
        <w:spacing w:line="360" w:lineRule="auto"/>
        <w:jc w:val="center"/>
        <w:rPr>
          <w:rFonts w:ascii="Arial" w:hAnsi="Arial" w:cs="Arial"/>
          <w:b/>
          <w:bCs/>
        </w:rPr>
      </w:pPr>
    </w:p>
    <w:tbl>
      <w:tblPr>
        <w:tblStyle w:val="18"/>
        <w:tblW w:w="9340" w:type="dxa"/>
        <w:jc w:val="center"/>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fixed"/>
        <w:tblCellMar>
          <w:top w:w="100" w:type="dxa"/>
          <w:left w:w="100" w:type="dxa"/>
          <w:bottom w:w="100" w:type="dxa"/>
          <w:right w:w="100" w:type="dxa"/>
        </w:tblCellMar>
      </w:tblPr>
      <w:tblGrid>
        <w:gridCol w:w="2561"/>
        <w:gridCol w:w="6779"/>
      </w:tblGrid>
      <w:tr w14:paraId="5987BBC3">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2561"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F6485FF">
            <w:pPr>
              <w:spacing w:line="360" w:lineRule="auto"/>
              <w:jc w:val="center"/>
              <w:rPr>
                <w:rFonts w:ascii="Arial" w:hAnsi="Arial" w:cs="Arial"/>
                <w:b/>
                <w:bCs/>
              </w:rPr>
            </w:pPr>
            <w:r>
              <w:rPr>
                <w:rFonts w:ascii="Arial" w:hAnsi="Arial" w:cs="Arial"/>
                <w:b/>
                <w:bCs/>
              </w:rPr>
              <w:t>Year</w:t>
            </w:r>
          </w:p>
        </w:tc>
        <w:tc>
          <w:tcPr>
            <w:tcW w:w="6779"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182F367">
            <w:pPr>
              <w:spacing w:line="360" w:lineRule="auto"/>
              <w:jc w:val="center"/>
              <w:rPr>
                <w:rFonts w:ascii="Arial" w:hAnsi="Arial" w:cs="Arial"/>
                <w:b/>
                <w:bCs/>
              </w:rPr>
            </w:pPr>
            <w:r>
              <w:rPr>
                <w:rFonts w:ascii="Arial" w:hAnsi="Arial" w:cs="Arial"/>
                <w:b/>
                <w:bCs/>
              </w:rPr>
              <w:t>Discount Factor</w:t>
            </w:r>
          </w:p>
        </w:tc>
      </w:tr>
      <w:tr w14:paraId="1B4BF6A0">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2561"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0D71B07">
            <w:pPr>
              <w:spacing w:line="360" w:lineRule="auto"/>
              <w:jc w:val="center"/>
              <w:rPr>
                <w:rFonts w:ascii="Arial" w:hAnsi="Arial" w:cs="Arial"/>
              </w:rPr>
            </w:pPr>
            <w:r>
              <w:rPr>
                <w:rFonts w:ascii="Arial" w:hAnsi="Arial" w:cs="Arial"/>
              </w:rPr>
              <w:t>0</w:t>
            </w:r>
          </w:p>
        </w:tc>
        <w:tc>
          <w:tcPr>
            <w:tcW w:w="6779"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177F181F">
            <w:pPr>
              <w:spacing w:line="360" w:lineRule="auto"/>
              <w:jc w:val="center"/>
              <w:rPr>
                <w:rFonts w:ascii="Arial" w:hAnsi="Arial" w:cs="Arial"/>
              </w:rPr>
            </w:pPr>
            <w:r>
              <w:rPr>
                <w:rFonts w:ascii="Arial" w:hAnsi="Arial" w:cs="Arial"/>
              </w:rPr>
              <w:t>1.0000</w:t>
            </w:r>
          </w:p>
        </w:tc>
      </w:tr>
      <w:tr w14:paraId="43EF977B">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2561"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3A420D9">
            <w:pPr>
              <w:spacing w:line="360" w:lineRule="auto"/>
              <w:jc w:val="center"/>
              <w:rPr>
                <w:rFonts w:ascii="Arial" w:hAnsi="Arial" w:cs="Arial"/>
              </w:rPr>
            </w:pPr>
            <w:r>
              <w:rPr>
                <w:rFonts w:ascii="Arial" w:hAnsi="Arial" w:cs="Arial"/>
              </w:rPr>
              <w:t>1</w:t>
            </w:r>
          </w:p>
        </w:tc>
        <w:tc>
          <w:tcPr>
            <w:tcW w:w="6779"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57525B0">
            <w:pPr>
              <w:spacing w:line="360" w:lineRule="auto"/>
              <w:jc w:val="center"/>
              <w:rPr>
                <w:rFonts w:ascii="Arial" w:hAnsi="Arial" w:cs="Arial"/>
              </w:rPr>
            </w:pPr>
            <w:r>
              <w:rPr>
                <w:rFonts w:ascii="Arial" w:hAnsi="Arial" w:cs="Arial"/>
              </w:rPr>
              <w:t>0.9259</w:t>
            </w:r>
          </w:p>
        </w:tc>
      </w:tr>
      <w:tr w14:paraId="1ED0FBC8">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2561"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1EAB016F">
            <w:pPr>
              <w:spacing w:line="360" w:lineRule="auto"/>
              <w:jc w:val="center"/>
              <w:rPr>
                <w:rFonts w:ascii="Arial" w:hAnsi="Arial" w:cs="Arial"/>
              </w:rPr>
            </w:pPr>
            <w:r>
              <w:rPr>
                <w:rFonts w:ascii="Arial" w:hAnsi="Arial" w:cs="Arial"/>
              </w:rPr>
              <w:t>2</w:t>
            </w:r>
          </w:p>
        </w:tc>
        <w:tc>
          <w:tcPr>
            <w:tcW w:w="6779"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BB49398">
            <w:pPr>
              <w:spacing w:line="360" w:lineRule="auto"/>
              <w:jc w:val="center"/>
              <w:rPr>
                <w:rFonts w:ascii="Arial" w:hAnsi="Arial" w:cs="Arial"/>
              </w:rPr>
            </w:pPr>
            <w:r>
              <w:rPr>
                <w:rFonts w:ascii="Arial" w:hAnsi="Arial" w:cs="Arial"/>
              </w:rPr>
              <w:t>0.8573</w:t>
            </w:r>
          </w:p>
        </w:tc>
      </w:tr>
      <w:tr w14:paraId="5B81E877">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2561"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FC9B813">
            <w:pPr>
              <w:spacing w:line="360" w:lineRule="auto"/>
              <w:jc w:val="center"/>
              <w:rPr>
                <w:rFonts w:ascii="Arial" w:hAnsi="Arial" w:cs="Arial"/>
              </w:rPr>
            </w:pPr>
            <w:r>
              <w:rPr>
                <w:rFonts w:ascii="Arial" w:hAnsi="Arial" w:cs="Arial"/>
              </w:rPr>
              <w:t>3</w:t>
            </w:r>
          </w:p>
        </w:tc>
        <w:tc>
          <w:tcPr>
            <w:tcW w:w="6779"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A26AD0E">
            <w:pPr>
              <w:spacing w:line="360" w:lineRule="auto"/>
              <w:jc w:val="center"/>
              <w:rPr>
                <w:rFonts w:ascii="Arial" w:hAnsi="Arial" w:cs="Arial"/>
              </w:rPr>
            </w:pPr>
            <w:r>
              <w:rPr>
                <w:rFonts w:ascii="Arial" w:hAnsi="Arial" w:cs="Arial"/>
              </w:rPr>
              <w:t>0.7938</w:t>
            </w:r>
          </w:p>
        </w:tc>
      </w:tr>
      <w:tr w14:paraId="0C80C284">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2561"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611CF79">
            <w:pPr>
              <w:spacing w:line="360" w:lineRule="auto"/>
              <w:jc w:val="center"/>
              <w:rPr>
                <w:rFonts w:ascii="Arial" w:hAnsi="Arial" w:cs="Arial"/>
              </w:rPr>
            </w:pPr>
            <w:r>
              <w:rPr>
                <w:rFonts w:ascii="Arial" w:hAnsi="Arial" w:cs="Arial"/>
              </w:rPr>
              <w:t>4</w:t>
            </w:r>
          </w:p>
        </w:tc>
        <w:tc>
          <w:tcPr>
            <w:tcW w:w="6779"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D1ABC0A">
            <w:pPr>
              <w:spacing w:line="360" w:lineRule="auto"/>
              <w:jc w:val="center"/>
              <w:rPr>
                <w:rFonts w:ascii="Arial" w:hAnsi="Arial" w:cs="Arial"/>
              </w:rPr>
            </w:pPr>
            <w:r>
              <w:rPr>
                <w:rFonts w:ascii="Arial" w:hAnsi="Arial" w:cs="Arial"/>
              </w:rPr>
              <w:t>0.7350</w:t>
            </w:r>
          </w:p>
        </w:tc>
      </w:tr>
      <w:tr w14:paraId="22070F73">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2561"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75E2F582">
            <w:pPr>
              <w:spacing w:line="360" w:lineRule="auto"/>
              <w:jc w:val="center"/>
              <w:rPr>
                <w:rFonts w:ascii="Arial" w:hAnsi="Arial" w:cs="Arial"/>
              </w:rPr>
            </w:pPr>
            <w:r>
              <w:rPr>
                <w:rFonts w:ascii="Arial" w:hAnsi="Arial" w:cs="Arial"/>
              </w:rPr>
              <w:t>5</w:t>
            </w:r>
          </w:p>
        </w:tc>
        <w:tc>
          <w:tcPr>
            <w:tcW w:w="6779"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7CD599A5">
            <w:pPr>
              <w:spacing w:line="360" w:lineRule="auto"/>
              <w:jc w:val="center"/>
              <w:rPr>
                <w:rFonts w:ascii="Arial" w:hAnsi="Arial" w:cs="Arial"/>
              </w:rPr>
            </w:pPr>
            <w:r>
              <w:rPr>
                <w:rFonts w:ascii="Arial" w:hAnsi="Arial" w:cs="Arial"/>
              </w:rPr>
              <w:t>0.6806</w:t>
            </w:r>
          </w:p>
        </w:tc>
      </w:tr>
    </w:tbl>
    <w:p w14:paraId="69EC7DDA">
      <w:pPr>
        <w:spacing w:line="360" w:lineRule="auto"/>
        <w:jc w:val="center"/>
        <w:rPr>
          <w:rFonts w:ascii="Arial" w:hAnsi="Arial" w:cs="Arial"/>
          <w:b/>
          <w:bCs/>
        </w:rPr>
      </w:pPr>
    </w:p>
    <w:p w14:paraId="752BCF97">
      <w:pPr>
        <w:spacing w:line="360" w:lineRule="auto"/>
        <w:jc w:val="center"/>
        <w:rPr>
          <w:rFonts w:ascii="Arial" w:hAnsi="Arial" w:cs="Arial"/>
          <w:b/>
          <w:bCs/>
        </w:rPr>
      </w:pPr>
      <w:r>
        <w:rPr>
          <w:rFonts w:ascii="Arial" w:hAnsi="Arial" w:cs="Arial"/>
          <w:b/>
          <w:bCs/>
        </w:rPr>
        <w:t>Table 3: Discount Factors</w:t>
      </w:r>
    </w:p>
    <w:p w14:paraId="11753E1A">
      <w:pPr>
        <w:spacing w:line="360" w:lineRule="auto"/>
        <w:jc w:val="center"/>
        <w:rPr>
          <w:rFonts w:ascii="Arial" w:hAnsi="Arial" w:cs="Arial"/>
        </w:rPr>
      </w:pPr>
    </w:p>
    <w:tbl>
      <w:tblPr>
        <w:tblStyle w:val="19"/>
        <w:tblW w:w="9340" w:type="dxa"/>
        <w:jc w:val="center"/>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fixed"/>
        <w:tblCellMar>
          <w:top w:w="100" w:type="dxa"/>
          <w:left w:w="100" w:type="dxa"/>
          <w:bottom w:w="100" w:type="dxa"/>
          <w:right w:w="100" w:type="dxa"/>
        </w:tblCellMar>
      </w:tblPr>
      <w:tblGrid>
        <w:gridCol w:w="2865"/>
        <w:gridCol w:w="2143"/>
        <w:gridCol w:w="2158"/>
        <w:gridCol w:w="2174"/>
      </w:tblGrid>
      <w:tr w14:paraId="7452F42D">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2865"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E61F2D9">
            <w:pPr>
              <w:spacing w:line="360" w:lineRule="auto"/>
              <w:jc w:val="center"/>
              <w:rPr>
                <w:rFonts w:ascii="Arial" w:hAnsi="Arial" w:cs="Arial"/>
              </w:rPr>
            </w:pPr>
            <w:r>
              <w:rPr>
                <w:rFonts w:ascii="Arial" w:hAnsi="Arial" w:cs="Arial"/>
                <w:b/>
                <w:bCs/>
              </w:rPr>
              <w:t>Year</w:t>
            </w:r>
          </w:p>
        </w:tc>
        <w:tc>
          <w:tcPr>
            <w:tcW w:w="214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D49E6C3">
            <w:pPr>
              <w:spacing w:line="360" w:lineRule="auto"/>
              <w:jc w:val="center"/>
              <w:rPr>
                <w:rFonts w:ascii="Arial" w:hAnsi="Arial" w:cs="Arial"/>
              </w:rPr>
            </w:pPr>
            <w:r>
              <w:rPr>
                <w:rFonts w:ascii="Arial" w:hAnsi="Arial" w:cs="Arial"/>
                <w:b/>
                <w:bCs/>
              </w:rPr>
              <w:t>Project A PV (£m)</w:t>
            </w:r>
          </w:p>
        </w:tc>
        <w:tc>
          <w:tcPr>
            <w:tcW w:w="2158"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7FE50608">
            <w:pPr>
              <w:spacing w:line="360" w:lineRule="auto"/>
              <w:jc w:val="center"/>
              <w:rPr>
                <w:rFonts w:ascii="Arial" w:hAnsi="Arial" w:cs="Arial"/>
              </w:rPr>
            </w:pPr>
            <w:r>
              <w:rPr>
                <w:rFonts w:ascii="Arial" w:hAnsi="Arial" w:cs="Arial"/>
                <w:b/>
                <w:bCs/>
              </w:rPr>
              <w:t>Project B PV (£m)</w:t>
            </w:r>
          </w:p>
        </w:tc>
        <w:tc>
          <w:tcPr>
            <w:tcW w:w="217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19404C17">
            <w:pPr>
              <w:spacing w:line="360" w:lineRule="auto"/>
              <w:jc w:val="center"/>
              <w:rPr>
                <w:rFonts w:ascii="Arial" w:hAnsi="Arial" w:cs="Arial"/>
              </w:rPr>
            </w:pPr>
            <w:r>
              <w:rPr>
                <w:rFonts w:ascii="Arial" w:hAnsi="Arial" w:cs="Arial"/>
                <w:b/>
                <w:bCs/>
              </w:rPr>
              <w:t>Project C PV (£m)</w:t>
            </w:r>
          </w:p>
        </w:tc>
      </w:tr>
      <w:tr w14:paraId="172912CA">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2865"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BD531E6">
            <w:pPr>
              <w:spacing w:line="360" w:lineRule="auto"/>
              <w:jc w:val="center"/>
              <w:rPr>
                <w:rFonts w:ascii="Arial" w:hAnsi="Arial" w:cs="Arial"/>
              </w:rPr>
            </w:pPr>
            <w:r>
              <w:rPr>
                <w:rFonts w:ascii="Arial" w:hAnsi="Arial" w:cs="Arial"/>
              </w:rPr>
              <w:t>Initial Investment</w:t>
            </w:r>
          </w:p>
        </w:tc>
        <w:tc>
          <w:tcPr>
            <w:tcW w:w="214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BB814F3">
            <w:pPr>
              <w:spacing w:line="360" w:lineRule="auto"/>
              <w:jc w:val="center"/>
              <w:rPr>
                <w:rFonts w:ascii="Arial" w:hAnsi="Arial" w:cs="Arial"/>
              </w:rPr>
            </w:pPr>
            <w:r>
              <w:rPr>
                <w:rFonts w:ascii="Arial" w:hAnsi="Arial" w:cs="Arial"/>
                <w:b/>
                <w:bCs/>
              </w:rPr>
              <w:t>-50.000</w:t>
            </w:r>
          </w:p>
        </w:tc>
        <w:tc>
          <w:tcPr>
            <w:tcW w:w="2158"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5479141">
            <w:pPr>
              <w:spacing w:line="360" w:lineRule="auto"/>
              <w:jc w:val="center"/>
              <w:rPr>
                <w:rFonts w:ascii="Arial" w:hAnsi="Arial" w:cs="Arial"/>
              </w:rPr>
            </w:pPr>
            <w:r>
              <w:rPr>
                <w:rFonts w:ascii="Arial" w:hAnsi="Arial" w:cs="Arial"/>
                <w:b/>
                <w:bCs/>
              </w:rPr>
              <w:t>-50.000</w:t>
            </w:r>
          </w:p>
        </w:tc>
        <w:tc>
          <w:tcPr>
            <w:tcW w:w="217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B517651">
            <w:pPr>
              <w:spacing w:line="360" w:lineRule="auto"/>
              <w:jc w:val="center"/>
              <w:rPr>
                <w:rFonts w:ascii="Arial" w:hAnsi="Arial" w:cs="Arial"/>
              </w:rPr>
            </w:pPr>
            <w:r>
              <w:rPr>
                <w:rFonts w:ascii="Arial" w:hAnsi="Arial" w:cs="Arial"/>
                <w:b/>
                <w:bCs/>
              </w:rPr>
              <w:t>-50.000</w:t>
            </w:r>
          </w:p>
        </w:tc>
      </w:tr>
      <w:tr w14:paraId="702744C6">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2865"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AFB74BF">
            <w:pPr>
              <w:spacing w:line="360" w:lineRule="auto"/>
              <w:jc w:val="center"/>
              <w:rPr>
                <w:rFonts w:ascii="Arial" w:hAnsi="Arial" w:cs="Arial"/>
              </w:rPr>
            </w:pPr>
            <w:r>
              <w:rPr>
                <w:rFonts w:ascii="Arial" w:hAnsi="Arial" w:cs="Arial"/>
              </w:rPr>
              <w:t>Year 1</w:t>
            </w:r>
          </w:p>
        </w:tc>
        <w:tc>
          <w:tcPr>
            <w:tcW w:w="214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E4E4D3A">
            <w:pPr>
              <w:spacing w:line="360" w:lineRule="auto"/>
              <w:jc w:val="center"/>
              <w:rPr>
                <w:rFonts w:ascii="Arial" w:hAnsi="Arial" w:cs="Arial"/>
              </w:rPr>
            </w:pPr>
            <w:r>
              <w:rPr>
                <w:rFonts w:ascii="Arial" w:hAnsi="Arial" w:cs="Arial"/>
              </w:rPr>
              <w:t>9.259</w:t>
            </w:r>
          </w:p>
        </w:tc>
        <w:tc>
          <w:tcPr>
            <w:tcW w:w="2158"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1D486CD">
            <w:pPr>
              <w:spacing w:line="360" w:lineRule="auto"/>
              <w:jc w:val="center"/>
              <w:rPr>
                <w:rFonts w:ascii="Arial" w:hAnsi="Arial" w:cs="Arial"/>
              </w:rPr>
            </w:pPr>
            <w:r>
              <w:rPr>
                <w:rFonts w:ascii="Arial" w:hAnsi="Arial" w:cs="Arial"/>
              </w:rPr>
              <w:t>10.185</w:t>
            </w:r>
          </w:p>
        </w:tc>
        <w:tc>
          <w:tcPr>
            <w:tcW w:w="217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15B6023E">
            <w:pPr>
              <w:spacing w:line="360" w:lineRule="auto"/>
              <w:jc w:val="center"/>
              <w:rPr>
                <w:rFonts w:ascii="Arial" w:hAnsi="Arial" w:cs="Arial"/>
              </w:rPr>
            </w:pPr>
            <w:r>
              <w:rPr>
                <w:rFonts w:ascii="Arial" w:hAnsi="Arial" w:cs="Arial"/>
              </w:rPr>
              <w:t>4.630</w:t>
            </w:r>
          </w:p>
        </w:tc>
      </w:tr>
      <w:tr w14:paraId="03C9C442">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2865"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02CDD75">
            <w:pPr>
              <w:spacing w:line="360" w:lineRule="auto"/>
              <w:jc w:val="center"/>
              <w:rPr>
                <w:rFonts w:ascii="Arial" w:hAnsi="Arial" w:cs="Arial"/>
              </w:rPr>
            </w:pPr>
            <w:r>
              <w:rPr>
                <w:rFonts w:ascii="Arial" w:hAnsi="Arial" w:cs="Arial"/>
              </w:rPr>
              <w:t>Year 2</w:t>
            </w:r>
          </w:p>
        </w:tc>
        <w:tc>
          <w:tcPr>
            <w:tcW w:w="214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7377470">
            <w:pPr>
              <w:spacing w:line="360" w:lineRule="auto"/>
              <w:jc w:val="center"/>
              <w:rPr>
                <w:rFonts w:ascii="Arial" w:hAnsi="Arial" w:cs="Arial"/>
              </w:rPr>
            </w:pPr>
            <w:r>
              <w:rPr>
                <w:rFonts w:ascii="Arial" w:hAnsi="Arial" w:cs="Arial"/>
              </w:rPr>
              <w:t>10.288</w:t>
            </w:r>
          </w:p>
        </w:tc>
        <w:tc>
          <w:tcPr>
            <w:tcW w:w="2158"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11A1FD9C">
            <w:pPr>
              <w:spacing w:line="360" w:lineRule="auto"/>
              <w:jc w:val="center"/>
              <w:rPr>
                <w:rFonts w:ascii="Arial" w:hAnsi="Arial" w:cs="Arial"/>
              </w:rPr>
            </w:pPr>
            <w:r>
              <w:rPr>
                <w:rFonts w:ascii="Arial" w:hAnsi="Arial" w:cs="Arial"/>
              </w:rPr>
              <w:t>9.430</w:t>
            </w:r>
          </w:p>
        </w:tc>
        <w:tc>
          <w:tcPr>
            <w:tcW w:w="217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C312EF4">
            <w:pPr>
              <w:spacing w:line="360" w:lineRule="auto"/>
              <w:jc w:val="center"/>
              <w:rPr>
                <w:rFonts w:ascii="Arial" w:hAnsi="Arial" w:cs="Arial"/>
              </w:rPr>
            </w:pPr>
            <w:r>
              <w:rPr>
                <w:rFonts w:ascii="Arial" w:hAnsi="Arial" w:cs="Arial"/>
              </w:rPr>
              <w:t>8.573</w:t>
            </w:r>
          </w:p>
        </w:tc>
      </w:tr>
      <w:tr w14:paraId="6CB786E8">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2865"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160862D">
            <w:pPr>
              <w:spacing w:line="360" w:lineRule="auto"/>
              <w:jc w:val="center"/>
              <w:rPr>
                <w:rFonts w:ascii="Arial" w:hAnsi="Arial" w:cs="Arial"/>
              </w:rPr>
            </w:pPr>
            <w:r>
              <w:rPr>
                <w:rFonts w:ascii="Arial" w:hAnsi="Arial" w:cs="Arial"/>
              </w:rPr>
              <w:t>Year 3</w:t>
            </w:r>
          </w:p>
        </w:tc>
        <w:tc>
          <w:tcPr>
            <w:tcW w:w="214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3DEB0D7">
            <w:pPr>
              <w:spacing w:line="360" w:lineRule="auto"/>
              <w:jc w:val="center"/>
              <w:rPr>
                <w:rFonts w:ascii="Arial" w:hAnsi="Arial" w:cs="Arial"/>
              </w:rPr>
            </w:pPr>
            <w:r>
              <w:rPr>
                <w:rFonts w:ascii="Arial" w:hAnsi="Arial" w:cs="Arial"/>
              </w:rPr>
              <w:t>11.113</w:t>
            </w:r>
          </w:p>
        </w:tc>
        <w:tc>
          <w:tcPr>
            <w:tcW w:w="2158"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2064CD5">
            <w:pPr>
              <w:spacing w:line="360" w:lineRule="auto"/>
              <w:jc w:val="center"/>
              <w:rPr>
                <w:rFonts w:ascii="Arial" w:hAnsi="Arial" w:cs="Arial"/>
              </w:rPr>
            </w:pPr>
            <w:r>
              <w:rPr>
                <w:rFonts w:ascii="Arial" w:hAnsi="Arial" w:cs="Arial"/>
              </w:rPr>
              <w:t>8.732</w:t>
            </w:r>
          </w:p>
        </w:tc>
        <w:tc>
          <w:tcPr>
            <w:tcW w:w="217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F5B466D">
            <w:pPr>
              <w:spacing w:line="360" w:lineRule="auto"/>
              <w:jc w:val="center"/>
              <w:rPr>
                <w:rFonts w:ascii="Arial" w:hAnsi="Arial" w:cs="Arial"/>
              </w:rPr>
            </w:pPr>
            <w:r>
              <w:rPr>
                <w:rFonts w:ascii="Arial" w:hAnsi="Arial" w:cs="Arial"/>
              </w:rPr>
              <w:t>15.876</w:t>
            </w:r>
          </w:p>
        </w:tc>
      </w:tr>
      <w:tr w14:paraId="58A33A97">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2865"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7447735B">
            <w:pPr>
              <w:spacing w:line="360" w:lineRule="auto"/>
              <w:jc w:val="center"/>
              <w:rPr>
                <w:rFonts w:ascii="Arial" w:hAnsi="Arial" w:cs="Arial"/>
              </w:rPr>
            </w:pPr>
            <w:r>
              <w:rPr>
                <w:rFonts w:ascii="Arial" w:hAnsi="Arial" w:cs="Arial"/>
              </w:rPr>
              <w:t>Year 4</w:t>
            </w:r>
          </w:p>
        </w:tc>
        <w:tc>
          <w:tcPr>
            <w:tcW w:w="214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71A14C97">
            <w:pPr>
              <w:spacing w:line="360" w:lineRule="auto"/>
              <w:jc w:val="center"/>
              <w:rPr>
                <w:rFonts w:ascii="Arial" w:hAnsi="Arial" w:cs="Arial"/>
              </w:rPr>
            </w:pPr>
            <w:r>
              <w:rPr>
                <w:rFonts w:ascii="Arial" w:hAnsi="Arial" w:cs="Arial"/>
              </w:rPr>
              <w:t>7.350</w:t>
            </w:r>
          </w:p>
        </w:tc>
        <w:tc>
          <w:tcPr>
            <w:tcW w:w="2158"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B288CDA">
            <w:pPr>
              <w:spacing w:line="360" w:lineRule="auto"/>
              <w:jc w:val="center"/>
              <w:rPr>
                <w:rFonts w:ascii="Arial" w:hAnsi="Arial" w:cs="Arial"/>
              </w:rPr>
            </w:pPr>
            <w:r>
              <w:rPr>
                <w:rFonts w:ascii="Arial" w:hAnsi="Arial" w:cs="Arial"/>
              </w:rPr>
              <w:t>8.085</w:t>
            </w:r>
          </w:p>
        </w:tc>
        <w:tc>
          <w:tcPr>
            <w:tcW w:w="217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3FB4E6D">
            <w:pPr>
              <w:spacing w:line="360" w:lineRule="auto"/>
              <w:jc w:val="center"/>
              <w:rPr>
                <w:rFonts w:ascii="Arial" w:hAnsi="Arial" w:cs="Arial"/>
              </w:rPr>
            </w:pPr>
            <w:r>
              <w:rPr>
                <w:rFonts w:ascii="Arial" w:hAnsi="Arial" w:cs="Arial"/>
              </w:rPr>
              <w:t>18.375</w:t>
            </w:r>
          </w:p>
        </w:tc>
      </w:tr>
      <w:tr w14:paraId="14FA13D8">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2865"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47DDDB3">
            <w:pPr>
              <w:spacing w:line="360" w:lineRule="auto"/>
              <w:jc w:val="center"/>
              <w:rPr>
                <w:rFonts w:ascii="Arial" w:hAnsi="Arial" w:cs="Arial"/>
              </w:rPr>
            </w:pPr>
            <w:r>
              <w:rPr>
                <w:rFonts w:ascii="Arial" w:hAnsi="Arial" w:cs="Arial"/>
              </w:rPr>
              <w:t>Year 5</w:t>
            </w:r>
          </w:p>
        </w:tc>
        <w:tc>
          <w:tcPr>
            <w:tcW w:w="214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EB4A0B4">
            <w:pPr>
              <w:spacing w:line="360" w:lineRule="auto"/>
              <w:jc w:val="center"/>
              <w:rPr>
                <w:rFonts w:ascii="Arial" w:hAnsi="Arial" w:cs="Arial"/>
              </w:rPr>
            </w:pPr>
            <w:r>
              <w:rPr>
                <w:rFonts w:ascii="Arial" w:hAnsi="Arial" w:cs="Arial"/>
              </w:rPr>
              <w:t>5.445</w:t>
            </w:r>
          </w:p>
        </w:tc>
        <w:tc>
          <w:tcPr>
            <w:tcW w:w="2158"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7DAAB18D">
            <w:pPr>
              <w:spacing w:line="360" w:lineRule="auto"/>
              <w:jc w:val="center"/>
              <w:rPr>
                <w:rFonts w:ascii="Arial" w:hAnsi="Arial" w:cs="Arial"/>
              </w:rPr>
            </w:pPr>
            <w:r>
              <w:rPr>
                <w:rFonts w:ascii="Arial" w:hAnsi="Arial" w:cs="Arial"/>
              </w:rPr>
              <w:t>7.487</w:t>
            </w:r>
          </w:p>
        </w:tc>
        <w:tc>
          <w:tcPr>
            <w:tcW w:w="217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C223634">
            <w:pPr>
              <w:spacing w:line="360" w:lineRule="auto"/>
              <w:jc w:val="center"/>
              <w:rPr>
                <w:rFonts w:ascii="Arial" w:hAnsi="Arial" w:cs="Arial"/>
              </w:rPr>
            </w:pPr>
            <w:r>
              <w:rPr>
                <w:rFonts w:ascii="Arial" w:hAnsi="Arial" w:cs="Arial"/>
              </w:rPr>
              <w:t>3.403</w:t>
            </w:r>
          </w:p>
        </w:tc>
      </w:tr>
      <w:tr w14:paraId="57A9A582">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2865"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43CBC15">
            <w:pPr>
              <w:spacing w:line="360" w:lineRule="auto"/>
              <w:jc w:val="center"/>
              <w:rPr>
                <w:rFonts w:ascii="Arial" w:hAnsi="Arial" w:cs="Arial"/>
              </w:rPr>
            </w:pPr>
            <w:r>
              <w:rPr>
                <w:rFonts w:ascii="Arial" w:hAnsi="Arial" w:cs="Arial"/>
              </w:rPr>
              <w:t>Total PV of Cash Inflows</w:t>
            </w:r>
          </w:p>
        </w:tc>
        <w:tc>
          <w:tcPr>
            <w:tcW w:w="214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79CC1AD0">
            <w:pPr>
              <w:spacing w:line="360" w:lineRule="auto"/>
              <w:jc w:val="center"/>
              <w:rPr>
                <w:rFonts w:ascii="Arial" w:hAnsi="Arial" w:cs="Arial"/>
              </w:rPr>
            </w:pPr>
            <w:r>
              <w:rPr>
                <w:rFonts w:ascii="Arial" w:hAnsi="Arial" w:cs="Arial"/>
              </w:rPr>
              <w:t>43.455</w:t>
            </w:r>
          </w:p>
        </w:tc>
        <w:tc>
          <w:tcPr>
            <w:tcW w:w="2158"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88CF5C7">
            <w:pPr>
              <w:spacing w:line="360" w:lineRule="auto"/>
              <w:jc w:val="center"/>
              <w:rPr>
                <w:rFonts w:ascii="Arial" w:hAnsi="Arial" w:cs="Arial"/>
              </w:rPr>
            </w:pPr>
            <w:r>
              <w:rPr>
                <w:rFonts w:ascii="Arial" w:hAnsi="Arial" w:cs="Arial"/>
              </w:rPr>
              <w:t>43.919</w:t>
            </w:r>
          </w:p>
        </w:tc>
        <w:tc>
          <w:tcPr>
            <w:tcW w:w="217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C19193F">
            <w:pPr>
              <w:spacing w:line="360" w:lineRule="auto"/>
              <w:jc w:val="center"/>
              <w:rPr>
                <w:rFonts w:ascii="Arial" w:hAnsi="Arial" w:cs="Arial"/>
              </w:rPr>
            </w:pPr>
            <w:r>
              <w:rPr>
                <w:rFonts w:ascii="Arial" w:hAnsi="Arial" w:cs="Arial"/>
              </w:rPr>
              <w:t>50.857</w:t>
            </w:r>
          </w:p>
        </w:tc>
      </w:tr>
      <w:tr w14:paraId="67061354">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2865"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7D83B59D">
            <w:pPr>
              <w:spacing w:line="360" w:lineRule="auto"/>
              <w:jc w:val="center"/>
              <w:rPr>
                <w:rFonts w:ascii="Arial" w:hAnsi="Arial" w:cs="Arial"/>
              </w:rPr>
            </w:pPr>
            <w:r>
              <w:rPr>
                <w:rFonts w:ascii="Arial" w:hAnsi="Arial" w:cs="Arial"/>
              </w:rPr>
              <w:t>NPV (£m)</w:t>
            </w:r>
          </w:p>
        </w:tc>
        <w:tc>
          <w:tcPr>
            <w:tcW w:w="214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5042DA6">
            <w:pPr>
              <w:spacing w:line="360" w:lineRule="auto"/>
              <w:jc w:val="center"/>
              <w:rPr>
                <w:rFonts w:ascii="Arial" w:hAnsi="Arial" w:cs="Arial"/>
              </w:rPr>
            </w:pPr>
            <w:r>
              <w:rPr>
                <w:rFonts w:ascii="Arial" w:hAnsi="Arial" w:cs="Arial"/>
              </w:rPr>
              <w:t>-6.545</w:t>
            </w:r>
          </w:p>
        </w:tc>
        <w:tc>
          <w:tcPr>
            <w:tcW w:w="2158"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2490E3A">
            <w:pPr>
              <w:spacing w:line="360" w:lineRule="auto"/>
              <w:jc w:val="center"/>
              <w:rPr>
                <w:rFonts w:ascii="Arial" w:hAnsi="Arial" w:cs="Arial"/>
              </w:rPr>
            </w:pPr>
            <w:r>
              <w:rPr>
                <w:rFonts w:ascii="Arial" w:hAnsi="Arial" w:cs="Arial"/>
              </w:rPr>
              <w:t>-6.081</w:t>
            </w:r>
          </w:p>
        </w:tc>
        <w:tc>
          <w:tcPr>
            <w:tcW w:w="217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10723A03">
            <w:pPr>
              <w:spacing w:line="360" w:lineRule="auto"/>
              <w:jc w:val="center"/>
              <w:rPr>
                <w:rFonts w:ascii="Arial" w:hAnsi="Arial" w:cs="Arial"/>
              </w:rPr>
            </w:pPr>
            <w:r>
              <w:rPr>
                <w:rFonts w:ascii="Arial" w:hAnsi="Arial" w:cs="Arial"/>
              </w:rPr>
              <w:t>0.857</w:t>
            </w:r>
          </w:p>
        </w:tc>
      </w:tr>
    </w:tbl>
    <w:p w14:paraId="4038640C">
      <w:pPr>
        <w:spacing w:line="360" w:lineRule="auto"/>
        <w:jc w:val="center"/>
        <w:rPr>
          <w:rFonts w:ascii="Arial" w:hAnsi="Arial" w:cs="Arial"/>
        </w:rPr>
      </w:pPr>
    </w:p>
    <w:p w14:paraId="499D6A04">
      <w:pPr>
        <w:spacing w:line="360" w:lineRule="auto"/>
        <w:jc w:val="center"/>
        <w:rPr>
          <w:rFonts w:ascii="Arial" w:hAnsi="Arial" w:cs="Arial"/>
          <w:b/>
          <w:bCs/>
        </w:rPr>
      </w:pPr>
      <w:r>
        <w:rPr>
          <w:rFonts w:ascii="Arial" w:hAnsi="Arial" w:cs="Arial"/>
          <w:b/>
          <w:bCs/>
        </w:rPr>
        <w:t>Table 4: Discounted Cash Flow Calculation</w:t>
      </w:r>
    </w:p>
    <w:p w14:paraId="2E19A91D">
      <w:pPr>
        <w:spacing w:line="360" w:lineRule="auto"/>
        <w:jc w:val="center"/>
        <w:rPr>
          <w:rFonts w:ascii="Arial" w:hAnsi="Arial" w:cs="Arial"/>
        </w:rPr>
      </w:pPr>
    </w:p>
    <w:tbl>
      <w:tblPr>
        <w:tblStyle w:val="20"/>
        <w:tblW w:w="9340" w:type="dxa"/>
        <w:jc w:val="center"/>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fixed"/>
        <w:tblCellMar>
          <w:top w:w="100" w:type="dxa"/>
          <w:left w:w="100" w:type="dxa"/>
          <w:bottom w:w="100" w:type="dxa"/>
          <w:right w:w="100" w:type="dxa"/>
        </w:tblCellMar>
      </w:tblPr>
      <w:tblGrid>
        <w:gridCol w:w="3121"/>
        <w:gridCol w:w="2073"/>
        <w:gridCol w:w="2073"/>
        <w:gridCol w:w="2073"/>
      </w:tblGrid>
      <w:tr w14:paraId="73DED4A7">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3121"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7582E254">
            <w:pPr>
              <w:spacing w:line="360" w:lineRule="auto"/>
              <w:jc w:val="center"/>
              <w:rPr>
                <w:rFonts w:ascii="Arial" w:hAnsi="Arial" w:cs="Arial"/>
              </w:rPr>
            </w:pPr>
            <w:r>
              <w:rPr>
                <w:rFonts w:ascii="Arial" w:hAnsi="Arial" w:cs="Arial"/>
                <w:b/>
                <w:bCs/>
              </w:rPr>
              <w:t>Year</w:t>
            </w:r>
          </w:p>
        </w:tc>
        <w:tc>
          <w:tcPr>
            <w:tcW w:w="207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CF8CF44">
            <w:pPr>
              <w:spacing w:line="360" w:lineRule="auto"/>
              <w:jc w:val="center"/>
              <w:rPr>
                <w:rFonts w:ascii="Arial" w:hAnsi="Arial" w:cs="Arial"/>
              </w:rPr>
            </w:pPr>
            <w:r>
              <w:rPr>
                <w:rFonts w:ascii="Arial" w:hAnsi="Arial" w:cs="Arial"/>
                <w:b/>
                <w:bCs/>
              </w:rPr>
              <w:t>Project A</w:t>
            </w:r>
          </w:p>
        </w:tc>
        <w:tc>
          <w:tcPr>
            <w:tcW w:w="207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662B5E5">
            <w:pPr>
              <w:spacing w:line="360" w:lineRule="auto"/>
              <w:jc w:val="center"/>
              <w:rPr>
                <w:rFonts w:ascii="Arial" w:hAnsi="Arial" w:cs="Arial"/>
              </w:rPr>
            </w:pPr>
            <w:r>
              <w:rPr>
                <w:rFonts w:ascii="Arial" w:hAnsi="Arial" w:cs="Arial"/>
                <w:b/>
                <w:bCs/>
              </w:rPr>
              <w:t>Project B</w:t>
            </w:r>
          </w:p>
        </w:tc>
        <w:tc>
          <w:tcPr>
            <w:tcW w:w="207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1E11D8AA">
            <w:pPr>
              <w:spacing w:line="360" w:lineRule="auto"/>
              <w:jc w:val="center"/>
              <w:rPr>
                <w:rFonts w:ascii="Arial" w:hAnsi="Arial" w:cs="Arial"/>
              </w:rPr>
            </w:pPr>
            <w:r>
              <w:rPr>
                <w:rFonts w:ascii="Arial" w:hAnsi="Arial" w:cs="Arial"/>
                <w:b/>
                <w:bCs/>
              </w:rPr>
              <w:t>Project C</w:t>
            </w:r>
          </w:p>
        </w:tc>
      </w:tr>
      <w:tr w14:paraId="458DC181">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3121"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9A9146F">
            <w:pPr>
              <w:spacing w:line="360" w:lineRule="auto"/>
              <w:jc w:val="center"/>
              <w:rPr>
                <w:rFonts w:ascii="Arial" w:hAnsi="Arial" w:cs="Arial"/>
              </w:rPr>
            </w:pPr>
            <w:r>
              <w:rPr>
                <w:rFonts w:ascii="Arial" w:hAnsi="Arial" w:cs="Arial"/>
              </w:rPr>
              <w:t>Initial Investment</w:t>
            </w:r>
          </w:p>
        </w:tc>
        <w:tc>
          <w:tcPr>
            <w:tcW w:w="207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1E7BCC31">
            <w:pPr>
              <w:spacing w:line="360" w:lineRule="auto"/>
              <w:jc w:val="center"/>
              <w:rPr>
                <w:rFonts w:ascii="Arial" w:hAnsi="Arial" w:cs="Arial"/>
              </w:rPr>
            </w:pPr>
            <w:r>
              <w:rPr>
                <w:rFonts w:ascii="Arial" w:hAnsi="Arial" w:cs="Arial"/>
              </w:rPr>
              <w:t>-50</w:t>
            </w:r>
          </w:p>
        </w:tc>
        <w:tc>
          <w:tcPr>
            <w:tcW w:w="207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87BB331">
            <w:pPr>
              <w:spacing w:line="360" w:lineRule="auto"/>
              <w:jc w:val="center"/>
              <w:rPr>
                <w:rFonts w:ascii="Arial" w:hAnsi="Arial" w:cs="Arial"/>
              </w:rPr>
            </w:pPr>
            <w:r>
              <w:rPr>
                <w:rFonts w:ascii="Arial" w:hAnsi="Arial" w:cs="Arial"/>
              </w:rPr>
              <w:t>-50</w:t>
            </w:r>
          </w:p>
        </w:tc>
        <w:tc>
          <w:tcPr>
            <w:tcW w:w="207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74304C2E">
            <w:pPr>
              <w:spacing w:line="360" w:lineRule="auto"/>
              <w:jc w:val="center"/>
              <w:rPr>
                <w:rFonts w:ascii="Arial" w:hAnsi="Arial" w:cs="Arial"/>
              </w:rPr>
            </w:pPr>
            <w:r>
              <w:rPr>
                <w:rFonts w:ascii="Arial" w:hAnsi="Arial" w:cs="Arial"/>
              </w:rPr>
              <w:t>-50</w:t>
            </w:r>
          </w:p>
        </w:tc>
      </w:tr>
      <w:tr w14:paraId="159B2F02">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3121"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CCC2E53">
            <w:pPr>
              <w:spacing w:line="360" w:lineRule="auto"/>
              <w:jc w:val="center"/>
              <w:rPr>
                <w:rFonts w:ascii="Arial" w:hAnsi="Arial" w:cs="Arial"/>
              </w:rPr>
            </w:pPr>
            <w:r>
              <w:rPr>
                <w:rFonts w:ascii="Arial" w:hAnsi="Arial" w:cs="Arial"/>
              </w:rPr>
              <w:t>Year 1</w:t>
            </w:r>
          </w:p>
        </w:tc>
        <w:tc>
          <w:tcPr>
            <w:tcW w:w="207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CF223BA">
            <w:pPr>
              <w:spacing w:line="360" w:lineRule="auto"/>
              <w:jc w:val="center"/>
              <w:rPr>
                <w:rFonts w:ascii="Arial" w:hAnsi="Arial" w:cs="Arial"/>
              </w:rPr>
            </w:pPr>
            <w:r>
              <w:rPr>
                <w:rFonts w:ascii="Arial" w:hAnsi="Arial" w:cs="Arial"/>
              </w:rPr>
              <w:t>-40</w:t>
            </w:r>
          </w:p>
        </w:tc>
        <w:tc>
          <w:tcPr>
            <w:tcW w:w="207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1994AA50">
            <w:pPr>
              <w:spacing w:line="360" w:lineRule="auto"/>
              <w:jc w:val="center"/>
              <w:rPr>
                <w:rFonts w:ascii="Arial" w:hAnsi="Arial" w:cs="Arial"/>
              </w:rPr>
            </w:pPr>
            <w:r>
              <w:rPr>
                <w:rFonts w:ascii="Arial" w:hAnsi="Arial" w:cs="Arial"/>
              </w:rPr>
              <w:t>-39</w:t>
            </w:r>
          </w:p>
        </w:tc>
        <w:tc>
          <w:tcPr>
            <w:tcW w:w="207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DBAA152">
            <w:pPr>
              <w:spacing w:line="360" w:lineRule="auto"/>
              <w:jc w:val="center"/>
              <w:rPr>
                <w:rFonts w:ascii="Arial" w:hAnsi="Arial" w:cs="Arial"/>
              </w:rPr>
            </w:pPr>
            <w:r>
              <w:rPr>
                <w:rFonts w:ascii="Arial" w:hAnsi="Arial" w:cs="Arial"/>
              </w:rPr>
              <w:t>-45</w:t>
            </w:r>
          </w:p>
        </w:tc>
      </w:tr>
      <w:tr w14:paraId="5B8A81FF">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3121"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921E46C">
            <w:pPr>
              <w:spacing w:line="360" w:lineRule="auto"/>
              <w:jc w:val="center"/>
              <w:rPr>
                <w:rFonts w:ascii="Arial" w:hAnsi="Arial" w:cs="Arial"/>
              </w:rPr>
            </w:pPr>
            <w:r>
              <w:rPr>
                <w:rFonts w:ascii="Arial" w:hAnsi="Arial" w:cs="Arial"/>
              </w:rPr>
              <w:t>Year 2</w:t>
            </w:r>
          </w:p>
        </w:tc>
        <w:tc>
          <w:tcPr>
            <w:tcW w:w="207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5A5351C">
            <w:pPr>
              <w:spacing w:line="360" w:lineRule="auto"/>
              <w:jc w:val="center"/>
              <w:rPr>
                <w:rFonts w:ascii="Arial" w:hAnsi="Arial" w:cs="Arial"/>
              </w:rPr>
            </w:pPr>
            <w:r>
              <w:rPr>
                <w:rFonts w:ascii="Arial" w:hAnsi="Arial" w:cs="Arial"/>
              </w:rPr>
              <w:t>-28</w:t>
            </w:r>
          </w:p>
        </w:tc>
        <w:tc>
          <w:tcPr>
            <w:tcW w:w="207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E7682F1">
            <w:pPr>
              <w:spacing w:line="360" w:lineRule="auto"/>
              <w:jc w:val="center"/>
              <w:rPr>
                <w:rFonts w:ascii="Arial" w:hAnsi="Arial" w:cs="Arial"/>
              </w:rPr>
            </w:pPr>
            <w:r>
              <w:rPr>
                <w:rFonts w:ascii="Arial" w:hAnsi="Arial" w:cs="Arial"/>
              </w:rPr>
              <w:t>-28</w:t>
            </w:r>
          </w:p>
        </w:tc>
        <w:tc>
          <w:tcPr>
            <w:tcW w:w="207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492DC59">
            <w:pPr>
              <w:spacing w:line="360" w:lineRule="auto"/>
              <w:jc w:val="center"/>
              <w:rPr>
                <w:rFonts w:ascii="Arial" w:hAnsi="Arial" w:cs="Arial"/>
              </w:rPr>
            </w:pPr>
            <w:r>
              <w:rPr>
                <w:rFonts w:ascii="Arial" w:hAnsi="Arial" w:cs="Arial"/>
              </w:rPr>
              <w:t>-35</w:t>
            </w:r>
          </w:p>
        </w:tc>
      </w:tr>
      <w:tr w14:paraId="49578898">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3121"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7A1126F5">
            <w:pPr>
              <w:spacing w:line="360" w:lineRule="auto"/>
              <w:jc w:val="center"/>
              <w:rPr>
                <w:rFonts w:ascii="Arial" w:hAnsi="Arial" w:cs="Arial"/>
              </w:rPr>
            </w:pPr>
            <w:r>
              <w:rPr>
                <w:rFonts w:ascii="Arial" w:hAnsi="Arial" w:cs="Arial"/>
              </w:rPr>
              <w:t>Year 3</w:t>
            </w:r>
          </w:p>
        </w:tc>
        <w:tc>
          <w:tcPr>
            <w:tcW w:w="207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1040D3B3">
            <w:pPr>
              <w:spacing w:line="360" w:lineRule="auto"/>
              <w:jc w:val="center"/>
              <w:rPr>
                <w:rFonts w:ascii="Arial" w:hAnsi="Arial" w:cs="Arial"/>
              </w:rPr>
            </w:pPr>
            <w:r>
              <w:rPr>
                <w:rFonts w:ascii="Arial" w:hAnsi="Arial" w:cs="Arial"/>
              </w:rPr>
              <w:t>-14</w:t>
            </w:r>
          </w:p>
        </w:tc>
        <w:tc>
          <w:tcPr>
            <w:tcW w:w="207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A3128A7">
            <w:pPr>
              <w:spacing w:line="360" w:lineRule="auto"/>
              <w:jc w:val="center"/>
              <w:rPr>
                <w:rFonts w:ascii="Arial" w:hAnsi="Arial" w:cs="Arial"/>
              </w:rPr>
            </w:pPr>
            <w:r>
              <w:rPr>
                <w:rFonts w:ascii="Arial" w:hAnsi="Arial" w:cs="Arial"/>
              </w:rPr>
              <w:t>-17</w:t>
            </w:r>
          </w:p>
        </w:tc>
        <w:tc>
          <w:tcPr>
            <w:tcW w:w="207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A6022DC">
            <w:pPr>
              <w:spacing w:line="360" w:lineRule="auto"/>
              <w:jc w:val="center"/>
              <w:rPr>
                <w:rFonts w:ascii="Arial" w:hAnsi="Arial" w:cs="Arial"/>
              </w:rPr>
            </w:pPr>
            <w:r>
              <w:rPr>
                <w:rFonts w:ascii="Arial" w:hAnsi="Arial" w:cs="Arial"/>
              </w:rPr>
              <w:t>-15</w:t>
            </w:r>
          </w:p>
        </w:tc>
      </w:tr>
      <w:tr w14:paraId="539EA124">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3121"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12BF9773">
            <w:pPr>
              <w:spacing w:line="360" w:lineRule="auto"/>
              <w:jc w:val="center"/>
              <w:rPr>
                <w:rFonts w:ascii="Arial" w:hAnsi="Arial" w:cs="Arial"/>
              </w:rPr>
            </w:pPr>
            <w:r>
              <w:rPr>
                <w:rFonts w:ascii="Arial" w:hAnsi="Arial" w:cs="Arial"/>
              </w:rPr>
              <w:t>Year 4</w:t>
            </w:r>
          </w:p>
        </w:tc>
        <w:tc>
          <w:tcPr>
            <w:tcW w:w="207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B1B06C">
            <w:pPr>
              <w:spacing w:line="360" w:lineRule="auto"/>
              <w:jc w:val="center"/>
              <w:rPr>
                <w:rFonts w:ascii="Arial" w:hAnsi="Arial" w:cs="Arial"/>
              </w:rPr>
            </w:pPr>
            <w:r>
              <w:rPr>
                <w:rFonts w:ascii="Arial" w:hAnsi="Arial" w:cs="Arial"/>
              </w:rPr>
              <w:t>-4</w:t>
            </w:r>
          </w:p>
        </w:tc>
        <w:tc>
          <w:tcPr>
            <w:tcW w:w="207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F90114A">
            <w:pPr>
              <w:spacing w:line="360" w:lineRule="auto"/>
              <w:jc w:val="center"/>
              <w:rPr>
                <w:rFonts w:ascii="Arial" w:hAnsi="Arial" w:cs="Arial"/>
              </w:rPr>
            </w:pPr>
            <w:r>
              <w:rPr>
                <w:rFonts w:ascii="Arial" w:hAnsi="Arial" w:cs="Arial"/>
              </w:rPr>
              <w:t>-6</w:t>
            </w:r>
          </w:p>
        </w:tc>
        <w:tc>
          <w:tcPr>
            <w:tcW w:w="207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184F517">
            <w:pPr>
              <w:spacing w:line="360" w:lineRule="auto"/>
              <w:jc w:val="center"/>
              <w:rPr>
                <w:rFonts w:ascii="Arial" w:hAnsi="Arial" w:cs="Arial"/>
              </w:rPr>
            </w:pPr>
            <w:r>
              <w:rPr>
                <w:rFonts w:ascii="Arial" w:hAnsi="Arial" w:cs="Arial"/>
              </w:rPr>
              <w:t>10</w:t>
            </w:r>
          </w:p>
        </w:tc>
      </w:tr>
      <w:tr w14:paraId="319D88AD">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3121"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9819FD4">
            <w:pPr>
              <w:spacing w:line="360" w:lineRule="auto"/>
              <w:jc w:val="center"/>
              <w:rPr>
                <w:rFonts w:ascii="Arial" w:hAnsi="Arial" w:cs="Arial"/>
              </w:rPr>
            </w:pPr>
            <w:r>
              <w:rPr>
                <w:rFonts w:ascii="Arial" w:hAnsi="Arial" w:cs="Arial"/>
              </w:rPr>
              <w:t>Year 5</w:t>
            </w:r>
          </w:p>
        </w:tc>
        <w:tc>
          <w:tcPr>
            <w:tcW w:w="207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FACDC7E">
            <w:pPr>
              <w:spacing w:line="360" w:lineRule="auto"/>
              <w:jc w:val="center"/>
              <w:rPr>
                <w:rFonts w:ascii="Arial" w:hAnsi="Arial" w:cs="Arial"/>
              </w:rPr>
            </w:pPr>
            <w:r>
              <w:rPr>
                <w:rFonts w:ascii="Arial" w:hAnsi="Arial" w:cs="Arial"/>
              </w:rPr>
              <w:t>4</w:t>
            </w:r>
          </w:p>
        </w:tc>
        <w:tc>
          <w:tcPr>
            <w:tcW w:w="207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151EF4C">
            <w:pPr>
              <w:spacing w:line="360" w:lineRule="auto"/>
              <w:jc w:val="center"/>
              <w:rPr>
                <w:rFonts w:ascii="Arial" w:hAnsi="Arial" w:cs="Arial"/>
              </w:rPr>
            </w:pPr>
            <w:r>
              <w:rPr>
                <w:rFonts w:ascii="Arial" w:hAnsi="Arial" w:cs="Arial"/>
              </w:rPr>
              <w:t>5</w:t>
            </w:r>
          </w:p>
        </w:tc>
        <w:tc>
          <w:tcPr>
            <w:tcW w:w="207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132D4D91">
            <w:pPr>
              <w:spacing w:line="360" w:lineRule="auto"/>
              <w:jc w:val="center"/>
              <w:rPr>
                <w:rFonts w:ascii="Arial" w:hAnsi="Arial" w:cs="Arial"/>
              </w:rPr>
            </w:pPr>
            <w:r>
              <w:rPr>
                <w:rFonts w:ascii="Arial" w:hAnsi="Arial" w:cs="Arial"/>
              </w:rPr>
              <w:t>15</w:t>
            </w:r>
          </w:p>
        </w:tc>
      </w:tr>
      <w:tr w14:paraId="64EDAA46">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3121"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08004BC">
            <w:pPr>
              <w:spacing w:line="360" w:lineRule="auto"/>
              <w:jc w:val="center"/>
              <w:rPr>
                <w:rFonts w:ascii="Arial" w:hAnsi="Arial" w:cs="Arial"/>
              </w:rPr>
            </w:pPr>
            <w:r>
              <w:rPr>
                <w:rFonts w:ascii="Arial" w:hAnsi="Arial" w:cs="Arial"/>
              </w:rPr>
              <w:t>Payback Period</w:t>
            </w:r>
          </w:p>
        </w:tc>
        <w:tc>
          <w:tcPr>
            <w:tcW w:w="207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A9BF8EA">
            <w:pPr>
              <w:spacing w:line="360" w:lineRule="auto"/>
              <w:jc w:val="center"/>
              <w:rPr>
                <w:rFonts w:ascii="Arial" w:hAnsi="Arial" w:cs="Arial"/>
              </w:rPr>
            </w:pPr>
            <w:r>
              <w:rPr>
                <w:rFonts w:ascii="Arial" w:hAnsi="Arial" w:cs="Arial"/>
              </w:rPr>
              <w:t>4.50 Years</w:t>
            </w:r>
          </w:p>
        </w:tc>
        <w:tc>
          <w:tcPr>
            <w:tcW w:w="207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F68B5A7">
            <w:pPr>
              <w:spacing w:line="360" w:lineRule="auto"/>
              <w:jc w:val="center"/>
              <w:rPr>
                <w:rFonts w:ascii="Arial" w:hAnsi="Arial" w:cs="Arial"/>
              </w:rPr>
            </w:pPr>
            <w:r>
              <w:rPr>
                <w:rFonts w:ascii="Arial" w:hAnsi="Arial" w:cs="Arial"/>
              </w:rPr>
              <w:t>4.55 Years</w:t>
            </w:r>
          </w:p>
        </w:tc>
        <w:tc>
          <w:tcPr>
            <w:tcW w:w="207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8B3EA9B">
            <w:pPr>
              <w:spacing w:line="360" w:lineRule="auto"/>
              <w:jc w:val="center"/>
              <w:rPr>
                <w:rFonts w:ascii="Arial" w:hAnsi="Arial" w:cs="Arial"/>
              </w:rPr>
            </w:pPr>
            <w:r>
              <w:rPr>
                <w:rFonts w:ascii="Arial" w:hAnsi="Arial" w:cs="Arial"/>
              </w:rPr>
              <w:t>3.60 Years</w:t>
            </w:r>
          </w:p>
        </w:tc>
      </w:tr>
    </w:tbl>
    <w:p w14:paraId="57FF6A89">
      <w:pPr>
        <w:spacing w:line="360" w:lineRule="auto"/>
        <w:jc w:val="center"/>
        <w:rPr>
          <w:rFonts w:ascii="Arial" w:hAnsi="Arial" w:cs="Arial"/>
          <w:b/>
          <w:bCs/>
        </w:rPr>
      </w:pPr>
    </w:p>
    <w:p w14:paraId="6F40AADB">
      <w:pPr>
        <w:spacing w:line="360" w:lineRule="auto"/>
        <w:jc w:val="center"/>
        <w:rPr>
          <w:rFonts w:ascii="Arial" w:hAnsi="Arial" w:cs="Arial"/>
          <w:b/>
          <w:bCs/>
        </w:rPr>
      </w:pPr>
      <w:r>
        <w:rPr>
          <w:rFonts w:ascii="Arial" w:hAnsi="Arial" w:cs="Arial"/>
          <w:b/>
          <w:bCs/>
        </w:rPr>
        <w:t>Table 5: Payback period</w:t>
      </w:r>
    </w:p>
    <w:p w14:paraId="6A5A1425">
      <w:pPr>
        <w:spacing w:line="360" w:lineRule="auto"/>
        <w:jc w:val="center"/>
        <w:rPr>
          <w:rFonts w:ascii="Arial" w:hAnsi="Arial" w:cs="Arial"/>
        </w:rPr>
      </w:pPr>
    </w:p>
    <w:tbl>
      <w:tblPr>
        <w:tblStyle w:val="21"/>
        <w:tblW w:w="9339" w:type="dxa"/>
        <w:jc w:val="center"/>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fixed"/>
        <w:tblCellMar>
          <w:top w:w="100" w:type="dxa"/>
          <w:left w:w="100" w:type="dxa"/>
          <w:bottom w:w="100" w:type="dxa"/>
          <w:right w:w="100" w:type="dxa"/>
        </w:tblCellMar>
      </w:tblPr>
      <w:tblGrid>
        <w:gridCol w:w="4269"/>
        <w:gridCol w:w="1683"/>
        <w:gridCol w:w="1683"/>
        <w:gridCol w:w="1704"/>
      </w:tblGrid>
      <w:tr w14:paraId="39132CCD">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427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DC4AA43">
            <w:pPr>
              <w:spacing w:line="360" w:lineRule="auto"/>
              <w:jc w:val="center"/>
              <w:rPr>
                <w:rFonts w:ascii="Arial" w:hAnsi="Arial" w:cs="Arial"/>
              </w:rPr>
            </w:pPr>
            <w:r>
              <w:rPr>
                <w:rFonts w:ascii="Arial" w:hAnsi="Arial" w:cs="Arial"/>
                <w:b/>
                <w:bCs/>
              </w:rPr>
              <w:t>Particular</w:t>
            </w:r>
          </w:p>
        </w:tc>
        <w:tc>
          <w:tcPr>
            <w:tcW w:w="168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A7D8ABB">
            <w:pPr>
              <w:spacing w:line="360" w:lineRule="auto"/>
              <w:jc w:val="center"/>
              <w:rPr>
                <w:rFonts w:ascii="Arial" w:hAnsi="Arial" w:cs="Arial"/>
              </w:rPr>
            </w:pPr>
            <w:r>
              <w:rPr>
                <w:rFonts w:ascii="Arial" w:hAnsi="Arial" w:cs="Arial"/>
                <w:b/>
                <w:bCs/>
              </w:rPr>
              <w:t>Project A</w:t>
            </w:r>
          </w:p>
        </w:tc>
        <w:tc>
          <w:tcPr>
            <w:tcW w:w="168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28E6CC3">
            <w:pPr>
              <w:spacing w:line="360" w:lineRule="auto"/>
              <w:jc w:val="center"/>
              <w:rPr>
                <w:rFonts w:ascii="Arial" w:hAnsi="Arial" w:cs="Arial"/>
              </w:rPr>
            </w:pPr>
            <w:r>
              <w:rPr>
                <w:rFonts w:ascii="Arial" w:hAnsi="Arial" w:cs="Arial"/>
                <w:b/>
                <w:bCs/>
              </w:rPr>
              <w:t>Project B</w:t>
            </w:r>
          </w:p>
        </w:tc>
        <w:tc>
          <w:tcPr>
            <w:tcW w:w="170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8A51B05">
            <w:pPr>
              <w:spacing w:line="360" w:lineRule="auto"/>
              <w:jc w:val="center"/>
              <w:rPr>
                <w:rFonts w:ascii="Arial" w:hAnsi="Arial" w:cs="Arial"/>
              </w:rPr>
            </w:pPr>
            <w:r>
              <w:rPr>
                <w:rFonts w:ascii="Arial" w:hAnsi="Arial" w:cs="Arial"/>
                <w:b/>
                <w:bCs/>
              </w:rPr>
              <w:t>Project C</w:t>
            </w:r>
          </w:p>
        </w:tc>
      </w:tr>
      <w:tr w14:paraId="6A4B161E">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427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1F5F220C">
            <w:pPr>
              <w:spacing w:line="360" w:lineRule="auto"/>
              <w:jc w:val="center"/>
              <w:rPr>
                <w:rFonts w:ascii="Arial" w:hAnsi="Arial" w:cs="Arial"/>
              </w:rPr>
            </w:pPr>
            <w:r>
              <w:rPr>
                <w:rFonts w:ascii="Arial" w:hAnsi="Arial" w:cs="Arial"/>
              </w:rPr>
              <w:t>Initial Investment (£m)</w:t>
            </w:r>
          </w:p>
        </w:tc>
        <w:tc>
          <w:tcPr>
            <w:tcW w:w="168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CBE7C48">
            <w:pPr>
              <w:spacing w:line="360" w:lineRule="auto"/>
              <w:jc w:val="center"/>
              <w:rPr>
                <w:rFonts w:ascii="Arial" w:hAnsi="Arial" w:cs="Arial"/>
              </w:rPr>
            </w:pPr>
            <w:r>
              <w:rPr>
                <w:rFonts w:ascii="Arial" w:hAnsi="Arial" w:cs="Arial"/>
              </w:rPr>
              <w:t>50</w:t>
            </w:r>
          </w:p>
        </w:tc>
        <w:tc>
          <w:tcPr>
            <w:tcW w:w="168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420220A">
            <w:pPr>
              <w:spacing w:line="360" w:lineRule="auto"/>
              <w:jc w:val="center"/>
              <w:rPr>
                <w:rFonts w:ascii="Arial" w:hAnsi="Arial" w:cs="Arial"/>
              </w:rPr>
            </w:pPr>
            <w:r>
              <w:rPr>
                <w:rFonts w:ascii="Arial" w:hAnsi="Arial" w:cs="Arial"/>
              </w:rPr>
              <w:t>50</w:t>
            </w:r>
          </w:p>
        </w:tc>
        <w:tc>
          <w:tcPr>
            <w:tcW w:w="170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3729BE7">
            <w:pPr>
              <w:spacing w:line="360" w:lineRule="auto"/>
              <w:jc w:val="center"/>
              <w:rPr>
                <w:rFonts w:ascii="Arial" w:hAnsi="Arial" w:cs="Arial"/>
              </w:rPr>
            </w:pPr>
            <w:r>
              <w:rPr>
                <w:rFonts w:ascii="Arial" w:hAnsi="Arial" w:cs="Arial"/>
              </w:rPr>
              <w:t>50</w:t>
            </w:r>
          </w:p>
        </w:tc>
      </w:tr>
      <w:tr w14:paraId="07872DF8">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427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4F82583">
            <w:pPr>
              <w:spacing w:line="360" w:lineRule="auto"/>
              <w:jc w:val="center"/>
              <w:rPr>
                <w:rFonts w:ascii="Arial" w:hAnsi="Arial" w:cs="Arial"/>
              </w:rPr>
            </w:pPr>
            <w:r>
              <w:rPr>
                <w:rFonts w:ascii="Arial" w:hAnsi="Arial" w:cs="Arial"/>
              </w:rPr>
              <w:t>Total Cash Inflows (£m)</w:t>
            </w:r>
          </w:p>
        </w:tc>
        <w:tc>
          <w:tcPr>
            <w:tcW w:w="168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7CF52574">
            <w:pPr>
              <w:spacing w:line="360" w:lineRule="auto"/>
              <w:jc w:val="center"/>
              <w:rPr>
                <w:rFonts w:ascii="Arial" w:hAnsi="Arial" w:cs="Arial"/>
              </w:rPr>
            </w:pPr>
            <w:r>
              <w:rPr>
                <w:rFonts w:ascii="Arial" w:hAnsi="Arial" w:cs="Arial"/>
              </w:rPr>
              <w:t>54</w:t>
            </w:r>
          </w:p>
        </w:tc>
        <w:tc>
          <w:tcPr>
            <w:tcW w:w="168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46CBE8A">
            <w:pPr>
              <w:spacing w:line="360" w:lineRule="auto"/>
              <w:jc w:val="center"/>
              <w:rPr>
                <w:rFonts w:ascii="Arial" w:hAnsi="Arial" w:cs="Arial"/>
              </w:rPr>
            </w:pPr>
            <w:r>
              <w:rPr>
                <w:rFonts w:ascii="Arial" w:hAnsi="Arial" w:cs="Arial"/>
              </w:rPr>
              <w:t>55</w:t>
            </w:r>
          </w:p>
        </w:tc>
        <w:tc>
          <w:tcPr>
            <w:tcW w:w="170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AE57322">
            <w:pPr>
              <w:spacing w:line="360" w:lineRule="auto"/>
              <w:jc w:val="center"/>
              <w:rPr>
                <w:rFonts w:ascii="Arial" w:hAnsi="Arial" w:cs="Arial"/>
              </w:rPr>
            </w:pPr>
            <w:r>
              <w:rPr>
                <w:rFonts w:ascii="Arial" w:hAnsi="Arial" w:cs="Arial"/>
              </w:rPr>
              <w:t>65</w:t>
            </w:r>
          </w:p>
        </w:tc>
      </w:tr>
      <w:tr w14:paraId="47EC69C6">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427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66B6EC3">
            <w:pPr>
              <w:spacing w:line="360" w:lineRule="auto"/>
              <w:jc w:val="center"/>
              <w:rPr>
                <w:rFonts w:ascii="Arial" w:hAnsi="Arial" w:cs="Arial"/>
              </w:rPr>
            </w:pPr>
            <w:r>
              <w:rPr>
                <w:rFonts w:ascii="Arial" w:hAnsi="Arial" w:cs="Arial"/>
              </w:rPr>
              <w:t>Total Depreciation (£m)</w:t>
            </w:r>
          </w:p>
        </w:tc>
        <w:tc>
          <w:tcPr>
            <w:tcW w:w="168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1E5F7B0B">
            <w:pPr>
              <w:spacing w:line="360" w:lineRule="auto"/>
              <w:jc w:val="center"/>
              <w:rPr>
                <w:rFonts w:ascii="Arial" w:hAnsi="Arial" w:cs="Arial"/>
              </w:rPr>
            </w:pPr>
            <w:r>
              <w:rPr>
                <w:rFonts w:ascii="Arial" w:hAnsi="Arial" w:cs="Arial"/>
              </w:rPr>
              <w:t>50</w:t>
            </w:r>
          </w:p>
        </w:tc>
        <w:tc>
          <w:tcPr>
            <w:tcW w:w="168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78594A3A">
            <w:pPr>
              <w:spacing w:line="360" w:lineRule="auto"/>
              <w:jc w:val="center"/>
              <w:rPr>
                <w:rFonts w:ascii="Arial" w:hAnsi="Arial" w:cs="Arial"/>
              </w:rPr>
            </w:pPr>
            <w:r>
              <w:rPr>
                <w:rFonts w:ascii="Arial" w:hAnsi="Arial" w:cs="Arial"/>
              </w:rPr>
              <w:t>50</w:t>
            </w:r>
          </w:p>
        </w:tc>
        <w:tc>
          <w:tcPr>
            <w:tcW w:w="170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5F13467">
            <w:pPr>
              <w:spacing w:line="360" w:lineRule="auto"/>
              <w:jc w:val="center"/>
              <w:rPr>
                <w:rFonts w:ascii="Arial" w:hAnsi="Arial" w:cs="Arial"/>
              </w:rPr>
            </w:pPr>
            <w:r>
              <w:rPr>
                <w:rFonts w:ascii="Arial" w:hAnsi="Arial" w:cs="Arial"/>
              </w:rPr>
              <w:t>50</w:t>
            </w:r>
          </w:p>
        </w:tc>
      </w:tr>
      <w:tr w14:paraId="0A329607">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427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7FB7E916">
            <w:pPr>
              <w:spacing w:line="360" w:lineRule="auto"/>
              <w:jc w:val="center"/>
              <w:rPr>
                <w:rFonts w:ascii="Arial" w:hAnsi="Arial" w:cs="Arial"/>
              </w:rPr>
            </w:pPr>
            <w:r>
              <w:rPr>
                <w:rFonts w:ascii="Arial" w:hAnsi="Arial" w:cs="Arial"/>
              </w:rPr>
              <w:t>Total Accounting Profit (£m)</w:t>
            </w:r>
          </w:p>
        </w:tc>
        <w:tc>
          <w:tcPr>
            <w:tcW w:w="168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D76F949">
            <w:pPr>
              <w:spacing w:line="360" w:lineRule="auto"/>
              <w:jc w:val="center"/>
              <w:rPr>
                <w:rFonts w:ascii="Arial" w:hAnsi="Arial" w:cs="Arial"/>
              </w:rPr>
            </w:pPr>
            <w:r>
              <w:rPr>
                <w:rFonts w:ascii="Arial" w:hAnsi="Arial" w:cs="Arial"/>
              </w:rPr>
              <w:t>4</w:t>
            </w:r>
          </w:p>
        </w:tc>
        <w:tc>
          <w:tcPr>
            <w:tcW w:w="168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06D05CA">
            <w:pPr>
              <w:spacing w:line="360" w:lineRule="auto"/>
              <w:jc w:val="center"/>
              <w:rPr>
                <w:rFonts w:ascii="Arial" w:hAnsi="Arial" w:cs="Arial"/>
              </w:rPr>
            </w:pPr>
            <w:r>
              <w:rPr>
                <w:rFonts w:ascii="Arial" w:hAnsi="Arial" w:cs="Arial"/>
              </w:rPr>
              <w:t>5</w:t>
            </w:r>
          </w:p>
        </w:tc>
        <w:tc>
          <w:tcPr>
            <w:tcW w:w="170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36D2FE5">
            <w:pPr>
              <w:spacing w:line="360" w:lineRule="auto"/>
              <w:jc w:val="center"/>
              <w:rPr>
                <w:rFonts w:ascii="Arial" w:hAnsi="Arial" w:cs="Arial"/>
              </w:rPr>
            </w:pPr>
            <w:r>
              <w:rPr>
                <w:rFonts w:ascii="Arial" w:hAnsi="Arial" w:cs="Arial"/>
              </w:rPr>
              <w:t>15</w:t>
            </w:r>
          </w:p>
        </w:tc>
      </w:tr>
      <w:tr w14:paraId="11EF86B8">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427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7BE3767">
            <w:pPr>
              <w:spacing w:line="360" w:lineRule="auto"/>
              <w:jc w:val="center"/>
              <w:rPr>
                <w:rFonts w:ascii="Arial" w:hAnsi="Arial" w:cs="Arial"/>
              </w:rPr>
            </w:pPr>
            <w:r>
              <w:rPr>
                <w:rFonts w:ascii="Arial" w:hAnsi="Arial" w:cs="Arial"/>
              </w:rPr>
              <w:t>Average Annual Profit (£m)</w:t>
            </w:r>
          </w:p>
        </w:tc>
        <w:tc>
          <w:tcPr>
            <w:tcW w:w="168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F27CA30">
            <w:pPr>
              <w:spacing w:line="360" w:lineRule="auto"/>
              <w:jc w:val="center"/>
              <w:rPr>
                <w:rFonts w:ascii="Arial" w:hAnsi="Arial" w:cs="Arial"/>
              </w:rPr>
            </w:pPr>
            <w:r>
              <w:rPr>
                <w:rFonts w:ascii="Arial" w:hAnsi="Arial" w:cs="Arial"/>
              </w:rPr>
              <w:t>0.8</w:t>
            </w:r>
          </w:p>
        </w:tc>
        <w:tc>
          <w:tcPr>
            <w:tcW w:w="168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127E75A2">
            <w:pPr>
              <w:spacing w:line="360" w:lineRule="auto"/>
              <w:jc w:val="center"/>
              <w:rPr>
                <w:rFonts w:ascii="Arial" w:hAnsi="Arial" w:cs="Arial"/>
              </w:rPr>
            </w:pPr>
            <w:r>
              <w:rPr>
                <w:rFonts w:ascii="Arial" w:hAnsi="Arial" w:cs="Arial"/>
              </w:rPr>
              <w:t>1.0</w:t>
            </w:r>
          </w:p>
        </w:tc>
        <w:tc>
          <w:tcPr>
            <w:tcW w:w="170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387BBF5">
            <w:pPr>
              <w:spacing w:line="360" w:lineRule="auto"/>
              <w:jc w:val="center"/>
              <w:rPr>
                <w:rFonts w:ascii="Arial" w:hAnsi="Arial" w:cs="Arial"/>
              </w:rPr>
            </w:pPr>
            <w:r>
              <w:rPr>
                <w:rFonts w:ascii="Arial" w:hAnsi="Arial" w:cs="Arial"/>
              </w:rPr>
              <w:t>3.0</w:t>
            </w:r>
          </w:p>
        </w:tc>
      </w:tr>
      <w:tr w14:paraId="46CF9180">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427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14EDCD42">
            <w:pPr>
              <w:spacing w:line="360" w:lineRule="auto"/>
              <w:jc w:val="center"/>
              <w:rPr>
                <w:rFonts w:ascii="Arial" w:hAnsi="Arial" w:cs="Arial"/>
              </w:rPr>
            </w:pPr>
            <w:r>
              <w:rPr>
                <w:rFonts w:ascii="Arial" w:hAnsi="Arial" w:cs="Arial"/>
              </w:rPr>
              <w:t>Average Investment (£m)</w:t>
            </w:r>
          </w:p>
        </w:tc>
        <w:tc>
          <w:tcPr>
            <w:tcW w:w="168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D4062DB">
            <w:pPr>
              <w:spacing w:line="360" w:lineRule="auto"/>
              <w:jc w:val="center"/>
              <w:rPr>
                <w:rFonts w:ascii="Arial" w:hAnsi="Arial" w:cs="Arial"/>
              </w:rPr>
            </w:pPr>
            <w:r>
              <w:rPr>
                <w:rFonts w:ascii="Arial" w:hAnsi="Arial" w:cs="Arial"/>
              </w:rPr>
              <w:t>25</w:t>
            </w:r>
          </w:p>
        </w:tc>
        <w:tc>
          <w:tcPr>
            <w:tcW w:w="168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75A70F78">
            <w:pPr>
              <w:spacing w:line="360" w:lineRule="auto"/>
              <w:jc w:val="center"/>
              <w:rPr>
                <w:rFonts w:ascii="Arial" w:hAnsi="Arial" w:cs="Arial"/>
              </w:rPr>
            </w:pPr>
            <w:r>
              <w:rPr>
                <w:rFonts w:ascii="Arial" w:hAnsi="Arial" w:cs="Arial"/>
              </w:rPr>
              <w:t>25</w:t>
            </w:r>
          </w:p>
        </w:tc>
        <w:tc>
          <w:tcPr>
            <w:tcW w:w="170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1D4DDB4C">
            <w:pPr>
              <w:spacing w:line="360" w:lineRule="auto"/>
              <w:jc w:val="center"/>
              <w:rPr>
                <w:rFonts w:ascii="Arial" w:hAnsi="Arial" w:cs="Arial"/>
              </w:rPr>
            </w:pPr>
            <w:r>
              <w:rPr>
                <w:rFonts w:ascii="Arial" w:hAnsi="Arial" w:cs="Arial"/>
              </w:rPr>
              <w:t>25</w:t>
            </w:r>
          </w:p>
        </w:tc>
      </w:tr>
      <w:tr w14:paraId="38AD56AD">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427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6762151">
            <w:pPr>
              <w:spacing w:line="360" w:lineRule="auto"/>
              <w:jc w:val="center"/>
              <w:rPr>
                <w:rFonts w:ascii="Arial" w:hAnsi="Arial" w:cs="Arial"/>
              </w:rPr>
            </w:pPr>
            <w:r>
              <w:rPr>
                <w:rFonts w:ascii="Arial" w:hAnsi="Arial" w:cs="Arial"/>
              </w:rPr>
              <w:t>ARR (%)</w:t>
            </w:r>
          </w:p>
        </w:tc>
        <w:tc>
          <w:tcPr>
            <w:tcW w:w="168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E5CE931">
            <w:pPr>
              <w:spacing w:line="360" w:lineRule="auto"/>
              <w:jc w:val="center"/>
              <w:rPr>
                <w:rFonts w:ascii="Arial" w:hAnsi="Arial" w:cs="Arial"/>
              </w:rPr>
            </w:pPr>
            <w:r>
              <w:rPr>
                <w:rFonts w:ascii="Arial" w:hAnsi="Arial" w:cs="Arial"/>
              </w:rPr>
              <w:t>3.20%</w:t>
            </w:r>
          </w:p>
        </w:tc>
        <w:tc>
          <w:tcPr>
            <w:tcW w:w="168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179C7AC7">
            <w:pPr>
              <w:spacing w:line="360" w:lineRule="auto"/>
              <w:jc w:val="center"/>
              <w:rPr>
                <w:rFonts w:ascii="Arial" w:hAnsi="Arial" w:cs="Arial"/>
              </w:rPr>
            </w:pPr>
            <w:r>
              <w:rPr>
                <w:rFonts w:ascii="Arial" w:hAnsi="Arial" w:cs="Arial"/>
              </w:rPr>
              <w:t>4.00%</w:t>
            </w:r>
          </w:p>
        </w:tc>
        <w:tc>
          <w:tcPr>
            <w:tcW w:w="170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15B4FF1C">
            <w:pPr>
              <w:spacing w:line="360" w:lineRule="auto"/>
              <w:jc w:val="center"/>
              <w:rPr>
                <w:rFonts w:ascii="Arial" w:hAnsi="Arial" w:cs="Arial"/>
              </w:rPr>
            </w:pPr>
            <w:r>
              <w:rPr>
                <w:rFonts w:ascii="Arial" w:hAnsi="Arial" w:cs="Arial"/>
              </w:rPr>
              <w:t>12.00%</w:t>
            </w:r>
          </w:p>
        </w:tc>
      </w:tr>
    </w:tbl>
    <w:p w14:paraId="227ECB6F">
      <w:pPr>
        <w:spacing w:line="360" w:lineRule="auto"/>
        <w:jc w:val="center"/>
        <w:rPr>
          <w:rFonts w:ascii="Arial" w:hAnsi="Arial" w:cs="Arial"/>
        </w:rPr>
      </w:pPr>
    </w:p>
    <w:p w14:paraId="3E26A970">
      <w:pPr>
        <w:spacing w:line="360" w:lineRule="auto"/>
        <w:jc w:val="center"/>
        <w:rPr>
          <w:rFonts w:ascii="Arial" w:hAnsi="Arial" w:cs="Arial"/>
          <w:b/>
          <w:bCs/>
        </w:rPr>
      </w:pPr>
      <w:r>
        <w:rPr>
          <w:rFonts w:ascii="Arial" w:hAnsi="Arial" w:cs="Arial"/>
          <w:b/>
          <w:bCs/>
        </w:rPr>
        <w:t>Table 6: Accounting Rate of Return (ARR)</w:t>
      </w:r>
    </w:p>
    <w:p w14:paraId="1698F02C">
      <w:pPr>
        <w:spacing w:line="360" w:lineRule="auto"/>
        <w:jc w:val="center"/>
        <w:rPr>
          <w:rFonts w:ascii="Arial" w:hAnsi="Arial" w:cs="Arial"/>
        </w:rPr>
      </w:pPr>
    </w:p>
    <w:tbl>
      <w:tblPr>
        <w:tblStyle w:val="22"/>
        <w:tblW w:w="9340" w:type="dxa"/>
        <w:jc w:val="center"/>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fixed"/>
        <w:tblCellMar>
          <w:top w:w="100" w:type="dxa"/>
          <w:left w:w="100" w:type="dxa"/>
          <w:bottom w:w="100" w:type="dxa"/>
          <w:right w:w="100" w:type="dxa"/>
        </w:tblCellMar>
      </w:tblPr>
      <w:tblGrid>
        <w:gridCol w:w="3072"/>
        <w:gridCol w:w="1474"/>
        <w:gridCol w:w="1474"/>
        <w:gridCol w:w="1493"/>
        <w:gridCol w:w="1827"/>
      </w:tblGrid>
      <w:tr w14:paraId="3A0AC396">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3072"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3FA50D6">
            <w:pPr>
              <w:spacing w:line="360" w:lineRule="auto"/>
              <w:jc w:val="center"/>
              <w:rPr>
                <w:rFonts w:ascii="Arial" w:hAnsi="Arial" w:cs="Arial"/>
              </w:rPr>
            </w:pPr>
            <w:r>
              <w:rPr>
                <w:rFonts w:ascii="Arial" w:hAnsi="Arial" w:cs="Arial"/>
                <w:b/>
                <w:bCs/>
              </w:rPr>
              <w:t>Appraisal Technique</w:t>
            </w:r>
          </w:p>
        </w:tc>
        <w:tc>
          <w:tcPr>
            <w:tcW w:w="147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AACBDD8">
            <w:pPr>
              <w:spacing w:line="360" w:lineRule="auto"/>
              <w:jc w:val="center"/>
              <w:rPr>
                <w:rFonts w:ascii="Arial" w:hAnsi="Arial" w:cs="Arial"/>
              </w:rPr>
            </w:pPr>
            <w:r>
              <w:rPr>
                <w:rFonts w:ascii="Arial" w:hAnsi="Arial" w:cs="Arial"/>
                <w:b/>
                <w:bCs/>
              </w:rPr>
              <w:t>Project A</w:t>
            </w:r>
          </w:p>
        </w:tc>
        <w:tc>
          <w:tcPr>
            <w:tcW w:w="147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DD8EA0D">
            <w:pPr>
              <w:spacing w:line="360" w:lineRule="auto"/>
              <w:jc w:val="center"/>
              <w:rPr>
                <w:rFonts w:ascii="Arial" w:hAnsi="Arial" w:cs="Arial"/>
              </w:rPr>
            </w:pPr>
            <w:r>
              <w:rPr>
                <w:rFonts w:ascii="Arial" w:hAnsi="Arial" w:cs="Arial"/>
                <w:b/>
                <w:bCs/>
              </w:rPr>
              <w:t>Project B</w:t>
            </w:r>
          </w:p>
        </w:tc>
        <w:tc>
          <w:tcPr>
            <w:tcW w:w="149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7A727ED5">
            <w:pPr>
              <w:spacing w:line="360" w:lineRule="auto"/>
              <w:jc w:val="center"/>
              <w:rPr>
                <w:rFonts w:ascii="Arial" w:hAnsi="Arial" w:cs="Arial"/>
              </w:rPr>
            </w:pPr>
            <w:r>
              <w:rPr>
                <w:rFonts w:ascii="Arial" w:hAnsi="Arial" w:cs="Arial"/>
                <w:b/>
                <w:bCs/>
              </w:rPr>
              <w:t>Project C</w:t>
            </w:r>
          </w:p>
        </w:tc>
        <w:tc>
          <w:tcPr>
            <w:tcW w:w="1827"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AA35FB8">
            <w:pPr>
              <w:spacing w:line="360" w:lineRule="auto"/>
              <w:jc w:val="center"/>
              <w:rPr>
                <w:rFonts w:ascii="Arial" w:hAnsi="Arial" w:cs="Arial"/>
              </w:rPr>
            </w:pPr>
            <w:r>
              <w:rPr>
                <w:rFonts w:ascii="Arial" w:hAnsi="Arial" w:cs="Arial"/>
                <w:b/>
                <w:bCs/>
              </w:rPr>
              <w:t>Best Project</w:t>
            </w:r>
          </w:p>
        </w:tc>
      </w:tr>
      <w:tr w14:paraId="2AC94419">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3072"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FF96130">
            <w:pPr>
              <w:spacing w:line="360" w:lineRule="auto"/>
              <w:jc w:val="center"/>
              <w:rPr>
                <w:rFonts w:ascii="Arial" w:hAnsi="Arial" w:cs="Arial"/>
              </w:rPr>
            </w:pPr>
            <w:r>
              <w:rPr>
                <w:rFonts w:ascii="Arial" w:hAnsi="Arial" w:cs="Arial"/>
              </w:rPr>
              <w:t>Payback Period (Years)</w:t>
            </w:r>
          </w:p>
        </w:tc>
        <w:tc>
          <w:tcPr>
            <w:tcW w:w="147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B079059">
            <w:pPr>
              <w:spacing w:line="360" w:lineRule="auto"/>
              <w:jc w:val="center"/>
              <w:rPr>
                <w:rFonts w:ascii="Arial" w:hAnsi="Arial" w:cs="Arial"/>
              </w:rPr>
            </w:pPr>
            <w:r>
              <w:rPr>
                <w:rFonts w:ascii="Arial" w:hAnsi="Arial" w:cs="Arial"/>
              </w:rPr>
              <w:t>4.50</w:t>
            </w:r>
          </w:p>
        </w:tc>
        <w:tc>
          <w:tcPr>
            <w:tcW w:w="147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14B4121">
            <w:pPr>
              <w:spacing w:line="360" w:lineRule="auto"/>
              <w:jc w:val="center"/>
              <w:rPr>
                <w:rFonts w:ascii="Arial" w:hAnsi="Arial" w:cs="Arial"/>
              </w:rPr>
            </w:pPr>
            <w:r>
              <w:rPr>
                <w:rFonts w:ascii="Arial" w:hAnsi="Arial" w:cs="Arial"/>
              </w:rPr>
              <w:t>4.55</w:t>
            </w:r>
          </w:p>
        </w:tc>
        <w:tc>
          <w:tcPr>
            <w:tcW w:w="149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11C99E6B">
            <w:pPr>
              <w:spacing w:line="360" w:lineRule="auto"/>
              <w:jc w:val="center"/>
              <w:rPr>
                <w:rFonts w:ascii="Arial" w:hAnsi="Arial" w:cs="Arial"/>
              </w:rPr>
            </w:pPr>
            <w:r>
              <w:rPr>
                <w:rFonts w:ascii="Arial" w:hAnsi="Arial" w:cs="Arial"/>
              </w:rPr>
              <w:t>3.60</w:t>
            </w:r>
          </w:p>
        </w:tc>
        <w:tc>
          <w:tcPr>
            <w:tcW w:w="1827"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73209BD5">
            <w:pPr>
              <w:spacing w:line="360" w:lineRule="auto"/>
              <w:jc w:val="center"/>
              <w:rPr>
                <w:rFonts w:ascii="Arial" w:hAnsi="Arial" w:cs="Arial"/>
              </w:rPr>
            </w:pPr>
            <w:r>
              <w:rPr>
                <w:rFonts w:ascii="Arial" w:hAnsi="Arial" w:cs="Arial"/>
              </w:rPr>
              <w:t>Project C</w:t>
            </w:r>
          </w:p>
        </w:tc>
      </w:tr>
      <w:tr w14:paraId="496D6C7A">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3072"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120A664">
            <w:pPr>
              <w:spacing w:line="360" w:lineRule="auto"/>
              <w:jc w:val="center"/>
              <w:rPr>
                <w:rFonts w:ascii="Arial" w:hAnsi="Arial" w:cs="Arial"/>
              </w:rPr>
            </w:pPr>
            <w:r>
              <w:rPr>
                <w:rFonts w:ascii="Arial" w:hAnsi="Arial" w:cs="Arial"/>
              </w:rPr>
              <w:t>ARR (%)</w:t>
            </w:r>
          </w:p>
        </w:tc>
        <w:tc>
          <w:tcPr>
            <w:tcW w:w="147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4F19300">
            <w:pPr>
              <w:spacing w:line="360" w:lineRule="auto"/>
              <w:jc w:val="center"/>
              <w:rPr>
                <w:rFonts w:ascii="Arial" w:hAnsi="Arial" w:cs="Arial"/>
              </w:rPr>
            </w:pPr>
            <w:r>
              <w:rPr>
                <w:rFonts w:ascii="Arial" w:hAnsi="Arial" w:cs="Arial"/>
              </w:rPr>
              <w:t>3.20</w:t>
            </w:r>
          </w:p>
        </w:tc>
        <w:tc>
          <w:tcPr>
            <w:tcW w:w="147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7E814657">
            <w:pPr>
              <w:spacing w:line="360" w:lineRule="auto"/>
              <w:jc w:val="center"/>
              <w:rPr>
                <w:rFonts w:ascii="Arial" w:hAnsi="Arial" w:cs="Arial"/>
              </w:rPr>
            </w:pPr>
            <w:r>
              <w:rPr>
                <w:rFonts w:ascii="Arial" w:hAnsi="Arial" w:cs="Arial"/>
              </w:rPr>
              <w:t>4.00</w:t>
            </w:r>
          </w:p>
        </w:tc>
        <w:tc>
          <w:tcPr>
            <w:tcW w:w="149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92B0657">
            <w:pPr>
              <w:spacing w:line="360" w:lineRule="auto"/>
              <w:jc w:val="center"/>
              <w:rPr>
                <w:rFonts w:ascii="Arial" w:hAnsi="Arial" w:cs="Arial"/>
              </w:rPr>
            </w:pPr>
            <w:r>
              <w:rPr>
                <w:rFonts w:ascii="Arial" w:hAnsi="Arial" w:cs="Arial"/>
              </w:rPr>
              <w:t>12.00</w:t>
            </w:r>
          </w:p>
        </w:tc>
        <w:tc>
          <w:tcPr>
            <w:tcW w:w="1827"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81041B8">
            <w:pPr>
              <w:spacing w:line="360" w:lineRule="auto"/>
              <w:jc w:val="center"/>
              <w:rPr>
                <w:rFonts w:ascii="Arial" w:hAnsi="Arial" w:cs="Arial"/>
              </w:rPr>
            </w:pPr>
            <w:r>
              <w:rPr>
                <w:rFonts w:ascii="Arial" w:hAnsi="Arial" w:cs="Arial"/>
              </w:rPr>
              <w:t>Project C</w:t>
            </w:r>
          </w:p>
        </w:tc>
      </w:tr>
      <w:tr w14:paraId="58E795FB">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3072"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568678B">
            <w:pPr>
              <w:spacing w:line="360" w:lineRule="auto"/>
              <w:jc w:val="center"/>
              <w:rPr>
                <w:rFonts w:ascii="Arial" w:hAnsi="Arial" w:cs="Arial"/>
              </w:rPr>
            </w:pPr>
            <w:r>
              <w:rPr>
                <w:rFonts w:ascii="Arial" w:hAnsi="Arial" w:cs="Arial"/>
              </w:rPr>
              <w:t>NPV (£m)</w:t>
            </w:r>
          </w:p>
        </w:tc>
        <w:tc>
          <w:tcPr>
            <w:tcW w:w="147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13ADA03D">
            <w:pPr>
              <w:spacing w:line="360" w:lineRule="auto"/>
              <w:jc w:val="center"/>
              <w:rPr>
                <w:rFonts w:ascii="Arial" w:hAnsi="Arial" w:cs="Arial"/>
              </w:rPr>
            </w:pPr>
            <w:r>
              <w:rPr>
                <w:rFonts w:ascii="Arial" w:hAnsi="Arial" w:cs="Arial"/>
              </w:rPr>
              <w:t>-6.545</w:t>
            </w:r>
          </w:p>
        </w:tc>
        <w:tc>
          <w:tcPr>
            <w:tcW w:w="147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1D558C69">
            <w:pPr>
              <w:spacing w:line="360" w:lineRule="auto"/>
              <w:jc w:val="center"/>
              <w:rPr>
                <w:rFonts w:ascii="Arial" w:hAnsi="Arial" w:cs="Arial"/>
              </w:rPr>
            </w:pPr>
            <w:r>
              <w:rPr>
                <w:rFonts w:ascii="Arial" w:hAnsi="Arial" w:cs="Arial"/>
              </w:rPr>
              <w:t>-6.081</w:t>
            </w:r>
          </w:p>
        </w:tc>
        <w:tc>
          <w:tcPr>
            <w:tcW w:w="149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7E40394C">
            <w:pPr>
              <w:spacing w:line="360" w:lineRule="auto"/>
              <w:jc w:val="center"/>
              <w:rPr>
                <w:rFonts w:ascii="Arial" w:hAnsi="Arial" w:cs="Arial"/>
              </w:rPr>
            </w:pPr>
            <w:r>
              <w:rPr>
                <w:rFonts w:ascii="Arial" w:hAnsi="Arial" w:cs="Arial"/>
              </w:rPr>
              <w:t>0.857</w:t>
            </w:r>
          </w:p>
        </w:tc>
        <w:tc>
          <w:tcPr>
            <w:tcW w:w="1827"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27E4027">
            <w:pPr>
              <w:spacing w:line="360" w:lineRule="auto"/>
              <w:jc w:val="center"/>
              <w:rPr>
                <w:rFonts w:ascii="Arial" w:hAnsi="Arial" w:cs="Arial"/>
              </w:rPr>
            </w:pPr>
            <w:r>
              <w:rPr>
                <w:rFonts w:ascii="Arial" w:hAnsi="Arial" w:cs="Arial"/>
              </w:rPr>
              <w:t>Project C</w:t>
            </w:r>
          </w:p>
        </w:tc>
      </w:tr>
      <w:tr w14:paraId="789A4ECC">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3072"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3801833">
            <w:pPr>
              <w:spacing w:line="360" w:lineRule="auto"/>
              <w:jc w:val="center"/>
              <w:rPr>
                <w:rFonts w:ascii="Arial" w:hAnsi="Arial" w:cs="Arial"/>
              </w:rPr>
            </w:pPr>
            <w:r>
              <w:rPr>
                <w:rFonts w:ascii="Arial" w:hAnsi="Arial" w:cs="Arial"/>
              </w:rPr>
              <w:t>Profitability Index</w:t>
            </w:r>
          </w:p>
        </w:tc>
        <w:tc>
          <w:tcPr>
            <w:tcW w:w="147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B90BCD8">
            <w:pPr>
              <w:spacing w:line="360" w:lineRule="auto"/>
              <w:jc w:val="center"/>
              <w:rPr>
                <w:rFonts w:ascii="Arial" w:hAnsi="Arial" w:cs="Arial"/>
              </w:rPr>
            </w:pPr>
            <w:r>
              <w:rPr>
                <w:rFonts w:ascii="Arial" w:hAnsi="Arial" w:cs="Arial"/>
              </w:rPr>
              <w:t>0.869</w:t>
            </w:r>
          </w:p>
        </w:tc>
        <w:tc>
          <w:tcPr>
            <w:tcW w:w="147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13E07790">
            <w:pPr>
              <w:spacing w:line="360" w:lineRule="auto"/>
              <w:jc w:val="center"/>
              <w:rPr>
                <w:rFonts w:ascii="Arial" w:hAnsi="Arial" w:cs="Arial"/>
              </w:rPr>
            </w:pPr>
            <w:r>
              <w:rPr>
                <w:rFonts w:ascii="Arial" w:hAnsi="Arial" w:cs="Arial"/>
              </w:rPr>
              <w:t>0.878</w:t>
            </w:r>
          </w:p>
        </w:tc>
        <w:tc>
          <w:tcPr>
            <w:tcW w:w="149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2A8DCA0">
            <w:pPr>
              <w:spacing w:line="360" w:lineRule="auto"/>
              <w:jc w:val="center"/>
              <w:rPr>
                <w:rFonts w:ascii="Arial" w:hAnsi="Arial" w:cs="Arial"/>
              </w:rPr>
            </w:pPr>
            <w:r>
              <w:rPr>
                <w:rFonts w:ascii="Arial" w:hAnsi="Arial" w:cs="Arial"/>
              </w:rPr>
              <w:t>1.017</w:t>
            </w:r>
          </w:p>
        </w:tc>
        <w:tc>
          <w:tcPr>
            <w:tcW w:w="1827"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D5D25D2">
            <w:pPr>
              <w:spacing w:line="360" w:lineRule="auto"/>
              <w:jc w:val="center"/>
              <w:rPr>
                <w:rFonts w:ascii="Arial" w:hAnsi="Arial" w:cs="Arial"/>
              </w:rPr>
            </w:pPr>
            <w:r>
              <w:rPr>
                <w:rFonts w:ascii="Arial" w:hAnsi="Arial" w:cs="Arial"/>
              </w:rPr>
              <w:t>Project C</w:t>
            </w:r>
          </w:p>
        </w:tc>
      </w:tr>
      <w:tr w14:paraId="34FB3B8C">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jc w:val="center"/>
        </w:trPr>
        <w:tc>
          <w:tcPr>
            <w:tcW w:w="3072"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745BDE1E">
            <w:pPr>
              <w:spacing w:line="360" w:lineRule="auto"/>
              <w:jc w:val="center"/>
              <w:rPr>
                <w:rFonts w:ascii="Arial" w:hAnsi="Arial" w:cs="Arial"/>
              </w:rPr>
            </w:pPr>
            <w:r>
              <w:rPr>
                <w:rFonts w:ascii="Arial" w:hAnsi="Arial" w:cs="Arial"/>
              </w:rPr>
              <w:t>IRR (%)</w:t>
            </w:r>
          </w:p>
        </w:tc>
        <w:tc>
          <w:tcPr>
            <w:tcW w:w="147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172D83E0">
            <w:pPr>
              <w:spacing w:line="360" w:lineRule="auto"/>
              <w:jc w:val="center"/>
              <w:rPr>
                <w:rFonts w:ascii="Arial" w:hAnsi="Arial" w:cs="Arial"/>
              </w:rPr>
            </w:pPr>
            <w:r>
              <w:rPr>
                <w:rFonts w:ascii="Arial" w:hAnsi="Arial" w:eastAsia="Gungsuh" w:cs="Arial"/>
              </w:rPr>
              <w:t>≈3.0%</w:t>
            </w:r>
          </w:p>
        </w:tc>
        <w:tc>
          <w:tcPr>
            <w:tcW w:w="147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1BFC5D78">
            <w:pPr>
              <w:spacing w:line="360" w:lineRule="auto"/>
              <w:jc w:val="center"/>
              <w:rPr>
                <w:rFonts w:ascii="Arial" w:hAnsi="Arial" w:cs="Arial"/>
              </w:rPr>
            </w:pPr>
            <w:r>
              <w:rPr>
                <w:rFonts w:ascii="Arial" w:hAnsi="Arial" w:eastAsia="Gungsuh" w:cs="Arial"/>
              </w:rPr>
              <w:t>≈4.0%</w:t>
            </w:r>
          </w:p>
        </w:tc>
        <w:tc>
          <w:tcPr>
            <w:tcW w:w="149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CDC3C86">
            <w:pPr>
              <w:spacing w:line="360" w:lineRule="auto"/>
              <w:jc w:val="center"/>
              <w:rPr>
                <w:rFonts w:ascii="Arial" w:hAnsi="Arial" w:cs="Arial"/>
              </w:rPr>
            </w:pPr>
            <w:r>
              <w:rPr>
                <w:rFonts w:ascii="Arial" w:hAnsi="Arial" w:eastAsia="Gungsuh" w:cs="Arial"/>
              </w:rPr>
              <w:t>≈8.6%</w:t>
            </w:r>
          </w:p>
        </w:tc>
        <w:tc>
          <w:tcPr>
            <w:tcW w:w="1827"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53E9D0D">
            <w:pPr>
              <w:spacing w:line="360" w:lineRule="auto"/>
              <w:jc w:val="center"/>
              <w:rPr>
                <w:rFonts w:ascii="Arial" w:hAnsi="Arial" w:cs="Arial"/>
              </w:rPr>
            </w:pPr>
            <w:r>
              <w:rPr>
                <w:rFonts w:ascii="Arial" w:hAnsi="Arial" w:cs="Arial"/>
              </w:rPr>
              <w:t>Project C</w:t>
            </w:r>
          </w:p>
        </w:tc>
      </w:tr>
    </w:tbl>
    <w:p w14:paraId="41D15197">
      <w:pPr>
        <w:spacing w:line="360" w:lineRule="auto"/>
        <w:jc w:val="center"/>
        <w:rPr>
          <w:rFonts w:ascii="Arial" w:hAnsi="Arial" w:cs="Arial"/>
        </w:rPr>
      </w:pPr>
    </w:p>
    <w:p w14:paraId="1E642E65">
      <w:pPr>
        <w:spacing w:line="360" w:lineRule="auto"/>
        <w:jc w:val="center"/>
        <w:rPr>
          <w:rFonts w:ascii="Arial" w:hAnsi="Arial" w:cs="Arial"/>
          <w:b/>
          <w:bCs/>
        </w:rPr>
      </w:pPr>
      <w:r>
        <w:rPr>
          <w:rFonts w:ascii="Arial" w:hAnsi="Arial" w:cs="Arial"/>
          <w:b/>
          <w:bCs/>
        </w:rPr>
        <w:t>Table 7: Investment Appraisal Results</w:t>
      </w:r>
    </w:p>
    <w:p w14:paraId="0C4D14FC">
      <w:pPr>
        <w:spacing w:line="360" w:lineRule="auto"/>
        <w:jc w:val="center"/>
        <w:rPr>
          <w:rFonts w:ascii="Arial" w:hAnsi="Arial" w:cs="Arial"/>
        </w:rPr>
      </w:pPr>
    </w:p>
    <w:tbl>
      <w:tblPr>
        <w:tblStyle w:val="23"/>
        <w:tblW w:w="9340" w:type="dxa"/>
        <w:jc w:val="center"/>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fixed"/>
        <w:tblCellMar>
          <w:top w:w="100" w:type="dxa"/>
          <w:left w:w="100" w:type="dxa"/>
          <w:bottom w:w="100" w:type="dxa"/>
          <w:right w:w="100" w:type="dxa"/>
        </w:tblCellMar>
      </w:tblPr>
      <w:tblGrid>
        <w:gridCol w:w="1933"/>
        <w:gridCol w:w="1903"/>
        <w:gridCol w:w="1379"/>
        <w:gridCol w:w="4125"/>
      </w:tblGrid>
      <w:tr w14:paraId="54482A9F">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785" w:hRule="atLeast"/>
          <w:jc w:val="center"/>
        </w:trPr>
        <w:tc>
          <w:tcPr>
            <w:tcW w:w="193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2B85CEF">
            <w:pPr>
              <w:spacing w:line="360" w:lineRule="auto"/>
              <w:jc w:val="center"/>
              <w:rPr>
                <w:rFonts w:ascii="Arial" w:hAnsi="Arial" w:cs="Arial"/>
              </w:rPr>
            </w:pPr>
            <w:r>
              <w:rPr>
                <w:rFonts w:ascii="Arial" w:hAnsi="Arial" w:cs="Arial"/>
                <w:b/>
                <w:bCs/>
              </w:rPr>
              <w:t>Project Combination</w:t>
            </w:r>
          </w:p>
        </w:tc>
        <w:tc>
          <w:tcPr>
            <w:tcW w:w="190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52CE3E6">
            <w:pPr>
              <w:spacing w:line="360" w:lineRule="auto"/>
              <w:jc w:val="center"/>
              <w:rPr>
                <w:rFonts w:ascii="Arial" w:hAnsi="Arial" w:cs="Arial"/>
              </w:rPr>
            </w:pPr>
            <w:r>
              <w:rPr>
                <w:rFonts w:ascii="Arial" w:hAnsi="Arial" w:cs="Arial"/>
                <w:b/>
                <w:bCs/>
              </w:rPr>
              <w:t>Total Investment (£m)</w:t>
            </w:r>
          </w:p>
        </w:tc>
        <w:tc>
          <w:tcPr>
            <w:tcW w:w="1379"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0830F09">
            <w:pPr>
              <w:spacing w:line="360" w:lineRule="auto"/>
              <w:jc w:val="center"/>
              <w:rPr>
                <w:rFonts w:ascii="Arial" w:hAnsi="Arial" w:cs="Arial"/>
              </w:rPr>
            </w:pPr>
            <w:r>
              <w:rPr>
                <w:rFonts w:ascii="Arial" w:hAnsi="Arial" w:cs="Arial"/>
                <w:b/>
                <w:bCs/>
              </w:rPr>
              <w:t>Total NPV (£m)</w:t>
            </w:r>
          </w:p>
        </w:tc>
        <w:tc>
          <w:tcPr>
            <w:tcW w:w="4125"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1FEB9F88">
            <w:pPr>
              <w:spacing w:line="360" w:lineRule="auto"/>
              <w:jc w:val="center"/>
              <w:rPr>
                <w:rFonts w:ascii="Arial" w:hAnsi="Arial" w:cs="Arial"/>
              </w:rPr>
            </w:pPr>
            <w:r>
              <w:rPr>
                <w:rFonts w:ascii="Arial" w:hAnsi="Arial" w:cs="Arial"/>
                <w:b/>
                <w:bCs/>
              </w:rPr>
              <w:t>Decision</w:t>
            </w:r>
          </w:p>
        </w:tc>
      </w:tr>
      <w:tr w14:paraId="75C6DC41">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785" w:hRule="atLeast"/>
          <w:jc w:val="center"/>
        </w:trPr>
        <w:tc>
          <w:tcPr>
            <w:tcW w:w="193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77DB778A">
            <w:pPr>
              <w:spacing w:line="360" w:lineRule="auto"/>
              <w:jc w:val="center"/>
              <w:rPr>
                <w:rFonts w:ascii="Arial" w:hAnsi="Arial" w:cs="Arial"/>
              </w:rPr>
            </w:pPr>
            <w:r>
              <w:rPr>
                <w:rFonts w:ascii="Arial" w:hAnsi="Arial" w:cs="Arial"/>
              </w:rPr>
              <w:t>Project A + Project B</w:t>
            </w:r>
          </w:p>
        </w:tc>
        <w:tc>
          <w:tcPr>
            <w:tcW w:w="190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B05A05F">
            <w:pPr>
              <w:spacing w:line="360" w:lineRule="auto"/>
              <w:jc w:val="center"/>
              <w:rPr>
                <w:rFonts w:ascii="Arial" w:hAnsi="Arial" w:cs="Arial"/>
              </w:rPr>
            </w:pPr>
            <w:r>
              <w:rPr>
                <w:rFonts w:ascii="Arial" w:hAnsi="Arial" w:cs="Arial"/>
              </w:rPr>
              <w:t>100</w:t>
            </w:r>
          </w:p>
        </w:tc>
        <w:tc>
          <w:tcPr>
            <w:tcW w:w="1379"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D5FCA16">
            <w:pPr>
              <w:spacing w:line="360" w:lineRule="auto"/>
              <w:jc w:val="center"/>
              <w:rPr>
                <w:rFonts w:ascii="Arial" w:hAnsi="Arial" w:cs="Arial"/>
              </w:rPr>
            </w:pPr>
            <w:r>
              <w:rPr>
                <w:rFonts w:ascii="Arial" w:hAnsi="Arial" w:cs="Arial"/>
              </w:rPr>
              <w:t>-12.626</w:t>
            </w:r>
          </w:p>
        </w:tc>
        <w:tc>
          <w:tcPr>
            <w:tcW w:w="4125"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C2F71C0">
            <w:pPr>
              <w:spacing w:line="360" w:lineRule="auto"/>
              <w:jc w:val="center"/>
              <w:rPr>
                <w:rFonts w:ascii="Arial" w:hAnsi="Arial" w:cs="Arial"/>
              </w:rPr>
            </w:pPr>
            <w:r>
              <w:rPr>
                <w:rFonts w:ascii="Arial" w:hAnsi="Arial" w:cs="Arial"/>
              </w:rPr>
              <w:t>Reject</w:t>
            </w:r>
          </w:p>
        </w:tc>
      </w:tr>
      <w:tr w14:paraId="733C4184">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785" w:hRule="atLeast"/>
          <w:jc w:val="center"/>
        </w:trPr>
        <w:tc>
          <w:tcPr>
            <w:tcW w:w="193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7EE10E42">
            <w:pPr>
              <w:spacing w:line="360" w:lineRule="auto"/>
              <w:jc w:val="center"/>
              <w:rPr>
                <w:rFonts w:ascii="Arial" w:hAnsi="Arial" w:cs="Arial"/>
              </w:rPr>
            </w:pPr>
            <w:r>
              <w:rPr>
                <w:rFonts w:ascii="Arial" w:hAnsi="Arial" w:cs="Arial"/>
              </w:rPr>
              <w:t>Project A + Project C</w:t>
            </w:r>
          </w:p>
        </w:tc>
        <w:tc>
          <w:tcPr>
            <w:tcW w:w="190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81C419D">
            <w:pPr>
              <w:spacing w:line="360" w:lineRule="auto"/>
              <w:jc w:val="center"/>
              <w:rPr>
                <w:rFonts w:ascii="Arial" w:hAnsi="Arial" w:cs="Arial"/>
              </w:rPr>
            </w:pPr>
            <w:r>
              <w:rPr>
                <w:rFonts w:ascii="Arial" w:hAnsi="Arial" w:cs="Arial"/>
              </w:rPr>
              <w:t>100</w:t>
            </w:r>
          </w:p>
        </w:tc>
        <w:tc>
          <w:tcPr>
            <w:tcW w:w="1379"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8EAD388">
            <w:pPr>
              <w:spacing w:line="360" w:lineRule="auto"/>
              <w:jc w:val="center"/>
              <w:rPr>
                <w:rFonts w:ascii="Arial" w:hAnsi="Arial" w:cs="Arial"/>
              </w:rPr>
            </w:pPr>
            <w:r>
              <w:rPr>
                <w:rFonts w:ascii="Arial" w:hAnsi="Arial" w:cs="Arial"/>
              </w:rPr>
              <w:t>-5.689</w:t>
            </w:r>
          </w:p>
        </w:tc>
        <w:tc>
          <w:tcPr>
            <w:tcW w:w="4125"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DFD7AF8">
            <w:pPr>
              <w:spacing w:line="360" w:lineRule="auto"/>
              <w:jc w:val="center"/>
              <w:rPr>
                <w:rFonts w:ascii="Arial" w:hAnsi="Arial" w:cs="Arial"/>
              </w:rPr>
            </w:pPr>
            <w:r>
              <w:rPr>
                <w:rFonts w:ascii="Arial" w:hAnsi="Arial" w:cs="Arial"/>
              </w:rPr>
              <w:t>Reject</w:t>
            </w:r>
          </w:p>
        </w:tc>
      </w:tr>
      <w:tr w14:paraId="76FDC279">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785" w:hRule="atLeast"/>
          <w:jc w:val="center"/>
        </w:trPr>
        <w:tc>
          <w:tcPr>
            <w:tcW w:w="193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F55DFC1">
            <w:pPr>
              <w:spacing w:line="360" w:lineRule="auto"/>
              <w:jc w:val="center"/>
              <w:rPr>
                <w:rFonts w:ascii="Arial" w:hAnsi="Arial" w:cs="Arial"/>
              </w:rPr>
            </w:pPr>
            <w:r>
              <w:rPr>
                <w:rFonts w:ascii="Arial" w:hAnsi="Arial" w:cs="Arial"/>
              </w:rPr>
              <w:t>Project B + Project C</w:t>
            </w:r>
          </w:p>
        </w:tc>
        <w:tc>
          <w:tcPr>
            <w:tcW w:w="190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7C9DB544">
            <w:pPr>
              <w:spacing w:line="360" w:lineRule="auto"/>
              <w:jc w:val="center"/>
              <w:rPr>
                <w:rFonts w:ascii="Arial" w:hAnsi="Arial" w:cs="Arial"/>
              </w:rPr>
            </w:pPr>
            <w:r>
              <w:rPr>
                <w:rFonts w:ascii="Arial" w:hAnsi="Arial" w:cs="Arial"/>
              </w:rPr>
              <w:t>100</w:t>
            </w:r>
          </w:p>
        </w:tc>
        <w:tc>
          <w:tcPr>
            <w:tcW w:w="1379"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150E46CB">
            <w:pPr>
              <w:spacing w:line="360" w:lineRule="auto"/>
              <w:jc w:val="center"/>
              <w:rPr>
                <w:rFonts w:ascii="Arial" w:hAnsi="Arial" w:cs="Arial"/>
              </w:rPr>
            </w:pPr>
            <w:r>
              <w:rPr>
                <w:rFonts w:ascii="Arial" w:hAnsi="Arial" w:cs="Arial"/>
              </w:rPr>
              <w:t>-5.224</w:t>
            </w:r>
          </w:p>
        </w:tc>
        <w:tc>
          <w:tcPr>
            <w:tcW w:w="4125"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7A567294">
            <w:pPr>
              <w:spacing w:line="360" w:lineRule="auto"/>
              <w:jc w:val="center"/>
              <w:rPr>
                <w:rFonts w:ascii="Arial" w:hAnsi="Arial" w:cs="Arial"/>
              </w:rPr>
            </w:pPr>
            <w:r>
              <w:rPr>
                <w:rFonts w:ascii="Arial" w:hAnsi="Arial" w:cs="Arial"/>
              </w:rPr>
              <w:t>Reject (Highest among two-project combinations, but still negative)</w:t>
            </w:r>
          </w:p>
        </w:tc>
      </w:tr>
    </w:tbl>
    <w:p w14:paraId="1477D03F">
      <w:pPr>
        <w:spacing w:line="360" w:lineRule="auto"/>
        <w:jc w:val="center"/>
        <w:rPr>
          <w:rFonts w:ascii="Arial" w:hAnsi="Arial" w:cs="Arial"/>
        </w:rPr>
      </w:pPr>
    </w:p>
    <w:p w14:paraId="357426DD">
      <w:pPr>
        <w:spacing w:line="360" w:lineRule="auto"/>
        <w:jc w:val="center"/>
        <w:rPr>
          <w:rFonts w:ascii="Arial" w:hAnsi="Arial" w:cs="Arial"/>
          <w:b/>
          <w:bCs/>
        </w:rPr>
      </w:pPr>
      <w:r>
        <w:rPr>
          <w:rFonts w:ascii="Arial" w:hAnsi="Arial" w:cs="Arial"/>
          <w:b/>
          <w:bCs/>
        </w:rPr>
        <w:t>Table 8: Capital Rationing Analysis</w:t>
      </w:r>
    </w:p>
    <w:p w14:paraId="4C85DFD0">
      <w:pPr>
        <w:spacing w:line="360" w:lineRule="auto"/>
        <w:rPr>
          <w:rFonts w:ascii="Arial" w:hAnsi="Arial" w:cs="Arial"/>
        </w:rPr>
      </w:pPr>
      <w:r>
        <w:rPr>
          <w:rFonts w:ascii="Arial" w:hAnsi="Arial" w:cs="Arial"/>
        </w:rPr>
        <w:t>The investment appraisal outcome indicates that there are obvious variations in the financial performance of the three suggested projects. Project C has the best overall results: this outperforms Project B in almost all of the appraisal techniques and Project A in half. Record the shortest payback period of 3.60 years, which means that the initial investment can be recovered faster and thus investment risk can be decreased. In contrast, Projects A and B will pay off the original investment in over 4.5 years, which is less attractive from a liquidity point of view.</w:t>
      </w:r>
    </w:p>
    <w:p w14:paraId="20D1C76B">
      <w:pPr>
        <w:spacing w:line="360" w:lineRule="auto"/>
        <w:rPr>
          <w:rFonts w:ascii="Arial" w:hAnsi="Arial" w:cs="Arial"/>
        </w:rPr>
      </w:pPr>
      <w:r>
        <w:rPr>
          <w:rFonts w:ascii="Arial" w:hAnsi="Arial" w:cs="Arial"/>
        </w:rPr>
        <w:t>Project C is also favored by the profitability measures. It has the greatest Accounting Rate of Return (12%), much greater than Project A (3.2%) and Project B (4.0%), which shows that it is more accounting profitable than them. Project C is the only project that has an NPV of £0.857 million, which indicates it is adding more value than the others when the time value of money has been taken into account. Projects A and B, however, have negative NPV, meaning that they would cause a loss in shareholder value if done.</w:t>
      </w:r>
    </w:p>
    <w:p w14:paraId="0A27F07F">
      <w:pPr>
        <w:spacing w:line="360" w:lineRule="auto"/>
        <w:rPr>
          <w:rFonts w:ascii="Arial" w:hAnsi="Arial" w:cs="Arial"/>
        </w:rPr>
      </w:pPr>
      <w:r>
        <w:rPr>
          <w:rFonts w:ascii="Arial" w:hAnsi="Arial" w:cs="Arial"/>
        </w:rPr>
        <w:t>In the same way, from Project C, the calculated Profitability Index is the highest (i.e. 1.017), implying that for every pound invested in Project C, there is more value generated than there is cost, and is the opposite of Projects A and B with indices less than 1.0. At the same time, with the IRR (around 8.6%) greater than the desired discount rate (8%), the project is financially sound.</w:t>
      </w:r>
    </w:p>
    <w:p w14:paraId="32F3785E">
      <w:pPr>
        <w:pStyle w:val="3"/>
        <w:spacing w:line="360" w:lineRule="auto"/>
        <w:rPr>
          <w:rFonts w:ascii="Arial" w:hAnsi="Arial" w:cs="Arial"/>
        </w:rPr>
      </w:pPr>
      <w:bookmarkStart w:id="29" w:name="_Toc235706206"/>
      <w:r>
        <w:rPr>
          <w:rFonts w:ascii="Arial" w:hAnsi="Arial" w:cs="Arial"/>
        </w:rPr>
        <w:t>c) Project selection when discount rate is 8%</w:t>
      </w:r>
      <w:bookmarkEnd w:id="29"/>
    </w:p>
    <w:p w14:paraId="687CC836">
      <w:pPr>
        <w:spacing w:line="360" w:lineRule="auto"/>
        <w:rPr>
          <w:rFonts w:ascii="Arial" w:hAnsi="Arial" w:cs="Arial"/>
        </w:rPr>
      </w:pPr>
      <w:r>
        <w:rPr>
          <w:rFonts w:ascii="Arial" w:hAnsi="Arial" w:cs="Arial"/>
        </w:rPr>
        <w:t>With a discount rate of 8%, it is the most financially attractive investment considering project C. The only project to have a positive NPV is project £0.857 million, meaning that the expected cash inflows are greater than the initial investment, taking into account the time value of money. Project C also has the highest Profitability Index (PI = 1.017) and Internal Rate of Return (IRR ~ 8.6%), which is greater than the required rate of return. By contrast, Projects A and B have negative NPVs and profitability indices of less than 1 as well as IRRs that are below the discount rate. Thus, Project C must be chosen as it is the most financially rewarding and investment-worthy project.</w:t>
      </w:r>
    </w:p>
    <w:p w14:paraId="7AA82D3A">
      <w:pPr>
        <w:pStyle w:val="3"/>
        <w:spacing w:line="360" w:lineRule="auto"/>
        <w:rPr>
          <w:rFonts w:ascii="Arial" w:hAnsi="Arial" w:cs="Arial"/>
        </w:rPr>
      </w:pPr>
      <w:bookmarkStart w:id="30" w:name="_Toc235706207"/>
      <w:r>
        <w:rPr>
          <w:rFonts w:ascii="Arial" w:hAnsi="Arial" w:cs="Arial"/>
        </w:rPr>
        <w:t>d) Justification for project recommendation</w:t>
      </w:r>
      <w:bookmarkEnd w:id="30"/>
    </w:p>
    <w:p w14:paraId="0DD0A99E">
      <w:pPr>
        <w:spacing w:line="360" w:lineRule="auto"/>
        <w:rPr>
          <w:rFonts w:ascii="Arial" w:hAnsi="Arial" w:cs="Arial"/>
        </w:rPr>
      </w:pPr>
      <w:r>
        <w:rPr>
          <w:rFonts w:ascii="Arial" w:hAnsi="Arial" w:cs="Arial"/>
        </w:rPr>
        <w:t>The financial and strategic performance of Project C is the best of the three projects, and make it the recommended project for implementation. It is also the only project with a positive NPV, meaning that it should benefit shareholders' wealth instead of exhausting it. It also shows greater long-term financial performance with its higher Internal Rate of Return, superior Profitability Index and highest Accounting Rate of Return. Furthermore, the shorter payback period means Whitbread can recoup its investment sooner and minimises the risk of cash flow fluctuations and thereby more efficiently manage its liquidity.</w:t>
      </w:r>
    </w:p>
    <w:p w14:paraId="609C69DD">
      <w:pPr>
        <w:spacing w:line="360" w:lineRule="auto"/>
        <w:rPr>
          <w:rFonts w:ascii="Arial" w:hAnsi="Arial" w:cs="Arial"/>
        </w:rPr>
      </w:pPr>
      <w:r>
        <w:rPr>
          <w:rFonts w:ascii="Arial" w:hAnsi="Arial" w:cs="Arial"/>
        </w:rPr>
        <w:t>Whitbread has been less profitable in the past two financial years, as per its operating profit and net earnings, while the revenue remained broadly similar. Hence, future cash inflows optimization and economic value creation by opting for a project that is gaining future benefit is crucial to solidify future profitability. Project C best fulfills this objective. Project C provides an irregular stream of cash flows, but the high cash flows in years 3 and 4 fit well with Whitbread's investment philosophy that takes longer for hotel developments to reach full operational performance. The company has stable operating cash flows, which enable the recovery of delayed cash flows from this project.</w:t>
      </w:r>
    </w:p>
    <w:p w14:paraId="2C922810">
      <w:pPr>
        <w:spacing w:line="36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Considering the Net Present Value (NPV), Project C is recommended to create maximum value for shareholders over the long-term. However, its returns are still subject to shifts in the demand side, cost of operation, and discount rates. By conducting regular sensitivity analysis, implementing the investment plan in phases, and monitoring and reviewing the project's performance, the risks can be reduced to ensure that the project is sustainable, improving cash flows and generating greater shareholder value.</w:t>
      </w:r>
    </w:p>
    <w:p w14:paraId="2DEFBE18">
      <w:pPr>
        <w:pStyle w:val="3"/>
        <w:spacing w:line="360" w:lineRule="auto"/>
        <w:rPr>
          <w:rFonts w:ascii="Arial" w:hAnsi="Arial" w:cs="Arial"/>
        </w:rPr>
      </w:pPr>
      <w:bookmarkStart w:id="31" w:name="_Toc235706208"/>
      <w:r>
        <w:rPr>
          <w:rFonts w:ascii="Arial" w:hAnsi="Arial" w:cs="Arial"/>
        </w:rPr>
        <w:t>e) Project selection with capital rationing</w:t>
      </w:r>
      <w:bookmarkEnd w:id="31"/>
    </w:p>
    <w:p w14:paraId="67A95740">
      <w:pPr>
        <w:spacing w:line="360" w:lineRule="auto"/>
        <w:rPr>
          <w:rFonts w:ascii="Arial" w:hAnsi="Arial" w:cs="Arial"/>
        </w:rPr>
      </w:pPr>
      <w:r>
        <w:rPr>
          <w:rFonts w:ascii="Arial" w:hAnsi="Arial" w:cs="Arial"/>
        </w:rPr>
        <w:t>With the capital rationing constraint, Whitbread PLC can invest up to £100m and have the chance to invest in one project or two projects. The results of the investment appraisal show, though, that in any combination of the two projects, the combined NPV is negative, meaning that giving both projects will harm shareholder value if the entire available budget is invested. Overall, the return of both Project B and Project C is a value destructor, although they have a lower combined NPV than the other combinations.</w:t>
      </w:r>
    </w:p>
    <w:p w14:paraId="3EB472A4">
      <w:pPr>
        <w:spacing w:line="360" w:lineRule="auto"/>
        <w:rPr>
          <w:rFonts w:ascii="Arial" w:hAnsi="Arial" w:cs="Arial"/>
        </w:rPr>
      </w:pPr>
      <w:r>
        <w:rPr>
          <w:rFonts w:ascii="Arial" w:hAnsi="Arial" w:cs="Arial"/>
        </w:rPr>
        <w:t>Project C, on the other hand, has a positive Net Present Value (NPV) (£0.857 million) and has a better performance in all major investment appraisal methods than Projects A and B. Reflective of the association with the idea of allocating capital for value creation, instead of using the full budget of available capital. Budgeting for capital expenditures must focus on the investments that will provide the greatest return on the economy rather than on using the entire budget maximally. Financial management literature provides a clear message about the benefits of capital rationing: organised projects must prioritise those that can improve shareholder value and generate sustainable long-term returns.</w:t>
      </w:r>
    </w:p>
    <w:p w14:paraId="5F27F93C">
      <w:pPr>
        <w:spacing w:line="360" w:lineRule="auto"/>
        <w:rPr>
          <w:rFonts w:ascii="Arial" w:hAnsi="Arial" w:cs="Arial"/>
        </w:rPr>
      </w:pPr>
      <w:r>
        <w:rPr>
          <w:rFonts w:ascii="Arial" w:hAnsi="Arial" w:cs="Arial"/>
        </w:rPr>
        <w:t>A strategic viewpoint considers the options for capital deployment across all the projects being evaluated: If Whitbread only acquired Project C, he would have an additional £50m of capital to use in other future projects or to manage unforeseen potential market uncertainties, thereby giving him financial flexibility. So, all other things being equal, the optimal capital allocation decision will be to invest only in Project C because it maximizes the value of the shareholders, the investment risk is minimized, and there is flexibility in using the funds rather than spending them on another project that would have negative value for the shareholders.</w:t>
      </w:r>
    </w:p>
    <w:p w14:paraId="747066FB">
      <w:pPr>
        <w:pStyle w:val="2"/>
        <w:spacing w:line="360" w:lineRule="auto"/>
        <w:rPr>
          <w:rFonts w:ascii="Arial" w:hAnsi="Arial" w:cs="Arial"/>
        </w:rPr>
      </w:pPr>
      <w:bookmarkStart w:id="32" w:name="_Toc235706209"/>
      <w:r>
        <w:rPr>
          <w:rFonts w:ascii="Arial" w:hAnsi="Arial" w:cs="Arial"/>
        </w:rPr>
        <w:t>5. Critical Reflection on AI Usage</w:t>
      </w:r>
      <w:bookmarkEnd w:id="32"/>
    </w:p>
    <w:p w14:paraId="39D23187">
      <w:pPr>
        <w:pStyle w:val="3"/>
        <w:spacing w:line="360" w:lineRule="auto"/>
        <w:rPr>
          <w:rFonts w:ascii="Arial" w:hAnsi="Arial" w:cs="Arial"/>
        </w:rPr>
      </w:pPr>
      <w:bookmarkStart w:id="33" w:name="_Toc235706210"/>
      <w:r>
        <w:rPr>
          <w:rFonts w:ascii="Arial" w:hAnsi="Arial" w:cs="Arial"/>
        </w:rPr>
        <w:t>a) Tool Disclosure</w:t>
      </w:r>
      <w:bookmarkEnd w:id="33"/>
      <w:r>
        <w:rPr>
          <w:rFonts w:ascii="Arial" w:hAnsi="Arial" w:cs="Arial"/>
        </w:rPr>
        <w:t xml:space="preserve"> </w:t>
      </w:r>
    </w:p>
    <w:p w14:paraId="2DAA874B">
      <w:pPr>
        <w:spacing w:line="360" w:lineRule="auto"/>
        <w:rPr>
          <w:rFonts w:ascii="Arial" w:hAnsi="Arial" w:cs="Arial"/>
        </w:rPr>
      </w:pPr>
      <w:r>
        <w:rPr>
          <w:rFonts w:ascii="Arial" w:hAnsi="Arial" w:cs="Arial"/>
        </w:rPr>
        <w:t xml:space="preserve">Artificial Intelligence was used as an enabler during this report preparation for efficiency in information organization, language development, and structuring the report. The main applications of ChatGPT included creating rough drafts of content, editing academic texts, structuring reports, and enhancing the clarity of financial reports. AI also helped in summarizing the information from Whitbread PLC annual reports and recommendations on suitable financial analysis methods. </w:t>
      </w:r>
    </w:p>
    <w:p w14:paraId="237DA071">
      <w:pPr>
        <w:pStyle w:val="3"/>
        <w:spacing w:line="360" w:lineRule="auto"/>
        <w:rPr>
          <w:rFonts w:ascii="Arial" w:hAnsi="Arial" w:cs="Arial"/>
        </w:rPr>
      </w:pPr>
      <w:bookmarkStart w:id="34" w:name="_Toc235706211"/>
      <w:r>
        <w:rPr>
          <w:rFonts w:ascii="Arial" w:hAnsi="Arial" w:cs="Arial"/>
        </w:rPr>
        <w:t>b) Critical Evaluation of AI output</w:t>
      </w:r>
      <w:bookmarkEnd w:id="34"/>
    </w:p>
    <w:p w14:paraId="13DFF113">
      <w:pPr>
        <w:spacing w:line="360" w:lineRule="auto"/>
        <w:rPr>
          <w:rFonts w:ascii="Arial" w:hAnsi="Arial" w:cs="Arial"/>
        </w:rPr>
      </w:pPr>
      <w:r>
        <w:rPr>
          <w:rFonts w:ascii="Arial" w:hAnsi="Arial" w:cs="Arial"/>
        </w:rPr>
        <w:t>Although AI can accelerate the drafting process, it also introduced the requirement for human input and verification when incorporating the AI-generated insights into the report. These amounts of money, ratios and investment appraisals were then related and recalculated through the use of Microsoft Excel to the company's annual reports. Manual checks were performed to reveal and correct any inconsistencies, unsupported assumptions or potential hallucinations. These were not taken as they are but were closely examined and improved with accuracy, consistency and relevance for textual purposes. This verification process built confidence in that the financial analysis was reliable and eased the risk of inaccurate inputs being used in the financial report.</w:t>
      </w:r>
    </w:p>
    <w:p w14:paraId="5C1FA8DE">
      <w:pPr>
        <w:pStyle w:val="3"/>
        <w:spacing w:line="360" w:lineRule="auto"/>
        <w:rPr>
          <w:rFonts w:ascii="Arial" w:hAnsi="Arial" w:cs="Arial"/>
        </w:rPr>
      </w:pPr>
      <w:bookmarkStart w:id="35" w:name="_Toc235706212"/>
      <w:r>
        <w:rPr>
          <w:rFonts w:ascii="Arial" w:hAnsi="Arial" w:cs="Arial"/>
        </w:rPr>
        <w:t>c) Contribution Analysis</w:t>
      </w:r>
      <w:bookmarkEnd w:id="35"/>
    </w:p>
    <w:p w14:paraId="3E28A754">
      <w:pPr>
        <w:spacing w:line="360" w:lineRule="auto"/>
        <w:rPr>
          <w:rFonts w:ascii="Arial" w:hAnsi="Arial" w:cs="Arial"/>
        </w:rPr>
      </w:pPr>
      <w:r>
        <w:rPr>
          <w:rFonts w:ascii="Arial" w:hAnsi="Arial" w:cs="Arial"/>
        </w:rPr>
        <w:t xml:space="preserve">Most of the contribution from AI was related to language enhancement, report organisation and preparing some initial analytical drafts. It also facilitated guidance on financial management concepts, interpretation of the ratios, and presentation of the reports. The analysis, financial assessment, suggestions and conclusions presented are, however, independent analyses with lines drawn following the author's interpretation of the financial performance of Whitbread PLC. Financial ratios, working capital analysis and investment appraisal calculations were manually created in MS Excel from financial statements and compared to preceding years' financial statements; graphs were produced manually using MS Excel for financial analysis. </w:t>
      </w:r>
    </w:p>
    <w:p w14:paraId="5B3A9B59">
      <w:pPr>
        <w:pStyle w:val="3"/>
        <w:spacing w:line="360" w:lineRule="auto"/>
        <w:rPr>
          <w:rFonts w:ascii="Arial" w:hAnsi="Arial" w:cs="Arial"/>
        </w:rPr>
      </w:pPr>
      <w:bookmarkStart w:id="36" w:name="_Toc235706213"/>
      <w:r>
        <w:rPr>
          <w:rFonts w:ascii="Arial" w:hAnsi="Arial" w:cs="Arial"/>
        </w:rPr>
        <w:t>d) Ethical and Professional Reflection</w:t>
      </w:r>
      <w:bookmarkEnd w:id="36"/>
    </w:p>
    <w:p w14:paraId="7CA2B3E0">
      <w:pPr>
        <w:spacing w:line="360" w:lineRule="auto"/>
        <w:rPr>
          <w:rFonts w:ascii="Arial" w:hAnsi="Arial" w:cs="Arial"/>
        </w:rPr>
      </w:pPr>
      <w:r>
        <w:rPr>
          <w:rFonts w:ascii="Arial" w:hAnsi="Arial" w:cs="Arial"/>
        </w:rPr>
        <w:t xml:space="preserve">As AI technologies become more popular in financial management, there are ethical concerns to consider as well as opportunities. While AI will help boost productivity, process and analytical efficiency of data handling, overreliance on AI can impair professional judgment and lead to incorrect or misleading financial decision-making when financial outputs are captured without independent verification. Financial professionals continue to have the duty to ensure that all products and analyses are accurate, transparent and noble in nature. The handling of sensitive financial data to ensure the security of information and stakeholder trust in the organisation is also crucial for good data processing. </w:t>
      </w:r>
    </w:p>
    <w:p w14:paraId="5842C2FC">
      <w:pPr>
        <w:pStyle w:val="2"/>
        <w:spacing w:line="360" w:lineRule="auto"/>
        <w:rPr>
          <w:rFonts w:ascii="Arial" w:hAnsi="Arial" w:cs="Arial"/>
        </w:rPr>
      </w:pPr>
      <w:bookmarkStart w:id="37" w:name="_Toc235706214"/>
      <w:r>
        <w:rPr>
          <w:rFonts w:ascii="Arial" w:hAnsi="Arial" w:cs="Arial"/>
        </w:rPr>
        <w:t>6. Conclusion</w:t>
      </w:r>
      <w:bookmarkEnd w:id="37"/>
    </w:p>
    <w:p w14:paraId="656C86D7">
      <w:pPr>
        <w:spacing w:line="360" w:lineRule="auto"/>
        <w:rPr>
          <w:rFonts w:ascii="Arial" w:hAnsi="Arial" w:cs="Arial"/>
        </w:rPr>
      </w:pPr>
      <w:r>
        <w:rPr>
          <w:rStyle w:val="24"/>
          <w:rFonts w:ascii="Arial" w:hAnsi="Arial" w:cs="Arial"/>
          <w:color w:val="000000" w:themeColor="text1"/>
          <w:sz w:val="23"/>
          <w:szCs w:val="23"/>
          <w14:textFill>
            <w14:solidFill>
              <w14:schemeClr w14:val="tx1"/>
            </w14:solidFill>
          </w14:textFill>
        </w:rPr>
        <w:t>The financial impacts of the pandemic have been significant, but Whitbread PLC showed good financial resilience, though future profitability and liquidity/cash flow issues suggest that there are growing pressures on the business that require increased financial discipline.</w:t>
      </w:r>
      <w:r>
        <w:rPr>
          <w:rFonts w:ascii="Arial" w:hAnsi="Arial" w:cs="Arial"/>
          <w:color w:val="000000" w:themeColor="text1"/>
          <w14:textFill>
            <w14:solidFill>
              <w14:schemeClr w14:val="tx1"/>
            </w14:solidFill>
          </w14:textFill>
        </w:rPr>
        <w:t xml:space="preserve"> </w:t>
      </w:r>
      <w:r>
        <w:rPr>
          <w:rStyle w:val="24"/>
          <w:rFonts w:ascii="Arial" w:hAnsi="Arial" w:cs="Arial"/>
          <w:color w:val="000000" w:themeColor="text1"/>
          <w:sz w:val="23"/>
          <w:szCs w:val="23"/>
          <w14:textFill>
            <w14:solidFill>
              <w14:schemeClr w14:val="tx1"/>
            </w14:solidFill>
          </w14:textFill>
        </w:rPr>
        <w:t>The report suggests that there is a scope for better utilisation of working capital, optimizing asset portfolio and selectively restructuring debt in order to improve the liquidity and financial flexibility as well as creating better long-term shareholder value.</w:t>
      </w:r>
      <w:r>
        <w:rPr>
          <w:rFonts w:ascii="Arial" w:hAnsi="Arial" w:cs="Arial"/>
          <w:color w:val="000000" w:themeColor="text1"/>
          <w14:textFill>
            <w14:solidFill>
              <w14:schemeClr w14:val="tx1"/>
            </w14:solidFill>
          </w14:textFill>
        </w:rPr>
        <w:t xml:space="preserve"> </w:t>
      </w:r>
      <w:r>
        <w:rPr>
          <w:rStyle w:val="24"/>
          <w:rFonts w:ascii="Arial" w:hAnsi="Arial" w:cs="Arial"/>
          <w:color w:val="000000" w:themeColor="text1"/>
          <w:sz w:val="23"/>
          <w:szCs w:val="23"/>
          <w14:textFill>
            <w14:solidFill>
              <w14:schemeClr w14:val="tx1"/>
            </w14:solidFill>
          </w14:textFill>
        </w:rPr>
        <w:t>Project C was determined to be the best financial investment option through investment appraisal, that is by its investment return being more favourable and its NPV being positive.</w:t>
      </w:r>
      <w:r>
        <w:rPr>
          <w:rFonts w:ascii="Arial" w:hAnsi="Arial" w:cs="Arial"/>
          <w:color w:val="000000" w:themeColor="text1"/>
          <w14:textFill>
            <w14:solidFill>
              <w14:schemeClr w14:val="tx1"/>
            </w14:solidFill>
          </w14:textFill>
        </w:rPr>
        <w:t xml:space="preserve"> </w:t>
      </w:r>
      <w:r>
        <w:rPr>
          <w:rStyle w:val="24"/>
          <w:rFonts w:ascii="Arial" w:hAnsi="Arial" w:cs="Arial"/>
          <w:color w:val="000000" w:themeColor="text1"/>
          <w:sz w:val="23"/>
          <w:szCs w:val="23"/>
          <w14:textFill>
            <w14:solidFill>
              <w14:schemeClr w14:val="tx1"/>
            </w14:solidFill>
          </w14:textFill>
        </w:rPr>
        <w:t>Last but not least, with AI assisting in the report preparation, every analysis and financial decision made was hand-tweaked for accuracy, transparency and professional integrity.</w:t>
      </w:r>
      <w:r>
        <w:rPr>
          <w:rFonts w:ascii="Arial" w:hAnsi="Arial" w:cs="Arial"/>
        </w:rPr>
        <w:br w:type="page"/>
      </w:r>
    </w:p>
    <w:p w14:paraId="7E709207">
      <w:pPr>
        <w:pStyle w:val="2"/>
        <w:spacing w:line="360" w:lineRule="auto"/>
        <w:rPr>
          <w:rFonts w:ascii="Arial" w:hAnsi="Arial" w:cs="Arial"/>
        </w:rPr>
      </w:pPr>
      <w:bookmarkStart w:id="38" w:name="_Toc235706215"/>
      <w:r>
        <w:rPr>
          <w:rFonts w:ascii="Arial" w:hAnsi="Arial" w:cs="Arial"/>
        </w:rPr>
        <w:t>References</w:t>
      </w:r>
      <w:bookmarkEnd w:id="38"/>
    </w:p>
    <w:p w14:paraId="3F9738E0">
      <w:pPr>
        <w:spacing w:before="240" w:after="240" w:line="360" w:lineRule="auto"/>
        <w:rPr>
          <w:rFonts w:ascii="Arial" w:hAnsi="Arial" w:cs="Arial"/>
        </w:rPr>
      </w:pPr>
      <w:r>
        <w:rPr>
          <w:rFonts w:ascii="Arial" w:hAnsi="Arial" w:cs="Arial"/>
          <w:highlight w:val="white"/>
        </w:rPr>
        <w:t xml:space="preserve">Arenbo, T., 2023. </w:t>
      </w:r>
      <w:r>
        <w:rPr>
          <w:rFonts w:ascii="Arial" w:hAnsi="Arial" w:cs="Arial"/>
          <w:i/>
          <w:iCs/>
          <w:highlight w:val="white"/>
        </w:rPr>
        <w:t>Capital Allocation and Value Creation: A Market-Based Framework for Executives</w:t>
      </w:r>
      <w:r>
        <w:rPr>
          <w:rFonts w:ascii="Arial" w:hAnsi="Arial" w:cs="Arial"/>
          <w:highlight w:val="white"/>
        </w:rPr>
        <w:t>. Springer Nature.</w:t>
      </w:r>
      <w:r>
        <w:rPr>
          <w:rFonts w:ascii="Arial" w:hAnsi="Arial" w:cs="Arial"/>
        </w:rPr>
        <w:t xml:space="preserve"> </w:t>
      </w:r>
      <w:r>
        <w:fldChar w:fldCharType="begin"/>
      </w:r>
      <w:r>
        <w:instrText xml:space="preserve"> HYPERLINK "https://pubsonline.informs.org/doi/full/10.1287/mnsc.2021.02755" \h </w:instrText>
      </w:r>
      <w:r>
        <w:fldChar w:fldCharType="separate"/>
      </w:r>
      <w:r>
        <w:rPr>
          <w:rFonts w:ascii="Arial" w:hAnsi="Arial" w:cs="Arial"/>
          <w:color w:val="1155CC"/>
          <w:u w:val="single"/>
        </w:rPr>
        <w:t>https://pubsonline.informs.org/doi/full/10.1287/mnsc.2021.02755</w:t>
      </w:r>
      <w:r>
        <w:rPr>
          <w:rFonts w:ascii="Arial" w:hAnsi="Arial" w:cs="Arial"/>
          <w:color w:val="1155CC"/>
          <w:u w:val="single"/>
        </w:rPr>
        <w:fldChar w:fldCharType="end"/>
      </w:r>
      <w:r>
        <w:rPr>
          <w:rFonts w:ascii="Arial" w:hAnsi="Arial" w:cs="Arial"/>
        </w:rPr>
        <w:t xml:space="preserve"> </w:t>
      </w:r>
    </w:p>
    <w:p w14:paraId="1A631BC1">
      <w:pPr>
        <w:spacing w:before="240" w:after="240" w:line="360" w:lineRule="auto"/>
        <w:rPr>
          <w:rFonts w:ascii="Arial" w:hAnsi="Arial" w:cs="Arial"/>
        </w:rPr>
      </w:pPr>
      <w:r>
        <w:rPr>
          <w:rFonts w:ascii="Arial" w:hAnsi="Arial" w:cs="Arial"/>
          <w:highlight w:val="white"/>
        </w:rPr>
        <w:t xml:space="preserve">Awodire, M., Agboola, O., Ogundojutimi, O. and Odumuwagun, O., 2023. Capital budgeting and financial investment appraisal: A review of archival literature. </w:t>
      </w:r>
      <w:r>
        <w:rPr>
          <w:rFonts w:ascii="Arial" w:hAnsi="Arial" w:cs="Arial"/>
          <w:i/>
          <w:iCs/>
          <w:highlight w:val="white"/>
        </w:rPr>
        <w:t>American Journal of Multidisciplinary Research in Africa</w:t>
      </w:r>
      <w:r>
        <w:rPr>
          <w:rFonts w:ascii="Arial" w:hAnsi="Arial" w:cs="Arial"/>
          <w:highlight w:val="white"/>
        </w:rPr>
        <w:t xml:space="preserve">, </w:t>
      </w:r>
      <w:r>
        <w:rPr>
          <w:rFonts w:ascii="Arial" w:hAnsi="Arial" w:cs="Arial"/>
          <w:i/>
          <w:iCs/>
          <w:highlight w:val="white"/>
        </w:rPr>
        <w:t>3</w:t>
      </w:r>
      <w:r>
        <w:rPr>
          <w:rFonts w:ascii="Arial" w:hAnsi="Arial" w:cs="Arial"/>
          <w:highlight w:val="white"/>
        </w:rPr>
        <w:t>(10.58314).</w:t>
      </w:r>
      <w:r>
        <w:rPr>
          <w:rFonts w:ascii="Arial" w:hAnsi="Arial" w:cs="Arial"/>
        </w:rPr>
        <w:t xml:space="preserve"> </w:t>
      </w:r>
      <w:r>
        <w:fldChar w:fldCharType="begin"/>
      </w:r>
      <w:r>
        <w:instrText xml:space="preserve"> HYPERLINK "https://www.academia.edu/download/115377930/Capital_Budgeting_and_Financial_Investme.pdf" \h </w:instrText>
      </w:r>
      <w:r>
        <w:fldChar w:fldCharType="separate"/>
      </w:r>
      <w:r>
        <w:rPr>
          <w:rFonts w:ascii="Arial" w:hAnsi="Arial" w:cs="Arial"/>
          <w:color w:val="1155CC"/>
          <w:u w:val="single"/>
        </w:rPr>
        <w:t>https://www.academia.edu/download/115377930/Capital_Budgeting_and_Financial_Investme.pdf</w:t>
      </w:r>
      <w:r>
        <w:rPr>
          <w:rFonts w:ascii="Arial" w:hAnsi="Arial" w:cs="Arial"/>
          <w:color w:val="1155CC"/>
          <w:u w:val="single"/>
        </w:rPr>
        <w:fldChar w:fldCharType="end"/>
      </w:r>
      <w:r>
        <w:rPr>
          <w:rFonts w:ascii="Arial" w:hAnsi="Arial" w:cs="Arial"/>
        </w:rPr>
        <w:t xml:space="preserve"> </w:t>
      </w:r>
    </w:p>
    <w:p w14:paraId="469BFF6F">
      <w:pPr>
        <w:spacing w:before="240" w:after="240" w:line="360" w:lineRule="auto"/>
        <w:rPr>
          <w:rFonts w:ascii="Arial" w:hAnsi="Arial" w:cs="Arial"/>
        </w:rPr>
      </w:pPr>
      <w:r>
        <w:rPr>
          <w:rFonts w:ascii="Arial" w:hAnsi="Arial" w:cs="Arial"/>
          <w:highlight w:val="white"/>
        </w:rPr>
        <w:t xml:space="preserve">Bari, N., Chimhundu, R. and Chan, K.C., 2022. Dynamic capabilities to achieve corporate sustainability: a roadmap to sustained competitive advantage. </w:t>
      </w:r>
      <w:r>
        <w:rPr>
          <w:rFonts w:ascii="Arial" w:hAnsi="Arial" w:cs="Arial"/>
          <w:i/>
          <w:iCs/>
          <w:highlight w:val="white"/>
        </w:rPr>
        <w:t>Sustainability</w:t>
      </w:r>
      <w:r>
        <w:rPr>
          <w:rFonts w:ascii="Arial" w:hAnsi="Arial" w:cs="Arial"/>
          <w:highlight w:val="white"/>
        </w:rPr>
        <w:t xml:space="preserve">, </w:t>
      </w:r>
      <w:r>
        <w:rPr>
          <w:rFonts w:ascii="Arial" w:hAnsi="Arial" w:cs="Arial"/>
          <w:i/>
          <w:iCs/>
          <w:highlight w:val="white"/>
        </w:rPr>
        <w:t>14</w:t>
      </w:r>
      <w:r>
        <w:rPr>
          <w:rFonts w:ascii="Arial" w:hAnsi="Arial" w:cs="Arial"/>
          <w:highlight w:val="white"/>
        </w:rPr>
        <w:t>(3), p.1531.</w:t>
      </w:r>
      <w:r>
        <w:rPr>
          <w:rFonts w:ascii="Arial" w:hAnsi="Arial" w:cs="Arial"/>
        </w:rPr>
        <w:t xml:space="preserve">  </w:t>
      </w:r>
      <w:r>
        <w:fldChar w:fldCharType="begin"/>
      </w:r>
      <w:r>
        <w:instrText xml:space="preserve"> HYPERLINK "https://doi.org/10.3390/su14031531" \h </w:instrText>
      </w:r>
      <w:r>
        <w:fldChar w:fldCharType="separate"/>
      </w:r>
      <w:r>
        <w:rPr>
          <w:rFonts w:ascii="Arial" w:hAnsi="Arial" w:cs="Arial"/>
          <w:color w:val="1155CC"/>
          <w:u w:val="single"/>
        </w:rPr>
        <w:t>https://doi.org/10.3390/su14031531</w:t>
      </w:r>
      <w:r>
        <w:rPr>
          <w:rFonts w:ascii="Arial" w:hAnsi="Arial" w:cs="Arial"/>
          <w:color w:val="1155CC"/>
          <w:u w:val="single"/>
        </w:rPr>
        <w:fldChar w:fldCharType="end"/>
      </w:r>
      <w:r>
        <w:rPr>
          <w:rFonts w:ascii="Arial" w:hAnsi="Arial" w:cs="Arial"/>
        </w:rPr>
        <w:t xml:space="preserve"> </w:t>
      </w:r>
    </w:p>
    <w:p w14:paraId="1CCFCEA3">
      <w:pPr>
        <w:spacing w:before="240" w:after="240" w:line="360" w:lineRule="auto"/>
        <w:rPr>
          <w:rFonts w:ascii="Arial" w:hAnsi="Arial" w:cs="Arial"/>
        </w:rPr>
      </w:pPr>
      <w:r>
        <w:rPr>
          <w:rFonts w:ascii="Arial" w:hAnsi="Arial" w:cs="Arial"/>
          <w:highlight w:val="white"/>
        </w:rPr>
        <w:t xml:space="preserve">Dobrota, G.G. and Gabroveanu, E., 2023. Cost Management In The Hospitality Industry In The Context Of The Economic Crisis-Necessity Or Strategy. </w:t>
      </w:r>
      <w:r>
        <w:rPr>
          <w:rFonts w:ascii="Arial" w:hAnsi="Arial" w:cs="Arial"/>
          <w:i/>
          <w:iCs/>
          <w:highlight w:val="white"/>
        </w:rPr>
        <w:t>Romanian Economic and Business Review</w:t>
      </w:r>
      <w:r>
        <w:rPr>
          <w:rFonts w:ascii="Arial" w:hAnsi="Arial" w:cs="Arial"/>
          <w:highlight w:val="white"/>
        </w:rPr>
        <w:t xml:space="preserve">, </w:t>
      </w:r>
      <w:r>
        <w:rPr>
          <w:rFonts w:ascii="Arial" w:hAnsi="Arial" w:cs="Arial"/>
          <w:i/>
          <w:iCs/>
          <w:highlight w:val="white"/>
        </w:rPr>
        <w:t>18</w:t>
      </w:r>
      <w:r>
        <w:rPr>
          <w:rFonts w:ascii="Arial" w:hAnsi="Arial" w:cs="Arial"/>
          <w:highlight w:val="white"/>
        </w:rPr>
        <w:t>(2), pp.25-30.</w:t>
      </w:r>
      <w:r>
        <w:rPr>
          <w:rFonts w:ascii="Arial" w:hAnsi="Arial" w:cs="Arial"/>
        </w:rPr>
        <w:t xml:space="preserve">  </w:t>
      </w:r>
      <w:r>
        <w:fldChar w:fldCharType="begin"/>
      </w:r>
      <w:r>
        <w:instrText xml:space="preserve"> HYPERLINK "http://www.rebe.rau.ro/RePEc/rau/journl/SU23/REBE-SU23-A3.pdf" \h </w:instrText>
      </w:r>
      <w:r>
        <w:fldChar w:fldCharType="separate"/>
      </w:r>
      <w:r>
        <w:rPr>
          <w:rFonts w:ascii="Arial" w:hAnsi="Arial" w:cs="Arial"/>
          <w:color w:val="1155CC"/>
          <w:u w:val="single"/>
        </w:rPr>
        <w:t>http://www.rebe.rau.ro/RePEc/rau/journl/SU23/REBE-SU23-A3.pdf</w:t>
      </w:r>
      <w:r>
        <w:rPr>
          <w:rFonts w:ascii="Arial" w:hAnsi="Arial" w:cs="Arial"/>
          <w:color w:val="1155CC"/>
          <w:u w:val="single"/>
        </w:rPr>
        <w:fldChar w:fldCharType="end"/>
      </w:r>
      <w:r>
        <w:rPr>
          <w:rFonts w:ascii="Arial" w:hAnsi="Arial" w:cs="Arial"/>
        </w:rPr>
        <w:t xml:space="preserve"> </w:t>
      </w:r>
    </w:p>
    <w:p w14:paraId="3EE248BF">
      <w:pPr>
        <w:spacing w:before="240" w:after="240" w:line="360" w:lineRule="auto"/>
        <w:rPr>
          <w:rFonts w:ascii="Arial" w:hAnsi="Arial" w:cs="Arial"/>
        </w:rPr>
      </w:pPr>
      <w:r>
        <w:rPr>
          <w:rFonts w:ascii="Arial" w:hAnsi="Arial" w:cs="Arial"/>
          <w:highlight w:val="white"/>
        </w:rPr>
        <w:t xml:space="preserve">Eyinade, W., Ezeilo, O.J. and Ogundeji, I.A., 2022. A framework for managing currency risk and exchange rate exposure in international energy investment portfolios. </w:t>
      </w:r>
      <w:r>
        <w:rPr>
          <w:rFonts w:ascii="Arial" w:hAnsi="Arial" w:cs="Arial"/>
          <w:i/>
          <w:iCs/>
          <w:highlight w:val="white"/>
        </w:rPr>
        <w:t>International Journal of Scientific Research in Civil Engineering</w:t>
      </w:r>
      <w:r>
        <w:rPr>
          <w:rFonts w:ascii="Arial" w:hAnsi="Arial" w:cs="Arial"/>
          <w:highlight w:val="white"/>
        </w:rPr>
        <w:t xml:space="preserve">, </w:t>
      </w:r>
      <w:r>
        <w:rPr>
          <w:rFonts w:ascii="Arial" w:hAnsi="Arial" w:cs="Arial"/>
          <w:i/>
          <w:iCs/>
          <w:highlight w:val="white"/>
        </w:rPr>
        <w:t>6</w:t>
      </w:r>
      <w:r>
        <w:rPr>
          <w:rFonts w:ascii="Arial" w:hAnsi="Arial" w:cs="Arial"/>
          <w:highlight w:val="white"/>
        </w:rPr>
        <w:t>(6), pp.218-230.</w:t>
      </w:r>
      <w:r>
        <w:rPr>
          <w:rFonts w:ascii="Arial" w:hAnsi="Arial" w:cs="Arial"/>
        </w:rPr>
        <w:t xml:space="preserve">  </w:t>
      </w:r>
      <w:r>
        <w:fldChar w:fldCharType="begin"/>
      </w:r>
      <w:r>
        <w:instrText xml:space="preserve"> HYPERLINK "https://www.researchgate.net/profile/Onyinye-Ezeilo/publication/393453311_A_Framework_for_Managing_Currency_Risk_and_Exchange_Rate_Exposure_in_International_Energy_Investment_Portfolios/links/686af3d5b991270ef301dc5f/A-Framework-for-Managing-Currency-Risk-and-Exchange-Rate-Exposure-in-International-Energy-Investment-Portfolios.pdf" \h </w:instrText>
      </w:r>
      <w:r>
        <w:fldChar w:fldCharType="separate"/>
      </w:r>
      <w:r>
        <w:rPr>
          <w:rFonts w:ascii="Arial" w:hAnsi="Arial" w:cs="Arial"/>
          <w:color w:val="1155CC"/>
          <w:u w:val="single"/>
        </w:rPr>
        <w:t>https://www.researchgate.net/profile/Onyinye-Ezeilo/publication/393453311_A_Framework_for_Managing_Currency_Risk_and_Exchange_Rate_Exposure_in_International_Energy_Investment_Portfolios/links/686af3d5b991270ef301dc5f/A-Framework-for-Managing-Currency-Risk-and-Exchange-Rate-Exposure-in-International-Energy-Investment-Portfolios.pdf</w:t>
      </w:r>
      <w:r>
        <w:rPr>
          <w:rFonts w:ascii="Arial" w:hAnsi="Arial" w:cs="Arial"/>
          <w:color w:val="1155CC"/>
          <w:u w:val="single"/>
        </w:rPr>
        <w:fldChar w:fldCharType="end"/>
      </w:r>
      <w:r>
        <w:rPr>
          <w:rFonts w:ascii="Arial" w:hAnsi="Arial" w:cs="Arial"/>
        </w:rPr>
        <w:t xml:space="preserve"> </w:t>
      </w:r>
    </w:p>
    <w:p w14:paraId="6C377316">
      <w:pPr>
        <w:spacing w:before="240" w:after="240" w:line="360" w:lineRule="auto"/>
        <w:rPr>
          <w:rFonts w:ascii="Arial" w:hAnsi="Arial" w:cs="Arial"/>
        </w:rPr>
      </w:pPr>
      <w:r>
        <w:rPr>
          <w:rFonts w:ascii="Arial" w:hAnsi="Arial" w:cs="Arial"/>
          <w:highlight w:val="white"/>
        </w:rPr>
        <w:t xml:space="preserve">Gonçalves, B., Coelho, L.S. and Pinto, P., 2024. Earnings management in the hospitality industry: A systematic literature review. </w:t>
      </w:r>
      <w:r>
        <w:rPr>
          <w:rFonts w:ascii="Arial" w:hAnsi="Arial" w:cs="Arial"/>
          <w:i/>
          <w:iCs/>
          <w:highlight w:val="white"/>
        </w:rPr>
        <w:t>Tourism &amp; Management Studies</w:t>
      </w:r>
      <w:r>
        <w:rPr>
          <w:rFonts w:ascii="Arial" w:hAnsi="Arial" w:cs="Arial"/>
          <w:highlight w:val="white"/>
        </w:rPr>
        <w:t xml:space="preserve">, </w:t>
      </w:r>
      <w:r>
        <w:rPr>
          <w:rFonts w:ascii="Arial" w:hAnsi="Arial" w:cs="Arial"/>
          <w:i/>
          <w:iCs/>
          <w:highlight w:val="white"/>
        </w:rPr>
        <w:t>20</w:t>
      </w:r>
      <w:r>
        <w:rPr>
          <w:rFonts w:ascii="Arial" w:hAnsi="Arial" w:cs="Arial"/>
          <w:highlight w:val="white"/>
        </w:rPr>
        <w:t>(1), pp.65-77.</w:t>
      </w:r>
      <w:r>
        <w:rPr>
          <w:rFonts w:ascii="Arial" w:hAnsi="Arial" w:cs="Arial"/>
        </w:rPr>
        <w:t xml:space="preserve">  </w:t>
      </w:r>
      <w:r>
        <w:fldChar w:fldCharType="begin"/>
      </w:r>
      <w:r>
        <w:instrText xml:space="preserve"> HYPERLINK "https://www.tmstudies.net/index.php/ectms/article/download/2112/2455" \h </w:instrText>
      </w:r>
      <w:r>
        <w:fldChar w:fldCharType="separate"/>
      </w:r>
      <w:r>
        <w:rPr>
          <w:rFonts w:ascii="Arial" w:hAnsi="Arial" w:cs="Arial"/>
          <w:color w:val="1155CC"/>
          <w:u w:val="single"/>
        </w:rPr>
        <w:t>https://www.tmstudies.net/index.php/ectms/article/download/2112/2455</w:t>
      </w:r>
      <w:r>
        <w:rPr>
          <w:rFonts w:ascii="Arial" w:hAnsi="Arial" w:cs="Arial"/>
          <w:color w:val="1155CC"/>
          <w:u w:val="single"/>
        </w:rPr>
        <w:fldChar w:fldCharType="end"/>
      </w:r>
      <w:r>
        <w:rPr>
          <w:rFonts w:ascii="Arial" w:hAnsi="Arial" w:cs="Arial"/>
        </w:rPr>
        <w:t xml:space="preserve"> </w:t>
      </w:r>
    </w:p>
    <w:p w14:paraId="658FF03F">
      <w:pPr>
        <w:spacing w:before="240" w:after="240" w:line="360" w:lineRule="auto"/>
        <w:rPr>
          <w:rFonts w:ascii="Arial" w:hAnsi="Arial" w:cs="Arial"/>
        </w:rPr>
      </w:pPr>
      <w:r>
        <w:rPr>
          <w:rFonts w:ascii="Arial" w:hAnsi="Arial" w:cs="Arial"/>
          <w:highlight w:val="white"/>
        </w:rPr>
        <w:t xml:space="preserve">Gribnau, H., 2024. Sustainable tax governance: a shared responsibility. </w:t>
      </w:r>
      <w:r>
        <w:rPr>
          <w:rFonts w:ascii="Arial" w:hAnsi="Arial" w:cs="Arial"/>
          <w:i/>
          <w:iCs/>
          <w:highlight w:val="white"/>
        </w:rPr>
        <w:t>Available at SSRN 5065836</w:t>
      </w:r>
      <w:r>
        <w:rPr>
          <w:rFonts w:ascii="Arial" w:hAnsi="Arial" w:cs="Arial"/>
          <w:highlight w:val="white"/>
        </w:rPr>
        <w:t>.</w:t>
      </w:r>
      <w:r>
        <w:rPr>
          <w:rFonts w:ascii="Arial" w:hAnsi="Arial" w:cs="Arial"/>
        </w:rPr>
        <w:t xml:space="preserve">  </w:t>
      </w:r>
      <w:r>
        <w:fldChar w:fldCharType="begin"/>
      </w:r>
      <w:r>
        <w:instrText xml:space="preserve"> HYPERLINK "https://papers.ssrn.com/sol3/Delivery.cfm?abstractid=5065836" \h </w:instrText>
      </w:r>
      <w:r>
        <w:fldChar w:fldCharType="separate"/>
      </w:r>
      <w:r>
        <w:rPr>
          <w:rFonts w:ascii="Arial" w:hAnsi="Arial" w:cs="Arial"/>
          <w:color w:val="1155CC"/>
          <w:u w:val="single"/>
        </w:rPr>
        <w:t>https://papers.ssrn.com/sol3/Delivery.cfm?abstractid=5065836</w:t>
      </w:r>
      <w:r>
        <w:rPr>
          <w:rFonts w:ascii="Arial" w:hAnsi="Arial" w:cs="Arial"/>
          <w:color w:val="1155CC"/>
          <w:u w:val="single"/>
        </w:rPr>
        <w:fldChar w:fldCharType="end"/>
      </w:r>
      <w:r>
        <w:rPr>
          <w:rFonts w:ascii="Arial" w:hAnsi="Arial" w:cs="Arial"/>
        </w:rPr>
        <w:t xml:space="preserve"> </w:t>
      </w:r>
    </w:p>
    <w:p w14:paraId="59A9EBA1">
      <w:pPr>
        <w:spacing w:before="240" w:after="240" w:line="360" w:lineRule="auto"/>
        <w:rPr>
          <w:rFonts w:ascii="Arial" w:hAnsi="Arial" w:cs="Arial"/>
        </w:rPr>
      </w:pPr>
      <w:r>
        <w:rPr>
          <w:rFonts w:ascii="Arial" w:hAnsi="Arial" w:cs="Arial"/>
          <w:color w:val="000000" w:themeColor="text1"/>
          <w:highlight w:val="white"/>
          <w14:textFill>
            <w14:solidFill>
              <w14:schemeClr w14:val="tx1"/>
            </w14:solidFill>
          </w14:textFill>
        </w:rPr>
        <w:t xml:space="preserve">Habib, A.M. and Dalwai, T., 2024. Does the efficiency of a firm’s intellectual capital and working capital management affect its performance?. </w:t>
      </w:r>
      <w:r>
        <w:rPr>
          <w:rFonts w:ascii="Arial" w:hAnsi="Arial" w:cs="Arial"/>
          <w:i/>
          <w:iCs/>
          <w:color w:val="000000" w:themeColor="text1"/>
          <w:highlight w:val="white"/>
          <w14:textFill>
            <w14:solidFill>
              <w14:schemeClr w14:val="tx1"/>
            </w14:solidFill>
          </w14:textFill>
        </w:rPr>
        <w:t>Journal of the Knowledge Economy</w:t>
      </w:r>
      <w:r>
        <w:rPr>
          <w:rFonts w:ascii="Arial" w:hAnsi="Arial" w:cs="Arial"/>
          <w:color w:val="000000" w:themeColor="text1"/>
          <w:highlight w:val="white"/>
          <w14:textFill>
            <w14:solidFill>
              <w14:schemeClr w14:val="tx1"/>
            </w14:solidFill>
          </w14:textFill>
        </w:rPr>
        <w:t>,</w:t>
      </w:r>
      <w:r>
        <w:rPr>
          <w:rFonts w:ascii="Arial" w:hAnsi="Arial" w:cs="Arial"/>
          <w:color w:val="FF0000"/>
          <w:highlight w:val="white"/>
        </w:rPr>
        <w:t xml:space="preserve"> </w:t>
      </w:r>
      <w:r>
        <w:rPr>
          <w:rFonts w:ascii="Arial" w:hAnsi="Arial" w:cs="Arial"/>
          <w:i/>
          <w:iCs/>
          <w:color w:val="000000" w:themeColor="text1"/>
          <w:highlight w:val="white"/>
          <w14:textFill>
            <w14:solidFill>
              <w14:schemeClr w14:val="tx1"/>
            </w14:solidFill>
          </w14:textFill>
        </w:rPr>
        <w:t>15</w:t>
      </w:r>
      <w:r>
        <w:rPr>
          <w:rFonts w:ascii="Arial" w:hAnsi="Arial" w:cs="Arial"/>
          <w:color w:val="000000" w:themeColor="text1"/>
          <w:highlight w:val="white"/>
          <w14:textFill>
            <w14:solidFill>
              <w14:schemeClr w14:val="tx1"/>
            </w14:solidFill>
          </w14:textFill>
        </w:rPr>
        <w:t>(1), pp.3202-3238.</w:t>
      </w:r>
      <w:r>
        <w:rPr>
          <w:rFonts w:ascii="Arial" w:hAnsi="Arial" w:cs="Arial"/>
          <w:color w:val="000000" w:themeColor="text1"/>
          <w14:textFill>
            <w14:solidFill>
              <w14:schemeClr w14:val="tx1"/>
            </w14:solidFill>
          </w14:textFill>
        </w:rPr>
        <w:t xml:space="preserve"> </w:t>
      </w:r>
      <w:r>
        <w:rPr>
          <w:rFonts w:ascii="Arial" w:hAnsi="Arial" w:cs="Arial"/>
          <w:color w:val="FF0000"/>
        </w:rPr>
        <w:t xml:space="preserve"> </w:t>
      </w:r>
      <w:r>
        <w:fldChar w:fldCharType="begin"/>
      </w:r>
      <w:r>
        <w:instrText xml:space="preserve"> HYPERLINK "https://pmc.ncbi.nlm.nih.gov/articles/PMC10028330/pdf/13132_2023_Article_1138.pdf" \h </w:instrText>
      </w:r>
      <w:r>
        <w:fldChar w:fldCharType="separate"/>
      </w:r>
      <w:r>
        <w:rPr>
          <w:rFonts w:ascii="Arial" w:hAnsi="Arial" w:cs="Arial"/>
          <w:color w:val="1155CC"/>
          <w:u w:val="single"/>
        </w:rPr>
        <w:t>https://pmc.ncbi.nlm.nih.gov/articles/PMC10028330/pdf/13132_2023_Article_1138.pdf</w:t>
      </w:r>
      <w:r>
        <w:rPr>
          <w:rFonts w:ascii="Arial" w:hAnsi="Arial" w:cs="Arial"/>
          <w:color w:val="1155CC"/>
          <w:u w:val="single"/>
        </w:rPr>
        <w:fldChar w:fldCharType="end"/>
      </w:r>
      <w:r>
        <w:rPr>
          <w:rFonts w:ascii="Arial" w:hAnsi="Arial" w:cs="Arial"/>
        </w:rPr>
        <w:t xml:space="preserve"> </w:t>
      </w:r>
    </w:p>
    <w:p w14:paraId="0887CF4B">
      <w:pPr>
        <w:spacing w:before="240" w:after="240" w:line="360" w:lineRule="auto"/>
        <w:rPr>
          <w:rFonts w:ascii="Arial" w:hAnsi="Arial" w:cs="Arial"/>
        </w:rPr>
      </w:pPr>
      <w:r>
        <w:rPr>
          <w:rFonts w:ascii="Arial" w:hAnsi="Arial" w:cs="Arial"/>
          <w:highlight w:val="white"/>
        </w:rPr>
        <w:t xml:space="preserve">Hafidzi, A.H. and Qomariah, N., 2022. The role of return on asset mediation in influencing corporate social responsibility on stock returns in manufacturing companies. </w:t>
      </w:r>
      <w:r>
        <w:rPr>
          <w:rFonts w:ascii="Arial" w:hAnsi="Arial" w:cs="Arial"/>
          <w:i/>
          <w:iCs/>
          <w:highlight w:val="white"/>
        </w:rPr>
        <w:t>Calitatea</w:t>
      </w:r>
      <w:r>
        <w:rPr>
          <w:rFonts w:ascii="Arial" w:hAnsi="Arial" w:cs="Arial"/>
          <w:highlight w:val="white"/>
        </w:rPr>
        <w:t xml:space="preserve">, </w:t>
      </w:r>
      <w:r>
        <w:rPr>
          <w:rFonts w:ascii="Arial" w:hAnsi="Arial" w:cs="Arial"/>
          <w:i/>
          <w:iCs/>
          <w:highlight w:val="white"/>
        </w:rPr>
        <w:t>23</w:t>
      </w:r>
      <w:r>
        <w:rPr>
          <w:rFonts w:ascii="Arial" w:hAnsi="Arial" w:cs="Arial"/>
          <w:highlight w:val="white"/>
        </w:rPr>
        <w:t>(186), pp.230-236.</w:t>
      </w:r>
      <w:r>
        <w:rPr>
          <w:rFonts w:ascii="Arial" w:hAnsi="Arial" w:cs="Arial"/>
        </w:rPr>
        <w:t xml:space="preserve">  </w:t>
      </w:r>
      <w:r>
        <w:fldChar w:fldCharType="begin"/>
      </w:r>
      <w:r>
        <w:instrText xml:space="preserve"> HYPERLINK "https://www.researchgate.net/profile/Achmad-Hasan-Hafidzi/publication/362453274_The_Role_of_Return_on_Asset_Mediation_in_Influencing_Corporate_Social_Responsibility_on_Stock_Returns_in_Manufacturing_Companies/links/62ea9bdc0b37cc344769b8f4/The-Role-of-Return-on-Asset-Mediation-in-Influencing-Corporate-Social-Responsibility-on-Stock-Returns-in-Manufacturing-Companies.pdf" \h </w:instrText>
      </w:r>
      <w:r>
        <w:fldChar w:fldCharType="separate"/>
      </w:r>
      <w:r>
        <w:rPr>
          <w:rFonts w:ascii="Arial" w:hAnsi="Arial" w:cs="Arial"/>
          <w:color w:val="1155CC"/>
          <w:u w:val="single"/>
        </w:rPr>
        <w:t>https://www.researchgate.net/profile/Achmad-Hasan-Hafidzi/publication/362453274_The_Role_of_Return_on_Asset_Mediation_in_Influencing_Corporate_Social_Responsibility_on_Stock_Returns_in_Manufacturing_Companies/links/62ea9bdc0b37cc344769b8f4/The-Role-of-Return-on-Asset-Mediation-in-Influencing-Corporate-Social-Responsibility-on-Stock-Returns-in-Manufacturing-Companies.pdf</w:t>
      </w:r>
      <w:r>
        <w:rPr>
          <w:rFonts w:ascii="Arial" w:hAnsi="Arial" w:cs="Arial"/>
          <w:color w:val="1155CC"/>
          <w:u w:val="single"/>
        </w:rPr>
        <w:fldChar w:fldCharType="end"/>
      </w:r>
      <w:r>
        <w:rPr>
          <w:rFonts w:ascii="Arial" w:hAnsi="Arial" w:cs="Arial"/>
        </w:rPr>
        <w:t xml:space="preserve"> </w:t>
      </w:r>
    </w:p>
    <w:p w14:paraId="5C1DA96B">
      <w:pPr>
        <w:spacing w:before="240" w:after="240" w:line="360" w:lineRule="auto"/>
        <w:rPr>
          <w:rFonts w:ascii="Arial" w:hAnsi="Arial" w:cs="Arial"/>
        </w:rPr>
      </w:pPr>
      <w:r>
        <w:rPr>
          <w:rFonts w:ascii="Arial" w:hAnsi="Arial" w:cs="Arial"/>
          <w:highlight w:val="white"/>
        </w:rPr>
        <w:t xml:space="preserve">Koroma, S. and Bein, M., 2024. The moderating effect of economic policy uncertainty on the relationship between working capital management and profitability: evidence from UK non-financial firms. </w:t>
      </w:r>
      <w:r>
        <w:rPr>
          <w:rFonts w:ascii="Arial" w:hAnsi="Arial" w:cs="Arial"/>
          <w:i/>
          <w:iCs/>
          <w:highlight w:val="white"/>
        </w:rPr>
        <w:t>Sage Open</w:t>
      </w:r>
      <w:r>
        <w:rPr>
          <w:rFonts w:ascii="Arial" w:hAnsi="Arial" w:cs="Arial"/>
          <w:highlight w:val="white"/>
        </w:rPr>
        <w:t xml:space="preserve">, </w:t>
      </w:r>
      <w:r>
        <w:rPr>
          <w:rFonts w:ascii="Arial" w:hAnsi="Arial" w:cs="Arial"/>
          <w:i/>
          <w:iCs/>
          <w:highlight w:val="white"/>
        </w:rPr>
        <w:t>14</w:t>
      </w:r>
      <w:r>
        <w:rPr>
          <w:rFonts w:ascii="Arial" w:hAnsi="Arial" w:cs="Arial"/>
          <w:highlight w:val="white"/>
        </w:rPr>
        <w:t>(2), p.21582440241242552.</w:t>
      </w:r>
      <w:r>
        <w:rPr>
          <w:rFonts w:ascii="Arial" w:hAnsi="Arial" w:cs="Arial"/>
        </w:rPr>
        <w:t xml:space="preserve">  </w:t>
      </w:r>
      <w:r>
        <w:fldChar w:fldCharType="begin"/>
      </w:r>
      <w:r>
        <w:instrText xml:space="preserve"> HYPERLINK "https://journals.sagepub.com/doi/pdf/10.1177/21582440241242552" \h </w:instrText>
      </w:r>
      <w:r>
        <w:fldChar w:fldCharType="separate"/>
      </w:r>
      <w:r>
        <w:rPr>
          <w:rFonts w:ascii="Arial" w:hAnsi="Arial" w:cs="Arial"/>
          <w:color w:val="1155CC"/>
          <w:u w:val="single"/>
        </w:rPr>
        <w:t>https://journals.sagepub.com/doi/pdf/10.1177/21582440241242552</w:t>
      </w:r>
      <w:r>
        <w:rPr>
          <w:rFonts w:ascii="Arial" w:hAnsi="Arial" w:cs="Arial"/>
          <w:color w:val="1155CC"/>
          <w:u w:val="single"/>
        </w:rPr>
        <w:fldChar w:fldCharType="end"/>
      </w:r>
      <w:r>
        <w:rPr>
          <w:rFonts w:ascii="Arial" w:hAnsi="Arial" w:cs="Arial"/>
        </w:rPr>
        <w:t xml:space="preserve"> </w:t>
      </w:r>
    </w:p>
    <w:p w14:paraId="07C2F80A">
      <w:pPr>
        <w:spacing w:before="240" w:after="240" w:line="360" w:lineRule="auto"/>
        <w:rPr>
          <w:rFonts w:ascii="Arial" w:hAnsi="Arial" w:cs="Arial"/>
        </w:rPr>
      </w:pPr>
      <w:r>
        <w:rPr>
          <w:rFonts w:ascii="Arial" w:hAnsi="Arial" w:cs="Arial"/>
          <w:highlight w:val="white"/>
        </w:rPr>
        <w:t xml:space="preserve">Kumar, R., 2025. Cash flow management in modern businesses: techniques for liquidity optimization. </w:t>
      </w:r>
      <w:r>
        <w:rPr>
          <w:rFonts w:ascii="Arial" w:hAnsi="Arial" w:cs="Arial"/>
          <w:i/>
          <w:iCs/>
          <w:highlight w:val="white"/>
        </w:rPr>
        <w:t>International Journal of Exploring Emerging Trends in Engineering</w:t>
      </w:r>
      <w:r>
        <w:rPr>
          <w:rFonts w:ascii="Arial" w:hAnsi="Arial" w:cs="Arial"/>
          <w:highlight w:val="white"/>
        </w:rPr>
        <w:t xml:space="preserve">, </w:t>
      </w:r>
      <w:r>
        <w:rPr>
          <w:rFonts w:ascii="Arial" w:hAnsi="Arial" w:cs="Arial"/>
          <w:i/>
          <w:iCs/>
          <w:highlight w:val="white"/>
        </w:rPr>
        <w:t>11</w:t>
      </w:r>
      <w:r>
        <w:rPr>
          <w:rFonts w:ascii="Arial" w:hAnsi="Arial" w:cs="Arial"/>
          <w:highlight w:val="white"/>
        </w:rPr>
        <w:t>(4), pp.1-12.</w:t>
      </w:r>
      <w:r>
        <w:rPr>
          <w:rFonts w:ascii="Arial" w:hAnsi="Arial" w:cs="Arial"/>
        </w:rPr>
        <w:t xml:space="preserve">  </w:t>
      </w:r>
      <w:r>
        <w:fldChar w:fldCharType="begin"/>
      </w:r>
      <w:r>
        <w:instrText xml:space="preserve"> HYPERLINK "https://ijoeete.com/wp-content/uploads/2025/01/5-rajesh-kumar.pdf" \h </w:instrText>
      </w:r>
      <w:r>
        <w:fldChar w:fldCharType="separate"/>
      </w:r>
      <w:r>
        <w:rPr>
          <w:rFonts w:ascii="Arial" w:hAnsi="Arial" w:cs="Arial"/>
          <w:color w:val="1155CC"/>
          <w:u w:val="single"/>
        </w:rPr>
        <w:t>https://ijoeete.com/wp-content/uploads/2025/01/5-rajesh-kumar.pdf</w:t>
      </w:r>
      <w:r>
        <w:rPr>
          <w:rFonts w:ascii="Arial" w:hAnsi="Arial" w:cs="Arial"/>
          <w:color w:val="1155CC"/>
          <w:u w:val="single"/>
        </w:rPr>
        <w:fldChar w:fldCharType="end"/>
      </w:r>
      <w:r>
        <w:rPr>
          <w:rFonts w:ascii="Arial" w:hAnsi="Arial" w:cs="Arial"/>
        </w:rPr>
        <w:t xml:space="preserve"> </w:t>
      </w:r>
    </w:p>
    <w:p w14:paraId="4FDFA1E4">
      <w:pPr>
        <w:spacing w:before="240" w:after="240" w:line="360" w:lineRule="auto"/>
        <w:rPr>
          <w:rFonts w:ascii="Arial" w:hAnsi="Arial" w:cs="Arial"/>
        </w:rPr>
      </w:pPr>
      <w:r>
        <w:rPr>
          <w:rFonts w:ascii="Arial" w:hAnsi="Arial" w:cs="Arial"/>
          <w:highlight w:val="white"/>
        </w:rPr>
        <w:t xml:space="preserve">Lee, S., Yeon, J. and Song, H.J., 2023. Current status and future perspective of the link of corporate social responsibility–corporate financial performance in the tourism and hospitality industry. </w:t>
      </w:r>
      <w:r>
        <w:rPr>
          <w:rFonts w:ascii="Arial" w:hAnsi="Arial" w:cs="Arial"/>
          <w:i/>
          <w:iCs/>
          <w:highlight w:val="white"/>
        </w:rPr>
        <w:t>Tourism Economics</w:t>
      </w:r>
      <w:r>
        <w:rPr>
          <w:rFonts w:ascii="Arial" w:hAnsi="Arial" w:cs="Arial"/>
          <w:highlight w:val="white"/>
        </w:rPr>
        <w:t xml:space="preserve">, </w:t>
      </w:r>
      <w:r>
        <w:rPr>
          <w:rFonts w:ascii="Arial" w:hAnsi="Arial" w:cs="Arial"/>
          <w:i/>
          <w:iCs/>
          <w:highlight w:val="white"/>
        </w:rPr>
        <w:t>29</w:t>
      </w:r>
      <w:r>
        <w:rPr>
          <w:rFonts w:ascii="Arial" w:hAnsi="Arial" w:cs="Arial"/>
          <w:highlight w:val="white"/>
        </w:rPr>
        <w:t>(7), pp.1703-1735.</w:t>
      </w:r>
      <w:r>
        <w:rPr>
          <w:rFonts w:ascii="Arial" w:hAnsi="Arial" w:cs="Arial"/>
        </w:rPr>
        <w:t xml:space="preserve"> </w:t>
      </w:r>
      <w:r>
        <w:fldChar w:fldCharType="begin"/>
      </w:r>
      <w:r>
        <w:instrText xml:space="preserve"> HYPERLINK "https://journals.sagepub.com/doi/pdf/10.1177/13548166221140505" \h </w:instrText>
      </w:r>
      <w:r>
        <w:fldChar w:fldCharType="separate"/>
      </w:r>
      <w:r>
        <w:rPr>
          <w:rFonts w:ascii="Arial" w:hAnsi="Arial" w:cs="Arial"/>
          <w:color w:val="1155CC"/>
          <w:u w:val="single"/>
        </w:rPr>
        <w:t>https://journals.sagepub.com/doi/pdf/10.1177/13548166221140505</w:t>
      </w:r>
      <w:r>
        <w:rPr>
          <w:rFonts w:ascii="Arial" w:hAnsi="Arial" w:cs="Arial"/>
          <w:color w:val="1155CC"/>
          <w:u w:val="single"/>
        </w:rPr>
        <w:fldChar w:fldCharType="end"/>
      </w:r>
      <w:r>
        <w:rPr>
          <w:rFonts w:ascii="Arial" w:hAnsi="Arial" w:cs="Arial"/>
        </w:rPr>
        <w:t xml:space="preserve"> </w:t>
      </w:r>
    </w:p>
    <w:p w14:paraId="4DDEDA87">
      <w:pPr>
        <w:spacing w:before="240" w:after="240" w:line="360" w:lineRule="auto"/>
        <w:rPr>
          <w:rFonts w:ascii="Arial" w:hAnsi="Arial" w:cs="Arial"/>
        </w:rPr>
      </w:pPr>
      <w:r>
        <w:rPr>
          <w:rFonts w:ascii="Arial" w:hAnsi="Arial" w:cs="Arial"/>
          <w:color w:val="000000" w:themeColor="text1"/>
          <w:highlight w:val="white"/>
          <w14:textFill>
            <w14:solidFill>
              <w14:schemeClr w14:val="tx1"/>
            </w14:solidFill>
          </w14:textFill>
        </w:rPr>
        <w:t xml:space="preserve">Luo, R., Hu, J. and Sun, Q., 2025. Group Anomaly Detection and Risk Control of Commodity Sales Volume Data Based on LSTM-VAE Framework. </w:t>
      </w:r>
      <w:r>
        <w:rPr>
          <w:rFonts w:ascii="Arial" w:hAnsi="Arial" w:cs="Arial"/>
          <w:i/>
          <w:iCs/>
          <w:color w:val="000000" w:themeColor="text1"/>
          <w:highlight w:val="white"/>
          <w14:textFill>
            <w14:solidFill>
              <w14:schemeClr w14:val="tx1"/>
            </w14:solidFill>
          </w14:textFill>
        </w:rPr>
        <w:t>Journal of Computer, Signal, and System Research</w:t>
      </w:r>
      <w:r>
        <w:rPr>
          <w:rFonts w:ascii="Arial" w:hAnsi="Arial" w:cs="Arial"/>
          <w:color w:val="000000" w:themeColor="text1"/>
          <w:highlight w:val="white"/>
          <w14:textFill>
            <w14:solidFill>
              <w14:schemeClr w14:val="tx1"/>
            </w14:solidFill>
          </w14:textFill>
        </w:rPr>
        <w:t xml:space="preserve">, </w:t>
      </w:r>
      <w:r>
        <w:rPr>
          <w:rFonts w:ascii="Arial" w:hAnsi="Arial" w:cs="Arial"/>
          <w:i/>
          <w:iCs/>
          <w:color w:val="000000" w:themeColor="text1"/>
          <w:highlight w:val="white"/>
          <w14:textFill>
            <w14:solidFill>
              <w14:schemeClr w14:val="tx1"/>
            </w14:solidFill>
          </w14:textFill>
        </w:rPr>
        <w:t>2</w:t>
      </w:r>
      <w:r>
        <w:rPr>
          <w:rFonts w:ascii="Arial" w:hAnsi="Arial" w:cs="Arial"/>
          <w:color w:val="000000" w:themeColor="text1"/>
          <w:highlight w:val="white"/>
          <w14:textFill>
            <w14:solidFill>
              <w14:schemeClr w14:val="tx1"/>
            </w14:solidFill>
          </w14:textFill>
        </w:rPr>
        <w:t>(7), pp.48-57.</w:t>
      </w:r>
      <w:r>
        <w:rPr>
          <w:rFonts w:ascii="Arial" w:hAnsi="Arial" w:cs="Arial"/>
          <w:color w:val="000000" w:themeColor="text1"/>
          <w14:textFill>
            <w14:solidFill>
              <w14:schemeClr w14:val="tx1"/>
            </w14:solidFill>
          </w14:textFill>
        </w:rPr>
        <w:t xml:space="preserve">  </w:t>
      </w:r>
      <w:r>
        <w:fldChar w:fldCharType="begin"/>
      </w:r>
      <w:r>
        <w:instrText xml:space="preserve"> HYPERLINK "http://www.gbspress.com/index.php/JCSSR/article/download/540/556" \h </w:instrText>
      </w:r>
      <w:r>
        <w:fldChar w:fldCharType="separate"/>
      </w:r>
      <w:r>
        <w:rPr>
          <w:rFonts w:ascii="Arial" w:hAnsi="Arial" w:cs="Arial"/>
          <w:color w:val="1155CC"/>
          <w:u w:val="single"/>
        </w:rPr>
        <w:t>http://www.gbspress.com/index.php/JCSSR/article/download/540/556</w:t>
      </w:r>
      <w:r>
        <w:rPr>
          <w:rFonts w:ascii="Arial" w:hAnsi="Arial" w:cs="Arial"/>
          <w:color w:val="1155CC"/>
          <w:u w:val="single"/>
        </w:rPr>
        <w:fldChar w:fldCharType="end"/>
      </w:r>
      <w:r>
        <w:rPr>
          <w:rFonts w:ascii="Arial" w:hAnsi="Arial" w:cs="Arial"/>
        </w:rPr>
        <w:t xml:space="preserve"> </w:t>
      </w:r>
    </w:p>
    <w:p w14:paraId="59E91AF6">
      <w:pPr>
        <w:spacing w:before="240" w:after="240" w:line="360" w:lineRule="auto"/>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Marriott International, Annual Report 2025, Accessed from:</w:t>
      </w:r>
      <w:r>
        <w:rPr>
          <w:rFonts w:ascii="Arial" w:hAnsi="Arial" w:cs="Arial"/>
        </w:rPr>
        <w:t xml:space="preserve"> </w:t>
      </w:r>
      <w:r>
        <w:fldChar w:fldCharType="begin"/>
      </w:r>
      <w:r>
        <w:instrText xml:space="preserve"> HYPERLINK "https://marriott.gcs-web.com/static-files/9cf0e9b0-bbfa-48a6-9e21-ffbdbc4b2d78" \h </w:instrText>
      </w:r>
      <w:r>
        <w:fldChar w:fldCharType="separate"/>
      </w:r>
      <w:r>
        <w:rPr>
          <w:rFonts w:ascii="Arial" w:hAnsi="Arial" w:cs="Arial"/>
          <w:color w:val="1155CC"/>
          <w:u w:val="single"/>
        </w:rPr>
        <w:t>https://marriott.gcs-web.com/static-files/9cf0e9b0-bbfa-48a6-9e21-ffbdbc4b2d78</w:t>
      </w:r>
      <w:r>
        <w:rPr>
          <w:rFonts w:ascii="Arial" w:hAnsi="Arial" w:cs="Arial"/>
          <w:color w:val="1155CC"/>
          <w:u w:val="single"/>
        </w:rPr>
        <w:fldChar w:fldCharType="end"/>
      </w:r>
      <w:r>
        <w:rPr>
          <w:rFonts w:ascii="Arial" w:hAnsi="Arial" w:cs="Arial"/>
        </w:rPr>
        <w:t xml:space="preserve"> </w:t>
      </w:r>
      <w:r>
        <w:rPr>
          <w:rFonts w:ascii="Arial" w:hAnsi="Arial" w:cs="Arial"/>
          <w:color w:val="000000" w:themeColor="text1"/>
          <w14:textFill>
            <w14:solidFill>
              <w14:schemeClr w14:val="tx1"/>
            </w14:solidFill>
          </w14:textFill>
        </w:rPr>
        <w:t>[Accessed on: 22</w:t>
      </w:r>
      <w:r>
        <w:rPr>
          <w:rFonts w:ascii="Arial" w:hAnsi="Arial" w:cs="Arial"/>
          <w:color w:val="000000" w:themeColor="text1"/>
          <w:vertAlign w:val="superscript"/>
          <w14:textFill>
            <w14:solidFill>
              <w14:schemeClr w14:val="tx1"/>
            </w14:solidFill>
          </w14:textFill>
        </w:rPr>
        <w:t>nd</w:t>
      </w:r>
      <w:r>
        <w:rPr>
          <w:rFonts w:ascii="Arial" w:hAnsi="Arial" w:cs="Arial"/>
          <w:color w:val="000000" w:themeColor="text1"/>
          <w14:textFill>
            <w14:solidFill>
              <w14:schemeClr w14:val="tx1"/>
            </w14:solidFill>
          </w14:textFill>
        </w:rPr>
        <w:t xml:space="preserve"> July, 2026]</w:t>
      </w:r>
    </w:p>
    <w:p w14:paraId="1FB33EED">
      <w:pPr>
        <w:spacing w:before="240" w:after="240" w:line="360" w:lineRule="auto"/>
        <w:rPr>
          <w:rFonts w:ascii="Arial" w:hAnsi="Arial" w:cs="Arial"/>
        </w:rPr>
      </w:pPr>
      <w:r>
        <w:rPr>
          <w:rFonts w:ascii="Arial" w:hAnsi="Arial" w:cs="Arial"/>
          <w:highlight w:val="white"/>
        </w:rPr>
        <w:t xml:space="preserve">Mehmood, A. and De Luca, F., 2025. Financial distress prediction in private firms: developing a model for troubled debt restructuring. </w:t>
      </w:r>
      <w:r>
        <w:rPr>
          <w:rFonts w:ascii="Arial" w:hAnsi="Arial" w:cs="Arial"/>
          <w:i/>
          <w:iCs/>
          <w:highlight w:val="white"/>
        </w:rPr>
        <w:t>Journal of Applied Accounting Research</w:t>
      </w:r>
      <w:r>
        <w:rPr>
          <w:rFonts w:ascii="Arial" w:hAnsi="Arial" w:cs="Arial"/>
          <w:highlight w:val="white"/>
        </w:rPr>
        <w:t xml:space="preserve">, </w:t>
      </w:r>
      <w:r>
        <w:rPr>
          <w:rFonts w:ascii="Arial" w:hAnsi="Arial" w:cs="Arial"/>
          <w:i/>
          <w:iCs/>
          <w:highlight w:val="white"/>
        </w:rPr>
        <w:t>26</w:t>
      </w:r>
      <w:r>
        <w:rPr>
          <w:rFonts w:ascii="Arial" w:hAnsi="Arial" w:cs="Arial"/>
          <w:highlight w:val="white"/>
        </w:rPr>
        <w:t>(6), pp.205-222.</w:t>
      </w:r>
      <w:r>
        <w:rPr>
          <w:rFonts w:ascii="Arial" w:hAnsi="Arial" w:cs="Arial"/>
        </w:rPr>
        <w:t xml:space="preserve">  </w:t>
      </w:r>
      <w:r>
        <w:fldChar w:fldCharType="begin"/>
      </w:r>
      <w:r>
        <w:instrText xml:space="preserve"> HYPERLINK "https://www.emerald.com/jaar/article-pdf/26/6/205/9873185/jaar-12-2022-0325.pdf" \h </w:instrText>
      </w:r>
      <w:r>
        <w:fldChar w:fldCharType="separate"/>
      </w:r>
      <w:r>
        <w:rPr>
          <w:rFonts w:ascii="Arial" w:hAnsi="Arial" w:cs="Arial"/>
          <w:color w:val="1155CC"/>
          <w:u w:val="single"/>
        </w:rPr>
        <w:t>https://www.emerald.com/jaar/article-pdf/26/6/205/9873185/jaar-12-2022-0325.pdf</w:t>
      </w:r>
      <w:r>
        <w:rPr>
          <w:rFonts w:ascii="Arial" w:hAnsi="Arial" w:cs="Arial"/>
          <w:color w:val="1155CC"/>
          <w:u w:val="single"/>
        </w:rPr>
        <w:fldChar w:fldCharType="end"/>
      </w:r>
      <w:r>
        <w:rPr>
          <w:rFonts w:ascii="Arial" w:hAnsi="Arial" w:cs="Arial"/>
        </w:rPr>
        <w:t xml:space="preserve"> </w:t>
      </w:r>
    </w:p>
    <w:p w14:paraId="69B0A875">
      <w:pPr>
        <w:spacing w:before="240" w:after="240" w:line="360" w:lineRule="auto"/>
        <w:rPr>
          <w:rFonts w:ascii="Arial" w:hAnsi="Arial" w:cs="Arial"/>
        </w:rPr>
      </w:pPr>
      <w:r>
        <w:rPr>
          <w:rFonts w:ascii="Arial" w:hAnsi="Arial" w:cs="Arial"/>
          <w:highlight w:val="white"/>
        </w:rPr>
        <w:t xml:space="preserve">Nguyen, T.T.C., Le, A.T.H. and Van Nguyen, C., 2024. The impact of liquidity and corporate efficiency on profitability. </w:t>
      </w:r>
      <w:r>
        <w:rPr>
          <w:rFonts w:ascii="Arial" w:hAnsi="Arial" w:cs="Arial"/>
          <w:i/>
          <w:iCs/>
          <w:highlight w:val="white"/>
        </w:rPr>
        <w:t>Emerging Science Journal</w:t>
      </w:r>
      <w:r>
        <w:rPr>
          <w:rFonts w:ascii="Arial" w:hAnsi="Arial" w:cs="Arial"/>
          <w:highlight w:val="white"/>
        </w:rPr>
        <w:t xml:space="preserve">, </w:t>
      </w:r>
      <w:r>
        <w:rPr>
          <w:rFonts w:ascii="Arial" w:hAnsi="Arial" w:cs="Arial"/>
          <w:i/>
          <w:iCs/>
          <w:highlight w:val="white"/>
        </w:rPr>
        <w:t>8</w:t>
      </w:r>
      <w:r>
        <w:rPr>
          <w:rFonts w:ascii="Arial" w:hAnsi="Arial" w:cs="Arial"/>
          <w:highlight w:val="white"/>
        </w:rPr>
        <w:t>(1), pp.180-191.</w:t>
      </w:r>
      <w:r>
        <w:rPr>
          <w:rFonts w:ascii="Arial" w:hAnsi="Arial" w:cs="Arial"/>
        </w:rPr>
        <w:t xml:space="preserve">  </w:t>
      </w:r>
      <w:r>
        <w:fldChar w:fldCharType="begin"/>
      </w:r>
      <w:r>
        <w:instrText xml:space="preserve"> HYPERLINK "https://www.researchgate.net/profile/Cong-Nguyen-10/publication/378477150_The_Impact_of_Liquidity_and_Corporate_Efficiency_on_Profitability/links/68241690026fee1034f7fbef/The-Impact-of-Liquidity-and-Corporate-Efficiency-on-Profitability.pdf" \h </w:instrText>
      </w:r>
      <w:r>
        <w:fldChar w:fldCharType="separate"/>
      </w:r>
      <w:r>
        <w:rPr>
          <w:rFonts w:ascii="Arial" w:hAnsi="Arial" w:cs="Arial"/>
          <w:color w:val="1155CC"/>
          <w:u w:val="single"/>
        </w:rPr>
        <w:t>https://www.researchgate.net/profile/Cong-Nguyen-10/publication/378477150_The_Impact_of_Liquidity_and_Corporate_Efficiency_on_Profitability/links/68241690026fee1034f7fbef/The-Impact-of-Liquidity-and-Corporate-Efficiency-on-Profitability.pdf</w:t>
      </w:r>
      <w:r>
        <w:rPr>
          <w:rFonts w:ascii="Arial" w:hAnsi="Arial" w:cs="Arial"/>
          <w:color w:val="1155CC"/>
          <w:u w:val="single"/>
        </w:rPr>
        <w:fldChar w:fldCharType="end"/>
      </w:r>
      <w:r>
        <w:rPr>
          <w:rFonts w:ascii="Arial" w:hAnsi="Arial" w:cs="Arial"/>
        </w:rPr>
        <w:t xml:space="preserve"> </w:t>
      </w:r>
    </w:p>
    <w:p w14:paraId="5A82BB7A">
      <w:pPr>
        <w:spacing w:before="240" w:after="240" w:line="360" w:lineRule="auto"/>
        <w:rPr>
          <w:rFonts w:ascii="Arial" w:hAnsi="Arial" w:cs="Arial"/>
        </w:rPr>
      </w:pPr>
      <w:r>
        <w:rPr>
          <w:rFonts w:ascii="Arial" w:hAnsi="Arial" w:cs="Arial"/>
          <w:highlight w:val="white"/>
        </w:rPr>
        <w:t xml:space="preserve">Qaisar, M.N., Perveen, A. and Munir, S., 2025. Financial Resilience Strategies: Liquidity, Cost Management, and Risk Planning in Economic Downturns. </w:t>
      </w:r>
      <w:r>
        <w:rPr>
          <w:rFonts w:ascii="Arial" w:hAnsi="Arial" w:cs="Arial"/>
          <w:i/>
          <w:iCs/>
          <w:highlight w:val="white"/>
        </w:rPr>
        <w:t>Advance Journal of Econometrics and Finance</w:t>
      </w:r>
      <w:r>
        <w:rPr>
          <w:rFonts w:ascii="Arial" w:hAnsi="Arial" w:cs="Arial"/>
          <w:highlight w:val="white"/>
        </w:rPr>
        <w:t xml:space="preserve">, </w:t>
      </w:r>
      <w:r>
        <w:rPr>
          <w:rFonts w:ascii="Arial" w:hAnsi="Arial" w:cs="Arial"/>
          <w:i/>
          <w:iCs/>
          <w:highlight w:val="white"/>
        </w:rPr>
        <w:t>3</w:t>
      </w:r>
      <w:r>
        <w:rPr>
          <w:rFonts w:ascii="Arial" w:hAnsi="Arial" w:cs="Arial"/>
          <w:highlight w:val="white"/>
        </w:rPr>
        <w:t>(2), pp.88-100.</w:t>
      </w:r>
      <w:r>
        <w:rPr>
          <w:rFonts w:ascii="Arial" w:hAnsi="Arial" w:cs="Arial"/>
        </w:rPr>
        <w:t xml:space="preserve">  </w:t>
      </w:r>
      <w:r>
        <w:fldChar w:fldCharType="begin"/>
      </w:r>
      <w:r>
        <w:instrText xml:space="preserve"> HYPERLINK "http://ajeaf.com/index.php/Journal/article/download/78/90" \h </w:instrText>
      </w:r>
      <w:r>
        <w:fldChar w:fldCharType="separate"/>
      </w:r>
      <w:r>
        <w:rPr>
          <w:rFonts w:ascii="Arial" w:hAnsi="Arial" w:cs="Arial"/>
          <w:color w:val="1155CC"/>
          <w:u w:val="single"/>
        </w:rPr>
        <w:t>http://ajeaf.com/index.php/Journal/article/download/78/90</w:t>
      </w:r>
      <w:r>
        <w:rPr>
          <w:rFonts w:ascii="Arial" w:hAnsi="Arial" w:cs="Arial"/>
          <w:color w:val="1155CC"/>
          <w:u w:val="single"/>
        </w:rPr>
        <w:fldChar w:fldCharType="end"/>
      </w:r>
      <w:r>
        <w:rPr>
          <w:rFonts w:ascii="Arial" w:hAnsi="Arial" w:cs="Arial"/>
        </w:rPr>
        <w:t xml:space="preserve"> </w:t>
      </w:r>
    </w:p>
    <w:p w14:paraId="467BEF74">
      <w:pPr>
        <w:spacing w:before="240" w:after="240" w:line="360" w:lineRule="auto"/>
        <w:rPr>
          <w:rFonts w:ascii="Arial" w:hAnsi="Arial" w:cs="Arial"/>
        </w:rPr>
      </w:pPr>
      <w:r>
        <w:rPr>
          <w:rFonts w:ascii="Arial" w:hAnsi="Arial" w:cs="Arial"/>
          <w:highlight w:val="white"/>
        </w:rPr>
        <w:t xml:space="preserve">Sahoo, S.K. and Goswami, S.S., 2023. A comprehensive review of multiple criteria decision-making (MCDM) methods: advancements, applications, and future directions. </w:t>
      </w:r>
      <w:r>
        <w:rPr>
          <w:rFonts w:ascii="Arial" w:hAnsi="Arial" w:cs="Arial"/>
          <w:i/>
          <w:iCs/>
          <w:highlight w:val="white"/>
        </w:rPr>
        <w:t>Decision making advances</w:t>
      </w:r>
      <w:r>
        <w:rPr>
          <w:rFonts w:ascii="Arial" w:hAnsi="Arial" w:cs="Arial"/>
          <w:highlight w:val="white"/>
        </w:rPr>
        <w:t xml:space="preserve">, </w:t>
      </w:r>
      <w:r>
        <w:rPr>
          <w:rFonts w:ascii="Arial" w:hAnsi="Arial" w:cs="Arial"/>
          <w:i/>
          <w:iCs/>
          <w:highlight w:val="white"/>
        </w:rPr>
        <w:t>1</w:t>
      </w:r>
      <w:r>
        <w:rPr>
          <w:rFonts w:ascii="Arial" w:hAnsi="Arial" w:cs="Arial"/>
          <w:highlight w:val="white"/>
        </w:rPr>
        <w:t>(1), pp.25-48.</w:t>
      </w:r>
      <w:r>
        <w:rPr>
          <w:rFonts w:ascii="Arial" w:hAnsi="Arial" w:cs="Arial"/>
        </w:rPr>
        <w:t xml:space="preserve">  </w:t>
      </w:r>
      <w:r>
        <w:fldChar w:fldCharType="begin"/>
      </w:r>
      <w:r>
        <w:instrText xml:space="preserve"> HYPERLINK "https://www.dma-journal.org/index.php/dema/article/download/7/5" \h </w:instrText>
      </w:r>
      <w:r>
        <w:fldChar w:fldCharType="separate"/>
      </w:r>
      <w:r>
        <w:rPr>
          <w:rFonts w:ascii="Arial" w:hAnsi="Arial" w:cs="Arial"/>
          <w:color w:val="1155CC"/>
          <w:u w:val="single"/>
        </w:rPr>
        <w:t>https://www.dma-journal.org/index.php/dema/article/download/7/5</w:t>
      </w:r>
      <w:r>
        <w:rPr>
          <w:rFonts w:ascii="Arial" w:hAnsi="Arial" w:cs="Arial"/>
          <w:color w:val="1155CC"/>
          <w:u w:val="single"/>
        </w:rPr>
        <w:fldChar w:fldCharType="end"/>
      </w:r>
      <w:r>
        <w:rPr>
          <w:rFonts w:ascii="Arial" w:hAnsi="Arial" w:cs="Arial"/>
        </w:rPr>
        <w:t xml:space="preserve"> </w:t>
      </w:r>
    </w:p>
    <w:p w14:paraId="5CDF104A">
      <w:pPr>
        <w:spacing w:before="240" w:after="240" w:line="360" w:lineRule="auto"/>
        <w:rPr>
          <w:rFonts w:ascii="Arial" w:hAnsi="Arial" w:cs="Arial"/>
        </w:rPr>
      </w:pPr>
      <w:r>
        <w:rPr>
          <w:rFonts w:ascii="Arial" w:hAnsi="Arial" w:cs="Arial"/>
          <w:highlight w:val="white"/>
        </w:rPr>
        <w:t xml:space="preserve">Saleh, B.A., 2023. The effect of financial ratios, firm size, and cash flows from operating activities on earnings per share. </w:t>
      </w:r>
      <w:r>
        <w:rPr>
          <w:rFonts w:ascii="Arial" w:hAnsi="Arial" w:cs="Arial"/>
          <w:i/>
          <w:iCs/>
          <w:highlight w:val="white"/>
        </w:rPr>
        <w:t>International Journal of Professional Business Review: Int. J. Prof. Bus. Rev.</w:t>
      </w:r>
      <w:r>
        <w:rPr>
          <w:rFonts w:ascii="Arial" w:hAnsi="Arial" w:cs="Arial"/>
          <w:highlight w:val="white"/>
        </w:rPr>
        <w:t xml:space="preserve">, </w:t>
      </w:r>
      <w:r>
        <w:rPr>
          <w:rFonts w:ascii="Arial" w:hAnsi="Arial" w:cs="Arial"/>
          <w:i/>
          <w:iCs/>
          <w:highlight w:val="white"/>
        </w:rPr>
        <w:t>8</w:t>
      </w:r>
      <w:r>
        <w:rPr>
          <w:rFonts w:ascii="Arial" w:hAnsi="Arial" w:cs="Arial"/>
          <w:highlight w:val="white"/>
        </w:rPr>
        <w:t>(6), p.13.</w:t>
      </w:r>
      <w:r>
        <w:rPr>
          <w:rFonts w:ascii="Arial" w:hAnsi="Arial" w:cs="Arial"/>
        </w:rPr>
        <w:t xml:space="preserve">  </w:t>
      </w:r>
      <w:r>
        <w:fldChar w:fldCharType="begin"/>
      </w:r>
      <w:r>
        <w:instrText xml:space="preserve"> HYPERLINK "https://dialnet.unirioja.es/descarga/articulo/9061550.pdf" \h </w:instrText>
      </w:r>
      <w:r>
        <w:fldChar w:fldCharType="separate"/>
      </w:r>
      <w:r>
        <w:rPr>
          <w:rFonts w:ascii="Arial" w:hAnsi="Arial" w:cs="Arial"/>
          <w:color w:val="1155CC"/>
          <w:u w:val="single"/>
        </w:rPr>
        <w:t>https://dialnet.unirioja.es/descarga/articulo/9061550.pdf</w:t>
      </w:r>
      <w:r>
        <w:rPr>
          <w:rFonts w:ascii="Arial" w:hAnsi="Arial" w:cs="Arial"/>
          <w:color w:val="1155CC"/>
          <w:u w:val="single"/>
        </w:rPr>
        <w:fldChar w:fldCharType="end"/>
      </w:r>
      <w:r>
        <w:rPr>
          <w:rFonts w:ascii="Arial" w:hAnsi="Arial" w:cs="Arial"/>
        </w:rPr>
        <w:t xml:space="preserve"> </w:t>
      </w:r>
    </w:p>
    <w:p w14:paraId="6498B797">
      <w:pPr>
        <w:spacing w:before="240" w:after="240" w:line="360" w:lineRule="auto"/>
        <w:rPr>
          <w:rFonts w:ascii="Arial" w:hAnsi="Arial" w:cs="Arial"/>
        </w:rPr>
      </w:pPr>
      <w:r>
        <w:rPr>
          <w:rFonts w:ascii="Arial" w:hAnsi="Arial" w:cs="Arial"/>
          <w:highlight w:val="white"/>
        </w:rPr>
        <w:t xml:space="preserve">Upreti, D.R. and Kulshrestha, S., 2022. A theoretical review on factors of working capital management. </w:t>
      </w:r>
      <w:r>
        <w:rPr>
          <w:rFonts w:ascii="Arial" w:hAnsi="Arial" w:cs="Arial"/>
          <w:i/>
          <w:iCs/>
          <w:highlight w:val="white"/>
        </w:rPr>
        <w:t>Nepal journal of multidisciplinary research</w:t>
      </w:r>
      <w:r>
        <w:rPr>
          <w:rFonts w:ascii="Arial" w:hAnsi="Arial" w:cs="Arial"/>
          <w:highlight w:val="white"/>
        </w:rPr>
        <w:t xml:space="preserve">, </w:t>
      </w:r>
      <w:r>
        <w:rPr>
          <w:rFonts w:ascii="Arial" w:hAnsi="Arial" w:cs="Arial"/>
          <w:i/>
          <w:iCs/>
          <w:highlight w:val="white"/>
        </w:rPr>
        <w:t>5</w:t>
      </w:r>
      <w:r>
        <w:rPr>
          <w:rFonts w:ascii="Arial" w:hAnsi="Arial" w:cs="Arial"/>
          <w:highlight w:val="white"/>
        </w:rPr>
        <w:t>(3), pp.47-60.</w:t>
      </w:r>
      <w:r>
        <w:rPr>
          <w:rFonts w:ascii="Arial" w:hAnsi="Arial" w:cs="Arial"/>
        </w:rPr>
        <w:t xml:space="preserve">  </w:t>
      </w:r>
      <w:r>
        <w:fldChar w:fldCharType="begin"/>
      </w:r>
      <w:r>
        <w:instrText xml:space="preserve"> HYPERLINK "https://nepjol.info/index.php/njmr/article/download/47359/35450" \h </w:instrText>
      </w:r>
      <w:r>
        <w:fldChar w:fldCharType="separate"/>
      </w:r>
      <w:r>
        <w:rPr>
          <w:rFonts w:ascii="Arial" w:hAnsi="Arial" w:cs="Arial"/>
          <w:color w:val="1155CC"/>
          <w:u w:val="single"/>
        </w:rPr>
        <w:t>https://nepjol.info/index.php/njmr/article/download/47359/35450</w:t>
      </w:r>
      <w:r>
        <w:rPr>
          <w:rFonts w:ascii="Arial" w:hAnsi="Arial" w:cs="Arial"/>
          <w:color w:val="1155CC"/>
          <w:u w:val="single"/>
        </w:rPr>
        <w:fldChar w:fldCharType="end"/>
      </w:r>
      <w:r>
        <w:rPr>
          <w:rFonts w:ascii="Arial" w:hAnsi="Arial" w:cs="Arial"/>
        </w:rPr>
        <w:t xml:space="preserve"> </w:t>
      </w:r>
    </w:p>
    <w:p w14:paraId="7D1C1700">
      <w:pPr>
        <w:spacing w:before="240" w:after="240" w:line="360" w:lineRule="auto"/>
        <w:rPr>
          <w:rFonts w:ascii="Arial" w:hAnsi="Arial" w:cs="Arial"/>
        </w:rPr>
      </w:pPr>
      <w:r>
        <w:rPr>
          <w:rFonts w:ascii="Arial" w:hAnsi="Arial" w:cs="Arial"/>
          <w:highlight w:val="white"/>
        </w:rPr>
        <w:t xml:space="preserve">Uyar, A., Gerged, A.M., Kuzey, C. and Karaman, A.S., 2024. Do CSR performance and reporting facilitate access to debt financing in emerging markets? The role of asset structure and firm performance. </w:t>
      </w:r>
      <w:r>
        <w:rPr>
          <w:rFonts w:ascii="Arial" w:hAnsi="Arial" w:cs="Arial"/>
          <w:i/>
          <w:iCs/>
          <w:highlight w:val="white"/>
        </w:rPr>
        <w:t>Review of accounting and finance</w:t>
      </w:r>
      <w:r>
        <w:rPr>
          <w:rFonts w:ascii="Arial" w:hAnsi="Arial" w:cs="Arial"/>
          <w:highlight w:val="white"/>
        </w:rPr>
        <w:t xml:space="preserve">, </w:t>
      </w:r>
      <w:r>
        <w:rPr>
          <w:rFonts w:ascii="Arial" w:hAnsi="Arial" w:cs="Arial"/>
          <w:i/>
          <w:iCs/>
          <w:highlight w:val="white"/>
        </w:rPr>
        <w:t>23</w:t>
      </w:r>
      <w:r>
        <w:rPr>
          <w:rFonts w:ascii="Arial" w:hAnsi="Arial" w:cs="Arial"/>
          <w:highlight w:val="white"/>
        </w:rPr>
        <w:t>(2), pp.157-185.</w:t>
      </w:r>
      <w:r>
        <w:rPr>
          <w:rFonts w:ascii="Arial" w:hAnsi="Arial" w:cs="Arial"/>
        </w:rPr>
        <w:t xml:space="preserve">  </w:t>
      </w:r>
      <w:r>
        <w:fldChar w:fldCharType="begin"/>
      </w:r>
      <w:r>
        <w:instrText xml:space="preserve"> HYPERLINK "https://eprints.whiterose.ac.uk/id/eprint/205393/8/RAF-01-2023-0020.R2_Uyar_et_al.__2023_.pdf" \h </w:instrText>
      </w:r>
      <w:r>
        <w:fldChar w:fldCharType="separate"/>
      </w:r>
      <w:r>
        <w:rPr>
          <w:rFonts w:ascii="Arial" w:hAnsi="Arial" w:cs="Arial"/>
          <w:color w:val="1155CC"/>
          <w:u w:val="single"/>
        </w:rPr>
        <w:t>https://eprints.whiterose.ac.uk/id/eprint/205393/8/RAF-01-2023-0020.R2_Uyar_et_al.__2023_.pdf</w:t>
      </w:r>
      <w:r>
        <w:rPr>
          <w:rFonts w:ascii="Arial" w:hAnsi="Arial" w:cs="Arial"/>
          <w:color w:val="1155CC"/>
          <w:u w:val="single"/>
        </w:rPr>
        <w:fldChar w:fldCharType="end"/>
      </w:r>
      <w:r>
        <w:rPr>
          <w:rFonts w:ascii="Arial" w:hAnsi="Arial" w:cs="Arial"/>
        </w:rPr>
        <w:t xml:space="preserve"> </w:t>
      </w:r>
    </w:p>
    <w:p w14:paraId="1DB991DA">
      <w:pPr>
        <w:spacing w:before="240" w:after="240" w:line="360" w:lineRule="auto"/>
        <w:rPr>
          <w:rFonts w:ascii="Arial" w:hAnsi="Arial" w:cs="Arial"/>
        </w:rPr>
      </w:pPr>
      <w:r>
        <w:rPr>
          <w:rFonts w:ascii="Arial" w:hAnsi="Arial" w:cs="Arial"/>
        </w:rPr>
        <w:t xml:space="preserve">Whitbread PLC, Annual Report and Accounts 2021/22, Accessed from: </w:t>
      </w:r>
      <w:r>
        <w:fldChar w:fldCharType="begin"/>
      </w:r>
      <w:r>
        <w:instrText xml:space="preserve"> HYPERLINK "https://cdn.whitbread.co.uk/media/2022/05/Whitbread_AR21-1.pdf" \h </w:instrText>
      </w:r>
      <w:r>
        <w:fldChar w:fldCharType="separate"/>
      </w:r>
      <w:r>
        <w:rPr>
          <w:rFonts w:ascii="Arial" w:hAnsi="Arial" w:cs="Arial"/>
          <w:color w:val="0000FF"/>
          <w:u w:val="single"/>
        </w:rPr>
        <w:t>https://cdn.whitbread.co.uk/media/2022/05/Whitbread_AR21-1.pdf</w:t>
      </w:r>
      <w:r>
        <w:rPr>
          <w:rFonts w:ascii="Arial" w:hAnsi="Arial" w:cs="Arial"/>
          <w:color w:val="0000FF"/>
          <w:u w:val="single"/>
        </w:rPr>
        <w:fldChar w:fldCharType="end"/>
      </w:r>
      <w:r>
        <w:rPr>
          <w:rFonts w:ascii="Arial" w:hAnsi="Arial" w:cs="Arial"/>
        </w:rPr>
        <w:t xml:space="preserve"> [Accessed on: 22</w:t>
      </w:r>
      <w:r>
        <w:rPr>
          <w:rFonts w:ascii="Arial" w:hAnsi="Arial" w:cs="Arial"/>
          <w:vertAlign w:val="superscript"/>
        </w:rPr>
        <w:t>nd</w:t>
      </w:r>
      <w:r>
        <w:rPr>
          <w:rFonts w:ascii="Arial" w:hAnsi="Arial" w:cs="Arial"/>
        </w:rPr>
        <w:t xml:space="preserve"> July, 2026]</w:t>
      </w:r>
    </w:p>
    <w:p w14:paraId="7C4EC0F9">
      <w:pPr>
        <w:spacing w:before="240" w:after="240" w:line="360" w:lineRule="auto"/>
        <w:rPr>
          <w:rFonts w:ascii="Arial" w:hAnsi="Arial" w:cs="Arial"/>
        </w:rPr>
      </w:pPr>
      <w:r>
        <w:rPr>
          <w:rFonts w:ascii="Arial" w:hAnsi="Arial" w:cs="Arial"/>
        </w:rPr>
        <w:t xml:space="preserve">Whitbread PLC, Annual Report and Accounts 2022/23, Accessed from:  </w:t>
      </w:r>
      <w:r>
        <w:fldChar w:fldCharType="begin"/>
      </w:r>
      <w:r>
        <w:instrText xml:space="preserve"> HYPERLINK "https://cdn.whitbread.co.uk/media/2023/05/Whitbread_ESG_Report_FY22_23-1.pdf" \h </w:instrText>
      </w:r>
      <w:r>
        <w:fldChar w:fldCharType="separate"/>
      </w:r>
      <w:r>
        <w:rPr>
          <w:rFonts w:ascii="Arial" w:hAnsi="Arial" w:cs="Arial"/>
          <w:color w:val="0000FF"/>
          <w:u w:val="single"/>
        </w:rPr>
        <w:t>https://cdn.whitbread.co.uk/media/2023/05/Whitbread_ESG_Report_FY22_23-1.pdf</w:t>
      </w:r>
      <w:r>
        <w:rPr>
          <w:rFonts w:ascii="Arial" w:hAnsi="Arial" w:cs="Arial"/>
          <w:color w:val="0000FF"/>
          <w:u w:val="single"/>
        </w:rPr>
        <w:fldChar w:fldCharType="end"/>
      </w:r>
      <w:r>
        <w:rPr>
          <w:rFonts w:ascii="Arial" w:hAnsi="Arial" w:cs="Arial"/>
        </w:rPr>
        <w:t xml:space="preserve"> [Accessed on: 22</w:t>
      </w:r>
      <w:r>
        <w:rPr>
          <w:rFonts w:ascii="Arial" w:hAnsi="Arial" w:cs="Arial"/>
          <w:vertAlign w:val="superscript"/>
        </w:rPr>
        <w:t>nd</w:t>
      </w:r>
      <w:r>
        <w:rPr>
          <w:rFonts w:ascii="Arial" w:hAnsi="Arial" w:cs="Arial"/>
        </w:rPr>
        <w:t xml:space="preserve"> July, 2026]</w:t>
      </w:r>
    </w:p>
    <w:p w14:paraId="514BF116">
      <w:pPr>
        <w:spacing w:before="240" w:after="240" w:line="360" w:lineRule="auto"/>
        <w:rPr>
          <w:rFonts w:ascii="Arial" w:hAnsi="Arial" w:cs="Arial"/>
        </w:rPr>
      </w:pPr>
      <w:r>
        <w:rPr>
          <w:rFonts w:ascii="Arial" w:hAnsi="Arial" w:cs="Arial"/>
        </w:rPr>
        <w:t xml:space="preserve">Whitbread PLC, Annual Report and Accounts 2023/24, Accessed from:  </w:t>
      </w:r>
      <w:r>
        <w:fldChar w:fldCharType="begin"/>
      </w:r>
      <w:r>
        <w:instrText xml:space="preserve"> HYPERLINK "https://cdn.whitbread.co.uk/media/2024/05/Whitbread-PLC-Annual-Report-and-Accounts-2023_Single_pages-1.pdf" \h </w:instrText>
      </w:r>
      <w:r>
        <w:fldChar w:fldCharType="separate"/>
      </w:r>
      <w:r>
        <w:rPr>
          <w:rFonts w:ascii="Arial" w:hAnsi="Arial" w:cs="Arial"/>
          <w:color w:val="0000FF"/>
          <w:u w:val="single"/>
        </w:rPr>
        <w:t>https://cdn.whitbread.co.uk/media/2024/05/Whitbread-PLC-Annual-Report-and-Accounts-2023_Single_pages-1.pdf</w:t>
      </w:r>
      <w:r>
        <w:rPr>
          <w:rFonts w:ascii="Arial" w:hAnsi="Arial" w:cs="Arial"/>
          <w:color w:val="0000FF"/>
          <w:u w:val="single"/>
        </w:rPr>
        <w:fldChar w:fldCharType="end"/>
      </w:r>
      <w:r>
        <w:rPr>
          <w:rFonts w:ascii="Arial" w:hAnsi="Arial" w:cs="Arial"/>
        </w:rPr>
        <w:t xml:space="preserve"> [Accessed on: 22</w:t>
      </w:r>
      <w:r>
        <w:rPr>
          <w:rFonts w:ascii="Arial" w:hAnsi="Arial" w:cs="Arial"/>
          <w:vertAlign w:val="superscript"/>
        </w:rPr>
        <w:t>nd</w:t>
      </w:r>
      <w:r>
        <w:rPr>
          <w:rFonts w:ascii="Arial" w:hAnsi="Arial" w:cs="Arial"/>
        </w:rPr>
        <w:t xml:space="preserve"> July, 2026]</w:t>
      </w:r>
    </w:p>
    <w:p w14:paraId="2E24B5DA">
      <w:pPr>
        <w:spacing w:before="240" w:after="240" w:line="360" w:lineRule="auto"/>
        <w:rPr>
          <w:rFonts w:ascii="Arial" w:hAnsi="Arial" w:cs="Arial"/>
        </w:rPr>
      </w:pPr>
      <w:r>
        <w:rPr>
          <w:rFonts w:ascii="Arial" w:hAnsi="Arial" w:cs="Arial"/>
        </w:rPr>
        <w:t xml:space="preserve">Whitbread PLC, Annual Report and Accounts 2024/25, Accessed from:  </w:t>
      </w:r>
      <w:r>
        <w:fldChar w:fldCharType="begin"/>
      </w:r>
      <w:r>
        <w:instrText xml:space="preserve"> HYPERLINK "https://cdn.whitbread.co.uk/media/2025/05/Whitbread-PLC-Annual-Report-and-Accounts-2024-25.pdf" \h </w:instrText>
      </w:r>
      <w:r>
        <w:fldChar w:fldCharType="separate"/>
      </w:r>
      <w:r>
        <w:rPr>
          <w:rFonts w:ascii="Arial" w:hAnsi="Arial" w:cs="Arial"/>
          <w:color w:val="0000FF"/>
          <w:u w:val="single"/>
        </w:rPr>
        <w:t>https://cdn.whitbread.co.uk/media/2025/05/Whitbread-PLC-Annual-Report-and-Accounts-2024-25.pdf</w:t>
      </w:r>
      <w:r>
        <w:rPr>
          <w:rFonts w:ascii="Arial" w:hAnsi="Arial" w:cs="Arial"/>
          <w:color w:val="0000FF"/>
          <w:u w:val="single"/>
        </w:rPr>
        <w:fldChar w:fldCharType="end"/>
      </w:r>
      <w:r>
        <w:rPr>
          <w:rFonts w:ascii="Arial" w:hAnsi="Arial" w:cs="Arial"/>
        </w:rPr>
        <w:t xml:space="preserve"> [Accessed on: 22</w:t>
      </w:r>
      <w:r>
        <w:rPr>
          <w:rFonts w:ascii="Arial" w:hAnsi="Arial" w:cs="Arial"/>
          <w:vertAlign w:val="superscript"/>
        </w:rPr>
        <w:t>nd</w:t>
      </w:r>
      <w:r>
        <w:rPr>
          <w:rFonts w:ascii="Arial" w:hAnsi="Arial" w:cs="Arial"/>
        </w:rPr>
        <w:t xml:space="preserve"> July, 2026]</w:t>
      </w:r>
    </w:p>
    <w:p w14:paraId="2B6F60D7">
      <w:pPr>
        <w:spacing w:before="240" w:after="240" w:line="360" w:lineRule="auto"/>
        <w:rPr>
          <w:rFonts w:ascii="Arial" w:hAnsi="Arial" w:cs="Arial"/>
        </w:rPr>
      </w:pPr>
      <w:r>
        <w:rPr>
          <w:rFonts w:ascii="Arial" w:hAnsi="Arial" w:cs="Arial"/>
        </w:rPr>
        <w:t xml:space="preserve">Whitbread PLC, Annual Report and Accounts 2025/26, Accessed from:  </w:t>
      </w:r>
      <w:r>
        <w:fldChar w:fldCharType="begin"/>
      </w:r>
      <w:r>
        <w:instrText xml:space="preserve"> HYPERLINK "https://cdn.whitbread.co.uk/media/2026/05/Whitbread-PLC-Annual-Report-and-Accounts-2025-26.pdf" \h </w:instrText>
      </w:r>
      <w:r>
        <w:fldChar w:fldCharType="separate"/>
      </w:r>
      <w:r>
        <w:rPr>
          <w:rFonts w:ascii="Arial" w:hAnsi="Arial" w:cs="Arial"/>
          <w:color w:val="0000FF"/>
          <w:u w:val="single"/>
        </w:rPr>
        <w:t>https://cdn.whitbread.co.uk/media/2026/05/Whitbread-PLC-Annual-Report-and-Accounts-2025-26.pdf</w:t>
      </w:r>
      <w:r>
        <w:rPr>
          <w:rFonts w:ascii="Arial" w:hAnsi="Arial" w:cs="Arial"/>
          <w:color w:val="0000FF"/>
          <w:u w:val="single"/>
        </w:rPr>
        <w:fldChar w:fldCharType="end"/>
      </w:r>
      <w:r>
        <w:rPr>
          <w:rFonts w:ascii="Arial" w:hAnsi="Arial" w:cs="Arial"/>
        </w:rPr>
        <w:t xml:space="preserve"> [Accessed on: 22</w:t>
      </w:r>
      <w:r>
        <w:rPr>
          <w:rFonts w:ascii="Arial" w:hAnsi="Arial" w:cs="Arial"/>
          <w:vertAlign w:val="superscript"/>
        </w:rPr>
        <w:t>nd</w:t>
      </w:r>
      <w:r>
        <w:rPr>
          <w:rFonts w:ascii="Arial" w:hAnsi="Arial" w:cs="Arial"/>
        </w:rPr>
        <w:t xml:space="preserve"> July, 2026]</w:t>
      </w:r>
    </w:p>
    <w:p w14:paraId="536EF62A">
      <w:pPr>
        <w:spacing w:before="240" w:after="240" w:line="360" w:lineRule="auto"/>
        <w:rPr>
          <w:rFonts w:ascii="Arial" w:hAnsi="Arial" w:cs="Arial"/>
        </w:rPr>
      </w:pPr>
      <w:r>
        <w:rPr>
          <w:rFonts w:ascii="Arial" w:hAnsi="Arial" w:cs="Arial"/>
          <w:highlight w:val="white"/>
        </w:rPr>
        <w:t xml:space="preserve">Zheng, X., Zhou, Y. and Iqbal, S., 2022. Working capital management of SMEs in COVID-19: role of managerial personality traits and overconfidence behavior. </w:t>
      </w:r>
      <w:r>
        <w:rPr>
          <w:rFonts w:ascii="Arial" w:hAnsi="Arial" w:cs="Arial"/>
          <w:i/>
          <w:iCs/>
          <w:highlight w:val="white"/>
        </w:rPr>
        <w:t>Economic Analysis and Policy</w:t>
      </w:r>
      <w:r>
        <w:rPr>
          <w:rFonts w:ascii="Arial" w:hAnsi="Arial" w:cs="Arial"/>
          <w:highlight w:val="white"/>
        </w:rPr>
        <w:t xml:space="preserve">, </w:t>
      </w:r>
      <w:r>
        <w:rPr>
          <w:rFonts w:ascii="Arial" w:hAnsi="Arial" w:cs="Arial"/>
          <w:i/>
          <w:iCs/>
          <w:highlight w:val="white"/>
        </w:rPr>
        <w:t>76</w:t>
      </w:r>
      <w:r>
        <w:rPr>
          <w:rFonts w:ascii="Arial" w:hAnsi="Arial" w:cs="Arial"/>
          <w:highlight w:val="white"/>
        </w:rPr>
        <w:t>, pp.439-451.</w:t>
      </w:r>
      <w:r>
        <w:rPr>
          <w:rFonts w:ascii="Arial" w:hAnsi="Arial" w:cs="Arial"/>
        </w:rPr>
        <w:t xml:space="preserve">  </w:t>
      </w:r>
      <w:r>
        <w:fldChar w:fldCharType="begin"/>
      </w:r>
      <w:r>
        <w:instrText xml:space="preserve"> HYPERLINK "https://pmc.ncbi.nlm.nih.gov/articles/PMC9381944/pdf/main.pdf" \h </w:instrText>
      </w:r>
      <w:r>
        <w:fldChar w:fldCharType="separate"/>
      </w:r>
      <w:r>
        <w:rPr>
          <w:rFonts w:ascii="Arial" w:hAnsi="Arial" w:cs="Arial"/>
          <w:color w:val="1155CC"/>
          <w:u w:val="single"/>
        </w:rPr>
        <w:t>https://pmc.ncbi.nlm.nih.gov/articles/PMC9381944/pdf/main.pdf</w:t>
      </w:r>
      <w:r>
        <w:rPr>
          <w:rFonts w:ascii="Arial" w:hAnsi="Arial" w:cs="Arial"/>
          <w:color w:val="1155CC"/>
          <w:u w:val="single"/>
        </w:rPr>
        <w:fldChar w:fldCharType="end"/>
      </w:r>
      <w:r>
        <w:rPr>
          <w:rFonts w:ascii="Arial" w:hAnsi="Arial" w:cs="Arial"/>
        </w:rPr>
        <w:t xml:space="preserve"> </w:t>
      </w:r>
    </w:p>
    <w:p w14:paraId="491704C5">
      <w:pPr>
        <w:spacing w:line="360" w:lineRule="auto"/>
        <w:rPr>
          <w:rFonts w:ascii="Arial" w:hAnsi="Arial" w:cs="Arial"/>
        </w:rPr>
      </w:pPr>
      <w:r>
        <w:rPr>
          <w:rFonts w:ascii="Arial" w:hAnsi="Arial" w:cs="Arial"/>
        </w:rPr>
        <w:br w:type="page"/>
      </w:r>
    </w:p>
    <w:p w14:paraId="37D474AF">
      <w:pPr>
        <w:pStyle w:val="2"/>
        <w:spacing w:line="360" w:lineRule="auto"/>
        <w:rPr>
          <w:rFonts w:ascii="Arial" w:hAnsi="Arial" w:cs="Arial"/>
        </w:rPr>
      </w:pPr>
      <w:bookmarkStart w:id="39" w:name="_Toc235706216"/>
      <w:r>
        <w:rPr>
          <w:rFonts w:ascii="Arial" w:hAnsi="Arial" w:cs="Arial"/>
        </w:rPr>
        <w:t>Appendix</w:t>
      </w:r>
      <w:bookmarkEnd w:id="39"/>
    </w:p>
    <w:p w14:paraId="0BA0D78E">
      <w:pPr>
        <w:spacing w:line="360" w:lineRule="auto"/>
        <w:rPr>
          <w:rFonts w:ascii="Arial" w:hAnsi="Arial" w:cs="Arial"/>
        </w:rPr>
      </w:pPr>
      <w:r>
        <w:rPr>
          <w:rFonts w:ascii="Arial" w:hAnsi="Arial" w:cs="Arial"/>
          <w:lang w:val="en-US"/>
        </w:rPr>
        <w:drawing>
          <wp:inline distT="0" distB="0" distL="114300" distR="114300">
            <wp:extent cx="967740" cy="624840"/>
            <wp:effectExtent l="0" t="0" r="0" b="0"/>
            <wp:docPr id="13" name="image1.png"/>
            <wp:cNvGraphicFramePr/>
            <a:graphic xmlns:a="http://schemas.openxmlformats.org/drawingml/2006/main">
              <a:graphicData uri="http://schemas.openxmlformats.org/drawingml/2006/picture">
                <pic:pic xmlns:pic="http://schemas.openxmlformats.org/drawingml/2006/picture">
                  <pic:nvPicPr>
                    <pic:cNvPr id="13" name="image1.png"/>
                    <pic:cNvPicPr preferRelativeResize="0"/>
                  </pic:nvPicPr>
                  <pic:blipFill>
                    <a:blip r:embed="rId19"/>
                    <a:srcRect/>
                    <a:stretch>
                      <a:fillRect/>
                    </a:stretch>
                  </pic:blipFill>
                  <pic:spPr>
                    <a:xfrm>
                      <a:off x="0" y="0"/>
                      <a:ext cx="967740" cy="624840"/>
                    </a:xfrm>
                    <a:prstGeom prst="rect">
                      <a:avLst/>
                    </a:prstGeom>
                  </pic:spPr>
                </pic:pic>
              </a:graphicData>
            </a:graphic>
          </wp:inline>
        </w:drawing>
      </w:r>
    </w:p>
    <w:sectPr>
      <w:footerReference r:id="rId5" w:type="default"/>
      <w:pgSz w:w="12240" w:h="15840"/>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embedRegular r:id="rId1" w:fontKey="{E94BF142-90B0-4738-915A-5709F2EF97D6}"/>
  </w:font>
  <w:font w:name="Arial">
    <w:panose1 w:val="020B0604020202020204"/>
    <w:charset w:val="00"/>
    <w:family w:val="swiss"/>
    <w:pitch w:val="default"/>
    <w:sig w:usb0="E0002EFF" w:usb1="C000785B" w:usb2="00000009" w:usb3="00000000" w:csb0="400001FF" w:csb1="FFFF0000"/>
    <w:embedRegular r:id="rId2" w:fontKey="{6565D040-9E88-4A1E-8956-00B21C58074B}"/>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embedRegular r:id="rId3" w:fontKey="{00893EF7-0C4A-415C-8FB0-E13D369E817F}"/>
  </w:font>
  <w:font w:name="Wingdings">
    <w:panose1 w:val="05000000000000000000"/>
    <w:charset w:val="02"/>
    <w:family w:val="auto"/>
    <w:pitch w:val="default"/>
    <w:sig w:usb0="00000000" w:usb1="00000000" w:usb2="00000000" w:usb3="00000000" w:csb0="80000000" w:csb1="00000000"/>
    <w:embedRegular r:id="rId4" w:fontKey="{6E8EE9C9-EA48-45D4-8F6D-A8F0415B1029}"/>
  </w:font>
  <w:font w:name="Calibri">
    <w:panose1 w:val="020F0502020204030204"/>
    <w:charset w:val="00"/>
    <w:family w:val="swiss"/>
    <w:pitch w:val="default"/>
    <w:sig w:usb0="E4002EFF" w:usb1="C200247B" w:usb2="00000009" w:usb3="00000000" w:csb0="200001FF" w:csb1="00000000"/>
    <w:embedRegular r:id="rId5" w:fontKey="{CDEBF45D-955A-4147-8DB2-3CFFAD2D705F}"/>
  </w:font>
  <w:font w:name="等线">
    <w:altName w:val="Microsoft YaHei"/>
    <w:panose1 w:val="00000000000000000000"/>
    <w:charset w:val="86"/>
    <w:family w:val="auto"/>
    <w:pitch w:val="default"/>
    <w:sig w:usb0="00000000" w:usb1="00000000" w:usb2="00000000" w:usb3="00000000" w:csb0="00000000" w:csb1="00000000"/>
  </w:font>
  <w:font w:name="Gungsuh">
    <w:altName w:val="Times New Roman"/>
    <w:panose1 w:val="00000000000000000000"/>
    <w:charset w:val="00"/>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545899B7">
    <w:pPr>
      <w:pBdr>
        <w:top w:val="none" w:color="auto" w:sz="0" w:space="0"/>
        <w:left w:val="none" w:color="auto" w:sz="0" w:space="0"/>
        <w:bottom w:val="none" w:color="auto" w:sz="0" w:space="0"/>
        <w:right w:val="none" w:color="auto" w:sz="0" w:space="0"/>
        <w:between w:val="none" w:color="auto" w:sz="0" w:space="0"/>
      </w:pBdr>
      <w:tabs>
        <w:tab w:val="center" w:pos="4680"/>
        <w:tab w:val="right" w:pos="9360"/>
      </w:tabs>
      <w:spacing w:line="240" w:lineRule="auto"/>
      <w:jc w:val="right"/>
      <w:rPr>
        <w:color w:val="000000"/>
        <w:sz w:val="20"/>
        <w:szCs w:val="20"/>
      </w:rPr>
    </w:pPr>
    <w:r>
      <w:rPr>
        <w:color w:val="000000"/>
        <w:sz w:val="20"/>
        <w:szCs w:val="20"/>
      </w:rPr>
      <w:fldChar w:fldCharType="begin"/>
    </w:r>
    <w:r>
      <w:rPr>
        <w:color w:val="000000"/>
        <w:sz w:val="20"/>
        <w:szCs w:val="20"/>
      </w:rPr>
      <w:instrText xml:space="preserve">PAGE</w:instrText>
    </w:r>
    <w:r>
      <w:rPr>
        <w:color w:val="000000"/>
        <w:sz w:val="20"/>
        <w:szCs w:val="20"/>
      </w:rPr>
      <w:fldChar w:fldCharType="separate"/>
    </w:r>
    <w:r>
      <w:rPr>
        <w:color w:val="000000"/>
        <w:sz w:val="20"/>
        <w:szCs w:val="20"/>
      </w:rPr>
      <w:t>1</w:t>
    </w:r>
    <w:r>
      <w:rPr>
        <w:color w:val="000000"/>
        <w:sz w:val="20"/>
        <w:szCs w:val="20"/>
      </w:rPr>
      <w:fldChar w:fldCharType="end"/>
    </w:r>
  </w:p>
  <w:p w14:paraId="5C0F2D09">
    <w:pPr>
      <w:pBdr>
        <w:top w:val="none" w:color="auto" w:sz="0" w:space="0"/>
        <w:left w:val="none" w:color="auto" w:sz="0" w:space="0"/>
        <w:bottom w:val="none" w:color="auto" w:sz="0" w:space="0"/>
        <w:right w:val="none" w:color="auto" w:sz="0" w:space="0"/>
        <w:between w:val="none" w:color="auto" w:sz="0" w:space="0"/>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76" w:lineRule="auto"/>
      </w:pPr>
      <w:r>
        <w:separator/>
      </w:r>
    </w:p>
  </w:footnote>
  <w:footnote w:type="continuationSeparator" w:id="1">
    <w:p>
      <w:pPr>
        <w:spacing w:line="276"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79"/>
  <w:embedTrueTypeFonts/>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36701"/>
    <w:rsid w:val="000035FB"/>
    <w:rsid w:val="000746E5"/>
    <w:rsid w:val="00146EFA"/>
    <w:rsid w:val="00236701"/>
    <w:rsid w:val="002733CE"/>
    <w:rsid w:val="004842F0"/>
    <w:rsid w:val="005A704E"/>
    <w:rsid w:val="0072128E"/>
    <w:rsid w:val="00AC0B50"/>
    <w:rsid w:val="00C07712"/>
    <w:rsid w:val="00C510F6"/>
    <w:rsid w:val="00F006E2"/>
    <w:rsid w:val="6FB5167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imes New Roma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unhideWhenUsed="0" w:uiPriority="0" w:semiHidden="0" w:name="heading 2"/>
    <w:lsdException w:unhideWhenUsed="0" w:uiPriority="0" w:semiHidden="0" w:name="heading 3"/>
    <w:lsdException w:qFormat="1" w:unhideWhenUsed="0" w:uiPriority="0" w:semiHidden="0" w:name="heading 4"/>
    <w:lsdException w:unhideWhenUsed="0" w:uiPriority="0" w:semiHidden="0" w:name="heading 5"/>
    <w:lsdException w:unhideWhenUsed="0" w:uiPriority="0" w:semiHidden="0"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unhideWhenUsed="0" w:uiPriority="0"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276" w:lineRule="auto"/>
      <w:jc w:val="both"/>
    </w:pPr>
    <w:rPr>
      <w:rFonts w:ascii="Times New Roman" w:hAnsi="Times New Roman" w:eastAsia="Times New Roman" w:cs="Times New Roman"/>
      <w:sz w:val="24"/>
      <w:szCs w:val="24"/>
      <w:lang w:val="en" w:eastAsia="en-US" w:bidi="ar-SA"/>
    </w:rPr>
  </w:style>
  <w:style w:type="paragraph" w:styleId="2">
    <w:name w:val="heading 1"/>
    <w:basedOn w:val="1"/>
    <w:next w:val="1"/>
    <w:qFormat/>
    <w:uiPriority w:val="0"/>
    <w:pPr>
      <w:keepNext/>
      <w:keepLines/>
      <w:outlineLvl w:val="0"/>
    </w:pPr>
    <w:rPr>
      <w:b/>
      <w:bCs/>
      <w:sz w:val="28"/>
      <w:szCs w:val="28"/>
    </w:rPr>
  </w:style>
  <w:style w:type="paragraph" w:styleId="3">
    <w:name w:val="heading 2"/>
    <w:basedOn w:val="1"/>
    <w:next w:val="1"/>
    <w:uiPriority w:val="0"/>
    <w:pPr>
      <w:keepNext/>
      <w:keepLines/>
      <w:outlineLvl w:val="1"/>
    </w:pPr>
    <w:rPr>
      <w:b/>
      <w:bCs/>
      <w:sz w:val="26"/>
      <w:szCs w:val="26"/>
    </w:rPr>
  </w:style>
  <w:style w:type="paragraph" w:styleId="4">
    <w:name w:val="heading 3"/>
    <w:basedOn w:val="1"/>
    <w:next w:val="1"/>
    <w:uiPriority w:val="0"/>
    <w:pPr>
      <w:keepNext/>
      <w:keepLines/>
      <w:outlineLvl w:val="2"/>
    </w:pPr>
    <w:rPr>
      <w:b/>
      <w:bCs/>
      <w:i/>
      <w:iCs/>
    </w:rPr>
  </w:style>
  <w:style w:type="paragraph" w:styleId="5">
    <w:name w:val="heading 4"/>
    <w:basedOn w:val="1"/>
    <w:next w:val="1"/>
    <w:qFormat/>
    <w:uiPriority w:val="0"/>
    <w:pPr>
      <w:keepNext/>
      <w:keepLines/>
      <w:spacing w:before="280" w:after="80"/>
      <w:outlineLvl w:val="3"/>
    </w:pPr>
    <w:rPr>
      <w:color w:val="666666"/>
    </w:rPr>
  </w:style>
  <w:style w:type="paragraph" w:styleId="6">
    <w:name w:val="heading 5"/>
    <w:basedOn w:val="1"/>
    <w:next w:val="1"/>
    <w:uiPriority w:val="0"/>
    <w:pPr>
      <w:keepNext/>
      <w:keepLines/>
      <w:spacing w:before="240" w:after="80"/>
      <w:outlineLvl w:val="4"/>
    </w:pPr>
    <w:rPr>
      <w:color w:val="666666"/>
      <w:sz w:val="22"/>
      <w:szCs w:val="22"/>
    </w:rPr>
  </w:style>
  <w:style w:type="paragraph" w:styleId="7">
    <w:name w:val="heading 6"/>
    <w:basedOn w:val="1"/>
    <w:next w:val="1"/>
    <w:uiPriority w:val="0"/>
    <w:pPr>
      <w:keepNext/>
      <w:keepLines/>
      <w:spacing w:before="240" w:after="80"/>
      <w:outlineLvl w:val="5"/>
    </w:pPr>
    <w:rPr>
      <w:i/>
      <w:iCs/>
      <w:color w:val="666666"/>
      <w:sz w:val="22"/>
      <w:szCs w:val="22"/>
    </w:rPr>
  </w:style>
  <w:style w:type="character" w:default="1" w:styleId="8">
    <w:name w:val="Default Paragraph Font"/>
    <w:semiHidden/>
    <w:unhideWhenUsed/>
    <w:qFormat/>
    <w:uiPriority w:val="1"/>
  </w:style>
  <w:style w:type="table" w:default="1" w:styleId="9">
    <w:name w:val="Normal Table"/>
    <w:semiHidden/>
    <w:unhideWhenUsed/>
    <w:uiPriority w:val="99"/>
    <w:tblPr>
      <w:tblCellMar>
        <w:top w:w="0" w:type="dxa"/>
        <w:left w:w="108" w:type="dxa"/>
        <w:bottom w:w="0" w:type="dxa"/>
        <w:right w:w="108" w:type="dxa"/>
      </w:tblCellMar>
    </w:tblPr>
  </w:style>
  <w:style w:type="character" w:styleId="10">
    <w:name w:val="Hyperlink"/>
    <w:basedOn w:val="8"/>
    <w:unhideWhenUsed/>
    <w:qFormat/>
    <w:uiPriority w:val="99"/>
    <w:rPr>
      <w:color w:val="0000FF" w:themeColor="hyperlink"/>
      <w:u w:val="single"/>
      <w14:textFill>
        <w14:solidFill>
          <w14:schemeClr w14:val="hlink"/>
        </w14:solidFill>
      </w14:textFill>
    </w:rPr>
  </w:style>
  <w:style w:type="paragraph" w:styleId="11">
    <w:name w:val="Subtitle"/>
    <w:basedOn w:val="1"/>
    <w:next w:val="1"/>
    <w:uiPriority w:val="0"/>
    <w:pPr>
      <w:keepNext/>
      <w:keepLines/>
      <w:spacing w:after="320"/>
    </w:pPr>
    <w:rPr>
      <w:rFonts w:ascii="Arial" w:hAnsi="Arial" w:eastAsia="Arial" w:cs="Arial"/>
      <w:color w:val="666666"/>
      <w:sz w:val="30"/>
      <w:szCs w:val="30"/>
    </w:rPr>
  </w:style>
  <w:style w:type="paragraph" w:styleId="12">
    <w:name w:val="Title"/>
    <w:basedOn w:val="1"/>
    <w:next w:val="1"/>
    <w:qFormat/>
    <w:uiPriority w:val="0"/>
    <w:pPr>
      <w:keepNext/>
      <w:keepLines/>
      <w:jc w:val="center"/>
    </w:pPr>
    <w:rPr>
      <w:b/>
      <w:bCs/>
      <w:sz w:val="32"/>
      <w:szCs w:val="32"/>
    </w:rPr>
  </w:style>
  <w:style w:type="paragraph" w:styleId="13">
    <w:name w:val="toc 1"/>
    <w:basedOn w:val="1"/>
    <w:next w:val="1"/>
    <w:autoRedefine/>
    <w:unhideWhenUsed/>
    <w:qFormat/>
    <w:uiPriority w:val="39"/>
    <w:pPr>
      <w:spacing w:after="100"/>
    </w:pPr>
  </w:style>
  <w:style w:type="paragraph" w:styleId="14">
    <w:name w:val="toc 2"/>
    <w:basedOn w:val="1"/>
    <w:next w:val="1"/>
    <w:autoRedefine/>
    <w:unhideWhenUsed/>
    <w:qFormat/>
    <w:uiPriority w:val="39"/>
    <w:pPr>
      <w:spacing w:after="100"/>
      <w:ind w:left="240"/>
    </w:pPr>
  </w:style>
  <w:style w:type="table" w:customStyle="1" w:styleId="15">
    <w:name w:val="TableNormal"/>
    <w:uiPriority w:val="0"/>
    <w:tblPr>
      <w:tblCellMar>
        <w:top w:w="100" w:type="dxa"/>
        <w:left w:w="100" w:type="dxa"/>
        <w:bottom w:w="100" w:type="dxa"/>
        <w:right w:w="100" w:type="dxa"/>
      </w:tblCellMar>
    </w:tblPr>
  </w:style>
  <w:style w:type="table" w:customStyle="1" w:styleId="16">
    <w:name w:val="_Style 12"/>
    <w:basedOn w:val="15"/>
    <w:uiPriority w:val="0"/>
  </w:style>
  <w:style w:type="table" w:customStyle="1" w:styleId="17">
    <w:name w:val="_Style 13"/>
    <w:basedOn w:val="15"/>
    <w:qFormat/>
    <w:uiPriority w:val="0"/>
  </w:style>
  <w:style w:type="table" w:customStyle="1" w:styleId="18">
    <w:name w:val="_Style 14"/>
    <w:basedOn w:val="15"/>
    <w:qFormat/>
    <w:uiPriority w:val="0"/>
  </w:style>
  <w:style w:type="table" w:customStyle="1" w:styleId="19">
    <w:name w:val="_Style 15"/>
    <w:basedOn w:val="15"/>
    <w:qFormat/>
    <w:uiPriority w:val="0"/>
  </w:style>
  <w:style w:type="table" w:customStyle="1" w:styleId="20">
    <w:name w:val="_Style 16"/>
    <w:basedOn w:val="15"/>
    <w:qFormat/>
    <w:uiPriority w:val="0"/>
  </w:style>
  <w:style w:type="table" w:customStyle="1" w:styleId="21">
    <w:name w:val="_Style 17"/>
    <w:basedOn w:val="15"/>
    <w:qFormat/>
    <w:uiPriority w:val="0"/>
  </w:style>
  <w:style w:type="table" w:customStyle="1" w:styleId="22">
    <w:name w:val="_Style 18"/>
    <w:basedOn w:val="15"/>
    <w:uiPriority w:val="0"/>
  </w:style>
  <w:style w:type="table" w:customStyle="1" w:styleId="23">
    <w:name w:val="_Style 19"/>
    <w:basedOn w:val="15"/>
    <w:qFormat/>
    <w:uiPriority w:val="0"/>
  </w:style>
  <w:style w:type="character" w:customStyle="1" w:styleId="24">
    <w:name w:val="cursor-pointer"/>
    <w:basedOn w:val="8"/>
    <w:qFormat/>
    <w:uiPriority w:val="0"/>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1" Type="http://schemas.openxmlformats.org/officeDocument/2006/relationships/fontTable" Target="fontTable.xml"/><Relationship Id="rId20" Type="http://schemas.openxmlformats.org/officeDocument/2006/relationships/customXml" Target="../customXml/item1.xml"/><Relationship Id="rId2" Type="http://schemas.openxmlformats.org/officeDocument/2006/relationships/settings" Target="settings.xml"/><Relationship Id="rId19" Type="http://schemas.openxmlformats.org/officeDocument/2006/relationships/image" Target="media/image13.png"/><Relationship Id="rId18" Type="http://schemas.openxmlformats.org/officeDocument/2006/relationships/image" Target="media/image12.png"/><Relationship Id="rId17" Type="http://schemas.openxmlformats.org/officeDocument/2006/relationships/image" Target="media/image11.png"/><Relationship Id="rId16" Type="http://schemas.openxmlformats.org/officeDocument/2006/relationships/image" Target="media/image10.png"/><Relationship Id="rId15" Type="http://schemas.openxmlformats.org/officeDocument/2006/relationships/image" Target="media/image9.png"/><Relationship Id="rId14" Type="http://schemas.openxmlformats.org/officeDocument/2006/relationships/image" Target="media/image8.png"/><Relationship Id="rId13" Type="http://schemas.openxmlformats.org/officeDocument/2006/relationships/image" Target="media/image7.png"/><Relationship Id="rId12" Type="http://schemas.openxmlformats.org/officeDocument/2006/relationships/image" Target="media/image6.png"/><Relationship Id="rId11" Type="http://schemas.openxmlformats.org/officeDocument/2006/relationships/image" Target="media/image5.png"/><Relationship Id="rId10" Type="http://schemas.openxmlformats.org/officeDocument/2006/relationships/image" Target="media/image4.png"/><Relationship Id="rId1" Type="http://schemas.openxmlformats.org/officeDocument/2006/relationships/styles" Target="styles.xml"/></Relationships>
</file>

<file path=word/_rels/fontTable.xml.rels><?xml version="1.0" encoding="UTF-8" standalone="yes"?>
<Relationships xmlns="http://schemas.openxmlformats.org/package/2006/relationships"><Relationship Id="rId5" Type="http://schemas.openxmlformats.org/officeDocument/2006/relationships/font" Target="fonts/font5.odttf"/><Relationship Id="rId4" Type="http://schemas.openxmlformats.org/officeDocument/2006/relationships/font" Target="fonts/font4.odttf"/><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8DzqcUGCi6Yywx/zvjQKL5sSSQg==">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</go:docsCustomData>
</go:gDocsCustomXmlDataStorage>
</file>

<file path=customXml/itemProps1.xml><?xml version="1.0" encoding="utf-8"?>
<ds:datastoreItem xmlns:ds="http://schemas.openxmlformats.org/officeDocument/2006/customXml" ds:itemID="{11111111-1234-1234-1234-123412341234}">
  <ds:schemaRefs/>
</ds:datastoreItem>
</file>

<file path=docProps/app.xml><?xml version="1.0" encoding="utf-8"?>
<Properties xmlns="http://schemas.openxmlformats.org/officeDocument/2006/extended-properties" xmlns:vt="http://schemas.openxmlformats.org/officeDocument/2006/docPropsVTypes">
  <Template>Normal</Template>
  <Pages>35</Pages>
  <Words>7801</Words>
  <Characters>44470</Characters>
  <Lines>370</Lines>
  <Paragraphs>104</Paragraphs>
  <TotalTime>3</TotalTime>
  <ScaleCrop>false</ScaleCrop>
  <LinksUpToDate>false</LinksUpToDate>
  <CharactersWithSpaces>52167</CharactersWithSpaces>
  <Application>WPS Office_12.2.0.23206_F1E327BC-269C-435d-A152-05C5408002CA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2026-07-23T07:52:00Z</dcterms:created>
  <dc:creator>mense</dc:creator>
  <cp:lastModifiedBy>divya gupta</cp:lastModifiedBy>
  <dcterms:modified xsi:type="dcterms:W3CDTF">2026-07-24T08:46:26Z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22a25a36-dc99-4e03-94b9-62909eeb1cc8</vt:lpwstr>
  </property>
  <property fmtid="{D5CDD505-2E9C-101B-9397-08002B2CF9AE}" pid="3" name="KSOProductBuildVer">
    <vt:lpwstr>2057-12.2.0.23206</vt:lpwstr>
  </property>
  <property fmtid="{D5CDD505-2E9C-101B-9397-08002B2CF9AE}" pid="4" name="ICV">
    <vt:lpwstr>8816DC3619F143C598CFB16514444F22_13</vt:lpwstr>
  </property>
</Properties>
</file>