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4D1" w:rsidRDefault="00B44FCD" w:rsidP="00B44FCD">
      <w:pPr>
        <w:jc w:val="center"/>
        <w:rPr>
          <w:rFonts w:ascii="Arial" w:hAnsi="Arial" w:cs="Arial"/>
          <w:b/>
          <w:sz w:val="24"/>
          <w:szCs w:val="24"/>
          <w:u w:val="single"/>
        </w:rPr>
      </w:pPr>
      <w:r>
        <w:rPr>
          <w:rFonts w:ascii="Arial" w:hAnsi="Arial" w:cs="Arial"/>
          <w:b/>
          <w:sz w:val="24"/>
          <w:szCs w:val="24"/>
          <w:u w:val="single"/>
        </w:rPr>
        <w:t>Integrating the ESDGC within the Early Years</w:t>
      </w:r>
    </w:p>
    <w:p w:rsidR="00B44FCD" w:rsidRDefault="00B44FCD" w:rsidP="001A3170">
      <w:pPr>
        <w:jc w:val="both"/>
        <w:rPr>
          <w:rFonts w:ascii="Arial" w:hAnsi="Arial" w:cs="Arial"/>
          <w:sz w:val="24"/>
          <w:szCs w:val="24"/>
        </w:rPr>
      </w:pPr>
      <w:r w:rsidRPr="001A3170">
        <w:rPr>
          <w:rFonts w:ascii="Arial" w:hAnsi="Arial" w:cs="Arial"/>
          <w:b/>
          <w:sz w:val="24"/>
          <w:szCs w:val="24"/>
        </w:rPr>
        <w:t>Introduction</w:t>
      </w:r>
      <w:r w:rsidR="001A3170">
        <w:rPr>
          <w:rFonts w:ascii="Arial" w:hAnsi="Arial" w:cs="Arial"/>
          <w:b/>
          <w:sz w:val="24"/>
          <w:szCs w:val="24"/>
        </w:rPr>
        <w:br/>
      </w:r>
      <w:r>
        <w:rPr>
          <w:rFonts w:ascii="Arial" w:hAnsi="Arial" w:cs="Arial"/>
          <w:sz w:val="24"/>
          <w:szCs w:val="24"/>
        </w:rPr>
        <w:t xml:space="preserve">Within this article, there will be critical analysis of the opportunities and challenges with regards to integrating the </w:t>
      </w:r>
      <w:r w:rsidR="001A3170">
        <w:rPr>
          <w:rFonts w:ascii="Arial" w:hAnsi="Arial" w:cs="Arial"/>
          <w:sz w:val="24"/>
          <w:szCs w:val="24"/>
        </w:rPr>
        <w:t>Education for Sustainable Development and Global Citizenship (</w:t>
      </w:r>
      <w:r>
        <w:rPr>
          <w:rFonts w:ascii="Arial" w:hAnsi="Arial" w:cs="Arial"/>
          <w:sz w:val="24"/>
          <w:szCs w:val="24"/>
        </w:rPr>
        <w:t>ESDGC</w:t>
      </w:r>
      <w:r w:rsidR="001A3170">
        <w:rPr>
          <w:rFonts w:ascii="Arial" w:hAnsi="Arial" w:cs="Arial"/>
          <w:sz w:val="24"/>
          <w:szCs w:val="24"/>
        </w:rPr>
        <w:t>)</w:t>
      </w:r>
      <w:r>
        <w:rPr>
          <w:rFonts w:ascii="Arial" w:hAnsi="Arial" w:cs="Arial"/>
          <w:sz w:val="24"/>
          <w:szCs w:val="24"/>
        </w:rPr>
        <w:t xml:space="preserve"> within early years practice, with links to theory and educational curriculum’s within a variety of different settings. </w:t>
      </w:r>
      <w:r w:rsidR="001A3170">
        <w:rPr>
          <w:rFonts w:ascii="Arial" w:hAnsi="Arial" w:cs="Arial"/>
          <w:sz w:val="24"/>
          <w:szCs w:val="24"/>
        </w:rPr>
        <w:t>The principles and ethos of the ESDGC will be analysed and evaluated, with comparative research on the ESDGC action</w:t>
      </w:r>
      <w:r w:rsidR="00B62B1D">
        <w:rPr>
          <w:rFonts w:ascii="Arial" w:hAnsi="Arial" w:cs="Arial"/>
          <w:sz w:val="24"/>
          <w:szCs w:val="24"/>
        </w:rPr>
        <w:t>s</w:t>
      </w:r>
      <w:r w:rsidR="001A3170">
        <w:rPr>
          <w:rFonts w:ascii="Arial" w:hAnsi="Arial" w:cs="Arial"/>
          <w:sz w:val="24"/>
          <w:szCs w:val="24"/>
        </w:rPr>
        <w:t xml:space="preserve"> within Wales compared to that of other countries. </w:t>
      </w:r>
    </w:p>
    <w:p w:rsidR="002D537A" w:rsidRPr="00AC2BA0" w:rsidRDefault="002D537A" w:rsidP="001A3170">
      <w:pPr>
        <w:jc w:val="both"/>
        <w:rPr>
          <w:rFonts w:ascii="Arial" w:hAnsi="Arial" w:cs="Arial"/>
          <w:b/>
          <w:sz w:val="24"/>
          <w:szCs w:val="24"/>
        </w:rPr>
      </w:pPr>
      <w:r w:rsidRPr="00AC2BA0">
        <w:rPr>
          <w:rFonts w:ascii="Arial" w:hAnsi="Arial" w:cs="Arial"/>
          <w:b/>
          <w:sz w:val="24"/>
          <w:szCs w:val="24"/>
        </w:rPr>
        <w:t>The principles and ethos of ESDGC</w:t>
      </w:r>
      <w:r w:rsidR="00AC2BA0" w:rsidRPr="00AC2BA0">
        <w:rPr>
          <w:rFonts w:ascii="Arial" w:hAnsi="Arial" w:cs="Arial"/>
          <w:b/>
          <w:sz w:val="24"/>
          <w:szCs w:val="24"/>
        </w:rPr>
        <w:t xml:space="preserve"> and how the Foundation Phase and Eco-Schools link to the ESDGC.</w:t>
      </w:r>
    </w:p>
    <w:p w:rsidR="002D537A" w:rsidRDefault="002D537A" w:rsidP="001A3170">
      <w:pPr>
        <w:jc w:val="both"/>
        <w:rPr>
          <w:rFonts w:ascii="Arial" w:hAnsi="Arial" w:cs="Arial"/>
          <w:sz w:val="24"/>
          <w:szCs w:val="24"/>
        </w:rPr>
      </w:pPr>
      <w:r>
        <w:rPr>
          <w:rFonts w:ascii="Arial" w:hAnsi="Arial" w:cs="Arial"/>
          <w:sz w:val="24"/>
          <w:szCs w:val="24"/>
        </w:rPr>
        <w:t>According to the Wel</w:t>
      </w:r>
      <w:r w:rsidR="00FD032B">
        <w:rPr>
          <w:rFonts w:ascii="Arial" w:hAnsi="Arial" w:cs="Arial"/>
          <w:sz w:val="24"/>
          <w:szCs w:val="24"/>
        </w:rPr>
        <w:t>sh Assembly Government (2008), t</w:t>
      </w:r>
      <w:r>
        <w:rPr>
          <w:rFonts w:ascii="Arial" w:hAnsi="Arial" w:cs="Arial"/>
          <w:sz w:val="24"/>
          <w:szCs w:val="24"/>
        </w:rPr>
        <w:t xml:space="preserve">he </w:t>
      </w:r>
      <w:r w:rsidR="00FD032B">
        <w:rPr>
          <w:rFonts w:ascii="Arial" w:hAnsi="Arial" w:cs="Arial"/>
          <w:sz w:val="24"/>
          <w:szCs w:val="24"/>
        </w:rPr>
        <w:t xml:space="preserve">purpose of </w:t>
      </w:r>
      <w:r>
        <w:rPr>
          <w:rFonts w:ascii="Arial" w:hAnsi="Arial" w:cs="Arial"/>
          <w:sz w:val="24"/>
          <w:szCs w:val="24"/>
        </w:rPr>
        <w:t xml:space="preserve">ESDGC </w:t>
      </w:r>
      <w:r w:rsidR="00FD032B">
        <w:rPr>
          <w:rFonts w:ascii="Arial" w:hAnsi="Arial" w:cs="Arial"/>
          <w:sz w:val="24"/>
          <w:szCs w:val="24"/>
        </w:rPr>
        <w:t xml:space="preserve">is to ensure the correct care and attention is given to planet earth, how choices can affect people and the future, as well as the economy. The aim of the ESDGC is to educate and implement sustainable decisions, which have an important link to the future. </w:t>
      </w:r>
    </w:p>
    <w:p w:rsidR="00AD5389" w:rsidRPr="00AD5389" w:rsidRDefault="00AD5389" w:rsidP="001A3170">
      <w:pPr>
        <w:jc w:val="both"/>
        <w:rPr>
          <w:rFonts w:ascii="Arial" w:hAnsi="Arial" w:cs="Arial"/>
          <w:b/>
          <w:sz w:val="24"/>
          <w:szCs w:val="24"/>
          <w:u w:val="single"/>
        </w:rPr>
      </w:pPr>
      <w:r w:rsidRPr="00AD5389">
        <w:rPr>
          <w:b/>
          <w:noProof/>
          <w:u w:val="single"/>
          <w:lang w:eastAsia="en-GB"/>
        </w:rPr>
        <w:drawing>
          <wp:anchor distT="0" distB="0" distL="114300" distR="114300" simplePos="0" relativeHeight="251660288" behindDoc="0" locked="0" layoutInCell="1" allowOverlap="1" wp14:anchorId="7B39A73B" wp14:editId="6DD17140">
            <wp:simplePos x="0" y="0"/>
            <wp:positionH relativeFrom="page">
              <wp:posOffset>742950</wp:posOffset>
            </wp:positionH>
            <wp:positionV relativeFrom="paragraph">
              <wp:posOffset>300355</wp:posOffset>
            </wp:positionV>
            <wp:extent cx="3018790" cy="19132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8751" t="28606" r="27876" b="22504"/>
                    <a:stretch/>
                  </pic:blipFill>
                  <pic:spPr bwMode="auto">
                    <a:xfrm>
                      <a:off x="0" y="0"/>
                      <a:ext cx="3018790" cy="1913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5389">
        <w:rPr>
          <w:rFonts w:ascii="Arial" w:hAnsi="Arial" w:cs="Arial"/>
          <w:b/>
          <w:sz w:val="24"/>
          <w:szCs w:val="24"/>
          <w:u w:val="single"/>
        </w:rPr>
        <w:t>Figure 1</w:t>
      </w:r>
    </w:p>
    <w:p w:rsidR="00AD5389" w:rsidRDefault="007238DB" w:rsidP="001A3170">
      <w:pPr>
        <w:jc w:val="both"/>
        <w:rPr>
          <w:rFonts w:ascii="Arial" w:hAnsi="Arial" w:cs="Arial"/>
          <w:sz w:val="24"/>
          <w:szCs w:val="24"/>
        </w:rPr>
      </w:pPr>
      <w:r>
        <w:rPr>
          <w:rFonts w:ascii="Arial" w:hAnsi="Arial" w:cs="Arial"/>
          <w:sz w:val="24"/>
          <w:szCs w:val="24"/>
        </w:rPr>
        <w:t xml:space="preserve">   </w:t>
      </w:r>
      <w:r w:rsidR="00AD5389" w:rsidRPr="00AD5389">
        <w:rPr>
          <w:rFonts w:ascii="Arial" w:hAnsi="Arial" w:cs="Arial"/>
          <w:sz w:val="24"/>
          <w:szCs w:val="24"/>
        </w:rPr>
        <w:t>(Welsh Assembly Government, 2008)</w:t>
      </w:r>
    </w:p>
    <w:p w:rsidR="00AD5389" w:rsidRDefault="00AD5389" w:rsidP="001A3170">
      <w:pPr>
        <w:jc w:val="both"/>
        <w:rPr>
          <w:rFonts w:ascii="Arial" w:hAnsi="Arial" w:cs="Arial"/>
          <w:sz w:val="24"/>
          <w:szCs w:val="24"/>
        </w:rPr>
      </w:pPr>
      <w:r>
        <w:rPr>
          <w:rFonts w:ascii="Arial" w:hAnsi="Arial" w:cs="Arial"/>
          <w:sz w:val="24"/>
          <w:szCs w:val="24"/>
        </w:rPr>
        <w:t xml:space="preserve">As you can see within figure 1, the ESDGC has seven themes, which are wealth and poverty, consumption and </w:t>
      </w:r>
      <w:r>
        <w:rPr>
          <w:rFonts w:ascii="Arial" w:hAnsi="Arial" w:cs="Arial"/>
          <w:sz w:val="24"/>
          <w:szCs w:val="24"/>
        </w:rPr>
        <w:lastRenderedPageBreak/>
        <w:t xml:space="preserve">waste, health, the natural environment, climate change, choices and decisions, and identity and culture. </w:t>
      </w:r>
      <w:r w:rsidR="0083109C">
        <w:rPr>
          <w:rFonts w:ascii="Arial" w:hAnsi="Arial" w:cs="Arial"/>
          <w:sz w:val="24"/>
          <w:szCs w:val="24"/>
        </w:rPr>
        <w:t xml:space="preserve">Bamber et al. (2016) explained that all of the seven themes interlink and within educational settings, there should be an interdisciplinary approach to linking the seven themes of the ESDGC to daily practice, ensuring that early </w:t>
      </w:r>
      <w:r w:rsidR="00B074CB">
        <w:rPr>
          <w:rFonts w:ascii="Arial" w:hAnsi="Arial" w:cs="Arial"/>
          <w:sz w:val="24"/>
          <w:szCs w:val="24"/>
        </w:rPr>
        <w:t>year’s</w:t>
      </w:r>
      <w:r w:rsidR="0083109C">
        <w:rPr>
          <w:rFonts w:ascii="Arial" w:hAnsi="Arial" w:cs="Arial"/>
          <w:sz w:val="24"/>
          <w:szCs w:val="24"/>
        </w:rPr>
        <w:t xml:space="preserve"> practitioners educate children with regards to any</w:t>
      </w:r>
      <w:r w:rsidR="007238DB">
        <w:rPr>
          <w:rFonts w:ascii="Arial" w:hAnsi="Arial" w:cs="Arial"/>
          <w:sz w:val="24"/>
          <w:szCs w:val="24"/>
        </w:rPr>
        <w:t>thing relating to ESDGC</w:t>
      </w:r>
      <w:r w:rsidR="0083109C">
        <w:rPr>
          <w:rFonts w:ascii="Arial" w:hAnsi="Arial" w:cs="Arial"/>
          <w:sz w:val="24"/>
          <w:szCs w:val="24"/>
        </w:rPr>
        <w:t xml:space="preserve"> within the setting. Estyn (2013) agreed with Bamber et al. (2016) and stated that </w:t>
      </w:r>
      <w:r w:rsidR="006C02A3">
        <w:rPr>
          <w:rFonts w:ascii="Arial" w:hAnsi="Arial" w:cs="Arial"/>
          <w:sz w:val="24"/>
          <w:szCs w:val="24"/>
        </w:rPr>
        <w:t xml:space="preserve">there is an interconnectedness between all seven themes, and explained that the ethos of the ESDGC is not to be an added subject, but to be integrated throughout each subject within educational settings, which can then be implemented within daily life tasks, which will give a positive outlook on the future. </w:t>
      </w:r>
    </w:p>
    <w:p w:rsidR="0023106C" w:rsidRDefault="00BF438A" w:rsidP="001A3170">
      <w:pPr>
        <w:jc w:val="both"/>
        <w:rPr>
          <w:rFonts w:ascii="Arial" w:hAnsi="Arial" w:cs="Arial"/>
          <w:sz w:val="24"/>
          <w:szCs w:val="24"/>
        </w:rPr>
      </w:pPr>
      <w:r>
        <w:rPr>
          <w:rFonts w:ascii="Arial" w:hAnsi="Arial" w:cs="Arial"/>
          <w:sz w:val="24"/>
          <w:szCs w:val="24"/>
        </w:rPr>
        <w:t xml:space="preserve">Caerphilly Council (2009) stated that the ESDGC can be easily implemented into the Foundation Phase framework, explaining that the aims of the Foundation Phase closely relate to the themes of the ESDGC. </w:t>
      </w:r>
      <w:r w:rsidR="00B6417E">
        <w:rPr>
          <w:rFonts w:ascii="Arial" w:hAnsi="Arial" w:cs="Arial"/>
          <w:sz w:val="24"/>
          <w:szCs w:val="24"/>
        </w:rPr>
        <w:t xml:space="preserve">The Welsh Government (2015) stated that within the Foundation phase framework, </w:t>
      </w:r>
      <w:r w:rsidR="008906E1">
        <w:rPr>
          <w:rFonts w:ascii="Arial" w:hAnsi="Arial" w:cs="Arial"/>
          <w:sz w:val="24"/>
          <w:szCs w:val="24"/>
        </w:rPr>
        <w:t xml:space="preserve">experiential learning </w:t>
      </w:r>
      <w:r w:rsidR="00D823DE">
        <w:rPr>
          <w:rFonts w:ascii="Arial" w:hAnsi="Arial" w:cs="Arial"/>
          <w:sz w:val="24"/>
          <w:szCs w:val="24"/>
        </w:rPr>
        <w:t xml:space="preserve">is promoted, as well as outdoor learning. These are mentioned by the Welsh Assembly Government (2008) as activities that can be used to promote the ESDGC. </w:t>
      </w:r>
      <w:r w:rsidR="0022754F">
        <w:rPr>
          <w:rFonts w:ascii="Arial" w:hAnsi="Arial" w:cs="Arial"/>
          <w:sz w:val="24"/>
          <w:szCs w:val="24"/>
        </w:rPr>
        <w:t xml:space="preserve">According to Bower (2014), Dewey’s experiential learning model (1938) is a widely followed theory, which is explained as having four aspects of education, which are the social environment, </w:t>
      </w:r>
      <w:r w:rsidR="008F1E2B">
        <w:rPr>
          <w:rFonts w:ascii="Arial" w:hAnsi="Arial" w:cs="Arial"/>
          <w:sz w:val="24"/>
          <w:szCs w:val="24"/>
        </w:rPr>
        <w:t xml:space="preserve">the knowledge and content of the organisation, the learner’s readiness and experience, and learning outcomes. </w:t>
      </w:r>
      <w:r w:rsidR="007430DF">
        <w:rPr>
          <w:rFonts w:ascii="Arial" w:hAnsi="Arial" w:cs="Arial"/>
          <w:sz w:val="24"/>
          <w:szCs w:val="24"/>
        </w:rPr>
        <w:t xml:space="preserve">Ozar (2015) followed on from this to state that Dewey believed that children learn from </w:t>
      </w:r>
      <w:r w:rsidR="007430DF">
        <w:rPr>
          <w:rFonts w:ascii="Arial" w:hAnsi="Arial" w:cs="Arial"/>
          <w:sz w:val="24"/>
          <w:szCs w:val="24"/>
        </w:rPr>
        <w:lastRenderedPageBreak/>
        <w:t>experience, and by having the independence to choose something that the child finds appealing will result in optimum learning and development.</w:t>
      </w:r>
      <w:r w:rsidR="006B1859" w:rsidRPr="006B1859">
        <w:rPr>
          <w:rFonts w:ascii="Arial" w:hAnsi="Arial" w:cs="Arial"/>
          <w:bCs/>
          <w:sz w:val="24"/>
          <w:szCs w:val="24"/>
        </w:rPr>
        <w:t xml:space="preserve"> Barrouillet</w:t>
      </w:r>
      <w:r w:rsidR="006B1859">
        <w:rPr>
          <w:rFonts w:ascii="Arial" w:hAnsi="Arial" w:cs="Arial"/>
          <w:bCs/>
          <w:sz w:val="24"/>
          <w:szCs w:val="24"/>
        </w:rPr>
        <w:t xml:space="preserve"> (2015) mentioned that Piaget agreed with Dewey’s theory and believed that </w:t>
      </w:r>
      <w:r w:rsidR="005A200F">
        <w:rPr>
          <w:rFonts w:ascii="Arial" w:hAnsi="Arial" w:cs="Arial"/>
          <w:bCs/>
          <w:sz w:val="24"/>
          <w:szCs w:val="24"/>
        </w:rPr>
        <w:t>children were lone scientists</w:t>
      </w:r>
      <w:r w:rsidR="00B62B1D">
        <w:rPr>
          <w:rFonts w:ascii="Arial" w:hAnsi="Arial" w:cs="Arial"/>
          <w:bCs/>
          <w:sz w:val="24"/>
          <w:szCs w:val="24"/>
        </w:rPr>
        <w:t>,</w:t>
      </w:r>
      <w:r w:rsidR="005A200F">
        <w:rPr>
          <w:rFonts w:ascii="Arial" w:hAnsi="Arial" w:cs="Arial"/>
          <w:bCs/>
          <w:sz w:val="24"/>
          <w:szCs w:val="24"/>
        </w:rPr>
        <w:t xml:space="preserve"> and by having the opportunity to discover and experiment, provided the children with an increased rate of developmental learning. </w:t>
      </w:r>
      <w:r w:rsidR="00F218AD">
        <w:rPr>
          <w:rFonts w:ascii="Arial" w:hAnsi="Arial" w:cs="Arial"/>
          <w:sz w:val="24"/>
          <w:szCs w:val="24"/>
        </w:rPr>
        <w:t xml:space="preserve">However, Heinrich et al. (2015) stated that due to the children undertaking their own experiential learning, the early </w:t>
      </w:r>
      <w:r w:rsidR="00B074CB">
        <w:rPr>
          <w:rFonts w:ascii="Arial" w:hAnsi="Arial" w:cs="Arial"/>
          <w:sz w:val="24"/>
          <w:szCs w:val="24"/>
        </w:rPr>
        <w:t>year’s</w:t>
      </w:r>
      <w:r w:rsidR="00F218AD">
        <w:rPr>
          <w:rFonts w:ascii="Arial" w:hAnsi="Arial" w:cs="Arial"/>
          <w:sz w:val="24"/>
          <w:szCs w:val="24"/>
        </w:rPr>
        <w:t xml:space="preserve"> practitioners are there to scaffold their learning when needed. They follow on from this to explain that Vygotsky’s theory of the Zone of Proximal Development is explored with</w:t>
      </w:r>
      <w:r w:rsidR="0023106C">
        <w:rPr>
          <w:rFonts w:ascii="Arial" w:hAnsi="Arial" w:cs="Arial"/>
          <w:sz w:val="24"/>
          <w:szCs w:val="24"/>
        </w:rPr>
        <w:t>in this situation, being explained as:</w:t>
      </w:r>
    </w:p>
    <w:p w:rsidR="0023106C" w:rsidRDefault="00B074CB" w:rsidP="0023106C">
      <w:pPr>
        <w:ind w:left="850" w:right="850"/>
        <w:jc w:val="both"/>
        <w:rPr>
          <w:rFonts w:ascii="Arial" w:hAnsi="Arial" w:cs="Arial"/>
          <w:sz w:val="24"/>
          <w:szCs w:val="24"/>
        </w:rPr>
      </w:pPr>
      <w:r w:rsidRPr="00F218AD">
        <w:rPr>
          <w:rFonts w:ascii="Arial" w:hAnsi="Arial" w:cs="Arial"/>
          <w:sz w:val="24"/>
          <w:szCs w:val="24"/>
        </w:rPr>
        <w:t>The</w:t>
      </w:r>
      <w:r w:rsidR="00F218AD" w:rsidRPr="00F218AD">
        <w:rPr>
          <w:rFonts w:ascii="Arial" w:hAnsi="Arial" w:cs="Arial"/>
          <w:sz w:val="24"/>
          <w:szCs w:val="24"/>
        </w:rPr>
        <w:t xml:space="preserve"> distance between the actual developmental level as determined by independent problem solving and the level of potential development as determined through problem solving under adult guidance, or in collaboration with more capable peers</w:t>
      </w:r>
      <w:r w:rsidR="0023106C">
        <w:rPr>
          <w:rFonts w:ascii="Arial" w:hAnsi="Arial" w:cs="Arial"/>
          <w:sz w:val="24"/>
          <w:szCs w:val="24"/>
        </w:rPr>
        <w:t>’</w:t>
      </w:r>
    </w:p>
    <w:p w:rsidR="0023106C" w:rsidRDefault="0023106C" w:rsidP="0023106C">
      <w:pPr>
        <w:ind w:left="850" w:right="850"/>
        <w:jc w:val="both"/>
        <w:rPr>
          <w:rFonts w:ascii="Arial" w:hAnsi="Arial" w:cs="Arial"/>
          <w:sz w:val="24"/>
          <w:szCs w:val="24"/>
        </w:rPr>
      </w:pPr>
      <w:r>
        <w:rPr>
          <w:rFonts w:ascii="Arial" w:hAnsi="Arial" w:cs="Arial"/>
          <w:sz w:val="24"/>
          <w:szCs w:val="24"/>
        </w:rPr>
        <w:t>(Heinrich et al., 2015; 375)</w:t>
      </w:r>
    </w:p>
    <w:p w:rsidR="00AD5389" w:rsidRPr="002D537A" w:rsidRDefault="0016628E" w:rsidP="0023106C">
      <w:pPr>
        <w:jc w:val="both"/>
        <w:rPr>
          <w:rFonts w:ascii="Arial" w:hAnsi="Arial" w:cs="Arial"/>
          <w:sz w:val="24"/>
          <w:szCs w:val="24"/>
        </w:rPr>
      </w:pPr>
      <w:r>
        <w:rPr>
          <w:rFonts w:ascii="Arial" w:hAnsi="Arial" w:cs="Arial"/>
          <w:sz w:val="24"/>
          <w:szCs w:val="24"/>
        </w:rPr>
        <w:t xml:space="preserve">According to Eco-Schools (No date), ESDGC is an important factor within their environment, and explained that Eco-Schools promote environmental projects that are student-led. They have a partnership with the community and have whole-school involvement. The nine topics that are covered within Eco-Schools are </w:t>
      </w:r>
      <w:r w:rsidR="00CE230A">
        <w:rPr>
          <w:rFonts w:ascii="Arial" w:hAnsi="Arial" w:cs="Arial"/>
          <w:sz w:val="24"/>
          <w:szCs w:val="24"/>
        </w:rPr>
        <w:t>‘</w:t>
      </w:r>
      <w:r>
        <w:rPr>
          <w:rFonts w:ascii="Arial" w:hAnsi="Arial" w:cs="Arial"/>
          <w:sz w:val="24"/>
          <w:szCs w:val="24"/>
        </w:rPr>
        <w:t>biodiversity, energy, litter, global citizenship, healthy living, school grounds, transport, waste and water</w:t>
      </w:r>
      <w:r w:rsidR="00CE230A">
        <w:rPr>
          <w:rFonts w:ascii="Arial" w:hAnsi="Arial" w:cs="Arial"/>
          <w:sz w:val="24"/>
          <w:szCs w:val="24"/>
        </w:rPr>
        <w:t xml:space="preserve">’ </w:t>
      </w:r>
      <w:r w:rsidR="00CE230A">
        <w:rPr>
          <w:rFonts w:ascii="Arial" w:hAnsi="Arial" w:cs="Arial"/>
          <w:sz w:val="24"/>
          <w:szCs w:val="24"/>
        </w:rPr>
        <w:lastRenderedPageBreak/>
        <w:t>(Eco-Schools, No date)</w:t>
      </w:r>
      <w:r>
        <w:rPr>
          <w:rFonts w:ascii="Arial" w:hAnsi="Arial" w:cs="Arial"/>
          <w:sz w:val="24"/>
          <w:szCs w:val="24"/>
        </w:rPr>
        <w:t xml:space="preserve">. </w:t>
      </w:r>
      <w:r w:rsidR="00FB5A54">
        <w:rPr>
          <w:rFonts w:ascii="Arial" w:hAnsi="Arial" w:cs="Arial"/>
          <w:sz w:val="24"/>
          <w:szCs w:val="24"/>
        </w:rPr>
        <w:t xml:space="preserve">If you refer back to figure 1, you can see that the nine topics covered within Eco-Schools are near enough identical to the themes within the ESDGC. </w:t>
      </w:r>
      <w:r w:rsidR="00B624C4">
        <w:rPr>
          <w:rFonts w:ascii="Arial" w:hAnsi="Arial" w:cs="Arial"/>
          <w:sz w:val="24"/>
          <w:szCs w:val="24"/>
        </w:rPr>
        <w:t xml:space="preserve">Cincera and Krajhanzi (2013) stated that </w:t>
      </w:r>
      <w:r w:rsidR="004B2962">
        <w:rPr>
          <w:rFonts w:ascii="Arial" w:hAnsi="Arial" w:cs="Arial"/>
          <w:sz w:val="24"/>
          <w:szCs w:val="24"/>
        </w:rPr>
        <w:t>Eco-Schools bring great positivity and constructive outcomes</w:t>
      </w:r>
      <w:r w:rsidR="007238DB">
        <w:rPr>
          <w:rFonts w:ascii="Arial" w:hAnsi="Arial" w:cs="Arial"/>
          <w:sz w:val="24"/>
          <w:szCs w:val="24"/>
        </w:rPr>
        <w:t xml:space="preserve"> with regards to ESDGC</w:t>
      </w:r>
      <w:r w:rsidR="004B2962">
        <w:rPr>
          <w:rFonts w:ascii="Arial" w:hAnsi="Arial" w:cs="Arial"/>
          <w:sz w:val="24"/>
          <w:szCs w:val="24"/>
        </w:rPr>
        <w:t xml:space="preserve">, and explained that Eco-schools have a positive influence on the school management, with schools recycling effectively and producing less waste. Cincera and Krajhanzi (2013) also go on to mention that Eco-Schools promote children to take more care of their environment and are proved to be undertaking sustainable decisions without prompting, which suggests that these children are being taught how to integrate these actions into daily life. </w:t>
      </w:r>
      <w:r w:rsidR="008008E9">
        <w:rPr>
          <w:rFonts w:ascii="Arial" w:hAnsi="Arial" w:cs="Arial"/>
          <w:sz w:val="24"/>
          <w:szCs w:val="24"/>
        </w:rPr>
        <w:t>However, Goldup (2011) argues that although Eco-Schools</w:t>
      </w:r>
      <w:r w:rsidR="00667610">
        <w:rPr>
          <w:rFonts w:ascii="Arial" w:hAnsi="Arial" w:cs="Arial"/>
          <w:sz w:val="24"/>
          <w:szCs w:val="24"/>
        </w:rPr>
        <w:t xml:space="preserve"> promote positive behaviour and actions with regards to the nine topics that are covered, the children should be able to make a decision and realise that there is a better solution, and then can change their actions, rather than being taught what they should be doing.</w:t>
      </w:r>
      <w:r w:rsidR="007238DB">
        <w:rPr>
          <w:rFonts w:ascii="Arial" w:hAnsi="Arial" w:cs="Arial"/>
          <w:sz w:val="24"/>
          <w:szCs w:val="24"/>
        </w:rPr>
        <w:t xml:space="preserve"> This gives them a sense of independence and improves their problem solving skills.</w:t>
      </w:r>
    </w:p>
    <w:p w:rsidR="001A3170" w:rsidRPr="00FB32D6" w:rsidRDefault="001A3170" w:rsidP="001A3170">
      <w:pPr>
        <w:jc w:val="both"/>
        <w:rPr>
          <w:rFonts w:ascii="Arial" w:hAnsi="Arial" w:cs="Arial"/>
          <w:b/>
          <w:sz w:val="24"/>
          <w:szCs w:val="24"/>
        </w:rPr>
      </w:pPr>
      <w:r w:rsidRPr="00FB32D6">
        <w:rPr>
          <w:rFonts w:ascii="Arial" w:hAnsi="Arial" w:cs="Arial"/>
          <w:b/>
          <w:sz w:val="24"/>
          <w:szCs w:val="24"/>
        </w:rPr>
        <w:t>Opportunities and challenges of integrating ESDGC within early years practice</w:t>
      </w:r>
      <w:r w:rsidR="00FB32D6">
        <w:rPr>
          <w:rFonts w:ascii="Arial" w:hAnsi="Arial" w:cs="Arial"/>
          <w:b/>
          <w:sz w:val="24"/>
          <w:szCs w:val="24"/>
        </w:rPr>
        <w:t>.</w:t>
      </w:r>
    </w:p>
    <w:p w:rsidR="00C525AF" w:rsidRDefault="00B27062" w:rsidP="001A3170">
      <w:pPr>
        <w:jc w:val="both"/>
        <w:rPr>
          <w:rFonts w:ascii="Arial" w:hAnsi="Arial" w:cs="Arial"/>
          <w:sz w:val="24"/>
          <w:szCs w:val="24"/>
        </w:rPr>
      </w:pPr>
      <w:r>
        <w:rPr>
          <w:rFonts w:ascii="Arial" w:hAnsi="Arial" w:cs="Arial"/>
          <w:sz w:val="24"/>
          <w:szCs w:val="24"/>
        </w:rPr>
        <w:t xml:space="preserve">According to Williams (2015), implementing the ESDGC into early years practice is an important element in order to provide a beneficial future for people, the environment and the economy. Williams also stated the importance of having outdoor learning within the educational setting, as this promotes using natural resources, and using the natural environment around them to have a deeper understanding of </w:t>
      </w:r>
      <w:r>
        <w:rPr>
          <w:rFonts w:ascii="Arial" w:hAnsi="Arial" w:cs="Arial"/>
          <w:sz w:val="24"/>
          <w:szCs w:val="24"/>
        </w:rPr>
        <w:lastRenderedPageBreak/>
        <w:t xml:space="preserve">nature and how to care for it. </w:t>
      </w:r>
      <w:r w:rsidR="00C67F37">
        <w:rPr>
          <w:rFonts w:ascii="Arial" w:hAnsi="Arial" w:cs="Arial"/>
          <w:sz w:val="24"/>
          <w:szCs w:val="24"/>
        </w:rPr>
        <w:t xml:space="preserve">Quay and Seaman (2013) stressed that outdoor learning is essential for children to develop, and stated that theorist, Dewey, emphasised on the importance of outdoor learning for children, and believed that children make meaning out of their experience outdoors. </w:t>
      </w:r>
      <w:r w:rsidR="00092FB5">
        <w:rPr>
          <w:rFonts w:ascii="Arial" w:hAnsi="Arial" w:cs="Arial"/>
          <w:sz w:val="24"/>
          <w:szCs w:val="24"/>
        </w:rPr>
        <w:t xml:space="preserve">However, </w:t>
      </w:r>
      <w:r w:rsidR="0049252C">
        <w:rPr>
          <w:rFonts w:ascii="Arial" w:hAnsi="Arial" w:cs="Arial"/>
          <w:sz w:val="24"/>
          <w:szCs w:val="24"/>
        </w:rPr>
        <w:t>Estyn (2014) argued that some of the challenges faced by early years practitioners</w:t>
      </w:r>
      <w:r w:rsidR="00092FB5">
        <w:rPr>
          <w:rFonts w:ascii="Arial" w:hAnsi="Arial" w:cs="Arial"/>
          <w:sz w:val="24"/>
          <w:szCs w:val="24"/>
        </w:rPr>
        <w:t xml:space="preserve"> with regards to implementing ESDGC into practice were</w:t>
      </w:r>
      <w:r w:rsidR="0049252C">
        <w:rPr>
          <w:rFonts w:ascii="Arial" w:hAnsi="Arial" w:cs="Arial"/>
          <w:sz w:val="24"/>
          <w:szCs w:val="24"/>
        </w:rPr>
        <w:t xml:space="preserve"> that they did not have a clear understanding of what the ESDGC was or how they needed to integrate this within the setting and curriculum. This suggested that the children were not being fully informed of and were not practicing tasks that involved ESDGC factors. It was also shown that there was a lack of ESDGC training with regards to the early </w:t>
      </w:r>
      <w:r w:rsidR="00B074CB">
        <w:rPr>
          <w:rFonts w:ascii="Arial" w:hAnsi="Arial" w:cs="Arial"/>
          <w:sz w:val="24"/>
          <w:szCs w:val="24"/>
        </w:rPr>
        <w:t>year’s</w:t>
      </w:r>
      <w:r w:rsidR="0049252C">
        <w:rPr>
          <w:rFonts w:ascii="Arial" w:hAnsi="Arial" w:cs="Arial"/>
          <w:sz w:val="24"/>
          <w:szCs w:val="24"/>
        </w:rPr>
        <w:t xml:space="preserve"> practitioners. </w:t>
      </w:r>
      <w:r w:rsidR="00C525AF">
        <w:rPr>
          <w:rFonts w:ascii="Arial" w:hAnsi="Arial" w:cs="Arial"/>
          <w:sz w:val="24"/>
          <w:szCs w:val="24"/>
        </w:rPr>
        <w:t>Evans (2011) also argued that children in schools are beginning to see ESDGC topics as school based learning, which does not moti</w:t>
      </w:r>
      <w:r w:rsidR="00B62B1D">
        <w:rPr>
          <w:rFonts w:ascii="Arial" w:hAnsi="Arial" w:cs="Arial"/>
          <w:sz w:val="24"/>
          <w:szCs w:val="24"/>
        </w:rPr>
        <w:t>vate them or interest them as much</w:t>
      </w:r>
      <w:r w:rsidR="00C525AF">
        <w:rPr>
          <w:rFonts w:ascii="Arial" w:hAnsi="Arial" w:cs="Arial"/>
          <w:sz w:val="24"/>
          <w:szCs w:val="24"/>
        </w:rPr>
        <w:t xml:space="preserve">. Evans goes on to state that the themes within the ESDGC needed to be engaging for children, with different approaches to learning, as one approach is not going to suit all children. </w:t>
      </w:r>
      <w:r w:rsidR="004E488B">
        <w:rPr>
          <w:rFonts w:ascii="Arial" w:hAnsi="Arial" w:cs="Arial"/>
          <w:sz w:val="24"/>
          <w:szCs w:val="24"/>
        </w:rPr>
        <w:t>However, according to Watkins and Glover (2016), implementing the ESDGC within the early years provides the children with a clearer understanding of what it is and how to implement it into daily tasks, which promotes the children’s problem solving skills, thinking skills and effective communication. This also provides a better outcome for the future, knowing that the next generation is providing care and</w:t>
      </w:r>
      <w:r w:rsidR="00B62B1D">
        <w:rPr>
          <w:rFonts w:ascii="Arial" w:hAnsi="Arial" w:cs="Arial"/>
          <w:sz w:val="24"/>
          <w:szCs w:val="24"/>
        </w:rPr>
        <w:t xml:space="preserve"> attention to the ESDGC.</w:t>
      </w:r>
    </w:p>
    <w:p w:rsidR="00161898" w:rsidRDefault="00161898" w:rsidP="001A3170">
      <w:pPr>
        <w:jc w:val="both"/>
        <w:rPr>
          <w:rFonts w:ascii="Arial" w:hAnsi="Arial" w:cs="Arial"/>
          <w:sz w:val="24"/>
          <w:szCs w:val="24"/>
        </w:rPr>
      </w:pPr>
      <w:r>
        <w:rPr>
          <w:rFonts w:ascii="Arial" w:hAnsi="Arial" w:cs="Arial"/>
          <w:sz w:val="24"/>
          <w:szCs w:val="24"/>
        </w:rPr>
        <w:t xml:space="preserve">Davies et al. (2009) stated that early </w:t>
      </w:r>
      <w:r w:rsidR="00B074CB">
        <w:rPr>
          <w:rFonts w:ascii="Arial" w:hAnsi="Arial" w:cs="Arial"/>
          <w:sz w:val="24"/>
          <w:szCs w:val="24"/>
        </w:rPr>
        <w:t>year’s</w:t>
      </w:r>
      <w:r>
        <w:rPr>
          <w:rFonts w:ascii="Arial" w:hAnsi="Arial" w:cs="Arial"/>
          <w:sz w:val="24"/>
          <w:szCs w:val="24"/>
        </w:rPr>
        <w:t xml:space="preserve"> education is the best time to </w:t>
      </w:r>
      <w:r>
        <w:rPr>
          <w:rFonts w:ascii="Arial" w:hAnsi="Arial" w:cs="Arial"/>
          <w:sz w:val="24"/>
          <w:szCs w:val="24"/>
        </w:rPr>
        <w:lastRenderedPageBreak/>
        <w:t xml:space="preserve">implement the ESDGC into the setting and curriculum, as it was suggested that young children have a greater ability to learn and develop. By teaching the children about ESDGC, the early </w:t>
      </w:r>
      <w:r w:rsidR="00B074CB">
        <w:rPr>
          <w:rFonts w:ascii="Arial" w:hAnsi="Arial" w:cs="Arial"/>
          <w:sz w:val="24"/>
          <w:szCs w:val="24"/>
        </w:rPr>
        <w:t>year’s</w:t>
      </w:r>
      <w:r>
        <w:rPr>
          <w:rFonts w:ascii="Arial" w:hAnsi="Arial" w:cs="Arial"/>
          <w:sz w:val="24"/>
          <w:szCs w:val="24"/>
        </w:rPr>
        <w:t xml:space="preserve"> practitioner is setting foundations for the children to have respect for all of the themes and topics covered. </w:t>
      </w:r>
      <w:r w:rsidR="00C50453" w:rsidRPr="00C50453">
        <w:rPr>
          <w:rFonts w:ascii="Arial" w:hAnsi="Arial" w:cs="Arial"/>
          <w:sz w:val="24"/>
          <w:szCs w:val="24"/>
        </w:rPr>
        <w:t>Mall and Mall (No date) stated that Lenneberg’s critical period theory</w:t>
      </w:r>
      <w:r w:rsidR="00CE230A">
        <w:rPr>
          <w:rFonts w:ascii="Arial" w:hAnsi="Arial" w:cs="Arial"/>
          <w:sz w:val="24"/>
          <w:szCs w:val="24"/>
        </w:rPr>
        <w:t xml:space="preserve"> was on the belief that children from two years old up to puberty have an increased opportunity to learn and develop, suggesting that the younger the child, the more advanced their development would become. Lenneberg also stated that after puberty, the individual would not be able to progress much further within their development. </w:t>
      </w:r>
      <w:r w:rsidR="00C50453">
        <w:rPr>
          <w:rFonts w:ascii="Arial" w:hAnsi="Arial" w:cs="Arial"/>
          <w:sz w:val="24"/>
          <w:szCs w:val="24"/>
        </w:rPr>
        <w:t xml:space="preserve">With regards to ESDGC, this suggests that the earlier that children are involved with the teachings of ESDGC, the earlier they can recognise and make a difference, with a positive and caring mind set towards it. </w:t>
      </w:r>
    </w:p>
    <w:p w:rsidR="009D506D" w:rsidRDefault="009D506D" w:rsidP="001A3170">
      <w:pPr>
        <w:jc w:val="both"/>
        <w:rPr>
          <w:rFonts w:ascii="Arial" w:hAnsi="Arial" w:cs="Arial"/>
          <w:sz w:val="24"/>
          <w:szCs w:val="24"/>
        </w:rPr>
      </w:pPr>
      <w:r>
        <w:rPr>
          <w:rFonts w:ascii="Arial" w:hAnsi="Arial" w:cs="Arial"/>
          <w:sz w:val="24"/>
          <w:szCs w:val="24"/>
        </w:rPr>
        <w:t xml:space="preserve">According to Engdahl and Rabusicova (2010), </w:t>
      </w:r>
      <w:r w:rsidR="00CF57E7">
        <w:rPr>
          <w:rFonts w:ascii="Arial" w:hAnsi="Arial" w:cs="Arial"/>
          <w:sz w:val="24"/>
          <w:szCs w:val="24"/>
        </w:rPr>
        <w:t xml:space="preserve">if ESDGC is to make an impact on a child’s learning and knowledge, it has to be a real experience within their life, with meaningful ways to implement ESDGC into the educational setting. If this does not happen then the children will not want to engage or take it seriously. Engdahl and Rabusicova (2010) also explain that within the United Nations Convention on the Rights of the Child (UNCRC), children have a right to voice their opinion on matters that are or will affect them. This provides children with the chance to speak out on matters regarding the ESDGC. </w:t>
      </w:r>
      <w:r w:rsidR="00657651">
        <w:rPr>
          <w:rFonts w:ascii="Arial" w:hAnsi="Arial" w:cs="Arial"/>
          <w:sz w:val="24"/>
          <w:szCs w:val="24"/>
        </w:rPr>
        <w:t xml:space="preserve">According to the United Nations Sustainable Development (No date), Agenda 21 states that children are the platform in which the future </w:t>
      </w:r>
      <w:r w:rsidR="00657651">
        <w:rPr>
          <w:rFonts w:ascii="Arial" w:hAnsi="Arial" w:cs="Arial"/>
          <w:sz w:val="24"/>
          <w:szCs w:val="24"/>
        </w:rPr>
        <w:lastRenderedPageBreak/>
        <w:t xml:space="preserve">sustainability is accountable on, which suggests that ESDGC within the early years is an important aspect of their education and life skills, to provide a better future. </w:t>
      </w:r>
      <w:r w:rsidR="00CF57E7">
        <w:rPr>
          <w:rFonts w:ascii="Arial" w:hAnsi="Arial" w:cs="Arial"/>
          <w:sz w:val="24"/>
          <w:szCs w:val="24"/>
        </w:rPr>
        <w:t xml:space="preserve">  </w:t>
      </w:r>
    </w:p>
    <w:p w:rsidR="002D537A" w:rsidRPr="00FB32D6" w:rsidRDefault="00FB32D6" w:rsidP="001A3170">
      <w:pPr>
        <w:jc w:val="both"/>
        <w:rPr>
          <w:rFonts w:ascii="Arial" w:hAnsi="Arial" w:cs="Arial"/>
          <w:b/>
          <w:sz w:val="24"/>
          <w:szCs w:val="24"/>
        </w:rPr>
      </w:pPr>
      <w:r w:rsidRPr="00FB32D6">
        <w:rPr>
          <w:rFonts w:ascii="Arial" w:hAnsi="Arial" w:cs="Arial"/>
          <w:b/>
          <w:sz w:val="24"/>
          <w:szCs w:val="24"/>
        </w:rPr>
        <w:t xml:space="preserve">ESDGC within </w:t>
      </w:r>
      <w:r w:rsidR="002D537A" w:rsidRPr="00FB32D6">
        <w:rPr>
          <w:rFonts w:ascii="Arial" w:hAnsi="Arial" w:cs="Arial"/>
          <w:b/>
          <w:sz w:val="24"/>
          <w:szCs w:val="24"/>
        </w:rPr>
        <w:t>Wales compared to</w:t>
      </w:r>
      <w:r w:rsidRPr="00FB32D6">
        <w:rPr>
          <w:rFonts w:ascii="Arial" w:hAnsi="Arial" w:cs="Arial"/>
          <w:b/>
          <w:sz w:val="24"/>
          <w:szCs w:val="24"/>
        </w:rPr>
        <w:t xml:space="preserve"> the sustainability of </w:t>
      </w:r>
      <w:r w:rsidR="002D537A" w:rsidRPr="00FB32D6">
        <w:rPr>
          <w:rFonts w:ascii="Arial" w:hAnsi="Arial" w:cs="Arial"/>
          <w:b/>
          <w:sz w:val="24"/>
          <w:szCs w:val="24"/>
        </w:rPr>
        <w:t>other countries</w:t>
      </w:r>
      <w:r w:rsidRPr="00FB32D6">
        <w:rPr>
          <w:rFonts w:ascii="Arial" w:hAnsi="Arial" w:cs="Arial"/>
          <w:b/>
          <w:sz w:val="24"/>
          <w:szCs w:val="24"/>
        </w:rPr>
        <w:t>.</w:t>
      </w:r>
    </w:p>
    <w:p w:rsidR="00B62B1D" w:rsidRDefault="008D4C00" w:rsidP="001A3170">
      <w:pPr>
        <w:jc w:val="both"/>
        <w:rPr>
          <w:rFonts w:ascii="Arial" w:hAnsi="Arial" w:cs="Arial"/>
          <w:sz w:val="24"/>
          <w:szCs w:val="24"/>
        </w:rPr>
      </w:pPr>
      <w:r>
        <w:rPr>
          <w:rFonts w:ascii="Arial" w:hAnsi="Arial" w:cs="Arial"/>
          <w:sz w:val="24"/>
          <w:szCs w:val="24"/>
        </w:rPr>
        <w:t>According to Estyn (No date), from 2010 to 2013, there has been a significant increase in Wales with regards to ESDGC within schools. When ESDGC was first developed in 2006, there was a very low percentage of individuals who had an understanding of what ESDGC was or what the aims of this were</w:t>
      </w:r>
      <w:r w:rsidR="00837D5E">
        <w:rPr>
          <w:rFonts w:ascii="Arial" w:hAnsi="Arial" w:cs="Arial"/>
          <w:sz w:val="24"/>
          <w:szCs w:val="24"/>
        </w:rPr>
        <w:t xml:space="preserve">, however, the Welsh Government enforced the implementation of the ESDGC within schools to ensure that there was a development on this, for both children and the community, as well as practitioners. However, Estyn goes on to mention that only a few children within the foundation phase knew the difference between the weather and climate change, which suggests that practitioners need to construct new ways in which to provide a better understanding of what these two themes are. It was also argued that most of the schools visited did not incorporate the use of numeracy and literacy within ESDGC work, and this has not improved since 2006. </w:t>
      </w:r>
      <w:r w:rsidR="00AC1501">
        <w:rPr>
          <w:rFonts w:ascii="Arial" w:hAnsi="Arial" w:cs="Arial"/>
          <w:sz w:val="24"/>
          <w:szCs w:val="24"/>
        </w:rPr>
        <w:t xml:space="preserve">The Welsh Assembly Government (2009) stated that ESDGC is a core factor within Wales, whether it be educational settings or other areas. Wales is one of only a few administrations worldwide to have a legal duty in regards to the development of sustainability. They follow on from this to explain that the Government of Wales Act 2006 (Section 79) states that the Welsh </w:t>
      </w:r>
      <w:r w:rsidR="00AC1501">
        <w:rPr>
          <w:rFonts w:ascii="Arial" w:hAnsi="Arial" w:cs="Arial"/>
          <w:sz w:val="24"/>
          <w:szCs w:val="24"/>
        </w:rPr>
        <w:lastRenderedPageBreak/>
        <w:t xml:space="preserve">Government have a duty to promote sustainability within the country. </w:t>
      </w:r>
    </w:p>
    <w:p w:rsidR="004B0A10" w:rsidRDefault="004F571F" w:rsidP="001A3170">
      <w:pPr>
        <w:jc w:val="both"/>
        <w:rPr>
          <w:rFonts w:ascii="Arial" w:hAnsi="Arial" w:cs="Arial"/>
          <w:sz w:val="24"/>
          <w:szCs w:val="24"/>
        </w:rPr>
      </w:pPr>
      <w:r>
        <w:rPr>
          <w:rFonts w:ascii="Arial" w:hAnsi="Arial" w:cs="Arial"/>
          <w:sz w:val="24"/>
          <w:szCs w:val="24"/>
        </w:rPr>
        <w:t xml:space="preserve">However, Tye (2014) undertook several studies from a variety of different countries, to research into what each country had in place with regards to implementing a similar strategy to the ESDGC, to promote sustainability. Tye found that within Canada, although there was implementation of some ESDGC factors, there was an unclear understanding of what was meant by global citizenship education. Within Canada, they now have A Global Framework for Junior and Intermediate Teachers, which is explained as a monthly plan for teachers to discuss plans and activities that can promote and identify global issues. According to Environment Canada (2010), </w:t>
      </w:r>
      <w:r w:rsidR="005A0125">
        <w:rPr>
          <w:rFonts w:ascii="Arial" w:hAnsi="Arial" w:cs="Arial"/>
          <w:sz w:val="24"/>
          <w:szCs w:val="24"/>
        </w:rPr>
        <w:t xml:space="preserve">past sustainability attempts within Canada had been poor and did not deliver positive results. Some of the reasons for this were that Canada did not have a long term strategy to deliver an effective sustainability approach for the future, there was also a lack in sustainable performance, where information was not monitored and reported to identify areas for improvement, and the overall targets and goals of Canada have not had sustainability as an important factor, and so did not include this within practice. </w:t>
      </w:r>
      <w:r w:rsidR="00472B16">
        <w:rPr>
          <w:rFonts w:ascii="Arial" w:hAnsi="Arial" w:cs="Arial"/>
          <w:sz w:val="24"/>
          <w:szCs w:val="24"/>
        </w:rPr>
        <w:t xml:space="preserve">However, Canada now have a new approach to sustainability, and Environment Canada (2010) explained that a legislative document is now in place, </w:t>
      </w:r>
      <w:r w:rsidR="00472B16" w:rsidRPr="00472B16">
        <w:rPr>
          <w:rFonts w:ascii="Arial" w:hAnsi="Arial" w:cs="Arial"/>
          <w:sz w:val="24"/>
          <w:szCs w:val="24"/>
        </w:rPr>
        <w:t>the Federal Susta</w:t>
      </w:r>
      <w:r w:rsidR="00472B16">
        <w:rPr>
          <w:rFonts w:ascii="Arial" w:hAnsi="Arial" w:cs="Arial"/>
          <w:sz w:val="24"/>
          <w:szCs w:val="24"/>
        </w:rPr>
        <w:t>inable Development Act (FSDA)</w:t>
      </w:r>
      <w:r w:rsidR="00472B16" w:rsidRPr="00472B16">
        <w:rPr>
          <w:rFonts w:ascii="Arial" w:hAnsi="Arial" w:cs="Arial"/>
          <w:sz w:val="24"/>
          <w:szCs w:val="24"/>
        </w:rPr>
        <w:t xml:space="preserve"> 2008.</w:t>
      </w:r>
      <w:r w:rsidR="00FA439F">
        <w:rPr>
          <w:rFonts w:ascii="Arial" w:hAnsi="Arial" w:cs="Arial"/>
          <w:sz w:val="24"/>
          <w:szCs w:val="24"/>
        </w:rPr>
        <w:t xml:space="preserve"> The Government of Canada (No date) defined this legislative document as an approach that requires the Government of Canada to develop a Federal Sustainable Development Strategy (FSDS), which promotes the wide </w:t>
      </w:r>
      <w:r w:rsidR="00FA439F">
        <w:rPr>
          <w:rFonts w:ascii="Arial" w:hAnsi="Arial" w:cs="Arial"/>
          <w:sz w:val="24"/>
          <w:szCs w:val="24"/>
        </w:rPr>
        <w:lastRenderedPageBreak/>
        <w:t>range of factors within environmental sustainability.</w:t>
      </w:r>
      <w:r w:rsidR="00D21F66">
        <w:rPr>
          <w:rFonts w:ascii="Arial" w:hAnsi="Arial" w:cs="Arial"/>
          <w:sz w:val="24"/>
          <w:szCs w:val="24"/>
        </w:rPr>
        <w:t xml:space="preserve"> Within this strategy there are four themes, which are </w:t>
      </w:r>
      <w:r w:rsidR="004B0A10">
        <w:rPr>
          <w:rFonts w:ascii="Arial" w:hAnsi="Arial" w:cs="Arial"/>
          <w:sz w:val="24"/>
          <w:szCs w:val="24"/>
        </w:rPr>
        <w:t>‘</w:t>
      </w:r>
      <w:r w:rsidR="00D21F66">
        <w:rPr>
          <w:rFonts w:ascii="Arial" w:hAnsi="Arial" w:cs="Arial"/>
          <w:sz w:val="24"/>
          <w:szCs w:val="24"/>
        </w:rPr>
        <w:t>addressing climate change and air quality, maintaining water quality and availability, protecting nature and shrinking the environmental footprint.</w:t>
      </w:r>
      <w:r w:rsidR="004B0A10">
        <w:rPr>
          <w:rFonts w:ascii="Arial" w:hAnsi="Arial" w:cs="Arial"/>
          <w:sz w:val="24"/>
          <w:szCs w:val="24"/>
        </w:rPr>
        <w:t>’ (Government of Canada, No date).</w:t>
      </w:r>
    </w:p>
    <w:p w:rsidR="004F571F" w:rsidRDefault="00ED1D72" w:rsidP="001A3170">
      <w:pPr>
        <w:jc w:val="both"/>
        <w:rPr>
          <w:rFonts w:ascii="Arial" w:hAnsi="Arial" w:cs="Arial"/>
          <w:sz w:val="24"/>
          <w:szCs w:val="24"/>
        </w:rPr>
      </w:pPr>
      <w:r>
        <w:rPr>
          <w:rFonts w:ascii="Arial" w:hAnsi="Arial" w:cs="Arial"/>
          <w:sz w:val="24"/>
          <w:szCs w:val="24"/>
        </w:rPr>
        <w:t xml:space="preserve">However, according to Albert and Xu (2016), China’s carbon emissions is one of the highest in the world and the air quality within main cities do not meet with international health standards. Kuo (2018) stated that China has had a fifty percent increase in pollution sources within the country, which suggests that not only is the air pollution harming the environment but also the health of the people who live there. </w:t>
      </w:r>
      <w:r w:rsidR="009A0788">
        <w:rPr>
          <w:rFonts w:ascii="Arial" w:hAnsi="Arial" w:cs="Arial"/>
          <w:sz w:val="24"/>
          <w:szCs w:val="24"/>
        </w:rPr>
        <w:t xml:space="preserve">However, Kaiman (2016) argued that China has now begun amendments to legislation regarding the environment, and has stated that there are now stricter punishments for polluters. On the other hand, Kaiman (2016) stated that environmental protesters argued that there is a gap between the legislative documentation and actual implementation of this. </w:t>
      </w:r>
      <w:r w:rsidR="00756D91">
        <w:rPr>
          <w:rFonts w:ascii="Arial" w:hAnsi="Arial" w:cs="Arial"/>
          <w:sz w:val="24"/>
          <w:szCs w:val="24"/>
        </w:rPr>
        <w:t>Mu et al. (2014) stated that</w:t>
      </w:r>
      <w:r w:rsidR="00103E86">
        <w:rPr>
          <w:rFonts w:ascii="Arial" w:hAnsi="Arial" w:cs="Arial"/>
          <w:sz w:val="24"/>
          <w:szCs w:val="24"/>
        </w:rPr>
        <w:t xml:space="preserve"> C</w:t>
      </w:r>
      <w:r w:rsidR="00756D91">
        <w:rPr>
          <w:rFonts w:ascii="Arial" w:hAnsi="Arial" w:cs="Arial"/>
          <w:sz w:val="24"/>
          <w:szCs w:val="24"/>
        </w:rPr>
        <w:t xml:space="preserve">hina has been behind many countries in the legislation framework surrounding environmental issues, however, from 2014, there have been thirty laws introduced to improve the environment and sustainability. Mu et al. (2014) follow on from this to explain that although legislation and implementation of ESD have not been followed through within the past, China have now developed may legislative documents that are going to assist with the overall future of China, as well as the effects it can have on the world as a whole. </w:t>
      </w:r>
    </w:p>
    <w:p w:rsidR="00D16207" w:rsidRDefault="00D16207" w:rsidP="001A3170">
      <w:pPr>
        <w:jc w:val="both"/>
        <w:rPr>
          <w:rFonts w:ascii="Arial" w:hAnsi="Arial" w:cs="Arial"/>
          <w:sz w:val="24"/>
          <w:szCs w:val="24"/>
        </w:rPr>
      </w:pPr>
    </w:p>
    <w:p w:rsidR="00D16207" w:rsidRDefault="00D16207" w:rsidP="001A3170">
      <w:pPr>
        <w:jc w:val="both"/>
      </w:pPr>
    </w:p>
    <w:p w:rsidR="00FB32D6" w:rsidRPr="00FB32D6" w:rsidRDefault="00FB32D6" w:rsidP="001A3170">
      <w:pPr>
        <w:jc w:val="both"/>
        <w:rPr>
          <w:rFonts w:ascii="Arial" w:hAnsi="Arial" w:cs="Arial"/>
          <w:b/>
          <w:sz w:val="24"/>
          <w:szCs w:val="24"/>
        </w:rPr>
      </w:pPr>
      <w:r w:rsidRPr="00FB32D6">
        <w:rPr>
          <w:rFonts w:ascii="Arial" w:hAnsi="Arial" w:cs="Arial"/>
          <w:b/>
          <w:sz w:val="24"/>
          <w:szCs w:val="24"/>
        </w:rPr>
        <w:t>How</w:t>
      </w:r>
      <w:r>
        <w:rPr>
          <w:rFonts w:ascii="Arial" w:hAnsi="Arial" w:cs="Arial"/>
          <w:b/>
          <w:sz w:val="24"/>
          <w:szCs w:val="24"/>
        </w:rPr>
        <w:t xml:space="preserve"> the organisation</w:t>
      </w:r>
      <w:r w:rsidRPr="00FB32D6">
        <w:rPr>
          <w:rFonts w:ascii="Arial" w:hAnsi="Arial" w:cs="Arial"/>
          <w:b/>
          <w:sz w:val="24"/>
          <w:szCs w:val="24"/>
        </w:rPr>
        <w:t xml:space="preserve"> Oxfam can help poorer countries.</w:t>
      </w:r>
    </w:p>
    <w:p w:rsidR="001A3170" w:rsidRDefault="00D16207" w:rsidP="001A3170">
      <w:pPr>
        <w:jc w:val="both"/>
        <w:rPr>
          <w:rFonts w:ascii="Arial" w:hAnsi="Arial" w:cs="Arial"/>
          <w:sz w:val="24"/>
          <w:szCs w:val="24"/>
        </w:rPr>
      </w:pPr>
      <w:r>
        <w:rPr>
          <w:rFonts w:ascii="Arial" w:hAnsi="Arial" w:cs="Arial"/>
          <w:sz w:val="24"/>
          <w:szCs w:val="24"/>
        </w:rPr>
        <w:t xml:space="preserve">There are a variety of organisations that can assist countries </w:t>
      </w:r>
      <w:r w:rsidR="006A3EB9">
        <w:rPr>
          <w:rFonts w:ascii="Arial" w:hAnsi="Arial" w:cs="Arial"/>
          <w:sz w:val="24"/>
          <w:szCs w:val="24"/>
        </w:rPr>
        <w:t xml:space="preserve">who are need of help, ensuring that the education of sustainable development and global citizenship is attempted to be tackled. According to Oxfam (No date), the aim of the organisation is to save lives and assist families that have had natural disasters, resulting in issues such as not having safe water to drink, food to eat, not having any means of sanitation and not having a safe place to stay. </w:t>
      </w:r>
      <w:r w:rsidR="00815FEA">
        <w:rPr>
          <w:rFonts w:ascii="Arial" w:hAnsi="Arial" w:cs="Arial"/>
          <w:sz w:val="24"/>
          <w:szCs w:val="24"/>
        </w:rPr>
        <w:t xml:space="preserve">Lester (2013) explained that Maslow’s Hierarchy of Needs provides a theory of five hierarchical needs, and that an individual would not reach satisfaction until </w:t>
      </w:r>
      <w:r w:rsidR="00540E0A">
        <w:rPr>
          <w:rFonts w:ascii="Arial" w:hAnsi="Arial" w:cs="Arial"/>
          <w:sz w:val="24"/>
          <w:szCs w:val="24"/>
        </w:rPr>
        <w:t xml:space="preserve">each need was met, working from the bottom of the pyramid to the top. </w:t>
      </w:r>
    </w:p>
    <w:p w:rsidR="00815FEA" w:rsidRPr="00815FEA" w:rsidRDefault="00815FEA" w:rsidP="001A3170">
      <w:pPr>
        <w:jc w:val="both"/>
        <w:rPr>
          <w:rFonts w:ascii="Arial" w:hAnsi="Arial" w:cs="Arial"/>
          <w:b/>
          <w:sz w:val="24"/>
          <w:szCs w:val="24"/>
        </w:rPr>
      </w:pPr>
      <w:r>
        <w:rPr>
          <w:rFonts w:ascii="Arial" w:hAnsi="Arial" w:cs="Arial"/>
          <w:b/>
          <w:sz w:val="24"/>
          <w:szCs w:val="24"/>
        </w:rPr>
        <w:t>Figure 2</w:t>
      </w:r>
    </w:p>
    <w:p w:rsidR="00815FEA" w:rsidRDefault="00815FEA" w:rsidP="001A3170">
      <w:pPr>
        <w:jc w:val="both"/>
        <w:rPr>
          <w:rFonts w:ascii="Arial" w:hAnsi="Arial" w:cs="Arial"/>
          <w:sz w:val="24"/>
          <w:szCs w:val="24"/>
        </w:rPr>
      </w:pPr>
      <w:r>
        <w:rPr>
          <w:noProof/>
          <w:lang w:eastAsia="en-GB"/>
        </w:rPr>
        <w:drawing>
          <wp:inline distT="0" distB="0" distL="0" distR="0" wp14:anchorId="624B5CE1" wp14:editId="61D3DF89">
            <wp:extent cx="2800350" cy="1992887"/>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806" t="25355" r="30309" b="27949"/>
                    <a:stretch/>
                  </pic:blipFill>
                  <pic:spPr bwMode="auto">
                    <a:xfrm>
                      <a:off x="0" y="0"/>
                      <a:ext cx="2824351" cy="2009967"/>
                    </a:xfrm>
                    <a:prstGeom prst="rect">
                      <a:avLst/>
                    </a:prstGeom>
                    <a:ln>
                      <a:noFill/>
                    </a:ln>
                    <a:extLst>
                      <a:ext uri="{53640926-AAD7-44D8-BBD7-CCE9431645EC}">
                        <a14:shadowObscured xmlns:a14="http://schemas.microsoft.com/office/drawing/2010/main"/>
                      </a:ext>
                    </a:extLst>
                  </pic:spPr>
                </pic:pic>
              </a:graphicData>
            </a:graphic>
          </wp:inline>
        </w:drawing>
      </w:r>
    </w:p>
    <w:p w:rsidR="006A3EB9" w:rsidRPr="00815FEA" w:rsidRDefault="00815FEA" w:rsidP="00815FEA">
      <w:pPr>
        <w:jc w:val="right"/>
        <w:rPr>
          <w:rFonts w:ascii="Arial" w:hAnsi="Arial" w:cs="Arial"/>
          <w:sz w:val="24"/>
          <w:szCs w:val="24"/>
        </w:rPr>
      </w:pPr>
      <w:r>
        <w:rPr>
          <w:rFonts w:ascii="Arial" w:hAnsi="Arial" w:cs="Arial"/>
          <w:sz w:val="24"/>
          <w:szCs w:val="24"/>
        </w:rPr>
        <w:t>(Jerome, 2013: 41)</w:t>
      </w:r>
    </w:p>
    <w:p w:rsidR="006A3EB9" w:rsidRDefault="00540E0A" w:rsidP="001A3170">
      <w:pPr>
        <w:jc w:val="both"/>
        <w:rPr>
          <w:rFonts w:ascii="Arial" w:hAnsi="Arial" w:cs="Arial"/>
          <w:sz w:val="24"/>
          <w:szCs w:val="24"/>
        </w:rPr>
      </w:pPr>
      <w:r>
        <w:rPr>
          <w:rFonts w:ascii="Arial" w:hAnsi="Arial" w:cs="Arial"/>
          <w:sz w:val="24"/>
          <w:szCs w:val="24"/>
        </w:rPr>
        <w:t xml:space="preserve">As you can see from figure 2 by Jerome (2013), the hierarchy of needs has five stages, starting at </w:t>
      </w:r>
      <w:r w:rsidR="00141659">
        <w:rPr>
          <w:rFonts w:ascii="Arial" w:hAnsi="Arial" w:cs="Arial"/>
          <w:sz w:val="24"/>
          <w:szCs w:val="24"/>
        </w:rPr>
        <w:t>‘</w:t>
      </w:r>
      <w:r>
        <w:rPr>
          <w:rFonts w:ascii="Arial" w:hAnsi="Arial" w:cs="Arial"/>
          <w:sz w:val="24"/>
          <w:szCs w:val="24"/>
        </w:rPr>
        <w:t>physiological needs, safety needs, needs for love, affection and belongingness, esteem needs and self-actualisation</w:t>
      </w:r>
      <w:r w:rsidR="00141659">
        <w:rPr>
          <w:rFonts w:ascii="Arial" w:hAnsi="Arial" w:cs="Arial"/>
          <w:sz w:val="24"/>
          <w:szCs w:val="24"/>
        </w:rPr>
        <w:t>’ (Jerome, 2013: 41)</w:t>
      </w:r>
      <w:bookmarkStart w:id="0" w:name="_GoBack"/>
      <w:bookmarkEnd w:id="0"/>
      <w:r>
        <w:rPr>
          <w:rFonts w:ascii="Arial" w:hAnsi="Arial" w:cs="Arial"/>
          <w:sz w:val="24"/>
          <w:szCs w:val="24"/>
        </w:rPr>
        <w:t xml:space="preserve">. With regards to Oxfam, they are providing families in desperate need with the most important needs of physiological needs and safety needs. </w:t>
      </w:r>
      <w:r>
        <w:rPr>
          <w:rFonts w:ascii="Arial" w:hAnsi="Arial" w:cs="Arial"/>
          <w:sz w:val="24"/>
          <w:szCs w:val="24"/>
        </w:rPr>
        <w:lastRenderedPageBreak/>
        <w:t xml:space="preserve">It is explained by Lester (2013) that an individual cannot live without physiological needs, such as food and water, and safety needs are also an important factor on where the individual or family is staying or sleeping. Oxfam is attempting to provide these individuals and families with these two essential needs in order to live. </w:t>
      </w:r>
      <w:r w:rsidR="00485A1D">
        <w:rPr>
          <w:rFonts w:ascii="Arial" w:hAnsi="Arial" w:cs="Arial"/>
          <w:sz w:val="24"/>
          <w:szCs w:val="24"/>
        </w:rPr>
        <w:t xml:space="preserve">However, Oxfam (No date) added that after the crisis has minimised, Oxfam work with the communities to assist with children’s education, fighting poverty and discrimination, as well as speaking out for those who live in the poorest areas of the world so that they voices are heard. </w:t>
      </w:r>
      <w:r w:rsidR="0008335C">
        <w:rPr>
          <w:rFonts w:ascii="Arial" w:hAnsi="Arial" w:cs="Arial"/>
          <w:sz w:val="24"/>
          <w:szCs w:val="24"/>
        </w:rPr>
        <w:t xml:space="preserve">Linking this to the ESDGC, it is clear that Oxfam’s aims are having a positive impact on poorer countries who do not have the legislation or effective government to implement sustainability and global citizenship. </w:t>
      </w:r>
    </w:p>
    <w:p w:rsidR="00CE5299" w:rsidRDefault="00CE5299" w:rsidP="001A3170">
      <w:pPr>
        <w:jc w:val="both"/>
        <w:rPr>
          <w:rFonts w:ascii="Arial" w:hAnsi="Arial" w:cs="Arial"/>
          <w:b/>
          <w:sz w:val="24"/>
          <w:szCs w:val="24"/>
        </w:rPr>
      </w:pPr>
      <w:r>
        <w:rPr>
          <w:rFonts w:ascii="Arial" w:hAnsi="Arial" w:cs="Arial"/>
          <w:b/>
          <w:sz w:val="24"/>
          <w:szCs w:val="24"/>
        </w:rPr>
        <w:t>Conclusion</w:t>
      </w:r>
    </w:p>
    <w:p w:rsidR="00CE5299" w:rsidRDefault="0008335C" w:rsidP="001A3170">
      <w:pPr>
        <w:jc w:val="both"/>
        <w:rPr>
          <w:rFonts w:ascii="Arial" w:hAnsi="Arial" w:cs="Arial"/>
          <w:sz w:val="24"/>
          <w:szCs w:val="24"/>
        </w:rPr>
      </w:pPr>
      <w:r>
        <w:rPr>
          <w:rFonts w:ascii="Arial" w:hAnsi="Arial" w:cs="Arial"/>
          <w:sz w:val="24"/>
          <w:szCs w:val="24"/>
        </w:rPr>
        <w:t xml:space="preserve">To conclude, </w:t>
      </w:r>
      <w:r w:rsidR="00F37420">
        <w:rPr>
          <w:rFonts w:ascii="Arial" w:hAnsi="Arial" w:cs="Arial"/>
          <w:sz w:val="24"/>
          <w:szCs w:val="24"/>
        </w:rPr>
        <w:t xml:space="preserve">it is clear that ESDGC is an important factor within early </w:t>
      </w:r>
      <w:r w:rsidR="00B074CB">
        <w:rPr>
          <w:rFonts w:ascii="Arial" w:hAnsi="Arial" w:cs="Arial"/>
          <w:sz w:val="24"/>
          <w:szCs w:val="24"/>
        </w:rPr>
        <w:t>year’s</w:t>
      </w:r>
      <w:r w:rsidR="00F37420">
        <w:rPr>
          <w:rFonts w:ascii="Arial" w:hAnsi="Arial" w:cs="Arial"/>
          <w:sz w:val="24"/>
          <w:szCs w:val="24"/>
        </w:rPr>
        <w:t xml:space="preserve"> practice, with children being taught at an early age so they can implement this into their daily lives. The foundation phase and Eco-Schools have a supporting curriculum, which implement the themes of ESDGC within daily activities, promoting care of the environment, as well as others. From research that was undertaken, it is clear that, although in general ESDGC has a wide range of opportunities and advantages for early years practice, there are also some challenges that need to be worked upon in order to implement ESDGC effectively within the early years. Research was also carried out on different countries, as well as Wales, in order to collect evidence on the legislation and implementation of sustainability and </w:t>
      </w:r>
      <w:r w:rsidR="00F37420">
        <w:rPr>
          <w:rFonts w:ascii="Arial" w:hAnsi="Arial" w:cs="Arial"/>
          <w:sz w:val="24"/>
          <w:szCs w:val="24"/>
        </w:rPr>
        <w:lastRenderedPageBreak/>
        <w:t xml:space="preserve">global citizenship within these countries. It was clear that Wales has a well organised and implemented ESDGC, which is </w:t>
      </w:r>
      <w:r w:rsidR="00830711">
        <w:rPr>
          <w:rFonts w:ascii="Arial" w:hAnsi="Arial" w:cs="Arial"/>
          <w:sz w:val="24"/>
          <w:szCs w:val="24"/>
        </w:rPr>
        <w:t xml:space="preserve">integrated into early year’s education. Canada and China had evidence of a weak environmental and sustainable practice in the past, however, legislation has now been implemented into the government’s aims in both countries, in order to provide a sustainable future. Oxfam is one organisation which strive to provide poor countries and those in crisis, with the support they need in order to obtain a better future within their community. </w:t>
      </w: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1A3170">
      <w:pPr>
        <w:jc w:val="both"/>
        <w:rPr>
          <w:rFonts w:ascii="Arial" w:hAnsi="Arial" w:cs="Arial"/>
          <w:sz w:val="24"/>
          <w:szCs w:val="24"/>
        </w:rPr>
      </w:pPr>
    </w:p>
    <w:p w:rsidR="009570FB" w:rsidRDefault="009570FB" w:rsidP="009570FB">
      <w:pPr>
        <w:jc w:val="both"/>
        <w:rPr>
          <w:rFonts w:ascii="Arial" w:hAnsi="Arial" w:cs="Arial"/>
          <w:b/>
          <w:sz w:val="24"/>
          <w:szCs w:val="24"/>
          <w:u w:val="single"/>
        </w:rPr>
        <w:sectPr w:rsidR="009570FB" w:rsidSect="00E41F39">
          <w:headerReference w:type="default" r:id="rId9"/>
          <w:footerReference w:type="default" r:id="rId10"/>
          <w:pgSz w:w="11906" w:h="16838"/>
          <w:pgMar w:top="1440" w:right="1440" w:bottom="1440" w:left="1440" w:header="708" w:footer="708" w:gutter="0"/>
          <w:cols w:num="2" w:space="708"/>
          <w:docGrid w:linePitch="360"/>
        </w:sectPr>
      </w:pPr>
    </w:p>
    <w:p w:rsidR="009570FB" w:rsidRPr="009570FB" w:rsidRDefault="009570FB" w:rsidP="009570FB">
      <w:pPr>
        <w:jc w:val="both"/>
        <w:rPr>
          <w:rFonts w:ascii="Arial" w:hAnsi="Arial" w:cs="Arial"/>
          <w:b/>
          <w:sz w:val="24"/>
          <w:szCs w:val="24"/>
          <w:u w:val="single"/>
        </w:rPr>
      </w:pPr>
      <w:r w:rsidRPr="009570FB">
        <w:rPr>
          <w:rFonts w:ascii="Arial" w:hAnsi="Arial" w:cs="Arial"/>
          <w:b/>
          <w:sz w:val="24"/>
          <w:szCs w:val="24"/>
          <w:u w:val="single"/>
        </w:rPr>
        <w:lastRenderedPageBreak/>
        <w:t>Reference list</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Albert, E. and Xu, B. (2016) ‘China’s Environmental Crisis’ </w:t>
      </w:r>
      <w:hyperlink r:id="rId11" w:history="1">
        <w:r w:rsidRPr="009570FB">
          <w:rPr>
            <w:rStyle w:val="Hyperlink"/>
            <w:rFonts w:ascii="Arial" w:hAnsi="Arial" w:cs="Arial"/>
            <w:sz w:val="24"/>
            <w:szCs w:val="24"/>
          </w:rPr>
          <w:t>https://www.cfr.org/backgrounder/chinas-environmental-crisis</w:t>
        </w:r>
      </w:hyperlink>
      <w:r w:rsidRPr="009570FB">
        <w:rPr>
          <w:rFonts w:ascii="Arial" w:hAnsi="Arial" w:cs="Arial"/>
          <w:sz w:val="24"/>
          <w:szCs w:val="24"/>
        </w:rPr>
        <w:t xml:space="preserve"> [Accessed: 23</w:t>
      </w:r>
      <w:r w:rsidRPr="009570FB">
        <w:rPr>
          <w:rFonts w:ascii="Arial" w:hAnsi="Arial" w:cs="Arial"/>
          <w:sz w:val="24"/>
          <w:szCs w:val="24"/>
          <w:vertAlign w:val="superscript"/>
        </w:rPr>
        <w:t>rd</w:t>
      </w:r>
      <w:r w:rsidRPr="009570FB">
        <w:rPr>
          <w:rFonts w:ascii="Arial" w:hAnsi="Arial" w:cs="Arial"/>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sz w:val="24"/>
          <w:szCs w:val="24"/>
        </w:rPr>
        <w:t>Bamber, P., Bullivant, A., Glover, A., King, B. and McCann, G. (2016) ‘</w:t>
      </w:r>
      <w:r w:rsidRPr="009570FB">
        <w:rPr>
          <w:rFonts w:ascii="Arial" w:hAnsi="Arial" w:cs="Arial"/>
          <w:bCs/>
          <w:sz w:val="24"/>
          <w:szCs w:val="24"/>
        </w:rPr>
        <w:t xml:space="preserve">A comparative review of policy and practice for education for sustainable development/education for global citizenship (ESD/GC) in teacher education across the four nations of the UK’, </w:t>
      </w:r>
      <w:r w:rsidRPr="009570FB">
        <w:rPr>
          <w:rFonts w:ascii="Arial" w:hAnsi="Arial" w:cs="Arial"/>
          <w:bCs/>
          <w:i/>
          <w:sz w:val="24"/>
          <w:szCs w:val="24"/>
        </w:rPr>
        <w:t xml:space="preserve">Management in Education, </w:t>
      </w:r>
      <w:r w:rsidRPr="009570FB">
        <w:rPr>
          <w:rFonts w:ascii="Arial" w:hAnsi="Arial" w:cs="Arial"/>
          <w:bCs/>
          <w:sz w:val="24"/>
          <w:szCs w:val="24"/>
        </w:rPr>
        <w:t xml:space="preserve">Volume 30, Issue 3, July [Online]. </w:t>
      </w:r>
      <w:hyperlink r:id="rId12" w:history="1">
        <w:r w:rsidRPr="009570FB">
          <w:rPr>
            <w:rStyle w:val="Hyperlink"/>
            <w:rFonts w:ascii="Arial" w:hAnsi="Arial" w:cs="Arial"/>
            <w:bCs/>
            <w:sz w:val="24"/>
            <w:szCs w:val="24"/>
          </w:rPr>
          <w:t>http://journals.sagepub.com/doi/abs/10.1177/0892020616653179</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Barrouillet, P. (2015) ‘Theories of cognitive development: From Piaget to today’, </w:t>
      </w:r>
      <w:r w:rsidRPr="009570FB">
        <w:rPr>
          <w:rFonts w:ascii="Arial" w:hAnsi="Arial" w:cs="Arial"/>
          <w:bCs/>
          <w:i/>
          <w:sz w:val="24"/>
          <w:szCs w:val="24"/>
        </w:rPr>
        <w:t xml:space="preserve">Developmental Review, </w:t>
      </w:r>
      <w:r w:rsidRPr="009570FB">
        <w:rPr>
          <w:rFonts w:ascii="Arial" w:hAnsi="Arial" w:cs="Arial"/>
          <w:bCs/>
          <w:sz w:val="24"/>
          <w:szCs w:val="24"/>
        </w:rPr>
        <w:t xml:space="preserve">Volume 38, December, pp. 1 – 12 [Online]. </w:t>
      </w:r>
      <w:hyperlink r:id="rId13" w:history="1">
        <w:r w:rsidRPr="009570FB">
          <w:rPr>
            <w:rStyle w:val="Hyperlink"/>
            <w:rFonts w:ascii="Arial" w:hAnsi="Arial" w:cs="Arial"/>
            <w:bCs/>
            <w:sz w:val="24"/>
            <w:szCs w:val="24"/>
          </w:rPr>
          <w:t>https://www-sciencedirect-com.ezproxy.uwtsd.ac.uk/science/article/pii/S0273229715000325</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Bower, G. G. (2014) ‘Theory and practice: Utilizing Dewey׳s experiential learning theory to implement a 5k road race’, </w:t>
      </w:r>
      <w:r w:rsidRPr="009570FB">
        <w:rPr>
          <w:rFonts w:ascii="Arial" w:hAnsi="Arial" w:cs="Arial"/>
          <w:bCs/>
          <w:i/>
          <w:sz w:val="24"/>
          <w:szCs w:val="24"/>
        </w:rPr>
        <w:t xml:space="preserve">Journal of Hospitality, Leisure, Sport, and Tourism Education, </w:t>
      </w:r>
      <w:r w:rsidRPr="009570FB">
        <w:rPr>
          <w:rFonts w:ascii="Arial" w:hAnsi="Arial" w:cs="Arial"/>
          <w:bCs/>
          <w:sz w:val="24"/>
          <w:szCs w:val="24"/>
        </w:rPr>
        <w:t xml:space="preserve">Volume 15, July, pp. 61 – 67 [Online]. </w:t>
      </w:r>
      <w:hyperlink r:id="rId14" w:history="1">
        <w:r w:rsidRPr="009570FB">
          <w:rPr>
            <w:rStyle w:val="Hyperlink"/>
            <w:rFonts w:ascii="Arial" w:hAnsi="Arial" w:cs="Arial"/>
            <w:bCs/>
            <w:sz w:val="24"/>
            <w:szCs w:val="24"/>
          </w:rPr>
          <w:t>https://www-sciencedirect-com.ezproxy.uwtsd.ac.uk/science/article/pii/S147383761400015X</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Caerphilly Council. (2009) ‘Education for Sustainable Development and Global Citizenship across the Curriculum within the Foundation Phase Framework for Children’s Learning for 3 to 7-year-olds’ </w:t>
      </w:r>
      <w:hyperlink r:id="rId15" w:history="1">
        <w:r w:rsidRPr="009570FB">
          <w:rPr>
            <w:rStyle w:val="Hyperlink"/>
            <w:rFonts w:ascii="Arial" w:hAnsi="Arial" w:cs="Arial"/>
            <w:bCs/>
            <w:sz w:val="24"/>
            <w:szCs w:val="24"/>
          </w:rPr>
          <w:t>https://your.caerphilly.gov.uk/sustainablecaerphilly/sites/your.caerphilly.gov.uk.sustainablecaerphilly/files/15%2520ESDGC%2520across%2520the%2520curriculum%2520%2520Foundation%2520Phase.doc+&amp;cd=6&amp;hl=en&amp;ct=clnk&amp;gl=uk</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Cincera, J. and Krajhanzi, J. (2013) ‘Eco-Schools: what factors influence pupils' action competence for pro-environmental behaviour?’, </w:t>
      </w:r>
      <w:r w:rsidRPr="009570FB">
        <w:rPr>
          <w:rFonts w:ascii="Arial" w:hAnsi="Arial" w:cs="Arial"/>
          <w:bCs/>
          <w:i/>
          <w:sz w:val="24"/>
          <w:szCs w:val="24"/>
        </w:rPr>
        <w:t xml:space="preserve">Journal of Cleaner Production, </w:t>
      </w:r>
      <w:r w:rsidRPr="009570FB">
        <w:rPr>
          <w:rFonts w:ascii="Arial" w:hAnsi="Arial" w:cs="Arial"/>
          <w:bCs/>
          <w:sz w:val="24"/>
          <w:szCs w:val="24"/>
        </w:rPr>
        <w:t xml:space="preserve">Volume 61, December, pp. 117 – 121 [Online]. </w:t>
      </w:r>
      <w:hyperlink r:id="rId16" w:history="1">
        <w:r w:rsidRPr="009570FB">
          <w:rPr>
            <w:rStyle w:val="Hyperlink"/>
            <w:rFonts w:ascii="Arial" w:hAnsi="Arial" w:cs="Arial"/>
            <w:bCs/>
            <w:sz w:val="24"/>
            <w:szCs w:val="24"/>
          </w:rPr>
          <w:t>https://www-sciencedirect-com.ezproxy.uwtsd.ac.uk/science/article/pii/S0959652613004216</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Davies, J., Engdahl, I., Otieno, L., Pramling-Samuelson, I., Siraj-Blatchford, J. and Vallabh, P. (2009) ‘Early Childhood Education for Sustainability: Recommendations for Development’, </w:t>
      </w:r>
      <w:r w:rsidRPr="009570FB">
        <w:rPr>
          <w:rFonts w:ascii="Arial" w:hAnsi="Arial" w:cs="Arial"/>
          <w:bCs/>
          <w:i/>
          <w:sz w:val="24"/>
          <w:szCs w:val="24"/>
        </w:rPr>
        <w:t xml:space="preserve">International Journal of Early Childhood, </w:t>
      </w:r>
      <w:r w:rsidRPr="009570FB">
        <w:rPr>
          <w:rFonts w:ascii="Arial" w:hAnsi="Arial" w:cs="Arial"/>
          <w:bCs/>
          <w:sz w:val="24"/>
          <w:szCs w:val="24"/>
        </w:rPr>
        <w:t xml:space="preserve">Volume 41, Issue 2, pp. 113 – 117 [Online]. </w:t>
      </w:r>
      <w:hyperlink r:id="rId17" w:history="1">
        <w:r w:rsidRPr="009570FB">
          <w:rPr>
            <w:rStyle w:val="Hyperlink"/>
            <w:rFonts w:ascii="Arial" w:hAnsi="Arial" w:cs="Arial"/>
            <w:bCs/>
            <w:sz w:val="24"/>
            <w:szCs w:val="24"/>
          </w:rPr>
          <w:t>file:///C:/Users/Player%201/Downloads/EARLY%20CHILDHOOD%20EDUCATION%20FOR%20SUSTAINABILITY.pdf</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Eco-Schools. (No date) ‘About Eco-Schools’ </w:t>
      </w:r>
      <w:hyperlink r:id="rId18" w:history="1">
        <w:r w:rsidRPr="009570FB">
          <w:rPr>
            <w:rStyle w:val="Hyperlink"/>
            <w:rFonts w:ascii="Arial" w:hAnsi="Arial" w:cs="Arial"/>
            <w:bCs/>
            <w:sz w:val="24"/>
            <w:szCs w:val="24"/>
          </w:rPr>
          <w:t>https://www.eco-schools.org.uk/about-us/</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lastRenderedPageBreak/>
        <w:t xml:space="preserve">Engdahl, I. and Rabusicova, M. (2010) ‘Children’s Voices about the State of the Earth and Sustainable Development’ </w:t>
      </w:r>
      <w:hyperlink r:id="rId19" w:history="1">
        <w:r w:rsidRPr="009570FB">
          <w:rPr>
            <w:rStyle w:val="Hyperlink"/>
            <w:rFonts w:ascii="Arial" w:hAnsi="Arial" w:cs="Arial"/>
            <w:bCs/>
            <w:sz w:val="24"/>
            <w:szCs w:val="24"/>
          </w:rPr>
          <w:t>file:///C:/Users/Player%201/Downloads/1314390_esd-congress-report-child-interviews.pdf</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Environment Canada. (2010) ‘Planning for a Sustainable Future: A Federal Sustainable Development Strategy for Canada’ </w:t>
      </w:r>
      <w:hyperlink r:id="rId20" w:history="1">
        <w:r w:rsidRPr="009570FB">
          <w:rPr>
            <w:rStyle w:val="Hyperlink"/>
            <w:rFonts w:ascii="Arial" w:hAnsi="Arial" w:cs="Arial"/>
            <w:bCs/>
            <w:sz w:val="24"/>
            <w:szCs w:val="24"/>
          </w:rPr>
          <w:t>https://www.ec.gc.ca/dd-sd/F93CD795-0035-4DAF-86D1-53099BD303F9/FSDS_v4_EN.pdf</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Estyn. (2013) ‘Supplementary guidance: education for sustainable development and global citizenship’ </w:t>
      </w:r>
      <w:hyperlink r:id="rId21" w:history="1">
        <w:r w:rsidRPr="009570FB">
          <w:rPr>
            <w:rStyle w:val="Hyperlink"/>
            <w:rFonts w:ascii="Arial" w:hAnsi="Arial" w:cs="Arial"/>
            <w:bCs/>
            <w:sz w:val="24"/>
            <w:szCs w:val="24"/>
          </w:rPr>
          <w:t>https://www.estyn.gov.wales/sites/default/files/documents/Supplementary%20guidance%20-%20ESDGC.pdf</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Estyn. (2014) ‘ESDGC Progress in education for sustainable development and global citizenship’ </w:t>
      </w:r>
      <w:hyperlink r:id="rId22" w:history="1">
        <w:r w:rsidRPr="009570FB">
          <w:rPr>
            <w:rStyle w:val="Hyperlink"/>
            <w:rFonts w:ascii="Arial" w:hAnsi="Arial" w:cs="Arial"/>
            <w:bCs/>
            <w:sz w:val="24"/>
            <w:szCs w:val="24"/>
          </w:rPr>
          <w:t>https://www.estyn.gov.wales/sites/default/files/documents/ESDGC%3A%20Progress%20in%20education%20for%20sustainable%20development%20and%20global%20citizenship%20-%20June%202014.pdf</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Estyn. (No date) ‘ESDGC: Progress in education for sustainable development and global citizenship’ </w:t>
      </w:r>
      <w:hyperlink r:id="rId23" w:history="1">
        <w:r w:rsidRPr="009570FB">
          <w:rPr>
            <w:rStyle w:val="Hyperlink"/>
            <w:rFonts w:ascii="Arial" w:hAnsi="Arial" w:cs="Arial"/>
            <w:bCs/>
            <w:sz w:val="24"/>
            <w:szCs w:val="24"/>
          </w:rPr>
          <w:t>https://www.estyn.gov.wales/thematic-reports/esdgc-progress-education-sustainable-development-and-global-citizenship-training</w:t>
        </w:r>
      </w:hyperlink>
      <w:r w:rsidRPr="009570FB">
        <w:rPr>
          <w:rFonts w:ascii="Arial" w:hAnsi="Arial" w:cs="Arial"/>
          <w:bCs/>
          <w:sz w:val="24"/>
          <w:szCs w:val="24"/>
        </w:rPr>
        <w:t xml:space="preserve"> [Accessed:22nd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Evans, D. (2011) ‘Global citizenship in 'real danger' of being overlooked: News’, </w:t>
      </w:r>
      <w:r w:rsidRPr="009570FB">
        <w:rPr>
          <w:rFonts w:ascii="Arial" w:hAnsi="Arial" w:cs="Arial"/>
          <w:bCs/>
          <w:i/>
          <w:sz w:val="24"/>
          <w:szCs w:val="24"/>
        </w:rPr>
        <w:t xml:space="preserve">The Times Educational Supplement Cymru, </w:t>
      </w:r>
      <w:r w:rsidRPr="009570FB">
        <w:rPr>
          <w:rFonts w:ascii="Arial" w:hAnsi="Arial" w:cs="Arial"/>
          <w:bCs/>
          <w:sz w:val="24"/>
          <w:szCs w:val="24"/>
        </w:rPr>
        <w:t xml:space="preserve">Issue 354, May, pp. 4 [Online]. </w:t>
      </w:r>
      <w:hyperlink r:id="rId24" w:history="1">
        <w:r w:rsidRPr="009570FB">
          <w:rPr>
            <w:rStyle w:val="Hyperlink"/>
            <w:rFonts w:ascii="Arial" w:hAnsi="Arial" w:cs="Arial"/>
            <w:bCs/>
            <w:sz w:val="24"/>
            <w:szCs w:val="24"/>
          </w:rPr>
          <w:t>https://search-proquest-com.ezproxy.uwtsd.ac.uk/docview/873487449?accountid=130472&amp;rfr_id=info%3Axri%2Fsid%3Aprimo</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Goldup, G. (2011) ‘What is the Eco-Schools Programme?’, </w:t>
      </w:r>
      <w:r w:rsidRPr="009570FB">
        <w:rPr>
          <w:rFonts w:ascii="Arial" w:hAnsi="Arial" w:cs="Arial"/>
          <w:bCs/>
          <w:i/>
          <w:sz w:val="24"/>
          <w:szCs w:val="24"/>
        </w:rPr>
        <w:t xml:space="preserve">Teaching Geography, </w:t>
      </w:r>
      <w:r w:rsidRPr="009570FB">
        <w:rPr>
          <w:rFonts w:ascii="Arial" w:hAnsi="Arial" w:cs="Arial"/>
          <w:bCs/>
          <w:sz w:val="24"/>
          <w:szCs w:val="24"/>
        </w:rPr>
        <w:t xml:space="preserve">Volume 36, Issue 1, pp. 28 – 29 [Online]. </w:t>
      </w:r>
      <w:hyperlink r:id="rId25" w:history="1">
        <w:r w:rsidRPr="009570FB">
          <w:rPr>
            <w:rStyle w:val="Hyperlink"/>
            <w:rFonts w:ascii="Arial" w:hAnsi="Arial" w:cs="Arial"/>
            <w:bCs/>
            <w:sz w:val="24"/>
            <w:szCs w:val="24"/>
          </w:rPr>
          <w:t>https://search-proquest-com.ezproxy.uwtsd.ac.uk/docview/862094967?accountid=130472&amp;rfr_id=info%3Axri%2Fsid%3Aprimo</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
          <w:bCs/>
          <w:sz w:val="24"/>
          <w:szCs w:val="24"/>
        </w:rPr>
      </w:pPr>
      <w:r w:rsidRPr="009570FB">
        <w:rPr>
          <w:rFonts w:ascii="Arial" w:hAnsi="Arial" w:cs="Arial"/>
          <w:bCs/>
          <w:sz w:val="24"/>
          <w:szCs w:val="24"/>
        </w:rPr>
        <w:t xml:space="preserve">Government of Canada. (No date) ‘Federal Sustainable Development Act and Federal Sustainable Development Strategy’ </w:t>
      </w:r>
      <w:hyperlink r:id="rId26" w:history="1">
        <w:r w:rsidRPr="009570FB">
          <w:rPr>
            <w:rStyle w:val="Hyperlink"/>
            <w:rFonts w:ascii="Arial" w:hAnsi="Arial" w:cs="Arial"/>
            <w:bCs/>
            <w:sz w:val="24"/>
            <w:szCs w:val="24"/>
          </w:rPr>
          <w:t>https://www.canada.ca/en/public-health/corporate/mandate/about-agency/sustainable-development/federal-sustainable-development-act-federal-sustainable-development-strategy.html</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Heinrich, W. F., Habron, G. B., Johnson, H. L. and Goralnik, L. (2015) ‘Critical Thinking Assessment Across Four SustainabilityRelated Experiential Learning Settings’, </w:t>
      </w:r>
      <w:r w:rsidRPr="009570FB">
        <w:rPr>
          <w:rFonts w:ascii="Arial" w:hAnsi="Arial" w:cs="Arial"/>
          <w:bCs/>
          <w:i/>
          <w:sz w:val="24"/>
          <w:szCs w:val="24"/>
        </w:rPr>
        <w:t xml:space="preserve">Journal of Experiential Education, </w:t>
      </w:r>
      <w:r w:rsidRPr="009570FB">
        <w:rPr>
          <w:rFonts w:ascii="Arial" w:hAnsi="Arial" w:cs="Arial"/>
          <w:bCs/>
          <w:sz w:val="24"/>
          <w:szCs w:val="24"/>
        </w:rPr>
        <w:t xml:space="preserve">Volume 38, Issue 4, pp. 373 – 393 [Online]. </w:t>
      </w:r>
      <w:hyperlink r:id="rId27" w:history="1">
        <w:r w:rsidRPr="009570FB">
          <w:rPr>
            <w:rStyle w:val="Hyperlink"/>
            <w:rFonts w:ascii="Arial" w:hAnsi="Arial" w:cs="Arial"/>
            <w:bCs/>
            <w:sz w:val="24"/>
            <w:szCs w:val="24"/>
          </w:rPr>
          <w:t>https://web-b-ebscohost-com.ezproxy.uwtsd.ac.uk/ehost/pdfviewer/pdfviewer?vid=1&amp;sid=93a739d3-c07d-441c-a361-a487ce4d11de%40sessionmgr102</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Jerome, N. (2013) ‘Application of the Maslow’s hierarchy of need theory; impacts and implications on organizational culture, human resource and employee’s performance’, </w:t>
      </w:r>
      <w:r w:rsidRPr="009570FB">
        <w:rPr>
          <w:rFonts w:ascii="Arial" w:hAnsi="Arial" w:cs="Arial"/>
          <w:bCs/>
          <w:i/>
          <w:sz w:val="24"/>
          <w:szCs w:val="24"/>
        </w:rPr>
        <w:lastRenderedPageBreak/>
        <w:t xml:space="preserve">International Journal of Business and Management Invention, </w:t>
      </w:r>
      <w:r w:rsidRPr="009570FB">
        <w:rPr>
          <w:rFonts w:ascii="Arial" w:hAnsi="Arial" w:cs="Arial"/>
          <w:bCs/>
          <w:sz w:val="24"/>
          <w:szCs w:val="24"/>
        </w:rPr>
        <w:t xml:space="preserve">Volume 2, Issue 3, pp. 39 – 45 [Online]. </w:t>
      </w:r>
      <w:hyperlink r:id="rId28" w:history="1">
        <w:r w:rsidRPr="009570FB">
          <w:rPr>
            <w:rStyle w:val="Hyperlink"/>
            <w:rFonts w:ascii="Arial" w:hAnsi="Arial" w:cs="Arial"/>
            <w:bCs/>
            <w:sz w:val="24"/>
            <w:szCs w:val="24"/>
          </w:rPr>
          <w:t>https://pdfs.semanticscholar.org/b0bc/c8ca45193eaf700350a8ac2ddfc09a093be8.pdf</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Kaiman, J. (2014) ‘China strengthens environmental laws’ </w:t>
      </w:r>
      <w:hyperlink r:id="rId29" w:history="1">
        <w:r w:rsidRPr="009570FB">
          <w:rPr>
            <w:rStyle w:val="Hyperlink"/>
            <w:rFonts w:ascii="Arial" w:hAnsi="Arial" w:cs="Arial"/>
            <w:bCs/>
            <w:sz w:val="24"/>
            <w:szCs w:val="24"/>
          </w:rPr>
          <w:t>https://www.theguardian.com/environment/2014/apr/25/china-strengthens-environmental-laws-polluting-factories</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Kuo, L. (2018) ‘China 'environment census' reveals 50% rise in pollution sources’ </w:t>
      </w:r>
      <w:hyperlink r:id="rId30" w:history="1">
        <w:r w:rsidRPr="009570FB">
          <w:rPr>
            <w:rStyle w:val="Hyperlink"/>
            <w:rFonts w:ascii="Arial" w:hAnsi="Arial" w:cs="Arial"/>
            <w:bCs/>
            <w:sz w:val="24"/>
            <w:szCs w:val="24"/>
          </w:rPr>
          <w:t>https://www.theguardian.com/world/2018/mar/31/china-environment-census-reveals-50-rise-in-pollution-sources</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Lester, D. (2013) ‘Measuring Maslow’s Hierarchy of Needs’, </w:t>
      </w:r>
      <w:r w:rsidRPr="009570FB">
        <w:rPr>
          <w:rFonts w:ascii="Arial" w:hAnsi="Arial" w:cs="Arial"/>
          <w:bCs/>
          <w:i/>
          <w:sz w:val="24"/>
          <w:szCs w:val="24"/>
        </w:rPr>
        <w:t xml:space="preserve">Psychological Reports: Mental and Physical Health, </w:t>
      </w:r>
      <w:r w:rsidRPr="009570FB">
        <w:rPr>
          <w:rFonts w:ascii="Arial" w:hAnsi="Arial" w:cs="Arial"/>
          <w:bCs/>
          <w:sz w:val="24"/>
          <w:szCs w:val="24"/>
        </w:rPr>
        <w:t xml:space="preserve">Volume 113, Issue 1, pp. 15 – 17 [Online]. </w:t>
      </w:r>
      <w:hyperlink r:id="rId31" w:history="1">
        <w:r w:rsidRPr="009570FB">
          <w:rPr>
            <w:rStyle w:val="Hyperlink"/>
            <w:rFonts w:ascii="Arial" w:hAnsi="Arial" w:cs="Arial"/>
            <w:bCs/>
            <w:sz w:val="24"/>
            <w:szCs w:val="24"/>
          </w:rPr>
          <w:t>https://web-b-ebscohost-com.ezproxy.uwtsd.ac.uk/ehost/pdfviewer/pdfviewer?vid=1&amp;sid=2af144d7-6e40-42ea-980e-11059e527973%40sessionmgr102</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 </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Liu, Y. and Pan, Y. J. (2013) ‘A review and analysis of the current policy on early childhood education in mainland China’, </w:t>
      </w:r>
      <w:r w:rsidRPr="009570FB">
        <w:rPr>
          <w:rFonts w:ascii="Arial" w:hAnsi="Arial" w:cs="Arial"/>
          <w:bCs/>
          <w:i/>
          <w:sz w:val="24"/>
          <w:szCs w:val="24"/>
        </w:rPr>
        <w:t xml:space="preserve">International Journal of Early Years Education, </w:t>
      </w:r>
      <w:r w:rsidRPr="009570FB">
        <w:rPr>
          <w:rFonts w:ascii="Arial" w:hAnsi="Arial" w:cs="Arial"/>
          <w:bCs/>
          <w:sz w:val="24"/>
          <w:szCs w:val="24"/>
        </w:rPr>
        <w:t xml:space="preserve">Volume 21, Issue 2, pp. 141 – 151 [Online]. </w:t>
      </w:r>
      <w:hyperlink r:id="rId32" w:history="1">
        <w:r w:rsidRPr="009570FB">
          <w:rPr>
            <w:rStyle w:val="Hyperlink"/>
            <w:rFonts w:ascii="Arial" w:hAnsi="Arial" w:cs="Arial"/>
            <w:bCs/>
            <w:sz w:val="24"/>
            <w:szCs w:val="24"/>
          </w:rPr>
          <w:t>https://web-b-ebscohost-com.ezproxy.uwtsd.ac.uk/ehost/pdfviewer/pdfviewer?vid=1&amp;sid=eaa3bb66-b7b7-4630-96c8-7708b1a3a238%40sessionmgr101</w:t>
        </w:r>
      </w:hyperlink>
      <w:r w:rsidRPr="009570FB">
        <w:rPr>
          <w:rFonts w:ascii="Arial" w:hAnsi="Arial" w:cs="Arial"/>
          <w:bCs/>
          <w:sz w:val="24"/>
          <w:szCs w:val="24"/>
        </w:rPr>
        <w:t xml:space="preserve"> [Accessed: 23</w:t>
      </w:r>
      <w:r w:rsidRPr="009570FB">
        <w:rPr>
          <w:rFonts w:ascii="Arial" w:hAnsi="Arial" w:cs="Arial"/>
          <w:bCs/>
          <w:sz w:val="24"/>
          <w:szCs w:val="24"/>
          <w:vertAlign w:val="superscript"/>
        </w:rPr>
        <w:t>rd</w:t>
      </w:r>
      <w:r w:rsidRPr="009570FB">
        <w:rPr>
          <w:rFonts w:ascii="Arial" w:hAnsi="Arial" w:cs="Arial"/>
          <w:bCs/>
          <w:sz w:val="24"/>
          <w:szCs w:val="24"/>
        </w:rPr>
        <w:t xml:space="preserve"> Masy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Mu, Z., Bu, S. and Xue, B. (2014) ‘Environmental Legislation in China: Achievements, Challenges and Trends’, </w:t>
      </w:r>
      <w:r w:rsidRPr="009570FB">
        <w:rPr>
          <w:rFonts w:ascii="Arial" w:hAnsi="Arial" w:cs="Arial"/>
          <w:bCs/>
          <w:i/>
          <w:sz w:val="24"/>
          <w:szCs w:val="24"/>
        </w:rPr>
        <w:t xml:space="preserve">Sustainability, </w:t>
      </w:r>
      <w:r w:rsidRPr="009570FB">
        <w:rPr>
          <w:rFonts w:ascii="Arial" w:hAnsi="Arial" w:cs="Arial"/>
          <w:bCs/>
          <w:sz w:val="24"/>
          <w:szCs w:val="24"/>
        </w:rPr>
        <w:t xml:space="preserve">Volume 6, pp. 8967 – 8979 [Online]. </w:t>
      </w:r>
      <w:hyperlink r:id="rId33" w:history="1">
        <w:r w:rsidRPr="009570FB">
          <w:rPr>
            <w:rStyle w:val="Hyperlink"/>
            <w:rFonts w:ascii="Arial" w:hAnsi="Arial" w:cs="Arial"/>
            <w:bCs/>
            <w:sz w:val="24"/>
            <w:szCs w:val="24"/>
          </w:rPr>
          <w:t>file:///C:/Users/Player%201/Downloads/sustainability-06-08967.pdf</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 </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Oxfam. (No date) ‘We Won’t Live with Poverty’ </w:t>
      </w:r>
      <w:hyperlink r:id="rId34" w:history="1">
        <w:r w:rsidRPr="009570FB">
          <w:rPr>
            <w:rStyle w:val="Hyperlink"/>
            <w:rFonts w:ascii="Arial" w:hAnsi="Arial" w:cs="Arial"/>
            <w:bCs/>
            <w:sz w:val="24"/>
            <w:szCs w:val="24"/>
          </w:rPr>
          <w:t>https://www.oxfam.org.uk/what-we-do</w:t>
        </w:r>
      </w:hyperlink>
      <w:r w:rsidRPr="009570FB">
        <w:rPr>
          <w:rFonts w:ascii="Arial" w:hAnsi="Arial" w:cs="Arial"/>
          <w:bCs/>
          <w:sz w:val="24"/>
          <w:szCs w:val="24"/>
        </w:rPr>
        <w:t xml:space="preserve"> [Accessed: 24</w:t>
      </w:r>
      <w:r w:rsidRPr="009570FB">
        <w:rPr>
          <w:rFonts w:ascii="Arial" w:hAnsi="Arial" w:cs="Arial"/>
          <w:bCs/>
          <w:sz w:val="24"/>
          <w:szCs w:val="24"/>
          <w:vertAlign w:val="superscript"/>
        </w:rPr>
        <w:t>th</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Ozar, R. (2015) ‘</w:t>
      </w:r>
      <w:bookmarkStart w:id="1" w:name="citation"/>
      <w:r w:rsidRPr="009570FB">
        <w:rPr>
          <w:rFonts w:ascii="Arial" w:hAnsi="Arial" w:cs="Arial"/>
          <w:bCs/>
          <w:sz w:val="24"/>
          <w:szCs w:val="24"/>
        </w:rPr>
        <w:t xml:space="preserve">Sharing a Room with Emile: Challenging the Role of the Educator in Experiential Learning Theory’, </w:t>
      </w:r>
      <w:r w:rsidRPr="009570FB">
        <w:rPr>
          <w:rFonts w:ascii="Arial" w:hAnsi="Arial" w:cs="Arial"/>
          <w:bCs/>
          <w:i/>
          <w:sz w:val="24"/>
          <w:szCs w:val="24"/>
        </w:rPr>
        <w:t xml:space="preserve">Philosophical Studies in Education, </w:t>
      </w:r>
      <w:r w:rsidRPr="009570FB">
        <w:rPr>
          <w:rFonts w:ascii="Arial" w:hAnsi="Arial" w:cs="Arial"/>
          <w:bCs/>
          <w:sz w:val="24"/>
          <w:szCs w:val="24"/>
        </w:rPr>
        <w:t xml:space="preserve">Volume 46, pp. 90 – 100 [Online]. </w:t>
      </w:r>
      <w:hyperlink r:id="rId35" w:anchor="AN=108502968&amp;db=eue" w:history="1">
        <w:r w:rsidRPr="009570FB">
          <w:rPr>
            <w:rStyle w:val="Hyperlink"/>
            <w:rFonts w:ascii="Arial" w:hAnsi="Arial" w:cs="Arial"/>
            <w:bCs/>
            <w:sz w:val="24"/>
            <w:szCs w:val="24"/>
          </w:rPr>
          <w:t>https://web-b-ebscohost-com.ezproxy.uwtsd.ac.uk/ehost/detail/detail?vid=2&amp;sid=f880c678-cf90-4f4a-9a45-ea28edf3d2b7%40sessionmgr103&amp;bdata=JnNpdGU9ZWhvc3QtbGl2ZQ%3d%3d#AN=108502968&amp;db=eue</w:t>
        </w:r>
      </w:hyperlink>
      <w:r w:rsidRPr="009570FB">
        <w:rPr>
          <w:rFonts w:ascii="Arial" w:hAnsi="Arial" w:cs="Arial"/>
          <w:bCs/>
          <w:sz w:val="24"/>
          <w:szCs w:val="24"/>
        </w:rPr>
        <w:t xml:space="preserve"> [Accessed: 21</w:t>
      </w:r>
      <w:r w:rsidRPr="009570FB">
        <w:rPr>
          <w:rFonts w:ascii="Arial" w:hAnsi="Arial" w:cs="Arial"/>
          <w:bCs/>
          <w:sz w:val="24"/>
          <w:szCs w:val="24"/>
          <w:vertAlign w:val="superscript"/>
        </w:rPr>
        <w:t>st</w:t>
      </w:r>
      <w:r w:rsidRPr="009570FB">
        <w:rPr>
          <w:rFonts w:ascii="Arial" w:hAnsi="Arial" w:cs="Arial"/>
          <w:bCs/>
          <w:sz w:val="24"/>
          <w:szCs w:val="24"/>
        </w:rPr>
        <w:t xml:space="preserve"> May 2018].</w:t>
      </w:r>
    </w:p>
    <w:p w:rsidR="009570FB" w:rsidRPr="009570FB" w:rsidRDefault="009570FB" w:rsidP="009570FB">
      <w:pPr>
        <w:jc w:val="both"/>
        <w:rPr>
          <w:rFonts w:ascii="Arial" w:hAnsi="Arial" w:cs="Arial"/>
          <w:bCs/>
          <w:sz w:val="24"/>
          <w:szCs w:val="24"/>
        </w:rPr>
      </w:pPr>
      <w:r w:rsidRPr="009570FB">
        <w:rPr>
          <w:rFonts w:ascii="Arial" w:hAnsi="Arial" w:cs="Arial"/>
          <w:bCs/>
          <w:sz w:val="24"/>
          <w:szCs w:val="24"/>
        </w:rPr>
        <w:t xml:space="preserve">Quay, J. and Seaman, J. (2013) </w:t>
      </w:r>
      <w:r w:rsidRPr="009570FB">
        <w:rPr>
          <w:rFonts w:ascii="Arial" w:hAnsi="Arial" w:cs="Arial"/>
          <w:bCs/>
          <w:i/>
          <w:sz w:val="24"/>
          <w:szCs w:val="24"/>
        </w:rPr>
        <w:t>John Dewey and Education Outdoors Making Sense of the ‘Educational Situation’ through more than a Century of Progressive Reforms.</w:t>
      </w:r>
      <w:r w:rsidRPr="009570FB">
        <w:rPr>
          <w:rFonts w:ascii="Arial" w:hAnsi="Arial" w:cs="Arial"/>
          <w:bCs/>
          <w:sz w:val="24"/>
          <w:szCs w:val="24"/>
        </w:rPr>
        <w:t xml:space="preserve"> Rotterdam: Sense Publishers. [E-Book]. Available at: </w:t>
      </w:r>
      <w:hyperlink r:id="rId36" w:history="1">
        <w:r w:rsidRPr="009570FB">
          <w:rPr>
            <w:rStyle w:val="Hyperlink"/>
            <w:rFonts w:ascii="Arial" w:hAnsi="Arial" w:cs="Arial"/>
            <w:bCs/>
            <w:sz w:val="24"/>
            <w:szCs w:val="24"/>
          </w:rPr>
          <w:t>https://www.sensepublishers.com/media/1569-john-dewey-and-education-outdoors.pdf</w:t>
        </w:r>
      </w:hyperlink>
      <w:r w:rsidRPr="009570FB">
        <w:rPr>
          <w:rFonts w:ascii="Arial" w:hAnsi="Arial" w:cs="Arial"/>
          <w:bCs/>
          <w:sz w:val="24"/>
          <w:szCs w:val="24"/>
        </w:rPr>
        <w:t xml:space="preserve"> [Accessed: 22</w:t>
      </w:r>
      <w:r w:rsidRPr="009570FB">
        <w:rPr>
          <w:rFonts w:ascii="Arial" w:hAnsi="Arial" w:cs="Arial"/>
          <w:bCs/>
          <w:sz w:val="24"/>
          <w:szCs w:val="24"/>
          <w:vertAlign w:val="superscript"/>
        </w:rPr>
        <w:t>nd</w:t>
      </w:r>
      <w:r w:rsidRPr="009570FB">
        <w:rPr>
          <w:rFonts w:ascii="Arial" w:hAnsi="Arial" w:cs="Arial"/>
          <w:bCs/>
          <w:sz w:val="24"/>
          <w:szCs w:val="24"/>
        </w:rPr>
        <w:t xml:space="preserve"> May 2018].</w:t>
      </w:r>
    </w:p>
    <w:bookmarkEnd w:id="1"/>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Tye, K. A. (2014) ‘Global Education: a worldwide movement. An Update’, </w:t>
      </w:r>
      <w:r w:rsidRPr="009570FB">
        <w:rPr>
          <w:rFonts w:ascii="Arial" w:hAnsi="Arial" w:cs="Arial"/>
          <w:i/>
          <w:sz w:val="24"/>
          <w:szCs w:val="24"/>
        </w:rPr>
        <w:t>Policy Futures in Education,</w:t>
      </w:r>
      <w:r w:rsidRPr="009570FB">
        <w:rPr>
          <w:rFonts w:ascii="Arial" w:hAnsi="Arial" w:cs="Arial"/>
          <w:sz w:val="24"/>
          <w:szCs w:val="24"/>
        </w:rPr>
        <w:t xml:space="preserve"> Volume 12, Issue 7, January [Online]. </w:t>
      </w:r>
      <w:hyperlink r:id="rId37" w:history="1">
        <w:r w:rsidRPr="009570FB">
          <w:rPr>
            <w:rStyle w:val="Hyperlink"/>
            <w:rFonts w:ascii="Arial" w:hAnsi="Arial" w:cs="Arial"/>
            <w:sz w:val="24"/>
            <w:szCs w:val="24"/>
          </w:rPr>
          <w:t>http://journals.sagepub.com/doi/pdf/10.2304/pfie.2014.12.7.855</w:t>
        </w:r>
      </w:hyperlink>
      <w:r w:rsidRPr="009570FB">
        <w:rPr>
          <w:rFonts w:ascii="Arial" w:hAnsi="Arial" w:cs="Arial"/>
          <w:sz w:val="24"/>
          <w:szCs w:val="24"/>
        </w:rPr>
        <w:t xml:space="preserve"> [Accessed: 21</w:t>
      </w:r>
      <w:r w:rsidRPr="009570FB">
        <w:rPr>
          <w:rFonts w:ascii="Arial" w:hAnsi="Arial" w:cs="Arial"/>
          <w:sz w:val="24"/>
          <w:szCs w:val="24"/>
          <w:vertAlign w:val="superscript"/>
        </w:rPr>
        <w:t>st</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United Nations Sustainable Development. (No date) ‘Agenda 21: UNCED, 1992’ </w:t>
      </w:r>
      <w:hyperlink r:id="rId38" w:history="1">
        <w:r w:rsidRPr="009570FB">
          <w:rPr>
            <w:rStyle w:val="Hyperlink"/>
            <w:rFonts w:ascii="Arial" w:hAnsi="Arial" w:cs="Arial"/>
            <w:sz w:val="24"/>
            <w:szCs w:val="24"/>
          </w:rPr>
          <w:t>https://sustainabledevelopment.un.org/outcomedocuments/agenda21</w:t>
        </w:r>
      </w:hyperlink>
      <w:r w:rsidRPr="009570FB">
        <w:rPr>
          <w:rFonts w:ascii="Arial" w:hAnsi="Arial" w:cs="Arial"/>
          <w:sz w:val="24"/>
          <w:szCs w:val="24"/>
        </w:rPr>
        <w:t xml:space="preserve"> [Accessed: 22</w:t>
      </w:r>
      <w:r w:rsidRPr="009570FB">
        <w:rPr>
          <w:rFonts w:ascii="Arial" w:hAnsi="Arial" w:cs="Arial"/>
          <w:sz w:val="24"/>
          <w:szCs w:val="24"/>
          <w:vertAlign w:val="superscript"/>
        </w:rPr>
        <w:t>nd</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lang w:val="en"/>
        </w:rPr>
      </w:pPr>
      <w:r w:rsidRPr="009570FB">
        <w:rPr>
          <w:rFonts w:ascii="Arial" w:hAnsi="Arial" w:cs="Arial"/>
          <w:sz w:val="24"/>
          <w:szCs w:val="24"/>
        </w:rPr>
        <w:t>Watkins, P. and Glover, A. (2016) ‘</w:t>
      </w:r>
      <w:r w:rsidRPr="009570FB">
        <w:rPr>
          <w:rFonts w:ascii="Arial" w:hAnsi="Arial" w:cs="Arial"/>
          <w:sz w:val="24"/>
          <w:szCs w:val="24"/>
          <w:lang w:val="en"/>
        </w:rPr>
        <w:t xml:space="preserve">Future Generations: Developing Education for Sustainability and Global Citizenship for University Education Students’, </w:t>
      </w:r>
      <w:r w:rsidRPr="009570FB">
        <w:rPr>
          <w:rFonts w:ascii="Arial" w:hAnsi="Arial" w:cs="Arial"/>
          <w:i/>
          <w:sz w:val="24"/>
          <w:szCs w:val="24"/>
          <w:lang w:val="en"/>
        </w:rPr>
        <w:t xml:space="preserve">Teaching Education for Sustainable Development at University Level, </w:t>
      </w:r>
      <w:r w:rsidRPr="009570FB">
        <w:rPr>
          <w:rFonts w:ascii="Arial" w:hAnsi="Arial" w:cs="Arial"/>
          <w:sz w:val="24"/>
          <w:szCs w:val="24"/>
          <w:lang w:val="en"/>
        </w:rPr>
        <w:t xml:space="preserve">June, pp. 67 – 81 [Online]. </w:t>
      </w:r>
      <w:hyperlink r:id="rId39" w:history="1">
        <w:r w:rsidRPr="009570FB">
          <w:rPr>
            <w:rStyle w:val="Hyperlink"/>
            <w:rFonts w:ascii="Arial" w:hAnsi="Arial" w:cs="Arial"/>
            <w:sz w:val="24"/>
            <w:szCs w:val="24"/>
            <w:lang w:val="en"/>
          </w:rPr>
          <w:t>https://link.springer.com/chapter/10.1007/978-3-319-32928-4_5</w:t>
        </w:r>
      </w:hyperlink>
      <w:r w:rsidRPr="009570FB">
        <w:rPr>
          <w:rFonts w:ascii="Arial" w:hAnsi="Arial" w:cs="Arial"/>
          <w:sz w:val="24"/>
          <w:szCs w:val="24"/>
          <w:lang w:val="en"/>
        </w:rPr>
        <w:t xml:space="preserve"> [Accessed: 22</w:t>
      </w:r>
      <w:r w:rsidRPr="009570FB">
        <w:rPr>
          <w:rFonts w:ascii="Arial" w:hAnsi="Arial" w:cs="Arial"/>
          <w:sz w:val="24"/>
          <w:szCs w:val="24"/>
          <w:vertAlign w:val="superscript"/>
          <w:lang w:val="en"/>
        </w:rPr>
        <w:t>nd</w:t>
      </w:r>
      <w:r w:rsidRPr="009570FB">
        <w:rPr>
          <w:rFonts w:ascii="Arial" w:hAnsi="Arial" w:cs="Arial"/>
          <w:sz w:val="24"/>
          <w:szCs w:val="24"/>
          <w:lang w:val="en"/>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Welsh Assembly Government. (2008) ‘Education for Sustainable Development and Global Citizenship: Information for teacher trainees and new teachers in Wales’ </w:t>
      </w:r>
      <w:hyperlink r:id="rId40" w:history="1">
        <w:r w:rsidRPr="009570FB">
          <w:rPr>
            <w:rStyle w:val="Hyperlink"/>
            <w:rFonts w:ascii="Arial" w:hAnsi="Arial" w:cs="Arial"/>
            <w:sz w:val="24"/>
            <w:szCs w:val="24"/>
          </w:rPr>
          <w:t>http://learning.gov.wales/docs/learningwales/publications/081204infoteachertraineesen.pdf</w:t>
        </w:r>
      </w:hyperlink>
      <w:r w:rsidRPr="009570FB">
        <w:rPr>
          <w:rFonts w:ascii="Arial" w:hAnsi="Arial" w:cs="Arial"/>
          <w:sz w:val="24"/>
          <w:szCs w:val="24"/>
        </w:rPr>
        <w:t xml:space="preserve"> [Accessed: 21</w:t>
      </w:r>
      <w:r w:rsidRPr="009570FB">
        <w:rPr>
          <w:rFonts w:ascii="Arial" w:hAnsi="Arial" w:cs="Arial"/>
          <w:sz w:val="24"/>
          <w:szCs w:val="24"/>
          <w:vertAlign w:val="superscript"/>
        </w:rPr>
        <w:t>st</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Welsh Assembly Government. (2009) ‘One Wales: One Planet The Sustainable Development Scheme of the Welsh Assembly Government’ </w:t>
      </w:r>
      <w:hyperlink r:id="rId41" w:history="1">
        <w:r w:rsidRPr="009570FB">
          <w:rPr>
            <w:rStyle w:val="Hyperlink"/>
            <w:rFonts w:ascii="Arial" w:hAnsi="Arial" w:cs="Arial"/>
            <w:sz w:val="24"/>
            <w:szCs w:val="24"/>
          </w:rPr>
          <w:t>http://www.wales.nhs.uk/sitesplus/documents/829/One%20Wales-%20One%20Planet%20%282009%29.pdf</w:t>
        </w:r>
      </w:hyperlink>
      <w:r w:rsidRPr="009570FB">
        <w:rPr>
          <w:rFonts w:ascii="Arial" w:hAnsi="Arial" w:cs="Arial"/>
          <w:sz w:val="24"/>
          <w:szCs w:val="24"/>
        </w:rPr>
        <w:t xml:space="preserve"> [Accessed: 22</w:t>
      </w:r>
      <w:r w:rsidRPr="009570FB">
        <w:rPr>
          <w:rFonts w:ascii="Arial" w:hAnsi="Arial" w:cs="Arial"/>
          <w:sz w:val="24"/>
          <w:szCs w:val="24"/>
          <w:vertAlign w:val="superscript"/>
        </w:rPr>
        <w:t>nd</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Welsh Government. (2015) ‘Foundation Phase Framework: Revised 2015’ </w:t>
      </w:r>
      <w:hyperlink r:id="rId42" w:history="1">
        <w:r w:rsidRPr="009570FB">
          <w:rPr>
            <w:rStyle w:val="Hyperlink"/>
            <w:rFonts w:ascii="Arial" w:hAnsi="Arial" w:cs="Arial"/>
            <w:sz w:val="24"/>
            <w:szCs w:val="24"/>
          </w:rPr>
          <w:t>https://beta.gov.wales/sites/default/files/publications/2018-02/foundation-phase-framework-revised-2015.pdf</w:t>
        </w:r>
      </w:hyperlink>
      <w:r w:rsidRPr="009570FB">
        <w:rPr>
          <w:rFonts w:ascii="Arial" w:hAnsi="Arial" w:cs="Arial"/>
          <w:sz w:val="24"/>
          <w:szCs w:val="24"/>
        </w:rPr>
        <w:t xml:space="preserve"> [Accessed: 21</w:t>
      </w:r>
      <w:r w:rsidRPr="009570FB">
        <w:rPr>
          <w:rFonts w:ascii="Arial" w:hAnsi="Arial" w:cs="Arial"/>
          <w:sz w:val="24"/>
          <w:szCs w:val="24"/>
          <w:vertAlign w:val="superscript"/>
        </w:rPr>
        <w:t>st</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rPr>
      </w:pPr>
      <w:r w:rsidRPr="009570FB">
        <w:rPr>
          <w:rFonts w:ascii="Arial" w:hAnsi="Arial" w:cs="Arial"/>
          <w:sz w:val="24"/>
          <w:szCs w:val="24"/>
        </w:rPr>
        <w:t xml:space="preserve">Williams, S. (2015) ‘Early Years Outcomes Framework’ </w:t>
      </w:r>
      <w:hyperlink r:id="rId43" w:history="1">
        <w:r w:rsidRPr="009570FB">
          <w:rPr>
            <w:rStyle w:val="Hyperlink"/>
            <w:rFonts w:ascii="Arial" w:hAnsi="Arial" w:cs="Arial"/>
            <w:sz w:val="24"/>
            <w:szCs w:val="24"/>
          </w:rPr>
          <w:t>https://naturalresources.wales/media/1866/early-years-outcomes-framework.pdf</w:t>
        </w:r>
      </w:hyperlink>
      <w:r w:rsidRPr="009570FB">
        <w:rPr>
          <w:rFonts w:ascii="Arial" w:hAnsi="Arial" w:cs="Arial"/>
          <w:sz w:val="24"/>
          <w:szCs w:val="24"/>
        </w:rPr>
        <w:t xml:space="preserve"> [Accessed: 22</w:t>
      </w:r>
      <w:r w:rsidRPr="009570FB">
        <w:rPr>
          <w:rFonts w:ascii="Arial" w:hAnsi="Arial" w:cs="Arial"/>
          <w:sz w:val="24"/>
          <w:szCs w:val="24"/>
          <w:vertAlign w:val="superscript"/>
        </w:rPr>
        <w:t>nd</w:t>
      </w:r>
      <w:r w:rsidRPr="009570FB">
        <w:rPr>
          <w:rFonts w:ascii="Arial" w:hAnsi="Arial" w:cs="Arial"/>
          <w:sz w:val="24"/>
          <w:szCs w:val="24"/>
        </w:rPr>
        <w:t xml:space="preserve"> May 2018].</w:t>
      </w:r>
    </w:p>
    <w:p w:rsidR="009570FB" w:rsidRPr="009570FB" w:rsidRDefault="009570FB" w:rsidP="009570FB">
      <w:pPr>
        <w:jc w:val="both"/>
        <w:rPr>
          <w:rFonts w:ascii="Arial" w:hAnsi="Arial" w:cs="Arial"/>
          <w:sz w:val="24"/>
          <w:szCs w:val="24"/>
          <w:lang w:val="en"/>
        </w:rPr>
      </w:pPr>
      <w:r w:rsidRPr="009570FB">
        <w:rPr>
          <w:rFonts w:ascii="Arial" w:hAnsi="Arial" w:cs="Arial"/>
          <w:sz w:val="24"/>
          <w:szCs w:val="24"/>
        </w:rPr>
        <w:t>Zhou, X., Liu, Z., Han, C. and Wang, G. (2016) ‘</w:t>
      </w:r>
      <w:r w:rsidRPr="009570FB">
        <w:rPr>
          <w:rFonts w:ascii="Arial" w:hAnsi="Arial" w:cs="Arial"/>
          <w:sz w:val="24"/>
          <w:szCs w:val="24"/>
          <w:lang w:val="en"/>
        </w:rPr>
        <w:t xml:space="preserve">Early Childhood Education for Sustainable Development in China’, </w:t>
      </w:r>
      <w:r w:rsidRPr="009570FB">
        <w:rPr>
          <w:rFonts w:ascii="Arial" w:hAnsi="Arial" w:cs="Arial"/>
          <w:i/>
          <w:sz w:val="24"/>
          <w:szCs w:val="24"/>
          <w:lang w:val="en"/>
        </w:rPr>
        <w:t xml:space="preserve">International Research on Education for Sustainable Development in Early Childhood, </w:t>
      </w:r>
      <w:r w:rsidRPr="009570FB">
        <w:rPr>
          <w:rFonts w:ascii="Arial" w:hAnsi="Arial" w:cs="Arial"/>
          <w:sz w:val="24"/>
          <w:szCs w:val="24"/>
          <w:lang w:val="en"/>
        </w:rPr>
        <w:t xml:space="preserve">Volume 14, pp. 43 - 57 [Online]. </w:t>
      </w:r>
      <w:hyperlink r:id="rId44" w:history="1">
        <w:r w:rsidRPr="009570FB">
          <w:rPr>
            <w:rStyle w:val="Hyperlink"/>
            <w:rFonts w:ascii="Arial" w:hAnsi="Arial" w:cs="Arial"/>
            <w:sz w:val="24"/>
            <w:szCs w:val="24"/>
            <w:lang w:val="en"/>
          </w:rPr>
          <w:t>https://link.springer.com/chapter/10.1007/978-3-319-42208-4_4</w:t>
        </w:r>
      </w:hyperlink>
      <w:r w:rsidRPr="009570FB">
        <w:rPr>
          <w:rFonts w:ascii="Arial" w:hAnsi="Arial" w:cs="Arial"/>
          <w:sz w:val="24"/>
          <w:szCs w:val="24"/>
          <w:lang w:val="en"/>
        </w:rPr>
        <w:t xml:space="preserve"> [Accessed: 23</w:t>
      </w:r>
      <w:r w:rsidRPr="009570FB">
        <w:rPr>
          <w:rFonts w:ascii="Arial" w:hAnsi="Arial" w:cs="Arial"/>
          <w:sz w:val="24"/>
          <w:szCs w:val="24"/>
          <w:vertAlign w:val="superscript"/>
          <w:lang w:val="en"/>
        </w:rPr>
        <w:t>rd</w:t>
      </w:r>
      <w:r w:rsidRPr="009570FB">
        <w:rPr>
          <w:rFonts w:ascii="Arial" w:hAnsi="Arial" w:cs="Arial"/>
          <w:sz w:val="24"/>
          <w:szCs w:val="24"/>
          <w:lang w:val="en"/>
        </w:rPr>
        <w:t xml:space="preserve"> May 2018]. </w:t>
      </w:r>
    </w:p>
    <w:p w:rsidR="009570FB" w:rsidRPr="009570FB" w:rsidRDefault="009570FB" w:rsidP="009570FB">
      <w:pPr>
        <w:jc w:val="both"/>
        <w:rPr>
          <w:rFonts w:ascii="Arial" w:hAnsi="Arial" w:cs="Arial"/>
          <w:sz w:val="24"/>
          <w:szCs w:val="24"/>
        </w:rPr>
      </w:pPr>
    </w:p>
    <w:p w:rsidR="009570FB" w:rsidRPr="0008335C" w:rsidRDefault="009570FB" w:rsidP="001A3170">
      <w:pPr>
        <w:jc w:val="both"/>
        <w:rPr>
          <w:rFonts w:ascii="Arial" w:hAnsi="Arial" w:cs="Arial"/>
          <w:sz w:val="24"/>
          <w:szCs w:val="24"/>
        </w:rPr>
      </w:pPr>
    </w:p>
    <w:sectPr w:rsidR="009570FB" w:rsidRPr="0008335C" w:rsidSect="009570F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60B" w:rsidRDefault="005C160B" w:rsidP="00B44FCD">
      <w:pPr>
        <w:spacing w:after="0" w:line="240" w:lineRule="auto"/>
      </w:pPr>
      <w:r>
        <w:separator/>
      </w:r>
    </w:p>
  </w:endnote>
  <w:endnote w:type="continuationSeparator" w:id="0">
    <w:p w:rsidR="005C160B" w:rsidRDefault="005C160B" w:rsidP="00B44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9935096"/>
      <w:docPartObj>
        <w:docPartGallery w:val="Page Numbers (Bottom of Page)"/>
        <w:docPartUnique/>
      </w:docPartObj>
    </w:sdtPr>
    <w:sdtEndPr>
      <w:rPr>
        <w:noProof/>
      </w:rPr>
    </w:sdtEndPr>
    <w:sdtContent>
      <w:p w:rsidR="00B44FCD" w:rsidRDefault="00B44FCD">
        <w:pPr>
          <w:pStyle w:val="Footer"/>
          <w:jc w:val="center"/>
        </w:pPr>
        <w:r>
          <w:fldChar w:fldCharType="begin"/>
        </w:r>
        <w:r>
          <w:instrText xml:space="preserve"> PAGE   \* MERGEFORMAT </w:instrText>
        </w:r>
        <w:r>
          <w:fldChar w:fldCharType="separate"/>
        </w:r>
        <w:r w:rsidR="00141659">
          <w:rPr>
            <w:noProof/>
          </w:rPr>
          <w:t>6</w:t>
        </w:r>
        <w:r>
          <w:rPr>
            <w:noProof/>
          </w:rPr>
          <w:fldChar w:fldCharType="end"/>
        </w:r>
      </w:p>
    </w:sdtContent>
  </w:sdt>
  <w:p w:rsidR="00B44FCD" w:rsidRDefault="00B44F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60B" w:rsidRDefault="005C160B" w:rsidP="00B44FCD">
      <w:pPr>
        <w:spacing w:after="0" w:line="240" w:lineRule="auto"/>
      </w:pPr>
      <w:r>
        <w:separator/>
      </w:r>
    </w:p>
  </w:footnote>
  <w:footnote w:type="continuationSeparator" w:id="0">
    <w:p w:rsidR="005C160B" w:rsidRDefault="005C160B" w:rsidP="00B44F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CD" w:rsidRPr="00B44FCD" w:rsidRDefault="00B44FCD">
    <w:pPr>
      <w:pStyle w:val="Header"/>
      <w:rPr>
        <w:rFonts w:ascii="Arial" w:hAnsi="Arial" w:cs="Arial"/>
        <w:sz w:val="24"/>
        <w:szCs w:val="24"/>
      </w:rPr>
    </w:pPr>
    <w:r>
      <w:rPr>
        <w:rFonts w:ascii="Arial" w:hAnsi="Arial" w:cs="Arial"/>
        <w:sz w:val="24"/>
        <w:szCs w:val="24"/>
      </w:rPr>
      <w:t>Student number – 0701542</w:t>
    </w:r>
    <w:r>
      <w:rPr>
        <w:rFonts w:ascii="Arial" w:hAnsi="Arial" w:cs="Arial"/>
        <w:sz w:val="24"/>
        <w:szCs w:val="24"/>
      </w:rPr>
      <w:tab/>
    </w:r>
    <w:r>
      <w:rPr>
        <w:rFonts w:ascii="Arial" w:hAnsi="Arial" w:cs="Arial"/>
        <w:sz w:val="24"/>
        <w:szCs w:val="24"/>
      </w:rPr>
      <w:tab/>
      <w:t>Module Code – EAEC6010</w:t>
    </w:r>
  </w:p>
  <w:p w:rsidR="00B44FCD" w:rsidRDefault="00B44F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994D87"/>
    <w:multiLevelType w:val="multilevel"/>
    <w:tmpl w:val="11E4960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CD"/>
    <w:rsid w:val="00006895"/>
    <w:rsid w:val="0008335C"/>
    <w:rsid w:val="00092FB5"/>
    <w:rsid w:val="00103E86"/>
    <w:rsid w:val="00141659"/>
    <w:rsid w:val="00161898"/>
    <w:rsid w:val="0016628E"/>
    <w:rsid w:val="001A3170"/>
    <w:rsid w:val="0022754F"/>
    <w:rsid w:val="0023106C"/>
    <w:rsid w:val="00294BCC"/>
    <w:rsid w:val="002D537A"/>
    <w:rsid w:val="003C37D6"/>
    <w:rsid w:val="00472B16"/>
    <w:rsid w:val="00485A1D"/>
    <w:rsid w:val="0049252C"/>
    <w:rsid w:val="004B0A10"/>
    <w:rsid w:val="004B2962"/>
    <w:rsid w:val="004E488B"/>
    <w:rsid w:val="004F571F"/>
    <w:rsid w:val="00540E0A"/>
    <w:rsid w:val="005A0125"/>
    <w:rsid w:val="005A200F"/>
    <w:rsid w:val="005C160B"/>
    <w:rsid w:val="00604853"/>
    <w:rsid w:val="00657651"/>
    <w:rsid w:val="00667610"/>
    <w:rsid w:val="006A3EB9"/>
    <w:rsid w:val="006B1859"/>
    <w:rsid w:val="006C02A3"/>
    <w:rsid w:val="007238DB"/>
    <w:rsid w:val="007430DF"/>
    <w:rsid w:val="00756D91"/>
    <w:rsid w:val="007A2119"/>
    <w:rsid w:val="007D0278"/>
    <w:rsid w:val="008008E9"/>
    <w:rsid w:val="00815FEA"/>
    <w:rsid w:val="008244D1"/>
    <w:rsid w:val="00830711"/>
    <w:rsid w:val="0083109C"/>
    <w:rsid w:val="00837D5E"/>
    <w:rsid w:val="00845466"/>
    <w:rsid w:val="00864006"/>
    <w:rsid w:val="008906E1"/>
    <w:rsid w:val="00891728"/>
    <w:rsid w:val="008D4C00"/>
    <w:rsid w:val="008D4DBE"/>
    <w:rsid w:val="008F1E2B"/>
    <w:rsid w:val="009570FB"/>
    <w:rsid w:val="009A0788"/>
    <w:rsid w:val="009D506D"/>
    <w:rsid w:val="00AC1501"/>
    <w:rsid w:val="00AC2BA0"/>
    <w:rsid w:val="00AD40E7"/>
    <w:rsid w:val="00AD5389"/>
    <w:rsid w:val="00B074CB"/>
    <w:rsid w:val="00B27062"/>
    <w:rsid w:val="00B44FCD"/>
    <w:rsid w:val="00B624C4"/>
    <w:rsid w:val="00B62B1D"/>
    <w:rsid w:val="00B6417E"/>
    <w:rsid w:val="00BF438A"/>
    <w:rsid w:val="00C50453"/>
    <w:rsid w:val="00C525AF"/>
    <w:rsid w:val="00C67F37"/>
    <w:rsid w:val="00CC5938"/>
    <w:rsid w:val="00CE230A"/>
    <w:rsid w:val="00CE5299"/>
    <w:rsid w:val="00CF57E7"/>
    <w:rsid w:val="00D16075"/>
    <w:rsid w:val="00D16207"/>
    <w:rsid w:val="00D21F66"/>
    <w:rsid w:val="00D823DE"/>
    <w:rsid w:val="00E41F39"/>
    <w:rsid w:val="00ED1D72"/>
    <w:rsid w:val="00EF3BB0"/>
    <w:rsid w:val="00F218AD"/>
    <w:rsid w:val="00F37420"/>
    <w:rsid w:val="00FA439F"/>
    <w:rsid w:val="00FB32D6"/>
    <w:rsid w:val="00FB5A54"/>
    <w:rsid w:val="00FC2F10"/>
    <w:rsid w:val="00FD0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D159D-BB69-445C-8CF8-33AEDFA5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21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53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FCD"/>
  </w:style>
  <w:style w:type="paragraph" w:styleId="Footer">
    <w:name w:val="footer"/>
    <w:basedOn w:val="Normal"/>
    <w:link w:val="FooterChar"/>
    <w:uiPriority w:val="99"/>
    <w:unhideWhenUsed/>
    <w:rsid w:val="00B44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FCD"/>
  </w:style>
  <w:style w:type="character" w:styleId="Hyperlink">
    <w:name w:val="Hyperlink"/>
    <w:basedOn w:val="DefaultParagraphFont"/>
    <w:uiPriority w:val="99"/>
    <w:unhideWhenUsed/>
    <w:rsid w:val="00E41F39"/>
    <w:rPr>
      <w:color w:val="0563C1" w:themeColor="hyperlink"/>
      <w:u w:val="single"/>
    </w:rPr>
  </w:style>
  <w:style w:type="character" w:customStyle="1" w:styleId="Heading2Char">
    <w:name w:val="Heading 2 Char"/>
    <w:basedOn w:val="DefaultParagraphFont"/>
    <w:link w:val="Heading2"/>
    <w:uiPriority w:val="9"/>
    <w:rsid w:val="00AD5389"/>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7A2119"/>
    <w:rPr>
      <w:rFonts w:asciiTheme="majorHAnsi" w:eastAsiaTheme="majorEastAsia" w:hAnsiTheme="majorHAnsi" w:cstheme="majorBidi"/>
      <w:color w:val="2E74B5" w:themeColor="accent1" w:themeShade="BF"/>
      <w:sz w:val="32"/>
      <w:szCs w:val="32"/>
    </w:rPr>
  </w:style>
  <w:style w:type="paragraph" w:customStyle="1" w:styleId="intro">
    <w:name w:val="intro"/>
    <w:basedOn w:val="Normal"/>
    <w:rsid w:val="006A3E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A3E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963893">
      <w:bodyDiv w:val="1"/>
      <w:marLeft w:val="0"/>
      <w:marRight w:val="0"/>
      <w:marTop w:val="0"/>
      <w:marBottom w:val="0"/>
      <w:divBdr>
        <w:top w:val="none" w:sz="0" w:space="0" w:color="auto"/>
        <w:left w:val="none" w:sz="0" w:space="0" w:color="auto"/>
        <w:bottom w:val="none" w:sz="0" w:space="0" w:color="auto"/>
        <w:right w:val="none" w:sz="0" w:space="0" w:color="auto"/>
      </w:divBdr>
    </w:div>
    <w:div w:id="611472957">
      <w:bodyDiv w:val="1"/>
      <w:marLeft w:val="0"/>
      <w:marRight w:val="0"/>
      <w:marTop w:val="0"/>
      <w:marBottom w:val="0"/>
      <w:divBdr>
        <w:top w:val="none" w:sz="0" w:space="0" w:color="auto"/>
        <w:left w:val="none" w:sz="0" w:space="0" w:color="auto"/>
        <w:bottom w:val="none" w:sz="0" w:space="0" w:color="auto"/>
        <w:right w:val="none" w:sz="0" w:space="0" w:color="auto"/>
      </w:divBdr>
    </w:div>
    <w:div w:id="809131868">
      <w:bodyDiv w:val="1"/>
      <w:marLeft w:val="0"/>
      <w:marRight w:val="0"/>
      <w:marTop w:val="0"/>
      <w:marBottom w:val="0"/>
      <w:divBdr>
        <w:top w:val="none" w:sz="0" w:space="0" w:color="auto"/>
        <w:left w:val="none" w:sz="0" w:space="0" w:color="auto"/>
        <w:bottom w:val="none" w:sz="0" w:space="0" w:color="auto"/>
        <w:right w:val="none" w:sz="0" w:space="0" w:color="auto"/>
      </w:divBdr>
    </w:div>
    <w:div w:id="894705521">
      <w:bodyDiv w:val="1"/>
      <w:marLeft w:val="0"/>
      <w:marRight w:val="0"/>
      <w:marTop w:val="0"/>
      <w:marBottom w:val="0"/>
      <w:divBdr>
        <w:top w:val="none" w:sz="0" w:space="0" w:color="auto"/>
        <w:left w:val="none" w:sz="0" w:space="0" w:color="auto"/>
        <w:bottom w:val="none" w:sz="0" w:space="0" w:color="auto"/>
        <w:right w:val="none" w:sz="0" w:space="0" w:color="auto"/>
      </w:divBdr>
    </w:div>
    <w:div w:id="1496991001">
      <w:bodyDiv w:val="1"/>
      <w:marLeft w:val="0"/>
      <w:marRight w:val="0"/>
      <w:marTop w:val="0"/>
      <w:marBottom w:val="0"/>
      <w:divBdr>
        <w:top w:val="none" w:sz="0" w:space="0" w:color="auto"/>
        <w:left w:val="none" w:sz="0" w:space="0" w:color="auto"/>
        <w:bottom w:val="none" w:sz="0" w:space="0" w:color="auto"/>
        <w:right w:val="none" w:sz="0" w:space="0" w:color="auto"/>
      </w:divBdr>
    </w:div>
    <w:div w:id="208911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0273229715000325" TargetMode="External"/><Relationship Id="rId18" Type="http://schemas.openxmlformats.org/officeDocument/2006/relationships/hyperlink" Target="https://www.eco-schools.org.uk/about-us/" TargetMode="External"/><Relationship Id="rId26" Type="http://schemas.openxmlformats.org/officeDocument/2006/relationships/hyperlink" Target="https://www.canada.ca/en/public-health/corporate/mandate/about-agency/sustainable-development/federal-sustainable-development-act-federal-sustainable-development-strategy.html" TargetMode="External"/><Relationship Id="rId39" Type="http://schemas.openxmlformats.org/officeDocument/2006/relationships/hyperlink" Target="https://link.springer.com/chapter/10.1007/978-3-319-32928-4_5" TargetMode="External"/><Relationship Id="rId21" Type="http://schemas.openxmlformats.org/officeDocument/2006/relationships/hyperlink" Target="https://www.estyn.gov.wales/sites/default/files/documents/Supplementary%20guidance%20-%20ESDGC.pdf" TargetMode="External"/><Relationship Id="rId34" Type="http://schemas.openxmlformats.org/officeDocument/2006/relationships/hyperlink" Target="https://www.oxfam.org.uk/what-we-do" TargetMode="External"/><Relationship Id="rId42" Type="http://schemas.openxmlformats.org/officeDocument/2006/relationships/hyperlink" Target="https://beta.gov.wales/sites/default/files/publications/2018-02/foundation-phase-framework-revised-2015.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ezproxy.uwtsd.ac.uk/science/article/pii/S0959652613004216" TargetMode="External"/><Relationship Id="rId29" Type="http://schemas.openxmlformats.org/officeDocument/2006/relationships/hyperlink" Target="https://www.theguardian.com/environment/2014/apr/25/china-strengthens-environmental-laws-polluting-factor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fr.org/backgrounder/chinas-environmental-crisis" TargetMode="External"/><Relationship Id="rId24" Type="http://schemas.openxmlformats.org/officeDocument/2006/relationships/hyperlink" Target="https://search-proquest-com.ezproxy.uwtsd.ac.uk/docview/873487449?accountid=130472&amp;rfr_id=info%3Axri%2Fsid%3Aprimo" TargetMode="External"/><Relationship Id="rId32" Type="http://schemas.openxmlformats.org/officeDocument/2006/relationships/hyperlink" Target="https://web-b-ebscohost-com.ezproxy.uwtsd.ac.uk/ehost/pdfviewer/pdfviewer?vid=1&amp;sid=eaa3bb66-b7b7-4630-96c8-7708b1a3a238%40sessionmgr101" TargetMode="External"/><Relationship Id="rId37" Type="http://schemas.openxmlformats.org/officeDocument/2006/relationships/hyperlink" Target="http://journals.sagepub.com/doi/pdf/10.2304/pfie.2014.12.7.855" TargetMode="External"/><Relationship Id="rId40" Type="http://schemas.openxmlformats.org/officeDocument/2006/relationships/hyperlink" Target="http://learning.gov.wales/docs/learningwales/publications/081204infoteachertraineesen.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your.caerphilly.gov.uk/sustainablecaerphilly/sites/your.caerphilly.gov.uk.sustainablecaerphilly/files/15%2520ESDGC%2520across%2520the%2520curriculum%2520%2520Foundation%2520Phase.doc+&amp;cd=6&amp;hl=en&amp;ct=clnk&amp;gl=uk" TargetMode="External"/><Relationship Id="rId23" Type="http://schemas.openxmlformats.org/officeDocument/2006/relationships/hyperlink" Target="https://www.estyn.gov.wales/thematic-reports/esdgc-progress-education-sustainable-development-and-global-citizenship-training" TargetMode="External"/><Relationship Id="rId28" Type="http://schemas.openxmlformats.org/officeDocument/2006/relationships/hyperlink" Target="https://pdfs.semanticscholar.org/b0bc/c8ca45193eaf700350a8ac2ddfc09a093be8.pdf" TargetMode="External"/><Relationship Id="rId36" Type="http://schemas.openxmlformats.org/officeDocument/2006/relationships/hyperlink" Target="https://www.sensepublishers.com/media/1569-john-dewey-and-education-outdoors.pdf" TargetMode="External"/><Relationship Id="rId10" Type="http://schemas.openxmlformats.org/officeDocument/2006/relationships/footer" Target="footer1.xml"/><Relationship Id="rId19" Type="http://schemas.openxmlformats.org/officeDocument/2006/relationships/hyperlink" Target="file:///C:/Users/Player%201/Downloads/1314390_esd-congress-report-child-interviews.pdf" TargetMode="External"/><Relationship Id="rId31" Type="http://schemas.openxmlformats.org/officeDocument/2006/relationships/hyperlink" Target="https://web-b-ebscohost-com.ezproxy.uwtsd.ac.uk/ehost/pdfviewer/pdfviewer?vid=1&amp;sid=2af144d7-6e40-42ea-980e-11059e527973%40sessionmgr102" TargetMode="External"/><Relationship Id="rId44" Type="http://schemas.openxmlformats.org/officeDocument/2006/relationships/hyperlink" Target="https://link.springer.com/chapter/10.1007/978-3-319-42208-4_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sciencedirect-com.ezproxy.uwtsd.ac.uk/science/article/pii/S147383761400015X" TargetMode="External"/><Relationship Id="rId22" Type="http://schemas.openxmlformats.org/officeDocument/2006/relationships/hyperlink" Target="https://www.estyn.gov.wales/sites/default/files/documents/ESDGC%3A%20Progress%20in%20education%20for%20sustainable%20development%20and%20global%20citizenship%20-%20June%202014.pdf" TargetMode="External"/><Relationship Id="rId27" Type="http://schemas.openxmlformats.org/officeDocument/2006/relationships/hyperlink" Target="https://web-b-ebscohost-com.ezproxy.uwtsd.ac.uk/ehost/pdfviewer/pdfviewer?vid=1&amp;sid=93a739d3-c07d-441c-a361-a487ce4d11de%40sessionmgr102" TargetMode="External"/><Relationship Id="rId30" Type="http://schemas.openxmlformats.org/officeDocument/2006/relationships/hyperlink" Target="https://www.theguardian.com/world/2018/mar/31/china-environment-census-reveals-50-rise-in-pollution-sources" TargetMode="External"/><Relationship Id="rId35" Type="http://schemas.openxmlformats.org/officeDocument/2006/relationships/hyperlink" Target="https://web-b-ebscohost-com.ezproxy.uwtsd.ac.uk/ehost/detail/detail?vid=2&amp;sid=f880c678-cf90-4f4a-9a45-ea28edf3d2b7%40sessionmgr103&amp;bdata=JnNpdGU9ZWhvc3QtbGl2ZQ%3d%3d" TargetMode="External"/><Relationship Id="rId43" Type="http://schemas.openxmlformats.org/officeDocument/2006/relationships/hyperlink" Target="https://naturalresources.wales/media/1866/early-years-outcomes-framework.pd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journals.sagepub.com/doi/abs/10.1177/0892020616653179" TargetMode="External"/><Relationship Id="rId17" Type="http://schemas.openxmlformats.org/officeDocument/2006/relationships/hyperlink" Target="file:///C:/Users/Player%201/Downloads/EARLY%20CHILDHOOD%20EDUCATION%20FOR%20SUSTAINABILITY.pdf" TargetMode="External"/><Relationship Id="rId25" Type="http://schemas.openxmlformats.org/officeDocument/2006/relationships/hyperlink" Target="https://search-proquest-com.ezproxy.uwtsd.ac.uk/docview/862094967?accountid=130472&amp;rfr_id=info%3Axri%2Fsid%3Aprimo" TargetMode="External"/><Relationship Id="rId33" Type="http://schemas.openxmlformats.org/officeDocument/2006/relationships/hyperlink" Target="file:///C:/Users/Player%201/Downloads/sustainability-06-08967.pdf" TargetMode="External"/><Relationship Id="rId38" Type="http://schemas.openxmlformats.org/officeDocument/2006/relationships/hyperlink" Target="https://sustainabledevelopment.un.org/outcomedocuments/agenda21" TargetMode="External"/><Relationship Id="rId46" Type="http://schemas.openxmlformats.org/officeDocument/2006/relationships/theme" Target="theme/theme1.xml"/><Relationship Id="rId20" Type="http://schemas.openxmlformats.org/officeDocument/2006/relationships/hyperlink" Target="https://www.ec.gc.ca/dd-sd/F93CD795-0035-4DAF-86D1-53099BD303F9/FSDS_v4_EN.pdf" TargetMode="External"/><Relationship Id="rId41" Type="http://schemas.openxmlformats.org/officeDocument/2006/relationships/hyperlink" Target="http://www.wales.nhs.uk/sitesplus/documents/829/One%20Wales-%20One%20Planet%20%282009%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4588</Words>
  <Characters>26157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Player 1</dc:creator>
  <cp:keywords/>
  <dc:description/>
  <cp:lastModifiedBy>Player 1</cp:lastModifiedBy>
  <cp:revision>2</cp:revision>
  <dcterms:created xsi:type="dcterms:W3CDTF">2018-05-25T12:53:00Z</dcterms:created>
  <dcterms:modified xsi:type="dcterms:W3CDTF">2018-05-25T12:53:00Z</dcterms:modified>
</cp:coreProperties>
</file>