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jc w:val="center"/>
        <w:rPr>
          <w:rFonts w:ascii="Times New Roman" w:hAnsi="Times New Roman"/>
          <w:sz w:val="32"/>
          <w:szCs w:val="32"/>
        </w:rPr>
      </w:pPr>
      <w:r>
        <w:rPr>
          <w:rFonts w:ascii="Times New Roman" w:hAnsi="Times New Roman"/>
          <w:sz w:val="32"/>
          <w:szCs w:val="32"/>
        </w:rPr>
        <w:t>Student name : Dan-Gheorghe Filimon</w:t>
      </w:r>
    </w:p>
    <w:p>
      <w:pPr>
        <w:pStyle w:val="Normal"/>
        <w:jc w:val="center"/>
        <w:rPr>
          <w:rFonts w:ascii="Times New Roman" w:hAnsi="Times New Roman"/>
          <w:sz w:val="32"/>
          <w:szCs w:val="32"/>
        </w:rPr>
      </w:pPr>
      <w:r>
        <w:rPr>
          <w:rFonts w:ascii="Times New Roman" w:hAnsi="Times New Roman"/>
          <w:sz w:val="32"/>
          <w:szCs w:val="32"/>
        </w:rPr>
        <w:t>Student number: 1909419</w:t>
      </w:r>
    </w:p>
    <w:p>
      <w:pPr>
        <w:pStyle w:val="Normal"/>
        <w:jc w:val="center"/>
        <w:rPr>
          <w:rFonts w:ascii="Times New Roman" w:hAnsi="Times New Roman"/>
          <w:sz w:val="32"/>
          <w:szCs w:val="32"/>
        </w:rPr>
      </w:pPr>
      <w:r>
        <w:rPr>
          <w:rFonts w:ascii="Times New Roman" w:hAnsi="Times New Roman"/>
          <w:sz w:val="32"/>
          <w:szCs w:val="32"/>
        </w:rPr>
        <w:t>Module  Teacher : Chizoba  Esio- Bassey</w:t>
      </w:r>
    </w:p>
    <w:p>
      <w:pPr>
        <w:pStyle w:val="Normal"/>
        <w:jc w:val="center"/>
        <w:rPr>
          <w:rFonts w:ascii="Times New Roman" w:hAnsi="Times New Roman"/>
          <w:sz w:val="32"/>
          <w:szCs w:val="32"/>
        </w:rPr>
      </w:pPr>
      <w:r>
        <w:rPr>
          <w:rFonts w:ascii="Times New Roman" w:hAnsi="Times New Roman"/>
          <w:sz w:val="32"/>
          <w:szCs w:val="32"/>
        </w:rPr>
        <w:t xml:space="preserve">Module name: </w:t>
      </w:r>
      <w:r>
        <w:rPr>
          <w:rFonts w:cs="Times New Roman" w:ascii="Times New Roman" w:hAnsi="Times New Roman"/>
          <w:sz w:val="32"/>
          <w:szCs w:val="32"/>
        </w:rPr>
        <w:t>International Business Communication</w:t>
      </w:r>
    </w:p>
    <w:p>
      <w:pPr>
        <w:pStyle w:val="Normal"/>
        <w:jc w:val="center"/>
        <w:rPr>
          <w:rFonts w:ascii="Times New Roman" w:hAnsi="Times New Roman"/>
          <w:sz w:val="32"/>
          <w:szCs w:val="32"/>
        </w:rPr>
      </w:pPr>
      <w:r>
        <w:rPr>
          <w:rFonts w:ascii="Times New Roman" w:hAnsi="Times New Roman"/>
          <w:sz w:val="32"/>
          <w:szCs w:val="32"/>
        </w:rPr>
      </w:r>
    </w:p>
    <w:p>
      <w:pPr>
        <w:pStyle w:val="Normal"/>
        <w:jc w:val="center"/>
        <w:rPr>
          <w:rFonts w:ascii="Times New Roman" w:hAnsi="Times New Roman"/>
          <w:sz w:val="32"/>
          <w:szCs w:val="32"/>
        </w:rPr>
      </w:pPr>
      <w:r>
        <w:rPr>
          <w:rFonts w:ascii="Times New Roman" w:hAnsi="Times New Roman"/>
          <w:sz w:val="32"/>
          <w:szCs w:val="32"/>
        </w:rPr>
      </w:r>
    </w:p>
    <w:p>
      <w:pPr>
        <w:pStyle w:val="Normal"/>
        <w:rPr>
          <w:sz w:val="32"/>
          <w:szCs w:val="32"/>
        </w:rPr>
      </w:pPr>
      <w:r>
        <w:rPr>
          <w:sz w:val="32"/>
          <w:szCs w:val="32"/>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uto" w:line="360"/>
        <w:jc w:val="center"/>
        <w:rPr>
          <w:rFonts w:ascii="Times New Roman" w:hAnsi="Times New Roman"/>
          <w:sz w:val="44"/>
          <w:szCs w:val="44"/>
        </w:rPr>
      </w:pPr>
      <w:r>
        <w:rPr>
          <w:rFonts w:cs="Times New Roman" w:ascii="Times New Roman" w:hAnsi="Times New Roman"/>
          <w:sz w:val="44"/>
          <w:szCs w:val="44"/>
        </w:rPr>
        <w:t>International Business Communication</w:t>
      </w:r>
    </w:p>
    <w:p>
      <w:pPr>
        <w:pStyle w:val="Normal"/>
        <w:jc w:val="center"/>
        <w:rPr>
          <w:rFonts w:ascii="Times New Roman" w:hAnsi="Times New Roman"/>
          <w:sz w:val="44"/>
          <w:szCs w:val="44"/>
        </w:rPr>
      </w:pPr>
      <w:r>
        <w:rPr>
          <w:rFonts w:ascii="Times New Roman" w:hAnsi="Times New Roman"/>
          <w:sz w:val="44"/>
          <w:szCs w:val="4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dt>
      <w:sdtPr>
        <w:docPartObj>
          <w:docPartGallery w:val="Table of Contents"/>
          <w:docPartUnique w:val="true"/>
        </w:docPartObj>
      </w:sdtPr>
      <w:sdtContent>
        <w:p>
          <w:pPr>
            <w:pStyle w:val="TOCHeading"/>
            <w:spacing w:lineRule="auto" w:line="360"/>
            <w:jc w:val="both"/>
            <w:rPr>
              <w:rFonts w:ascii="Times New Roman" w:hAnsi="Times New Roman" w:cs="Times New Roman"/>
              <w:sz w:val="24"/>
              <w:szCs w:val="24"/>
            </w:rPr>
          </w:pPr>
          <w:r>
            <w:rPr>
              <w:rFonts w:cs="Times New Roman" w:ascii="Times New Roman" w:hAnsi="Times New Roman"/>
              <w:sz w:val="24"/>
              <w:szCs w:val="24"/>
            </w:rPr>
            <w:t>Table of Contents</w:t>
          </w:r>
        </w:p>
        <w:p>
          <w:pPr>
            <w:pStyle w:val="Contents1"/>
            <w:tabs>
              <w:tab w:val="clear" w:pos="720"/>
              <w:tab w:val="right" w:pos="9350" w:leader="dot"/>
            </w:tabs>
            <w:spacing w:lineRule="auto" w:line="360"/>
            <w:jc w:val="both"/>
            <w:rPr>
              <w:rFonts w:ascii="Times New Roman" w:hAnsi="Times New Roman" w:cs="Times New Roman"/>
              <w:sz w:val="24"/>
              <w:szCs w:val="24"/>
            </w:rPr>
          </w:pPr>
          <w:r>
            <w:fldChar w:fldCharType="begin"/>
          </w:r>
          <w:r>
            <w:rPr>
              <w:webHidden/>
              <w:rStyle w:val="IndexLink"/>
              <w:sz w:val="24"/>
              <w:szCs w:val="24"/>
              <w:rFonts w:cs="Times New Roman" w:ascii="Times New Roman" w:hAnsi="Times New Roman"/>
            </w:rPr>
            <w:instrText> TOC \z \o "1-3" \u \h</w:instrText>
          </w:r>
          <w:r>
            <w:rPr>
              <w:webHidden/>
              <w:rStyle w:val="IndexLink"/>
              <w:sz w:val="24"/>
              <w:szCs w:val="24"/>
              <w:rFonts w:cs="Times New Roman" w:ascii="Times New Roman" w:hAnsi="Times New Roman"/>
            </w:rPr>
            <w:fldChar w:fldCharType="separate"/>
          </w:r>
          <w:hyperlink w:anchor="_Toc100913218">
            <w:r>
              <w:rPr>
                <w:webHidden/>
                <w:rStyle w:val="IndexLink"/>
                <w:rFonts w:cs="Times New Roman" w:ascii="Times New Roman" w:hAnsi="Times New Roman"/>
                <w:sz w:val="24"/>
                <w:szCs w:val="24"/>
              </w:rPr>
              <w:t>Introduction</w:t>
            </w:r>
            <w:r>
              <w:rPr>
                <w:webHidden/>
              </w:rPr>
              <w:fldChar w:fldCharType="begin"/>
            </w:r>
            <w:r>
              <w:rPr>
                <w:webHidden/>
              </w:rPr>
              <w:instrText>PAGEREF _Toc100913218 \h</w:instrText>
            </w:r>
            <w:r>
              <w:rPr>
                <w:webHidden/>
              </w:rPr>
              <w:fldChar w:fldCharType="separate"/>
            </w:r>
            <w:r>
              <w:rPr>
                <w:rStyle w:val="IndexLink"/>
                <w:rFonts w:cs="Times New Roman" w:ascii="Times New Roman" w:hAnsi="Times New Roman"/>
                <w:vanish w:val="false"/>
                <w:sz w:val="24"/>
                <w:szCs w:val="24"/>
              </w:rPr>
              <w:tab/>
              <w:t>3</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100913219">
            <w:r>
              <w:rPr>
                <w:webHidden/>
                <w:rStyle w:val="IndexLink"/>
                <w:rFonts w:cs="Times New Roman" w:ascii="Times New Roman" w:hAnsi="Times New Roman"/>
                <w:sz w:val="24"/>
                <w:szCs w:val="24"/>
              </w:rPr>
              <w:t>1.Introduction to Turkey</w:t>
            </w:r>
            <w:r>
              <w:rPr>
                <w:webHidden/>
              </w:rPr>
              <w:fldChar w:fldCharType="begin"/>
            </w:r>
            <w:r>
              <w:rPr>
                <w:webHidden/>
              </w:rPr>
              <w:instrText>PAGEREF _Toc100913219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100913220">
            <w:r>
              <w:rPr>
                <w:webHidden/>
                <w:rStyle w:val="IndexLink"/>
                <w:rFonts w:cs="Times New Roman" w:ascii="Times New Roman" w:hAnsi="Times New Roman"/>
                <w:sz w:val="24"/>
                <w:szCs w:val="24"/>
              </w:rPr>
              <w:t>2. Application of international and intercultural communication theories on Turkey</w:t>
            </w:r>
            <w:r>
              <w:rPr>
                <w:webHidden/>
              </w:rPr>
              <w:fldChar w:fldCharType="begin"/>
            </w:r>
            <w:r>
              <w:rPr>
                <w:webHidden/>
              </w:rPr>
              <w:instrText>PAGEREF _Toc100913220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100913221">
            <w:r>
              <w:rPr>
                <w:webHidden/>
                <w:rStyle w:val="IndexLink"/>
                <w:rFonts w:cs="Times New Roman" w:ascii="Times New Roman" w:hAnsi="Times New Roman"/>
                <w:sz w:val="24"/>
                <w:szCs w:val="24"/>
              </w:rPr>
              <w:t>3.Critical evaluation of cultural sensitivity in relation to Tesco doing business in Turkey</w:t>
            </w:r>
            <w:r>
              <w:rPr>
                <w:webHidden/>
              </w:rPr>
              <w:fldChar w:fldCharType="begin"/>
            </w:r>
            <w:r>
              <w:rPr>
                <w:webHidden/>
              </w:rPr>
              <w:instrText>PAGEREF _Toc100913221 \h</w:instrText>
            </w:r>
            <w:r>
              <w:rPr>
                <w:webHidden/>
              </w:rPr>
              <w:fldChar w:fldCharType="separate"/>
            </w:r>
            <w:r>
              <w:rPr>
                <w:rStyle w:val="IndexLink"/>
                <w:rFonts w:cs="Times New Roman" w:ascii="Times New Roman" w:hAnsi="Times New Roman"/>
                <w:vanish w:val="false"/>
                <w:sz w:val="24"/>
                <w:szCs w:val="24"/>
              </w:rPr>
              <w:tab/>
              <w:t>7</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100913222">
            <w:r>
              <w:rPr>
                <w:webHidden/>
                <w:rStyle w:val="IndexLink"/>
                <w:rFonts w:cs="Times New Roman" w:ascii="Times New Roman" w:hAnsi="Times New Roman"/>
                <w:sz w:val="24"/>
                <w:szCs w:val="24"/>
              </w:rPr>
              <w:t>4.Communication barriers experienced by foreign businesses in Turkey and implications for Tesco</w:t>
            </w:r>
            <w:r>
              <w:rPr>
                <w:webHidden/>
              </w:rPr>
              <w:fldChar w:fldCharType="begin"/>
            </w:r>
            <w:r>
              <w:rPr>
                <w:webHidden/>
              </w:rPr>
              <w:instrText>PAGEREF _Toc100913222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100913223">
            <w:r>
              <w:rPr>
                <w:webHidden/>
                <w:rStyle w:val="IndexLink"/>
                <w:rFonts w:cs="Times New Roman" w:ascii="Times New Roman" w:hAnsi="Times New Roman"/>
                <w:sz w:val="24"/>
                <w:szCs w:val="24"/>
              </w:rPr>
              <w:t>5. Recommendations for Tesco to succeed in Turkey</w:t>
            </w:r>
            <w:r>
              <w:rPr>
                <w:webHidden/>
              </w:rPr>
              <w:fldChar w:fldCharType="begin"/>
            </w:r>
            <w:r>
              <w:rPr>
                <w:webHidden/>
              </w:rPr>
              <w:instrText>PAGEREF _Toc100913223 \h</w:instrText>
            </w:r>
            <w:r>
              <w:rPr>
                <w:webHidden/>
              </w:rPr>
              <w:fldChar w:fldCharType="separate"/>
            </w:r>
            <w:r>
              <w:rPr>
                <w:rStyle w:val="IndexLink"/>
                <w:rFonts w:cs="Times New Roman" w:ascii="Times New Roman" w:hAnsi="Times New Roman"/>
                <w:vanish w:val="false"/>
                <w:sz w:val="24"/>
                <w:szCs w:val="24"/>
              </w:rPr>
              <w:tab/>
              <w:t>10</w:t>
            </w:r>
            <w:r>
              <w:rPr>
                <w:webHidden/>
              </w:rPr>
              <w:fldChar w:fldCharType="end"/>
            </w:r>
          </w:hyperlink>
        </w:p>
        <w:p>
          <w:pPr>
            <w:pStyle w:val="Contents1"/>
            <w:tabs>
              <w:tab w:val="clear" w:pos="720"/>
              <w:tab w:val="right" w:pos="9350" w:leader="dot"/>
            </w:tabs>
            <w:spacing w:lineRule="auto" w:line="360"/>
            <w:jc w:val="both"/>
            <w:rPr>
              <w:rFonts w:ascii="Times New Roman" w:hAnsi="Times New Roman" w:cs="Times New Roman"/>
              <w:sz w:val="24"/>
              <w:szCs w:val="24"/>
            </w:rPr>
          </w:pPr>
          <w:hyperlink w:anchor="_Toc100913224">
            <w:r>
              <w:rPr>
                <w:webHidden/>
                <w:rStyle w:val="IndexLink"/>
                <w:rFonts w:cs="Times New Roman" w:ascii="Times New Roman" w:hAnsi="Times New Roman"/>
                <w:sz w:val="24"/>
                <w:szCs w:val="24"/>
              </w:rPr>
              <w:t>Conclusion</w:t>
            </w:r>
            <w:r>
              <w:rPr>
                <w:webHidden/>
              </w:rPr>
              <w:fldChar w:fldCharType="begin"/>
            </w:r>
            <w:r>
              <w:rPr>
                <w:webHidden/>
              </w:rPr>
              <w:instrText>PAGEREF _Toc100913224 \h</w:instrText>
            </w:r>
            <w:r>
              <w:rPr>
                <w:webHidden/>
              </w:rPr>
              <w:fldChar w:fldCharType="separate"/>
            </w:r>
            <w:r>
              <w:rPr>
                <w:rStyle w:val="IndexLink"/>
                <w:rFonts w:cs="Times New Roman" w:ascii="Times New Roman" w:hAnsi="Times New Roman"/>
                <w:vanish w:val="false"/>
                <w:sz w:val="24"/>
                <w:szCs w:val="24"/>
              </w:rPr>
              <w:tab/>
              <w:t>10</w:t>
            </w:r>
            <w:r>
              <w:rPr>
                <w:webHidden/>
              </w:rPr>
              <w:fldChar w:fldCharType="end"/>
            </w:r>
          </w:hyperlink>
        </w:p>
        <w:p>
          <w:pPr>
            <w:pStyle w:val="Normal"/>
            <w:spacing w:lineRule="auto" w:line="360"/>
            <w:jc w:val="both"/>
            <w:rPr/>
          </w:pPr>
          <w:r>
            <w:rPr/>
          </w:r>
          <w:r>
            <w:rPr/>
            <w:fldChar w:fldCharType="end"/>
          </w:r>
        </w:p>
      </w:sdtContent>
    </w:sdt>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Heading1"/>
        <w:rPr/>
      </w:pPr>
      <w:r>
        <w:rPr/>
      </w:r>
    </w:p>
    <w:p>
      <w:pPr>
        <w:pStyle w:val="Normal"/>
        <w:rPr/>
      </w:pPr>
      <w:r>
        <w:rPr/>
      </w:r>
    </w:p>
    <w:p>
      <w:pPr>
        <w:pStyle w:val="Heading1"/>
        <w:rPr/>
      </w:pPr>
      <w:bookmarkStart w:id="0" w:name="_Toc100913218"/>
      <w:r>
        <w:rPr/>
        <w:t>Introduction</w:t>
      </w:r>
      <w:bookmarkEnd w:id="0"/>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Business communication channelled internationally i.e. IBC can be construed to have significant implications on multi-national corporate decision making. IBC not only factors the globalisation process but also takes into consideration the economic, political and mostly cultural features of countries which, in turn, shape programmes and campaigns associated with corporate communications </w:t>
      </w:r>
      <w:sdt>
        <w:sdtPr>
          <w:citation/>
        </w:sdtPr>
        <w:sdtContent>
          <w:r>
            <w:rPr/>
            <w:fldChar w:fldCharType="begin"/>
          </w:r>
          <w:r>
            <w:rPr/>
            <w:instrText> CITATION Ler18 \l 1033 </w:instrText>
          </w:r>
          <w:r>
            <w:rPr/>
            <w:fldChar w:fldCharType="separate"/>
          </w:r>
          <w:r>
            <w:rPr/>
            <w:t>(Lerbinger, 2018)</w:t>
          </w:r>
          <w:r>
            <w:rPr/>
            <w:fldChar w:fldCharType="end"/>
          </w:r>
        </w:sdtContent>
      </w:sdt>
      <w:r>
        <w:rPr>
          <w:rFonts w:cs="Times New Roman" w:ascii="Times New Roman" w:hAnsi="Times New Roman"/>
          <w:sz w:val="24"/>
          <w:szCs w:val="24"/>
        </w:rPr>
        <w:t xml:space="preserve">. Alternatively, with greater activity of emerging markets and the global consolidation of English as lingua franca, language and cultural guidance in emerging markets based on English as lingua franca becomes necessary on the part of western IBC counterparts </w:t>
      </w:r>
      <w:sdt>
        <w:sdtPr>
          <w:citation/>
        </w:sdtPr>
        <w:sdtContent>
          <w:r>
            <w:rPr/>
            <w:fldChar w:fldCharType="begin"/>
          </w:r>
          <w:r>
            <w:rPr/>
            <w:instrText> CITATION Loc21 \l 1033 </w:instrText>
          </w:r>
          <w:r>
            <w:rPr/>
            <w:fldChar w:fldCharType="separate"/>
          </w:r>
          <w:r>
            <w:rPr/>
            <w:t>(Lockwood &amp; Elias, 2021)</w:t>
          </w:r>
          <w:r>
            <w:rPr/>
            <w:fldChar w:fldCharType="end"/>
          </w:r>
        </w:sdtContent>
      </w:sdt>
      <w:r>
        <w:rPr>
          <w:rFonts w:cs="Times New Roman" w:ascii="Times New Roman" w:hAnsi="Times New Roman"/>
          <w:sz w:val="24"/>
          <w:szCs w:val="24"/>
        </w:rPr>
        <w:t xml:space="preserve">. The strategic communication that is levelled considering the reinforcement of IBC towards organisational decision making becomes more purposeful to fulfil organisational goals such as successful entry and activation in new markets. In this report, underscoring the requirement of a UK-based retailer moving its production to a developing country, the simulated context of a UK retailer Tesco towards Turkey shall inform strategic communication routes covering IBC. Essentially, the report would address cultural differences, communication barriers and concerns considering the country shift from the UK to Turkey that shall strategically inform Tesco’s decision making in the chosen developing country. </w:t>
      </w:r>
    </w:p>
    <w:p>
      <w:pPr>
        <w:pStyle w:val="Heading1"/>
        <w:rPr/>
      </w:pPr>
      <w:bookmarkStart w:id="1" w:name="_Toc100913219"/>
      <w:r>
        <w:rPr/>
        <w:t>1.Introduction to Turkey</w:t>
      </w:r>
      <w:bookmarkEnd w:id="1"/>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Turkey is geographically located midway between Europe and Asia and remains a favourable spot for international confluence. Its central location imparts some strategic importance i.e. Europe is located on the west with a concentration of the world’s economic and political power while the eastward bent on Turkey channels emerging nations’ influence. While considering geopolitical inclination, Turkey has expanded its influence across continents, however, the country has an intensive influence on the nation-states in its proximity. In this regard, much of the Caucasian region from the Turkish borders extending to the Central Asian states close to Chinese borders remains under the influence of the Turkic ethnolinguistic zone.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In the context of the country, Turkey has a population of 84.3 million as of 2020 while its consumption per capita remains 67% of the European Union average based on 2019. Turkey’s alignment as a developing country cascade from the impressive economic and social performance since 2000s that improved the income position of the country towards becoming an upper-middle-income holder. In line with this development follows large tracts of urbanisation in Turkey along with trade and commerce openness and harmonisation with European standards in almost all areas. However, economic vulnerabilities still present a dismal picture of the country wherein there has been a slowdown in reforms in the last few years. Rising inflation, unemployment and inequalities deepened by the recent pandemic obstruct the economic and social gains favourable to Turkey </w:t>
      </w:r>
      <w:sdt>
        <w:sdtPr>
          <w:citation/>
        </w:sdtPr>
        <w:sdtContent>
          <w:r>
            <w:rPr/>
            <w:fldChar w:fldCharType="begin"/>
          </w:r>
          <w:r>
            <w:rPr/>
            <w:instrText> CITATION Wor22 \l 1033 </w:instrText>
          </w:r>
          <w:r>
            <w:rPr/>
            <w:fldChar w:fldCharType="separate"/>
          </w:r>
          <w:r>
            <w:rPr/>
            <w:t>(Worldbank, 2022)</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 CITATION Eur22 \l 1033 </w:instrText>
          </w:r>
          <w:r>
            <w:rPr/>
            <w:fldChar w:fldCharType="separate"/>
          </w:r>
          <w:r>
            <w:rPr/>
            <w:t>(Eurostat, 2022)</w:t>
          </w:r>
          <w:r>
            <w:rPr/>
            <w:fldChar w:fldCharType="end"/>
          </w:r>
        </w:sdtContent>
      </w:sdt>
      <w:r>
        <w:rPr>
          <w:rFonts w:cs="Times New Roman" w:ascii="Times New Roman" w:hAnsi="Times New Roman"/>
          <w:sz w:val="24"/>
          <w:szCs w:val="24"/>
        </w:rPr>
        <w:t xml:space="preserve">. Concerning the social environment of the country, young to adults constitute significant demographic segments while in terms of ethnicities Turks hold 80% of the population followed by 20% Kurds. Muslims of the Sunni sect with 99.8% hold remain a majoritarian influence on dominant Islamic religious identity while Christians and Jews occupy 0.2% of the population. Turkish remains the official language of the country and also remains the first language to be spoken by the majority population. In fact, despite the global dominance of English, Turkish remains the sole official language and lingua franca of the country, the latter is contested by the minority groups, while the relevance of English is maintained and encouraged towards international businesses and tourism interfaces along with education </w:t>
      </w:r>
      <w:sdt>
        <w:sdtPr>
          <w:citation/>
        </w:sdtPr>
        <w:sdtContent>
          <w:r>
            <w:rPr/>
            <w:fldChar w:fldCharType="begin"/>
          </w:r>
          <w:r>
            <w:rPr/>
            <w:instrText> CITATION Dem20 \l 1033 </w:instrText>
          </w:r>
          <w:r>
            <w:rPr/>
            <w:fldChar w:fldCharType="separate"/>
          </w:r>
          <w:r>
            <w:rPr/>
            <w:t>(Demir, 2020)</w:t>
          </w:r>
          <w:r>
            <w:rPr/>
            <w:fldChar w:fldCharType="end"/>
          </w:r>
        </w:sdtContent>
      </w:sdt>
      <w:r>
        <w:rPr>
          <w:rFonts w:cs="Times New Roman" w:ascii="Times New Roman" w:hAnsi="Times New Roman"/>
          <w:sz w:val="24"/>
          <w:szCs w:val="24"/>
        </w:rPr>
        <w:t>. Tesco’s consideration of Turkey would require navigation through the comprehensive situation that the country holds. Although the different country-based aspects in Turkey can be explored for Tesco’s presence, the IBC context for Tesco delineates mostly with social leverage towards addressing other aspects.</w:t>
      </w:r>
    </w:p>
    <w:p>
      <w:pPr>
        <w:pStyle w:val="Heading1"/>
        <w:rPr/>
      </w:pPr>
      <w:bookmarkStart w:id="2" w:name="_Toc100913220"/>
      <w:r>
        <w:rPr/>
        <w:t>2. Application of international and intercultural communication theories on Turkey</w:t>
      </w:r>
      <w:bookmarkEnd w:id="2"/>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The relevance of communication in intercultural zones and the likeness and presence of human faculties as intermediaries may imply that the processes and variables that remain admissible for other forms of communication also stand valid for intercultural communication. The relevance of strangers, however, remains a crucial aspect in international and intercultural communication wherein strangeness is afforded to cultural and subcultural differences </w:t>
      </w:r>
      <w:sdt>
        <w:sdtPr>
          <w:citation/>
        </w:sdtPr>
        <w:sdtContent>
          <w:r>
            <w:rPr/>
            <w:fldChar w:fldCharType="begin"/>
          </w:r>
          <w:r>
            <w:rPr/>
            <w:instrText> CITATION Kly20 \l 1033 </w:instrText>
          </w:r>
          <w:r>
            <w:rPr/>
            <w:fldChar w:fldCharType="separate"/>
          </w:r>
          <w:r>
            <w:rPr/>
            <w:t>(Klyukanov, 2020)</w:t>
          </w:r>
          <w:r>
            <w:rPr/>
            <w:fldChar w:fldCharType="end"/>
          </w:r>
        </w:sdtContent>
      </w:sdt>
      <w:r>
        <w:rPr>
          <w:rFonts w:cs="Times New Roman" w:ascii="Times New Roman" w:hAnsi="Times New Roman"/>
          <w:sz w:val="24"/>
          <w:szCs w:val="24"/>
        </w:rPr>
        <w:t xml:space="preserve">. In this regard, international and intercultural communication theories </w:t>
      </w:r>
      <w:r>
        <w:rPr>
          <w:rFonts w:cs="Times New Roman" w:ascii="Times New Roman" w:hAnsi="Times New Roman"/>
          <w:sz w:val="24"/>
          <w:szCs w:val="24"/>
        </w:rPr>
        <w:t xml:space="preserve">shall illuminate understanding of other cultures and thus facilitate cross and intercultural communication.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Hofstede’s theory of cultural dimensions serves as the basis for predicting cultural differences between countries wherein the dimensions are power distance, individualism, masculinity, uncertainty avoidance, long term orientation and indulgence. Hofstede’s measure concerning Turkey indicates high power distance, uncertainty avoidance and collectivism along with intermediate scores in other dimensions </w:t>
      </w:r>
      <w:sdt>
        <w:sdtPr>
          <w:citation/>
        </w:sdtPr>
        <w:sdtContent>
          <w:r>
            <w:rPr/>
            <w:fldChar w:fldCharType="begin"/>
          </w:r>
          <w:r>
            <w:rPr/>
            <w:instrText> CITATION Kly20 \l 1033 </w:instrText>
          </w:r>
          <w:r>
            <w:rPr/>
            <w:fldChar w:fldCharType="separate"/>
          </w:r>
          <w:r>
            <w:rPr/>
            <w:t>(Klyukanov, 2020)</w:t>
          </w:r>
          <w:r>
            <w:rPr/>
            <w:fldChar w:fldCharType="end"/>
          </w:r>
        </w:sdtContent>
      </w:sdt>
      <w:r>
        <w:rPr>
          <w:rFonts w:cs="Times New Roman" w:ascii="Times New Roman" w:hAnsi="Times New Roman"/>
          <w:sz w:val="24"/>
          <w:szCs w:val="24"/>
        </w:rPr>
        <w:t xml:space="preserve">. As these high score aspects are </w:t>
      </w:r>
      <w:r>
        <w:rPr>
          <w:rFonts w:cs="Times New Roman" w:ascii="Times New Roman" w:hAnsi="Times New Roman"/>
          <w:sz w:val="24"/>
          <w:szCs w:val="24"/>
        </w:rPr>
        <w:t xml:space="preserve">reflected in the communication setting in Turkey, it typically informs hierarchical flow, subscription to groups rather than individuals and acknowledges the presence of rules and structure opposed to ambiguity, compared to the UK manager counterparts of Tesco. Concerning Samovar’s treatment of communication as a dynamic transaction-oriented behaviour implies communication to be separate from participants and the meaning of messages although it impacts the participants involved. Theorising about communication, the influence of culture shapes communication and developing effective intercultural communication skills requires new ways of perceiving, thinking and interacting beyond the selective bias of the host country </w:t>
      </w:r>
      <w:sdt>
        <w:sdtPr>
          <w:citation/>
        </w:sdtPr>
        <w:sdtContent>
          <w:r>
            <w:rPr/>
            <w:fldChar w:fldCharType="begin"/>
          </w:r>
          <w:r>
            <w:rPr/>
            <w:instrText> CITATION Sam16 \l 1033 </w:instrText>
          </w:r>
          <w:r>
            <w:rPr/>
            <w:fldChar w:fldCharType="separate"/>
          </w:r>
          <w:r>
            <w:rPr/>
            <w:t>(Samovar, et al., 2016)</w:t>
          </w:r>
          <w:r>
            <w:rPr/>
            <w:fldChar w:fldCharType="end"/>
          </w:r>
        </w:sdtContent>
      </w:sdt>
      <w:r>
        <w:rPr>
          <w:rFonts w:cs="Times New Roman" w:ascii="Times New Roman" w:hAnsi="Times New Roman"/>
          <w:sz w:val="24"/>
          <w:szCs w:val="24"/>
        </w:rPr>
        <w:t>. To embark on communicative interactions between people from different cultural backgrounds some crucial variables such as cognitive patterns, perceptual elements, social context, verbal and non-verbal behaviour should be noted. In this vein, Tesco UK managers in Turkey may encounter many verbal cues such as the reliance on initial indirect, slow and drawn out style in communication, relaxed humour and gender differences in tone while palpable differences in nonverbal cues also exist.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Alternatively, Jandt’s intercultural communication theory draws momentum from the critical insight into Hofstede’s consideration of national state units wherein the nation-state identity formed the primary interface of the cultural identity of people. Jandt’s theory further makes express indication to modern developed nations and also claims that people remain concerned regarding their national identity and traditional culture owing to the influence of immigration and foreign inflows and exchanges. Turkey’s developing status and position inclined to being developed in the future warrants holding the Turkish national state as the cultural identity of people with Turkish attributes and characteristics. While this can lend a homogenising tendency over the Turkish boundary wherein the sub-cultural layers remain mobilised as communities, newer developments within these communities such as identity push followed by glocalisation theme can impart communication pressures in Turkey </w:t>
      </w:r>
      <w:sdt>
        <w:sdtPr>
          <w:citation/>
        </w:sdtPr>
        <w:sdtContent>
          <w:r>
            <w:rPr/>
            <w:fldChar w:fldCharType="begin"/>
          </w:r>
          <w:r>
            <w:rPr/>
            <w:instrText> CITATION Jan20 \l 1033 </w:instrText>
          </w:r>
          <w:r>
            <w:rPr/>
            <w:fldChar w:fldCharType="separate"/>
          </w:r>
          <w:r>
            <w:rPr/>
            <w:t>(Jandt, 2020)</w:t>
          </w:r>
          <w:r>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Moreover, the applied findings of the international and intercultural theoretical insights on Turkey have a greater affinity towards the dual-view communication philosophical perspective based on Dewey wherein communication is regarded as transmissions of messages for the control of people and distance alongside ritual view to construct and maintain a cultural world. Moreover, utterances in languages used while communicating remain subject to constant alterations from being used </w:t>
      </w:r>
      <w:sdt>
        <w:sdtPr>
          <w:citation/>
        </w:sdtPr>
        <w:sdtContent>
          <w:r>
            <w:rPr/>
            <w:fldChar w:fldCharType="begin"/>
          </w:r>
          <w:r>
            <w:rPr/>
            <w:instrText> CITATION Sta172 \l 1033 </w:instrText>
          </w:r>
          <w:r>
            <w:rPr/>
            <w:fldChar w:fldCharType="separate"/>
          </w:r>
          <w:r>
            <w:rPr/>
            <w:t>(Standish &amp; Saito, 2017)</w:t>
          </w:r>
          <w:r>
            <w:rPr/>
            <w:fldChar w:fldCharType="end"/>
          </w:r>
        </w:sdtContent>
      </w:sdt>
      <w:r>
        <w:rPr>
          <w:rFonts w:cs="Times New Roman" w:ascii="Times New Roman" w:hAnsi="Times New Roman"/>
          <w:sz w:val="24"/>
          <w:szCs w:val="24"/>
        </w:rPr>
        <w:t xml:space="preserve">. Tesco’s production shift towards Turkey not only evolves from the transactional aspect of </w:t>
      </w:r>
      <w:r>
        <w:rPr>
          <w:rFonts w:cs="Times New Roman" w:ascii="Times New Roman" w:hAnsi="Times New Roman"/>
          <w:sz w:val="24"/>
          <w:szCs w:val="24"/>
        </w:rPr>
        <w:t xml:space="preserve">the business but entails interactions for business relationships to benefit either party. To streamline its presence in Turkey, business networking remains an important aspect wherein Tesco needs to coordinate with local entities while the coordination of activities in the business relationship shall take place within the wider business network context. The dual-view perspective by Dewey seems conducive to accommodating business and cultural considerations about Tesco and Turkey. The networked relationship shall further guide and prepare Tesco managers to understand English usage and evolution in the Turkish business community as well as learn the requirements of using the Turkish language. Alternatively, Craig’s constitutive metamodel philosophical perspective on communication implies practical orientation of all models of communication and the pragmatic way in which communication would work concerning Tesco-Turkey-business network leverage shall ensure its deemed fit </w:t>
      </w:r>
      <w:sdt>
        <w:sdtPr>
          <w:citation/>
        </w:sdtPr>
        <w:sdtContent>
          <w:r>
            <w:rPr/>
            <w:fldChar w:fldCharType="begin"/>
          </w:r>
          <w:r>
            <w:rPr/>
            <w:instrText> CITATION Ber19 \l 1033 </w:instrText>
          </w:r>
          <w:r>
            <w:rPr/>
            <w:fldChar w:fldCharType="separate"/>
          </w:r>
          <w:r>
            <w:rPr/>
            <w:t>(Bergman, et al., 2019)</w:t>
          </w:r>
          <w:r>
            <w:rPr/>
            <w:fldChar w:fldCharType="end"/>
          </w:r>
        </w:sdtContent>
      </w:sdt>
      <w:r>
        <w:rPr>
          <w:rFonts w:cs="Times New Roman" w:ascii="Times New Roman" w:hAnsi="Times New Roman"/>
          <w:sz w:val="24"/>
          <w:szCs w:val="24"/>
        </w:rPr>
        <w:t>. The international and intercultural communication theories with the philosophical perspectives</w:t>
      </w:r>
      <w:r>
        <w:rPr>
          <w:rFonts w:cs="Times New Roman" w:ascii="Times New Roman" w:hAnsi="Times New Roman"/>
          <w:sz w:val="24"/>
          <w:szCs w:val="24"/>
        </w:rPr>
        <w:t>, therefore, seem aligned towards Tesco’s production locational move towards Turkey.</w:t>
      </w:r>
    </w:p>
    <w:p>
      <w:pPr>
        <w:pStyle w:val="Heading1"/>
        <w:rPr/>
      </w:pPr>
      <w:bookmarkStart w:id="3" w:name="_Toc100913221"/>
      <w:r>
        <w:rPr/>
        <w:t>3.Critical evaluation of cultural sensitivity in relation to Tesco doing business in Turkey</w:t>
      </w:r>
      <w:bookmarkEnd w:id="3"/>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Doing business in an unfamiliar international market implies that the multinational business should have an understanding and knowledge of the culture in the chosen market. This informs the business to be culturally sensitive and involves observing and understanding the entire cultural constitution from explicit to embedded aspects towards expanding skills in cultural competency. It can involve stages corresponding to denial, defence, minimisation, acceptance, adaption and integration </w:t>
      </w:r>
      <w:sdt>
        <w:sdtPr>
          <w:citation/>
        </w:sdtPr>
        <w:sdtContent>
          <w:r>
            <w:rPr/>
            <w:fldChar w:fldCharType="begin"/>
          </w:r>
          <w:r>
            <w:rPr/>
            <w:instrText> CITATION Cut18 \l 1033 </w:instrText>
          </w:r>
          <w:r>
            <w:rPr/>
            <w:fldChar w:fldCharType="separate"/>
          </w:r>
          <w:r>
            <w:rPr/>
            <w:t>(Cutler, 2018)</w:t>
          </w:r>
          <w:r>
            <w:rPr/>
            <w:fldChar w:fldCharType="end"/>
          </w:r>
        </w:sdtContent>
      </w:sdt>
      <w:r>
        <w:rPr>
          <w:rFonts w:cs="Times New Roman" w:ascii="Times New Roman" w:hAnsi="Times New Roman"/>
          <w:sz w:val="24"/>
          <w:szCs w:val="24"/>
        </w:rPr>
        <w:t xml:space="preserve">. With the support </w:t>
      </w:r>
      <w:r>
        <w:rPr>
          <w:rFonts w:cs="Times New Roman" w:ascii="Times New Roman" w:hAnsi="Times New Roman"/>
          <w:sz w:val="24"/>
          <w:szCs w:val="24"/>
        </w:rPr>
        <w:t xml:space="preserve">of relevant examples, cultural sensitivity shall be critically evaluated concerning Tesco doing business in Turkey. Linking the different aspects of business communication to the context, Tesco’s entry into Turkey can involve a greater amount of external business communication with parties and vendors, all the while exploiting international franchising agreements to market Tesco products to Turkey. In this regard, the two or more parties i.e. Tesco and the Turkish vendor/ partner have their limited network of business relationships. As they remain connected in their cooperation, they also introduce their connected relationships. The more the connected relationship cooperates and supports the focal business network between Tesco and Turkish partners/vendors, the greater advantage Tesco shall obtain in Turkey. This involves more engagement from the focal relationships with a greater push from Tesco </w:t>
      </w:r>
      <w:sdt>
        <w:sdtPr>
          <w:citation/>
        </w:sdtPr>
        <w:sdtContent>
          <w:r>
            <w:rPr/>
            <w:fldChar w:fldCharType="begin"/>
          </w:r>
          <w:r>
            <w:rPr/>
            <w:instrText> CITATION Ros18 \l 1033 </w:instrText>
          </w:r>
          <w:r>
            <w:rPr/>
            <w:fldChar w:fldCharType="separate"/>
          </w:r>
          <w:r>
            <w:rPr/>
            <w:t>(Rosado-Serrano, et al., 2018)</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 CITATION For18 \l 1033 </w:instrText>
          </w:r>
          <w:r>
            <w:rPr/>
            <w:fldChar w:fldCharType="separate"/>
          </w:r>
          <w:r>
            <w:rPr/>
            <w:t>(Forkmann, et al., 2018)</w:t>
          </w:r>
          <w:r>
            <w:rPr/>
            <w:fldChar w:fldCharType="end"/>
          </w:r>
        </w:sdtContent>
      </w:sdt>
      <w:r>
        <w:rPr>
          <w:rFonts w:cs="Times New Roman" w:ascii="Times New Roman" w:hAnsi="Times New Roman"/>
          <w:sz w:val="24"/>
          <w:szCs w:val="24"/>
        </w:rPr>
        <w:t xml:space="preserve">. Starting with relationship building, Tesco managers may encounter </w:t>
      </w:r>
      <w:r>
        <w:rPr>
          <w:rFonts w:cs="Times New Roman" w:ascii="Times New Roman" w:hAnsi="Times New Roman"/>
          <w:sz w:val="24"/>
          <w:szCs w:val="24"/>
        </w:rPr>
        <w:t xml:space="preserve">a denial stage within cultural sensitivity wherein they view people in Turkey to be similar to their own culture and that one world view remains unchallenged. After this, the UK counterparts may experience an ethnocentric mentality that prejudices their cultural awareness. This is followed by acknowledging differences in culture corresponding to minimisation and then perspective shifts towards integration. For a seamless transition, Tesco managers would be required to attain cognitive awareness and understanding through the study and comparison of cultures facilitated via cultural sensitivity training. Arguably, with communication and the knowledge of culture being positively related, for Tesco, collaborative communication which focuses to build better relationships can be erected while also paving the way to building trust </w:t>
      </w:r>
      <w:sdt>
        <w:sdtPr>
          <w:citation/>
        </w:sdtPr>
        <w:sdtContent>
          <w:r>
            <w:rPr/>
            <w:fldChar w:fldCharType="begin"/>
          </w:r>
          <w:r>
            <w:rPr/>
            <w:instrText> CITATION Ler18 \l 1033 </w:instrText>
          </w:r>
          <w:r>
            <w:rPr/>
            <w:fldChar w:fldCharType="separate"/>
          </w:r>
          <w:r>
            <w:rPr/>
            <w:t>(Lerbinger, 2018)</w:t>
          </w:r>
          <w:r>
            <w:rPr/>
            <w:fldChar w:fldCharType="end"/>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Excerpts from foreign entrepreneurial accounts in Turkey however indicate inadequate preparation to foster robust relationship building with networks of Turkish companies. The reinforcement of trust is essential for gaining knowledge and a deep understanding of the country as well as navigating the competitive environment essential for Tesco </w:t>
      </w:r>
      <w:sdt>
        <w:sdtPr>
          <w:citation/>
        </w:sdtPr>
        <w:sdtContent>
          <w:r>
            <w:rPr/>
            <w:fldChar w:fldCharType="begin"/>
          </w:r>
          <w:r>
            <w:rPr/>
            <w:instrText>CITATION Placeholder1 \l 1033 </w:instrText>
          </w:r>
          <w:r>
            <w:rPr/>
            <w:fldChar w:fldCharType="separate"/>
          </w:r>
          <w:r>
            <w:rPr/>
            <w:t>(Building Markets, 2022)</w:t>
          </w:r>
          <w:r>
            <w:rPr/>
            <w:fldChar w:fldCharType="end"/>
          </w:r>
        </w:sdtContent>
      </w:sdt>
      <w:r>
        <w:rPr>
          <w:rFonts w:cs="Times New Roman" w:ascii="Times New Roman" w:hAnsi="Times New Roman"/>
          <w:sz w:val="24"/>
          <w:szCs w:val="24"/>
        </w:rPr>
        <w:t xml:space="preserve">. Moreover, The Hilton US remains an example that accords to a glocalisation mindset and that view </w:t>
      </w:r>
      <w:r>
        <w:rPr>
          <w:rFonts w:cs="Times New Roman" w:ascii="Times New Roman" w:hAnsi="Times New Roman"/>
          <w:sz w:val="24"/>
          <w:szCs w:val="24"/>
        </w:rPr>
        <w:t xml:space="preserve">may be channelled towards Turkey wherein the country is seen as a strategic development market for its brand portfolios.  With stakeholder consultations to promote sustainable travel highlighting their advice, feedback and priorities, it can be construed that Hilton leverages different communication channels to better familiarise with cultural sensitivity also extending towards Turkey to obtain travel insights </w:t>
      </w:r>
      <w:sdt>
        <w:sdtPr>
          <w:citation/>
        </w:sdtPr>
        <w:sdtContent>
          <w:r>
            <w:rPr/>
            <w:fldChar w:fldCharType="begin"/>
          </w:r>
          <w:r>
            <w:rPr/>
            <w:instrText> CITATION Hil22 \l 1033 </w:instrText>
          </w:r>
          <w:r>
            <w:rPr/>
            <w:fldChar w:fldCharType="separate"/>
          </w:r>
          <w:r>
            <w:rPr/>
            <w:t>(Hilton, 2022)</w:t>
          </w:r>
          <w:r>
            <w:rPr/>
            <w:fldChar w:fldCharType="end"/>
          </w:r>
        </w:sdtContent>
      </w:sdt>
      <w:r>
        <w:rPr>
          <w:rFonts w:cs="Times New Roman" w:ascii="Times New Roman" w:hAnsi="Times New Roman"/>
          <w:sz w:val="24"/>
          <w:szCs w:val="24"/>
        </w:rPr>
        <w:t xml:space="preserve">.  Moreover, these companies also realise </w:t>
      </w:r>
      <w:r>
        <w:rPr>
          <w:rFonts w:cs="Times New Roman" w:ascii="Times New Roman" w:hAnsi="Times New Roman"/>
          <w:sz w:val="24"/>
          <w:szCs w:val="24"/>
        </w:rPr>
        <w:t xml:space="preserve">a greater shift towards the online dimension although Hilton seems to be more inclined towards social listening using their chosen social media channels. In this vein, it has been argued that computer-mediated social media communicative platforms provide learners with exposure and cultural experience in real-time with multilingual and multicultural users and thus positively contribute to intercultural communication. Exploiting social media and the online opportunity can be beneficial for Tesco in Turkey to address cultural sensitivity. However, Tesco managers also need the leverage of other channels of exposure mostly physical for real immersion in the host Turkish culture whilst jointly considering social media supported with the reflective account of one’s cultural identity at all times for enhanced familiarisation of the Turkish culture and reinforce cultural adaptation </w:t>
      </w:r>
      <w:sdt>
        <w:sdtPr>
          <w:citation/>
        </w:sdtPr>
        <w:sdtContent>
          <w:r>
            <w:rPr/>
            <w:fldChar w:fldCharType="begin"/>
          </w:r>
          <w:r>
            <w:rPr/>
            <w:instrText> CITATION Zaw18 \l 1033 </w:instrText>
          </w:r>
          <w:r>
            <w:rPr/>
            <w:fldChar w:fldCharType="separate"/>
          </w:r>
          <w:r>
            <w:rPr/>
            <w:t>(Zaw, 2018)</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 CITATION Wol181 \l 1033 </w:instrText>
          </w:r>
          <w:r>
            <w:rPr/>
            <w:fldChar w:fldCharType="separate"/>
          </w:r>
          <w:r>
            <w:rPr/>
            <w:t>(Wolff &amp; Borzikowsky, 2018)</w:t>
          </w:r>
          <w:r>
            <w:rPr/>
            <w:fldChar w:fldCharType="end"/>
          </w:r>
        </w:sdtContent>
      </w:sdt>
      <w:r>
        <w:rPr>
          <w:rFonts w:cs="Times New Roman" w:ascii="Times New Roman" w:hAnsi="Times New Roman"/>
          <w:sz w:val="24"/>
          <w:szCs w:val="24"/>
        </w:rPr>
        <w:t xml:space="preserve">. This can further pave </w:t>
      </w:r>
      <w:r>
        <w:rPr>
          <w:rFonts w:cs="Times New Roman" w:ascii="Times New Roman" w:hAnsi="Times New Roman"/>
          <w:sz w:val="24"/>
          <w:szCs w:val="24"/>
        </w:rPr>
        <w:t xml:space="preserve">the way for intercultural competence building that also addresses cultural sensitivity towards Turkey. As Tesco already emphasises treating people the way they want to be treated as part of its values, it would be crucial for Tesco to take enhanced familiarisation of Turkey’s cultural constitution towards sensitisation to realistically deliver on its values </w:t>
      </w:r>
      <w:sdt>
        <w:sdtPr>
          <w:citation/>
        </w:sdtPr>
        <w:sdtContent>
          <w:r>
            <w:rPr/>
            <w:fldChar w:fldCharType="begin"/>
          </w:r>
          <w:r>
            <w:rPr/>
            <w:instrText> CITATION Kly20 \l 1033 </w:instrText>
          </w:r>
          <w:r>
            <w:rPr/>
            <w:fldChar w:fldCharType="separate"/>
          </w:r>
          <w:r>
            <w:rPr/>
            <w:t>(Klyukanov, 2020)</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 CITATION Tes22 \l 1033 </w:instrText>
          </w:r>
          <w:r>
            <w:rPr/>
            <w:fldChar w:fldCharType="separate"/>
          </w:r>
          <w:r>
            <w:rPr/>
            <w:t>(Tesco, 2022)</w:t>
          </w:r>
          <w:r>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Overall, addressing cultural sensitivity through observational and exploiting communication channels can be beneficial for Tesco towards the host Turkey culture.</w:t>
      </w:r>
    </w:p>
    <w:p>
      <w:pPr>
        <w:pStyle w:val="Heading1"/>
        <w:rPr/>
      </w:pPr>
      <w:bookmarkStart w:id="4" w:name="_Toc100913222"/>
      <w:r>
        <w:rPr/>
        <w:t>4.Communication barriers experienced by foreign businesses in Turkey and implications for Tesco</w:t>
      </w:r>
      <w:bookmarkEnd w:id="4"/>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Intercultural communication delineates managing communication between people from different cultures who remain different in their practices and behaviour along with their perception of the world. Samovar’s insight into intercultural communication further illustrates the process wherein the meaning of message changes when encoded by people of one culture and decoded by another in a different culture and thus imparts a different meaning to the message than intended. This indicates a language barrier and this has also been experienced by most foreign businesses in Turkey </w:t>
      </w:r>
      <w:sdt>
        <w:sdtPr>
          <w:citation/>
        </w:sdtPr>
        <w:sdtContent>
          <w:r>
            <w:rPr/>
            <w:fldChar w:fldCharType="begin"/>
          </w:r>
          <w:r>
            <w:rPr/>
            <w:instrText> CITATION Sam16 \l 1033 </w:instrText>
          </w:r>
          <w:r>
            <w:rPr/>
            <w:fldChar w:fldCharType="separate"/>
          </w:r>
          <w:r>
            <w:rPr/>
            <w:t>(Samovar, et al., 2016)</w:t>
          </w:r>
          <w:r>
            <w:rPr/>
            <w:fldChar w:fldCharType="end"/>
          </w:r>
        </w:sdtContent>
      </w:sdt>
      <w:r>
        <w:rPr>
          <w:rFonts w:cs="Times New Roman" w:ascii="Times New Roman" w:hAnsi="Times New Roman"/>
          <w:sz w:val="24"/>
          <w:szCs w:val="24"/>
        </w:rPr>
        <w:t xml:space="preserve">. Moreover, the foreign businesses have also showcased intermittent communication barriers such as assuming similarity instead of difference and non-verbal (attire) while in Turkey although ethnocentrism and non-verbal barriers remain scarce </w:t>
      </w:r>
      <w:sdt>
        <w:sdtPr>
          <w:citation/>
        </w:sdtPr>
        <w:sdtContent>
          <w:r>
            <w:rPr/>
            <w:fldChar w:fldCharType="begin"/>
          </w:r>
          <w:r>
            <w:rPr/>
            <w:instrText>CITATION Placeholder1 \l 1033 </w:instrText>
          </w:r>
          <w:r>
            <w:rPr/>
            <w:fldChar w:fldCharType="separate"/>
          </w:r>
          <w:r>
            <w:rPr/>
            <w:t>(Building Markets, 2022)</w:t>
          </w:r>
          <w:r>
            <w:rPr/>
            <w:fldChar w:fldCharType="end"/>
          </w:r>
        </w:sdtContent>
      </w:sdt>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Concerning language, while the accounted experiences attribute inadequate to almost no knowledge of Turkish language skills as a major drawback, the utilisation of the Turkish language at all times, however, may not be tenable for Tesco </w:t>
      </w:r>
      <w:sdt>
        <w:sdtPr>
          <w:citation/>
        </w:sdtPr>
        <w:sdtContent>
          <w:r>
            <w:rPr/>
            <w:fldChar w:fldCharType="begin"/>
          </w:r>
          <w:r>
            <w:rPr/>
            <w:instrText>CITATION Placeholder1 \l 1033 </w:instrText>
          </w:r>
          <w:r>
            <w:rPr/>
            <w:fldChar w:fldCharType="separate"/>
          </w:r>
          <w:r>
            <w:rPr/>
            <w:t>(Building Markets, 2022)</w:t>
          </w:r>
          <w:r>
            <w:rPr/>
            <w:fldChar w:fldCharType="end"/>
          </w:r>
        </w:sdtContent>
      </w:sdt>
      <w:r>
        <w:rPr>
          <w:rFonts w:cs="Times New Roman" w:ascii="Times New Roman" w:hAnsi="Times New Roman"/>
          <w:sz w:val="24"/>
          <w:szCs w:val="24"/>
        </w:rPr>
        <w:t xml:space="preserve">. </w:t>
      </w:r>
      <w:r>
        <w:rPr>
          <w:rFonts w:cs="Times New Roman" w:ascii="Times New Roman" w:hAnsi="Times New Roman"/>
          <w:sz w:val="24"/>
          <w:szCs w:val="24"/>
        </w:rPr>
        <w:t xml:space="preserve">The contemporary situation of Turkey, apart from dominant Turks, also showcases greater refugee integration as well as cultural identities beyond the dominant Turkish cultural segments and concerns ethnic, linguistic and religious minorities. In this vein, while major ethnic minorities such as Kurds and Circassians remain in tension with the Turkification programme of government, they also remain legitimate groups with distinct cultural and linguistic differences </w:t>
      </w:r>
      <w:sdt>
        <w:sdtPr>
          <w:citation/>
        </w:sdtPr>
        <w:sdtContent>
          <w:r>
            <w:rPr/>
            <w:fldChar w:fldCharType="begin"/>
          </w:r>
          <w:r>
            <w:rPr/>
            <w:instrText> CITATION Abb17 \l 1033 </w:instrText>
          </w:r>
          <w:r>
            <w:rPr/>
            <w:fldChar w:fldCharType="separate"/>
          </w:r>
          <w:r>
            <w:rPr/>
            <w:t>(Abbas, 2017)</w:t>
          </w:r>
          <w:r>
            <w:rPr/>
            <w:fldChar w:fldCharType="end"/>
          </w:r>
        </w:sdtContent>
      </w:sdt>
      <w:r>
        <w:rPr>
          <w:rFonts w:cs="Times New Roman" w:ascii="Times New Roman" w:hAnsi="Times New Roman"/>
          <w:sz w:val="24"/>
          <w:szCs w:val="24"/>
        </w:rPr>
        <w:t xml:space="preserve">. Moreover, Tesco also needs to balance its standardisation goals which require common parameters and clear communication of dietary, customer and supply chain insight within its geographical markets </w:t>
      </w:r>
      <w:sdt>
        <w:sdtPr>
          <w:citation/>
        </w:sdtPr>
        <w:sdtContent>
          <w:r>
            <w:rPr/>
            <w:fldChar w:fldCharType="begin"/>
          </w:r>
          <w:r>
            <w:rPr/>
            <w:instrText> CITATION Tes22 \l 1033 </w:instrText>
          </w:r>
          <w:r>
            <w:rPr/>
            <w:fldChar w:fldCharType="separate"/>
          </w:r>
          <w:r>
            <w:rPr/>
            <w:t>(Tesco, 2022)</w:t>
          </w:r>
          <w:r>
            <w:rPr/>
            <w:fldChar w:fldCharType="end"/>
          </w:r>
        </w:sdtContent>
      </w:sdt>
      <w:r>
        <w:rPr>
          <w:rFonts w:cs="Times New Roman" w:ascii="Times New Roman" w:hAnsi="Times New Roman"/>
          <w:sz w:val="24"/>
          <w:szCs w:val="24"/>
        </w:rPr>
        <w:t xml:space="preserve">. In this situation, Tesco’s approach in Turkey can further build on </w:t>
      </w:r>
      <w:r>
        <w:rPr>
          <w:rFonts w:cs="Times New Roman" w:ascii="Times New Roman" w:hAnsi="Times New Roman"/>
          <w:sz w:val="24"/>
          <w:szCs w:val="24"/>
        </w:rPr>
        <w:t xml:space="preserve">the non-reliance on universal ethical behaviour wherein adoption of contextual linguistic ethics relativism based on the situation at hand can be beneficial.  The flexibility in language choice with English as a foreign language along with syntax and gendered provisions suited to communications in Turkey should warrant intercultural communication together with the simultaneous enablement of Turkish as the first language in vocabulary settings. This can be beneficial for Tesco to reduce communication barriers in Turkey </w:t>
      </w:r>
      <w:sdt>
        <w:sdtPr>
          <w:citation/>
        </w:sdtPr>
        <w:sdtContent>
          <w:r>
            <w:rPr/>
            <w:fldChar w:fldCharType="begin"/>
          </w:r>
          <w:r>
            <w:rPr/>
            <w:instrText> CITATION Jan20 \l 1033 </w:instrText>
          </w:r>
          <w:r>
            <w:rPr/>
            <w:fldChar w:fldCharType="separate"/>
          </w:r>
          <w:r>
            <w:rPr/>
            <w:t>(Jandt, 2020)</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 CITATION ÖZK19 \l 1033 </w:instrText>
          </w:r>
          <w:r>
            <w:rPr/>
            <w:fldChar w:fldCharType="separate"/>
          </w:r>
          <w:r>
            <w:rPr/>
            <w:t>(ÖZKAN &amp; Nurlu, 2019)</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 CITATION Loc21 \l 1033 </w:instrText>
          </w:r>
          <w:r>
            <w:rPr/>
            <w:fldChar w:fldCharType="separate"/>
          </w:r>
          <w:r>
            <w:rPr/>
            <w:t>(Lockwood &amp; Elias, 2021)</w:t>
          </w:r>
          <w:r>
            <w:rPr/>
            <w:fldChar w:fldCharType="end"/>
          </w:r>
        </w:sdtContent>
      </w:sdt>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Another major barrier that has been shown in foreign business experience in Turkey is the assumption of similarity instead of difference corresponding with attire, especially in terms of Islamic perspective, and its overlap with personal identity centred on the female gender </w:t>
      </w:r>
      <w:sdt>
        <w:sdtPr>
          <w:citation/>
        </w:sdtPr>
        <w:sdtContent>
          <w:r>
            <w:rPr/>
            <w:fldChar w:fldCharType="begin"/>
          </w:r>
          <w:r>
            <w:rPr/>
            <w:instrText> CITATION Jan20 \l 1033 </w:instrText>
          </w:r>
          <w:r>
            <w:rPr/>
            <w:fldChar w:fldCharType="separate"/>
          </w:r>
          <w:r>
            <w:rPr/>
            <w:t>(Jandt, 2020)</w:t>
          </w:r>
          <w:r>
            <w:rPr/>
            <w:fldChar w:fldCharType="end"/>
          </w:r>
        </w:sdtContent>
      </w:sdt>
      <w:r>
        <w:rPr>
          <w:rFonts w:cs="Times New Roman" w:ascii="Times New Roman" w:hAnsi="Times New Roman"/>
          <w:sz w:val="24"/>
          <w:szCs w:val="24"/>
        </w:rPr>
        <w:t xml:space="preserve"> </w:t>
      </w:r>
      <w:sdt>
        <w:sdtPr>
          <w:citation/>
        </w:sdtPr>
        <w:sdtContent>
          <w:r>
            <w:rPr/>
            <w:fldChar w:fldCharType="begin"/>
          </w:r>
          <w:r>
            <w:rPr/>
            <w:instrText>CITATION Placeholder1 \l 1033 </w:instrText>
          </w:r>
          <w:r>
            <w:rPr/>
            <w:fldChar w:fldCharType="separate"/>
          </w:r>
          <w:r>
            <w:rPr/>
            <w:t>(Building Markets, 2022)</w:t>
          </w:r>
          <w:r>
            <w:rPr/>
            <w:fldChar w:fldCharType="end"/>
          </w:r>
        </w:sdtContent>
      </w:sdt>
      <w:r>
        <w:rPr>
          <w:rFonts w:cs="Times New Roman" w:ascii="Times New Roman" w:hAnsi="Times New Roman"/>
          <w:sz w:val="24"/>
          <w:szCs w:val="24"/>
        </w:rPr>
        <w:t xml:space="preserve">. Despite aspects of patriarchy, Turkey however showcases mostly non-conservative Islamic affiliation with democratic and free clothing and lifestyle balanced with the requirement to be pious, modern and educated. This can explain the communication difficulty faced by the Syrian women entrepreneur who remained </w:t>
      </w:r>
      <w:r>
        <w:rPr>
          <w:rFonts w:cs="Times New Roman" w:ascii="Times New Roman" w:hAnsi="Times New Roman"/>
          <w:sz w:val="24"/>
          <w:szCs w:val="24"/>
        </w:rPr>
        <w:t xml:space="preserve">under the veil </w:t>
      </w:r>
      <w:sdt>
        <w:sdtPr>
          <w:citation/>
        </w:sdtPr>
        <w:sdtContent>
          <w:r>
            <w:rPr/>
            <w:fldChar w:fldCharType="begin"/>
          </w:r>
          <w:r>
            <w:rPr/>
            <w:instrText> CITATION Mar209 \l 1033 </w:instrText>
          </w:r>
          <w:r>
            <w:rPr/>
            <w:fldChar w:fldCharType="separate"/>
          </w:r>
          <w:r>
            <w:rPr/>
            <w:t>(Maritato, 2020)</w:t>
          </w:r>
          <w:r>
            <w:rPr/>
            <w:fldChar w:fldCharType="end"/>
          </w:r>
        </w:sdtContent>
      </w:sdt>
      <w:r>
        <w:rPr>
          <w:rFonts w:cs="Times New Roman" w:ascii="Times New Roman" w:hAnsi="Times New Roman"/>
          <w:sz w:val="24"/>
          <w:szCs w:val="24"/>
        </w:rPr>
        <w:t xml:space="preserve">. Tesco should also thus take into consideration the assumed stereotypes associated with Muslim identity and also balance the fragile modern stand whilst sending female expatriates to Turkey. </w:t>
      </w:r>
    </w:p>
    <w:p>
      <w:pPr>
        <w:pStyle w:val="Heading1"/>
        <w:rPr/>
      </w:pPr>
      <w:bookmarkStart w:id="5" w:name="_Toc100913223"/>
      <w:r>
        <w:rPr/>
        <w:t>5. Recommendations for Tesco to succeed in Turkey</w:t>
      </w:r>
      <w:bookmarkEnd w:id="5"/>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The success of Tesco in Turkey can be aligned in terms of the suggested communication strategies and other measures given below</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Tesco needs to encourage its managers to leverage social media towards forming initial connections with Turkish counterparts whilst also organising offline interactive events for better familiarisation and immersion into the Turkish culture as part of strategic communication strategy preparation towards Turkey. It is also required for Tesco to drive pluralistic exposure of expatriates so that they account for comprehensive intercultural development, understanding, awareness and sensitivities in Turkish society.</w:t>
      </w:r>
    </w:p>
    <w:p>
      <w:pPr>
        <w:pStyle w:val="Normal"/>
        <w:spacing w:lineRule="auto" w:line="360"/>
        <w:jc w:val="both"/>
        <w:rPr>
          <w:rFonts w:ascii="Times New Roman" w:hAnsi="Times New Roman" w:cs="Times New Roman"/>
          <w:color w:val="231F20"/>
          <w:sz w:val="24"/>
          <w:szCs w:val="24"/>
        </w:rPr>
      </w:pPr>
      <w:r>
        <w:rPr>
          <w:rFonts w:cs="Times New Roman" w:ascii="Times New Roman" w:hAnsi="Times New Roman"/>
          <w:sz w:val="24"/>
          <w:szCs w:val="24"/>
        </w:rPr>
        <w:t xml:space="preserve">Moreover, Tesco would be required to engage in cultural competence building training mostly involving internal stakeholders aligning with the contemporary situation of Turkey. In doing so, the company should continue prioritising its intercultural competency building parameters such as open attitude and self-awareness complemented with appropriate and continuous engagements with potential connections. The ongoing relationship development process, although to be initiated by Tesco, shall go a long way towards reinforcing relationship commitment with Turkish partners, which in turn would positively contribute to network cooperation towards Tesco’s penetration and growth in Turkey. Lastly, in the language aspect of the communication strategy, Tesco needs to support </w:t>
      </w:r>
      <w:r>
        <w:rPr>
          <w:rFonts w:cs="Times New Roman" w:ascii="Times New Roman" w:hAnsi="Times New Roman"/>
          <w:color w:val="231F20"/>
          <w:sz w:val="24"/>
          <w:szCs w:val="24"/>
        </w:rPr>
        <w:t xml:space="preserve">intercultural communicative competence focusing on English as a lingua franca that is tailored with Turkish influence. Extending it towards the initial expatriate workforce in Turkey shall enable Tesco to better approach the market. </w:t>
      </w:r>
    </w:p>
    <w:p>
      <w:pPr>
        <w:pStyle w:val="Heading1"/>
        <w:rPr/>
      </w:pPr>
      <w:bookmarkStart w:id="6" w:name="_Toc100913224"/>
      <w:r>
        <w:rPr/>
        <w:t>Conclusion</w:t>
      </w:r>
      <w:bookmarkEnd w:id="6"/>
    </w:p>
    <w:p>
      <w:pPr>
        <w:pStyle w:val="Normal"/>
        <w:spacing w:lineRule="auto" w:line="360"/>
        <w:jc w:val="both"/>
        <w:rPr>
          <w:rFonts w:ascii="Times New Roman" w:hAnsi="Times New Roman" w:cs="Times New Roman"/>
          <w:color w:val="231F20"/>
          <w:sz w:val="24"/>
          <w:szCs w:val="24"/>
        </w:rPr>
      </w:pPr>
      <w:r>
        <w:rPr>
          <w:rFonts w:cs="Times New Roman" w:ascii="Times New Roman" w:hAnsi="Times New Roman"/>
          <w:color w:val="231F20"/>
          <w:sz w:val="24"/>
          <w:szCs w:val="24"/>
        </w:rPr>
        <w:t>Tesco’s business in the potential market of Turkey relies on effective intercultural considerations and communication.  The company has to navigate through cultural sensitivities and dynamics, and communication barriers, whilst tailoring and refining communicative approaches that do not strictly overlap the western-natured UK mindset towards success in Turkey.</w:t>
      </w:r>
      <w:bookmarkStart w:id="7" w:name="_GoBack"/>
      <w:bookmarkEnd w:id="7"/>
    </w:p>
    <w:p>
      <w:pPr>
        <w:pStyle w:val="Heading1"/>
        <w:rPr/>
      </w:pPr>
      <w:r>
        <w:rPr/>
        <w:t>References</w:t>
      </w:r>
    </w:p>
    <w:p>
      <w:pPr>
        <w:pStyle w:val="Bibliography"/>
        <w:spacing w:lineRule="auto" w:line="360"/>
        <w:jc w:val="both"/>
        <w:rPr>
          <w:rFonts w:ascii="Times New Roman" w:hAnsi="Times New Roman" w:cs="Times New Roman"/>
          <w:sz w:val="24"/>
          <w:szCs w:val="24"/>
        </w:rPr>
      </w:pPr>
      <w:r>
        <w:fldChar w:fldCharType="begin"/>
      </w:r>
      <w:r>
        <w:rPr>
          <w:sz w:val="24"/>
          <w:szCs w:val="24"/>
          <w:rFonts w:cs="Times New Roman" w:ascii="Times New Roman" w:hAnsi="Times New Roman"/>
        </w:rPr>
        <w:instrText> BIBLIOGRAPHY </w:instrText>
      </w:r>
      <w:r>
        <w:rPr>
          <w:sz w:val="24"/>
          <w:szCs w:val="24"/>
          <w:rFonts w:cs="Times New Roman" w:ascii="Times New Roman" w:hAnsi="Times New Roman"/>
        </w:rPr>
        <w:fldChar w:fldCharType="separate"/>
      </w:r>
      <w:r>
        <w:rPr>
          <w:rFonts w:cs="Times New Roman" w:ascii="Times New Roman" w:hAnsi="Times New Roman"/>
          <w:sz w:val="24"/>
          <w:szCs w:val="24"/>
        </w:rPr>
        <w:t xml:space="preserve">Abbas, T., 2017. </w:t>
      </w:r>
      <w:r>
        <w:rPr>
          <w:rFonts w:cs="Times New Roman" w:ascii="Times New Roman" w:hAnsi="Times New Roman"/>
          <w:i/>
          <w:iCs/>
          <w:sz w:val="24"/>
          <w:szCs w:val="24"/>
        </w:rPr>
        <w:t xml:space="preserve">Contemporary Turkey in Conflict: Ethnicity, Islam and Politics. </w:t>
      </w:r>
      <w:r>
        <w:rPr>
          <w:rFonts w:cs="Times New Roman" w:ascii="Times New Roman" w:hAnsi="Times New Roman"/>
          <w:sz w:val="24"/>
          <w:szCs w:val="24"/>
        </w:rPr>
        <w:t>Edinburg: Edinburgh University Press.</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Bergman, M., Kirtiklis, K. &amp; Siebers, J., 2019. </w:t>
      </w:r>
      <w:r>
        <w:rPr>
          <w:rFonts w:cs="Times New Roman" w:ascii="Times New Roman" w:hAnsi="Times New Roman"/>
          <w:i/>
          <w:iCs/>
          <w:sz w:val="24"/>
          <w:szCs w:val="24"/>
        </w:rPr>
        <w:t xml:space="preserve">Models of Communication: Theoretical and Philosophical Approaches. </w:t>
      </w:r>
      <w:r>
        <w:rPr>
          <w:rFonts w:cs="Times New Roman" w:ascii="Times New Roman" w:hAnsi="Times New Roman"/>
          <w:sz w:val="24"/>
          <w:szCs w:val="24"/>
        </w:rPr>
        <w:t>Abingdon: Routledge.</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Building Markets, 2022. </w:t>
      </w:r>
      <w:r>
        <w:rPr>
          <w:rFonts w:cs="Times New Roman" w:ascii="Times New Roman" w:hAnsi="Times New Roman"/>
          <w:i/>
          <w:iCs/>
          <w:sz w:val="24"/>
          <w:szCs w:val="24"/>
        </w:rPr>
        <w:t xml:space="preserve">Building Markets. </w:t>
      </w:r>
      <w:r>
        <w:rPr>
          <w:rFonts w:cs="Times New Roman" w:ascii="Times New Roman" w:hAnsi="Times New Roman"/>
          <w:sz w:val="24"/>
          <w:szCs w:val="24"/>
        </w:rPr>
        <w:t xml:space="preserve">[Online] </w:t>
        <w:br/>
        <w:t xml:space="preserve">Available at: </w:t>
      </w:r>
      <w:r>
        <w:rPr>
          <w:rFonts w:cs="Times New Roman" w:ascii="Times New Roman" w:hAnsi="Times New Roman"/>
          <w:sz w:val="24"/>
          <w:szCs w:val="24"/>
          <w:u w:val="single"/>
        </w:rPr>
        <w:t>https://buildingmarkets.org/reports-and-publications/</w:t>
      </w:r>
      <w:r>
        <w:rPr>
          <w:rFonts w:cs="Times New Roman" w:ascii="Times New Roman" w:hAnsi="Times New Roman"/>
          <w:sz w:val="24"/>
          <w:szCs w:val="24"/>
        </w:rPr>
        <w:br/>
        <w:t>[Accessed 2022].</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Cutler, J., 2018. </w:t>
      </w:r>
      <w:r>
        <w:rPr>
          <w:rFonts w:cs="Times New Roman" w:ascii="Times New Roman" w:hAnsi="Times New Roman"/>
          <w:i/>
          <w:iCs/>
          <w:sz w:val="24"/>
          <w:szCs w:val="24"/>
        </w:rPr>
        <w:t xml:space="preserve">The Cross-Cultural Communication Trainer's Manual: Volume Two: Activities for Cross-Cultural Training. </w:t>
      </w:r>
      <w:r>
        <w:rPr>
          <w:rFonts w:cs="Times New Roman" w:ascii="Times New Roman" w:hAnsi="Times New Roman"/>
          <w:sz w:val="24"/>
          <w:szCs w:val="24"/>
        </w:rPr>
        <w:t>Abingdon: Routledge.</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Demir, C., 2020. </w:t>
      </w:r>
      <w:r>
        <w:rPr>
          <w:rFonts w:cs="Times New Roman" w:ascii="Times New Roman" w:hAnsi="Times New Roman"/>
          <w:i/>
          <w:iCs/>
          <w:sz w:val="24"/>
          <w:szCs w:val="24"/>
        </w:rPr>
        <w:t xml:space="preserve">Holistic Analysis Of Postgraduate Theses On Foreign Language Teaching İn Turkey With Actor-Technic Perspective 1987-2017 - Çağlar DEMİR. </w:t>
      </w:r>
      <w:r>
        <w:rPr>
          <w:rFonts w:cs="Times New Roman" w:ascii="Times New Roman" w:hAnsi="Times New Roman"/>
          <w:sz w:val="24"/>
          <w:szCs w:val="24"/>
        </w:rPr>
        <w:t>Istanbul: Efe Akademi Yayınları .</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Eurostat, 2022. </w:t>
      </w:r>
      <w:r>
        <w:rPr>
          <w:rFonts w:cs="Times New Roman" w:ascii="Times New Roman" w:hAnsi="Times New Roman"/>
          <w:i/>
          <w:iCs/>
          <w:sz w:val="24"/>
          <w:szCs w:val="24"/>
        </w:rPr>
        <w:t xml:space="preserve">Eurstat. </w:t>
      </w:r>
      <w:r>
        <w:rPr>
          <w:rFonts w:cs="Times New Roman" w:ascii="Times New Roman" w:hAnsi="Times New Roman"/>
          <w:sz w:val="24"/>
          <w:szCs w:val="24"/>
        </w:rPr>
        <w:t xml:space="preserve">[Online] </w:t>
        <w:br/>
        <w:t xml:space="preserve">Available at: </w:t>
      </w:r>
      <w:r>
        <w:rPr>
          <w:rFonts w:cs="Times New Roman" w:ascii="Times New Roman" w:hAnsi="Times New Roman"/>
          <w:sz w:val="24"/>
          <w:szCs w:val="24"/>
          <w:u w:val="single"/>
        </w:rPr>
        <w:t>https://ec.europa.eu/eurostat/web/main/search/-/search/estatsearchportlet_WAR_estatsearchportlet_INSTANCE_bHVzuvn1SZ8J?p_auth=BIryJHHI&amp;text=turkey</w:t>
      </w:r>
      <w:r>
        <w:rPr>
          <w:rFonts w:cs="Times New Roman" w:ascii="Times New Roman" w:hAnsi="Times New Roman"/>
          <w:sz w:val="24"/>
          <w:szCs w:val="24"/>
        </w:rPr>
        <w:br/>
        <w:t>[Accessed 2022].</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Forkmann, S., Henneberg, S. &amp; Mitrega, M., 2018. Capabilities in business relationships and networks: Research recommendations and directions. </w:t>
      </w:r>
      <w:r>
        <w:rPr>
          <w:rFonts w:cs="Times New Roman" w:ascii="Times New Roman" w:hAnsi="Times New Roman"/>
          <w:i/>
          <w:iCs/>
          <w:sz w:val="24"/>
          <w:szCs w:val="24"/>
        </w:rPr>
        <w:t xml:space="preserve">Industrial Marketing Management, </w:t>
      </w:r>
      <w:r>
        <w:rPr>
          <w:rFonts w:cs="Times New Roman" w:ascii="Times New Roman" w:hAnsi="Times New Roman"/>
          <w:sz w:val="24"/>
          <w:szCs w:val="24"/>
        </w:rPr>
        <w:t>Volume 74, pp. 4-26..</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Hilton, 2022. </w:t>
      </w:r>
      <w:r>
        <w:rPr>
          <w:rFonts w:cs="Times New Roman" w:ascii="Times New Roman" w:hAnsi="Times New Roman"/>
          <w:i/>
          <w:iCs/>
          <w:sz w:val="24"/>
          <w:szCs w:val="24"/>
        </w:rPr>
        <w:t xml:space="preserve">Hilton. </w:t>
      </w:r>
      <w:r>
        <w:rPr>
          <w:rFonts w:cs="Times New Roman" w:ascii="Times New Roman" w:hAnsi="Times New Roman"/>
          <w:sz w:val="24"/>
          <w:szCs w:val="24"/>
        </w:rPr>
        <w:t xml:space="preserve">[Online] </w:t>
        <w:br/>
        <w:t xml:space="preserve">Available at: </w:t>
      </w:r>
      <w:r>
        <w:rPr>
          <w:rFonts w:cs="Times New Roman" w:ascii="Times New Roman" w:hAnsi="Times New Roman"/>
          <w:sz w:val="24"/>
          <w:szCs w:val="24"/>
          <w:u w:val="single"/>
        </w:rPr>
        <w:t>https://www.hilton.com/en/corporate/</w:t>
      </w:r>
      <w:r>
        <w:rPr>
          <w:rFonts w:cs="Times New Roman" w:ascii="Times New Roman" w:hAnsi="Times New Roman"/>
          <w:sz w:val="24"/>
          <w:szCs w:val="24"/>
        </w:rPr>
        <w:br/>
        <w:t>[Accessed 2022].</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Jandt, F., 2020. </w:t>
      </w:r>
      <w:r>
        <w:rPr>
          <w:rFonts w:cs="Times New Roman" w:ascii="Times New Roman" w:hAnsi="Times New Roman"/>
          <w:i/>
          <w:iCs/>
          <w:sz w:val="24"/>
          <w:szCs w:val="24"/>
        </w:rPr>
        <w:t xml:space="preserve">An Introduction to Intercultural Communication: Identities in a Global Community. </w:t>
      </w:r>
      <w:r>
        <w:rPr>
          <w:rFonts w:cs="Times New Roman" w:ascii="Times New Roman" w:hAnsi="Times New Roman"/>
          <w:sz w:val="24"/>
          <w:szCs w:val="24"/>
        </w:rPr>
        <w:t>Thousand Oaks: SAGE Publications.</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Klyukanov, I., 2020. </w:t>
      </w:r>
      <w:r>
        <w:rPr>
          <w:rFonts w:cs="Times New Roman" w:ascii="Times New Roman" w:hAnsi="Times New Roman"/>
          <w:i/>
          <w:iCs/>
          <w:sz w:val="24"/>
          <w:szCs w:val="24"/>
        </w:rPr>
        <w:t xml:space="preserve">Principles of Intercultural Communication. </w:t>
      </w:r>
      <w:r>
        <w:rPr>
          <w:rFonts w:cs="Times New Roman" w:ascii="Times New Roman" w:hAnsi="Times New Roman"/>
          <w:sz w:val="24"/>
          <w:szCs w:val="24"/>
        </w:rPr>
        <w:t>Abingdon: Routledge.</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Lerbinger, O., 2018. </w:t>
      </w:r>
      <w:r>
        <w:rPr>
          <w:rFonts w:cs="Times New Roman" w:ascii="Times New Roman" w:hAnsi="Times New Roman"/>
          <w:i/>
          <w:iCs/>
          <w:sz w:val="24"/>
          <w:szCs w:val="24"/>
        </w:rPr>
        <w:t xml:space="preserve">Corporate Communication: An International and Management Perspective. </w:t>
      </w:r>
      <w:r>
        <w:rPr>
          <w:rFonts w:cs="Times New Roman" w:ascii="Times New Roman" w:hAnsi="Times New Roman"/>
          <w:sz w:val="24"/>
          <w:szCs w:val="24"/>
        </w:rPr>
        <w:t>Hoboken: John Wiley &amp; Sons.</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Lockwood, J. &amp; Elias, N., 2021. </w:t>
      </w:r>
      <w:r>
        <w:rPr>
          <w:rFonts w:cs="Times New Roman" w:ascii="Times New Roman" w:hAnsi="Times New Roman"/>
          <w:i/>
          <w:iCs/>
          <w:sz w:val="24"/>
          <w:szCs w:val="24"/>
        </w:rPr>
        <w:t xml:space="preserve">Developing Global Business Communication in Asia: A Business Simulated Case Study Approach. </w:t>
      </w:r>
      <w:r>
        <w:rPr>
          <w:rFonts w:cs="Times New Roman" w:ascii="Times New Roman" w:hAnsi="Times New Roman"/>
          <w:sz w:val="24"/>
          <w:szCs w:val="24"/>
        </w:rPr>
        <w:t>Abingdon: Routledge.</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Maritato, C., 2020. </w:t>
      </w:r>
      <w:r>
        <w:rPr>
          <w:rFonts w:cs="Times New Roman" w:ascii="Times New Roman" w:hAnsi="Times New Roman"/>
          <w:i/>
          <w:iCs/>
          <w:sz w:val="24"/>
          <w:szCs w:val="24"/>
        </w:rPr>
        <w:t xml:space="preserve">Women, Religion, and the State in Contemporary Turkey. </w:t>
      </w:r>
      <w:r>
        <w:rPr>
          <w:rFonts w:cs="Times New Roman" w:ascii="Times New Roman" w:hAnsi="Times New Roman"/>
          <w:sz w:val="24"/>
          <w:szCs w:val="24"/>
        </w:rPr>
        <w:t>Cambridge: Cambridge University Press.</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ÖZKAN, N. &amp; Nurlu, M., 2019. Implementation of context-based vocabulary teaching method in Turkish language instruction for foreigners. </w:t>
      </w:r>
      <w:r>
        <w:rPr>
          <w:rFonts w:cs="Times New Roman" w:ascii="Times New Roman" w:hAnsi="Times New Roman"/>
          <w:i/>
          <w:iCs/>
          <w:sz w:val="24"/>
          <w:szCs w:val="24"/>
        </w:rPr>
        <w:t xml:space="preserve">Journal of Language and Linguistic Studies, </w:t>
      </w:r>
      <w:r>
        <w:rPr>
          <w:rFonts w:cs="Times New Roman" w:ascii="Times New Roman" w:hAnsi="Times New Roman"/>
          <w:sz w:val="24"/>
          <w:szCs w:val="24"/>
        </w:rPr>
        <w:t>15(3), pp. 1139-1154.</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Rosado-Serrano, A., Paul, J. &amp; Dikova, D., 2018. International franchising: A literature review and research agenda. </w:t>
      </w:r>
      <w:r>
        <w:rPr>
          <w:rFonts w:cs="Times New Roman" w:ascii="Times New Roman" w:hAnsi="Times New Roman"/>
          <w:i/>
          <w:iCs/>
          <w:sz w:val="24"/>
          <w:szCs w:val="24"/>
        </w:rPr>
        <w:t xml:space="preserve">Journal of Business Research, </w:t>
      </w:r>
      <w:r>
        <w:rPr>
          <w:rFonts w:cs="Times New Roman" w:ascii="Times New Roman" w:hAnsi="Times New Roman"/>
          <w:sz w:val="24"/>
          <w:szCs w:val="24"/>
        </w:rPr>
        <w:t>Volume 85, pp. 238-257.</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Samovar, L., Porter, R., McDaniel, E. &amp; Roy, C., 2016. </w:t>
      </w:r>
      <w:r>
        <w:rPr>
          <w:rFonts w:cs="Times New Roman" w:ascii="Times New Roman" w:hAnsi="Times New Roman"/>
          <w:i/>
          <w:iCs/>
          <w:sz w:val="24"/>
          <w:szCs w:val="24"/>
        </w:rPr>
        <w:t xml:space="preserve">Communication between cultures. </w:t>
      </w:r>
      <w:r>
        <w:rPr>
          <w:rFonts w:cs="Times New Roman" w:ascii="Times New Roman" w:hAnsi="Times New Roman"/>
          <w:sz w:val="24"/>
          <w:szCs w:val="24"/>
        </w:rPr>
        <w:t>Boston: Cengage Learning.</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Standish, P. &amp; Saito, N., 2017. </w:t>
      </w:r>
      <w:r>
        <w:rPr>
          <w:rFonts w:cs="Times New Roman" w:ascii="Times New Roman" w:hAnsi="Times New Roman"/>
          <w:i/>
          <w:iCs/>
          <w:sz w:val="24"/>
          <w:szCs w:val="24"/>
        </w:rPr>
        <w:t xml:space="preserve">Stanley Cavell and Philosophy as Translation: The Truth is Translated. </w:t>
      </w:r>
      <w:r>
        <w:rPr>
          <w:rFonts w:cs="Times New Roman" w:ascii="Times New Roman" w:hAnsi="Times New Roman"/>
          <w:sz w:val="24"/>
          <w:szCs w:val="24"/>
        </w:rPr>
        <w:t>Lanham: Rowman &amp; Littlefield.</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Tesco, 2022. </w:t>
      </w:r>
      <w:r>
        <w:rPr>
          <w:rFonts w:cs="Times New Roman" w:ascii="Times New Roman" w:hAnsi="Times New Roman"/>
          <w:i/>
          <w:iCs/>
          <w:sz w:val="24"/>
          <w:szCs w:val="24"/>
        </w:rPr>
        <w:t xml:space="preserve">Tesco. </w:t>
      </w:r>
      <w:r>
        <w:rPr>
          <w:rFonts w:cs="Times New Roman" w:ascii="Times New Roman" w:hAnsi="Times New Roman"/>
          <w:sz w:val="24"/>
          <w:szCs w:val="24"/>
        </w:rPr>
        <w:t xml:space="preserve">[Online] </w:t>
        <w:br/>
        <w:t xml:space="preserve">Available at: </w:t>
      </w:r>
      <w:r>
        <w:rPr>
          <w:rFonts w:cs="Times New Roman" w:ascii="Times New Roman" w:hAnsi="Times New Roman"/>
          <w:sz w:val="24"/>
          <w:szCs w:val="24"/>
          <w:u w:val="single"/>
        </w:rPr>
        <w:t>https://www.tescoplc.com/investors/reports-results-and-presentations/annual-report-2021/</w:t>
      </w:r>
      <w:r>
        <w:rPr>
          <w:rFonts w:cs="Times New Roman" w:ascii="Times New Roman" w:hAnsi="Times New Roman"/>
          <w:sz w:val="24"/>
          <w:szCs w:val="24"/>
        </w:rPr>
        <w:br/>
        <w:t>[Accessed 2022].</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Wolff, F. &amp; Borzikowsky, C., 2018. Intercultural Competence by International Experiences? An Investigation of the Impact of Educational Stays Abroad on Intercultural Competence and Its Facets. </w:t>
      </w:r>
      <w:r>
        <w:rPr>
          <w:rFonts w:cs="Times New Roman" w:ascii="Times New Roman" w:hAnsi="Times New Roman"/>
          <w:i/>
          <w:iCs/>
          <w:sz w:val="24"/>
          <w:szCs w:val="24"/>
        </w:rPr>
        <w:t>Journal of Cross-Cultural Psychology.</w:t>
      </w:r>
    </w:p>
    <w:p>
      <w:pPr>
        <w:pStyle w:val="Bibliography"/>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Worldbank, 2022. </w:t>
      </w:r>
      <w:r>
        <w:rPr>
          <w:rFonts w:cs="Times New Roman" w:ascii="Times New Roman" w:hAnsi="Times New Roman"/>
          <w:i/>
          <w:iCs/>
          <w:sz w:val="24"/>
          <w:szCs w:val="24"/>
        </w:rPr>
        <w:t xml:space="preserve">Worldbank. </w:t>
      </w:r>
      <w:r>
        <w:rPr>
          <w:rFonts w:cs="Times New Roman" w:ascii="Times New Roman" w:hAnsi="Times New Roman"/>
          <w:sz w:val="24"/>
          <w:szCs w:val="24"/>
        </w:rPr>
        <w:t xml:space="preserve">[Online] </w:t>
        <w:br/>
        <w:t xml:space="preserve">Available at: </w:t>
      </w:r>
      <w:r>
        <w:rPr>
          <w:rFonts w:cs="Times New Roman" w:ascii="Times New Roman" w:hAnsi="Times New Roman"/>
          <w:sz w:val="24"/>
          <w:szCs w:val="24"/>
          <w:u w:val="single"/>
        </w:rPr>
        <w:t>https://www.worldbank.org/en/country/turkey/overview#1</w:t>
      </w:r>
      <w:r>
        <w:rPr>
          <w:rFonts w:cs="Times New Roman" w:ascii="Times New Roman" w:hAnsi="Times New Roman"/>
          <w:sz w:val="24"/>
          <w:szCs w:val="24"/>
        </w:rPr>
        <w:br/>
        <w:t>[Accessed 2022].</w:t>
      </w:r>
    </w:p>
    <w:p>
      <w:pPr>
        <w:pStyle w:val="Bibliography"/>
        <w:spacing w:lineRule="auto" w:line="360"/>
        <w:jc w:val="both"/>
        <w:rPr/>
      </w:pPr>
      <w:r>
        <w:rPr>
          <w:rFonts w:cs="Times New Roman" w:ascii="Times New Roman" w:hAnsi="Times New Roman"/>
          <w:sz w:val="24"/>
          <w:szCs w:val="24"/>
        </w:rPr>
        <w:t xml:space="preserve">Zaw, H., 2018. The impact of social media on cultural adaptation process: Study on Chinese government scholarship students. </w:t>
      </w:r>
      <w:r>
        <w:rPr>
          <w:rFonts w:cs="Times New Roman" w:ascii="Times New Roman" w:hAnsi="Times New Roman"/>
          <w:i/>
          <w:iCs/>
          <w:sz w:val="24"/>
          <w:szCs w:val="24"/>
        </w:rPr>
        <w:t xml:space="preserve">Advances in Journalism and Communication, </w:t>
      </w:r>
      <w:r>
        <w:rPr>
          <w:rFonts w:cs="Times New Roman" w:ascii="Times New Roman" w:hAnsi="Times New Roman"/>
          <w:sz w:val="24"/>
          <w:szCs w:val="24"/>
        </w:rPr>
        <w:t>6(03), p. 75.</w:t>
      </w:r>
      <w:r>
        <w:rPr>
          <w:sz w:val="24"/>
          <w:szCs w:val="24"/>
          <w:rFonts w:cs="Times New Roman" w:ascii="Times New Roman" w:hAnsi="Times New Roman"/>
        </w:rPr>
        <w:fldChar w:fldCharType="end"/>
      </w:r>
    </w:p>
    <w:p>
      <w:pPr>
        <w:pStyle w:val="Normal"/>
        <w:rPr/>
      </w:pPr>
      <w:r>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bidi w:val="0"/>
        <w:spacing w:lineRule="auto" w:line="276" w:before="0" w:after="200"/>
        <w:jc w:val="left"/>
        <w:rPr/>
      </w:pPr>
      <w:r>
        <w:rPr/>
      </w:r>
    </w:p>
    <w:sectPr>
      <w:footerReference w:type="default" r:id="rId2"/>
      <w:type w:val="nextPage"/>
      <w:pgSz w:w="12240" w:h="15840"/>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mbria">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08394284"/>
    </w:sdtPr>
    <w:sdtContent>
      <w:p>
        <w:pPr>
          <w:pStyle w:val="Footer"/>
          <w:rPr/>
        </w:pPr>
        <w:r>
          <w:rPr/>
          <w:fldChar w:fldCharType="begin"/>
        </w:r>
        <w:r>
          <w:rPr/>
          <w:instrText> PAGE </w:instrText>
        </w:r>
        <w:r>
          <w:rPr/>
          <w:fldChar w:fldCharType="separate"/>
        </w:r>
        <w:r>
          <w:rPr/>
          <w:t>14</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2"/>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e8351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e83510"/>
    <w:pPr>
      <w:keepNext w:val="true"/>
      <w:keepLines/>
      <w:spacing w:lineRule="auto" w:line="360" w:before="240" w:after="0"/>
      <w:jc w:val="both"/>
      <w:outlineLvl w:val="0"/>
    </w:pPr>
    <w:rPr>
      <w:rFonts w:ascii="Times New Roman" w:hAnsi="Times New Roman" w:eastAsia="" w:cs="" w:cstheme="majorBidi" w:eastAsiaTheme="majorEastAsia"/>
      <w:b/>
      <w:sz w:val="24"/>
      <w:szCs w:val="3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6453cb"/>
    <w:rPr>
      <w:lang w:val="en-GB"/>
    </w:rPr>
  </w:style>
  <w:style w:type="character" w:styleId="FooterChar" w:customStyle="1">
    <w:name w:val="Footer Char"/>
    <w:basedOn w:val="DefaultParagraphFont"/>
    <w:link w:val="Footer"/>
    <w:uiPriority w:val="99"/>
    <w:qFormat/>
    <w:rsid w:val="006453cb"/>
    <w:rPr>
      <w:lang w:val="en-GB"/>
    </w:rPr>
  </w:style>
  <w:style w:type="character" w:styleId="Heading1Char" w:customStyle="1">
    <w:name w:val="Heading 1 Char"/>
    <w:basedOn w:val="DefaultParagraphFont"/>
    <w:link w:val="Heading1"/>
    <w:uiPriority w:val="9"/>
    <w:qFormat/>
    <w:rsid w:val="00e83510"/>
    <w:rPr>
      <w:rFonts w:ascii="Times New Roman" w:hAnsi="Times New Roman" w:eastAsia="" w:cs="" w:cstheme="majorBidi" w:eastAsiaTheme="majorEastAsia"/>
      <w:b/>
      <w:sz w:val="24"/>
      <w:szCs w:val="32"/>
      <w:lang w:val="en-GB"/>
    </w:rPr>
  </w:style>
  <w:style w:type="character" w:styleId="InternetLink">
    <w:name w:val="Internet Link"/>
    <w:basedOn w:val="DefaultParagraphFont"/>
    <w:uiPriority w:val="99"/>
    <w:unhideWhenUsed/>
    <w:rsid w:val="00e83510"/>
    <w:rPr>
      <w:color w:val="0000FF"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6453cb"/>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6453cb"/>
    <w:pPr>
      <w:tabs>
        <w:tab w:val="clear" w:pos="720"/>
        <w:tab w:val="center" w:pos="4680" w:leader="none"/>
        <w:tab w:val="right" w:pos="9360" w:leader="none"/>
      </w:tabs>
      <w:spacing w:lineRule="auto" w:line="240" w:before="0" w:after="0"/>
    </w:pPr>
    <w:rPr/>
  </w:style>
  <w:style w:type="paragraph" w:styleId="Default" w:customStyle="1">
    <w:name w:val="Default"/>
    <w:qFormat/>
    <w:rsid w:val="00935fd8"/>
    <w:pPr>
      <w:widowControl/>
      <w:bidi w:val="0"/>
      <w:spacing w:lineRule="auto" w:line="240" w:before="0" w:after="0"/>
      <w:jc w:val="left"/>
    </w:pPr>
    <w:rPr>
      <w:rFonts w:ascii="Times New Roman" w:hAnsi="Times New Roman" w:cs="Times New Roman" w:eastAsia="Calibri"/>
      <w:color w:val="000000"/>
      <w:kern w:val="0"/>
      <w:sz w:val="24"/>
      <w:szCs w:val="24"/>
      <w:lang w:val="en-US" w:eastAsia="en-US" w:bidi="ar-SA"/>
    </w:rPr>
  </w:style>
  <w:style w:type="paragraph" w:styleId="TOCHeading">
    <w:name w:val="TOC Heading"/>
    <w:basedOn w:val="Heading1"/>
    <w:next w:val="Normal"/>
    <w:uiPriority w:val="39"/>
    <w:unhideWhenUsed/>
    <w:qFormat/>
    <w:rsid w:val="00e83510"/>
    <w:pPr>
      <w:spacing w:lineRule="auto" w:line="259"/>
      <w:jc w:val="left"/>
    </w:pPr>
    <w:rPr>
      <w:rFonts w:ascii="Cambria" w:hAnsi="Cambria" w:asciiTheme="majorHAnsi" w:hAnsiTheme="majorHAnsi"/>
      <w:b w:val="false"/>
      <w:color w:val="365F91" w:themeColor="accent1" w:themeShade="bf"/>
      <w:sz w:val="32"/>
      <w:lang w:val="en-US"/>
    </w:rPr>
  </w:style>
  <w:style w:type="paragraph" w:styleId="Contents1">
    <w:name w:val="TOC 1"/>
    <w:basedOn w:val="Normal"/>
    <w:next w:val="Normal"/>
    <w:autoRedefine/>
    <w:uiPriority w:val="39"/>
    <w:unhideWhenUsed/>
    <w:rsid w:val="00e83510"/>
    <w:pPr>
      <w:spacing w:before="0" w:after="100"/>
    </w:pPr>
    <w:rPr/>
  </w:style>
  <w:style w:type="paragraph" w:styleId="Bibliography">
    <w:name w:val="Bibliography"/>
    <w:basedOn w:val="Normal"/>
    <w:next w:val="Normal"/>
    <w:uiPriority w:val="37"/>
    <w:unhideWhenUsed/>
    <w:qFormat/>
    <w:rsid w:val="00e8351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Loc21</b:Tag>
    <b:SourceType>Book</b:SourceType>
    <b:Guid>{C4DD0DD3-94FD-4A97-A7E8-536418776002}</b:Guid>
    <b:Title>Developing Global Business Communication in Asia: A Business Simulated Case Study Approach</b:Title>
    <b:Year>2021</b:Year>
    <b:LCID>en-GB</b:LCID>
    <b:Author>
      <b:Author>
        <b:NameList>
          <b:Person>
            <b:Last>Lockwood</b:Last>
            <b:First>Jane</b:First>
          </b:Person>
          <b:Person>
            <b:Last>Elias</b:Last>
            <b:First>Neil</b:First>
          </b:Person>
        </b:NameList>
      </b:Author>
    </b:Author>
    <b:City>Abingdon</b:City>
    <b:Publisher>Routledge</b:Publisher>
    <b:RefOrder>2</b:RefOrder>
  </b:Source>
  <b:Source>
    <b:Tag>Ler18</b:Tag>
    <b:SourceType>Book</b:SourceType>
    <b:Guid>{C3E45A85-98C0-4D2C-8679-E9C2B65A7E9E}</b:Guid>
    <b:LCID>en-GB</b:LCID>
    <b:Author>
      <b:Author>
        <b:NameList>
          <b:Person>
            <b:Last>Lerbinger</b:Last>
            <b:First>Otto</b:First>
          </b:Person>
        </b:NameList>
      </b:Author>
    </b:Author>
    <b:Title>Corporate Communication: An International and Management Perspective</b:Title>
    <b:Year>2018</b:Year>
    <b:City>Hoboken</b:City>
    <b:Publisher>John Wiley &amp; Sons</b:Publisher>
    <b:RefOrder>1</b:RefOrder>
  </b:Source>
  <b:Source>
    <b:Tag>Dem20</b:Tag>
    <b:SourceType>Book</b:SourceType>
    <b:Guid>{7BABE72E-276B-4E1B-B209-A3249BCE9732}</b:Guid>
    <b:LCID>en-GB</b:LCID>
    <b:Author>
      <b:Author>
        <b:NameList>
          <b:Person>
            <b:Last>Demir</b:Last>
            <b:First>Caglar</b:First>
          </b:Person>
        </b:NameList>
      </b:Author>
    </b:Author>
    <b:Title>Holistic Analysis Of Postgraduate Theses On Foreign Language Teaching İn Turkey With Actor-Technic Perspective 1987-2017 - Çağlar DEMİR</b:Title>
    <b:Year>2020</b:Year>
    <b:City>Istanbul</b:City>
    <b:Publisher>Efe Akademi Yayınları </b:Publisher>
    <b:RefOrder>5</b:RefOrder>
  </b:Source>
  <b:Source>
    <b:Tag>Wor22</b:Tag>
    <b:SourceType>InternetSite</b:SourceType>
    <b:Guid>{37EEA51B-93BD-47A5-94C7-02CE10B47176}</b:Guid>
    <b:Title>Worldbank</b:Title>
    <b:Year>2022</b:Year>
    <b:LCID>en-GB</b:LCID>
    <b:Author>
      <b:Author>
        <b:Corporate>Worldbank</b:Corporate>
      </b:Author>
    </b:Author>
    <b:YearAccessed>2022</b:YearAccessed>
    <b:URL>https://www.worldbank.org/en/country/turkey/overview#1</b:URL>
    <b:RefOrder>3</b:RefOrder>
  </b:Source>
  <b:Source>
    <b:Tag>Eur22</b:Tag>
    <b:SourceType>InternetSite</b:SourceType>
    <b:Guid>{D0C98E46-4BD8-40F6-B059-2D1EDF6816F6}</b:Guid>
    <b:LCID>en-GB</b:LCID>
    <b:Author>
      <b:Author>
        <b:Corporate>Eurostat</b:Corporate>
      </b:Author>
    </b:Author>
    <b:Title>Eurstat</b:Title>
    <b:Year>2022</b:Year>
    <b:YearAccessed>2022</b:YearAccessed>
    <b:URL>https://ec.europa.eu/eurostat/web/main/search/-/search/estatsearchportlet_WAR_estatsearchportlet_INSTANCE_bHVzuvn1SZ8J?p_auth=BIryJHHI&amp;text=turkey</b:URL>
    <b:RefOrder>4</b:RefOrder>
  </b:Source>
  <b:Source>
    <b:Tag>Ber19</b:Tag>
    <b:SourceType>Book</b:SourceType>
    <b:Guid>{EEA289E2-0740-43BE-B37E-14344AA82595}</b:Guid>
    <b:Title>Models of Communication: Theoretical and Philosophical Approaches</b:Title>
    <b:Year>2019</b:Year>
    <b:LCID>en-GB</b:LCID>
    <b:Author>
      <b:Author>
        <b:NameList>
          <b:Person>
            <b:Last>Bergman</b:Last>
            <b:First>Mats</b:First>
          </b:Person>
          <b:Person>
            <b:Last>Kirtiklis</b:Last>
            <b:First>Kirtiklis</b:First>
          </b:Person>
          <b:Person>
            <b:Last>Siebers</b:Last>
            <b:First>Johan</b:First>
          </b:Person>
        </b:NameList>
      </b:Author>
    </b:Author>
    <b:City>Abingdon</b:City>
    <b:Publisher>Routledge</b:Publisher>
    <b:RefOrder>10</b:RefOrder>
  </b:Source>
  <b:Source>
    <b:Tag>Sta172</b:Tag>
    <b:SourceType>Book</b:SourceType>
    <b:Guid>{601FA47C-3FB8-435C-8D4A-8FBD6A700907}</b:Guid>
    <b:LCID>en-GB</b:LCID>
    <b:Author>
      <b:Author>
        <b:NameList>
          <b:Person>
            <b:Last>Standish</b:Last>
            <b:First>Paul</b:First>
          </b:Person>
          <b:Person>
            <b:Last>Saito</b:Last>
            <b:First>Naoko</b:First>
          </b:Person>
        </b:NameList>
      </b:Author>
    </b:Author>
    <b:Title>Stanley Cavell and Philosophy as Translation: The Truth is Translated</b:Title>
    <b:Year>2017</b:Year>
    <b:City>Lanham</b:City>
    <b:Publisher>Rowman &amp; Littlefield</b:Publisher>
    <b:RefOrder>9</b:RefOrder>
  </b:Source>
  <b:Source>
    <b:Tag>Sam16</b:Tag>
    <b:SourceType>Book</b:SourceType>
    <b:Guid>{AC7FDC78-9756-4682-8B4E-6FEA35CFC43E}</b:Guid>
    <b:LCID>en-GB</b:LCID>
    <b:Author>
      <b:Author>
        <b:NameList>
          <b:Person>
            <b:Last>Samovar</b:Last>
            <b:First>L.A.</b:First>
          </b:Person>
          <b:Person>
            <b:Last>Porter</b:Last>
            <b:First>R.E.</b:First>
          </b:Person>
          <b:Person>
            <b:Last>McDaniel</b:Last>
            <b:First>E.R.</b:First>
          </b:Person>
          <b:Person>
            <b:Last>Roy</b:Last>
            <b:First>C.S.</b:First>
          </b:Person>
        </b:NameList>
      </b:Author>
    </b:Author>
    <b:Title>Communication between cultures</b:Title>
    <b:Year>2016</b:Year>
    <b:City>Boston</b:City>
    <b:Publisher>Cengage Learning</b:Publisher>
    <b:RefOrder>7</b:RefOrder>
  </b:Source>
  <b:Source>
    <b:Tag>Jan20</b:Tag>
    <b:SourceType>Book</b:SourceType>
    <b:Guid>{0586F9A9-19E1-4391-B827-9A67D7FFE139}</b:Guid>
    <b:LCID>en-GB</b:LCID>
    <b:Author>
      <b:Author>
        <b:NameList>
          <b:Person>
            <b:Last>Jandt</b:Last>
            <b:First>Fred</b:First>
          </b:Person>
        </b:NameList>
      </b:Author>
    </b:Author>
    <b:Title>An Introduction to Intercultural Communication: Identities in a Global Community</b:Title>
    <b:Year>2020</b:Year>
    <b:City>Thousand Oaks</b:City>
    <b:Publisher>SAGE Publications</b:Publisher>
    <b:RefOrder>8</b:RefOrder>
  </b:Source>
  <b:Source>
    <b:Tag>Kly20</b:Tag>
    <b:SourceType>Book</b:SourceType>
    <b:Guid>{0501DE0E-C7E8-44A2-A9DD-0438D55CEAAB}</b:Guid>
    <b:LCID>en-GB</b:LCID>
    <b:Author>
      <b:Author>
        <b:NameList>
          <b:Person>
            <b:Last>Klyukanov</b:Last>
            <b:First>Igor</b:First>
          </b:Person>
        </b:NameList>
      </b:Author>
    </b:Author>
    <b:Title>Principles of Intercultural Communication</b:Title>
    <b:Year>2020</b:Year>
    <b:City>Abingdon</b:City>
    <b:Publisher>Routledge</b:Publisher>
    <b:RefOrder>6</b:RefOrder>
  </b:Source>
  <b:Source>
    <b:Tag>Hil22</b:Tag>
    <b:SourceType>InternetSite</b:SourceType>
    <b:Guid>{2CA3223F-083C-43E7-98F7-5375A3C2493D}</b:Guid>
    <b:LCID>en-GB</b:LCID>
    <b:Author>
      <b:Author>
        <b:Corporate>Hilton</b:Corporate>
      </b:Author>
    </b:Author>
    <b:Title>Hilton</b:Title>
    <b:Year>2022</b:Year>
    <b:YearAccessed>2022</b:YearAccessed>
    <b:URL>https://www.hilton.com/en/corporate/</b:URL>
    <b:RefOrder>15</b:RefOrder>
  </b:Source>
  <b:Source>
    <b:Tag>Cut18</b:Tag>
    <b:SourceType>Book</b:SourceType>
    <b:Guid>{F5DA016F-BCA1-41D4-A655-9B29ABEC9478}</b:Guid>
    <b:Title>The Cross-Cultural Communication Trainer's Manual: Volume Two: Activities for Cross-Cultural Training</b:Title>
    <b:Year>2018</b:Year>
    <b:LCID>en-GB</b:LCID>
    <b:Author>
      <b:Author>
        <b:NameList>
          <b:Person>
            <b:Last>Cutler</b:Last>
            <b:First>John</b:First>
          </b:Person>
        </b:NameList>
      </b:Author>
    </b:Author>
    <b:City>Abingdon</b:City>
    <b:Publisher>Routledge</b:Publisher>
    <b:RefOrder>11</b:RefOrder>
  </b:Source>
  <b:Source>
    <b:Tag>Ros18</b:Tag>
    <b:SourceType>JournalArticle</b:SourceType>
    <b:Guid>{8C7241FA-5C2E-4CFF-8FD6-782AACB68420}</b:Guid>
    <b:Title>International franchising: A literature review and research agenda</b:Title>
    <b:Year>2018</b:Year>
    <b:LCID>en-GB</b:LCID>
    <b:Author>
      <b:Author>
        <b:NameList>
          <b:Person>
            <b:Last>Rosado-Serrano</b:Last>
            <b:First>A.</b:First>
          </b:Person>
          <b:Person>
            <b:Last>Paul</b:Last>
            <b:First>J.</b:First>
          </b:Person>
          <b:Person>
            <b:Last>Dikova</b:Last>
            <b:First>D.</b:First>
          </b:Person>
        </b:NameList>
      </b:Author>
    </b:Author>
    <b:JournalName>Journal of Business Research</b:JournalName>
    <b:Pages>238-257</b:Pages>
    <b:Volume>85</b:Volume>
    <b:RefOrder>12</b:RefOrder>
  </b:Source>
  <b:Source>
    <b:Tag>For18</b:Tag>
    <b:SourceType>JournalArticle</b:SourceType>
    <b:Guid>{0A4ECC54-6C6F-486E-ABB9-3C5205D4DC19}</b:Guid>
    <b:LCID>en-GB</b:LCID>
    <b:Author>
      <b:Author>
        <b:NameList>
          <b:Person>
            <b:Last>Forkmann</b:Last>
            <b:First>S.</b:First>
          </b:Person>
          <b:Person>
            <b:Last>Henneberg</b:Last>
            <b:First>S.C.</b:First>
          </b:Person>
          <b:Person>
            <b:Last>Mitrega</b:Last>
            <b:First>M.</b:First>
          </b:Person>
        </b:NameList>
      </b:Author>
    </b:Author>
    <b:Title>Capabilities in business relationships and networks: Research recommendations and directions</b:Title>
    <b:JournalName>Industrial Marketing Management</b:JournalName>
    <b:Year>2018</b:Year>
    <b:Pages>4-26.</b:Pages>
    <b:Volume>74</b:Volume>
    <b:RefOrder>13</b:RefOrder>
  </b:Source>
  <b:Source>
    <b:Tag>Tes22</b:Tag>
    <b:SourceType>InternetSite</b:SourceType>
    <b:Guid>{0F56EB0D-0EE8-4FF8-A6EB-6610FF121ACD}</b:Guid>
    <b:Title>Tesco</b:Title>
    <b:Year>2022</b:Year>
    <b:LCID>en-GB</b:LCID>
    <b:Author>
      <b:Author>
        <b:Corporate>Tesco</b:Corporate>
      </b:Author>
    </b:Author>
    <b:YearAccessed>2022</b:YearAccessed>
    <b:URL>https://www.tescoplc.com/investors/reports-results-and-presentations/annual-report-2021/</b:URL>
    <b:RefOrder>18</b:RefOrder>
  </b:Source>
  <b:Source>
    <b:Tag>Zaw18</b:Tag>
    <b:SourceType>JournalArticle</b:SourceType>
    <b:Guid>{B4D09C73-F7C3-4764-BF11-CC6C4F084D01}</b:Guid>
    <b:Title>The impact of social media on cultural adaptation process: Study on Chinese government scholarship students</b:Title>
    <b:Year>2018</b:Year>
    <b:LCID>en-GB</b:LCID>
    <b:Author>
      <b:Author>
        <b:NameList>
          <b:Person>
            <b:Last>Zaw</b:Last>
            <b:First>H.T</b:First>
          </b:Person>
        </b:NameList>
      </b:Author>
    </b:Author>
    <b:JournalName>Advances in Journalism and Communication</b:JournalName>
    <b:Pages>75</b:Pages>
    <b:Volume>6</b:Volume>
    <b:Issue>03</b:Issue>
    <b:RefOrder>16</b:RefOrder>
  </b:Source>
  <b:Source>
    <b:Tag>Wol181</b:Tag>
    <b:SourceType>JournalArticle</b:SourceType>
    <b:Guid>{4B3922F7-FE4C-4B81-9FED-B2A3EB735F56}</b:Guid>
    <b:LCID>en-GB</b:LCID>
    <b:Author>
      <b:Author>
        <b:NameList>
          <b:Person>
            <b:Last>Wolff</b:Last>
            <b:First>Fabian</b:First>
          </b:Person>
          <b:Person>
            <b:Last>Borzikowsky</b:Last>
            <b:First>Christoph</b:First>
          </b:Person>
        </b:NameList>
      </b:Author>
    </b:Author>
    <b:Title>Intercultural Competence by International Experiences? An Investigation of the Impact of Educational Stays Abroad on Intercultural Competence and Its Facets</b:Title>
    <b:JournalName>Journal of Cross-Cultural Psychology</b:JournalName>
    <b:Year>2018</b:Year>
    <b:RefOrder>17</b:RefOrder>
  </b:Source>
  <b:Source>
    <b:Tag>Mar209</b:Tag>
    <b:SourceType>Book</b:SourceType>
    <b:Guid>{CC16FF4F-FCC7-4FC5-85A6-BD06C117659E}</b:Guid>
    <b:Title>Women, Religion, and the State in Contemporary Turkey</b:Title>
    <b:Year>2020</b:Year>
    <b:LCID>en-GB</b:LCID>
    <b:Author>
      <b:Author>
        <b:NameList>
          <b:Person>
            <b:Last>Maritato</b:Last>
            <b:First>Chiara</b:First>
          </b:Person>
        </b:NameList>
      </b:Author>
    </b:Author>
    <b:City>Cambridge</b:City>
    <b:Publisher>Cambridge University Press</b:Publisher>
    <b:RefOrder>21</b:RefOrder>
  </b:Source>
  <b:Source>
    <b:Tag>ÖZK19</b:Tag>
    <b:SourceType>JournalArticle</b:SourceType>
    <b:Guid>{B5153375-CE5F-4308-9A4B-E1240A1DDCD1}</b:Guid>
    <b:Title>Implementation of context-based vocabulary teaching method in Turkish language instruction for foreigners</b:Title>
    <b:Year>2019</b:Year>
    <b:LCID>en-GB</b:LCID>
    <b:Author>
      <b:Author>
        <b:NameList>
          <b:Person>
            <b:Last>ÖZKAN</b:Last>
            <b:First>N.</b:First>
          </b:Person>
          <b:Person>
            <b:Last>Nurlu</b:Last>
            <b:First>M.</b:First>
          </b:Person>
        </b:NameList>
      </b:Author>
    </b:Author>
    <b:JournalName>Journal of Language and Linguistic Studies</b:JournalName>
    <b:Pages>1139-1154</b:Pages>
    <b:Volume>15</b:Volume>
    <b:Issue>3</b:Issue>
    <b:RefOrder>20</b:RefOrder>
  </b:Source>
  <b:Source>
    <b:Tag>Abb17</b:Tag>
    <b:SourceType>Book</b:SourceType>
    <b:Guid>{6176979E-742D-4171-B51E-467BB9EF685C}</b:Guid>
    <b:Title>Contemporary Turkey in Conflict: Ethnicity, Islam and Politics</b:Title>
    <b:Year>2017</b:Year>
    <b:LCID>en-GB</b:LCID>
    <b:Author>
      <b:Author>
        <b:NameList>
          <b:Person>
            <b:Last>Abbas</b:Last>
            <b:First>Tahir</b:First>
          </b:Person>
        </b:NameList>
      </b:Author>
    </b:Author>
    <b:City>Edinburg</b:City>
    <b:Publisher>Edinburgh University Press</b:Publisher>
    <b:RefOrder>19</b:RefOrder>
  </b:Source>
  <b:Source>
    <b:Tag>Placeholder1</b:Tag>
    <b:SourceType>InternetSite</b:SourceType>
    <b:Guid>{5B46C192-593F-4DF1-8ADB-BEE20D476CFB}</b:Guid>
    <b:Title>Building Markets</b:Title>
    <b:Year>2022</b:Year>
    <b:LCID>en-GB</b:LCID>
    <b:Author>
      <b:Author>
        <b:Corporate>Building Markets</b:Corporate>
      </b:Author>
    </b:Author>
    <b:YearAccessed>2022</b:YearAccessed>
    <b:URL>https://buildingmarkets.org/reports-and-publications/</b:URL>
    <b:RefOrder>14</b:RefOrder>
  </b:Source>
</b:Sources>
</file>

<file path=customXml/itemProps1.xml><?xml version="1.0" encoding="utf-8"?>
<ds:datastoreItem xmlns:ds="http://schemas.openxmlformats.org/officeDocument/2006/customXml" ds:itemID="{51DDB8EF-2869-4366-8AB4-F21E7BDB9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Application>LibreOffice/6.2.4.2$Windows_X86_64 LibreOffice_project/2412653d852ce75f65fbfa83fb7e7b669a126d64</Application>
  <Pages>14</Pages>
  <Words>3297</Words>
  <Characters>20533</Characters>
  <CharactersWithSpaces>23789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2022-04-11T08:41:00Z</dcterms:created>
  <dc:creator>Admin</dc:creator>
  <dc:description/>
  <dc:language>en-US</dc:language>
  <cp:lastModifiedBy/>
  <dcterms:modified xsi:type="dcterms:W3CDTF">2022-04-28T14:13:04Z</dcterms:modified>
  <cp:revision>111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