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00063B4C" w:rsidRDefault="00063B4C" w14:paraId="4BD32C57" w14:textId="2FA64C13">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rsidRPr="00063B4C" w:rsidR="00063B4C" w:rsidP="00063B4C" w:rsidRDefault="00063B4C" w14:paraId="7F58ECA1" w14:textId="77777777">
      <w:pPr>
        <w:pStyle w:val="BodyText"/>
        <w:jc w:val="center"/>
        <w:rPr>
          <w:rFonts w:ascii="Aptos" w:hAnsi="Aptos" w:cs="Arial"/>
          <w:sz w:val="20"/>
        </w:rPr>
      </w:pPr>
    </w:p>
    <w:p w:rsidRPr="00063B4C" w:rsidR="00063B4C" w:rsidP="00063B4C" w:rsidRDefault="00063B4C" w14:paraId="3009F44A" w14:textId="2F598781">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rsidRPr="00063B4C" w:rsidR="00063B4C" w:rsidP="00063B4C" w:rsidRDefault="00063B4C" w14:paraId="08ED8C42" w14:textId="0A36C282">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rsidR="00063B4C" w:rsidRDefault="00063B4C" w14:paraId="5B270734" w14:textId="55782988"/>
    <w:p w:rsidR="00995444" w:rsidP="00995444" w:rsidRDefault="00995444" w14:paraId="2C0F81B3" w14:textId="77777777">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r w:rsidRPr="00063B4C">
        <w:rPr>
          <w:rFonts w:ascii="Aptos" w:hAnsi="Aptos" w:cs="Arial"/>
        </w:rPr>
        <w:t>Disclaimer</w:t>
      </w:r>
    </w:p>
    <w:p w:rsidR="00604A87" w:rsidP="4DB6A9DE" w:rsidRDefault="00063B4C" w14:paraId="2E1C9484" w14:textId="56157FED">
      <w:pPr>
        <w:spacing w:before="62"/>
        <w:ind w:right="96"/>
        <w:rPr>
          <w:rFonts w:cs="Arial"/>
          <w:sz w:val="20"/>
          <w:szCs w:val="20"/>
        </w:rPr>
      </w:pPr>
      <w:r w:rsidRPr="4DB6A9DE" w:rsidR="00063B4C">
        <w:rPr>
          <w:rFonts w:cs="Arial"/>
          <w:sz w:val="20"/>
          <w:szCs w:val="20"/>
        </w:rPr>
        <w:t xml:space="preserve">This document was correct at the time of publication. The Module Coordinator reserves the right to </w:t>
      </w:r>
      <w:r w:rsidRPr="4DB6A9DE" w:rsidR="00063B4C">
        <w:rPr>
          <w:rFonts w:cs="Arial"/>
          <w:sz w:val="20"/>
          <w:szCs w:val="20"/>
        </w:rPr>
        <w:t>modify</w:t>
      </w:r>
      <w:r w:rsidRPr="4DB6A9DE" w:rsidR="00063B4C">
        <w:rPr>
          <w:rFonts w:cs="Arial"/>
          <w:sz w:val="20"/>
          <w:szCs w:val="20"/>
        </w:rPr>
        <w:t xml:space="preserve"> any </w:t>
      </w:r>
      <w:r w:rsidRPr="4DB6A9DE" w:rsidR="0FE1D87F">
        <w:rPr>
          <w:rFonts w:cs="Arial"/>
          <w:sz w:val="20"/>
          <w:szCs w:val="20"/>
        </w:rPr>
        <w:t>statement,</w:t>
      </w:r>
      <w:r w:rsidRPr="4DB6A9DE" w:rsidR="00063B4C">
        <w:rPr>
          <w:rFonts w:cs="Arial"/>
          <w:sz w:val="20"/>
          <w:szCs w:val="20"/>
        </w:rPr>
        <w:t xml:space="preserve"> if necessary, make variations to the content or methods of delivery of programmes of study, to </w:t>
      </w:r>
      <w:r w:rsidRPr="4DB6A9DE" w:rsidR="00063B4C">
        <w:rPr>
          <w:rFonts w:cs="Arial"/>
          <w:sz w:val="20"/>
          <w:szCs w:val="20"/>
        </w:rPr>
        <w:t>discontinue</w:t>
      </w:r>
      <w:r w:rsidRPr="4DB6A9DE" w:rsidR="00063B4C">
        <w:rPr>
          <w:rFonts w:cs="Arial"/>
          <w:sz w:val="20"/>
          <w:szCs w:val="20"/>
        </w:rPr>
        <w:t xml:space="preserve"> programmes, or merge or combine programmes if such actions are </w:t>
      </w:r>
      <w:r w:rsidRPr="4DB6A9DE" w:rsidR="00063B4C">
        <w:rPr>
          <w:rFonts w:cs="Arial"/>
          <w:sz w:val="20"/>
          <w:szCs w:val="20"/>
        </w:rPr>
        <w:t>reasonably considered</w:t>
      </w:r>
      <w:r w:rsidRPr="4DB6A9DE" w:rsidR="00063B4C">
        <w:rPr>
          <w:rFonts w:cs="Arial"/>
          <w:sz w:val="20"/>
          <w:szCs w:val="20"/>
        </w:rPr>
        <w:t xml:space="preserve">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6D7868C6">
      <w:pPr>
        <w:rPr>
          <w:rFonts w:eastAsia="Times New Roman" w:cs="Arial"/>
        </w:rPr>
      </w:pPr>
      <w:r w:rsidRPr="0283C5EB" w:rsidR="00604A87">
        <w:rPr>
          <w:rFonts w:eastAsia="Times New Roman" w:cs="Arial"/>
        </w:rPr>
        <w:t>Signed……………</w:t>
      </w:r>
      <w:r w:rsidRPr="0283C5EB" w:rsidR="40AA60D6">
        <w:rPr>
          <w:rFonts w:eastAsia="Times New Roman" w:cs="Arial"/>
        </w:rPr>
        <w:t>Aleia Younis</w:t>
      </w:r>
      <w:r w:rsidRPr="0283C5EB" w:rsidR="00604A87">
        <w:rPr>
          <w:rFonts w:eastAsia="Times New Roman" w:cs="Arial"/>
        </w:rPr>
        <w:t>……………………………</w:t>
      </w:r>
    </w:p>
    <w:p w:rsidRPr="00604A87" w:rsidR="00604A87" w:rsidP="00604A87" w:rsidRDefault="00604A87" w14:paraId="16B6CB34" w14:textId="14DFB797">
      <w:pPr>
        <w:rPr>
          <w:rFonts w:eastAsia="Times New Roman" w:cs="Arial"/>
        </w:rPr>
      </w:pPr>
      <w:r w:rsidRPr="4DB6A9DE" w:rsidR="00604A87">
        <w:rPr>
          <w:rFonts w:eastAsia="Times New Roman" w:cs="Arial"/>
        </w:rPr>
        <w:t>Date…………………</w:t>
      </w:r>
      <w:r w:rsidRPr="4DB6A9DE" w:rsidR="3F45E9DF">
        <w:rPr>
          <w:rFonts w:eastAsia="Times New Roman" w:cs="Arial"/>
        </w:rPr>
        <w:t>24/11/25</w:t>
      </w:r>
      <w:r w:rsidRPr="4DB6A9DE" w:rsidR="00604A87">
        <w:rPr>
          <w:rFonts w:eastAsia="Times New Roman" w:cs="Arial"/>
        </w:rPr>
        <w:t>……………………………</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593C174C">
      <w:pPr>
        <w:rPr>
          <w:rFonts w:eastAsia="Times New Roman" w:cs="Arial"/>
        </w:rPr>
      </w:pPr>
      <w:r w:rsidRPr="0283C5EB" w:rsidR="00604A87">
        <w:rPr>
          <w:rFonts w:eastAsia="Times New Roman" w:cs="Arial"/>
        </w:rPr>
        <w:t>Signed……………</w:t>
      </w:r>
      <w:r w:rsidRPr="0283C5EB" w:rsidR="7AB5E329">
        <w:rPr>
          <w:rFonts w:eastAsia="Times New Roman" w:cs="Arial"/>
        </w:rPr>
        <w:t>Aleia Younis</w:t>
      </w:r>
      <w:r w:rsidRPr="0283C5EB" w:rsidR="00604A87">
        <w:rPr>
          <w:rFonts w:eastAsia="Times New Roman" w:cs="Arial"/>
        </w:rPr>
        <w:t xml:space="preserve">………………………………. </w:t>
      </w:r>
    </w:p>
    <w:p w:rsidRPr="00604A87" w:rsidR="00604A87" w:rsidP="00604A87" w:rsidRDefault="00604A87" w14:paraId="21F5E413" w14:textId="61D63499">
      <w:pPr>
        <w:rPr>
          <w:rFonts w:eastAsia="Times New Roman" w:cs="Arial"/>
        </w:rPr>
      </w:pPr>
      <w:r w:rsidRPr="4DB6A9DE" w:rsidR="00604A87">
        <w:rPr>
          <w:rFonts w:eastAsia="Times New Roman" w:cs="Arial"/>
        </w:rPr>
        <w:t>Date…………</w:t>
      </w:r>
      <w:r w:rsidRPr="4DB6A9DE" w:rsidR="4237FC9F">
        <w:rPr>
          <w:rFonts w:eastAsia="Times New Roman" w:cs="Arial"/>
        </w:rPr>
        <w:t>24/11/25</w:t>
      </w:r>
      <w:r w:rsidRPr="4DB6A9DE" w:rsidR="00604A87">
        <w:rPr>
          <w:rFonts w:eastAsia="Times New Roman" w:cs="Arial"/>
        </w:rPr>
        <w:t>……………………………………</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69096429">
      <w:pPr>
        <w:rPr>
          <w:rFonts w:eastAsia="Times New Roman" w:cs="Arial"/>
        </w:rPr>
      </w:pPr>
      <w:r w:rsidRPr="0283C5EB" w:rsidR="00604A87">
        <w:rPr>
          <w:rFonts w:eastAsia="Times New Roman" w:cs="Arial"/>
        </w:rPr>
        <w:t>Signed………</w:t>
      </w:r>
      <w:r w:rsidRPr="0283C5EB" w:rsidR="4D080CDF">
        <w:rPr>
          <w:rFonts w:eastAsia="Times New Roman" w:cs="Arial"/>
        </w:rPr>
        <w:t>Aleia Younis</w:t>
      </w:r>
      <w:r w:rsidRPr="0283C5EB" w:rsidR="00604A87">
        <w:rPr>
          <w:rFonts w:eastAsia="Times New Roman" w:cs="Arial"/>
        </w:rPr>
        <w:t>……………………………………</w:t>
      </w:r>
    </w:p>
    <w:p w:rsidRPr="00604A87" w:rsidR="00604A87" w:rsidP="00604A87" w:rsidRDefault="00604A87" w14:paraId="1CB40FFB" w14:textId="6B352646">
      <w:pPr>
        <w:rPr>
          <w:rFonts w:eastAsia="Times New Roman" w:cs="Arial"/>
        </w:rPr>
      </w:pPr>
      <w:r w:rsidRPr="4DB6A9DE" w:rsidR="00604A87">
        <w:rPr>
          <w:rFonts w:eastAsia="Times New Roman" w:cs="Arial"/>
        </w:rPr>
        <w:t>Date…………………</w:t>
      </w:r>
      <w:r w:rsidRPr="4DB6A9DE" w:rsidR="393F606C">
        <w:rPr>
          <w:rFonts w:eastAsia="Times New Roman" w:cs="Arial"/>
        </w:rPr>
        <w:t>24/11/25</w:t>
      </w:r>
      <w:r w:rsidRPr="4DB6A9DE" w:rsidR="00604A87">
        <w:rPr>
          <w:rFonts w:eastAsia="Times New Roman" w:cs="Arial"/>
        </w:rPr>
        <w:t xml:space="preserv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1ECDFE2D">
      <w:pPr>
        <w:rPr>
          <w:rFonts w:eastAsia="Times New Roman" w:cs="Arial"/>
        </w:rPr>
      </w:pPr>
      <w:r w:rsidRPr="0283C5EB" w:rsidR="00604A87">
        <w:rPr>
          <w:rFonts w:eastAsia="Times New Roman" w:cs="Arial"/>
        </w:rPr>
        <w:t>Signed…………………………</w:t>
      </w:r>
      <w:r w:rsidRPr="0283C5EB" w:rsidR="510107B1">
        <w:rPr>
          <w:rFonts w:eastAsia="Times New Roman" w:cs="Arial"/>
        </w:rPr>
        <w:t>Aleia Younis</w:t>
      </w:r>
      <w:r w:rsidRPr="0283C5EB" w:rsidR="00604A87">
        <w:rPr>
          <w:rFonts w:eastAsia="Times New Roman" w:cs="Arial"/>
        </w:rPr>
        <w:t>……………………</w:t>
      </w:r>
    </w:p>
    <w:p w:rsidRPr="00604A87" w:rsidR="00604A87" w:rsidP="00604A87" w:rsidRDefault="00604A87" w14:paraId="021196D1" w14:textId="722B964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278D5E25">
      <w:pPr>
        <w:rPr>
          <w:rFonts w:eastAsia="Times New Roman" w:cs="Arial"/>
        </w:rPr>
      </w:pPr>
      <w:r w:rsidRPr="0283C5EB" w:rsidR="00604A87">
        <w:rPr>
          <w:rFonts w:eastAsia="Times New Roman" w:cs="Arial"/>
        </w:rPr>
        <w:t>Signed……………</w:t>
      </w:r>
      <w:r w:rsidRPr="0283C5EB" w:rsidR="45B54300">
        <w:rPr>
          <w:rFonts w:eastAsia="Times New Roman" w:cs="Arial"/>
        </w:rPr>
        <w:t>Aleia Younis</w:t>
      </w:r>
      <w:r w:rsidRPr="0283C5EB" w:rsidR="00604A87">
        <w:rPr>
          <w:rFonts w:eastAsia="Times New Roman" w:cs="Arial"/>
        </w:rPr>
        <w:t>…………………………………</w:t>
      </w:r>
    </w:p>
    <w:p w:rsidRPr="00604A87" w:rsidR="00604A87" w:rsidP="00604A87" w:rsidRDefault="00604A87" w14:paraId="2BDDE109" w14:textId="0451E48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4DB6A9DE" w:rsidR="00604A87">
        <w:rPr>
          <w:rFonts w:eastAsia="Times New Roman" w:cs="Arial"/>
        </w:rPr>
        <w:t>Date………………</w:t>
      </w:r>
      <w:r w:rsidRPr="4DB6A9DE" w:rsidR="70981D32">
        <w:rPr>
          <w:rFonts w:eastAsia="Times New Roman" w:cs="Arial"/>
        </w:rPr>
        <w:t>24/11/25</w:t>
      </w:r>
      <w:r w:rsidRPr="4DB6A9DE" w:rsidR="00604A87">
        <w:rPr>
          <w:rFonts w:eastAsia="Times New Roman" w:cs="Arial"/>
        </w:rPr>
        <w:t>…………………………………</w:t>
      </w:r>
    </w:p>
    <w:p w:rsidR="00063B4C" w:rsidRDefault="00063B4C" w14:paraId="324943A4" w14:textId="77777777"/>
    <w:p w:rsidR="00063B4C" w:rsidRDefault="00063B4C" w14:paraId="13649F9E" w14:textId="77777777"/>
    <w:p w:rsidR="00995444" w:rsidP="00995444" w:rsidRDefault="00995444" w14:paraId="4E014F16" w14:textId="77777777">
      <w:pPr>
        <w:jc w:val="center"/>
        <w:rPr>
          <w:rFonts w:ascii="Arial" w:hAnsi="Arial" w:eastAsia="Arial Unicode MS" w:cs="Arial"/>
          <w:b/>
          <w:sz w:val="56"/>
          <w:szCs w:val="56"/>
        </w:rPr>
      </w:pPr>
    </w:p>
    <w:p w:rsidR="00995444" w:rsidP="0283C5EB" w:rsidRDefault="00995444" w14:paraId="568E1D19" w14:textId="413D8550">
      <w:pP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83C5EB" w:rsidR="25D1CEFA">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0283C5EB" w:rsidR="25D1CEFA">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Aleia Younis </w:t>
      </w:r>
    </w:p>
    <w:p w:rsidR="00995444" w:rsidP="0283C5EB" w:rsidRDefault="00995444" w14:paraId="44E1F515" w14:textId="1AC3B0C8">
      <w:pP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83C5EB" w:rsidR="25D1CEFA">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                                             2219526   </w:t>
      </w:r>
    </w:p>
    <w:p w:rsidR="00995444" w:rsidP="0283C5EB" w:rsidRDefault="00995444" w14:paraId="40663B11" w14:textId="04DB19B1">
      <w:pP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83C5EB" w:rsidR="25D1CEFA">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                                     Independent Project  </w:t>
      </w:r>
    </w:p>
    <w:p w:rsidR="00995444" w:rsidP="0283C5EB" w:rsidRDefault="00995444" w14:paraId="09728137" w14:textId="00AE1883">
      <w:pPr>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0283C5EB" w:rsidR="25D1CEFA">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                                            BMHP6020 </w:t>
      </w:r>
      <w:r w:rsidRPr="0283C5EB" w:rsidR="25D1CEFA">
        <w:rPr>
          <w:rFonts w:ascii="Arial Nova" w:hAnsi="Arial Nova" w:eastAsia="Arial Nova" w:cs="Arial Nova"/>
          <w:b w:val="1"/>
          <w:bCs w:val="1"/>
          <w:i w:val="0"/>
          <w:iCs w:val="0"/>
          <w:caps w:val="0"/>
          <w:smallCaps w:val="0"/>
          <w:noProof w:val="0"/>
          <w:color w:val="000000" w:themeColor="text1" w:themeTint="FF" w:themeShade="FF"/>
          <w:sz w:val="32"/>
          <w:szCs w:val="32"/>
          <w:lang w:val="en-GB"/>
        </w:rPr>
        <w:t xml:space="preserve"> </w:t>
      </w:r>
    </w:p>
    <w:p w:rsidR="00995444" w:rsidP="0283C5EB" w:rsidRDefault="00995444" w14:paraId="7CE514EB" w14:textId="40B2A732">
      <w:pPr>
        <w:jc w:val="center"/>
        <w:rPr>
          <w:rFonts w:ascii="Arial" w:hAnsi="Arial" w:eastAsia="Arial Unicode MS" w:cs="Arial"/>
          <w:b w:val="1"/>
          <w:bCs w:val="1"/>
          <w:sz w:val="56"/>
          <w:szCs w:val="56"/>
        </w:rPr>
      </w:pPr>
    </w:p>
    <w:p w:rsidRPr="00995444" w:rsidR="00995444" w:rsidP="00995444"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995444" w:rsidP="00995444" w:rsidRDefault="00995444" w14:paraId="359F5B0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Pr="00995444" w:rsidR="00995444" w:rsidP="00995444" w:rsidRDefault="00995444" w14:paraId="11885D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00995444" w:rsidP="4DB6A9DE" w:rsidRDefault="00995444" w14:paraId="66D400CB" w14:textId="7427906B">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eastAsia="Arial Unicode MS" w:cs="Arial"/>
          <w:b w:val="1"/>
          <w:bCs w:val="1"/>
          <w:sz w:val="28"/>
          <w:szCs w:val="28"/>
        </w:rPr>
      </w:pPr>
      <w:r w:rsidRPr="4DB6A9DE" w:rsidR="00995444">
        <w:rPr>
          <w:rFonts w:eastAsia="Arial Unicode MS" w:cs="Arial"/>
          <w:sz w:val="40"/>
          <w:szCs w:val="40"/>
        </w:rPr>
        <w:t xml:space="preserve">Dissertation </w:t>
      </w:r>
      <w:r w:rsidRPr="4DB6A9DE" w:rsidR="00995444">
        <w:rPr>
          <w:rFonts w:eastAsia="Arial Unicode MS" w:cs="Arial"/>
          <w:sz w:val="40"/>
          <w:szCs w:val="40"/>
        </w:rPr>
        <w:t>submitted</w:t>
      </w:r>
      <w:r w:rsidRPr="4DB6A9DE" w:rsidR="00995444">
        <w:rPr>
          <w:rFonts w:eastAsia="Arial Unicode MS" w:cs="Arial"/>
          <w:sz w:val="40"/>
          <w:szCs w:val="40"/>
        </w:rPr>
        <w:t xml:space="preserve"> as part of the requirements for the award BSc (Hons) Health and Social Care</w:t>
      </w:r>
    </w:p>
    <w:p w:rsidR="00995444" w:rsidP="4DB6A9DE" w:rsidRDefault="00995444" w14:paraId="14247890" w14:textId="271FE12B">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eastAsia="Arial Unicode MS" w:cs="Arial"/>
          <w:b w:val="1"/>
          <w:bCs w:val="1"/>
          <w:sz w:val="28"/>
          <w:szCs w:val="28"/>
        </w:rPr>
      </w:pPr>
      <w:r w:rsidRPr="4DB6A9DE" w:rsidR="00995444">
        <w:rPr>
          <w:rFonts w:eastAsia="Arial Unicode MS" w:cs="Arial"/>
          <w:b w:val="1"/>
          <w:bCs w:val="1"/>
          <w:sz w:val="28"/>
          <w:szCs w:val="28"/>
        </w:rPr>
        <w:t>ACKNOWLEDGEMENTS</w:t>
      </w:r>
      <w:r w:rsidRPr="4DB6A9DE" w:rsidR="5465CFBB">
        <w:rPr>
          <w:rFonts w:eastAsia="Arial Unicode MS" w:cs="Arial"/>
          <w:b w:val="1"/>
          <w:bCs w:val="1"/>
          <w:sz w:val="28"/>
          <w:szCs w:val="28"/>
        </w:rPr>
        <w:t xml:space="preserve"> </w:t>
      </w:r>
    </w:p>
    <w:p w:rsidR="00995444" w:rsidP="4DB6A9DE" w:rsidRDefault="00995444" w14:paraId="14BA2321" w14:textId="1E6CEEA1">
      <w:pPr>
        <w:spacing w:before="240" w:beforeAutospacing="off" w:after="240" w:afterAutospacing="off"/>
        <w:rPr>
          <w:rFonts w:ascii="Arial Nova" w:hAnsi="Arial Nova" w:eastAsia="Arial Nova" w:cs="Arial Nova"/>
          <w:b w:val="0"/>
          <w:bCs w:val="0"/>
          <w:noProof w:val="0"/>
          <w:sz w:val="24"/>
          <w:szCs w:val="24"/>
          <w:lang w:val="en-GB"/>
        </w:rPr>
      </w:pPr>
      <w:r w:rsidRPr="4DB6A9DE" w:rsidR="5465CFBB">
        <w:rPr>
          <w:rFonts w:ascii="Arial Nova" w:hAnsi="Arial Nova" w:eastAsia="Arial Nova" w:cs="Arial Nova"/>
          <w:b w:val="0"/>
          <w:bCs w:val="0"/>
          <w:noProof w:val="0"/>
          <w:sz w:val="24"/>
          <w:szCs w:val="24"/>
          <w:lang w:val="en-GB"/>
        </w:rPr>
        <w:t xml:space="preserve">I would like to express my deepest appreciation to everyone who has supported me throughout the process of researching and </w:t>
      </w:r>
      <w:r w:rsidRPr="4DB6A9DE" w:rsidR="5465CFBB">
        <w:rPr>
          <w:rFonts w:ascii="Arial Nova" w:hAnsi="Arial Nova" w:eastAsia="Arial Nova" w:cs="Arial Nova"/>
          <w:b w:val="0"/>
          <w:bCs w:val="0"/>
          <w:noProof w:val="0"/>
          <w:sz w:val="24"/>
          <w:szCs w:val="24"/>
          <w:lang w:val="en-GB"/>
        </w:rPr>
        <w:t>writing</w:t>
      </w:r>
      <w:r w:rsidRPr="4DB6A9DE" w:rsidR="5465CFBB">
        <w:rPr>
          <w:rFonts w:ascii="Arial Nova" w:hAnsi="Arial Nova" w:eastAsia="Arial Nova" w:cs="Arial Nova"/>
          <w:b w:val="0"/>
          <w:bCs w:val="0"/>
          <w:noProof w:val="0"/>
          <w:sz w:val="24"/>
          <w:szCs w:val="24"/>
          <w:lang w:val="en-GB"/>
        </w:rPr>
        <w:t xml:space="preserve"> this dissertation. My sincere thanks go to my lecturers Joanne, </w:t>
      </w:r>
      <w:r w:rsidRPr="4DB6A9DE" w:rsidR="5465CFBB">
        <w:rPr>
          <w:rFonts w:ascii="Arial Nova" w:hAnsi="Arial Nova" w:eastAsia="Arial Nova" w:cs="Arial Nova"/>
          <w:b w:val="0"/>
          <w:bCs w:val="0"/>
          <w:noProof w:val="0"/>
          <w:sz w:val="24"/>
          <w:szCs w:val="24"/>
          <w:lang w:val="en-GB"/>
        </w:rPr>
        <w:t>Parese</w:t>
      </w:r>
      <w:r w:rsidRPr="4DB6A9DE" w:rsidR="5465CFBB">
        <w:rPr>
          <w:rFonts w:ascii="Arial Nova" w:hAnsi="Arial Nova" w:eastAsia="Arial Nova" w:cs="Arial Nova"/>
          <w:b w:val="0"/>
          <w:bCs w:val="0"/>
          <w:noProof w:val="0"/>
          <w:sz w:val="24"/>
          <w:szCs w:val="24"/>
          <w:lang w:val="en-GB"/>
        </w:rPr>
        <w:t>,</w:t>
      </w:r>
      <w:r w:rsidRPr="4DB6A9DE" w:rsidR="54F63E6B">
        <w:rPr>
          <w:rFonts w:ascii="Arial Nova" w:hAnsi="Arial Nova" w:eastAsia="Arial Nova" w:cs="Arial Nova"/>
          <w:b w:val="0"/>
          <w:bCs w:val="0"/>
          <w:noProof w:val="0"/>
          <w:sz w:val="24"/>
          <w:szCs w:val="24"/>
          <w:lang w:val="en-GB"/>
        </w:rPr>
        <w:t xml:space="preserve"> </w:t>
      </w:r>
      <w:r w:rsidRPr="4DB6A9DE" w:rsidR="05442AA3">
        <w:rPr>
          <w:rFonts w:ascii="Arial Nova" w:hAnsi="Arial Nova" w:eastAsia="Arial Nova" w:cs="Arial Nova"/>
          <w:b w:val="0"/>
          <w:bCs w:val="0"/>
          <w:noProof w:val="0"/>
          <w:sz w:val="24"/>
          <w:szCs w:val="24"/>
          <w:lang w:val="en-GB"/>
        </w:rPr>
        <w:t>Raheela</w:t>
      </w:r>
      <w:r w:rsidRPr="4DB6A9DE" w:rsidR="5465CFBB">
        <w:rPr>
          <w:rFonts w:ascii="Arial Nova" w:hAnsi="Arial Nova" w:eastAsia="Arial Nova" w:cs="Arial Nova"/>
          <w:b w:val="0"/>
          <w:bCs w:val="0"/>
          <w:noProof w:val="0"/>
          <w:sz w:val="24"/>
          <w:szCs w:val="24"/>
          <w:lang w:val="en-GB"/>
        </w:rPr>
        <w:t xml:space="preserve"> and Chloe whose guidance, encouragement, and constant support have been instrumental in helping me complete this work. Their belief in my abilities and their willingness to help at every stage have made a significant difference to my confidence and progress.</w:t>
      </w:r>
    </w:p>
    <w:p w:rsidR="00995444" w:rsidP="4DB6A9DE" w:rsidRDefault="00995444" w14:paraId="172505E7" w14:textId="4A3E8EAA">
      <w:pPr>
        <w:spacing w:before="240" w:beforeAutospacing="off" w:after="240" w:afterAutospacing="off"/>
        <w:rPr>
          <w:rFonts w:ascii="Arial Nova" w:hAnsi="Arial Nova" w:eastAsia="Arial Nova" w:cs="Arial Nova"/>
          <w:b w:val="0"/>
          <w:bCs w:val="0"/>
          <w:noProof w:val="0"/>
          <w:sz w:val="24"/>
          <w:szCs w:val="24"/>
          <w:lang w:val="en-GB"/>
        </w:rPr>
      </w:pPr>
      <w:r w:rsidRPr="4DB6A9DE" w:rsidR="5465CFBB">
        <w:rPr>
          <w:rFonts w:ascii="Arial Nova" w:hAnsi="Arial Nova" w:eastAsia="Arial Nova" w:cs="Arial Nova"/>
          <w:b w:val="0"/>
          <w:bCs w:val="0"/>
          <w:noProof w:val="0"/>
          <w:sz w:val="24"/>
          <w:szCs w:val="24"/>
          <w:lang w:val="en-GB"/>
        </w:rPr>
        <w:t>I would also like to extend my gratitude to my classmates, whose kindness, motivation, and shared experiences helped me stay focused throughout this journey. Their support, whether through discussions, reassurance, or simply being present during challenging moments, has been invaluable.</w:t>
      </w:r>
    </w:p>
    <w:p w:rsidR="00995444" w:rsidP="4DB6A9DE" w:rsidRDefault="00995444" w14:paraId="6827FEB2" w14:textId="5C0F131C">
      <w:pPr>
        <w:spacing w:before="240" w:beforeAutospacing="off" w:after="240" w:afterAutospacing="off"/>
        <w:rPr>
          <w:rFonts w:ascii="Arial Nova" w:hAnsi="Arial Nova" w:eastAsia="Arial Nova" w:cs="Arial Nova"/>
          <w:b w:val="0"/>
          <w:bCs w:val="0"/>
          <w:noProof w:val="0"/>
          <w:sz w:val="24"/>
          <w:szCs w:val="24"/>
          <w:lang w:val="en-GB"/>
        </w:rPr>
      </w:pPr>
      <w:r w:rsidRPr="4DB6A9DE" w:rsidR="5465CFBB">
        <w:rPr>
          <w:rFonts w:ascii="Arial Nova" w:hAnsi="Arial Nova" w:eastAsia="Arial Nova" w:cs="Arial Nova"/>
          <w:b w:val="0"/>
          <w:bCs w:val="0"/>
          <w:noProof w:val="0"/>
          <w:sz w:val="24"/>
          <w:szCs w:val="24"/>
          <w:lang w:val="en-GB"/>
        </w:rPr>
        <w:t xml:space="preserve">Finally, I </w:t>
      </w:r>
      <w:r w:rsidRPr="4DB6A9DE" w:rsidR="5465CFBB">
        <w:rPr>
          <w:rFonts w:ascii="Arial Nova" w:hAnsi="Arial Nova" w:eastAsia="Arial Nova" w:cs="Arial Nova"/>
          <w:b w:val="0"/>
          <w:bCs w:val="0"/>
          <w:noProof w:val="0"/>
          <w:sz w:val="24"/>
          <w:szCs w:val="24"/>
          <w:lang w:val="en-GB"/>
        </w:rPr>
        <w:t>wish to thank</w:t>
      </w:r>
      <w:r w:rsidRPr="4DB6A9DE" w:rsidR="5465CFBB">
        <w:rPr>
          <w:rFonts w:ascii="Arial Nova" w:hAnsi="Arial Nova" w:eastAsia="Arial Nova" w:cs="Arial Nova"/>
          <w:b w:val="0"/>
          <w:bCs w:val="0"/>
          <w:noProof w:val="0"/>
          <w:sz w:val="24"/>
          <w:szCs w:val="24"/>
          <w:lang w:val="en-GB"/>
        </w:rPr>
        <w:t xml:space="preserve"> all those who have contributed to my learning and personal development throughout this course. Their support has played </w:t>
      </w:r>
      <w:r w:rsidRPr="4DB6A9DE" w:rsidR="5465CFBB">
        <w:rPr>
          <w:rFonts w:ascii="Arial Nova" w:hAnsi="Arial Nova" w:eastAsia="Arial Nova" w:cs="Arial Nova"/>
          <w:b w:val="0"/>
          <w:bCs w:val="0"/>
          <w:noProof w:val="0"/>
          <w:sz w:val="24"/>
          <w:szCs w:val="24"/>
          <w:lang w:val="en-GB"/>
        </w:rPr>
        <w:t>an important role</w:t>
      </w:r>
      <w:r w:rsidRPr="4DB6A9DE" w:rsidR="5465CFBB">
        <w:rPr>
          <w:rFonts w:ascii="Arial Nova" w:hAnsi="Arial Nova" w:eastAsia="Arial Nova" w:cs="Arial Nova"/>
          <w:b w:val="0"/>
          <w:bCs w:val="0"/>
          <w:noProof w:val="0"/>
          <w:sz w:val="24"/>
          <w:szCs w:val="24"/>
          <w:lang w:val="en-GB"/>
        </w:rPr>
        <w:t xml:space="preserve"> in enabling me to complete this dissertation.</w:t>
      </w:r>
    </w:p>
    <w:p w:rsidR="00995444" w:rsidP="4DB6A9DE" w:rsidRDefault="00995444" w14:paraId="40A3E6C2" w14:textId="5839AA6C">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rPr>
      </w:pPr>
      <w:r w:rsidRPr="4DB6A9DE" w:rsidR="5465CFBB">
        <w:rPr>
          <w:rFonts w:eastAsia="Arial Unicode MS" w:cs="Arial"/>
          <w:b w:val="1"/>
          <w:bCs w:val="1"/>
        </w:rPr>
        <w:t xml:space="preserve"> </w:t>
      </w:r>
      <w:r w:rsidRPr="4DB6A9DE" w:rsidR="00995444">
        <w:rPr>
          <w:rFonts w:eastAsia="Arial Unicode MS" w:cs="Arial"/>
          <w:b w:val="1"/>
          <w:bCs w:val="1"/>
        </w:rPr>
        <w:t xml:space="preserve"> </w:t>
      </w:r>
      <w:r w:rsidRPr="4DB6A9DE" w:rsidR="144F2DEA">
        <w:rPr>
          <w:rFonts w:eastAsia="Arial Unicode MS" w:cs="Arial"/>
          <w:b w:val="1"/>
          <w:bCs w:val="1"/>
        </w:rPr>
        <w:t xml:space="preserve"> </w:t>
      </w:r>
    </w:p>
    <w:p w:rsidR="4DB6A9DE" w:rsidP="4DB6A9DE" w:rsidRDefault="4DB6A9DE" w14:paraId="650B7469" w14:textId="0A92DB3B">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rPr>
      </w:pPr>
    </w:p>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4DB6A9DE" w:rsidP="4DB6A9DE" w:rsidRDefault="4DB6A9DE" w14:paraId="093FA1D5" w14:textId="052E8A1E">
      <w:pPr>
        <w:pStyle w:val="Heading1"/>
        <w:rPr>
          <w:rFonts w:ascii="Aptos" w:hAnsi="Aptos" w:eastAsia="Aptos" w:cs="Aptos"/>
          <w:b w:val="1"/>
          <w:bCs w:val="1"/>
          <w:noProof w:val="0"/>
          <w:sz w:val="48"/>
          <w:szCs w:val="48"/>
          <w:lang w:val="en-GB"/>
        </w:rPr>
      </w:pPr>
    </w:p>
    <w:p w:rsidR="12063C88" w:rsidP="4DB6A9DE" w:rsidRDefault="12063C88" w14:paraId="4B75496C" w14:textId="50DD4B4C">
      <w:pPr>
        <w:pStyle w:val="Heading1"/>
        <w:ind w:left="0"/>
        <w:rPr>
          <w:rFonts w:ascii="Arial Nova" w:hAnsi="Arial Nova" w:eastAsia="Arial Nova" w:cs="Arial Nova"/>
          <w:b w:val="1"/>
          <w:bCs w:val="1"/>
          <w:noProof w:val="0"/>
          <w:sz w:val="32"/>
          <w:szCs w:val="32"/>
          <w:lang w:val="en-GB"/>
        </w:rPr>
      </w:pPr>
      <w:r w:rsidRPr="4DB6A9DE" w:rsidR="12063C88">
        <w:rPr>
          <w:rFonts w:ascii="Arial Nova" w:hAnsi="Arial Nova" w:eastAsia="Arial Nova" w:cs="Arial Nova"/>
          <w:b w:val="1"/>
          <w:bCs w:val="1"/>
          <w:noProof w:val="0"/>
          <w:sz w:val="32"/>
          <w:szCs w:val="32"/>
          <w:lang w:val="en-GB"/>
        </w:rPr>
        <w:t>ABSTRACT</w:t>
      </w:r>
    </w:p>
    <w:p w:rsidR="12063C88" w:rsidP="4DB6A9DE" w:rsidRDefault="12063C88" w14:paraId="19070A37" w14:textId="259829C6">
      <w:pPr>
        <w:spacing w:before="240" w:beforeAutospacing="off" w:after="240" w:afterAutospacing="off"/>
        <w:rPr>
          <w:rFonts w:ascii="Arial Nova" w:hAnsi="Arial Nova" w:eastAsia="Arial Nova" w:cs="Arial Nova"/>
          <w:noProof w:val="0"/>
          <w:sz w:val="22"/>
          <w:szCs w:val="22"/>
          <w:lang w:val="en-GB"/>
        </w:rPr>
      </w:pPr>
      <w:r w:rsidRPr="4DB6A9DE" w:rsidR="12063C88">
        <w:rPr>
          <w:rFonts w:ascii="Arial Nova" w:hAnsi="Arial Nova" w:eastAsia="Arial Nova" w:cs="Arial Nova"/>
          <w:noProof w:val="0"/>
          <w:sz w:val="22"/>
          <w:szCs w:val="22"/>
          <w:lang w:val="en-GB"/>
        </w:rPr>
        <w:t xml:space="preserve">This dissertation investigates the key contributors to anxiety among teenage girls in the United Kingdom, addressing an increasingly urgent issue within health and social care. Anxiety rates among adolescent girls have risen significantly over the past decade, with social media pressures, academic expectations, peer relationships, and the impact of the COVID-19 pandemic </w:t>
      </w:r>
      <w:r w:rsidRPr="4DB6A9DE" w:rsidR="12063C88">
        <w:rPr>
          <w:rFonts w:ascii="Arial Nova" w:hAnsi="Arial Nova" w:eastAsia="Arial Nova" w:cs="Arial Nova"/>
          <w:noProof w:val="0"/>
          <w:sz w:val="22"/>
          <w:szCs w:val="22"/>
          <w:lang w:val="en-GB"/>
        </w:rPr>
        <w:t>emerging</w:t>
      </w:r>
      <w:r w:rsidRPr="4DB6A9DE" w:rsidR="12063C88">
        <w:rPr>
          <w:rFonts w:ascii="Arial Nova" w:hAnsi="Arial Nova" w:eastAsia="Arial Nova" w:cs="Arial Nova"/>
          <w:noProof w:val="0"/>
          <w:sz w:val="22"/>
          <w:szCs w:val="22"/>
          <w:lang w:val="en-GB"/>
        </w:rPr>
        <w:t xml:space="preserve"> as dominant stressors. The aim of the research was to examine these contributors, evaluate existing support systems, and provide recommendations for improving early intervention and gender-sensitive mental health provision. Four </w:t>
      </w:r>
      <w:r w:rsidRPr="4DB6A9DE" w:rsidR="12063C88">
        <w:rPr>
          <w:rFonts w:ascii="Arial Nova" w:hAnsi="Arial Nova" w:eastAsia="Arial Nova" w:cs="Arial Nova"/>
          <w:noProof w:val="0"/>
          <w:sz w:val="22"/>
          <w:szCs w:val="22"/>
          <w:lang w:val="en-GB"/>
        </w:rPr>
        <w:t>objectives</w:t>
      </w:r>
      <w:r w:rsidRPr="4DB6A9DE" w:rsidR="12063C88">
        <w:rPr>
          <w:rFonts w:ascii="Arial Nova" w:hAnsi="Arial Nova" w:eastAsia="Arial Nova" w:cs="Arial Nova"/>
          <w:noProof w:val="0"/>
          <w:sz w:val="22"/>
          <w:szCs w:val="22"/>
          <w:lang w:val="en-GB"/>
        </w:rPr>
        <w:t xml:space="preserve"> guided the study: to define anxiety within this population, analyse contributing factors, evaluate support services, and propose practical, evidence-based recommendations for future practice.</w:t>
      </w:r>
    </w:p>
    <w:p w:rsidR="12063C88" w:rsidP="4DB6A9DE" w:rsidRDefault="12063C88" w14:paraId="5437AD9D" w14:textId="5C3896DC">
      <w:pPr>
        <w:spacing w:before="240" w:beforeAutospacing="off" w:after="240" w:afterAutospacing="off"/>
        <w:rPr>
          <w:rFonts w:ascii="Arial Nova" w:hAnsi="Arial Nova" w:eastAsia="Arial Nova" w:cs="Arial Nova"/>
          <w:noProof w:val="0"/>
          <w:sz w:val="22"/>
          <w:szCs w:val="22"/>
          <w:lang w:val="en-GB"/>
        </w:rPr>
      </w:pPr>
      <w:r w:rsidRPr="4DB6A9DE" w:rsidR="12063C88">
        <w:rPr>
          <w:rFonts w:ascii="Arial Nova" w:hAnsi="Arial Nova" w:eastAsia="Arial Nova" w:cs="Arial Nova"/>
          <w:noProof w:val="0"/>
          <w:sz w:val="22"/>
          <w:szCs w:val="22"/>
          <w:lang w:val="en-GB"/>
        </w:rPr>
        <w:t>A secondary, desk-based research design was adopted, using thematic analysis to review contemporary academic literature, policy documents, and national data. A structured search strategy, grounded in transparent inclusion and exclusion criteria, ensured that only credible, relevant, and recent UK-focused sources were examined. Themes were developed through systematic coding and comparison of findings across a range of peer-reviewed studies, government reports, and theoretical frameworks.</w:t>
      </w:r>
    </w:p>
    <w:p w:rsidR="12063C88" w:rsidP="4DB6A9DE" w:rsidRDefault="12063C88" w14:paraId="6FB43A0F" w14:textId="65E1F46F">
      <w:pPr>
        <w:spacing w:before="240" w:beforeAutospacing="off" w:after="240" w:afterAutospacing="off"/>
        <w:rPr>
          <w:rFonts w:ascii="Arial Nova" w:hAnsi="Arial Nova" w:eastAsia="Arial Nova" w:cs="Arial Nova"/>
          <w:noProof w:val="0"/>
          <w:sz w:val="22"/>
          <w:szCs w:val="22"/>
          <w:lang w:val="en-GB"/>
        </w:rPr>
      </w:pPr>
      <w:r w:rsidRPr="4DB6A9DE" w:rsidR="12063C88">
        <w:rPr>
          <w:rFonts w:ascii="Arial Nova" w:hAnsi="Arial Nova" w:eastAsia="Arial Nova" w:cs="Arial Nova"/>
          <w:noProof w:val="0"/>
          <w:sz w:val="22"/>
          <w:szCs w:val="22"/>
          <w:lang w:val="en-GB"/>
        </w:rPr>
        <w:t xml:space="preserve">The findings highlight four core themes: the intensifying role of social media in shaping self-esteem and social comparison; academic and performance-related stress; family and environmental pressures; and the exacerbating effects of COVID-19 on adolescent wellbeing. These themes collectively </w:t>
      </w:r>
      <w:r w:rsidRPr="4DB6A9DE" w:rsidR="12063C88">
        <w:rPr>
          <w:rFonts w:ascii="Arial Nova" w:hAnsi="Arial Nova" w:eastAsia="Arial Nova" w:cs="Arial Nova"/>
          <w:noProof w:val="0"/>
          <w:sz w:val="22"/>
          <w:szCs w:val="22"/>
          <w:lang w:val="en-GB"/>
        </w:rPr>
        <w:t>demonstrate</w:t>
      </w:r>
      <w:r w:rsidRPr="4DB6A9DE" w:rsidR="12063C88">
        <w:rPr>
          <w:rFonts w:ascii="Arial Nova" w:hAnsi="Arial Nova" w:eastAsia="Arial Nova" w:cs="Arial Nova"/>
          <w:noProof w:val="0"/>
          <w:sz w:val="22"/>
          <w:szCs w:val="22"/>
          <w:lang w:val="en-GB"/>
        </w:rPr>
        <w:t xml:space="preserve"> that anxiety among teenage girls is shaped by intersecting social, cultural, and psychological factors, with disadvantaged groups facing the greatest barriers to support.</w:t>
      </w:r>
    </w:p>
    <w:p w:rsidR="12063C88" w:rsidP="4DB6A9DE" w:rsidRDefault="12063C88" w14:paraId="7951ADE4" w14:textId="2ECA7D09">
      <w:pPr>
        <w:spacing w:before="240" w:beforeAutospacing="off" w:after="240" w:afterAutospacing="off"/>
        <w:rPr>
          <w:rFonts w:ascii="Arial Nova" w:hAnsi="Arial Nova" w:eastAsia="Arial Nova" w:cs="Arial Nova"/>
          <w:noProof w:val="0"/>
          <w:sz w:val="22"/>
          <w:szCs w:val="22"/>
          <w:lang w:val="en-GB"/>
        </w:rPr>
      </w:pPr>
      <w:r w:rsidRPr="4DB6A9DE" w:rsidR="12063C88">
        <w:rPr>
          <w:rFonts w:ascii="Arial Nova" w:hAnsi="Arial Nova" w:eastAsia="Arial Nova" w:cs="Arial Nova"/>
          <w:noProof w:val="0"/>
          <w:sz w:val="22"/>
          <w:szCs w:val="22"/>
          <w:lang w:val="en-GB"/>
        </w:rPr>
        <w:t>Limitations included the reliance on secondary data, variability in methodological quality across sources, and gaps in gender-specific UK research. These limitations suggest the need for more targeted primary research and improved data reporting.</w:t>
      </w:r>
    </w:p>
    <w:p w:rsidR="12063C88" w:rsidP="4DB6A9DE" w:rsidRDefault="12063C88" w14:paraId="6C5387A7" w14:textId="2C7B39D6">
      <w:pPr>
        <w:spacing w:before="240" w:beforeAutospacing="off" w:after="240" w:afterAutospacing="off"/>
        <w:rPr>
          <w:rFonts w:ascii="Arial Nova" w:hAnsi="Arial Nova" w:eastAsia="Arial Nova" w:cs="Arial Nova"/>
          <w:noProof w:val="0"/>
          <w:sz w:val="22"/>
          <w:szCs w:val="22"/>
          <w:lang w:val="en-GB"/>
        </w:rPr>
      </w:pPr>
      <w:r w:rsidRPr="4DB6A9DE" w:rsidR="12063C88">
        <w:rPr>
          <w:rFonts w:ascii="Arial Nova" w:hAnsi="Arial Nova" w:eastAsia="Arial Nova" w:cs="Arial Nova"/>
          <w:noProof w:val="0"/>
          <w:sz w:val="22"/>
          <w:szCs w:val="22"/>
          <w:lang w:val="en-GB"/>
        </w:rPr>
        <w:t>Recommendations focus on strengthening school-based mental health provision, expanding early intervention services, enhancing digital literacy and online safety education, and improving national policy coherence to address inequalities in access to support.</w:t>
      </w:r>
    </w:p>
    <w:p w:rsidR="12063C88" w:rsidP="4DB6A9DE" w:rsidRDefault="12063C88" w14:paraId="593EB849" w14:textId="0FB9EB5C">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rial Nova" w:hAnsi="Arial Nova" w:eastAsia="Arial Nova" w:cs="Arial Nova"/>
          <w:b w:val="1"/>
          <w:bCs w:val="1"/>
          <w:sz w:val="22"/>
          <w:szCs w:val="22"/>
        </w:rPr>
      </w:pPr>
      <w:r w:rsidRPr="4DB6A9DE" w:rsidR="12063C88">
        <w:rPr>
          <w:rFonts w:ascii="Arial Nova" w:hAnsi="Arial Nova" w:eastAsia="Arial Nova" w:cs="Arial Nova"/>
          <w:b w:val="1"/>
          <w:bCs w:val="1"/>
          <w:sz w:val="22"/>
          <w:szCs w:val="22"/>
        </w:rPr>
        <w:t xml:space="preserve"> </w:t>
      </w:r>
    </w:p>
    <w:p w:rsidR="00730C3C" w:rsidRDefault="00730C3C" w14:paraId="57922C1A" w14:textId="77777777"/>
    <w:p w:rsidR="00804B94" w:rsidRDefault="00804B94" w14:paraId="3A43D7FB" w14:textId="77777777"/>
    <w:p w:rsidR="00804B94" w:rsidRDefault="00804B94" w14:paraId="350684A4" w14:textId="77777777"/>
    <w:p w:rsidRPr="00EF6341" w:rsidR="00804B94" w:rsidP="4DB6A9DE" w:rsidRDefault="00804B94" w14:paraId="1A5D1FC6" w14:textId="70E4332C">
      <w:pPr>
        <w:pStyle w:val="Heading1"/>
        <w:spacing w:line="360" w:lineRule="auto"/>
        <w:ind/>
        <w:rPr>
          <w:rFonts w:ascii="Aptos" w:hAnsi="Aptos"/>
        </w:rPr>
      </w:pPr>
    </w:p>
    <w:p w:rsidRPr="00EF6341" w:rsidR="00804B94" w:rsidP="4DB6A9DE" w:rsidRDefault="00804B94" w14:paraId="4B803282" w14:textId="63C22F24">
      <w:pPr>
        <w:pStyle w:val="Heading1"/>
        <w:spacing w:line="360" w:lineRule="auto"/>
        <w:ind/>
        <w:rPr>
          <w:rFonts w:ascii="Aptos" w:hAnsi="Aptos"/>
        </w:rPr>
      </w:pPr>
    </w:p>
    <w:p w:rsidRPr="00EF6341" w:rsidR="00804B94" w:rsidP="4DB6A9DE" w:rsidRDefault="00804B94" w14:paraId="5CA3A017" w14:textId="2469ED80">
      <w:pPr>
        <w:pStyle w:val="Heading1"/>
        <w:spacing w:line="360" w:lineRule="auto"/>
        <w:ind/>
        <w:rPr>
          <w:rFonts w:ascii="Aptos" w:hAnsi="Aptos"/>
        </w:rPr>
      </w:pPr>
    </w:p>
    <w:p w:rsidRPr="00EF6341" w:rsidR="00804B94" w:rsidP="4DB6A9DE" w:rsidRDefault="00804B94" w14:paraId="3F81D62C" w14:textId="6000F098">
      <w:pPr>
        <w:pStyle w:val="Heading1"/>
        <w:spacing w:line="360" w:lineRule="auto"/>
        <w:ind/>
        <w:rPr>
          <w:rFonts w:ascii="Aptos" w:hAnsi="Aptos"/>
        </w:rPr>
      </w:pPr>
    </w:p>
    <w:p w:rsidRPr="00EF6341" w:rsidR="00804B94" w:rsidP="4DB6A9DE" w:rsidRDefault="00804B94" w14:paraId="0085F162" w14:textId="4AC0E6B9">
      <w:pPr>
        <w:pStyle w:val="Heading1"/>
        <w:spacing w:line="360" w:lineRule="auto"/>
        <w:ind/>
        <w:rPr>
          <w:rFonts w:ascii="Aptos" w:hAnsi="Aptos"/>
        </w:rPr>
      </w:pPr>
    </w:p>
    <w:p w:rsidRPr="00EF6341" w:rsidR="00804B94" w:rsidP="4DB6A9DE" w:rsidRDefault="00804B94" w14:paraId="09E493AF" w14:textId="087EA1D4">
      <w:pPr>
        <w:pStyle w:val="Heading1"/>
        <w:spacing w:line="360" w:lineRule="auto"/>
        <w:ind/>
        <w:rPr>
          <w:rFonts w:ascii="Aptos" w:hAnsi="Aptos"/>
        </w:rPr>
      </w:pPr>
    </w:p>
    <w:p w:rsidRPr="00EF6341" w:rsidR="00804B94" w:rsidP="4DB6A9DE" w:rsidRDefault="00804B94" w14:paraId="06159126" w14:textId="642323F3">
      <w:pPr>
        <w:pStyle w:val="Heading1"/>
        <w:spacing w:line="360" w:lineRule="auto"/>
        <w:ind/>
        <w:rPr>
          <w:rFonts w:ascii="Aptos" w:hAnsi="Aptos"/>
        </w:rPr>
      </w:pPr>
    </w:p>
    <w:p w:rsidRPr="00EF6341" w:rsidR="00804B94" w:rsidP="4DB6A9DE" w:rsidRDefault="00804B94" w14:paraId="7BE02842" w14:textId="2F789596">
      <w:pPr>
        <w:pStyle w:val="Heading1"/>
        <w:spacing w:line="360" w:lineRule="auto"/>
        <w:ind/>
        <w:rPr>
          <w:rFonts w:ascii="Aptos" w:hAnsi="Aptos"/>
        </w:rPr>
      </w:pPr>
    </w:p>
    <w:p w:rsidRPr="00EF6341" w:rsidR="00804B94" w:rsidP="4DB6A9DE" w:rsidRDefault="00804B94" w14:paraId="421C32CB" w14:textId="4015CB56">
      <w:pPr>
        <w:pStyle w:val="Heading1"/>
        <w:spacing w:line="360" w:lineRule="auto"/>
        <w:ind/>
        <w:rPr>
          <w:rFonts w:ascii="Aptos" w:hAnsi="Aptos"/>
        </w:rPr>
      </w:pPr>
    </w:p>
    <w:p w:rsidRPr="00EF6341" w:rsidR="00804B94" w:rsidP="4DB6A9DE" w:rsidRDefault="00804B94" w14:paraId="1C067937" w14:textId="30E658D0">
      <w:pPr>
        <w:pStyle w:val="Heading1"/>
        <w:spacing w:line="360" w:lineRule="auto"/>
        <w:ind/>
        <w:rPr>
          <w:rFonts w:ascii="Aptos" w:hAnsi="Aptos"/>
        </w:rPr>
      </w:pPr>
    </w:p>
    <w:p w:rsidRPr="00EF6341" w:rsidR="00804B94" w:rsidP="4DB6A9DE" w:rsidRDefault="00804B94" w14:paraId="1847BC55" w14:textId="387884EA">
      <w:pPr>
        <w:pStyle w:val="Heading1"/>
        <w:spacing w:line="360" w:lineRule="auto"/>
        <w:ind/>
        <w:rPr>
          <w:rFonts w:ascii="Aptos" w:hAnsi="Aptos"/>
        </w:rPr>
      </w:pPr>
    </w:p>
    <w:p w:rsidRPr="00EF6341" w:rsidR="00804B94" w:rsidP="4DB6A9DE" w:rsidRDefault="00804B94" w14:paraId="23A36C0B" w14:textId="4CE513F5">
      <w:pPr>
        <w:pStyle w:val="Heading1"/>
        <w:spacing w:line="360" w:lineRule="auto"/>
        <w:ind/>
        <w:rPr>
          <w:rFonts w:ascii="Aptos" w:hAnsi="Aptos"/>
        </w:rPr>
      </w:pPr>
    </w:p>
    <w:p w:rsidRPr="00EF6341" w:rsidR="00804B94" w:rsidP="4DB6A9DE" w:rsidRDefault="00804B94" w14:paraId="36094D6E" w14:textId="57C2DF72">
      <w:pPr>
        <w:pStyle w:val="Heading1"/>
        <w:spacing w:line="360" w:lineRule="auto"/>
        <w:ind/>
        <w:rPr>
          <w:rFonts w:ascii="Aptos" w:hAnsi="Aptos"/>
        </w:rPr>
      </w:pPr>
    </w:p>
    <w:p w:rsidRPr="00EF6341" w:rsidR="00804B94" w:rsidP="4DB6A9DE" w:rsidRDefault="00804B94" w14:paraId="242A143B" w14:textId="6B7D8743">
      <w:pPr>
        <w:pStyle w:val="Heading1"/>
        <w:spacing w:line="360" w:lineRule="auto"/>
        <w:ind/>
        <w:rPr>
          <w:rFonts w:ascii="Aptos" w:hAnsi="Aptos"/>
        </w:rPr>
      </w:pPr>
    </w:p>
    <w:p w:rsidRPr="00EF6341" w:rsidR="00804B94" w:rsidP="4DB6A9DE" w:rsidRDefault="00804B94" w14:paraId="10B3858B" w14:textId="6EBDC138">
      <w:pPr>
        <w:pStyle w:val="Heading1"/>
        <w:spacing w:line="360" w:lineRule="auto"/>
        <w:ind/>
        <w:rPr>
          <w:rFonts w:ascii="Aptos" w:hAnsi="Aptos"/>
        </w:rPr>
      </w:pPr>
    </w:p>
    <w:p w:rsidRPr="00EF6341" w:rsidR="00804B94" w:rsidP="4DB6A9DE" w:rsidRDefault="00804B94" w14:paraId="2CAD3CB3" w14:textId="5400059D">
      <w:pPr>
        <w:pStyle w:val="Heading1"/>
        <w:spacing w:line="360" w:lineRule="auto"/>
        <w:ind/>
        <w:rPr>
          <w:rFonts w:ascii="Aptos" w:hAnsi="Aptos"/>
        </w:rPr>
      </w:pPr>
    </w:p>
    <w:p w:rsidRPr="00EF6341" w:rsidR="00804B94" w:rsidP="4DB6A9DE" w:rsidRDefault="00804B94" w14:paraId="5833F8D6" w14:textId="4AEDA89E">
      <w:pPr>
        <w:pStyle w:val="Heading1"/>
        <w:spacing w:line="360" w:lineRule="auto"/>
        <w:ind/>
        <w:rPr>
          <w:rFonts w:ascii="Aptos" w:hAnsi="Aptos"/>
        </w:rPr>
      </w:pPr>
    </w:p>
    <w:p w:rsidRPr="00EF6341" w:rsidR="00804B94" w:rsidP="4DB6A9DE" w:rsidRDefault="00804B94" w14:paraId="16F612EF" w14:textId="7761FB5C">
      <w:pPr>
        <w:pStyle w:val="Heading1"/>
        <w:spacing w:line="360" w:lineRule="auto"/>
        <w:ind/>
        <w:rPr>
          <w:rFonts w:ascii="Aptos" w:hAnsi="Aptos"/>
        </w:rPr>
      </w:pPr>
    </w:p>
    <w:p w:rsidRPr="00EF6341" w:rsidR="00804B94" w:rsidP="4DB6A9DE" w:rsidRDefault="00804B94" w14:paraId="42AC59B8" w14:textId="0981AF6A">
      <w:pPr>
        <w:pStyle w:val="Heading1"/>
        <w:spacing w:line="360" w:lineRule="auto"/>
        <w:ind/>
        <w:rPr>
          <w:rFonts w:ascii="Aptos" w:hAnsi="Aptos"/>
        </w:rPr>
      </w:pPr>
    </w:p>
    <w:p w:rsidRPr="00EF6341" w:rsidR="00804B94" w:rsidP="4DB6A9DE" w:rsidRDefault="00804B94" w14:paraId="7C497E1C" w14:textId="16711CC0">
      <w:pPr>
        <w:pStyle w:val="Heading1"/>
        <w:spacing w:line="360" w:lineRule="auto"/>
        <w:ind/>
        <w:rPr>
          <w:rFonts w:ascii="Aptos" w:hAnsi="Aptos"/>
        </w:rPr>
      </w:pPr>
    </w:p>
    <w:p w:rsidRPr="00EF6341" w:rsidR="00804B94" w:rsidP="4DB6A9DE" w:rsidRDefault="00804B94" w14:paraId="2339A3E4" w14:textId="4FA70CE4">
      <w:pPr>
        <w:pStyle w:val="Heading1"/>
        <w:spacing w:line="360" w:lineRule="auto"/>
        <w:ind/>
        <w:rPr>
          <w:rFonts w:ascii="Aptos" w:hAnsi="Aptos"/>
        </w:rPr>
      </w:pPr>
    </w:p>
    <w:p w:rsidRPr="00EF6341" w:rsidR="00804B94" w:rsidP="4DB6A9DE" w:rsidRDefault="00804B94" w14:paraId="53601536" w14:textId="625E8518">
      <w:pPr>
        <w:pStyle w:val="Heading1"/>
        <w:spacing w:line="360" w:lineRule="auto"/>
        <w:ind/>
        <w:rPr>
          <w:rFonts w:ascii="Aptos" w:hAnsi="Aptos"/>
        </w:rPr>
      </w:pPr>
    </w:p>
    <w:p w:rsidRPr="00EF6341" w:rsidR="00804B94" w:rsidP="4DB6A9DE" w:rsidRDefault="00804B94" w14:paraId="6D5EE2D5" w14:textId="103A2AC4">
      <w:pPr>
        <w:pStyle w:val="Heading1"/>
        <w:spacing w:line="360" w:lineRule="auto"/>
        <w:ind/>
        <w:rPr>
          <w:rFonts w:ascii="Aptos" w:hAnsi="Aptos"/>
        </w:rPr>
      </w:pPr>
    </w:p>
    <w:p w:rsidRPr="00EF6341" w:rsidR="00804B94" w:rsidP="4DB6A9DE" w:rsidRDefault="00804B94" w14:paraId="25790384" w14:textId="31E8C3B7">
      <w:pPr>
        <w:pStyle w:val="Heading1"/>
        <w:spacing w:line="360" w:lineRule="auto"/>
        <w:ind/>
        <w:rPr>
          <w:rFonts w:ascii="Aptos" w:hAnsi="Aptos"/>
        </w:rPr>
      </w:pPr>
    </w:p>
    <w:p w:rsidRPr="00EF6341" w:rsidR="00804B94" w:rsidP="4DB6A9DE" w:rsidRDefault="00804B94" w14:paraId="710040B0" w14:textId="0DE48750">
      <w:pPr>
        <w:pStyle w:val="Heading1"/>
        <w:spacing w:line="360" w:lineRule="auto"/>
        <w:ind/>
        <w:rPr>
          <w:rFonts w:ascii="Aptos" w:hAnsi="Aptos"/>
        </w:rPr>
      </w:pPr>
    </w:p>
    <w:p w:rsidRPr="00EF6341" w:rsidR="00804B94" w:rsidP="4DB6A9DE" w:rsidRDefault="00804B94" w14:paraId="0E4D10F7" w14:textId="173D0556">
      <w:pPr>
        <w:pStyle w:val="Heading1"/>
        <w:spacing w:line="360" w:lineRule="auto"/>
        <w:ind/>
        <w:rPr>
          <w:rFonts w:ascii="Aptos" w:hAnsi="Aptos"/>
        </w:rPr>
      </w:pPr>
    </w:p>
    <w:p w:rsidRPr="00EF6341" w:rsidR="00804B94" w:rsidP="4DB6A9DE" w:rsidRDefault="00804B94" w14:paraId="467A0082" w14:textId="426AEB19">
      <w:pPr>
        <w:pStyle w:val="Heading1"/>
        <w:spacing w:line="360" w:lineRule="auto"/>
        <w:ind/>
        <w:rPr>
          <w:rFonts w:ascii="Aptos" w:hAnsi="Aptos"/>
        </w:rPr>
      </w:pPr>
      <w:r w:rsidRPr="4DB6A9DE" w:rsidR="1074676E">
        <w:rPr>
          <w:rFonts w:ascii="Aptos" w:hAnsi="Aptos"/>
        </w:rPr>
        <w:t xml:space="preserve">                             </w:t>
      </w:r>
    </w:p>
    <w:p w:rsidRPr="00EF6341" w:rsidR="00804B94" w:rsidP="4DB6A9DE" w:rsidRDefault="00804B94" w14:paraId="0B1BE5EF" w14:textId="1DAE6ADE">
      <w:pPr>
        <w:pStyle w:val="Heading1"/>
        <w:spacing w:line="360" w:lineRule="auto"/>
        <w:ind/>
        <w:rPr>
          <w:rFonts w:ascii="Aptos" w:hAnsi="Aptos"/>
        </w:rPr>
      </w:pPr>
    </w:p>
    <w:p w:rsidRPr="00EF6341" w:rsidR="00804B94" w:rsidP="4DB6A9DE" w:rsidRDefault="00804B94" w14:paraId="68670F7C" w14:textId="14E3E556">
      <w:pPr>
        <w:pStyle w:val="Heading1"/>
        <w:spacing w:line="360" w:lineRule="auto"/>
        <w:ind/>
        <w:rPr>
          <w:rFonts w:ascii="Aptos" w:hAnsi="Aptos"/>
        </w:rPr>
      </w:pPr>
    </w:p>
    <w:p w:rsidRPr="00EF6341" w:rsidR="00804B94" w:rsidP="4DB6A9DE" w:rsidRDefault="00804B94" w14:paraId="23BCC946" w14:textId="1685E347">
      <w:pPr>
        <w:pStyle w:val="Heading1"/>
        <w:spacing w:line="360" w:lineRule="auto"/>
        <w:ind/>
        <w:rPr>
          <w:rFonts w:ascii="Aptos" w:hAnsi="Aptos"/>
        </w:rPr>
      </w:pPr>
    </w:p>
    <w:p w:rsidRPr="00EF6341" w:rsidR="00804B94" w:rsidP="4DB6A9DE" w:rsidRDefault="00804B94" w14:paraId="51357324" w14:textId="719005E6">
      <w:pPr>
        <w:pStyle w:val="Heading1"/>
        <w:spacing w:line="360" w:lineRule="auto"/>
        <w:ind/>
        <w:rPr>
          <w:rFonts w:ascii="Aptos" w:hAnsi="Aptos"/>
        </w:rPr>
      </w:pPr>
    </w:p>
    <w:p w:rsidRPr="00EF6341" w:rsidR="00804B94" w:rsidP="4DB6A9DE" w:rsidRDefault="00804B94" w14:paraId="15BFA27A" w14:textId="384CA21E">
      <w:pPr>
        <w:pStyle w:val="Heading1"/>
        <w:spacing w:line="360" w:lineRule="auto"/>
        <w:ind w:left="0"/>
        <w:rPr>
          <w:rFonts w:ascii="Aptos" w:hAnsi="Aptos"/>
        </w:rPr>
      </w:pPr>
      <w:r w:rsidRPr="4DB6A9DE" w:rsidR="00804B94">
        <w:rPr>
          <w:rFonts w:ascii="Aptos" w:hAnsi="Aptos"/>
        </w:rPr>
        <w:t>Table of Contents</w:t>
      </w:r>
      <w:r w:rsidRPr="4DB6A9DE" w:rsidR="33620FDE">
        <w:rPr>
          <w:rFonts w:ascii="Aptos" w:hAnsi="Aptos"/>
        </w:rPr>
        <w:t xml:space="preserve"> </w:t>
      </w:r>
    </w:p>
    <w:p w:rsidR="4DB6A9DE" w:rsidP="4DB6A9DE" w:rsidRDefault="4DB6A9DE" w14:paraId="56CD8A99" w14:textId="49CF7955">
      <w:pPr>
        <w:pStyle w:val="Heading1"/>
        <w:rPr>
          <w:rFonts w:ascii="Aptos" w:hAnsi="Aptos"/>
        </w:rPr>
      </w:pPr>
    </w:p>
    <w:p w:rsidR="33620FDE" w:rsidP="4DB6A9DE" w:rsidRDefault="33620FDE" w14:paraId="1E5BCB78" w14:textId="19117534">
      <w:pPr>
        <w:pStyle w:val="Heading1"/>
        <w:spacing w:before="322" w:beforeAutospacing="off" w:after="322" w:afterAutospacing="off"/>
        <w:ind w:left="0"/>
        <w:rPr>
          <w:b w:val="1"/>
          <w:bCs w:val="1"/>
          <w:noProof w:val="0"/>
          <w:sz w:val="32"/>
          <w:szCs w:val="32"/>
          <w:lang w:val="en-GB"/>
        </w:rPr>
      </w:pPr>
      <w:r w:rsidRPr="4DB6A9DE" w:rsidR="33620FDE">
        <w:rPr>
          <w:b w:val="1"/>
          <w:bCs w:val="1"/>
          <w:noProof w:val="0"/>
          <w:sz w:val="32"/>
          <w:szCs w:val="32"/>
          <w:lang w:val="en-GB"/>
        </w:rPr>
        <w:t>Chapter 1 – Introduction</w:t>
      </w:r>
    </w:p>
    <w:p w:rsidR="33620FDE" w:rsidP="4DB6A9DE" w:rsidRDefault="33620FDE" w14:paraId="68A22B6B" w14:textId="55C57A69">
      <w:pPr>
        <w:spacing w:before="240" w:beforeAutospacing="off" w:after="240" w:afterAutospacing="off"/>
        <w:rPr>
          <w:rFonts w:ascii="Arial Nova" w:hAnsi="Arial Nova" w:eastAsia="Arial Nova" w:cs="Arial Nova"/>
          <w:noProof w:val="0"/>
          <w:lang w:val="en-GB"/>
        </w:rPr>
      </w:pPr>
      <w:r w:rsidRPr="4DB6A9DE" w:rsidR="33620FDE">
        <w:rPr>
          <w:rFonts w:ascii="Arial Nova" w:hAnsi="Arial Nova" w:eastAsia="Arial Nova" w:cs="Arial Nova"/>
          <w:noProof w:val="0"/>
          <w:lang w:val="en-GB"/>
        </w:rPr>
        <w:t>1.1 Introduction ....................................................................................................</w:t>
      </w:r>
      <w:r w:rsidRPr="4DB6A9DE" w:rsidR="5967E7E1">
        <w:rPr>
          <w:rFonts w:ascii="Arial Nova" w:hAnsi="Arial Nova" w:eastAsia="Arial Nova" w:cs="Arial Nova"/>
          <w:noProof w:val="0"/>
          <w:lang w:val="en-GB"/>
        </w:rPr>
        <w:t>p,9,10</w:t>
      </w:r>
      <w:r>
        <w:br/>
      </w:r>
      <w:r w:rsidRPr="4DB6A9DE" w:rsidR="33620FDE">
        <w:rPr>
          <w:rFonts w:ascii="Arial Nova" w:hAnsi="Arial Nova" w:eastAsia="Arial Nova" w:cs="Arial Nova"/>
          <w:noProof w:val="0"/>
          <w:lang w:val="en-GB"/>
        </w:rPr>
        <w:t>1.2 Definitions and Terminology ........................................................................</w:t>
      </w:r>
      <w:r w:rsidRPr="4DB6A9DE" w:rsidR="17FCC383">
        <w:rPr>
          <w:rFonts w:ascii="Arial Nova" w:hAnsi="Arial Nova" w:eastAsia="Arial Nova" w:cs="Arial Nova"/>
          <w:noProof w:val="0"/>
          <w:lang w:val="en-GB"/>
        </w:rPr>
        <w:t>p,10,11</w:t>
      </w:r>
      <w:r>
        <w:br/>
      </w:r>
      <w:r w:rsidRPr="4DB6A9DE" w:rsidR="33620FDE">
        <w:rPr>
          <w:rFonts w:ascii="Arial Nova" w:hAnsi="Arial Nova" w:eastAsia="Arial Nova" w:cs="Arial Nova"/>
          <w:noProof w:val="0"/>
          <w:lang w:val="en-GB"/>
        </w:rPr>
        <w:t>1.3 Rationale for Research ..................................................................................</w:t>
      </w:r>
      <w:r w:rsidRPr="4DB6A9DE" w:rsidR="316BA190">
        <w:rPr>
          <w:rFonts w:ascii="Arial Nova" w:hAnsi="Arial Nova" w:eastAsia="Arial Nova" w:cs="Arial Nova"/>
          <w:noProof w:val="0"/>
          <w:lang w:val="en-GB"/>
        </w:rPr>
        <w:t>p,11</w:t>
      </w:r>
      <w:r>
        <w:br/>
      </w:r>
      <w:r w:rsidRPr="4DB6A9DE" w:rsidR="33620FDE">
        <w:rPr>
          <w:rFonts w:ascii="Arial Nova" w:hAnsi="Arial Nova" w:eastAsia="Arial Nova" w:cs="Arial Nova"/>
          <w:noProof w:val="0"/>
          <w:lang w:val="en-GB"/>
        </w:rPr>
        <w:t>1.4 Aim and Objectives .........................................................................................</w:t>
      </w:r>
      <w:r w:rsidRPr="4DB6A9DE" w:rsidR="21D1A405">
        <w:rPr>
          <w:rFonts w:ascii="Arial Nova" w:hAnsi="Arial Nova" w:eastAsia="Arial Nova" w:cs="Arial Nova"/>
          <w:noProof w:val="0"/>
          <w:lang w:val="en-GB"/>
        </w:rPr>
        <w:t>p,11,12</w:t>
      </w:r>
      <w:r>
        <w:br/>
      </w:r>
      <w:r w:rsidRPr="4DB6A9DE" w:rsidR="33620FDE">
        <w:rPr>
          <w:rFonts w:ascii="Arial Nova" w:hAnsi="Arial Nova" w:eastAsia="Arial Nova" w:cs="Arial Nova"/>
          <w:noProof w:val="0"/>
          <w:lang w:val="en-GB"/>
        </w:rPr>
        <w:t>1.5 Conclusion ........................................................................................................</w:t>
      </w:r>
      <w:r w:rsidRPr="4DB6A9DE" w:rsidR="5FED14DB">
        <w:rPr>
          <w:rFonts w:ascii="Arial Nova" w:hAnsi="Arial Nova" w:eastAsia="Arial Nova" w:cs="Arial Nova"/>
          <w:noProof w:val="0"/>
          <w:lang w:val="en-GB"/>
        </w:rPr>
        <w:t>p,12,13</w:t>
      </w:r>
    </w:p>
    <w:p w:rsidR="33620FDE" w:rsidP="4DB6A9DE" w:rsidRDefault="33620FDE" w14:paraId="2466338B" w14:textId="55744FE3">
      <w:pPr>
        <w:pStyle w:val="Heading1"/>
        <w:rPr>
          <w:rFonts w:ascii="Arial Nova" w:hAnsi="Arial Nova" w:eastAsia="Arial Nova" w:cs="Arial Nova"/>
          <w:sz w:val="24"/>
          <w:szCs w:val="24"/>
        </w:rPr>
      </w:pPr>
      <w:r w:rsidRPr="4DB6A9DE" w:rsidR="33620FDE">
        <w:rPr>
          <w:rFonts w:ascii="Arial Nova" w:hAnsi="Arial Nova" w:eastAsia="Arial Nova" w:cs="Arial Nova"/>
          <w:sz w:val="24"/>
          <w:szCs w:val="24"/>
        </w:rPr>
        <w:t xml:space="preserve"> </w:t>
      </w:r>
    </w:p>
    <w:p w:rsidR="33620FDE" w:rsidP="4DB6A9DE" w:rsidRDefault="33620FDE" w14:paraId="37AB8450" w14:textId="31EB3B37">
      <w:pPr>
        <w:pStyle w:val="Heading1"/>
        <w:spacing w:before="322" w:beforeAutospacing="off" w:after="322" w:afterAutospacing="off"/>
        <w:ind w:left="0"/>
        <w:rPr>
          <w:b w:val="1"/>
          <w:bCs w:val="1"/>
          <w:noProof w:val="0"/>
          <w:sz w:val="32"/>
          <w:szCs w:val="32"/>
          <w:lang w:val="en-GB"/>
        </w:rPr>
      </w:pPr>
      <w:r w:rsidRPr="4DB6A9DE" w:rsidR="33620FDE">
        <w:rPr>
          <w:b w:val="1"/>
          <w:bCs w:val="1"/>
          <w:noProof w:val="0"/>
          <w:sz w:val="32"/>
          <w:szCs w:val="32"/>
          <w:lang w:val="en-GB"/>
        </w:rPr>
        <w:t>Chapter 2 – Background Information and Analysis</w:t>
      </w:r>
    </w:p>
    <w:p w:rsidR="33620FDE" w:rsidP="4DB6A9DE" w:rsidRDefault="33620FDE" w14:paraId="63EB78B1" w14:textId="19290B95">
      <w:pPr>
        <w:spacing w:before="240" w:beforeAutospacing="off" w:after="240" w:afterAutospacing="off"/>
      </w:pPr>
      <w:r w:rsidRPr="4DB6A9DE" w:rsidR="33620FDE">
        <w:rPr>
          <w:noProof w:val="0"/>
          <w:lang w:val="en-GB"/>
        </w:rPr>
        <w:t>2.1 Introduction .............................................................................................</w:t>
      </w:r>
      <w:r w:rsidRPr="4DB6A9DE" w:rsidR="7B9A24F4">
        <w:rPr>
          <w:noProof w:val="0"/>
          <w:lang w:val="en-GB"/>
        </w:rPr>
        <w:t>p,13</w:t>
      </w:r>
      <w:r>
        <w:br/>
      </w:r>
      <w:r w:rsidRPr="4DB6A9DE" w:rsidR="33620FDE">
        <w:rPr>
          <w:noProof w:val="0"/>
          <w:lang w:val="en-GB"/>
        </w:rPr>
        <w:t>2.2 Historical Background ..............................................................................</w:t>
      </w:r>
      <w:r w:rsidRPr="4DB6A9DE" w:rsidR="2A42D524">
        <w:rPr>
          <w:noProof w:val="0"/>
          <w:lang w:val="en-GB"/>
        </w:rPr>
        <w:t>p,14,15</w:t>
      </w:r>
      <w:r>
        <w:br/>
      </w:r>
      <w:r w:rsidRPr="4DB6A9DE" w:rsidR="33620FDE">
        <w:rPr>
          <w:noProof w:val="0"/>
          <w:lang w:val="en-GB"/>
        </w:rPr>
        <w:t>2.3 Theoretical Background ............................................................................</w:t>
      </w:r>
      <w:r w:rsidRPr="4DB6A9DE" w:rsidR="56C07089">
        <w:rPr>
          <w:noProof w:val="0"/>
          <w:lang w:val="en-GB"/>
        </w:rPr>
        <w:t>p,15,16</w:t>
      </w:r>
      <w:r>
        <w:br/>
      </w:r>
      <w:r w:rsidRPr="4DB6A9DE" w:rsidR="33620FDE">
        <w:rPr>
          <w:noProof w:val="0"/>
          <w:lang w:val="en-GB"/>
        </w:rPr>
        <w:t>2.4 International Context ................................................................................</w:t>
      </w:r>
      <w:r w:rsidRPr="4DB6A9DE" w:rsidR="711C458D">
        <w:rPr>
          <w:noProof w:val="0"/>
          <w:lang w:val="en-GB"/>
        </w:rPr>
        <w:t>p,16,17,18</w:t>
      </w:r>
      <w:r>
        <w:br/>
      </w:r>
      <w:r w:rsidRPr="4DB6A9DE" w:rsidR="33620FDE">
        <w:rPr>
          <w:noProof w:val="0"/>
          <w:lang w:val="en-GB"/>
        </w:rPr>
        <w:t>2.5 National/Local UK Context ........................................................................</w:t>
      </w:r>
      <w:r w:rsidRPr="4DB6A9DE" w:rsidR="41DCF9C1">
        <w:rPr>
          <w:noProof w:val="0"/>
          <w:lang w:val="en-GB"/>
        </w:rPr>
        <w:t>p,18,19</w:t>
      </w:r>
      <w:r>
        <w:br/>
      </w:r>
      <w:r w:rsidRPr="4DB6A9DE" w:rsidR="33620FDE">
        <w:rPr>
          <w:noProof w:val="0"/>
          <w:lang w:val="en-GB"/>
        </w:rPr>
        <w:t>2.6 Conclusion ...............................................................................................</w:t>
      </w:r>
      <w:r w:rsidRPr="4DB6A9DE" w:rsidR="6721C662">
        <w:rPr>
          <w:noProof w:val="0"/>
          <w:lang w:val="en-GB"/>
        </w:rPr>
        <w:t>p,19,20</w:t>
      </w:r>
    </w:p>
    <w:p w:rsidR="33620FDE" w:rsidP="4DB6A9DE" w:rsidRDefault="33620FDE" w14:paraId="07A7DB05" w14:textId="7D0D22AF">
      <w:pPr>
        <w:pStyle w:val="Heading1"/>
        <w:spacing w:before="322" w:beforeAutospacing="off" w:after="322" w:afterAutospacing="off"/>
        <w:ind w:left="0"/>
        <w:rPr>
          <w:rFonts w:ascii="Arial Nova" w:hAnsi="Arial Nova" w:eastAsia="Arial Nova" w:cs="Arial Nova"/>
          <w:sz w:val="24"/>
          <w:szCs w:val="24"/>
        </w:rPr>
      </w:pPr>
      <w:r w:rsidRPr="4DB6A9DE" w:rsidR="33620FDE">
        <w:rPr>
          <w:b w:val="1"/>
          <w:bCs w:val="1"/>
          <w:noProof w:val="0"/>
          <w:sz w:val="32"/>
          <w:szCs w:val="32"/>
          <w:lang w:val="en-GB"/>
        </w:rPr>
        <w:t>Chapter 3 – Research Methods (Secondary Research Methodology)</w:t>
      </w:r>
    </w:p>
    <w:p w:rsidR="33620FDE" w:rsidP="4DB6A9DE" w:rsidRDefault="33620FDE" w14:paraId="530489AC" w14:textId="122D1CB2">
      <w:pPr>
        <w:spacing w:before="240" w:beforeAutospacing="off" w:after="240" w:afterAutospacing="off"/>
      </w:pPr>
      <w:r w:rsidRPr="4DB6A9DE" w:rsidR="33620FDE">
        <w:rPr>
          <w:noProof w:val="0"/>
          <w:lang w:val="en-GB"/>
        </w:rPr>
        <w:t>3.1 Introduction ...............................................................................................</w:t>
      </w:r>
      <w:r w:rsidRPr="4DB6A9DE" w:rsidR="76139F17">
        <w:rPr>
          <w:noProof w:val="0"/>
          <w:lang w:val="en-GB"/>
        </w:rPr>
        <w:t>p,21</w:t>
      </w:r>
      <w:r>
        <w:br/>
      </w:r>
      <w:r w:rsidRPr="4DB6A9DE" w:rsidR="33620FDE">
        <w:rPr>
          <w:noProof w:val="0"/>
          <w:lang w:val="en-GB"/>
        </w:rPr>
        <w:t>3.2 Search Strategy ..........................................................................................</w:t>
      </w:r>
      <w:r w:rsidRPr="4DB6A9DE" w:rsidR="4BC0CBF5">
        <w:rPr>
          <w:noProof w:val="0"/>
          <w:lang w:val="en-GB"/>
        </w:rPr>
        <w:t>p,21,22</w:t>
      </w:r>
      <w:r>
        <w:br/>
      </w:r>
      <w:r w:rsidRPr="4DB6A9DE" w:rsidR="33620FDE">
        <w:rPr>
          <w:noProof w:val="0"/>
          <w:lang w:val="en-GB"/>
        </w:rPr>
        <w:t>3.3 Searching for Information ............................................................................</w:t>
      </w:r>
      <w:r w:rsidRPr="4DB6A9DE" w:rsidR="32A4B851">
        <w:rPr>
          <w:noProof w:val="0"/>
          <w:lang w:val="en-GB"/>
        </w:rPr>
        <w:t>p,22</w:t>
      </w:r>
      <w:r>
        <w:br/>
      </w:r>
      <w:r w:rsidRPr="4DB6A9DE" w:rsidR="33620FDE">
        <w:rPr>
          <w:noProof w:val="0"/>
          <w:lang w:val="en-GB"/>
        </w:rPr>
        <w:t>3.4 Research Validation .....................................................................................</w:t>
      </w:r>
      <w:r w:rsidRPr="4DB6A9DE" w:rsidR="1D4E5D6B">
        <w:rPr>
          <w:noProof w:val="0"/>
          <w:lang w:val="en-GB"/>
        </w:rPr>
        <w:t>p,23</w:t>
      </w:r>
      <w:r>
        <w:br/>
      </w:r>
      <w:r w:rsidRPr="4DB6A9DE" w:rsidR="33620FDE">
        <w:rPr>
          <w:noProof w:val="0"/>
          <w:lang w:val="en-GB"/>
        </w:rPr>
        <w:t>3.5 Inclusion and Exclusion Criteria .....................................................................</w:t>
      </w:r>
      <w:r w:rsidRPr="4DB6A9DE" w:rsidR="2EA68AC0">
        <w:rPr>
          <w:noProof w:val="0"/>
          <w:lang w:val="en-GB"/>
        </w:rPr>
        <w:t>p,23,24</w:t>
      </w:r>
      <w:r>
        <w:br/>
      </w:r>
      <w:r w:rsidRPr="4DB6A9DE" w:rsidR="33620FDE">
        <w:rPr>
          <w:noProof w:val="0"/>
          <w:lang w:val="en-GB"/>
        </w:rPr>
        <w:t xml:space="preserve">3.6 Analysing Research (Thematic Coding) ......................................................... </w:t>
      </w:r>
      <w:r w:rsidRPr="4DB6A9DE" w:rsidR="4F00732C">
        <w:rPr>
          <w:noProof w:val="0"/>
          <w:lang w:val="en-GB"/>
        </w:rPr>
        <w:t>p,25</w:t>
      </w:r>
      <w:r>
        <w:br/>
      </w:r>
      <w:r w:rsidRPr="4DB6A9DE" w:rsidR="33620FDE">
        <w:rPr>
          <w:noProof w:val="0"/>
          <w:lang w:val="en-GB"/>
        </w:rPr>
        <w:t>3.6.1 Results Summary Table .........................................................................</w:t>
      </w:r>
      <w:r w:rsidRPr="4DB6A9DE" w:rsidR="39DC86D1">
        <w:rPr>
          <w:noProof w:val="0"/>
          <w:lang w:val="en-GB"/>
        </w:rPr>
        <w:t>p25,26,27,28</w:t>
      </w:r>
      <w:r>
        <w:br/>
      </w:r>
      <w:r w:rsidRPr="4DB6A9DE" w:rsidR="33620FDE">
        <w:rPr>
          <w:noProof w:val="0"/>
          <w:lang w:val="en-GB"/>
        </w:rPr>
        <w:t xml:space="preserve">3.7 Ethical Considerations ..................................................................................... </w:t>
      </w:r>
      <w:r w:rsidRPr="4DB6A9DE" w:rsidR="415C8B41">
        <w:rPr>
          <w:noProof w:val="0"/>
          <w:lang w:val="en-GB"/>
        </w:rPr>
        <w:t>p,28,29</w:t>
      </w:r>
      <w:r>
        <w:br/>
      </w:r>
      <w:r w:rsidRPr="4DB6A9DE" w:rsidR="33620FDE">
        <w:rPr>
          <w:noProof w:val="0"/>
          <w:lang w:val="en-GB"/>
        </w:rPr>
        <w:t>3.8 Conclusion ........................................................................................................</w:t>
      </w:r>
      <w:r w:rsidRPr="4DB6A9DE" w:rsidR="428B20BD">
        <w:rPr>
          <w:noProof w:val="0"/>
          <w:lang w:val="en-GB"/>
        </w:rPr>
        <w:t>p,29</w:t>
      </w:r>
    </w:p>
    <w:p w:rsidR="33620FDE" w:rsidP="4DB6A9DE" w:rsidRDefault="33620FDE" w14:paraId="57898AAB" w14:textId="61896EF1">
      <w:pPr>
        <w:pStyle w:val="Heading1"/>
        <w:spacing w:before="322" w:beforeAutospacing="off" w:after="322" w:afterAutospacing="off"/>
        <w:ind w:left="0"/>
        <w:rPr>
          <w:b w:val="1"/>
          <w:bCs w:val="1"/>
          <w:noProof w:val="0"/>
          <w:sz w:val="32"/>
          <w:szCs w:val="32"/>
          <w:lang w:val="en-GB"/>
        </w:rPr>
      </w:pPr>
      <w:r w:rsidRPr="4DB6A9DE" w:rsidR="33620FDE">
        <w:rPr>
          <w:b w:val="1"/>
          <w:bCs w:val="1"/>
          <w:noProof w:val="0"/>
          <w:sz w:val="32"/>
          <w:szCs w:val="32"/>
          <w:lang w:val="en-GB"/>
        </w:rPr>
        <w:t>Chapter 4 – Findings and Discussion</w:t>
      </w:r>
    </w:p>
    <w:p w:rsidR="33620FDE" w:rsidP="4DB6A9DE" w:rsidRDefault="33620FDE" w14:paraId="480102E4" w14:textId="0870E5A4">
      <w:pPr>
        <w:spacing w:before="240" w:beforeAutospacing="off" w:after="240" w:afterAutospacing="off"/>
      </w:pPr>
      <w:r w:rsidRPr="4DB6A9DE" w:rsidR="33620FDE">
        <w:rPr>
          <w:noProof w:val="0"/>
          <w:lang w:val="en-GB"/>
        </w:rPr>
        <w:t>4.1 Introduction ...............................................................................................</w:t>
      </w:r>
      <w:r w:rsidRPr="4DB6A9DE" w:rsidR="5E2BC5C3">
        <w:rPr>
          <w:noProof w:val="0"/>
          <w:lang w:val="en-GB"/>
        </w:rPr>
        <w:t>p,29,30</w:t>
      </w:r>
      <w:r>
        <w:br/>
      </w:r>
      <w:r w:rsidRPr="4DB6A9DE" w:rsidR="33620FDE">
        <w:rPr>
          <w:noProof w:val="0"/>
          <w:lang w:val="en-GB"/>
        </w:rPr>
        <w:t xml:space="preserve">4.2 Theme 1: Social Media and Online Pressures ............................................... </w:t>
      </w:r>
      <w:r w:rsidRPr="4DB6A9DE" w:rsidR="4C49FA2C">
        <w:rPr>
          <w:noProof w:val="0"/>
          <w:lang w:val="en-GB"/>
        </w:rPr>
        <w:t>p,30</w:t>
      </w:r>
      <w:r w:rsidRPr="4DB6A9DE" w:rsidR="385E78FC">
        <w:rPr>
          <w:noProof w:val="0"/>
          <w:lang w:val="en-GB"/>
        </w:rPr>
        <w:t>,31,32,33</w:t>
      </w:r>
      <w:r>
        <w:br/>
      </w:r>
      <w:r w:rsidRPr="4DB6A9DE" w:rsidR="33620FDE">
        <w:rPr>
          <w:noProof w:val="0"/>
          <w:lang w:val="en-GB"/>
        </w:rPr>
        <w:t>4.3 Theme 2: Academic Pressure and School Stress ...........................................</w:t>
      </w:r>
      <w:r w:rsidRPr="4DB6A9DE" w:rsidR="43B856B1">
        <w:rPr>
          <w:noProof w:val="0"/>
          <w:lang w:val="en-GB"/>
        </w:rPr>
        <w:t>p,33,34</w:t>
      </w:r>
      <w:r>
        <w:br/>
      </w:r>
      <w:r w:rsidRPr="4DB6A9DE" w:rsidR="33620FDE">
        <w:rPr>
          <w:noProof w:val="0"/>
          <w:lang w:val="en-GB"/>
        </w:rPr>
        <w:t xml:space="preserve">4.4 Theme 3: Peer Relationships and Social Comparison ................................... </w:t>
      </w:r>
      <w:r w:rsidRPr="4DB6A9DE" w:rsidR="58F11880">
        <w:rPr>
          <w:noProof w:val="0"/>
          <w:lang w:val="en-GB"/>
        </w:rPr>
        <w:t>p,35,</w:t>
      </w:r>
      <w:r w:rsidRPr="4DB6A9DE" w:rsidR="626D05F8">
        <w:rPr>
          <w:noProof w:val="0"/>
          <w:lang w:val="en-GB"/>
        </w:rPr>
        <w:t>36</w:t>
      </w:r>
      <w:r>
        <w:br/>
      </w:r>
      <w:r w:rsidRPr="4DB6A9DE" w:rsidR="33620FDE">
        <w:rPr>
          <w:noProof w:val="0"/>
          <w:lang w:val="en-GB"/>
        </w:rPr>
        <w:t xml:space="preserve">4.5 Theme 4: Impact of COVID-19 on Adolescent Anxiety ............................. </w:t>
      </w:r>
      <w:r w:rsidRPr="4DB6A9DE" w:rsidR="3B21A15B">
        <w:rPr>
          <w:noProof w:val="0"/>
          <w:lang w:val="en-GB"/>
        </w:rPr>
        <w:t>p,36,37, 38,39,40</w:t>
      </w:r>
      <w:r>
        <w:br/>
      </w:r>
      <w:r w:rsidRPr="4DB6A9DE" w:rsidR="33620FDE">
        <w:rPr>
          <w:noProof w:val="0"/>
          <w:lang w:val="en-GB"/>
        </w:rPr>
        <w:t>4.6 Summary of Findings (Table) ..........................................................................</w:t>
      </w:r>
      <w:r w:rsidRPr="4DB6A9DE" w:rsidR="3617877A">
        <w:rPr>
          <w:noProof w:val="0"/>
          <w:lang w:val="en-GB"/>
        </w:rPr>
        <w:t>p,40,41,42</w:t>
      </w:r>
      <w:r>
        <w:br/>
      </w:r>
      <w:r w:rsidRPr="4DB6A9DE" w:rsidR="33620FDE">
        <w:rPr>
          <w:noProof w:val="0"/>
          <w:lang w:val="en-GB"/>
        </w:rPr>
        <w:t xml:space="preserve">4.7 Chapter Conclusion .......................................................................................... </w:t>
      </w:r>
      <w:r w:rsidRPr="4DB6A9DE" w:rsidR="25C5D574">
        <w:rPr>
          <w:noProof w:val="0"/>
          <w:lang w:val="en-GB"/>
        </w:rPr>
        <w:t>p,42,43</w:t>
      </w:r>
    </w:p>
    <w:p w:rsidR="33620FDE" w:rsidP="4DB6A9DE" w:rsidRDefault="33620FDE" w14:paraId="54209A6C" w14:textId="7D2DA8B9">
      <w:pPr>
        <w:pStyle w:val="Heading1"/>
        <w:spacing w:before="322" w:beforeAutospacing="off" w:after="322" w:afterAutospacing="off"/>
        <w:ind w:left="0"/>
        <w:rPr>
          <w:rFonts w:ascii="Arial Nova" w:hAnsi="Arial Nova" w:eastAsia="Arial Nova" w:cs="Arial Nova"/>
          <w:sz w:val="24"/>
          <w:szCs w:val="24"/>
        </w:rPr>
      </w:pPr>
      <w:r w:rsidRPr="4DB6A9DE" w:rsidR="33620FDE">
        <w:rPr>
          <w:b w:val="1"/>
          <w:bCs w:val="1"/>
          <w:noProof w:val="0"/>
          <w:sz w:val="32"/>
          <w:szCs w:val="32"/>
          <w:lang w:val="en-GB"/>
        </w:rPr>
        <w:t>Chapter 5 – Conclusion and Recommendations</w:t>
      </w:r>
    </w:p>
    <w:p w:rsidR="509EBB7B" w:rsidP="4DB6A9DE" w:rsidRDefault="509EBB7B" w14:paraId="7462B30A" w14:textId="3F85491E">
      <w:pPr>
        <w:spacing w:before="240" w:beforeAutospacing="off" w:after="240" w:afterAutospacing="off"/>
        <w:rPr>
          <w:rFonts w:ascii="Arial Nova" w:hAnsi="Arial Nova" w:eastAsia="Arial Nova" w:cs="Arial Nova"/>
          <w:noProof w:val="0"/>
          <w:lang w:val="en-GB"/>
        </w:rPr>
      </w:pPr>
      <w:r w:rsidRPr="4DB6A9DE" w:rsidR="509EBB7B">
        <w:rPr>
          <w:rFonts w:ascii="Arial Nova" w:hAnsi="Arial Nova" w:eastAsia="Arial Nova" w:cs="Arial Nova"/>
          <w:noProof w:val="0"/>
          <w:lang w:val="en-GB"/>
        </w:rPr>
        <w:t xml:space="preserve"> </w:t>
      </w:r>
      <w:r w:rsidRPr="4DB6A9DE" w:rsidR="33620FDE">
        <w:rPr>
          <w:rFonts w:ascii="Arial Nova" w:hAnsi="Arial Nova" w:eastAsia="Arial Nova" w:cs="Arial Nova"/>
          <w:noProof w:val="0"/>
          <w:lang w:val="en-GB"/>
        </w:rPr>
        <w:t xml:space="preserve">5.1 Overall Conclusion ........................................................................................... </w:t>
      </w:r>
      <w:r w:rsidRPr="4DB6A9DE" w:rsidR="719A9CF4">
        <w:rPr>
          <w:rFonts w:ascii="Arial Nova" w:hAnsi="Arial Nova" w:eastAsia="Arial Nova" w:cs="Arial Nova"/>
          <w:noProof w:val="0"/>
          <w:lang w:val="en-GB"/>
        </w:rPr>
        <w:t>p,43,44</w:t>
      </w:r>
      <w:r>
        <w:br/>
      </w:r>
      <w:r w:rsidRPr="4DB6A9DE" w:rsidR="33620FDE">
        <w:rPr>
          <w:rFonts w:ascii="Arial Nova" w:hAnsi="Arial Nova" w:eastAsia="Arial Nova" w:cs="Arial Nova"/>
          <w:noProof w:val="0"/>
          <w:lang w:val="en-GB"/>
        </w:rPr>
        <w:t xml:space="preserve"> 5.2 Recommendations for Practice .......................................................................</w:t>
      </w:r>
      <w:r w:rsidRPr="4DB6A9DE" w:rsidR="0D3C4321">
        <w:rPr>
          <w:rFonts w:ascii="Arial Nova" w:hAnsi="Arial Nova" w:eastAsia="Arial Nova" w:cs="Arial Nova"/>
          <w:noProof w:val="0"/>
          <w:lang w:val="en-GB"/>
        </w:rPr>
        <w:t>p,44</w:t>
      </w:r>
      <w:r>
        <w:br/>
      </w:r>
      <w:r w:rsidRPr="4DB6A9DE" w:rsidR="33620FDE">
        <w:rPr>
          <w:rFonts w:ascii="Arial Nova" w:hAnsi="Arial Nova" w:eastAsia="Arial Nova" w:cs="Arial Nova"/>
          <w:noProof w:val="0"/>
          <w:lang w:val="en-GB"/>
        </w:rPr>
        <w:t xml:space="preserve"> 5.2.1 Recommendation 1 .....................................................................................</w:t>
      </w:r>
      <w:r w:rsidRPr="4DB6A9DE" w:rsidR="3EE2A502">
        <w:rPr>
          <w:rFonts w:ascii="Arial Nova" w:hAnsi="Arial Nova" w:eastAsia="Arial Nova" w:cs="Arial Nova"/>
          <w:noProof w:val="0"/>
          <w:lang w:val="en-GB"/>
        </w:rPr>
        <w:t>p,44</w:t>
      </w:r>
      <w:r>
        <w:br/>
      </w:r>
      <w:r w:rsidRPr="4DB6A9DE" w:rsidR="33620FDE">
        <w:rPr>
          <w:rFonts w:ascii="Arial Nova" w:hAnsi="Arial Nova" w:eastAsia="Arial Nova" w:cs="Arial Nova"/>
          <w:noProof w:val="0"/>
          <w:lang w:val="en-GB"/>
        </w:rPr>
        <w:t xml:space="preserve"> 5.2.2 Recommendation 2 .....................................................................................</w:t>
      </w:r>
      <w:r w:rsidRPr="4DB6A9DE" w:rsidR="53B94B5A">
        <w:rPr>
          <w:rFonts w:ascii="Arial Nova" w:hAnsi="Arial Nova" w:eastAsia="Arial Nova" w:cs="Arial Nova"/>
          <w:noProof w:val="0"/>
          <w:lang w:val="en-GB"/>
        </w:rPr>
        <w:t>p,45</w:t>
      </w:r>
      <w:r>
        <w:br/>
      </w:r>
      <w:r w:rsidRPr="4DB6A9DE" w:rsidR="33620FDE">
        <w:rPr>
          <w:rFonts w:ascii="Arial Nova" w:hAnsi="Arial Nova" w:eastAsia="Arial Nova" w:cs="Arial Nova"/>
          <w:noProof w:val="0"/>
          <w:lang w:val="en-GB"/>
        </w:rPr>
        <w:t xml:space="preserve"> 5.2.3 Recommendation 3 .....................................................................................</w:t>
      </w:r>
      <w:r w:rsidRPr="4DB6A9DE" w:rsidR="5FDDAFEB">
        <w:rPr>
          <w:rFonts w:ascii="Arial Nova" w:hAnsi="Arial Nova" w:eastAsia="Arial Nova" w:cs="Arial Nova"/>
          <w:noProof w:val="0"/>
          <w:lang w:val="en-GB"/>
        </w:rPr>
        <w:t>p,46</w:t>
      </w:r>
      <w:r>
        <w:br/>
      </w:r>
      <w:r w:rsidRPr="4DB6A9DE" w:rsidR="33620FDE">
        <w:rPr>
          <w:rFonts w:ascii="Arial Nova" w:hAnsi="Arial Nova" w:eastAsia="Arial Nova" w:cs="Arial Nova"/>
          <w:noProof w:val="0"/>
          <w:lang w:val="en-GB"/>
        </w:rPr>
        <w:t xml:space="preserve"> 5.3 Chapter Conclusion .........................................................................................</w:t>
      </w:r>
      <w:r w:rsidRPr="4DB6A9DE" w:rsidR="0E9DB6EF">
        <w:rPr>
          <w:rFonts w:ascii="Arial Nova" w:hAnsi="Arial Nova" w:eastAsia="Arial Nova" w:cs="Arial Nova"/>
          <w:noProof w:val="0"/>
          <w:lang w:val="en-GB"/>
        </w:rPr>
        <w:t>p,46,47</w:t>
      </w:r>
      <w:r w:rsidRPr="4DB6A9DE" w:rsidR="0D9ACB88">
        <w:rPr>
          <w:rFonts w:ascii="Arial Nova" w:hAnsi="Arial Nova" w:eastAsia="Arial Nova" w:cs="Arial Nova"/>
          <w:noProof w:val="0"/>
          <w:lang w:val="en-GB"/>
        </w:rPr>
        <w:t xml:space="preserve"> </w:t>
      </w:r>
    </w:p>
    <w:p w:rsidR="0D9ACB88" w:rsidP="4DB6A9DE" w:rsidRDefault="0D9ACB88" w14:paraId="7DA14DA5" w14:textId="476A7A71">
      <w:pPr>
        <w:spacing w:before="240" w:beforeAutospacing="off" w:after="240" w:afterAutospacing="off"/>
        <w:rPr>
          <w:rFonts w:ascii="Arial Nova" w:hAnsi="Arial Nova" w:eastAsia="Arial Nova" w:cs="Arial Nova"/>
          <w:noProof w:val="0"/>
          <w:lang w:val="en-GB"/>
        </w:rPr>
      </w:pPr>
      <w:r w:rsidRPr="4DB6A9DE" w:rsidR="0D9ACB88">
        <w:rPr>
          <w:rFonts w:ascii="Arial Nova" w:hAnsi="Arial Nova" w:eastAsia="Arial Nova" w:cs="Arial Nova"/>
          <w:noProof w:val="0"/>
          <w:lang w:val="en-GB"/>
        </w:rPr>
        <w:t>References............................................................................................................p,48,49,50,51,52,53</w:t>
      </w:r>
    </w:p>
    <w:p w:rsidR="33620FDE" w:rsidP="4DB6A9DE" w:rsidRDefault="33620FDE" w14:paraId="33F2469B" w14:textId="0EA577D2">
      <w:pPr>
        <w:pStyle w:val="Heading1"/>
        <w:rPr>
          <w:rFonts w:ascii="Arial Nova" w:hAnsi="Arial Nova" w:eastAsia="Arial Nova" w:cs="Arial Nova"/>
          <w:sz w:val="24"/>
          <w:szCs w:val="24"/>
        </w:rPr>
      </w:pPr>
      <w:r w:rsidRPr="4DB6A9DE" w:rsidR="33620FDE">
        <w:rPr>
          <w:rFonts w:ascii="Arial Nova" w:hAnsi="Arial Nova" w:eastAsia="Arial Nova" w:cs="Arial Nova"/>
          <w:sz w:val="24"/>
          <w:szCs w:val="24"/>
        </w:rPr>
        <w:t xml:space="preserve"> </w:t>
      </w:r>
    </w:p>
    <w:p w:rsidR="00804B94" w:rsidRDefault="00804B94" w14:paraId="756C3EE0" w14:textId="77777777"/>
    <w:p w:rsidR="00804B94" w:rsidRDefault="00804B94" w14:paraId="3EF52184" w14:textId="77777777"/>
    <w:p w:rsidR="00804B94" w:rsidRDefault="00804B94" w14:paraId="52F0D83D" w14:textId="77777777"/>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00804B94" w:rsidRDefault="00804B94" w14:paraId="5D0A8789" w14:textId="77777777"/>
    <w:p w:rsidR="00804B94" w:rsidRDefault="00804B94" w14:paraId="786DF943" w14:textId="77777777"/>
    <w:p w:rsidR="00804B94" w:rsidRDefault="00804B94" w14:paraId="612D2BA4" w14:textId="77777777"/>
    <w:p w:rsidRPr="00EF6341" w:rsidR="00730C3C" w:rsidP="4DB6A9DE" w:rsidRDefault="00730C3C" w14:paraId="58452D18" w14:textId="7654FE57">
      <w:pPr>
        <w:pStyle w:val="Heading1"/>
        <w:spacing w:line="360" w:lineRule="auto"/>
        <w:ind w:left="0"/>
        <w:rPr>
          <w:rFonts w:ascii="Arial Nova" w:hAnsi="Arial Nova" w:eastAsia="Arial Nova" w:cs="Arial Nova"/>
        </w:rPr>
      </w:pPr>
      <w:r w:rsidRPr="4DB6A9DE" w:rsidR="00730C3C">
        <w:rPr>
          <w:rFonts w:ascii="Arial Nova" w:hAnsi="Arial Nova" w:eastAsia="Arial Nova" w:cs="Arial Nova"/>
        </w:rPr>
        <w:t>CHAPTER 1: Introduction</w:t>
      </w:r>
    </w:p>
    <w:p w:rsidRPr="00EF6341" w:rsidR="00EF6341" w:rsidP="00EF6341" w:rsidRDefault="00EF6341" w14:paraId="69941E5D" w14:textId="77777777">
      <w:pPr>
        <w:pStyle w:val="BodyText"/>
        <w:spacing w:line="360" w:lineRule="auto"/>
        <w:rPr>
          <w:rFonts w:ascii="Aptos" w:hAnsi="Aptos"/>
        </w:rPr>
      </w:pPr>
    </w:p>
    <w:p w:rsidRPr="00BD2909" w:rsidR="00BD2909" w:rsidP="0283C5EB" w:rsidRDefault="00BD2909" w14:paraId="5EB86C0F" w14:textId="00127EEA">
      <w:pPr>
        <w:pStyle w:val="paragraph"/>
        <w:spacing w:before="240" w:beforeAutospacing="off" w:after="240" w:afterAutospacing="off" w:line="360" w:lineRule="auto"/>
        <w:textAlignment w:val="baseline"/>
        <w:rPr>
          <w:rStyle w:val="normaltextrun"/>
          <w:rFonts w:ascii="Aptos" w:hAnsi="Aptos" w:cs="Arial"/>
          <w:b w:val="1"/>
          <w:bCs w:val="1"/>
          <w:color w:val="000000" w:themeColor="text1" w:themeTint="FF" w:themeShade="FF"/>
        </w:rPr>
      </w:pPr>
      <w:r w:rsidRPr="0283C5EB" w:rsidR="00BD2909">
        <w:rPr>
          <w:rStyle w:val="normaltextrun"/>
          <w:rFonts w:ascii="Aptos" w:hAnsi="Aptos" w:cs="Arial"/>
          <w:b w:val="1"/>
          <w:bCs w:val="1"/>
          <w:color w:val="000000" w:themeColor="text1" w:themeTint="FF" w:themeShade="FF"/>
        </w:rPr>
        <w:t>1.1 Introduction</w:t>
      </w:r>
    </w:p>
    <w:p w:rsidRPr="00BD2909" w:rsidR="00BD2909" w:rsidP="0283C5EB" w:rsidRDefault="00BD2909" w14:paraId="376EB724" w14:textId="00B8657F">
      <w:pPr>
        <w:pStyle w:val="paragraph"/>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Anxiety disorders are among the most common mental health conditions affecting adolescents, with teenage girls disproportionately </w:t>
      </w: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impacted</w:t>
      </w: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the UK, reports </w:t>
      </w: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indicate</w:t>
      </w: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significant increase in anxiety symptoms among girls aged 13</w:t>
      </w:r>
      <w:r w:rsidRPr="0283C5EB" w:rsidR="6C21F63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w:t>
      </w: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19 over the past decade (NHS Digital, 2022). While mild anxiety can be considered a normal emotional response to stress, persistent symptoms can interfere with education, social development, and long-term wellbeing. Teenage girls face unique challenges shaped by developmental, social, and cultural pressures, which makes them particularly vulnerable to anxiety-related difficulties (Anderson et al., 2024).</w:t>
      </w:r>
    </w:p>
    <w:p w:rsidRPr="00BD2909" w:rsidR="00BD2909" w:rsidP="0283C5EB" w:rsidRDefault="00BD2909" w14:paraId="20E87FC2" w14:textId="150932F8">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Historically, adolescent mental health was underexplored in public health policy, with limited resources directed towards early intervention. In recent years, however, youth mental health has received greater attention, particularly since the COVID-19 pandemic, which highlighted the fragility of adolescent wellbeing. Social media has become a critical influence, with research showing its links to increased anxiety, sleep disruption, and loneliness in female adolescents (Azhari et al 2022). Longitudinal studies in the UK further demonstrate that intensive social media use among teenage girls is associated with heightened anxiety and lower self-esteem (Plackett et al., 2023). Alongside digital pressures, academic expectations and peer victimisation remain significant predictors of stress and anxiety (Thorsén et al., 2022).</w:t>
      </w:r>
    </w:p>
    <w:p w:rsidRPr="00BD2909" w:rsidR="00BD2909" w:rsidP="0283C5EB" w:rsidRDefault="00BD2909" w14:paraId="591B835C" w14:textId="18AE693B">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13B33FA">
        <w:rPr>
          <w:rFonts w:ascii="Arial Nova" w:hAnsi="Arial Nova" w:eastAsia="Arial Nova" w:cs="Arial Nova"/>
          <w:b w:val="0"/>
          <w:bCs w:val="0"/>
          <w:i w:val="0"/>
          <w:iCs w:val="0"/>
          <w:caps w:val="0"/>
          <w:smallCaps w:val="0"/>
          <w:noProof w:val="0"/>
          <w:color w:val="000000" w:themeColor="text1" w:themeTint="FF" w:themeShade="FF"/>
          <w:sz w:val="22"/>
          <w:szCs w:val="22"/>
          <w:lang w:val="en-GB"/>
        </w:rPr>
        <w:t>The aim of this research is to critically examine the key contributors to anxiety among teenage girls in the UK and to understand how these factors interact within wider developmental, social, and cultural contexts. The study seeks to explore not only the individual influences such as social media use, academic pressure, family dynamics, and peer relationships but also how these influences overlap to intensify anxiety symptoms in adolescence. Understanding these contributors is essential because anxiety disorders often emerge and escalate during teenage years, with girls displaying significantly higher prevalence rates than boys (NHS Digital, 2022; World Health Organization, 2021).</w:t>
      </w:r>
    </w:p>
    <w:p w:rsidRPr="00BD2909" w:rsidR="00BD2909" w:rsidP="0283C5EB" w:rsidRDefault="00BD2909" w14:paraId="54DEEB0F" w14:textId="1A7CE940">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13B33FA">
        <w:rPr>
          <w:rFonts w:ascii="Arial Nova" w:hAnsi="Arial Nova" w:eastAsia="Arial Nova" w:cs="Arial Nova"/>
          <w:b w:val="0"/>
          <w:bCs w:val="0"/>
          <w:i w:val="0"/>
          <w:iCs w:val="0"/>
          <w:caps w:val="0"/>
          <w:smallCaps w:val="0"/>
          <w:noProof w:val="0"/>
          <w:color w:val="000000" w:themeColor="text1" w:themeTint="FF" w:themeShade="FF"/>
          <w:sz w:val="22"/>
          <w:szCs w:val="22"/>
          <w:lang w:val="en-GB"/>
        </w:rPr>
        <w:t>This research also aims to evaluate the adequacy of current support systems, including school-based interventions, family practices, and mental health services, and to identify gaps in provision that may leave teenage girls particularly vulnerable. By synthesising contemporary literature, the study intends to produce evidence-based recommendations that can inform educators, policymakers, and mental health practitioners. The overarching goal is to contribute to a deeper understanding of adolescent anxiety and to support the development of more effective, targeted, and gender-sensitive strategies for early intervention and prevention (Patel et al., 2018; Mental Health Foundation, 2021).</w:t>
      </w:r>
    </w:p>
    <w:p w:rsidRPr="00BD2909" w:rsidR="00BD2909" w:rsidP="0283C5EB" w:rsidRDefault="00BD2909" w14:paraId="66501BF4" w14:textId="0738C29A">
      <w:pPr>
        <w:pStyle w:val="Normal"/>
        <w:spacing w:before="240" w:beforeAutospacing="off" w:after="240" w:afterAutospacing="off" w:line="360" w:lineRule="auto"/>
        <w:textAlignment w:val="baseline"/>
        <w:rPr>
          <w:rStyle w:val="eop"/>
          <w:rFonts w:ascii="Aptos" w:hAnsi="Aptos" w:cs="Arial"/>
          <w:b w:val="1"/>
          <w:bCs w:val="1"/>
          <w:color w:val="000000" w:themeColor="text1" w:themeTint="FF" w:themeShade="FF"/>
          <w:sz w:val="24"/>
          <w:szCs w:val="24"/>
        </w:rPr>
      </w:pPr>
      <w:r w:rsidRPr="0283C5EB" w:rsidR="00BD2909">
        <w:rPr>
          <w:rStyle w:val="normaltextrun"/>
          <w:rFonts w:ascii="Aptos" w:hAnsi="Aptos" w:cs="Arial"/>
          <w:b w:val="1"/>
          <w:bCs w:val="1"/>
          <w:color w:val="000000" w:themeColor="text1" w:themeTint="FF" w:themeShade="FF"/>
          <w:sz w:val="24"/>
          <w:szCs w:val="24"/>
        </w:rPr>
        <w:t xml:space="preserve">1.2 Definitions and Terminology </w:t>
      </w:r>
    </w:p>
    <w:p w:rsidRPr="00BD2909" w:rsidR="00BD2909" w:rsidP="0283C5EB" w:rsidRDefault="00BD2909" w14:paraId="1DBF5596" w14:textId="0C0A4F85">
      <w:pPr>
        <w:pStyle w:val="paragraph"/>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0BD2909">
        <w:rPr>
          <w:rStyle w:val="eop"/>
          <w:rFonts w:ascii="Aptos" w:hAnsi="Aptos" w:cs="Arial"/>
          <w:sz w:val="22"/>
          <w:szCs w:val="22"/>
        </w:rPr>
        <w:t> </w:t>
      </w:r>
      <w:r w:rsidRPr="0283C5EB" w:rsidR="5B7A05CD">
        <w:rPr>
          <w:rStyle w:val="eop"/>
          <w:rFonts w:ascii="Arial Nova" w:hAnsi="Arial Nova" w:eastAsia="Arial Nova" w:cs="Arial Nova"/>
          <w:sz w:val="22"/>
          <w:szCs w:val="22"/>
        </w:rPr>
        <w:t>A</w:t>
      </w: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nxiety is defined as a psychological condition characterised by persistent worry, fear, or nervousness that is disproportionate to actual circumstances. While temporary anxiety may be adaptive, chronic anxiety significantly impairs daily functioning and wellbeing (Anderson et al., 2024). In this research, the focus is on symptoms of anxiety in teenage girls, rather than clinical diagnoses alone.</w:t>
      </w:r>
    </w:p>
    <w:p w:rsidRPr="00BD2909" w:rsidR="00BD2909" w:rsidP="0283C5EB" w:rsidRDefault="00BD2909" w14:paraId="1B3ADE4F" w14:textId="09213AA2">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Adolescence is </w:t>
      </w: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generally defined</w:t>
      </w: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the developmental stage between childhood and adulthood, typically spanning the ages of 10 to 19. This dissertation specifically considers girls aged 13 to 19 living in the UK. The phrase </w:t>
      </w:r>
      <w:r w:rsidRPr="0283C5EB" w:rsidR="5B7A05CD">
        <w:rPr>
          <w:rFonts w:ascii="Arial Nova" w:hAnsi="Arial Nova" w:eastAsia="Arial Nova" w:cs="Arial Nova"/>
          <w:b w:val="0"/>
          <w:bCs w:val="0"/>
          <w:i w:val="1"/>
          <w:iCs w:val="1"/>
          <w:caps w:val="0"/>
          <w:smallCaps w:val="0"/>
          <w:noProof w:val="0"/>
          <w:color w:val="000000" w:themeColor="text1" w:themeTint="FF" w:themeShade="FF"/>
          <w:sz w:val="22"/>
          <w:szCs w:val="22"/>
          <w:lang w:val="en-GB"/>
        </w:rPr>
        <w:t>teenage girls</w:t>
      </w: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refer to female-identifying individuals within this age group, while recognising gender diversity and social complexity.</w:t>
      </w:r>
    </w:p>
    <w:p w:rsidRPr="00BD2909" w:rsidR="00BD2909" w:rsidP="0283C5EB" w:rsidRDefault="00BD2909" w14:paraId="52D22BFE" w14:textId="0305B8F0">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media refers to digital platforms that allow users to create, share, and interact with content, such as TikTok, Instagram, and Snapchat. Research highlights its relevance to adolescent mental health, with UK data showing strong links between social media engagement and anxiety symptoms in girls (Kelly et al., 2018; Fassi et al., 2025).</w:t>
      </w:r>
    </w:p>
    <w:p w:rsidRPr="00BD2909" w:rsidR="00BD2909" w:rsidP="0283C5EB" w:rsidRDefault="00BD2909" w14:paraId="4078A925" w14:textId="41AAC032">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Key acronyms used throughout the dissertation include NHS (National Health Service), which provides public healthcare in the UK, and CAMHS (Child and Adolescent Mental Health Services), the branch of the NHS that supports young people with mental health difficulties. COVID-19 refers to the coronavirus pandemic, which has had a lasting impact on adolescent wellbeing (Otter et al., 2024). These definitions ensure clarity for readers and </w:t>
      </w: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w:t>
      </w: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shared understanding of terminology.</w:t>
      </w:r>
    </w:p>
    <w:p w:rsidRPr="00BD2909" w:rsidR="00BD2909" w:rsidP="0283C5EB" w:rsidRDefault="00BD2909" w14:paraId="4BC66D2F" w14:textId="2E164109">
      <w:pPr>
        <w:pStyle w:val="paragraph"/>
        <w:spacing w:before="0" w:beforeAutospacing="off" w:after="0" w:afterAutospacing="off" w:line="360" w:lineRule="auto"/>
        <w:ind w:left="1080"/>
        <w:textAlignment w:val="baseline"/>
        <w:rPr>
          <w:rStyle w:val="eop"/>
          <w:rFonts w:ascii="Aptos" w:hAnsi="Aptos" w:cs="Arial"/>
          <w:sz w:val="22"/>
          <w:szCs w:val="22"/>
        </w:rPr>
      </w:pPr>
      <w:r w:rsidRPr="0283C5EB" w:rsidR="5B7A05CD">
        <w:rPr>
          <w:rStyle w:val="eop"/>
          <w:rFonts w:ascii="Aptos" w:hAnsi="Aptos" w:cs="Arial"/>
          <w:sz w:val="22"/>
          <w:szCs w:val="22"/>
        </w:rPr>
        <w:t xml:space="preserve"> </w:t>
      </w:r>
    </w:p>
    <w:p w:rsidRPr="00BD2909" w:rsidR="00BD2909" w:rsidP="0283C5EB" w:rsidRDefault="00BD2909" w14:paraId="165773A7" w14:textId="6FEAF913">
      <w:pPr>
        <w:pStyle w:val="paragraph"/>
        <w:spacing w:before="0" w:beforeAutospacing="off" w:after="0" w:afterAutospacing="off" w:line="360" w:lineRule="auto"/>
        <w:textAlignment w:val="baseline"/>
        <w:rPr>
          <w:rStyle w:val="eop"/>
          <w:rFonts w:ascii="Aptos" w:hAnsi="Aptos" w:cs="Arial"/>
          <w:b w:val="1"/>
          <w:bCs w:val="1"/>
          <w:color w:val="000000" w:themeColor="text1" w:themeTint="FF" w:themeShade="FF"/>
        </w:rPr>
      </w:pPr>
      <w:r w:rsidRPr="0283C5EB" w:rsidR="00BD2909">
        <w:rPr>
          <w:rStyle w:val="normaltextrun"/>
          <w:rFonts w:ascii="Aptos" w:hAnsi="Aptos" w:cs="Arial"/>
          <w:b w:val="1"/>
          <w:bCs w:val="1"/>
          <w:color w:val="000000" w:themeColor="text1" w:themeTint="FF" w:themeShade="FF"/>
        </w:rPr>
        <w:t xml:space="preserve">1.3 Rationale for Research </w:t>
      </w:r>
    </w:p>
    <w:p w:rsidRPr="00BD2909" w:rsidR="00BD2909" w:rsidP="0283C5EB" w:rsidRDefault="00BD2909" w14:paraId="22546862" w14:textId="73F8807E">
      <w:pPr>
        <w:pStyle w:val="paragraph"/>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0BD2909">
        <w:rPr>
          <w:rStyle w:val="eop"/>
          <w:rFonts w:ascii="Aptos" w:hAnsi="Aptos" w:cs="Arial"/>
          <w:sz w:val="22"/>
          <w:szCs w:val="22"/>
        </w:rPr>
        <w:t> </w:t>
      </w: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This research focuses on anxiety in teenage girls because they are more likely than their male peers to experience symptoms (NHS Digital, 2022). Poor mental health during adolescence has wide-reaching consequences, including lower academic achievement, strained peer relationships, and an increased risk of long-term disorders such as depression. Addressing these challenges early is vital for improving outcomes into adulthood.</w:t>
      </w:r>
    </w:p>
    <w:p w:rsidRPr="00BD2909" w:rsidR="00BD2909" w:rsidP="0283C5EB" w:rsidRDefault="00BD2909" w14:paraId="496CD704" w14:textId="390AC76E">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The literature identifies several contributors to adolescent anxiety, including academic stress, family pressures, and peer victimisation (Thorsén et al., 2022). Research also demonstrates that social media has a powerful influence, particularly among teenage girls, where heavy use correlates with lower self-esteem and increased anxiety (Kelly et al., 2018; Plackett et al., 2023). However, anxiety is a multifactorial issue. A recent overview of adolescent mental health trends in the UK notes that these stressors often overlap, compounding vulnerability in girls (Anderson et al., 2024).</w:t>
      </w:r>
    </w:p>
    <w:p w:rsidRPr="00BD2909" w:rsidR="00BD2909" w:rsidP="0283C5EB" w:rsidRDefault="00BD2909" w14:paraId="0C58001C" w14:textId="0032CDC9">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COVID-19 pandemic </w:t>
      </w: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exacerbated</w:t>
      </w: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these issues by disrupting education and social life and increasing reliance on digital communication. Studies show higher rates of psychopharmacological treatment for anxiety among adolescent girls during and after lockdowns (Otter et al., 2024). Furthermore, global mental health analyses highlight that adolescent girls face unique gendered risks that </w:t>
      </w: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w:t>
      </w: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insufficiently addressed in policy and practice (Patel et al., 2018). While research has examined adolescent anxiety broadly, there is insufficient focus on teenage girls in the UK. This dissertation will address that gap, offering insights to guide gender-sensitive support and interventions. </w:t>
      </w:r>
    </w:p>
    <w:p w:rsidRPr="00BD2909" w:rsidR="00BD2909" w:rsidP="0283C5EB" w:rsidRDefault="00BD2909" w14:paraId="4746BBEB" w14:textId="35EF8ABF">
      <w:pPr>
        <w:pStyle w:val="paragraph"/>
        <w:spacing w:before="0" w:beforeAutospacing="0" w:after="0" w:afterAutospacing="0" w:line="360" w:lineRule="auto"/>
        <w:textAlignment w:val="baseline"/>
        <w:rPr>
          <w:rStyle w:val="normaltextrun"/>
          <w:rFonts w:ascii="Aptos" w:hAnsi="Aptos" w:cs="Arial"/>
          <w:b w:val="1"/>
          <w:bCs w:val="1"/>
          <w:color w:val="000000" w:themeColor="text1" w:themeTint="FF" w:themeShade="FF"/>
        </w:rPr>
      </w:pPr>
      <w:r w:rsidRPr="0283C5EB" w:rsidR="00BD2909">
        <w:rPr>
          <w:rStyle w:val="normaltextrun"/>
          <w:rFonts w:ascii="Aptos" w:hAnsi="Aptos" w:cs="Arial"/>
          <w:b w:val="1"/>
          <w:bCs w:val="1"/>
          <w:color w:val="000000" w:themeColor="text1" w:themeTint="FF" w:themeShade="FF"/>
        </w:rPr>
        <w:t xml:space="preserve">1.4 Aim and Objectives </w:t>
      </w:r>
    </w:p>
    <w:p w:rsidRPr="00BD2909" w:rsidR="00BD2909" w:rsidP="0283C5EB" w:rsidRDefault="00BD2909" w14:paraId="2C3F11C9" w14:textId="30DF2667">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The overarching aim of this research is to examine the key contributors to anxiety among teenage girls in the UK and to assess how these factors interact to influence mental health outcomes. This includes exploring the social, academic, relational, and environmental pressures that uniquely shape girls’ experiences of anxiety during adolescence. The study will also evaluate the effectiveness of current support systems and consider whether they adequately address the needs of teenage girls. Given rising rates of anxiety and the growing recognition of gendered mental health disparities (NHS Digital, 2022; World Health Organization, 2021), this research aims to contribute clearer understanding and inform more targeted and responsive interventions. By synthesising existing literature, the project seeks to highlight gaps in provision and identify areas where schools, services, and families can better support adolescent girls (Mental Health Foundation, 2021; Patel et al., 2018). Ultimately, the research aims to offer practical, evidence-based recommendations to improve early intervention and long-term outcomes.</w:t>
      </w:r>
      <w:proofErr w:type="gramStart"/>
      <w:proofErr w:type="gramEnd"/>
    </w:p>
    <w:p w:rsidRPr="00BD2909" w:rsidR="00BD2909" w:rsidP="0283C5EB" w:rsidRDefault="00BD2909" w14:paraId="6CE533EC" w14:textId="7DA900F7">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The objectives of the research are as follows:</w:t>
      </w:r>
    </w:p>
    <w:p w:rsidRPr="00BD2909" w:rsidR="00BD2909" w:rsidP="0283C5EB" w:rsidRDefault="00BD2909" w14:paraId="3CC61AAA" w14:textId="32F34951">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A4BA1B2">
        <w:rPr>
          <w:rFonts w:ascii="Arial Nova" w:hAnsi="Arial Nova" w:eastAsia="Arial Nova" w:cs="Arial Nova"/>
          <w:b w:val="1"/>
          <w:bCs w:val="1"/>
          <w:i w:val="0"/>
          <w:iCs w:val="0"/>
          <w:caps w:val="0"/>
          <w:smallCaps w:val="0"/>
          <w:noProof w:val="0"/>
          <w:color w:val="000000" w:themeColor="text1" w:themeTint="FF" w:themeShade="FF"/>
          <w:sz w:val="22"/>
          <w:szCs w:val="22"/>
          <w:lang w:val="en-GB"/>
        </w:rPr>
        <w:t>Objective 1:</w:t>
      </w: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define and examine anxiety in the context of British teenage girls, identifying how it manifests and affects their daily lives.</w:t>
      </w:r>
    </w:p>
    <w:p w:rsidRPr="00BD2909" w:rsidR="00BD2909" w:rsidP="0283C5EB" w:rsidRDefault="00BD2909" w14:paraId="24F97084" w14:textId="5273FBE8">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A4BA1B2">
        <w:rPr>
          <w:rFonts w:ascii="Arial Nova" w:hAnsi="Arial Nova" w:eastAsia="Arial Nova" w:cs="Arial Nova"/>
          <w:b w:val="1"/>
          <w:bCs w:val="1"/>
          <w:i w:val="0"/>
          <w:iCs w:val="0"/>
          <w:caps w:val="0"/>
          <w:smallCaps w:val="0"/>
          <w:noProof w:val="0"/>
          <w:color w:val="000000" w:themeColor="text1" w:themeTint="FF" w:themeShade="FF"/>
          <w:sz w:val="22"/>
          <w:szCs w:val="22"/>
          <w:lang w:val="en-GB"/>
        </w:rPr>
        <w:t>Objective 2:</w:t>
      </w: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analyse the primary contributors to anxiety, including academic pressure, social media, peer relationships, family expectations, and the effects of COVID-19.</w:t>
      </w:r>
    </w:p>
    <w:p w:rsidRPr="00BD2909" w:rsidR="00BD2909" w:rsidP="0283C5EB" w:rsidRDefault="00BD2909" w14:paraId="5AC9FD4B" w14:textId="6E1FDF8D">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A4BA1B2">
        <w:rPr>
          <w:rFonts w:ascii="Arial Nova" w:hAnsi="Arial Nova" w:eastAsia="Arial Nova" w:cs="Arial Nova"/>
          <w:b w:val="1"/>
          <w:bCs w:val="1"/>
          <w:i w:val="0"/>
          <w:iCs w:val="0"/>
          <w:caps w:val="0"/>
          <w:smallCaps w:val="0"/>
          <w:noProof w:val="0"/>
          <w:color w:val="000000" w:themeColor="text1" w:themeTint="FF" w:themeShade="FF"/>
          <w:sz w:val="22"/>
          <w:szCs w:val="22"/>
          <w:lang w:val="en-GB"/>
        </w:rPr>
        <w:t>Objective 3:</w:t>
      </w: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evaluate the effectiveness of support structures such as CAMHS, school-based services, and mental health charities in addressing anxiety in teenage girls.</w:t>
      </w:r>
    </w:p>
    <w:p w:rsidRPr="00BD2909" w:rsidR="00BD2909" w:rsidP="0283C5EB" w:rsidRDefault="00BD2909" w14:paraId="3893D32B" w14:textId="58CD7368">
      <w:pPr>
        <w:spacing w:before="240" w:beforeAutospacing="off" w:after="240" w:afterAutospacing="off" w:line="360" w:lineRule="auto"/>
        <w:ind/>
        <w:textAlignment w:val="baseline"/>
        <w:rPr>
          <w:rStyle w:val="normaltextrun"/>
          <w:rFonts w:ascii="Aptos" w:hAnsi="Aptos" w:cs="Arial"/>
          <w:b w:val="1"/>
          <w:bCs w:val="1"/>
          <w:color w:val="000000" w:themeColor="text1" w:themeTint="FF" w:themeShade="FF"/>
        </w:rPr>
      </w:pPr>
      <w:r w:rsidRPr="0283C5EB" w:rsidR="4A4BA1B2">
        <w:rPr>
          <w:rFonts w:ascii="Arial Nova" w:hAnsi="Arial Nova" w:eastAsia="Arial Nova" w:cs="Arial Nova"/>
          <w:b w:val="1"/>
          <w:bCs w:val="1"/>
          <w:i w:val="0"/>
          <w:iCs w:val="0"/>
          <w:caps w:val="0"/>
          <w:smallCaps w:val="0"/>
          <w:noProof w:val="0"/>
          <w:color w:val="000000" w:themeColor="text1" w:themeTint="FF" w:themeShade="FF"/>
          <w:sz w:val="22"/>
          <w:szCs w:val="22"/>
          <w:lang w:val="en-GB"/>
        </w:rPr>
        <w:t>Objective 4:</w:t>
      </w: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provide evidence-based recommendations for improving interventions, with an emphasis on inclusivity, early intervention, and gender-sensitive care.</w:t>
      </w:r>
    </w:p>
    <w:p w:rsidRPr="00BD2909" w:rsidR="00BD2909" w:rsidP="0283C5EB" w:rsidRDefault="00BD2909" w14:paraId="379C53E1" w14:textId="547D43AA">
      <w:pPr>
        <w:spacing w:before="240" w:beforeAutospacing="off" w:after="240" w:afterAutospacing="off" w:line="360" w:lineRule="auto"/>
        <w:ind/>
        <w:textAlignment w:val="baseline"/>
        <w:rPr>
          <w:rStyle w:val="normaltextrun"/>
          <w:rFonts w:ascii="Aptos" w:hAnsi="Aptos" w:cs="Arial"/>
          <w:b w:val="1"/>
          <w:bCs w:val="1"/>
          <w:color w:val="000000" w:themeColor="text1" w:themeTint="FF" w:themeShade="FF"/>
        </w:rPr>
      </w:pPr>
      <w:r w:rsidRPr="0283C5EB" w:rsidR="00BD2909">
        <w:rPr>
          <w:rStyle w:val="normaltextrun"/>
          <w:rFonts w:ascii="Aptos" w:hAnsi="Aptos" w:cs="Arial"/>
          <w:b w:val="1"/>
          <w:bCs w:val="1"/>
          <w:color w:val="000000" w:themeColor="text1" w:themeTint="FF" w:themeShade="FF"/>
          <w:sz w:val="24"/>
          <w:szCs w:val="24"/>
        </w:rPr>
        <w:t>1.5 Conclusion</w:t>
      </w:r>
      <w:r w:rsidRPr="0283C5EB" w:rsidR="00BD2909">
        <w:rPr>
          <w:rStyle w:val="normaltextrun"/>
          <w:rFonts w:ascii="Aptos" w:hAnsi="Aptos" w:cs="Arial"/>
          <w:b w:val="1"/>
          <w:bCs w:val="1"/>
          <w:color w:val="000000" w:themeColor="text1" w:themeTint="FF" w:themeShade="FF"/>
        </w:rPr>
        <w:t xml:space="preserve"> </w:t>
      </w:r>
    </w:p>
    <w:p w:rsidR="2C4BE454" w:rsidP="0283C5EB" w:rsidRDefault="2C4BE454" w14:paraId="1D736127" w14:textId="7B95452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chapter has outlined the foundation of the research by introducing the focus on anxiety among teenage girls in the UK and </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establishing</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significance of this issue within contemporary health and social care. It has clarified key definitions, explained the rationale for selecting this topic, and presented the overall aim and </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guiding the study. The evidence reviewed in this chapter </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demonstrates</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anxiety in teenage girls is influenced by overlapping academic, social, familial, and digital pressures, which interact to heighten vulnerability during a critical period of development. National reports consistently show increasing rates of anxiety in this demographic, reinforcing the urgency of the research focus (Department for Education, 2023; </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2021).</w:t>
      </w:r>
    </w:p>
    <w:p w:rsidR="2C4BE454" w:rsidP="0283C5EB" w:rsidRDefault="2C4BE454" w14:paraId="7653D1EB" w14:textId="34972C5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clarifying the central themes and </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establishing</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direction of inquiry, this chapter provides a clear framework for the research to follow. The next chapter will build on this by reviewing existing academic literature, critically examining theoretical perspectives and empirical findings that help explain why anxiety is rising in teenage girls. This will include a deeper exploration of developmental, environmental, and social factors, as well as international and UK-specific trends. The literature review will therefore expand the theoretical and contextual foundations needed to analyse and interpret the key contributors to anxiety among teenage girls in the UK, ensuring the study is grounded in robust and up-to-date evidence (Hart, 2018; Ridley, 2012).</w:t>
      </w:r>
    </w:p>
    <w:p w:rsidR="2C4BE454" w:rsidP="0283C5EB" w:rsidRDefault="2C4BE454" w14:paraId="1EFACCE4" w14:textId="35294B39">
      <w:pPr>
        <w:pStyle w:val="paragraph"/>
        <w:spacing w:before="0" w:beforeAutospacing="off" w:after="0" w:afterAutospacing="off" w:line="360" w:lineRule="auto"/>
        <w:rPr>
          <w:rStyle w:val="normaltextrun"/>
          <w:rFonts w:ascii="Aptos" w:hAnsi="Aptos" w:cs="Arial"/>
          <w:color w:val="0F4761"/>
        </w:rPr>
      </w:pPr>
      <w:r w:rsidRPr="0283C5EB" w:rsidR="2C4BE454">
        <w:rPr>
          <w:rStyle w:val="normaltextrun"/>
          <w:rFonts w:ascii="Aptos" w:hAnsi="Aptos" w:cs="Arial"/>
          <w:color w:val="0F4761"/>
        </w:rPr>
        <w:t xml:space="preserve"> </w:t>
      </w:r>
    </w:p>
    <w:p w:rsidRPr="00BD2909" w:rsidR="00BD2909" w:rsidP="4DB6A9DE" w:rsidRDefault="00BD2909" w14:paraId="034ABA9B" w14:textId="77777777">
      <w:pPr>
        <w:pStyle w:val="paragraph"/>
        <w:spacing w:before="0" w:beforeAutospacing="off" w:after="0" w:afterAutospacing="off" w:line="360" w:lineRule="auto"/>
        <w:textAlignment w:val="baseline"/>
        <w:rPr>
          <w:rFonts w:ascii="Arial Nova" w:hAnsi="Arial Nova" w:eastAsia="Arial Nova" w:cs="Arial Nova"/>
          <w:sz w:val="16"/>
          <w:szCs w:val="16"/>
        </w:rPr>
      </w:pPr>
      <w:r w:rsidRPr="4DB6A9DE" w:rsidR="00BD2909">
        <w:rPr>
          <w:rStyle w:val="eop"/>
          <w:rFonts w:ascii="Aptos" w:hAnsi="Aptos" w:cs="Arial"/>
          <w:sz w:val="22"/>
          <w:szCs w:val="22"/>
        </w:rPr>
        <w:t> </w:t>
      </w:r>
    </w:p>
    <w:p w:rsidR="000D0641" w:rsidP="4DB6A9DE" w:rsidRDefault="000D0641" w14:paraId="3A28157F" w14:textId="3FA52DBB">
      <w:pPr>
        <w:pStyle w:val="Heading1"/>
        <w:ind w:left="0"/>
        <w:rPr>
          <w:rFonts w:ascii="Arial Nova" w:hAnsi="Arial Nova" w:eastAsia="Arial Nova" w:cs="Arial Nova"/>
        </w:rPr>
      </w:pPr>
      <w:r w:rsidRPr="4DB6A9DE" w:rsidR="000D0641">
        <w:rPr>
          <w:rFonts w:ascii="Arial Nova" w:hAnsi="Arial Nova" w:eastAsia="Arial Nova" w:cs="Arial Nova"/>
        </w:rPr>
        <w:t xml:space="preserve">CHAPTER 2 – </w:t>
      </w:r>
      <w:r w:rsidRPr="4DB6A9DE" w:rsidR="00BD2909">
        <w:rPr>
          <w:rFonts w:ascii="Arial Nova" w:hAnsi="Arial Nova" w:eastAsia="Arial Nova" w:cs="Arial Nova"/>
        </w:rPr>
        <w:t xml:space="preserve">Background </w:t>
      </w:r>
      <w:r w:rsidRPr="4DB6A9DE" w:rsidR="00F44833">
        <w:rPr>
          <w:rFonts w:ascii="Arial Nova" w:hAnsi="Arial Nova" w:eastAsia="Arial Nova" w:cs="Arial Nova"/>
        </w:rPr>
        <w:t xml:space="preserve">Information and </w:t>
      </w:r>
      <w:r w:rsidRPr="4DB6A9DE" w:rsidR="00BD2909">
        <w:rPr>
          <w:rFonts w:ascii="Arial Nova" w:hAnsi="Arial Nova" w:eastAsia="Arial Nova" w:cs="Arial Nova"/>
        </w:rPr>
        <w:t>Analysis</w:t>
      </w:r>
      <w:r w:rsidRPr="4DB6A9DE" w:rsidR="000D0641">
        <w:rPr>
          <w:rFonts w:ascii="Arial Nova" w:hAnsi="Arial Nova" w:eastAsia="Arial Nova" w:cs="Arial Nova"/>
        </w:rPr>
        <w:t xml:space="preserve"> </w:t>
      </w:r>
    </w:p>
    <w:p w:rsidR="0283C5EB" w:rsidP="0283C5EB" w:rsidRDefault="0283C5EB" w14:paraId="3EFC9FA5" w14:textId="2FC29378">
      <w:pPr>
        <w:pStyle w:val="Normal"/>
        <w:ind w:left="0"/>
      </w:pPr>
    </w:p>
    <w:p w:rsidRPr="00F44833" w:rsidR="00BD2909" w:rsidP="0283C5EB" w:rsidRDefault="00BD2909" w14:paraId="06AE01CC" w14:textId="33EF64C9">
      <w:pPr>
        <w:pStyle w:val="paragraph"/>
        <w:spacing w:before="0" w:beforeAutospacing="off" w:after="0" w:afterAutospacing="off" w:line="360" w:lineRule="auto"/>
        <w:textAlignment w:val="baseline"/>
        <w:rPr>
          <w:rStyle w:val="normaltextrun"/>
          <w:rFonts w:ascii="Aptos" w:hAnsi="Aptos" w:cs="Arial"/>
          <w:b w:val="1"/>
          <w:bCs w:val="1"/>
          <w:color w:val="000000" w:themeColor="text1" w:themeTint="FF" w:themeShade="FF"/>
        </w:rPr>
      </w:pPr>
      <w:r w:rsidRPr="0283C5EB" w:rsidR="00BD2909">
        <w:rPr>
          <w:rStyle w:val="normaltextrun"/>
          <w:rFonts w:ascii="Aptos" w:hAnsi="Aptos" w:cs="Arial"/>
          <w:b w:val="1"/>
          <w:bCs w:val="1"/>
          <w:color w:val="000000" w:themeColor="text1" w:themeTint="FF" w:themeShade="FF"/>
        </w:rPr>
        <w:t>2.1 Introduction</w:t>
      </w:r>
    </w:p>
    <w:p w:rsidRPr="00F44833" w:rsidR="00BD2909" w:rsidP="0283C5EB" w:rsidRDefault="00BD2909" w14:paraId="5361F46C" w14:textId="264D08F3">
      <w:pPr>
        <w:spacing w:before="0" w:beforeAutospacing="0" w:after="0" w:afterAutospacing="0" w:line="360" w:lineRule="auto"/>
        <w:textAlignment w:val="baseline"/>
        <w:rPr>
          <w:noProof w:val="0"/>
          <w:lang w:val="en-GB"/>
        </w:rPr>
      </w:pPr>
      <w:r w:rsidRPr="0283C5EB"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purpose of this chapter is to provide the historical, theoretical, and contextual background for understanding anxiety among teenage girls in the UK. By tracing the development of the concept of anxiety and examining the evolution of adolescent mental health as a field of study, this chapter </w:t>
      </w:r>
      <w:r w:rsidRPr="0283C5EB"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establishes</w:t>
      </w:r>
      <w:r w:rsidRPr="0283C5EB"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foundations on which the research is built. It explores the theoretical frameworks that have shaped contemporary perspectives, recognising that understandings of adolescence have shifted significantly over time in response to cultural, social, and scientific influences (Santrock, 2019). Additionally, the chapter situates the issue within both international and UK contexts, highlighting how different policies, healthcare structures, and societal expectations have influenced approaches to adolescent mental health. While Chapter 4 will analyse key themes </w:t>
      </w:r>
      <w:r w:rsidRPr="0283C5EB"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emerging</w:t>
      </w:r>
      <w:r w:rsidRPr="0283C5EB"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the literature, this chapter provides the broader conceptual and contextual grounding necessary to </w:t>
      </w:r>
      <w:r w:rsidRPr="0283C5EB"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locate</w:t>
      </w:r>
      <w:r w:rsidRPr="0283C5EB"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investigation firmly within the field of health and social care</w:t>
      </w:r>
      <w:r w:rsidRPr="0283C5EB"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83C5EB" w:rsidR="2784134E">
        <w:rPr>
          <w:noProof w:val="0"/>
          <w:lang w:val="en-GB"/>
        </w:rPr>
        <w:t xml:space="preserve">  </w:t>
      </w:r>
    </w:p>
    <w:p w:rsidRPr="00F44833" w:rsidR="00BD2909" w:rsidP="0283C5EB" w:rsidRDefault="00BD2909" w14:paraId="54EEB4F3" w14:textId="781A1306">
      <w:pPr>
        <w:pStyle w:val="paragraph"/>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44833" w:rsidR="00BD2909" w:rsidP="0283C5EB" w:rsidRDefault="00BD2909" w14:paraId="01DC2102" w14:textId="5CCE410C">
      <w:pPr>
        <w:spacing w:before="0" w:beforeAutospacing="0" w:after="0" w:afterAutospacing="0"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44833" w:rsidR="00BD2909" w:rsidP="0283C5EB" w:rsidRDefault="00BD2909" w14:paraId="47DA7778" w14:textId="76522233">
      <w:pPr>
        <w:pStyle w:val="Heading2"/>
        <w:keepNext w:val="1"/>
        <w:keepLines w:val="1"/>
        <w:spacing w:before="299" w:beforeAutospacing="off" w:after="299" w:afterAutospacing="off" w:line="360" w:lineRule="auto"/>
        <w:textAlignment w:val="baseline"/>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0283C5EB" w:rsidR="0C3EF1AB">
        <w:rPr>
          <w:rFonts w:ascii="Arial Nova" w:hAnsi="Arial Nova" w:eastAsia="Arial Nova" w:cs="Arial Nova"/>
          <w:b w:val="1"/>
          <w:bCs w:val="1"/>
          <w:i w:val="0"/>
          <w:iCs w:val="0"/>
          <w:caps w:val="0"/>
          <w:smallCaps w:val="0"/>
          <w:noProof w:val="0"/>
          <w:color w:val="000000" w:themeColor="text1" w:themeTint="FF" w:themeShade="FF"/>
          <w:sz w:val="24"/>
          <w:szCs w:val="24"/>
          <w:lang w:val="en-GB"/>
        </w:rPr>
        <w:t>2.2 Historical Background</w:t>
      </w:r>
    </w:p>
    <w:p w:rsidRPr="00F44833" w:rsidR="00BD2909" w:rsidP="0283C5EB" w:rsidRDefault="00BD2909" w14:paraId="34E20387" w14:textId="6DBEAA70">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8A3B0B9">
        <w:rPr>
          <w:rFonts w:ascii="Arial Nova" w:hAnsi="Arial Nova" w:eastAsia="Arial Nova" w:cs="Arial Nova"/>
          <w:b w:val="0"/>
          <w:bCs w:val="0"/>
          <w:i w:val="0"/>
          <w:iCs w:val="0"/>
          <w:caps w:val="0"/>
          <w:smallCaps w:val="0"/>
          <w:noProof w:val="0"/>
          <w:color w:val="000000" w:themeColor="text1" w:themeTint="FF" w:themeShade="FF"/>
          <w:sz w:val="22"/>
          <w:szCs w:val="22"/>
          <w:lang w:val="en-GB"/>
        </w:rPr>
        <w:t>The study of anxiety has long been a feature of psychological and psychiatric research, but its recognition as a significant adolescent health concern is relatively recent. Historically, mental health issues in young people were often overlooked or attributed to normal developmental turbulence (Rutter, 1989). Early psychiatric discourse in the late nineteenth and early twentieth centuries focused primarily on adult disorders, with adolescents only considered in terms of delinquency or abnormal behaviour (Jones, 1999). Anxiety, as a formal diagnostic category, was incorporated into the Diagnostic and Statistical Manual of Mentel disorder (DSM) in the mid-twentieth century, but the focus on children and adolescents grew slowly.</w:t>
      </w:r>
    </w:p>
    <w:p w:rsidRPr="00F44833" w:rsidR="00BD2909" w:rsidP="0283C5EB" w:rsidRDefault="00BD2909" w14:paraId="42136A1E" w14:textId="5A407522">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8A3B0B9">
        <w:rPr>
          <w:rFonts w:ascii="Arial Nova" w:hAnsi="Arial Nova" w:eastAsia="Arial Nova" w:cs="Arial Nova"/>
          <w:b w:val="0"/>
          <w:bCs w:val="0"/>
          <w:i w:val="0"/>
          <w:iCs w:val="0"/>
          <w:caps w:val="0"/>
          <w:smallCaps w:val="0"/>
          <w:noProof w:val="0"/>
          <w:color w:val="000000" w:themeColor="text1" w:themeTint="FF" w:themeShade="FF"/>
          <w:sz w:val="22"/>
          <w:szCs w:val="22"/>
          <w:lang w:val="en-GB"/>
        </w:rPr>
        <w:t>In the UK, attention to adolescent mental health increased during the post-war period, particularly with the expansion of the welfare state and the development of school health services. Child psychiatry became more established in the 1950s and 1960s, with pioneers such as Sir Michael Rutter emphasising the importance of early intervention and longitudinal research on children’s psychological wellbeing (Rutter, 1989). His studies demonstrated that environmental factors such as family breakdown, social disadvantage, and school experience were central to children’s mental health outcomes, laying the groundwork for later investigations into anxiety in adolescence.</w:t>
      </w:r>
    </w:p>
    <w:p w:rsidRPr="00F44833" w:rsidR="00BD2909" w:rsidP="0283C5EB" w:rsidRDefault="00BD2909" w14:paraId="3B361490" w14:textId="33A82121">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8A3B0B9">
        <w:rPr>
          <w:rFonts w:ascii="Arial Nova" w:hAnsi="Arial Nova" w:eastAsia="Arial Nova" w:cs="Arial Nova"/>
          <w:b w:val="0"/>
          <w:bCs w:val="0"/>
          <w:i w:val="0"/>
          <w:iCs w:val="0"/>
          <w:caps w:val="0"/>
          <w:smallCaps w:val="0"/>
          <w:noProof w:val="0"/>
          <w:color w:val="000000" w:themeColor="text1" w:themeTint="FF" w:themeShade="FF"/>
          <w:sz w:val="22"/>
          <w:szCs w:val="22"/>
          <w:lang w:val="en-GB"/>
        </w:rPr>
        <w:t>From the 1980s onwards, adolescent mental health began to receive greater attention as part of broader discussions on public health and social change. Increasing academic pressure, changing family structures, and the influence of media were all identified as contributing factors (Fombonne, 1998). The rise of digital technology and social media in the early 2000s transformed the discussion, with researchers beginning to link online behaviour to anxiety and self-esteem in teenagers (Twenge, 2018).</w:t>
      </w:r>
    </w:p>
    <w:p w:rsidRPr="00F44833" w:rsidR="00BD2909" w:rsidP="0283C5EB" w:rsidRDefault="00BD2909" w14:paraId="738C6359" w14:textId="2F690AEB">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8A3B0B9">
        <w:rPr>
          <w:rFonts w:ascii="Arial Nova" w:hAnsi="Arial Nova" w:eastAsia="Arial Nova" w:cs="Arial Nova"/>
          <w:b w:val="0"/>
          <w:bCs w:val="0"/>
          <w:i w:val="0"/>
          <w:iCs w:val="0"/>
          <w:caps w:val="0"/>
          <w:smallCaps w:val="0"/>
          <w:noProof w:val="0"/>
          <w:color w:val="000000" w:themeColor="text1" w:themeTint="FF" w:themeShade="FF"/>
          <w:sz w:val="22"/>
          <w:szCs w:val="22"/>
          <w:lang w:val="en-GB"/>
        </w:rPr>
        <w:t>Several organisations have been pivotal in shaping the understanding and recognition of adolescent mental health issues. The World Health Organization (WHO) highlighted adolescent health as a priority in the 1990s, stressing the need for early intervention in mental health disorders (WHO, 1998). In the UK, the establishment of CAMHS formalised state-led provision for children and adolescents with mental health needs. More recently, national surveys such as Mental Health of Children and Young People in England (NHS Digital, 2022) have provided comprehensive data, revealing rising levels of anxiety, particularly among girls. These milestones reflect a gradual but significant shift from neglect to recognition of adolescent mental health as a pressing issue.</w:t>
      </w:r>
    </w:p>
    <w:p w:rsidRPr="00F44833" w:rsidR="00BD2909" w:rsidP="0283C5EB" w:rsidRDefault="00BD2909" w14:paraId="7CA9B28E" w14:textId="4B555CC7">
      <w:pPr>
        <w:pStyle w:val="Normal"/>
        <w:keepNext w:val="1"/>
        <w:keepLines w:val="1"/>
        <w:rPr>
          <w:noProof w:val="0"/>
          <w:lang w:val="en-GB"/>
        </w:rPr>
      </w:pPr>
      <w:r w:rsidRPr="0283C5EB" w:rsidR="08A3B0B9">
        <w:rPr>
          <w:noProof w:val="0"/>
          <w:lang w:val="en-GB"/>
        </w:rPr>
        <w:t xml:space="preserve"> </w:t>
      </w:r>
    </w:p>
    <w:p w:rsidRPr="00F44833" w:rsidR="00BD2909" w:rsidP="0283C5EB" w:rsidRDefault="00BD2909" w14:paraId="1787DF7C" w14:textId="58768B3F">
      <w:pPr>
        <w:pStyle w:val="paragraph"/>
        <w:keepNext w:val="1"/>
        <w:keepLines w:val="1"/>
        <w:rPr>
          <w:rStyle w:val="eop"/>
          <w:rFonts w:ascii="Arial Nova" w:hAnsi="Arial Nova" w:eastAsia="Arial Nova" w:cs="Arial Nova"/>
          <w:b w:val="1"/>
          <w:bCs w:val="1"/>
          <w:color w:val="000000" w:themeColor="text1" w:themeTint="FF" w:themeShade="FF"/>
        </w:rPr>
      </w:pPr>
      <w:r w:rsidRPr="0283C5EB" w:rsidR="00BD2909">
        <w:rPr>
          <w:rStyle w:val="normaltextrun"/>
          <w:rFonts w:ascii="Arial Nova" w:hAnsi="Arial Nova" w:eastAsia="Arial Nova" w:cs="Arial Nova"/>
          <w:b w:val="1"/>
          <w:bCs w:val="1"/>
          <w:color w:val="000000" w:themeColor="text1" w:themeTint="FF" w:themeShade="FF"/>
        </w:rPr>
        <w:t xml:space="preserve">2.3 Theoretical Background </w:t>
      </w:r>
    </w:p>
    <w:p w:rsidR="0283C5EB" w:rsidP="0283C5EB" w:rsidRDefault="0283C5EB" w14:paraId="030981C0" w14:textId="4AF3A359">
      <w:pPr>
        <w:pStyle w:val="paragraph"/>
        <w:keepNext w:val="1"/>
        <w:keepLines w:val="1"/>
        <w:rPr>
          <w:rStyle w:val="eop"/>
          <w:rFonts w:ascii="Aptos" w:hAnsi="Aptos" w:eastAsia="Calibri Light" w:cs="Arial"/>
          <w:color w:val="0F4761"/>
        </w:rPr>
      </w:pPr>
    </w:p>
    <w:p w:rsidR="72F1096D" w:rsidP="0283C5EB" w:rsidRDefault="72F1096D" w14:paraId="1BACE049" w14:textId="2C910022">
      <w:pPr>
        <w:pStyle w:val="Heading1"/>
        <w:keepNext w:val="1"/>
        <w:keepLines w:val="1"/>
        <w:spacing w:before="322" w:beforeAutospacing="off" w:after="322" w:afterAutospacing="off"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The study of anxiety in teenage girls draws on multiple theoretical perspectives. One of the most influential is cognitive-behavioural theory, which views anxiety as the result of maladaptive thought patterns and behaviours (Beck, 1976). According to this perspective, adolescents who interpret social or academic situations negatively are more likely to experience anxiety. Cognitive-behavioural theory has been foundational in developing interventions such as Cognitive Behavioural Therapy (CBT), widely used in CAMHS for treating adolescent anxiety (Kendall et al., 2005). Its strength lies in its practical application and robust evidence base; however, critics argue it sometimes oversimplifies complex social and cultural contributors (Stallard, 2019).</w:t>
      </w:r>
    </w:p>
    <w:p w:rsidR="72F1096D" w:rsidP="0283C5EB" w:rsidRDefault="72F1096D" w14:paraId="6B5F4E12" w14:textId="43F07A2C">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Another relevant framework is developmental psychopathology, which emphasises the interaction between biological, psychological, and social factors across the lifespan (Cicchetti &amp; Rogosch, 2002). This approach is particularly useful in understanding how adolescent anxiety emerges from the interplay of genetics, family environment, peer relationships, and broader cultural contexts. Its strength is its holistic perspective, but it can be criticised for being difficult to operationalise in research.</w:t>
      </w:r>
    </w:p>
    <w:p w:rsidR="72F1096D" w:rsidP="0283C5EB" w:rsidRDefault="72F1096D" w14:paraId="36297F67" w14:textId="03B19A2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comparison theory (Festinger, 1954) has become increasingly relevant in the digital age. The theory posits that individuals evaluate themselves by comparing with others, and when these comparisons are unfavourable, negative emotions arise. In teenage girls, social media intensifies these processes, fuelling body dissatisfaction and anxiety (Fassi et al., 2025). This theory is valuable for explaining gendered patterns in anxiety, but it risks overemphasising media influences while neglecting structural stressors such as poverty.</w:t>
      </w:r>
    </w:p>
    <w:p w:rsidR="72F1096D" w:rsidP="0283C5EB" w:rsidRDefault="72F1096D" w14:paraId="67204BA0" w14:textId="5B82956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Bronfenbrenner’s ecological systems theory offers an additional perspective by situating adolescents within multiple environmental layers, from family and school to media and wider societal norms (Bronfenbrenner, 1979). This framework highlights how interactions between these systems can compound stress and shape mental health outcomes. Similarly, the transactional model of stress and coping proposes that anxiety develops through ongoing exchanges between the individual and their environment, influenced by how stressors are appraised (Lazarus &amp; Folkman, 1984). These theories emphasise context and adaptability, though their broad nature can make empirical testing challenging.</w:t>
      </w:r>
    </w:p>
    <w:p w:rsidR="72F1096D" w:rsidP="0283C5EB" w:rsidRDefault="72F1096D" w14:paraId="11A32412" w14:textId="0A2B0D4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Feminist psychology also contributes an important framework by highlighting how gender roles, expectations, and cultural norms shape female adolescents’ mental health (Tolman et al., 2006). This perspective stresses that anxiety in teenage girls cannot be fully understood without acknowledging the pressures of sexism, beauty standards, and gendered socialisation. While feminist frameworks broaden the analysis, they are sometimes critiqued for lacking specificity in therapeutic application.</w:t>
      </w:r>
    </w:p>
    <w:p w:rsidR="72F1096D" w:rsidP="0283C5EB" w:rsidRDefault="72F1096D" w14:paraId="0FD10641" w14:textId="168E8E9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Together, these theories provide complementary insights. Cognitive-behavioural and developmental frameworks explain individual vulnerability, while ecological, social comparison, and feminist theories situate anxiety within broader cultural and structural contexts. This dissertation will draw on these perspectives to frame its analysis of contributors to anxiety in teenage girls in the UK.</w:t>
      </w:r>
    </w:p>
    <w:p w:rsidR="72F1096D" w:rsidP="0283C5EB" w:rsidRDefault="72F1096D" w14:paraId="133C1E28" w14:textId="0899A1D4">
      <w:pPr>
        <w:pStyle w:val="paragraph"/>
        <w:keepNext w:val="1"/>
        <w:keepLines w:val="1"/>
        <w:rPr>
          <w:rStyle w:val="eop"/>
          <w:rFonts w:ascii="Arial Nova" w:hAnsi="Arial Nova" w:eastAsia="Arial Nova" w:cs="Arial Nova"/>
          <w:color w:val="0F4761"/>
          <w:sz w:val="22"/>
          <w:szCs w:val="22"/>
        </w:rPr>
      </w:pPr>
      <w:r w:rsidRPr="0283C5EB" w:rsidR="72F1096D">
        <w:rPr>
          <w:rStyle w:val="eop"/>
          <w:rFonts w:ascii="Arial Nova" w:hAnsi="Arial Nova" w:eastAsia="Arial Nova" w:cs="Arial Nova"/>
          <w:color w:val="0F4761"/>
          <w:sz w:val="22"/>
          <w:szCs w:val="22"/>
        </w:rPr>
        <w:t xml:space="preserve"> </w:t>
      </w:r>
    </w:p>
    <w:p w:rsidR="0283C5EB" w:rsidP="0283C5EB" w:rsidRDefault="0283C5EB" w14:paraId="41C940D1" w14:textId="7B4044E6">
      <w:pPr>
        <w:pStyle w:val="paragraph"/>
        <w:keepNext w:val="1"/>
        <w:keepLines w:val="1"/>
        <w:rPr>
          <w:rStyle w:val="eop"/>
          <w:rFonts w:ascii="Aptos" w:hAnsi="Aptos" w:eastAsia="Calibri Light" w:cs="Arial"/>
          <w:color w:val="0F4761"/>
        </w:rPr>
      </w:pPr>
    </w:p>
    <w:p w:rsidRPr="00F44833" w:rsidR="00BD2909" w:rsidP="0283C5EB" w:rsidRDefault="00BD2909" w14:paraId="57C9DE7E" w14:textId="71E3AECC">
      <w:pPr>
        <w:pStyle w:val="paragraph"/>
        <w:spacing w:before="0" w:beforeAutospacing="off" w:after="0" w:afterAutospacing="off" w:line="360" w:lineRule="auto"/>
        <w:ind/>
        <w:textAlignment w:val="baseline"/>
        <w:rPr>
          <w:rStyle w:val="normaltextrun"/>
          <w:rFonts w:ascii="Arial Nova" w:hAnsi="Arial Nova" w:eastAsia="Arial Nova" w:cs="Arial Nova"/>
          <w:b w:val="1"/>
          <w:bCs w:val="1"/>
          <w:color w:val="000000" w:themeColor="text1" w:themeTint="FF" w:themeShade="FF"/>
        </w:rPr>
      </w:pPr>
      <w:r w:rsidRPr="0283C5EB" w:rsidR="00BD2909">
        <w:rPr>
          <w:rStyle w:val="normaltextrun"/>
          <w:rFonts w:ascii="Arial Nova" w:hAnsi="Arial Nova" w:eastAsia="Arial Nova" w:cs="Arial Nova"/>
          <w:b w:val="1"/>
          <w:bCs w:val="1"/>
          <w:color w:val="000000" w:themeColor="text1" w:themeTint="FF" w:themeShade="FF"/>
        </w:rPr>
        <w:t xml:space="preserve">2.4 International Context </w:t>
      </w:r>
    </w:p>
    <w:p w:rsidRPr="00F44833" w:rsidR="00BD2909" w:rsidP="0283C5EB" w:rsidRDefault="00BD2909" w14:paraId="6670DE92" w14:textId="748372C7">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noProof w:val="0"/>
          <w:lang w:val="en-GB"/>
        </w:rPr>
        <w:t>Globally, adolescent anxiety is recognised as a major public health concern. The</w:t>
      </w:r>
      <w:r w:rsidRPr="0283C5EB" w:rsidR="4815C679">
        <w:rPr>
          <w:rFonts w:ascii="Arial Nova" w:hAnsi="Arial Nova" w:eastAsia="Arial Nova" w:cs="Arial Nova"/>
          <w:i w:val="0"/>
          <w:iCs w:val="0"/>
          <w:noProof w:val="0"/>
          <w:lang w:val="en-GB"/>
        </w:rPr>
        <w:t xml:space="preserve"> World Health Organization (2021) estimates that one in seven adolescents worldwide experiences a mental health disorder, with anxiety being one of the most common. Despite this shared challenge, the way countries understand, prioritise, and respond to adolescent anxiety varies significantly. These differences highlight how cultural norms, healthcare systems, and policy priorities shape young people’s mental health outcomes.</w:t>
      </w:r>
    </w:p>
    <w:p w:rsidRPr="00F44833" w:rsidR="00BD2909" w:rsidP="0283C5EB" w:rsidRDefault="00BD2909" w14:paraId="6D754D64" w14:textId="556D631C">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i w:val="0"/>
          <w:iCs w:val="0"/>
          <w:noProof w:val="0"/>
          <w:lang w:val="en-GB"/>
        </w:rPr>
        <w:t xml:space="preserve">In the United States, research has highlighted a strong association between social media use and rising anxiety levels among teenage girls, fuelling concerns about digital culture and wellbeing (Twenge, 2018). National debates have led to calls for increased regulation of technology companies and stricter parental guidance on screen use. However, despite extensive research and public attention, access to mental health services in the US </w:t>
      </w:r>
      <w:r w:rsidRPr="0283C5EB" w:rsidR="4815C679">
        <w:rPr>
          <w:rFonts w:ascii="Arial Nova" w:hAnsi="Arial Nova" w:eastAsia="Arial Nova" w:cs="Arial Nova"/>
          <w:i w:val="0"/>
          <w:iCs w:val="0"/>
          <w:noProof w:val="0"/>
          <w:lang w:val="en-GB"/>
        </w:rPr>
        <w:t>remains</w:t>
      </w:r>
      <w:r w:rsidRPr="0283C5EB" w:rsidR="4815C679">
        <w:rPr>
          <w:rFonts w:ascii="Arial Nova" w:hAnsi="Arial Nova" w:eastAsia="Arial Nova" w:cs="Arial Nova"/>
          <w:i w:val="0"/>
          <w:iCs w:val="0"/>
          <w:noProof w:val="0"/>
          <w:lang w:val="en-GB"/>
        </w:rPr>
        <w:t xml:space="preserve"> unequal, with socioeconomic status strongly influencing who receives support.</w:t>
      </w:r>
    </w:p>
    <w:p w:rsidRPr="00F44833" w:rsidR="00BD2909" w:rsidP="0283C5EB" w:rsidRDefault="00BD2909" w14:paraId="09CCE0EE" w14:textId="2E5D860F">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i w:val="0"/>
          <w:iCs w:val="0"/>
          <w:noProof w:val="0"/>
          <w:lang w:val="en-GB"/>
        </w:rPr>
        <w:t xml:space="preserve">In European countries such as Norway and Sweden, school-based mental health interventions are widely integrated into educational systems, reflecting a preventive, community-driven model. Although approaches differ, Scandinavian policies emphasise early intervention and universal access to support services, contributing to lower levels of unmet mental health need. However, digital pressures </w:t>
      </w:r>
      <w:r w:rsidRPr="0283C5EB" w:rsidR="4815C679">
        <w:rPr>
          <w:rFonts w:ascii="Arial Nova" w:hAnsi="Arial Nova" w:eastAsia="Arial Nova" w:cs="Arial Nova"/>
          <w:i w:val="0"/>
          <w:iCs w:val="0"/>
          <w:noProof w:val="0"/>
          <w:lang w:val="en-GB"/>
        </w:rPr>
        <w:t>remain</w:t>
      </w:r>
      <w:r w:rsidRPr="0283C5EB" w:rsidR="4815C679">
        <w:rPr>
          <w:rFonts w:ascii="Arial Nova" w:hAnsi="Arial Nova" w:eastAsia="Arial Nova" w:cs="Arial Nova"/>
          <w:i w:val="0"/>
          <w:iCs w:val="0"/>
          <w:noProof w:val="0"/>
          <w:lang w:val="en-GB"/>
        </w:rPr>
        <w:t xml:space="preserve"> a growing concern across Europe, with increased reports of anxiety linked to online comparison and cyberbullying (Loades et al., 2020).</w:t>
      </w:r>
    </w:p>
    <w:p w:rsidRPr="00F44833" w:rsidR="00BD2909" w:rsidP="0283C5EB" w:rsidRDefault="00BD2909" w14:paraId="2F522F8C" w14:textId="2FE7D676">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i w:val="0"/>
          <w:iCs w:val="0"/>
          <w:noProof w:val="0"/>
          <w:lang w:val="en-GB"/>
        </w:rPr>
        <w:t xml:space="preserve">Across Asia, cultural expectations shape the risk factors for adolescent anxiety. South Korea, for instance, faces one of the most academically pressured education systems in the world, contributing to </w:t>
      </w:r>
      <w:r w:rsidRPr="0283C5EB" w:rsidR="4815C679">
        <w:rPr>
          <w:rFonts w:ascii="Arial Nova" w:hAnsi="Arial Nova" w:eastAsia="Arial Nova" w:cs="Arial Nova"/>
          <w:i w:val="0"/>
          <w:iCs w:val="0"/>
          <w:noProof w:val="0"/>
          <w:lang w:val="en-GB"/>
        </w:rPr>
        <w:t>high levels</w:t>
      </w:r>
      <w:r w:rsidRPr="0283C5EB" w:rsidR="4815C679">
        <w:rPr>
          <w:rFonts w:ascii="Arial Nova" w:hAnsi="Arial Nova" w:eastAsia="Arial Nova" w:cs="Arial Nova"/>
          <w:i w:val="0"/>
          <w:iCs w:val="0"/>
          <w:noProof w:val="0"/>
          <w:lang w:val="en-GB"/>
        </w:rPr>
        <w:t xml:space="preserve"> of anxiety among young people (Lee, 2019). Government reforms aimed at reducing academic burden have been implemented, yet many stressors </w:t>
      </w:r>
      <w:r w:rsidRPr="0283C5EB" w:rsidR="4815C679">
        <w:rPr>
          <w:rFonts w:ascii="Arial Nova" w:hAnsi="Arial Nova" w:eastAsia="Arial Nova" w:cs="Arial Nova"/>
          <w:i w:val="0"/>
          <w:iCs w:val="0"/>
          <w:noProof w:val="0"/>
          <w:lang w:val="en-GB"/>
        </w:rPr>
        <w:t>remain</w:t>
      </w:r>
      <w:r w:rsidRPr="0283C5EB" w:rsidR="4815C679">
        <w:rPr>
          <w:rFonts w:ascii="Arial Nova" w:hAnsi="Arial Nova" w:eastAsia="Arial Nova" w:cs="Arial Nova"/>
          <w:i w:val="0"/>
          <w:iCs w:val="0"/>
          <w:noProof w:val="0"/>
          <w:lang w:val="en-GB"/>
        </w:rPr>
        <w:t xml:space="preserve"> embedded within cultural norms. In contrast, low- and middle-income countries continue to struggle with limited mental health infrastructure, leading to widespread underdiagnosis and restricted access to treatment. Patel et al. (2018) highlight that global inequalities in mental health provision reflect broader disparities in economic and healthcare investment.</w:t>
      </w:r>
    </w:p>
    <w:p w:rsidRPr="00F44833" w:rsidR="00BD2909" w:rsidP="0283C5EB" w:rsidRDefault="00BD2909" w14:paraId="202635C0" w14:textId="28E25972">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i w:val="0"/>
          <w:iCs w:val="0"/>
          <w:noProof w:val="0"/>
          <w:lang w:val="en-GB"/>
        </w:rPr>
        <w:t xml:space="preserve">International bodies have </w:t>
      </w:r>
      <w:r w:rsidRPr="0283C5EB" w:rsidR="4815C679">
        <w:rPr>
          <w:rFonts w:ascii="Arial Nova" w:hAnsi="Arial Nova" w:eastAsia="Arial Nova" w:cs="Arial Nova"/>
          <w:i w:val="0"/>
          <w:iCs w:val="0"/>
          <w:noProof w:val="0"/>
          <w:lang w:val="en-GB"/>
        </w:rPr>
        <w:t>attempted</w:t>
      </w:r>
      <w:r w:rsidRPr="0283C5EB" w:rsidR="4815C679">
        <w:rPr>
          <w:rFonts w:ascii="Arial Nova" w:hAnsi="Arial Nova" w:eastAsia="Arial Nova" w:cs="Arial Nova"/>
          <w:i w:val="0"/>
          <w:iCs w:val="0"/>
          <w:noProof w:val="0"/>
          <w:lang w:val="en-GB"/>
        </w:rPr>
        <w:t xml:space="preserve"> to bridge these gaps. UNICEF’s </w:t>
      </w:r>
      <w:r w:rsidRPr="0283C5EB" w:rsidR="4815C679">
        <w:rPr>
          <w:rFonts w:ascii="Arial Nova" w:hAnsi="Arial Nova" w:eastAsia="Arial Nova" w:cs="Arial Nova"/>
          <w:i w:val="0"/>
          <w:iCs w:val="0"/>
          <w:noProof w:val="0"/>
          <w:lang w:val="en-GB"/>
        </w:rPr>
        <w:t xml:space="preserve">State of the World’s </w:t>
      </w:r>
      <w:r w:rsidRPr="0283C5EB" w:rsidR="4815C679">
        <w:rPr>
          <w:rFonts w:ascii="Arial Nova" w:hAnsi="Arial Nova" w:eastAsia="Arial Nova" w:cs="Arial Nova"/>
          <w:i w:val="0"/>
          <w:iCs w:val="0"/>
          <w:noProof w:val="0"/>
          <w:lang w:val="en-GB"/>
        </w:rPr>
        <w:t>Children</w:t>
      </w:r>
      <w:r w:rsidRPr="0283C5EB" w:rsidR="4815C679">
        <w:rPr>
          <w:rFonts w:ascii="Arial Nova" w:hAnsi="Arial Nova" w:eastAsia="Arial Nova" w:cs="Arial Nova"/>
          <w:i w:val="0"/>
          <w:iCs w:val="0"/>
          <w:noProof w:val="0"/>
          <w:lang w:val="en-GB"/>
        </w:rPr>
        <w:t xml:space="preserve"> report (2021) emphasises the need for culturally sensitive, gender-responsive approaches to adolescent mental health, calling for early intervention, stigma reduction, and increased investment in accessible services. These global initiatives underscore that adolescent anxiety is not only a clinical issue but also a social and structural one.</w:t>
      </w:r>
    </w:p>
    <w:p w:rsidRPr="00F44833" w:rsidR="00BD2909" w:rsidP="0283C5EB" w:rsidRDefault="00BD2909" w14:paraId="6431EF65" w14:textId="69E860B4">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i w:val="0"/>
          <w:iCs w:val="0"/>
          <w:noProof w:val="0"/>
          <w:lang w:val="en-GB"/>
        </w:rPr>
        <w:t xml:space="preserve">Overall, the international evidence </w:t>
      </w:r>
      <w:r w:rsidRPr="0283C5EB" w:rsidR="4815C679">
        <w:rPr>
          <w:rFonts w:ascii="Arial Nova" w:hAnsi="Arial Nova" w:eastAsia="Arial Nova" w:cs="Arial Nova"/>
          <w:i w:val="0"/>
          <w:iCs w:val="0"/>
          <w:noProof w:val="0"/>
          <w:lang w:val="en-GB"/>
        </w:rPr>
        <w:t>demonstrates</w:t>
      </w:r>
      <w:r w:rsidRPr="0283C5EB" w:rsidR="4815C679">
        <w:rPr>
          <w:rFonts w:ascii="Arial Nova" w:hAnsi="Arial Nova" w:eastAsia="Arial Nova" w:cs="Arial Nova"/>
          <w:i w:val="0"/>
          <w:iCs w:val="0"/>
          <w:noProof w:val="0"/>
          <w:lang w:val="en-GB"/>
        </w:rPr>
        <w:t xml:space="preserve"> that while anxiety among teenage girls is a universal concern, how it is expressed, recognised, and addressed varies across different global contexts. Understanding these international differences provides valuable insights for the UK, particularly in strengthening preventive strategies, improving access to early support, and adopting gender-sensitive approaches to adolescent mental health.</w:t>
      </w:r>
    </w:p>
    <w:p w:rsidRPr="00F44833" w:rsidR="00BD2909" w:rsidP="0283C5EB" w:rsidRDefault="00BD2909" w14:paraId="0E5857AD" w14:textId="47B6E2D3">
      <w:pPr>
        <w:pStyle w:val="paragraph"/>
        <w:spacing w:before="0" w:beforeAutospacing="off" w:after="0" w:afterAutospacing="off" w:line="360" w:lineRule="auto"/>
        <w:ind/>
        <w:textAlignment w:val="baseline"/>
        <w:rPr>
          <w:rStyle w:val="eop"/>
          <w:rFonts w:ascii="Aptos" w:hAnsi="Aptos" w:eastAsia="Calibri Light" w:cs="Arial"/>
          <w:sz w:val="22"/>
          <w:szCs w:val="22"/>
        </w:rPr>
      </w:pPr>
    </w:p>
    <w:p w:rsidRPr="00F44833" w:rsidR="00BD2909" w:rsidP="0283C5EB" w:rsidRDefault="00BD2909" w14:paraId="302C6B72" w14:textId="400EED09">
      <w:pPr>
        <w:pStyle w:val="paragraph"/>
        <w:spacing w:before="0" w:beforeAutospacing="off" w:after="0" w:afterAutospacing="off" w:line="360" w:lineRule="auto"/>
        <w:ind/>
        <w:textAlignment w:val="baseline"/>
        <w:rPr>
          <w:rFonts w:ascii="Aptos" w:hAnsi="Aptos" w:cs="Segoe UI"/>
          <w:sz w:val="16"/>
          <w:szCs w:val="16"/>
        </w:rPr>
      </w:pPr>
      <w:r w:rsidRPr="0283C5EB" w:rsidR="00BD2909">
        <w:rPr>
          <w:rStyle w:val="eop"/>
          <w:rFonts w:ascii="Aptos" w:hAnsi="Aptos" w:eastAsia="Calibri Light" w:cs="Arial"/>
          <w:sz w:val="22"/>
          <w:szCs w:val="22"/>
        </w:rPr>
        <w:t> </w:t>
      </w:r>
    </w:p>
    <w:p w:rsidRPr="00F44833" w:rsidR="00BD2909" w:rsidP="0283C5EB" w:rsidRDefault="00BD2909" w14:paraId="3322C689" w14:textId="2AFB3625">
      <w:pPr>
        <w:pStyle w:val="paragraph"/>
        <w:spacing w:before="0" w:beforeAutospacing="off" w:after="0" w:afterAutospacing="off" w:line="360" w:lineRule="auto"/>
        <w:textAlignment w:val="baseline"/>
        <w:rPr>
          <w:rStyle w:val="eop"/>
          <w:rFonts w:ascii="Arial Nova" w:hAnsi="Arial Nova" w:eastAsia="Arial Nova" w:cs="Arial Nova"/>
          <w:b w:val="1"/>
          <w:bCs w:val="1"/>
          <w:color w:val="000000" w:themeColor="text1" w:themeTint="FF" w:themeShade="FF"/>
        </w:rPr>
      </w:pPr>
      <w:r w:rsidRPr="0283C5EB" w:rsidR="00BD2909">
        <w:rPr>
          <w:rStyle w:val="normaltextrun"/>
          <w:rFonts w:ascii="Arial Nova" w:hAnsi="Arial Nova" w:eastAsia="Arial Nova" w:cs="Arial Nova"/>
          <w:b w:val="1"/>
          <w:bCs w:val="1"/>
          <w:color w:val="000000" w:themeColor="text1" w:themeTint="FF" w:themeShade="FF"/>
        </w:rPr>
        <w:t xml:space="preserve">2.5 National/Local UK Context </w:t>
      </w:r>
    </w:p>
    <w:p w:rsidRPr="00F44833" w:rsidR="00BD2909" w:rsidP="0283C5EB" w:rsidRDefault="00BD2909" w14:paraId="7933BD77" w14:textId="6CB696F0">
      <w:pPr>
        <w:pStyle w:val="paragraph"/>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0BD2909">
        <w:rPr>
          <w:rStyle w:val="eop"/>
          <w:rFonts w:ascii="Aptos" w:hAnsi="Aptos" w:eastAsia="Calibri Light" w:cs="Arial"/>
          <w:sz w:val="22"/>
          <w:szCs w:val="22"/>
        </w:rPr>
        <w:t>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I</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 the UK, rising levels of anxiety among teenage girls have become a significant public health concern. According to NHS Digital (2022), almost one in four girls aged 17–19 now meets the criteria for a probable mental health disorder, a proportion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substantially higher</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than that of boys of the same age. This gendered disparity has widened over the past decade and reflects a combination of academic pressures, social media exposure, body image concerns, and complex family dynamics (Anderson et al., 2024). Increasing media attention and professional reports have placed this issue firmly on the national mental health agenda.</w:t>
      </w:r>
    </w:p>
    <w:p w:rsidRPr="00F44833" w:rsidR="00BD2909" w:rsidP="0283C5EB" w:rsidRDefault="00BD2909" w14:paraId="0D61F5FB" w14:textId="6A334044">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National policy has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attempted</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address these concerns. The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Transforming Children and Young People’s Mental Health Provision</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Green Paper (Department of Health and Social Care, 2017) proposed the introduction of Mental Health Support Teams in schools and a greater emphasis on early intervention. These commitments were strengthened by the NHS Long Term Plan (NHS England, 2019), which pledged to extend access to specialist services and offer earlier support for children and young people. However, despite these policy developments, implementation has been uneven.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(2021) highlights that long waiting times, workforce shortages, and regional inequalities continue to undermine service delivery, meaning that many teenage girls still struggle to access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timely</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mental health support. The Education Policy Institute (2020) similarly reports that while investment has increased, significant geographical variation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remains</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relation to service availability and thresholds for treatment.</w:t>
      </w:r>
    </w:p>
    <w:p w:rsidRPr="00F44833" w:rsidR="00BD2909" w:rsidP="0283C5EB" w:rsidRDefault="00BD2909" w14:paraId="3EF4E737" w14:textId="725DE4B3">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Locally, a range of initiatives has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emerged</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bridge gaps left by national provision. Local authorities in areas such as Greater Manchester have piloted youth mental health hubs offering walk-in support, improved school links, and community-based early intervention (Local Government Association, 2020). Many schools have adopted resilience programmes, mental health literacy lessons, and peer mentoring schemes as a way of responding to rising levels of anxiety. While these initiatives show promise, their effectiveness is often limited by reliance on short-term funding streams and inconsistent implementation across regions.</w:t>
      </w:r>
    </w:p>
    <w:p w:rsidRPr="00F44833" w:rsidR="00BD2909" w:rsidP="0283C5EB" w:rsidRDefault="00BD2909" w14:paraId="4DFC11E6" w14:textId="5B63E9DF">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Charities and non-governmental organisations play a critical role in supplementing statutory services. Organisations such as Mind, Place2Be, and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provide accessible information, campaign for policy reform, and offer community-based support. Their work has contributed to reducing stigma and increasing awareness of adolescent anxiety. However, structural inequalities continue to influence outcomes. The Children’s Commissioner for England (2021) notes that teenage girls from disadvantaged backgrounds or minoritised communities face a higher risk of anxiety but are less likely to access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support</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due to financial, social, and systemic barriers.</w:t>
      </w:r>
    </w:p>
    <w:p w:rsidRPr="00F44833" w:rsidR="00BD2909" w:rsidP="0283C5EB" w:rsidRDefault="00BD2909" w14:paraId="6F30519B" w14:textId="053B5449">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Overall, the national and local UK context reveals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significant progress</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recognising and responding to adolescent anxiety, but also persistent challenges in ensuring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equitable</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timely</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gender-sensitive support. Understanding these dynamics is essential for evaluating current provision and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identifying</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areas where policy and practice require strengthening.</w:t>
      </w:r>
    </w:p>
    <w:p w:rsidRPr="00F44833" w:rsidR="00BD2909" w:rsidP="0283C5EB" w:rsidRDefault="00BD2909" w14:paraId="5827529B" w14:textId="51362ACC">
      <w:pPr>
        <w:pStyle w:val="paragraph"/>
        <w:spacing w:before="0" w:beforeAutospacing="off" w:after="0" w:afterAutospacing="off" w:line="360" w:lineRule="auto"/>
        <w:textAlignment w:val="baseline"/>
        <w:rPr>
          <w:rStyle w:val="eop"/>
          <w:rFonts w:ascii="Aptos" w:hAnsi="Aptos" w:eastAsia="Calibri Light" w:cs="Arial"/>
          <w:sz w:val="22"/>
          <w:szCs w:val="22"/>
        </w:rPr>
      </w:pPr>
      <w:r w:rsidRPr="0283C5EB" w:rsidR="2F6C807E">
        <w:rPr>
          <w:rStyle w:val="eop"/>
          <w:rFonts w:ascii="Aptos" w:hAnsi="Aptos" w:eastAsia="Calibri Light" w:cs="Arial"/>
          <w:sz w:val="22"/>
          <w:szCs w:val="22"/>
        </w:rPr>
        <w:t xml:space="preserve"> </w:t>
      </w:r>
    </w:p>
    <w:p w:rsidRPr="00F44833" w:rsidR="00BD2909" w:rsidP="00F44833" w:rsidRDefault="00BD2909" w14:paraId="09099AFE" w14:textId="77777777">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283C5EB" w:rsidRDefault="00BD2909" w14:paraId="508BC363" w14:textId="3EC95D5E">
      <w:pPr>
        <w:pStyle w:val="paragraph"/>
        <w:spacing w:before="0" w:beforeAutospacing="off" w:after="0" w:afterAutospacing="off" w:line="360" w:lineRule="auto"/>
        <w:textAlignment w:val="baseline"/>
        <w:rPr>
          <w:rStyle w:val="eop"/>
          <w:rFonts w:ascii="Arial Nova" w:hAnsi="Arial Nova" w:eastAsia="Arial Nova" w:cs="Arial Nova"/>
          <w:b w:val="1"/>
          <w:bCs w:val="1"/>
          <w:color w:val="000000" w:themeColor="text1" w:themeTint="FF" w:themeShade="FF"/>
          <w:sz w:val="24"/>
          <w:szCs w:val="24"/>
        </w:rPr>
      </w:pPr>
      <w:r w:rsidRPr="0283C5EB" w:rsidR="00BD2909">
        <w:rPr>
          <w:rStyle w:val="normaltextrun"/>
          <w:rFonts w:ascii="Arial Nova" w:hAnsi="Arial Nova" w:eastAsia="Arial Nova" w:cs="Arial Nova"/>
          <w:b w:val="1"/>
          <w:bCs w:val="1"/>
          <w:color w:val="000000" w:themeColor="text1" w:themeTint="FF" w:themeShade="FF"/>
          <w:sz w:val="24"/>
          <w:szCs w:val="24"/>
        </w:rPr>
        <w:t xml:space="preserve">2.6 Conclusion </w:t>
      </w:r>
    </w:p>
    <w:p w:rsidRPr="00FF56FB" w:rsidR="000D0641" w:rsidP="0283C5EB" w:rsidRDefault="000D0641" w14:paraId="29079ED7" w14:textId="457DBDA7">
      <w:pPr>
        <w:pStyle w:val="paragraph"/>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0BD2909">
        <w:rPr>
          <w:rStyle w:val="eop"/>
          <w:rFonts w:ascii="Aptos" w:hAnsi="Aptos" w:eastAsia="Calibri Light" w:cs="Arial"/>
          <w:sz w:val="22"/>
          <w:szCs w:val="22"/>
        </w:rPr>
        <w:t> </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chapter has provided the background necessary to situate the research on anxiety in teenage girls in the UK. It traced the historical development of adolescent mental health, noting key milestones and influential figures such as Rutter and the establishment of CAMHS. It outlined theoretical perspectives including cognitive-behavioural, developmental, social comparison, ecological, and feminist frameworks, </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demonstrating</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how these approaches contribute to understanding the multifaceted nature of adolescent anxiety. The chapter also positioned the issue within an international context, highlighting global patterns in adolescent mental health and the differing strategies adopted worldwide. Finally, it examined the UK context, including national policies, local initiatives, and ongoing challenges in achieving </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equitable</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gender-sensitive mental health support.</w:t>
      </w:r>
    </w:p>
    <w:p w:rsidRPr="00FF56FB" w:rsidR="000D0641" w:rsidP="0283C5EB" w:rsidRDefault="000D0641" w14:paraId="269803A4" w14:textId="13AD92A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establishing</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foundation, the chapter shows that anxiety among teenage girls is a longstanding and increasingly urgent issue shaped by historical, cultural, theoretical, and policy influences. This contextual grounding is essential for interpreting current trends and understanding the complex pressures affecting young people today (Santrock, 2019). The next chapter will build on this background by outlining the methodological approach used to investigate the research question, ensuring that the study is guided by rigorous and </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research</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practices (Hart, 2018).</w:t>
      </w:r>
    </w:p>
    <w:p w:rsidRPr="00FF56FB" w:rsidR="000D0641" w:rsidP="0283C5EB" w:rsidRDefault="000D0641" w14:paraId="466B0331" w14:textId="6B534F11">
      <w:pPr>
        <w:pStyle w:val="paragraph"/>
        <w:spacing w:before="0" w:beforeAutospacing="off" w:after="0" w:afterAutospacing="off" w:line="360" w:lineRule="auto"/>
        <w:rPr>
          <w:rStyle w:val="eop"/>
          <w:rFonts w:ascii="Aptos" w:hAnsi="Aptos" w:eastAsia="Calibri Light" w:cs="Arial"/>
          <w:sz w:val="22"/>
          <w:szCs w:val="22"/>
        </w:rPr>
      </w:pPr>
      <w:r w:rsidRPr="0283C5EB" w:rsidR="5338E02A">
        <w:rPr>
          <w:rStyle w:val="eop"/>
          <w:rFonts w:ascii="Aptos" w:hAnsi="Aptos" w:eastAsia="Calibri Light" w:cs="Arial"/>
          <w:sz w:val="22"/>
          <w:szCs w:val="22"/>
        </w:rPr>
        <w:t xml:space="preserve"> </w:t>
      </w:r>
    </w:p>
    <w:p w:rsidR="000D0641" w:rsidRDefault="000D0641" w14:paraId="5DDAF423" w14:textId="77777777"/>
    <w:p w:rsidR="00292A36" w:rsidRDefault="00292A36" w14:paraId="0775F236" w14:textId="77777777"/>
    <w:p w:rsidR="00292A36" w:rsidRDefault="00292A36" w14:paraId="360ADA1A" w14:textId="77777777"/>
    <w:p w:rsidR="00880B2D" w:rsidRDefault="00880B2D" w14:paraId="4E2D256A" w14:textId="77777777"/>
    <w:p w:rsidR="00880B2D" w:rsidRDefault="00880B2D" w14:paraId="0A075791" w14:textId="77777777"/>
    <w:p w:rsidR="00880B2D" w:rsidRDefault="00880B2D" w14:paraId="407ABDAE" w14:textId="4F32BB8B">
      <w:pPr>
        <w:sectPr w:rsidR="00880B2D">
          <w:footerReference w:type="default" r:id="rId12"/>
          <w:pgSz w:w="11906" w:h="16838" w:orient="portrait"/>
          <w:pgMar w:top="1440" w:right="1440" w:bottom="1440" w:left="1440" w:header="708" w:footer="708" w:gutter="0"/>
          <w:cols w:space="708"/>
          <w:docGrid w:linePitch="360"/>
        </w:sectPr>
      </w:pPr>
    </w:p>
    <w:p w:rsidR="003A66FD" w:rsidP="4DB6A9DE" w:rsidRDefault="00292A36" w14:paraId="5A7AB555" w14:textId="2916E637">
      <w:pPr>
        <w:pStyle w:val="Heading1"/>
        <w:ind w:left="0"/>
        <w:rPr>
          <w:rFonts w:ascii="Arial Nova" w:hAnsi="Arial Nova" w:eastAsia="Arial Nova" w:cs="Arial Nova"/>
        </w:rPr>
      </w:pPr>
      <w:r w:rsidRPr="4DB6A9DE" w:rsidR="600D029D">
        <w:rPr>
          <w:rFonts w:ascii="Arial Nova" w:hAnsi="Arial Nova" w:eastAsia="Arial Nova" w:cs="Arial Nova"/>
        </w:rPr>
        <w:t>C</w:t>
      </w:r>
      <w:r w:rsidRPr="4DB6A9DE" w:rsidR="00292A36">
        <w:rPr>
          <w:rFonts w:ascii="Arial Nova" w:hAnsi="Arial Nova" w:eastAsia="Arial Nova" w:cs="Arial Nova"/>
        </w:rPr>
        <w:t>HAPTER</w:t>
      </w:r>
      <w:r w:rsidRPr="4DB6A9DE" w:rsidR="00292A36">
        <w:rPr>
          <w:rFonts w:ascii="Arial Nova" w:hAnsi="Arial Nova" w:eastAsia="Arial Nova" w:cs="Arial Nova"/>
        </w:rPr>
        <w:t xml:space="preserve"> 3 – </w:t>
      </w:r>
      <w:r w:rsidRPr="4DB6A9DE" w:rsidR="00E325CF">
        <w:rPr>
          <w:rFonts w:ascii="Arial Nova" w:hAnsi="Arial Nova" w:eastAsia="Arial Nova" w:cs="Arial Nova"/>
        </w:rPr>
        <w:t xml:space="preserve">Methods and Search Strategy </w:t>
      </w:r>
    </w:p>
    <w:p w:rsidR="4DB6A9DE" w:rsidP="4DB6A9DE" w:rsidRDefault="4DB6A9DE" w14:paraId="44BC4172" w14:textId="7A458B49">
      <w:pPr>
        <w:pStyle w:val="Heading1"/>
        <w:ind w:left="0"/>
        <w:rPr>
          <w:rFonts w:ascii="Arial Nova" w:hAnsi="Arial Nova" w:eastAsia="Arial Nova" w:cs="Arial Nova"/>
        </w:rPr>
      </w:pPr>
    </w:p>
    <w:p w:rsidR="1AB9EB51" w:rsidP="4DB6A9DE" w:rsidRDefault="1AB9EB51" w14:paraId="67690AAB" w14:textId="184BF182">
      <w:pPr>
        <w:pStyle w:val="Heading1"/>
        <w:ind w:left="0"/>
        <w:rPr>
          <w:sz w:val="24"/>
          <w:szCs w:val="24"/>
        </w:rPr>
      </w:pPr>
      <w:r w:rsidRPr="4DB6A9DE" w:rsidR="1AB9EB51">
        <w:rPr>
          <w:sz w:val="24"/>
          <w:szCs w:val="24"/>
        </w:rPr>
        <w:t>3.1 Introduction</w:t>
      </w:r>
    </w:p>
    <w:p w:rsidR="51C14AA2" w:rsidP="4DB6A9DE" w:rsidRDefault="51C14AA2" w14:paraId="4134FFA3" w14:textId="1B3BE43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1C14AA2">
        <w:rPr>
          <w:rFonts w:ascii="Arial Nova" w:hAnsi="Arial Nova" w:eastAsia="Arial Nova" w:cs="Arial Nova"/>
          <w:b w:val="0"/>
          <w:bCs w:val="0"/>
          <w:i w:val="0"/>
          <w:iCs w:val="0"/>
          <w:caps w:val="0"/>
          <w:smallCaps w:val="0"/>
          <w:noProof w:val="0"/>
          <w:color w:val="000000" w:themeColor="text1" w:themeTint="FF" w:themeShade="FF"/>
          <w:sz w:val="22"/>
          <w:szCs w:val="22"/>
          <w:lang w:val="en-GB"/>
        </w:rPr>
        <w:t>This chapter outlines the methodological framework used to investigate the key contributors to anxiety among teenage girls in the United Kingdom. The research adopts a desk-based, secondary approach, drawing upon existing academic studies, policy reports, and credible statistical data rather than primary fieldwork. This design allows for a critical synthesis of current evidence to identify consistent patterns and research gaps (Aveyard, 2019).</w:t>
      </w:r>
    </w:p>
    <w:p w:rsidR="51C14AA2" w:rsidP="4DB6A9DE" w:rsidRDefault="51C14AA2" w14:paraId="15D49195" w14:textId="630E177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1C14AA2">
        <w:rPr>
          <w:rFonts w:ascii="Arial Nova" w:hAnsi="Arial Nova" w:eastAsia="Arial Nova" w:cs="Arial Nova"/>
          <w:b w:val="0"/>
          <w:bCs w:val="0"/>
          <w:i w:val="0"/>
          <w:iCs w:val="0"/>
          <w:caps w:val="0"/>
          <w:smallCaps w:val="0"/>
          <w:noProof w:val="0"/>
          <w:color w:val="000000" w:themeColor="text1" w:themeTint="FF" w:themeShade="FF"/>
          <w:sz w:val="22"/>
          <w:szCs w:val="22"/>
          <w:lang w:val="en-GB"/>
        </w:rPr>
        <w:t>A literature-based methodology is appropriate for this topic as it enables exploration of the psychological, social, and educational dimensions of anxiety within ethical and time constraints (Bryman, 2016). The academic poster previously produced provided a visual overview of this strategy, and this chapter expands upon that summary. The selected research methods underpin the analysis presented in Chapter 4, where findings are synthesised thematically to address the study’s central research question.</w:t>
      </w:r>
    </w:p>
    <w:p w:rsidR="51C14AA2" w:rsidP="4DB6A9DE" w:rsidRDefault="51C14AA2" w14:paraId="3D4A6146" w14:textId="03409250">
      <w:pPr>
        <w:pStyle w:val="Heading1"/>
        <w:ind w:left="0"/>
      </w:pPr>
      <w:r w:rsidR="51C14AA2">
        <w:rPr/>
        <w:t xml:space="preserve"> </w:t>
      </w:r>
    </w:p>
    <w:p w:rsidR="4DB6A9DE" w:rsidP="4DB6A9DE" w:rsidRDefault="4DB6A9DE" w14:paraId="47E4FEA8" w14:textId="67CC01AF">
      <w:pPr>
        <w:pStyle w:val="Heading1"/>
        <w:ind w:left="0"/>
      </w:pPr>
    </w:p>
    <w:p w:rsidR="009E5B14" w:rsidP="009E5B14" w:rsidRDefault="00292A36" w14:paraId="644CE1D2" w14:textId="2E805C05">
      <w:pPr>
        <w:pStyle w:val="Heading2"/>
      </w:pPr>
      <w:r w:rsidRPr="4DB6A9DE" w:rsidR="00292A36">
        <w:rPr>
          <w:rFonts w:ascii="Arial Nova" w:hAnsi="Arial Nova" w:eastAsia="Arial Nova" w:cs="Arial Nova"/>
          <w:b w:val="1"/>
          <w:bCs w:val="1"/>
          <w:color w:val="000000" w:themeColor="text1" w:themeTint="FF" w:themeShade="FF"/>
        </w:rPr>
        <w:t>3.</w:t>
      </w:r>
      <w:r w:rsidRPr="4DB6A9DE" w:rsidR="00E40B0D">
        <w:rPr>
          <w:rFonts w:ascii="Arial Nova" w:hAnsi="Arial Nova" w:eastAsia="Arial Nova" w:cs="Arial Nova"/>
          <w:b w:val="1"/>
          <w:bCs w:val="1"/>
          <w:color w:val="000000" w:themeColor="text1" w:themeTint="FF" w:themeShade="FF"/>
        </w:rPr>
        <w:t>2</w:t>
      </w:r>
      <w:r w:rsidRPr="4DB6A9DE" w:rsidR="00292A36">
        <w:rPr>
          <w:rFonts w:ascii="Arial Nova" w:hAnsi="Arial Nova" w:eastAsia="Arial Nova" w:cs="Arial Nova"/>
          <w:b w:val="1"/>
          <w:bCs w:val="1"/>
          <w:color w:val="000000" w:themeColor="text1" w:themeTint="FF" w:themeShade="FF"/>
        </w:rPr>
        <w:t xml:space="preserve"> – Search Strategy</w:t>
      </w:r>
      <w:r w:rsidR="00292A36">
        <w:rPr/>
        <w:t xml:space="preserve"> </w:t>
      </w:r>
    </w:p>
    <w:p w:rsidR="31CA6A34" w:rsidP="4DB6A9DE" w:rsidRDefault="31CA6A34" w14:paraId="0B1ED168" w14:textId="6E68A744">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The research followed a structured and transparent search strategy designed to locate relevant, recent, and credible sources. Keywords were derived from the research question and refined through pilot searches. Core terms included “teenage girls”, “anxiety”, “mental health”, “United Kingdom”, “social media”, and “academic stress”. Synonyms such as “adolescent wellbeing” and “school pressure” were incorporated to expand the search field.</w:t>
      </w:r>
    </w:p>
    <w:p w:rsidR="31CA6A34" w:rsidP="4DB6A9DE" w:rsidRDefault="31CA6A34" w14:paraId="55735113" w14:textId="09CFBA4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To refine results, Boolean operators (AND, OR, NOT) were applied to combine or exclude specific terms (Ridley, 2012). For instance, “teenage girls AND anxiety AND UK” retrieved focused UK-based studies, while “adolescent OR teenager” broadened the search to ensure inclusivity.</w:t>
      </w:r>
    </w:p>
    <w:p w:rsidR="31CA6A34" w:rsidP="4DB6A9DE" w:rsidRDefault="31CA6A34" w14:paraId="3F71AC9F" w14:textId="6A7C261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A systematic search plan was developed to record all search terms, combinations, and database results. This process enhanced replicability and ensured transparency in how evidence was gathered and selected (Hart, 2018).</w:t>
      </w:r>
    </w:p>
    <w:p w:rsidR="00B7073C" w:rsidP="4DB6A9DE" w:rsidRDefault="00B7073C" w14:paraId="12F912EC" w14:textId="6E4316DD">
      <w:pPr>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rsidRPr="4DB6A9DE" w:rsidR="4342023F">
        <w:rPr>
          <w:rFonts w:ascii="Arial Nova" w:hAnsi="Arial Nova" w:eastAsia="Arial Nova" w:cs="Arial Nova"/>
          <w:b w:val="1"/>
          <w:bCs w:val="1"/>
          <w:i w:val="0"/>
          <w:iCs w:val="0"/>
          <w:caps w:val="0"/>
          <w:smallCaps w:val="0"/>
          <w:noProof w:val="0"/>
          <w:color w:val="000000" w:themeColor="text1" w:themeTint="FF" w:themeShade="FF"/>
          <w:sz w:val="24"/>
          <w:szCs w:val="24"/>
          <w:lang w:val="en-GB"/>
        </w:rPr>
        <w:t>3.3 Searching for Information</w:t>
      </w:r>
    </w:p>
    <w:p w:rsidR="4342023F" w:rsidP="4DB6A9DE" w:rsidRDefault="4342023F" w14:paraId="06843FEA" w14:textId="3A2FCCF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342023F">
        <w:rPr>
          <w:rFonts w:ascii="Arial Nova" w:hAnsi="Arial Nova" w:eastAsia="Arial Nova" w:cs="Arial Nova"/>
          <w:b w:val="0"/>
          <w:bCs w:val="0"/>
          <w:i w:val="0"/>
          <w:iCs w:val="0"/>
          <w:caps w:val="0"/>
          <w:smallCaps w:val="0"/>
          <w:noProof w:val="0"/>
          <w:color w:val="000000" w:themeColor="text1" w:themeTint="FF" w:themeShade="FF"/>
          <w:sz w:val="22"/>
          <w:szCs w:val="22"/>
          <w:lang w:val="en-GB"/>
        </w:rPr>
        <w:t>A range of credible databases was accessed through the UWTSD Library, including ScienceDirect, Taylor &amp; Francis Online, PubMed, and Google Scholar. These platforms were selected for their academic reliability and coverage of psychology, education, and health disciplines. Google Scholar was used to locate supplementary materials such as grey literature and official UK reports, including NHS Digital (2022) and YoungMinds (2021).</w:t>
      </w:r>
    </w:p>
    <w:p w:rsidR="4342023F" w:rsidP="4DB6A9DE" w:rsidRDefault="4342023F" w14:paraId="624D7C95" w14:textId="5D2E706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342023F">
        <w:rPr>
          <w:rFonts w:ascii="Arial Nova" w:hAnsi="Arial Nova" w:eastAsia="Arial Nova" w:cs="Arial Nova"/>
          <w:b w:val="0"/>
          <w:bCs w:val="0"/>
          <w:i w:val="0"/>
          <w:iCs w:val="0"/>
          <w:caps w:val="0"/>
          <w:smallCaps w:val="0"/>
          <w:noProof w:val="0"/>
          <w:color w:val="000000" w:themeColor="text1" w:themeTint="FF" w:themeShade="FF"/>
          <w:sz w:val="22"/>
          <w:szCs w:val="22"/>
          <w:lang w:val="en-GB"/>
        </w:rPr>
        <w:t>Filters were applied to restrict results to peer-reviewed sources published between 2015 and 2025, ensuring that evidence remained current and relevant to contemporary UK adolescents. The decision to prioritise UK-based studies enhanced contextual validity, as national education systems, media use, and cultural factors influence mental health outcomes (Department for Education, 2023).</w:t>
      </w:r>
    </w:p>
    <w:p w:rsidR="4342023F" w:rsidP="4DB6A9DE" w:rsidRDefault="4342023F" w14:paraId="1D1653B7" w14:textId="221C238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342023F">
        <w:rPr>
          <w:rFonts w:ascii="Arial Nova" w:hAnsi="Arial Nova" w:eastAsia="Arial Nova" w:cs="Arial Nova"/>
          <w:b w:val="0"/>
          <w:bCs w:val="0"/>
          <w:i w:val="0"/>
          <w:iCs w:val="0"/>
          <w:caps w:val="0"/>
          <w:smallCaps w:val="0"/>
          <w:noProof w:val="0"/>
          <w:color w:val="000000" w:themeColor="text1" w:themeTint="FF" w:themeShade="FF"/>
          <w:sz w:val="22"/>
          <w:szCs w:val="22"/>
          <w:lang w:val="en-GB"/>
        </w:rPr>
        <w:t>The search process was iterative and reflexive. Early searches produced broad results, prompting refinements using terms such as “social media use and anxiety in adolescent girls” and “academic stress in UK secondary schools”. These adjustments reflected an evolving understanding of the literature (Punch and Oancea, 2014).</w:t>
      </w:r>
    </w:p>
    <w:p w:rsidR="4342023F" w:rsidP="4DB6A9DE" w:rsidRDefault="4342023F" w14:paraId="02CA722C" w14:textId="60E35D1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342023F">
        <w:rPr>
          <w:rFonts w:ascii="Arial Nova" w:hAnsi="Arial Nova" w:eastAsia="Arial Nova" w:cs="Arial Nova"/>
          <w:b w:val="0"/>
          <w:bCs w:val="0"/>
          <w:i w:val="0"/>
          <w:iCs w:val="0"/>
          <w:caps w:val="0"/>
          <w:smallCaps w:val="0"/>
          <w:noProof w:val="0"/>
          <w:color w:val="000000" w:themeColor="text1" w:themeTint="FF" w:themeShade="FF"/>
          <w:sz w:val="22"/>
          <w:szCs w:val="22"/>
          <w:lang w:val="en-GB"/>
        </w:rPr>
        <w:t>A source-tracking table (see Appendix A) was maintained to record each source’s bibliographic details, key findings, and critical relevance. This method supported systematic organisation and transparency throughout the research process.</w:t>
      </w:r>
    </w:p>
    <w:p w:rsidR="4DB6A9DE" w:rsidP="4DB6A9DE" w:rsidRDefault="4DB6A9DE" w14:paraId="11C73CFA" w14:textId="5FA36EA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B6A9DE" w:rsidP="4DB6A9DE" w:rsidRDefault="4DB6A9DE" w14:paraId="3FCFF2F7" w14:textId="512FD699">
      <w:pPr>
        <w:pStyle w:val="Normal"/>
        <w:rPr>
          <w:rFonts w:ascii="Arial Nova" w:hAnsi="Arial Nova" w:eastAsia="Arial Nova" w:cs="Arial Nova"/>
        </w:rPr>
      </w:pPr>
    </w:p>
    <w:p w:rsidRPr="00F84C23" w:rsidR="00B575E2" w:rsidP="00B575E2" w:rsidRDefault="00B575E2" w14:paraId="6F09D47B" w14:textId="77777777">
      <w:pPr>
        <w:ind w:left="720"/>
      </w:pPr>
    </w:p>
    <w:p w:rsidR="0021364B" w:rsidP="4DB6A9DE" w:rsidRDefault="00292A36" w14:paraId="01A5598C" w14:textId="7D586AAE">
      <w:pPr>
        <w:pStyle w:val="Heading2"/>
        <w:ind w:left="0"/>
        <w:jc w:val="left"/>
      </w:pPr>
      <w:r w:rsidR="00292A36">
        <w:rPr/>
        <w:t xml:space="preserve"> </w:t>
      </w:r>
      <w:r w:rsidRPr="4DB6A9DE" w:rsidR="729DC8EA">
        <w:rPr>
          <w:rFonts w:ascii="Arial Nova" w:hAnsi="Arial Nova" w:eastAsia="Arial Nova" w:cs="Arial Nova"/>
          <w:b w:val="1"/>
          <w:bCs w:val="1"/>
          <w:color w:val="000000" w:themeColor="text1" w:themeTint="FF" w:themeShade="FF"/>
        </w:rPr>
        <w:t>3.4 Research</w:t>
      </w:r>
      <w:r w:rsidRPr="4DB6A9DE" w:rsidR="00292A36">
        <w:rPr>
          <w:b w:val="1"/>
          <w:bCs w:val="1"/>
          <w:color w:val="000000" w:themeColor="text1" w:themeTint="FF" w:themeShade="FF"/>
        </w:rPr>
        <w:t xml:space="preserve"> Validation </w:t>
      </w:r>
      <w:r w:rsidRPr="4DB6A9DE" w:rsidR="00292A36">
        <w:rPr>
          <w:b w:val="1"/>
          <w:bCs w:val="1"/>
          <w:color w:val="000000" w:themeColor="text1" w:themeTint="FF" w:themeShade="FF"/>
        </w:rPr>
        <w:t xml:space="preserve">– Analysing Research </w:t>
      </w:r>
    </w:p>
    <w:p w:rsidR="5CE2312F" w:rsidP="4DB6A9DE" w:rsidRDefault="5CE2312F" w14:paraId="6C742F5F" w14:textId="54CE721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Ensuring the credibility and accuracy of secondary data was essential. Each article was first skimmed and screened through titles, abstracts, and conclusions to assess relevance before full-text analysis. The CRAAP test (Currency, Relevance, Authority, Accuracy, and Purpose) was then applied to evaluate quality (</w:t>
      </w:r>
      <w:r w:rsidRPr="4DB6A9DE"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Esparrago</w:t>
      </w:r>
      <w:r w:rsidRPr="4DB6A9DE"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-Kalidas, 2021).</w:t>
      </w:r>
    </w:p>
    <w:p w:rsidR="5CE2312F" w:rsidP="4DB6A9DE" w:rsidRDefault="5CE2312F" w14:paraId="6CECE60C" w14:textId="7A8DEEA8">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Recent, peer-reviewed, and UK-relevant studies were prioritised for inclusion. For instance, Kelly et al. (2018) and Fassi, Orben and Przybylski (2025) provided robust evidence linking social media exposure to increased anxiety levels. Foundational sources such as Aveyard (2019) and Ridley (2012) were used to support methodological rigour rather than empirical data.</w:t>
      </w:r>
    </w:p>
    <w:p w:rsidR="5CE2312F" w:rsidP="4DB6A9DE" w:rsidRDefault="5CE2312F" w14:paraId="6F6B4761" w14:textId="541AFE0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Critically, this validation process acknowledged that even credible studies </w:t>
      </w:r>
      <w:r w:rsidRPr="4DB6A9DE"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possess</w:t>
      </w:r>
      <w:r w:rsidRPr="4DB6A9DE"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limitations, such as self-reported data or sampling biases. For example, Kelly et al. (2018) </w:t>
      </w:r>
      <w:r w:rsidRPr="4DB6A9DE"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established</w:t>
      </w:r>
      <w:r w:rsidRPr="4DB6A9DE"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associations between screen time and anxiety but noted that causality could not be conclusively proven. Acknowledging such constraints ensured balanced interpretation and critical engagement with the literature (Creswell and Creswell, 2018).</w:t>
      </w:r>
    </w:p>
    <w:p w:rsidR="4E7235CB" w:rsidP="4DB6A9DE" w:rsidRDefault="4E7235CB" w14:paraId="11385E39" w14:textId="0B83C389">
      <w:pPr>
        <w:pStyle w:val="Heading2"/>
        <w:keepNext w:val="1"/>
        <w:keepLines w:val="1"/>
        <w:spacing w:before="299" w:beforeAutospacing="off" w:after="299" w:afterAutospacing="off" w:line="360" w:lineRule="auto"/>
        <w:rPr>
          <w:rFonts w:ascii="Arial Nova" w:hAnsi="Arial Nova" w:eastAsia="Arial Nova" w:cs="Arial Nova"/>
          <w:noProof w:val="0"/>
          <w:sz w:val="24"/>
          <w:szCs w:val="24"/>
          <w:lang w:val="en-GB"/>
        </w:rPr>
      </w:pPr>
      <w:r w:rsidRPr="4DB6A9DE" w:rsidR="4E7235CB">
        <w:rPr>
          <w:rFonts w:ascii="Arial Nova" w:hAnsi="Arial Nova" w:eastAsia="Arial Nova" w:cs="Arial Nova"/>
          <w:b w:val="1"/>
          <w:bCs w:val="1"/>
          <w:i w:val="0"/>
          <w:iCs w:val="0"/>
          <w:caps w:val="0"/>
          <w:smallCaps w:val="0"/>
          <w:noProof w:val="0"/>
          <w:color w:val="000000" w:themeColor="text1" w:themeTint="FF" w:themeShade="FF"/>
          <w:sz w:val="24"/>
          <w:szCs w:val="24"/>
          <w:lang w:val="en-GB"/>
        </w:rPr>
        <w:t>3.5 Inclusion and Exclusion Criteria</w:t>
      </w:r>
    </w:p>
    <w:p w:rsidR="4E7235CB" w:rsidP="4DB6A9DE" w:rsidRDefault="4E7235CB" w14:paraId="375E7C2B" w14:textId="734FEF6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4DB6A9DE"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nclusion and exclusion criteria were developed to ensure academic focus and consistency.</w:t>
      </w:r>
    </w:p>
    <w:p w:rsidR="4E7235CB" w:rsidP="4DB6A9DE" w:rsidRDefault="4E7235CB" w14:paraId="2A88AE2E" w14:textId="5664110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Inclusion criteria:</w:t>
      </w:r>
    </w:p>
    <w:p w:rsidR="4E7235CB" w:rsidP="4DB6A9DE" w:rsidRDefault="4E7235CB" w14:paraId="5B8E2DF5" w14:textId="7A8F082F">
      <w:pPr>
        <w:pStyle w:val="ListParagraph"/>
        <w:numPr>
          <w:ilvl w:val="0"/>
          <w:numId w:val="145"/>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Peer-reviewed journal articles or official reports published between 2015 and 2025.</w:t>
      </w:r>
    </w:p>
    <w:p w:rsidR="4E7235CB" w:rsidP="4DB6A9DE" w:rsidRDefault="4E7235CB" w14:paraId="6DB587EB" w14:textId="7769F499">
      <w:pPr>
        <w:pStyle w:val="ListParagraph"/>
        <w:numPr>
          <w:ilvl w:val="0"/>
          <w:numId w:val="145"/>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Studies concerning female adolescents aged 13–19.</w:t>
      </w:r>
    </w:p>
    <w:p w:rsidR="4E7235CB" w:rsidP="4DB6A9DE" w:rsidRDefault="4E7235CB" w14:paraId="333F8117" w14:textId="68D136DF">
      <w:pPr>
        <w:pStyle w:val="ListParagraph"/>
        <w:numPr>
          <w:ilvl w:val="0"/>
          <w:numId w:val="145"/>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Research addressing psychological, social, or educational factors contributing to anxiety.</w:t>
      </w:r>
    </w:p>
    <w:p w:rsidR="4E7235CB" w:rsidP="4DB6A9DE" w:rsidRDefault="4E7235CB" w14:paraId="60F05A41" w14:textId="7072CD4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Exclusion criteria:</w:t>
      </w:r>
    </w:p>
    <w:p w:rsidR="4E7235CB" w:rsidP="4DB6A9DE" w:rsidRDefault="4E7235CB" w14:paraId="3BF47C5A" w14:textId="7B5E5AAB">
      <w:pPr>
        <w:pStyle w:val="ListParagraph"/>
        <w:numPr>
          <w:ilvl w:val="0"/>
          <w:numId w:val="146"/>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Non-English publications, non-peer-reviewed content, or studies older than ten years (unless methodologically significant).</w:t>
      </w:r>
    </w:p>
    <w:p w:rsidR="4E7235CB" w:rsidP="4DB6A9DE" w:rsidRDefault="4E7235CB" w14:paraId="3E9C29D3" w14:textId="3C8352EE">
      <w:pPr>
        <w:pStyle w:val="ListParagraph"/>
        <w:numPr>
          <w:ilvl w:val="0"/>
          <w:numId w:val="146"/>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Research centred on adult or non-UK populations.</w:t>
      </w:r>
    </w:p>
    <w:p w:rsidR="4E7235CB" w:rsidP="4DB6A9DE" w:rsidRDefault="4E7235CB" w14:paraId="1BED2566" w14:textId="15A3E684">
      <w:pPr>
        <w:pStyle w:val="ListParagraph"/>
        <w:numPr>
          <w:ilvl w:val="0"/>
          <w:numId w:val="146"/>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Opinion pieces or sources lacking author credibility or full-text access.</w:t>
      </w:r>
    </w:p>
    <w:p w:rsidR="4E7235CB" w:rsidP="4DB6A9DE" w:rsidRDefault="4E7235CB" w14:paraId="2AA7B1D2" w14:textId="0ECBE26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These parameters strengthened reliability by filtering out irrelevant or outdated data (Aveyard, 2019). However, they may have limited international comparison, potentially excluding broader cultural insights. This trade-off prioritised depth and contextual accuracy over global generalisation (Hart, 2018).</w:t>
      </w:r>
    </w:p>
    <w:p w:rsidR="4DB6A9DE" w:rsidP="4DB6A9DE" w:rsidRDefault="4DB6A9DE" w14:paraId="45B1CC9F" w14:textId="39E1357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E7235CB" w:rsidP="4DB6A9DE" w:rsidRDefault="4E7235CB" w14:paraId="3620FC3B" w14:textId="2E5741F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4E7235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5CE2312F" w:rsidP="4DB6A9DE" w:rsidRDefault="5CE2312F" w14:paraId="39757CD3" w14:textId="48FBFCA3">
      <w:pPr>
        <w:pStyle w:val="Normal"/>
        <w:rPr>
          <w:rFonts w:ascii="Arial Nova" w:hAnsi="Arial Nova" w:eastAsia="Arial Nova" w:cs="Arial Nova"/>
        </w:rPr>
      </w:pPr>
      <w:r w:rsidRPr="4DB6A9DE" w:rsidR="5CE2312F">
        <w:rPr>
          <w:rFonts w:ascii="Arial Nova" w:hAnsi="Arial Nova" w:eastAsia="Arial Nova" w:cs="Arial Nova"/>
        </w:rPr>
        <w:t xml:space="preserve"> </w:t>
      </w:r>
    </w:p>
    <w:p w:rsidR="00B01396" w:rsidP="4DB6A9DE" w:rsidRDefault="00B01396" w14:paraId="2527B73C" w14:textId="77777777">
      <w:pPr>
        <w:rPr>
          <w:rFonts w:ascii="Arial Nova" w:hAnsi="Arial Nova" w:eastAsia="Arial Nova" w:cs="Arial Nova"/>
        </w:rPr>
      </w:pPr>
    </w:p>
    <w:p w:rsidRPr="00C17A49" w:rsidR="00C17A49" w:rsidP="4DB6A9DE" w:rsidRDefault="00C17A49" w14:paraId="210D014B" w14:textId="75AE9D77">
      <w:pPr>
        <w:rPr>
          <w:rFonts w:ascii="Arial Nova" w:hAnsi="Arial Nova" w:eastAsia="Arial Nova" w:cs="Arial Nova"/>
          <w:b w:val="1"/>
          <w:bCs w:val="1"/>
        </w:rPr>
      </w:pPr>
      <w:r w:rsidRPr="4DB6A9DE" w:rsidR="00C17A49">
        <w:rPr>
          <w:rFonts w:ascii="Arial Nova" w:hAnsi="Arial Nova" w:eastAsia="Arial Nova" w:cs="Arial Nova"/>
        </w:rPr>
        <w:t xml:space="preserve"> </w:t>
      </w:r>
      <w:r w:rsidRPr="4DB6A9DE" w:rsidR="00C17A49">
        <w:rPr>
          <w:rFonts w:ascii="Arial Nova" w:hAnsi="Arial Nova" w:eastAsia="Arial Nova" w:cs="Arial Nova"/>
          <w:b w:val="1"/>
          <w:bCs w:val="1"/>
        </w:rPr>
        <w:t>Thematic Coding Approach:</w:t>
      </w:r>
    </w:p>
    <w:p w:rsidRPr="00C17A49" w:rsidR="00C17A49" w:rsidP="4DB6A9DE" w:rsidRDefault="00C17A49" w14:paraId="0AF767CD" w14:textId="77777777">
      <w:pPr>
        <w:numPr>
          <w:ilvl w:val="0"/>
          <w:numId w:val="123"/>
        </w:numPr>
        <w:rPr>
          <w:rFonts w:ascii="Arial Nova" w:hAnsi="Arial Nova" w:eastAsia="Arial Nova" w:cs="Arial Nova"/>
        </w:rPr>
      </w:pPr>
      <w:r w:rsidRPr="4DB6A9DE" w:rsidR="00C17A49">
        <w:rPr>
          <w:rFonts w:ascii="Arial Nova" w:hAnsi="Arial Nova" w:eastAsia="Arial Nova" w:cs="Arial Nova"/>
        </w:rPr>
        <w:t xml:space="preserve">Use a thematic coding method to analyse the sources you selected. Start by reviewing your articles in detail and </w:t>
      </w:r>
      <w:r w:rsidRPr="4DB6A9DE" w:rsidR="00C17A49">
        <w:rPr>
          <w:rFonts w:ascii="Arial Nova" w:hAnsi="Arial Nova" w:eastAsia="Arial Nova" w:cs="Arial Nova"/>
        </w:rPr>
        <w:t>identifying</w:t>
      </w:r>
      <w:r w:rsidRPr="4DB6A9DE" w:rsidR="00C17A49">
        <w:rPr>
          <w:rFonts w:ascii="Arial Nova" w:hAnsi="Arial Nova" w:eastAsia="Arial Nova" w:cs="Arial Nova"/>
        </w:rPr>
        <w:t xml:space="preserve"> repeated ideas, issues, or keywords. Create initial codes based on this content.</w:t>
      </w:r>
    </w:p>
    <w:p w:rsidRPr="00C17A49" w:rsidR="00C17A49" w:rsidP="4DB6A9DE" w:rsidRDefault="00C17A49" w14:paraId="5055D6DF" w14:textId="2F8665BD">
      <w:pPr>
        <w:rPr>
          <w:rFonts w:ascii="Arial Nova" w:hAnsi="Arial Nova" w:eastAsia="Arial Nova" w:cs="Arial Nova"/>
          <w:b w:val="1"/>
          <w:bCs w:val="1"/>
        </w:rPr>
      </w:pPr>
      <w:bookmarkStart w:name="_Int_lh2QILhZ" w:id="1772376627"/>
      <w:r w:rsidRPr="4DB6A9DE" w:rsidR="00C17A49">
        <w:rPr>
          <w:rFonts w:ascii="Arial Nova" w:hAnsi="Arial Nova" w:eastAsia="Arial Nova" w:cs="Arial Nova"/>
        </w:rPr>
        <w:t xml:space="preserve"> </w:t>
      </w:r>
      <w:r w:rsidRPr="4DB6A9DE" w:rsidR="00C17A49">
        <w:rPr>
          <w:rFonts w:ascii="Arial Nova" w:hAnsi="Arial Nova" w:eastAsia="Arial Nova" w:cs="Arial Nova"/>
          <w:b w:val="1"/>
          <w:bCs w:val="1"/>
        </w:rPr>
        <w:t>Developing</w:t>
      </w:r>
      <w:bookmarkEnd w:id="1772376627"/>
      <w:r w:rsidRPr="4DB6A9DE" w:rsidR="00C17A49">
        <w:rPr>
          <w:rFonts w:ascii="Arial Nova" w:hAnsi="Arial Nova" w:eastAsia="Arial Nova" w:cs="Arial Nova"/>
          <w:b w:val="1"/>
          <w:bCs w:val="1"/>
        </w:rPr>
        <w:t xml:space="preserve"> Themes:</w:t>
      </w:r>
    </w:p>
    <w:p w:rsidRPr="00C17A49" w:rsidR="00C17A49" w:rsidP="4DB6A9DE" w:rsidRDefault="00C17A49" w14:paraId="08211A15" w14:textId="266653BE">
      <w:pPr>
        <w:numPr>
          <w:ilvl w:val="0"/>
          <w:numId w:val="122"/>
        </w:numPr>
        <w:rPr>
          <w:rFonts w:ascii="Arial Nova" w:hAnsi="Arial Nova" w:eastAsia="Arial Nova" w:cs="Arial Nova"/>
        </w:rPr>
      </w:pPr>
      <w:r w:rsidRPr="4DB6A9DE" w:rsidR="00C17A49">
        <w:rPr>
          <w:rFonts w:ascii="Arial Nova" w:hAnsi="Arial Nova" w:eastAsia="Arial Nova" w:cs="Arial Nova"/>
        </w:rPr>
        <w:t xml:space="preserve">Group similar codes together into broader themes that align with your research question and </w:t>
      </w:r>
      <w:r w:rsidRPr="4DB6A9DE" w:rsidR="00C17A49">
        <w:rPr>
          <w:rFonts w:ascii="Arial Nova" w:hAnsi="Arial Nova" w:eastAsia="Arial Nova" w:cs="Arial Nova"/>
        </w:rPr>
        <w:t>objectives</w:t>
      </w:r>
      <w:r w:rsidRPr="4DB6A9DE" w:rsidR="00C17A49">
        <w:rPr>
          <w:rFonts w:ascii="Arial Nova" w:hAnsi="Arial Nova" w:eastAsia="Arial Nova" w:cs="Arial Nova"/>
        </w:rPr>
        <w:t xml:space="preserve">. </w:t>
      </w:r>
    </w:p>
    <w:p w:rsidRPr="00C17A49" w:rsidR="00C17A49" w:rsidP="4DB6A9DE" w:rsidRDefault="00C17A49" w14:paraId="78F24EC6" w14:textId="2DC480BA">
      <w:pPr>
        <w:rPr>
          <w:rFonts w:ascii="Arial Nova" w:hAnsi="Arial Nova" w:eastAsia="Arial Nova" w:cs="Arial Nova"/>
          <w:b w:val="1"/>
          <w:bCs w:val="1"/>
        </w:rPr>
      </w:pPr>
      <w:r w:rsidRPr="4DB6A9DE" w:rsidR="00C17A49">
        <w:rPr>
          <w:rFonts w:ascii="Arial Nova" w:hAnsi="Arial Nova" w:eastAsia="Arial Nova" w:cs="Arial Nova"/>
        </w:rPr>
        <w:t xml:space="preserve">  </w:t>
      </w:r>
      <w:r w:rsidRPr="4DB6A9DE" w:rsidR="00C17A49">
        <w:rPr>
          <w:rFonts w:ascii="Arial Nova" w:hAnsi="Arial Nova" w:eastAsia="Arial Nova" w:cs="Arial Nova"/>
          <w:b w:val="1"/>
          <w:bCs w:val="1"/>
        </w:rPr>
        <w:t>Organisation:</w:t>
      </w:r>
    </w:p>
    <w:p w:rsidRPr="00C17A49" w:rsidR="00C17A49" w:rsidP="4DB6A9DE" w:rsidRDefault="00B7073C" w14:paraId="02C4F626" w14:textId="3970EB8D">
      <w:pPr>
        <w:numPr>
          <w:ilvl w:val="0"/>
          <w:numId w:val="121"/>
        </w:numPr>
        <w:rPr>
          <w:rFonts w:ascii="Arial Nova" w:hAnsi="Arial Nova" w:eastAsia="Arial Nova" w:cs="Arial Nova"/>
        </w:rPr>
      </w:pPr>
      <w:r w:rsidRPr="4DB6A9DE" w:rsidR="00B7073C">
        <w:rPr>
          <w:rFonts w:ascii="Arial Nova" w:hAnsi="Arial Nova" w:eastAsia="Arial Nova" w:cs="Arial Nova"/>
        </w:rPr>
        <w:t>Include how you have u</w:t>
      </w:r>
      <w:r w:rsidRPr="4DB6A9DE" w:rsidR="00C17A49">
        <w:rPr>
          <w:rFonts w:ascii="Arial Nova" w:hAnsi="Arial Nova" w:eastAsia="Arial Nova" w:cs="Arial Nova"/>
        </w:rPr>
        <w:t>se</w:t>
      </w:r>
      <w:r w:rsidRPr="4DB6A9DE" w:rsidR="00B7073C">
        <w:rPr>
          <w:rFonts w:ascii="Arial Nova" w:hAnsi="Arial Nova" w:eastAsia="Arial Nova" w:cs="Arial Nova"/>
        </w:rPr>
        <w:t>d</w:t>
      </w:r>
      <w:r w:rsidRPr="4DB6A9DE" w:rsidR="00C17A49">
        <w:rPr>
          <w:rFonts w:ascii="Arial Nova" w:hAnsi="Arial Nova" w:eastAsia="Arial Nova" w:cs="Arial Nova"/>
        </w:rPr>
        <w:t xml:space="preserve"> tools like </w:t>
      </w:r>
      <w:r w:rsidRPr="4DB6A9DE" w:rsidR="00C17A49">
        <w:rPr>
          <w:rFonts w:ascii="Arial Nova" w:hAnsi="Arial Nova" w:eastAsia="Arial Nova" w:cs="Arial Nova"/>
          <w:b w:val="0"/>
          <w:bCs w:val="0"/>
        </w:rPr>
        <w:t>tables, colour coding, or spreadsheets</w:t>
      </w:r>
      <w:r w:rsidRPr="4DB6A9DE" w:rsidR="00C17A49">
        <w:rPr>
          <w:rFonts w:ascii="Arial Nova" w:hAnsi="Arial Nova" w:eastAsia="Arial Nova" w:cs="Arial Nova"/>
          <w:b w:val="0"/>
          <w:bCs w:val="0"/>
        </w:rPr>
        <w:t xml:space="preserve"> to manage your analysis. This helps you to clearly track your coding and theme development for use in Chapter 4.</w:t>
      </w:r>
      <w:r w:rsidRPr="4DB6A9DE" w:rsidR="173F6A66">
        <w:rPr>
          <w:rFonts w:ascii="Arial Nova" w:hAnsi="Arial Nova" w:eastAsia="Arial Nova" w:cs="Arial Nova"/>
          <w:b w:val="0"/>
          <w:bCs w:val="0"/>
        </w:rPr>
        <w:t xml:space="preserve"> </w:t>
      </w:r>
    </w:p>
    <w:p w:rsidRPr="00636D9A" w:rsidR="001C3AF6" w:rsidP="4DB6A9DE" w:rsidRDefault="001C3AF6" w14:paraId="630BAC4D" w14:textId="394E8AE7">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173F6A66">
        <w:rPr>
          <w:rFonts w:ascii="Arial Nova" w:hAnsi="Arial Nova" w:eastAsia="Arial Nova" w:cs="Arial Nova"/>
          <w:b w:val="1"/>
          <w:bCs w:val="1"/>
          <w:i w:val="0"/>
          <w:iCs w:val="0"/>
          <w:caps w:val="0"/>
          <w:smallCaps w:val="0"/>
          <w:noProof w:val="0"/>
          <w:color w:val="000000" w:themeColor="text1" w:themeTint="FF" w:themeShade="FF"/>
          <w:sz w:val="24"/>
          <w:szCs w:val="24"/>
          <w:lang w:val="en-GB"/>
        </w:rPr>
        <w:t>3.6 Analysing Research</w:t>
      </w:r>
    </w:p>
    <w:p w:rsidRPr="00636D9A" w:rsidR="001C3AF6" w:rsidP="4DB6A9DE" w:rsidRDefault="001C3AF6" w14:paraId="21C99996" w14:textId="6ABE426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The analysis adopted a thematic coding approach to identify recurring concepts and relationships within the literature. This qualitative technique enabled systematic organisation of evidence and interpretation of patterns across studies (Braun and Clarke, 2019).</w:t>
      </w:r>
    </w:p>
    <w:p w:rsidRPr="00636D9A" w:rsidR="001C3AF6" w:rsidP="4DB6A9DE" w:rsidRDefault="001C3AF6" w14:paraId="6E7CBDC4" w14:textId="4755D69C">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Initial coding highlighted recurring topics such as “social media use”, “academic stress”, “peer influence”, and “pandemic-related anxiety”. These were grouped into broader analytical themes aligned with the research question. The analysis revealed four dominant contributors to anxiety among teenage girls in the UK: (1) social media influence, (2) academic pressure, (3) family and peer expectations, and (4) the lingering effects of COVID-19 (Kelly et al., 2018; Otter et al., 2024; YoungMinds, 2021).</w:t>
      </w:r>
    </w:p>
    <w:p w:rsidRPr="00636D9A" w:rsidR="001C3AF6" w:rsidP="4DB6A9DE" w:rsidRDefault="001C3AF6" w14:paraId="08BBD08F" w14:textId="71E9A4F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spreadsheet matrix and colour-coded system were employed to manage codes and themes. This facilitated critical comparison and transparency when integrating findings. The thematic process also considered contradictions between studies, such as differing conclusions on social media’s psychological impact, thereby demonstrating analytical depth and reflexivity (Bryman, 2016). </w:t>
      </w:r>
    </w:p>
    <w:p w:rsidRPr="00636D9A" w:rsidR="001C3AF6" w:rsidP="4DB6A9DE" w:rsidRDefault="001C3AF6" w14:paraId="68CFA266" w14:textId="6277321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173F6A66">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Summery Table </w:t>
      </w:r>
    </w:p>
    <w:tbl>
      <w:tblPr>
        <w:tblStyle w:val="TableGrid"/>
        <w:bidiVisual w:val="0"/>
        <w:tblW w:w="0" w:type="auto"/>
        <w:tblLook w:val="06A0" w:firstRow="1" w:lastRow="0" w:firstColumn="1" w:lastColumn="0" w:noHBand="1" w:noVBand="1"/>
      </w:tblPr>
      <w:tblGrid>
        <w:gridCol w:w="1065"/>
        <w:gridCol w:w="1189"/>
        <w:gridCol w:w="1200"/>
        <w:gridCol w:w="1262"/>
        <w:gridCol w:w="1050"/>
        <w:gridCol w:w="1170"/>
        <w:gridCol w:w="1065"/>
        <w:gridCol w:w="1140"/>
      </w:tblGrid>
      <w:tr w:rsidR="4DB6A9DE" w:rsidTr="4DB6A9DE" w14:paraId="24870289">
        <w:trPr>
          <w:trHeight w:val="2325"/>
        </w:trPr>
        <w:tc>
          <w:tcPr>
            <w:tcW w:w="1065" w:type="dxa"/>
            <w:tcMar/>
          </w:tcPr>
          <w:p w:rsidR="08FAA52D" w:rsidP="4DB6A9DE" w:rsidRDefault="08FAA52D" w14:paraId="03CB577F" w14:textId="2FDF11C4">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Author and </w:t>
            </w:r>
          </w:p>
          <w:p w:rsidR="08FAA52D" w:rsidP="4DB6A9DE" w:rsidRDefault="08FAA52D" w14:paraId="3CE94A2F" w14:textId="0A69897B">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year</w:t>
            </w:r>
          </w:p>
          <w:p w:rsidR="4DB6A9DE" w:rsidP="4DB6A9DE" w:rsidRDefault="4DB6A9DE" w14:paraId="4F88B8C3" w14:textId="5B1B929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189" w:type="dxa"/>
            <w:tcMar/>
          </w:tcPr>
          <w:p w:rsidR="08FAA52D" w:rsidP="4DB6A9DE" w:rsidRDefault="08FAA52D" w14:paraId="52C86598" w14:textId="03577845">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Article </w:t>
            </w:r>
          </w:p>
          <w:p w:rsidR="08FAA52D" w:rsidP="4DB6A9DE" w:rsidRDefault="08FAA52D" w14:paraId="5EF0E935" w14:textId="10ACB402">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Name</w:t>
            </w:r>
          </w:p>
          <w:p w:rsidR="08FAA52D" w:rsidP="4DB6A9DE" w:rsidRDefault="08FAA52D" w14:paraId="409948F3" w14:textId="02527BF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00" w:type="dxa"/>
            <w:tcMar/>
          </w:tcPr>
          <w:p w:rsidR="08FAA52D" w:rsidP="4DB6A9DE" w:rsidRDefault="08FAA52D" w14:paraId="55F4109E" w14:textId="1BC043EC">
            <w:pPr>
              <w:bidi w:val="0"/>
              <w:rPr>
                <w:rFonts w:ascii="Arial Nova" w:hAnsi="Arial Nova" w:eastAsia="Arial Nova" w:cs="Arial Nova"/>
                <w:noProof w:val="0"/>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Type of study</w:t>
            </w:r>
          </w:p>
          <w:p w:rsidR="08FAA52D" w:rsidP="4DB6A9DE" w:rsidRDefault="08FAA52D" w14:paraId="568E5562" w14:textId="1735E80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08FAA52D" w:rsidP="4DB6A9DE" w:rsidRDefault="08FAA52D" w14:paraId="3B44ABB9" w14:textId="41E91FC1">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Research method</w:t>
            </w:r>
          </w:p>
          <w:p w:rsidR="08FAA52D" w:rsidP="4DB6A9DE" w:rsidRDefault="08FAA52D" w14:paraId="539FFBA9" w14:textId="05F2B0C9">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And sample size</w:t>
            </w:r>
          </w:p>
          <w:p w:rsidR="4DB6A9DE" w:rsidP="4DB6A9DE" w:rsidRDefault="4DB6A9DE" w14:paraId="4F8DAA60" w14:textId="1C23BE49">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050" w:type="dxa"/>
            <w:tcMar/>
          </w:tcPr>
          <w:p w:rsidR="08FAA52D" w:rsidP="4DB6A9DE" w:rsidRDefault="08FAA52D" w14:paraId="64CDECB3" w14:textId="7D682D1E">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Strengths</w:t>
            </w:r>
          </w:p>
          <w:p w:rsidR="08FAA52D" w:rsidP="4DB6A9DE" w:rsidRDefault="08FAA52D" w14:paraId="68A38695" w14:textId="4AD87ED8">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And limitations</w:t>
            </w:r>
          </w:p>
          <w:p w:rsidR="08FAA52D" w:rsidP="4DB6A9DE" w:rsidRDefault="08FAA52D" w14:paraId="4355A9B5" w14:textId="2A333A4D">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08FAA52D" w:rsidP="4DB6A9DE" w:rsidRDefault="08FAA52D" w14:paraId="0C6179D7" w14:textId="07E1EC62">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Main </w:t>
            </w:r>
          </w:p>
          <w:p w:rsidR="08FAA52D" w:rsidP="4DB6A9DE" w:rsidRDefault="08FAA52D" w14:paraId="182ABBCA" w14:textId="33B084BA">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findings</w:t>
            </w:r>
          </w:p>
          <w:p w:rsidR="08FAA52D" w:rsidP="4DB6A9DE" w:rsidRDefault="08FAA52D" w14:paraId="10F15B39" w14:textId="2FD29AE3">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65" w:type="dxa"/>
            <w:tcMar/>
          </w:tcPr>
          <w:p w:rsidR="08FAA52D" w:rsidP="4DB6A9DE" w:rsidRDefault="08FAA52D" w14:paraId="4E15FB99" w14:textId="4FB80BC1">
            <w:pPr>
              <w:bidi w:val="0"/>
              <w:rPr>
                <w:rFonts w:ascii="Arial Nova" w:hAnsi="Arial Nova" w:eastAsia="Arial Nova" w:cs="Arial Nova"/>
                <w:noProof w:val="0"/>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Keywords/codes</w:t>
            </w:r>
          </w:p>
          <w:p w:rsidR="4DB6A9DE" w:rsidP="4DB6A9DE" w:rsidRDefault="4DB6A9DE" w14:paraId="4332A221" w14:textId="74FE920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140" w:type="dxa"/>
            <w:tcMar/>
          </w:tcPr>
          <w:p w:rsidR="08FAA52D" w:rsidP="4DB6A9DE" w:rsidRDefault="08FAA52D" w14:paraId="6071BBCC" w14:textId="49DBCDA0">
            <w:pPr>
              <w:bidi w:val="0"/>
              <w:rPr>
                <w:rFonts w:ascii="Arial Nova" w:hAnsi="Arial Nova" w:eastAsia="Arial Nova" w:cs="Arial Nova"/>
                <w:noProof w:val="0"/>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Notes</w:t>
            </w:r>
          </w:p>
          <w:p w:rsidR="08FAA52D" w:rsidP="4DB6A9DE" w:rsidRDefault="08FAA52D" w14:paraId="7B467951" w14:textId="3AFC92F3">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4DB6A9DE" w:rsidTr="4DB6A9DE" w14:paraId="2634AE2E">
        <w:trPr>
          <w:trHeight w:val="2490"/>
        </w:trPr>
        <w:tc>
          <w:tcPr>
            <w:tcW w:w="1065" w:type="dxa"/>
            <w:tcMar/>
          </w:tcPr>
          <w:p w:rsidR="08FAA52D" w:rsidP="4DB6A9DE" w:rsidRDefault="08FAA52D" w14:paraId="5315ADE2" w14:textId="52B04692">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Kelly </w:t>
            </w: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et al.  </w:t>
            </w: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(2018)</w:t>
            </w:r>
          </w:p>
          <w:p w:rsidR="08FAA52D" w:rsidP="4DB6A9DE" w:rsidRDefault="08FAA52D" w14:paraId="74F56D99" w14:textId="12CFF9DF">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08FAA52D" w:rsidP="4DB6A9DE" w:rsidRDefault="08FAA52D" w14:paraId="5D429D7A" w14:textId="73208157">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Social media use and </w:t>
            </w:r>
            <w:r w:rsidRPr="4DB6A9DE" w:rsidR="5D6E9175">
              <w:rPr>
                <w:rFonts w:ascii="Arial Nova" w:hAnsi="Arial Nova" w:eastAsia="Arial Nova" w:cs="Arial Nova"/>
                <w:b w:val="0"/>
                <w:bCs w:val="0"/>
                <w:i w:val="0"/>
                <w:iCs w:val="0"/>
                <w:caps w:val="0"/>
                <w:smallCaps w:val="0"/>
                <w:noProof w:val="0"/>
                <w:color w:val="000000" w:themeColor="text1" w:themeTint="FF" w:themeShade="FF"/>
                <w:sz w:val="22"/>
                <w:szCs w:val="22"/>
                <w:lang w:val="en-GB"/>
              </w:rPr>
              <w:t>adolescent mental</w:t>
            </w: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 findings from the UK Millennium Cohort Study</w:t>
            </w:r>
          </w:p>
          <w:p w:rsidR="4DB6A9DE" w:rsidP="4DB6A9DE" w:rsidRDefault="4DB6A9DE" w14:paraId="7D85BEE4" w14:textId="755C1163">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08FAA52D" w:rsidP="4DB6A9DE" w:rsidRDefault="08FAA52D" w14:paraId="2887C88A" w14:textId="5D8C752C">
            <w:pPr>
              <w:bidi w:val="0"/>
              <w:rPr>
                <w:rFonts w:ascii="Arial Nova" w:hAnsi="Arial Nova" w:eastAsia="Arial Nova" w:cs="Arial Nova"/>
                <w:noProof w:val="0"/>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Quantitative longitudinal study</w:t>
            </w:r>
          </w:p>
          <w:p w:rsidR="08FAA52D" w:rsidP="4DB6A9DE" w:rsidRDefault="08FAA52D" w14:paraId="543671BA" w14:textId="7C632F2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08FAA52D" w:rsidP="4DB6A9DE" w:rsidRDefault="08FAA52D" w14:paraId="7F0F5AAD" w14:textId="62C3474A">
            <w:pPr>
              <w:pStyle w:val="Normal"/>
              <w:bidi w:val="0"/>
              <w:rPr>
                <w:rFonts w:ascii="Arial Nova" w:hAnsi="Arial Nova" w:eastAsia="Arial Nova" w:cs="Arial Nova"/>
                <w:noProof w:val="0"/>
                <w:sz w:val="22"/>
                <w:szCs w:val="22"/>
                <w:lang w:val="en-GB"/>
              </w:rPr>
            </w:pPr>
            <w:r w:rsidRPr="4DB6A9DE" w:rsidR="08FAA52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Survey of 10,904 UK adolescents </w:t>
            </w:r>
          </w:p>
        </w:tc>
        <w:tc>
          <w:tcPr>
            <w:tcW w:w="1050" w:type="dxa"/>
            <w:tcMar/>
          </w:tcPr>
          <w:p w:rsidR="08FAA52D" w:rsidP="4DB6A9DE" w:rsidRDefault="08FAA52D" w14:paraId="1E7CA4CB" w14:textId="5BAA5FCD">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Large representative sample; self-reported data may introduce bias</w:t>
            </w:r>
          </w:p>
          <w:p w:rsidR="4DB6A9DE" w:rsidP="4DB6A9DE" w:rsidRDefault="4DB6A9DE" w14:paraId="7168D7B4" w14:textId="6849F86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170" w:type="dxa"/>
            <w:tcMar/>
          </w:tcPr>
          <w:p w:rsidR="643DCFC6" w:rsidP="4DB6A9DE" w:rsidRDefault="643DCFC6" w14:paraId="2909B54F" w14:textId="2C018936">
            <w:pPr>
              <w:pStyle w:val="Normal"/>
              <w:bidi w:val="0"/>
              <w:rPr>
                <w:rFonts w:ascii="Arial Nova" w:hAnsi="Arial Nova" w:eastAsia="Arial Nova" w:cs="Arial Nova"/>
                <w:noProof w:val="0"/>
                <w:sz w:val="22"/>
                <w:szCs w:val="22"/>
                <w:lang w:val="en-GB"/>
              </w:rPr>
            </w:pPr>
            <w:r w:rsidRPr="4DB6A9DE" w:rsidR="643DCFC6">
              <w:rPr>
                <w:rFonts w:ascii="Arial Nova" w:hAnsi="Arial Nova" w:eastAsia="Arial Nova" w:cs="Arial Nova"/>
                <w:noProof w:val="0"/>
                <w:sz w:val="22"/>
                <w:szCs w:val="22"/>
                <w:lang w:val="en-GB"/>
              </w:rPr>
              <w:t xml:space="preserve">High social media use linked to higher anxiety symptoms in girls </w:t>
            </w:r>
          </w:p>
        </w:tc>
        <w:tc>
          <w:tcPr>
            <w:tcW w:w="1065" w:type="dxa"/>
            <w:tcMar/>
          </w:tcPr>
          <w:p w:rsidR="643DCFC6" w:rsidP="4DB6A9DE" w:rsidRDefault="643DCFC6" w14:paraId="3328F701" w14:textId="4FEC64DF">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media, anxiety gender differences</w:t>
            </w:r>
          </w:p>
          <w:p w:rsidR="643DCFC6" w:rsidP="4DB6A9DE" w:rsidRDefault="643DCFC6" w14:paraId="53DCBE17" w14:textId="78C4D6E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643DCFC6" w:rsidP="4DB6A9DE" w:rsidRDefault="643DCFC6" w14:paraId="01AC64DE" w14:textId="757F5428">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Foundatiofor</w:t>
            </w: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Theme 1; strong UK </w:t>
            </w: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relev</w:t>
            </w: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ance</w:t>
            </w:r>
          </w:p>
          <w:p w:rsidR="643DCFC6" w:rsidP="4DB6A9DE" w:rsidRDefault="643DCFC6" w14:paraId="268F47B9" w14:textId="53A2AE5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4DB6A9DE" w:rsidTr="4DB6A9DE" w14:paraId="3DDC537F">
        <w:trPr>
          <w:trHeight w:val="2280"/>
        </w:trPr>
        <w:tc>
          <w:tcPr>
            <w:tcW w:w="1065" w:type="dxa"/>
            <w:tcMar/>
          </w:tcPr>
          <w:p w:rsidR="643DCFC6" w:rsidP="4DB6A9DE" w:rsidRDefault="643DCFC6" w14:paraId="0572B0A9" w14:textId="619F7ADF">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(2021)</w:t>
            </w:r>
          </w:p>
          <w:p w:rsidR="643DCFC6" w:rsidP="4DB6A9DE" w:rsidRDefault="643DCFC6" w14:paraId="5CFBA953" w14:textId="5EF7C7E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643DCFC6" w:rsidP="4DB6A9DE" w:rsidRDefault="643DCFC6" w14:paraId="61BE18CD" w14:textId="3C6F02AA">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The state of children’s mental health services 2021</w:t>
            </w:r>
          </w:p>
          <w:p w:rsidR="4DB6A9DE" w:rsidP="4DB6A9DE" w:rsidRDefault="4DB6A9DE" w14:paraId="3BAEEC84" w14:textId="3A5D514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643DCFC6" w:rsidP="4DB6A9DE" w:rsidRDefault="643DCFC6" w14:paraId="1DD8993A" w14:textId="6B4AF5AE">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Policy/practice report </w:t>
            </w:r>
            <w:r w:rsidRPr="4DB6A9DE" w:rsidR="643DCFC6">
              <w:rPr>
                <w:rFonts w:ascii="Arial Nova" w:hAnsi="Arial Nova" w:eastAsia="Arial Nova" w:cs="Arial Nova"/>
                <w:noProof w:val="0"/>
                <w:sz w:val="22"/>
                <w:szCs w:val="22"/>
                <w:lang w:val="en-GB"/>
              </w:rPr>
              <w:t xml:space="preserve"> </w:t>
            </w:r>
          </w:p>
          <w:p w:rsidR="643DCFC6" w:rsidP="4DB6A9DE" w:rsidRDefault="643DCFC6" w14:paraId="0F5C23D0" w14:textId="082962F5">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643DCFC6" w:rsidP="4DB6A9DE" w:rsidRDefault="643DCFC6" w14:paraId="665E11D6" w14:textId="416D957C">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National mental health service review and stakeholder interviews</w:t>
            </w: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DB6A9DE" w:rsidR="643DCFC6">
              <w:rPr>
                <w:rFonts w:ascii="Arial Nova" w:hAnsi="Arial Nova" w:eastAsia="Arial Nova" w:cs="Arial Nova"/>
                <w:noProof w:val="0"/>
                <w:sz w:val="22"/>
                <w:szCs w:val="22"/>
                <w:lang w:val="en-GB"/>
              </w:rPr>
              <w:t xml:space="preserve"> </w:t>
            </w:r>
          </w:p>
          <w:p w:rsidR="643DCFC6" w:rsidP="4DB6A9DE" w:rsidRDefault="643DCFC6" w14:paraId="4EC791F4" w14:textId="73BA78D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50" w:type="dxa"/>
            <w:tcMar/>
          </w:tcPr>
          <w:p w:rsidR="643DCFC6" w:rsidP="4DB6A9DE" w:rsidRDefault="643DCFC6" w14:paraId="3BC514F4" w14:textId="3BEF70E9">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Current UK data; qualitative input limited</w:t>
            </w:r>
          </w:p>
          <w:p w:rsidR="643DCFC6" w:rsidP="4DB6A9DE" w:rsidRDefault="643DCFC6" w14:paraId="5F21AF3D" w14:textId="3BF2943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643DCFC6" w:rsidP="4DB6A9DE" w:rsidRDefault="643DCFC6" w14:paraId="3585088E" w14:textId="462797AA">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Anxiety levels increasing among teenage girls; academic pressure a major contributor  </w:t>
            </w:r>
            <w:r w:rsidRPr="4DB6A9DE" w:rsidR="643DCFC6">
              <w:rPr>
                <w:rFonts w:ascii="Arial Nova" w:hAnsi="Arial Nova" w:eastAsia="Arial Nova" w:cs="Arial Nova"/>
                <w:noProof w:val="0"/>
                <w:sz w:val="22"/>
                <w:szCs w:val="22"/>
                <w:lang w:val="en-GB"/>
              </w:rPr>
              <w:t xml:space="preserve"> </w:t>
            </w:r>
          </w:p>
          <w:p w:rsidR="4DB6A9DE" w:rsidP="4DB6A9DE" w:rsidRDefault="4DB6A9DE" w14:paraId="4064D1A3" w14:textId="77BD7DBD">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065" w:type="dxa"/>
            <w:tcMar/>
          </w:tcPr>
          <w:p w:rsidR="643DCFC6" w:rsidP="4DB6A9DE" w:rsidRDefault="643DCFC6" w14:paraId="4A6874E1" w14:textId="0D99DF9F">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Academic stress, service access, trends</w:t>
            </w:r>
          </w:p>
          <w:p w:rsidR="643DCFC6" w:rsidP="4DB6A9DE" w:rsidRDefault="643DCFC6" w14:paraId="2DC1BA65" w14:textId="7CD51A25">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643DCFC6" w:rsidP="4DB6A9DE" w:rsidRDefault="643DCFC6" w14:paraId="7FC6294E" w14:textId="4946D163">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Supports Theme 2; essential UK context</w:t>
            </w:r>
          </w:p>
          <w:p w:rsidR="643DCFC6" w:rsidP="4DB6A9DE" w:rsidRDefault="643DCFC6" w14:paraId="5DC36161" w14:textId="4E59AD8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4DB6A9DE" w:rsidTr="4DB6A9DE" w14:paraId="743261DF">
        <w:trPr>
          <w:trHeight w:val="2355"/>
        </w:trPr>
        <w:tc>
          <w:tcPr>
            <w:tcW w:w="1065" w:type="dxa"/>
            <w:tcMar/>
          </w:tcPr>
          <w:p w:rsidR="643DCFC6" w:rsidP="4DB6A9DE" w:rsidRDefault="643DCFC6" w14:paraId="0668097B" w14:textId="058631D8">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NHS Digital (2022)</w:t>
            </w:r>
          </w:p>
          <w:p w:rsidR="643DCFC6" w:rsidP="4DB6A9DE" w:rsidRDefault="643DCFC6" w14:paraId="0C183CF9" w14:textId="74451B5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643DCFC6" w:rsidP="4DB6A9DE" w:rsidRDefault="643DCFC6" w14:paraId="415AFDFF" w14:textId="659AC149">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Mental health of children and young people in England 2022</w:t>
            </w:r>
          </w:p>
          <w:p w:rsidR="4DB6A9DE" w:rsidP="4DB6A9DE" w:rsidRDefault="4DB6A9DE" w14:paraId="27A30CED" w14:textId="3AB6D1E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643DCFC6" w:rsidP="4DB6A9DE" w:rsidRDefault="643DCFC6" w14:paraId="3DA5711A" w14:textId="0A5CBD1A">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National statistical survey </w:t>
            </w:r>
            <w:r w:rsidRPr="4DB6A9DE" w:rsidR="643DCFC6">
              <w:rPr>
                <w:rFonts w:ascii="Arial Nova" w:hAnsi="Arial Nova" w:eastAsia="Arial Nova" w:cs="Arial Nova"/>
                <w:noProof w:val="0"/>
                <w:sz w:val="22"/>
                <w:szCs w:val="22"/>
                <w:lang w:val="en-GB"/>
              </w:rPr>
              <w:t xml:space="preserve"> </w:t>
            </w:r>
          </w:p>
          <w:p w:rsidR="643DCFC6" w:rsidP="4DB6A9DE" w:rsidRDefault="643DCFC6" w14:paraId="2A643204" w14:textId="7D242DD1">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643DCFC6" w:rsidP="4DB6A9DE" w:rsidRDefault="643DCFC6" w14:paraId="4B79318D" w14:textId="589808E0">
            <w:pPr>
              <w:pStyle w:val="Normal"/>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Sample of 3,667 children and young people (aged 7–19 </w:t>
            </w:r>
          </w:p>
        </w:tc>
        <w:tc>
          <w:tcPr>
            <w:tcW w:w="1050" w:type="dxa"/>
            <w:tcMar/>
          </w:tcPr>
          <w:p w:rsidR="643DCFC6" w:rsidP="4DB6A9DE" w:rsidRDefault="643DCFC6" w14:paraId="30971DD2" w14:textId="01E64F19">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Highly reliable</w:t>
            </w: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limited contextual explanation</w:t>
            </w:r>
          </w:p>
          <w:p w:rsidR="643DCFC6" w:rsidP="4DB6A9DE" w:rsidRDefault="643DCFC6" w14:paraId="042C6FCB" w14:textId="4E506935">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643DCFC6" w:rsidP="4DB6A9DE" w:rsidRDefault="643DCFC6" w14:paraId="7E848F13" w14:textId="4BF7ACF0">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One in four teenage girls report symptoms of anxiety</w:t>
            </w:r>
          </w:p>
          <w:p w:rsidR="643DCFC6" w:rsidP="4DB6A9DE" w:rsidRDefault="643DCFC6" w14:paraId="79675A6C" w14:textId="2798683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65" w:type="dxa"/>
            <w:tcMar/>
          </w:tcPr>
          <w:p w:rsidR="643DCFC6" w:rsidP="4DB6A9DE" w:rsidRDefault="643DCFC6" w14:paraId="2734F955" w14:textId="02DF9245">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Mental health prevalence, gender patterns</w:t>
            </w:r>
          </w:p>
          <w:p w:rsidR="643DCFC6" w:rsidP="4DB6A9DE" w:rsidRDefault="643DCFC6" w14:paraId="4221F87F" w14:textId="26B4320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643DCFC6" w:rsidP="4DB6A9DE" w:rsidRDefault="643DCFC6" w14:paraId="68B236E1" w14:textId="440F7096">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Key UK quantitative baseline</w:t>
            </w:r>
          </w:p>
          <w:p w:rsidR="643DCFC6" w:rsidP="4DB6A9DE" w:rsidRDefault="643DCFC6" w14:paraId="31383815" w14:textId="394E586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4DB6A9DE" w:rsidTr="4DB6A9DE" w14:paraId="62544757">
        <w:trPr>
          <w:trHeight w:val="2400"/>
        </w:trPr>
        <w:tc>
          <w:tcPr>
            <w:tcW w:w="1065" w:type="dxa"/>
            <w:tcMar/>
          </w:tcPr>
          <w:p w:rsidR="643DCFC6" w:rsidP="4DB6A9DE" w:rsidRDefault="643DCFC6" w14:paraId="0C4E3BAC" w14:textId="6C484806">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Otter et al. (2024) </w:t>
            </w:r>
            <w:r w:rsidRPr="4DB6A9DE" w:rsidR="643DCFC6">
              <w:rPr>
                <w:rFonts w:ascii="Arial Nova" w:hAnsi="Arial Nova" w:eastAsia="Arial Nova" w:cs="Arial Nova"/>
                <w:noProof w:val="0"/>
                <w:sz w:val="22"/>
                <w:szCs w:val="22"/>
                <w:lang w:val="en-GB"/>
              </w:rPr>
              <w:t xml:space="preserve"> </w:t>
            </w:r>
          </w:p>
          <w:p w:rsidR="4DB6A9DE" w:rsidP="4DB6A9DE" w:rsidRDefault="4DB6A9DE" w14:paraId="3F135098" w14:textId="5BE8BB99">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189" w:type="dxa"/>
            <w:tcMar/>
          </w:tcPr>
          <w:p w:rsidR="643DCFC6" w:rsidP="4DB6A9DE" w:rsidRDefault="643DCFC6" w14:paraId="7E1D1C92" w14:textId="7CC6D267">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 of COVID-19 pandemic on adolescent psychopharmacological medication rates</w:t>
            </w:r>
          </w:p>
          <w:p w:rsidR="4DB6A9DE" w:rsidP="4DB6A9DE" w:rsidRDefault="4DB6A9DE" w14:paraId="7C05EEE4" w14:textId="4F15336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643DCFC6" w:rsidP="4DB6A9DE" w:rsidRDefault="643DCFC6" w14:paraId="47938AA2" w14:textId="6A4BCF88">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Quantitative cohort study </w:t>
            </w:r>
            <w:r w:rsidRPr="4DB6A9DE" w:rsidR="643DCFC6">
              <w:rPr>
                <w:rFonts w:ascii="Arial Nova" w:hAnsi="Arial Nova" w:eastAsia="Arial Nova" w:cs="Arial Nova"/>
                <w:noProof w:val="0"/>
                <w:sz w:val="22"/>
                <w:szCs w:val="22"/>
                <w:lang w:val="en-GB"/>
              </w:rPr>
              <w:t xml:space="preserve"> </w:t>
            </w:r>
          </w:p>
          <w:p w:rsidR="643DCFC6" w:rsidP="4DB6A9DE" w:rsidRDefault="643DCFC6" w14:paraId="59AF5035" w14:textId="54CBA86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643DCFC6" w:rsidP="4DB6A9DE" w:rsidRDefault="643DCFC6" w14:paraId="433491D8" w14:textId="03DDFD50">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Medical records analysis (N = 4,000) </w:t>
            </w:r>
            <w:r w:rsidRPr="4DB6A9DE" w:rsidR="643DCFC6">
              <w:rPr>
                <w:rFonts w:ascii="Arial Nova" w:hAnsi="Arial Nova" w:eastAsia="Arial Nova" w:cs="Arial Nova"/>
                <w:noProof w:val="0"/>
                <w:sz w:val="22"/>
                <w:szCs w:val="22"/>
                <w:lang w:val="en-GB"/>
              </w:rPr>
              <w:t xml:space="preserve"> </w:t>
            </w:r>
          </w:p>
          <w:p w:rsidR="643DCFC6" w:rsidP="4DB6A9DE" w:rsidRDefault="643DCFC6" w14:paraId="3A45AC40" w14:textId="500855E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50" w:type="dxa"/>
            <w:tcMar/>
          </w:tcPr>
          <w:p w:rsidR="643DCFC6" w:rsidP="4DB6A9DE" w:rsidRDefault="643DCFC6" w14:paraId="515870A1" w14:textId="7B84C237">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Strong statistical evidence; Austria-only limits UK generalisation </w:t>
            </w:r>
            <w:r w:rsidRPr="4DB6A9DE" w:rsidR="643DCFC6">
              <w:rPr>
                <w:rFonts w:ascii="Arial Nova" w:hAnsi="Arial Nova" w:eastAsia="Arial Nova" w:cs="Arial Nova"/>
                <w:noProof w:val="0"/>
                <w:sz w:val="22"/>
                <w:szCs w:val="22"/>
                <w:lang w:val="en-GB"/>
              </w:rPr>
              <w:t xml:space="preserve"> </w:t>
            </w:r>
          </w:p>
          <w:p w:rsidR="643DCFC6" w:rsidP="4DB6A9DE" w:rsidRDefault="643DCFC6" w14:paraId="0BA7ABD1" w14:textId="79C7EA9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643DCFC6" w:rsidP="4DB6A9DE" w:rsidRDefault="643DCFC6" w14:paraId="66B300A3" w14:textId="1E8B7913">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Post-pandemic rise in anxiety-related medication, especially among girls</w:t>
            </w:r>
          </w:p>
          <w:p w:rsidR="643DCFC6" w:rsidP="4DB6A9DE" w:rsidRDefault="643DCFC6" w14:paraId="10E92B42" w14:textId="3A7BC2E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65" w:type="dxa"/>
            <w:tcMar/>
          </w:tcPr>
          <w:p w:rsidR="643DCFC6" w:rsidP="4DB6A9DE" w:rsidRDefault="643DCFC6" w14:paraId="70C43989" w14:textId="6E4E6A6E">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COVID-19, medication, distress </w:t>
            </w:r>
            <w:r w:rsidRPr="4DB6A9DE" w:rsidR="643DCFC6">
              <w:rPr>
                <w:rFonts w:ascii="Arial Nova" w:hAnsi="Arial Nova" w:eastAsia="Arial Nova" w:cs="Arial Nova"/>
                <w:noProof w:val="0"/>
                <w:sz w:val="22"/>
                <w:szCs w:val="22"/>
                <w:lang w:val="en-GB"/>
              </w:rPr>
              <w:t xml:space="preserve"> </w:t>
            </w:r>
          </w:p>
          <w:p w:rsidR="643DCFC6" w:rsidP="4DB6A9DE" w:rsidRDefault="643DCFC6" w14:paraId="3623165B" w14:textId="0432F351">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643DCFC6" w:rsidP="4DB6A9DE" w:rsidRDefault="643DCFC6" w14:paraId="09DF2BF1" w14:textId="3586556A">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Informs Theme 4; strong comparative evidence</w:t>
            </w:r>
          </w:p>
          <w:p w:rsidR="643DCFC6" w:rsidP="4DB6A9DE" w:rsidRDefault="643DCFC6" w14:paraId="6BD57F9A" w14:textId="6B167D7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4DB6A9DE" w:rsidTr="4DB6A9DE" w14:paraId="6F192DF3">
        <w:trPr>
          <w:trHeight w:val="1890"/>
        </w:trPr>
        <w:tc>
          <w:tcPr>
            <w:tcW w:w="1065" w:type="dxa"/>
            <w:tcMar/>
          </w:tcPr>
          <w:p w:rsidR="643DCFC6" w:rsidP="4DB6A9DE" w:rsidRDefault="643DCFC6" w14:paraId="65289C62" w14:textId="512722B5">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Fassi, Orben &amp; Przybylski (2025 </w:t>
            </w:r>
            <w:r w:rsidRPr="4DB6A9DE" w:rsidR="643DCFC6">
              <w:rPr>
                <w:rFonts w:ascii="Arial Nova" w:hAnsi="Arial Nova" w:eastAsia="Arial Nova" w:cs="Arial Nova"/>
                <w:noProof w:val="0"/>
                <w:sz w:val="22"/>
                <w:szCs w:val="22"/>
                <w:lang w:val="en-GB"/>
              </w:rPr>
              <w:t xml:space="preserve"> </w:t>
            </w:r>
          </w:p>
          <w:p w:rsidR="643DCFC6" w:rsidP="4DB6A9DE" w:rsidRDefault="643DCFC6" w14:paraId="5204EA20" w14:textId="075FF2F5">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643DCFC6" w:rsidP="4DB6A9DE" w:rsidRDefault="643DCFC6" w14:paraId="4FFBE397" w14:textId="101C78BF">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Social media use in adolescents with and without mental health conditions</w:t>
            </w:r>
          </w:p>
          <w:p w:rsidR="4DB6A9DE" w:rsidP="4DB6A9DE" w:rsidRDefault="4DB6A9DE" w14:paraId="7D721689" w14:textId="3D982531">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643DCFC6" w:rsidP="4DB6A9DE" w:rsidRDefault="643DCFC6" w14:paraId="282C20B4" w14:textId="34B177D0">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Quantitative dataset analysis</w:t>
            </w:r>
          </w:p>
          <w:p w:rsidR="643DCFC6" w:rsidP="4DB6A9DE" w:rsidRDefault="643DCFC6" w14:paraId="68CFB78F" w14:textId="6EC8332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643DCFC6" w:rsidP="4DB6A9DE" w:rsidRDefault="643DCFC6" w14:paraId="0E8E0DE3" w14:textId="2A47C315">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UK national representative survey</w:t>
            </w:r>
          </w:p>
          <w:p w:rsidR="643DCFC6" w:rsidP="4DB6A9DE" w:rsidRDefault="643DCFC6" w14:paraId="1155B8E0" w14:textId="7BB0765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50" w:type="dxa"/>
            <w:tcMar/>
          </w:tcPr>
          <w:p w:rsidR="643DCFC6" w:rsidP="4DB6A9DE" w:rsidRDefault="643DCFC6" w14:paraId="529775EF" w14:textId="1891ACE7">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High validity dataset; correlational not causal</w:t>
            </w:r>
          </w:p>
          <w:p w:rsidR="643DCFC6" w:rsidP="4DB6A9DE" w:rsidRDefault="643DCFC6" w14:paraId="5394D883" w14:textId="25CE2D8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643DCFC6" w:rsidP="4DB6A9DE" w:rsidRDefault="643DCFC6" w14:paraId="77DD4216" w14:textId="3D6100AB">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Excessive social media use linked to anxiety and loneliness </w:t>
            </w:r>
            <w:r w:rsidRPr="4DB6A9DE" w:rsidR="643DCFC6">
              <w:rPr>
                <w:rFonts w:ascii="Arial Nova" w:hAnsi="Arial Nova" w:eastAsia="Arial Nova" w:cs="Arial Nova"/>
                <w:noProof w:val="0"/>
                <w:sz w:val="22"/>
                <w:szCs w:val="22"/>
                <w:lang w:val="en-GB"/>
              </w:rPr>
              <w:t xml:space="preserve"> </w:t>
            </w:r>
          </w:p>
          <w:p w:rsidR="643DCFC6" w:rsidP="4DB6A9DE" w:rsidRDefault="643DCFC6" w14:paraId="50343B26" w14:textId="1B4E78C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65" w:type="dxa"/>
            <w:tcMar/>
          </w:tcPr>
          <w:p w:rsidR="643DCFC6" w:rsidP="4DB6A9DE" w:rsidRDefault="643DCFC6" w14:paraId="7346B000" w14:textId="29EC5EF0">
            <w:pPr>
              <w:bidi w:val="0"/>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Digital exposure, wellbeing </w:t>
            </w:r>
            <w:r w:rsidRPr="4DB6A9DE" w:rsidR="643DCFC6">
              <w:rPr>
                <w:rFonts w:ascii="Arial Nova" w:hAnsi="Arial Nova" w:eastAsia="Arial Nova" w:cs="Arial Nova"/>
                <w:noProof w:val="0"/>
                <w:sz w:val="22"/>
                <w:szCs w:val="22"/>
                <w:lang w:val="en-GB"/>
              </w:rPr>
              <w:t xml:space="preserve"> </w:t>
            </w:r>
          </w:p>
          <w:p w:rsidR="643DCFC6" w:rsidP="4DB6A9DE" w:rsidRDefault="643DCFC6" w14:paraId="24CCC24F" w14:textId="07C94E5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643DCFC6" w:rsidP="4DB6A9DE" w:rsidRDefault="643DCFC6" w14:paraId="57558D25" w14:textId="46A17836">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Reinforces Theme 1; aligns with Kelly et al.</w:t>
            </w:r>
          </w:p>
          <w:p w:rsidR="4DB6A9DE" w:rsidP="4DB6A9DE" w:rsidRDefault="4DB6A9DE" w14:paraId="03AC86EF" w14:textId="35D7F88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r>
      <w:tr w:rsidR="4DB6A9DE" w:rsidTr="4DB6A9DE" w14:paraId="67919ED5">
        <w:trPr>
          <w:trHeight w:val="1770"/>
        </w:trPr>
        <w:tc>
          <w:tcPr>
            <w:tcW w:w="1065" w:type="dxa"/>
            <w:tcMar/>
          </w:tcPr>
          <w:p w:rsidR="4E1008FD" w:rsidP="4DB6A9DE" w:rsidRDefault="4E1008FD" w14:paraId="78DFF66E" w14:textId="109BB287">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DfE (2023)</w:t>
            </w:r>
          </w:p>
          <w:p w:rsidR="4E1008FD" w:rsidP="4DB6A9DE" w:rsidRDefault="4E1008FD" w14:paraId="39BE063E" w14:textId="74349221">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4E1008FD" w:rsidP="4DB6A9DE" w:rsidRDefault="4E1008FD" w14:paraId="42D7AE05" w14:textId="2B5B2626">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State of the nation: children and young people’s wellbeing</w:t>
            </w:r>
          </w:p>
          <w:p w:rsidR="4DB6A9DE" w:rsidP="4DB6A9DE" w:rsidRDefault="4DB6A9DE" w14:paraId="5B999CC3" w14:textId="6FBFCD3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4E1008FD" w:rsidP="4DB6A9DE" w:rsidRDefault="4E1008FD" w14:paraId="42CFF922" w14:textId="4BE68726">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Government wellbeing report </w:t>
            </w:r>
            <w:r w:rsidRPr="4DB6A9DE" w:rsidR="4E1008FD">
              <w:rPr>
                <w:rFonts w:ascii="Arial Nova" w:hAnsi="Arial Nova" w:eastAsia="Arial Nova" w:cs="Arial Nova"/>
                <w:noProof w:val="0"/>
                <w:sz w:val="22"/>
                <w:szCs w:val="22"/>
                <w:lang w:val="en-GB"/>
              </w:rPr>
              <w:t xml:space="preserve"> </w:t>
            </w:r>
          </w:p>
          <w:p w:rsidR="4E1008FD" w:rsidP="4DB6A9DE" w:rsidRDefault="4E1008FD" w14:paraId="3DEAD6C0" w14:textId="0D1DA54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4E1008FD" w:rsidP="4DB6A9DE" w:rsidRDefault="4E1008FD" w14:paraId="21E8AFEB" w14:textId="694FFCDC">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Analysis of national wellbeing and school data </w:t>
            </w:r>
            <w:r w:rsidRPr="4DB6A9DE" w:rsidR="4E1008FD">
              <w:rPr>
                <w:rFonts w:ascii="Arial Nova" w:hAnsi="Arial Nova" w:eastAsia="Arial Nova" w:cs="Arial Nova"/>
                <w:noProof w:val="0"/>
                <w:sz w:val="22"/>
                <w:szCs w:val="22"/>
                <w:lang w:val="en-GB"/>
              </w:rPr>
              <w:t xml:space="preserve"> </w:t>
            </w:r>
          </w:p>
          <w:p w:rsidR="4E1008FD" w:rsidP="4DB6A9DE" w:rsidRDefault="4E1008FD" w14:paraId="4862ED5C" w14:textId="126DDEE8">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50" w:type="dxa"/>
            <w:tcMar/>
          </w:tcPr>
          <w:p w:rsidR="4E1008FD" w:rsidP="4DB6A9DE" w:rsidRDefault="4E1008FD" w14:paraId="1F6AF7E0" w14:textId="40BC0784">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Credible policy document; limited subgroup detail</w:t>
            </w:r>
          </w:p>
          <w:p w:rsidR="4E1008FD" w:rsidP="4DB6A9DE" w:rsidRDefault="4E1008FD" w14:paraId="2791B8A4" w14:textId="255E86A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4E1008FD" w:rsidP="4DB6A9DE" w:rsidRDefault="4E1008FD" w14:paraId="5B88CAE6" w14:textId="5B334D55">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Academic pressure strongly contributes to anxiety</w:t>
            </w:r>
          </w:p>
          <w:p w:rsidR="4DB6A9DE" w:rsidP="4DB6A9DE" w:rsidRDefault="4DB6A9DE" w14:paraId="2AC95A8B" w14:textId="52B6EDE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065" w:type="dxa"/>
            <w:tcMar/>
          </w:tcPr>
          <w:p w:rsidR="4E1008FD" w:rsidP="4DB6A9DE" w:rsidRDefault="4E1008FD" w14:paraId="67241A32" w14:textId="2E4D18BF">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Academic pressure, wellbeing</w:t>
            </w:r>
          </w:p>
          <w:p w:rsidR="4E1008FD" w:rsidP="4DB6A9DE" w:rsidRDefault="4E1008FD" w14:paraId="788FCCEB" w14:textId="4AE6D49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4E1008FD" w:rsidP="4DB6A9DE" w:rsidRDefault="4E1008FD" w14:paraId="5FE3AA5A" w14:textId="4CCC9DB7">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Key evidence for Theme 2 </w:t>
            </w:r>
            <w:r w:rsidRPr="4DB6A9DE" w:rsidR="4E1008FD">
              <w:rPr>
                <w:rFonts w:ascii="Arial Nova" w:hAnsi="Arial Nova" w:eastAsia="Arial Nova" w:cs="Arial Nova"/>
                <w:noProof w:val="0"/>
                <w:sz w:val="22"/>
                <w:szCs w:val="22"/>
                <w:lang w:val="en-GB"/>
              </w:rPr>
              <w:t xml:space="preserve"> </w:t>
            </w:r>
          </w:p>
          <w:p w:rsidR="4E1008FD" w:rsidP="4DB6A9DE" w:rsidRDefault="4E1008FD" w14:paraId="56ECE109" w14:textId="68B9E24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4DB6A9DE" w:rsidTr="4DB6A9DE" w14:paraId="49D76883">
        <w:trPr>
          <w:trHeight w:val="1635"/>
        </w:trPr>
        <w:tc>
          <w:tcPr>
            <w:tcW w:w="1065" w:type="dxa"/>
            <w:tcMar/>
          </w:tcPr>
          <w:p w:rsidR="4E1008FD" w:rsidP="4DB6A9DE" w:rsidRDefault="4E1008FD" w14:paraId="37408DF9" w14:textId="61888467">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Braun &amp; Clarke (2019)</w:t>
            </w:r>
          </w:p>
          <w:p w:rsidR="4E1008FD" w:rsidP="4DB6A9DE" w:rsidRDefault="4E1008FD" w14:paraId="1D630166" w14:textId="2B47035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4E1008FD" w:rsidP="4DB6A9DE" w:rsidRDefault="4E1008FD" w14:paraId="13BA96DA" w14:textId="0C071A7B">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Reflecting on reflexive thematic analysis </w:t>
            </w:r>
            <w:r w:rsidRPr="4DB6A9DE" w:rsidR="4E1008FD">
              <w:rPr>
                <w:rFonts w:ascii="Arial Nova" w:hAnsi="Arial Nova" w:eastAsia="Arial Nova" w:cs="Arial Nova"/>
                <w:noProof w:val="0"/>
                <w:sz w:val="22"/>
                <w:szCs w:val="22"/>
                <w:lang w:val="en-GB"/>
              </w:rPr>
              <w:t xml:space="preserve"> </w:t>
            </w:r>
          </w:p>
          <w:p w:rsidR="4E1008FD" w:rsidP="4DB6A9DE" w:rsidRDefault="4E1008FD" w14:paraId="0D542B8E" w14:textId="56EBB2E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00" w:type="dxa"/>
            <w:tcMar/>
          </w:tcPr>
          <w:p w:rsidR="4E1008FD" w:rsidP="4DB6A9DE" w:rsidRDefault="4E1008FD" w14:paraId="1D04B1E5" w14:textId="21F8472A">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Theoretical/methodological paper </w:t>
            </w:r>
            <w:r w:rsidRPr="4DB6A9DE" w:rsidR="4E1008FD">
              <w:rPr>
                <w:rFonts w:ascii="Arial Nova" w:hAnsi="Arial Nova" w:eastAsia="Arial Nova" w:cs="Arial Nova"/>
                <w:noProof w:val="0"/>
                <w:sz w:val="22"/>
                <w:szCs w:val="22"/>
                <w:lang w:val="en-GB"/>
              </w:rPr>
              <w:t xml:space="preserve"> </w:t>
            </w:r>
          </w:p>
          <w:p w:rsidR="4E1008FD" w:rsidP="4DB6A9DE" w:rsidRDefault="4E1008FD" w14:paraId="7E6C4EDC" w14:textId="4F161F9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4E1008FD" w:rsidP="4DB6A9DE" w:rsidRDefault="4E1008FD" w14:paraId="11E19914" w14:textId="496189A5">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Theoretical reflection </w:t>
            </w:r>
            <w:r w:rsidRPr="4DB6A9DE" w:rsidR="4E1008FD">
              <w:rPr>
                <w:rFonts w:ascii="Arial Nova" w:hAnsi="Arial Nova" w:eastAsia="Arial Nova" w:cs="Arial Nova"/>
                <w:noProof w:val="0"/>
                <w:sz w:val="22"/>
                <w:szCs w:val="22"/>
                <w:lang w:val="en-GB"/>
              </w:rPr>
              <w:t xml:space="preserve"> </w:t>
            </w:r>
          </w:p>
          <w:p w:rsidR="4E1008FD" w:rsidP="4DB6A9DE" w:rsidRDefault="4E1008FD" w14:paraId="27E8C3AA" w14:textId="2439287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50" w:type="dxa"/>
            <w:tcMar/>
          </w:tcPr>
          <w:p w:rsidR="4E1008FD" w:rsidP="4DB6A9DE" w:rsidRDefault="4E1008FD" w14:paraId="286C0054" w14:textId="6EAAF42B">
            <w:pPr>
              <w:bidi w:val="0"/>
              <w:spacing w:before="0" w:beforeAutospacing="off" w:after="200" w:afterAutospacing="off" w:line="276" w:lineRule="auto"/>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Foundational qualitative method; not empirical</w:t>
            </w:r>
          </w:p>
          <w:p w:rsidR="4DB6A9DE" w:rsidP="4DB6A9DE" w:rsidRDefault="4DB6A9DE" w14:paraId="41892530" w14:textId="40D7BED1">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170" w:type="dxa"/>
            <w:tcMar/>
          </w:tcPr>
          <w:p w:rsidR="4E1008FD" w:rsidP="4DB6A9DE" w:rsidRDefault="4E1008FD" w14:paraId="0592AEC1" w14:textId="3E2C838D">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Explains reflexive thematic coding principles </w:t>
            </w:r>
            <w:r w:rsidRPr="4DB6A9DE" w:rsidR="4E1008FD">
              <w:rPr>
                <w:rFonts w:ascii="Arial Nova" w:hAnsi="Arial Nova" w:eastAsia="Arial Nova" w:cs="Arial Nova"/>
                <w:noProof w:val="0"/>
                <w:sz w:val="22"/>
                <w:szCs w:val="22"/>
                <w:lang w:val="en-GB"/>
              </w:rPr>
              <w:t xml:space="preserve"> </w:t>
            </w:r>
          </w:p>
          <w:p w:rsidR="4DB6A9DE" w:rsidP="4DB6A9DE" w:rsidRDefault="4DB6A9DE" w14:paraId="3574C4A6" w14:textId="416560D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065" w:type="dxa"/>
            <w:tcMar/>
          </w:tcPr>
          <w:p w:rsidR="4E1008FD" w:rsidP="4DB6A9DE" w:rsidRDefault="4E1008FD" w14:paraId="255A5C0F" w14:textId="1C6B7F9F">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Thematic analysis, coding, reflexivity </w:t>
            </w:r>
            <w:r w:rsidRPr="4DB6A9DE" w:rsidR="4E1008FD">
              <w:rPr>
                <w:rFonts w:ascii="Arial Nova" w:hAnsi="Arial Nova" w:eastAsia="Arial Nova" w:cs="Arial Nova"/>
                <w:noProof w:val="0"/>
                <w:sz w:val="22"/>
                <w:szCs w:val="22"/>
                <w:lang w:val="en-GB"/>
              </w:rPr>
              <w:t xml:space="preserve"> </w:t>
            </w:r>
          </w:p>
          <w:p w:rsidR="4E1008FD" w:rsidP="4DB6A9DE" w:rsidRDefault="4E1008FD" w14:paraId="34BDCF81" w14:textId="0032CBD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4E1008FD" w:rsidP="4DB6A9DE" w:rsidRDefault="4E1008FD" w14:paraId="3CE73FE2" w14:textId="0451030C">
            <w:pPr>
              <w:bidi w:val="0"/>
              <w:rPr>
                <w:rFonts w:ascii="Arial Nova" w:hAnsi="Arial Nova" w:eastAsia="Arial Nova" w:cs="Arial Nova"/>
                <w:noProof w:val="0"/>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Thematic analysis, coding reflexivity </w:t>
            </w:r>
            <w:r w:rsidRPr="4DB6A9DE" w:rsidR="4E1008FD">
              <w:rPr>
                <w:rFonts w:ascii="Arial Nova" w:hAnsi="Arial Nova" w:eastAsia="Arial Nova" w:cs="Arial Nova"/>
                <w:noProof w:val="0"/>
                <w:sz w:val="22"/>
                <w:szCs w:val="22"/>
                <w:lang w:val="en-GB"/>
              </w:rPr>
              <w:t xml:space="preserve"> </w:t>
            </w:r>
          </w:p>
          <w:p w:rsidR="4E1008FD" w:rsidP="4DB6A9DE" w:rsidRDefault="4E1008FD" w14:paraId="435E2485" w14:textId="064EB997">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bl>
    <w:p w:rsidRPr="00636D9A" w:rsidR="001C3AF6" w:rsidP="4DB6A9DE" w:rsidRDefault="001C3AF6" w14:paraId="11ECD19D" w14:textId="25F3596E">
      <w:pPr>
        <w:bidi w:val="0"/>
        <w:spacing w:before="240" w:beforeAutospacing="off" w:after="240" w:afterAutospacing="off" w:line="360" w:lineRule="auto"/>
        <w:rPr>
          <w:rFonts w:ascii="Arial Nova" w:hAnsi="Arial Nova" w:eastAsia="Arial Nova" w:cs="Arial Nova"/>
          <w:noProof w:val="0"/>
          <w:sz w:val="22"/>
          <w:szCs w:val="22"/>
          <w:lang w:val="en-GB"/>
        </w:rPr>
      </w:pPr>
      <w:r w:rsidRPr="4DB6A9DE" w:rsidR="6C675B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Results Summary Table </w:t>
      </w:r>
      <w:r w:rsidRPr="4DB6A9DE" w:rsidR="6C675B1B">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provides</w:t>
      </w:r>
      <w:r w:rsidRPr="4DB6A9DE" w:rsidR="6C675B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structured way to evaluate and compare the selected sources, ensuring a transparent audit trail of the literature review process. This systematic approach supported the identification of recurring ideas, methodological limitations, and areas of convergence and disagreement across the evidence base. Using structured evaluation techniques aligns with guidance from Aveyard (2019) and Hart (2018), who emphasise the importance of organised and transparent literature analysis in secondary research. This process directly informed the development of the four themes explored in Chapter 4.</w:t>
      </w: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Pr="00636D9A" w:rsidR="001C3AF6" w:rsidP="4DB6A9DE" w:rsidRDefault="001C3AF6" w14:paraId="22ACA12B" w14:textId="1BAACEA6">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407D2BA2">
        <w:rPr>
          <w:rFonts w:ascii="Arial Nova" w:hAnsi="Arial Nova" w:eastAsia="Arial Nova" w:cs="Arial Nova"/>
          <w:b w:val="1"/>
          <w:bCs w:val="1"/>
          <w:i w:val="0"/>
          <w:iCs w:val="0"/>
          <w:caps w:val="0"/>
          <w:smallCaps w:val="0"/>
          <w:noProof w:val="0"/>
          <w:color w:val="000000" w:themeColor="text1" w:themeTint="FF" w:themeShade="FF"/>
          <w:sz w:val="24"/>
          <w:szCs w:val="24"/>
          <w:lang w:val="en-GB"/>
        </w:rPr>
        <w:t>3.7 Ethical Considerations</w:t>
      </w:r>
    </w:p>
    <w:p w:rsidRPr="00636D9A" w:rsidR="001C3AF6" w:rsidP="4DB6A9DE" w:rsidRDefault="001C3AF6" w14:paraId="189D8947" w14:textId="71BFA5B7">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Although the study involved no direct participants, ethical standards were upheld throughout. Secondary research requires academic honesty, accurate attribution, and critical impartiality. All materials were accessed legally through the UWTSD Library or reputable open-access platforms.</w:t>
      </w:r>
    </w:p>
    <w:p w:rsidRPr="00636D9A" w:rsidR="001C3AF6" w:rsidP="4DB6A9DE" w:rsidRDefault="001C3AF6" w14:paraId="4DBCE9C9" w14:textId="25FE11CF">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The study maintained academic integrity by referencing all sources accurately and adhering to the UWTSD Harvard style (Bryman, 2016). It also avoided misrepresentation by interpreting data within the limits acknowledged by original authors. Ethical rigour was further supported by compliance with the British Educational Research Association (BERA, 2018) guidelines.</w:t>
      </w:r>
    </w:p>
    <w:p w:rsidRPr="00636D9A" w:rsidR="001C3AF6" w:rsidP="4DB6A9DE" w:rsidRDefault="001C3AF6" w14:paraId="2D88E8C0" w14:textId="46595966">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Recognising potential researcher bias, steps were taken to </w:t>
      </w: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w:t>
      </w: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objectivity, ensuring that interpretations reflected evidence rather than personal assumptions. This transparent approach enhanced the study’s credibility and trustworthiness (Creswell and Creswell, 2018).</w:t>
      </w:r>
    </w:p>
    <w:p w:rsidRPr="00636D9A" w:rsidR="001C3AF6" w:rsidP="4DB6A9DE" w:rsidRDefault="001C3AF6" w14:paraId="65E53444" w14:textId="6BB6F844">
      <w:pPr>
        <w:pStyle w:val="Heading2"/>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07D2BA2">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3.8 Chapter Conclusion </w:t>
      </w:r>
    </w:p>
    <w:p w:rsidRPr="00636D9A" w:rsidR="001C3AF6" w:rsidP="4DB6A9DE" w:rsidRDefault="001C3AF6" w14:paraId="531E26CD" w14:textId="32892B03">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This chapter has critically outlined the secondary research design, explaining how literature was systematically identified, validated, and analysed. The application of Boolean search logic, CRAAP evaluation, and thematic coding ensured methodological transparency and intellectual rigour.</w:t>
      </w:r>
    </w:p>
    <w:p w:rsidRPr="00636D9A" w:rsidR="001C3AF6" w:rsidP="4DB6A9DE" w:rsidRDefault="001C3AF6" w14:paraId="2401BA5D" w14:textId="3E57C867">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w:t>
      </w: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critical stance toward data selection and interpretation, the research has avoided descriptive generalisation and instead engaged analytically with diverse evidence. The next chapter, Findings and Discussion, will present the outcomes of this process through the four key themes </w:t>
      </w: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identified</w:t>
      </w:r>
      <w:r w:rsidRPr="4DB6A9DE"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social media influence, academic pressure, family and peer expectations, and pandemic-related impacts. </w:t>
      </w:r>
    </w:p>
    <w:p w:rsidRPr="00636D9A" w:rsidR="001C3AF6" w:rsidP="4DB6A9DE" w:rsidRDefault="001C3AF6" w14:paraId="002140BF" w14:textId="414949C2">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636D9A" w:rsidR="001C3AF6" w:rsidP="4DB6A9DE" w:rsidRDefault="001C3AF6" w14:paraId="1C6A10D4" w14:textId="0549EEDB">
      <w:pPr>
        <w:pStyle w:val="Normal"/>
        <w:bidi w:val="0"/>
        <w:spacing w:before="240" w:beforeAutospacing="off" w:after="240" w:afterAutospacing="off" w:line="360" w:lineRule="auto"/>
        <w:rPr>
          <w:rFonts w:ascii="Arial Nova" w:hAnsi="Arial Nova" w:eastAsia="Arial Nova" w:cs="Arial Nova"/>
          <w:b w:val="1"/>
          <w:bCs w:val="1"/>
          <w:sz w:val="32"/>
          <w:szCs w:val="32"/>
        </w:rPr>
      </w:pPr>
      <w:r w:rsidRPr="4DB6A9DE" w:rsidR="001C3AF6">
        <w:rPr>
          <w:rFonts w:ascii="Arial Nova" w:hAnsi="Arial Nova" w:eastAsia="Arial Nova" w:cs="Arial Nova"/>
          <w:b w:val="1"/>
          <w:bCs w:val="1"/>
          <w:sz w:val="32"/>
          <w:szCs w:val="32"/>
        </w:rPr>
        <w:t>C</w:t>
      </w:r>
      <w:r w:rsidRPr="4DB6A9DE" w:rsidR="00636D9A">
        <w:rPr>
          <w:rFonts w:ascii="Arial Nova" w:hAnsi="Arial Nova" w:eastAsia="Arial Nova" w:cs="Arial Nova"/>
          <w:b w:val="1"/>
          <w:bCs w:val="1"/>
          <w:sz w:val="32"/>
          <w:szCs w:val="32"/>
        </w:rPr>
        <w:t>HAPTER</w:t>
      </w:r>
      <w:r w:rsidRPr="4DB6A9DE" w:rsidR="001C3AF6">
        <w:rPr>
          <w:rFonts w:ascii="Arial Nova" w:hAnsi="Arial Nova" w:eastAsia="Arial Nova" w:cs="Arial Nova"/>
          <w:b w:val="1"/>
          <w:bCs w:val="1"/>
          <w:sz w:val="32"/>
          <w:szCs w:val="32"/>
        </w:rPr>
        <w:t xml:space="preserve"> 4 – Findings and Discussion </w:t>
      </w:r>
    </w:p>
    <w:p w:rsidRPr="00636D9A" w:rsidR="001C3AF6" w:rsidP="4DB6A9DE" w:rsidRDefault="001C3AF6" w14:paraId="4FE28FAD" w14:textId="0D89613F">
      <w:pPr>
        <w:pStyle w:val="Heading1"/>
        <w:ind w:left="0"/>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Pr="00636D9A" w:rsidR="001C3AF6" w:rsidP="4DB6A9DE" w:rsidRDefault="001C3AF6" w14:paraId="0AEAECF6" w14:textId="2F8D2B08">
      <w:pPr>
        <w:pStyle w:val="Heading1"/>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477E3F60">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4.1 Introduction </w:t>
      </w:r>
    </w:p>
    <w:p w:rsidRPr="00636D9A" w:rsidR="001C3AF6" w:rsidP="4DB6A9DE" w:rsidRDefault="001C3AF6" w14:paraId="5A461A36" w14:textId="5F41A6F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77E3F60">
        <w:rPr>
          <w:rFonts w:ascii="Arial Nova" w:hAnsi="Arial Nova" w:eastAsia="Arial Nova" w:cs="Arial Nova"/>
          <w:b w:val="0"/>
          <w:bCs w:val="0"/>
          <w:i w:val="0"/>
          <w:iCs w:val="0"/>
          <w:caps w:val="0"/>
          <w:smallCaps w:val="0"/>
          <w:noProof w:val="0"/>
          <w:color w:val="000000" w:themeColor="text1" w:themeTint="FF" w:themeShade="FF"/>
          <w:sz w:val="22"/>
          <w:szCs w:val="22"/>
          <w:lang w:val="en-GB"/>
        </w:rPr>
        <w:t>This chapter presents the key findings of the secondary research conducted to explore the contributors to anxiety among teenage girls in the UK. The analysis is organised into four themes generated through a systematic thematic coding process: social media influence, academic pressure, family and peer expectations, and the continuing impact of the COVID-19 pandemic. These themes emerged consistently across the literature and provide a structured way to understand the social, psychological and environmental factors shaping adolescent anxiety. The chapter critically evaluates the evidence within each theme, drawing on quantitative data, qualitative insights, and relevant psychological theories to interpret patterns and contradictions across studies (Aveyard, 2019; Braun and Clarke, 2019). By examining these themes in depth, this chapter highlights how different pressures interact to shape the lived experiences of teenage girls, setting the foundation for a comprehensive discussion of implications and limitations in subsequent sections.</w:t>
      </w:r>
    </w:p>
    <w:p w:rsidRPr="00636D9A" w:rsidR="001C3AF6" w:rsidP="4DB6A9DE" w:rsidRDefault="001C3AF6" w14:paraId="49AC5888" w14:textId="56C48070">
      <w:pPr>
        <w:rPr>
          <w:rFonts w:ascii="Arial Nova" w:hAnsi="Arial Nova" w:eastAsia="Arial Nova" w:cs="Arial Nova"/>
        </w:rPr>
      </w:pPr>
      <w:r w:rsidRPr="4DB6A9DE" w:rsidR="477E3F60">
        <w:rPr>
          <w:rFonts w:ascii="Arial Nova" w:hAnsi="Arial Nova" w:eastAsia="Arial Nova" w:cs="Arial Nova"/>
        </w:rPr>
        <w:t xml:space="preserve"> </w:t>
      </w:r>
    </w:p>
    <w:p w:rsidR="00636D9A" w:rsidP="4DB6A9DE" w:rsidRDefault="00636D9A" w14:paraId="53A26A87" w14:textId="4FC4866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7FB39CF1">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4.2 Theme 1: Social Media Influence on Anxiety in Teenage Girls in the UK </w:t>
      </w:r>
    </w:p>
    <w:p w:rsidR="00636D9A" w:rsidP="4DB6A9DE" w:rsidRDefault="00636D9A" w14:paraId="4B029CB1" w14:textId="6177CDA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D503A5B">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ocial media has </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emerged</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one of the most widely discussed contributors to </w:t>
      </w:r>
      <w:r w:rsidRPr="4DB6A9DE" w:rsidR="181BB8CD">
        <w:rPr>
          <w:rFonts w:ascii="Arial Nova" w:hAnsi="Arial Nova" w:eastAsia="Arial Nova" w:cs="Arial Nova"/>
          <w:b w:val="0"/>
          <w:bCs w:val="0"/>
          <w:i w:val="0"/>
          <w:iCs w:val="0"/>
          <w:caps w:val="0"/>
          <w:smallCaps w:val="0"/>
          <w:noProof w:val="0"/>
          <w:color w:val="000000" w:themeColor="text1" w:themeTint="FF" w:themeShade="FF"/>
          <w:sz w:val="22"/>
          <w:szCs w:val="22"/>
          <w:lang w:val="en-GB"/>
        </w:rPr>
        <w:t>rise in</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anxiety levels among teenage girls in the UK. Its influence is complex, multifaceted, and deeply interconnected with broader social, psychological, and developmental processes. This theme explores the impact of social media exposure, online comparison, cyberbullying, and digital connectivity pressures, drawing from contemporary research, psychological theory, and UK-specific evidence.</w:t>
      </w:r>
    </w:p>
    <w:p w:rsidR="00636D9A" w:rsidP="4DB6A9DE" w:rsidRDefault="00636D9A" w14:paraId="0C17577A" w14:textId="10A8A28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Research indicates that teenage girls engage more intensively with visual-based platforms such as Instagram, TikTok, and Snapchat, which expose them to heightened pressures around appearance, popularity, and self-presentation (Kelly et al., 2018). Girls are also more likely than boys to internalise negative feedback, compare themselves with curated online images, and use social media for social validation making them disproportionately vulnerable to anxiety (Fassi, Orben and Przybylski, 2025). This aligns with Social Comparison Theory, which posits that individuals evaluate themselves through comparisons with others, often leading to unfavourable self-judgements when exposed to idealised images (Festinger, 1954). For teenage girls, whose identities are still forming, these comparisons can significantly reduce self-esteem and increase anxiety.</w:t>
      </w:r>
    </w:p>
    <w:p w:rsidR="00636D9A" w:rsidP="4DB6A9DE" w:rsidRDefault="00636D9A" w14:paraId="7495955B" w14:textId="296FE484">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UK-based evidence strengthens this argument. Kelly et al. (2018) found that girls who used social media for more than three hours per day had significantly higher levels of anxiety and depressive symptoms. This relationship was partially mediated by disrupted sleep, online harassment, and reduced physical activity highlighting that social media affects anxiety both directly and indirectly. Similarly, NHS Digital (2022) reported that one in four teenage girls in England </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exhibits</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clinically significant anxiety symptoms, with increased daily screen time and digital exposure among the strongest correlating factors. Although correlation does not imply causation, the consistency of these findings across datasets suggests a robust association.</w:t>
      </w:r>
    </w:p>
    <w:p w:rsidR="00636D9A" w:rsidP="4DB6A9DE" w:rsidRDefault="00636D9A" w14:paraId="77A23587" w14:textId="1C40C49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media’s algorithmic design also plays a role in amplifying anxiety. Platforms reward engagement through “likes</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followers, and comments mechanisms that can create cycles of validation-seeking behaviour. Przybylski’s Need-Satisfaction and Need-Frustration framework suggests that when social needs are met inconsistently, users can experience heightened dissatisfaction and emotional instability (Przybylski et al., 2023). This may explain why girls who post </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often report anxiety about how their content will be received and how they are perceived by peers.</w:t>
      </w:r>
    </w:p>
    <w:p w:rsidR="00636D9A" w:rsidP="4DB6A9DE" w:rsidRDefault="00636D9A" w14:paraId="3DFC6794" w14:textId="516D8EF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Critically, while social media can foster connection and support networks, several studies show that it also exposes young people to cyberbullying, exclusion, and unrealistic beauty standards. YoungMinds (2021) highlight that many teenage girls report feeling “constantly judged online”, with significant proportions experiencing pressure to maintain an idealised digital persona. This can lead to emotional exhaustion, fear of missing out (FOMO), and chronic anxiety linked to maintaining social visibility.</w:t>
      </w:r>
    </w:p>
    <w:p w:rsidR="00636D9A" w:rsidP="4DB6A9DE" w:rsidRDefault="00636D9A" w14:paraId="6931EF65" w14:textId="73F2D89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Another important layer is sleep disruption. Late-night scrolling, notifications, and digital hyper-stimulation have been shown to interfere with adolescent circadian rhythms (Scott and Woods, 2019). Sleep deprivation is well-documented as a predictor of anxiety, and Kelly et al. (2018) demonstrate that girls using social media excessively at night were significantly more likely to report anxiety and low mood. While some argue that sleep issues may simply coexist with anxiety rather than cause it, longitudinal designs used by Kelly et al. (2018) strengthen the case for a causal pathway.</w:t>
      </w:r>
    </w:p>
    <w:p w:rsidR="00636D9A" w:rsidP="4DB6A9DE" w:rsidRDefault="00636D9A" w14:paraId="4E2D2883" w14:textId="3050907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media also intensifies academic pressures. Teenagers often use group chats to discuss homework, exam anxiety, and academic comparison, making stress inescapable outside of school hours (DfE, 2023). The “always on” culture creates a digital environment where girls feel pressure to respond immediately to messages, maintain group participation, and avoid social conflict all of which can escalate anxiety. A critical point here is that anxiety is not produced solely by content viewed, but by the constant connectivity and lack of psychological downtime (Rosen et al., 2020).</w:t>
      </w:r>
    </w:p>
    <w:p w:rsidR="00636D9A" w:rsidP="4DB6A9DE" w:rsidRDefault="00636D9A" w14:paraId="4AA69A47" w14:textId="60144E5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However, it is important to critically evaluate the evidence base. Many studies rely on self-reported data, which may be influenced by recall bias or subjective interpretation. Fassi, Orben and Przybylski (2025) acknowledge that while heavy social media use correlates with anxiety, the effect sizes are modest, and some teenagers may be drawn to social media because they already feel anxious a phenomenon known as reverse causality. Additionally, cross-sectional studies cannot fully determine whether social media causes anxiety or whether anxious individuals use social media differently. Nonetheless, the convergence of quantitative, longitudinal, and qualitative findings across UK sources presents compelling evidence of a meaningful relationship.</w:t>
      </w:r>
    </w:p>
    <w:p w:rsidR="00636D9A" w:rsidP="4DB6A9DE" w:rsidRDefault="00636D9A" w14:paraId="5B4EF009" w14:textId="6CC7B03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Theoretical perspectives deepen understanding of this association. Social Comparison Theory (Festinger, 1954) explains why curated beauty and lifestyle posts trigger anxiety, while Cognitive Vulnerability Theory (Beck, 1976) suggests that individuals with negative core beliefs may interpret online content in ways that reinforce anxiety. Ecological Systems Theory (Bronfenbrenner, 1979) highlights how digital environments interact with family, school, and peer contexts indicating that social media does not operate in isolation but within a broader system of pressures faced by teenage girls.</w:t>
      </w:r>
    </w:p>
    <w:p w:rsidR="00636D9A" w:rsidP="4DB6A9DE" w:rsidRDefault="00636D9A" w14:paraId="432985CC" w14:textId="609A241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A critical issue is gender disparity. NHS Digital (2022) show that girls experience anxiety at nearly double the rate of boys when linked to online appearance pressure, suggesting gender-specific vulnerabilities. Girls are more likely to receive appearance-based comments, engage in photo editing, and use filters behaviours associated with body dissatisfaction and heightened anxiety (Tiggermann and Slater, 2014). Thus, social media’s visual culture disproportionately affects them.</w:t>
      </w:r>
    </w:p>
    <w:p w:rsidR="00636D9A" w:rsidP="4DB6A9DE" w:rsidRDefault="00636D9A" w14:paraId="50071DD8" w14:textId="30744B2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Yet, it would be overly simplistic to portray social media as universally harmful. Some girls use social platforms for support, activism, and creative expression, and YoungMinds (2021) acknowledge that online communities can reduce isolation when used healthily. However, the balance of evidence suggests that for many teenage girls, the psychological costs outweigh the benefits particularly for those already vulnerable.</w:t>
      </w:r>
    </w:p>
    <w:p w:rsidR="00636D9A" w:rsidP="4DB6A9DE" w:rsidRDefault="00636D9A" w14:paraId="644B3F9B" w14:textId="11518E0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Overall, social media acts as a significant contributor to anxiety by shaping self-esteem, identity development, peer relationships, and daily routines. While not a sole cause, it is a powerful amplifier of existing vulnerabilities. The research strongly </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indicates</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social </w:t>
      </w:r>
      <w:r w:rsidRPr="4DB6A9DE"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media exposure is a key environmental factor influencing the rising anxiety levels seen among teenage girls in the UK.</w:t>
      </w:r>
    </w:p>
    <w:p w:rsidR="00636D9A" w:rsidP="4DB6A9DE" w:rsidRDefault="00636D9A" w14:paraId="2739E815" w14:textId="7AF7967F">
      <w:pPr>
        <w:pStyle w:val="Heading1"/>
        <w:rPr>
          <w:rFonts w:ascii="Arial Nova" w:hAnsi="Arial Nova" w:eastAsia="Arial Nova" w:cs="Arial Nova"/>
        </w:rPr>
      </w:pPr>
      <w:r w:rsidRPr="4DB6A9DE" w:rsidR="7058AB2F">
        <w:rPr>
          <w:rFonts w:ascii="Arial Nova" w:hAnsi="Arial Nova" w:eastAsia="Arial Nova" w:cs="Arial Nova"/>
        </w:rPr>
        <w:t xml:space="preserve"> </w:t>
      </w:r>
    </w:p>
    <w:p w:rsidR="00636D9A" w:rsidP="4DB6A9DE" w:rsidRDefault="00636D9A" w14:paraId="3B39D7B4" w14:textId="77777777">
      <w:pPr>
        <w:rPr>
          <w:rFonts w:ascii="Arial Nova" w:hAnsi="Arial Nova" w:eastAsia="Arial Nova" w:cs="Arial Nova"/>
        </w:rPr>
      </w:pPr>
    </w:p>
    <w:p w:rsidRPr="005C5E80" w:rsidR="00636D9A" w:rsidP="4DB6A9DE" w:rsidRDefault="00636D9A" w14:paraId="6F9E5562" w14:textId="33DF082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434A5B85">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4.3 Theme 3: Family and Peer Expectations as Contributors to Anxiety </w:t>
      </w:r>
    </w:p>
    <w:p w:rsidRPr="005C5E80" w:rsidR="00636D9A" w:rsidP="4DB6A9DE" w:rsidRDefault="00636D9A" w14:paraId="2092B861" w14:textId="755E855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34A5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Family and peer expectations play a crucial role in shaping the emotional wellbeing of teenage girls, and they are consistently identified as key contributors to anxiety within this population. Unlike social media and academic pressure which are often external and institutional family and peer expectations </w:t>
      </w:r>
      <w:r w:rsidRPr="4DB6A9DE" w:rsidR="434A5B85">
        <w:rPr>
          <w:rFonts w:ascii="Arial Nova" w:hAnsi="Arial Nova" w:eastAsia="Arial Nova" w:cs="Arial Nova"/>
          <w:b w:val="0"/>
          <w:bCs w:val="0"/>
          <w:i w:val="0"/>
          <w:iCs w:val="0"/>
          <w:caps w:val="0"/>
          <w:smallCaps w:val="0"/>
          <w:noProof w:val="0"/>
          <w:color w:val="000000" w:themeColor="text1" w:themeTint="FF" w:themeShade="FF"/>
          <w:sz w:val="22"/>
          <w:szCs w:val="22"/>
          <w:lang w:val="en-GB"/>
        </w:rPr>
        <w:t>operate</w:t>
      </w:r>
      <w:r w:rsidRPr="4DB6A9DE" w:rsidR="434A5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within intimate relational contexts. These pressures can influence identity formation, self-esteem, and emotional security, making teenage girls particularly sensitive to relational judgement and approval. Evidence from psychology and UK-based studies </w:t>
      </w:r>
      <w:r w:rsidRPr="4DB6A9DE" w:rsidR="434A5B85">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indicates</w:t>
      </w:r>
      <w:r w:rsidRPr="4DB6A9DE" w:rsidR="434A5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unrealistic expectations, relationship conflict, and fear of social exclusion all contribute to elevated anxiety levels.</w:t>
      </w:r>
    </w:p>
    <w:p w:rsidRPr="005C5E80" w:rsidR="00636D9A" w:rsidP="4DB6A9DE" w:rsidRDefault="00636D9A" w14:paraId="04894AF3" w14:textId="538CB64A">
      <w:pPr>
        <w:pStyle w:val="Heading3"/>
        <w:keepNext w:val="1"/>
        <w:keepLines w:val="1"/>
        <w:spacing w:before="281" w:beforeAutospacing="off" w:after="281"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5B527884">
        <w:rPr>
          <w:rFonts w:ascii="Arial Nova" w:hAnsi="Arial Nova" w:eastAsia="Arial Nova" w:cs="Arial Nova"/>
          <w:b w:val="1"/>
          <w:bCs w:val="1"/>
          <w:i w:val="0"/>
          <w:iCs w:val="0"/>
          <w:caps w:val="0"/>
          <w:smallCaps w:val="0"/>
          <w:noProof w:val="0"/>
          <w:color w:val="000000" w:themeColor="text1" w:themeTint="FF" w:themeShade="FF"/>
          <w:sz w:val="24"/>
          <w:szCs w:val="24"/>
          <w:lang w:val="en-GB"/>
        </w:rPr>
        <w:t>Family Expectations and Anxiety</w:t>
      </w:r>
    </w:p>
    <w:p w:rsidRPr="005C5E80" w:rsidR="00636D9A" w:rsidP="4DB6A9DE" w:rsidRDefault="00636D9A" w14:paraId="55CD0060" w14:textId="60C422E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Family environments strongly influence adolescent emotional development, and for many teenage girls, parental expectations can </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represent</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significant stressor. The Department for Education (2023) highlights that girls often report feeling pressured to “make parents proud”, achieve high grades, and conform to behavioural expectations. These pressures may be subtle, expressed through consistent encouragement, or more explicit, such as direct comparisons with high-achieving siblings or peers. This aligns with Beck’s (1976) Cognitive Vulnerability Theory, which suggests that individuals who internalise conditional approval believing they are valued only when they perform well are at heightened risk of anxiety.</w:t>
      </w:r>
    </w:p>
    <w:p w:rsidRPr="005C5E80" w:rsidR="00636D9A" w:rsidP="4DB6A9DE" w:rsidRDefault="00636D9A" w14:paraId="1FCD2A44" w14:textId="11D5388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Attachment Theory further deepens understanding of this issue. According to Bowlby (1969), secure attachment fosters confidence, resilience, and emotional regulation, </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whereas</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insecure attachment can lead to heightened sensitivity to criticism and fear of disappointing caregivers. Teenage girls who experience inconsistent or critical parenting may therefore perceive parental expectations as threats rather than motivations. This can manifest in perfectionistic tendencies and chronic worry about academic or social performance.</w:t>
      </w:r>
    </w:p>
    <w:p w:rsidRPr="005C5E80" w:rsidR="00636D9A" w:rsidP="4DB6A9DE" w:rsidRDefault="00636D9A" w14:paraId="615700D3" w14:textId="2F88A95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Research from the Journal of Adolescence supports this interpretation, showing that girls who report high parental pressure also display higher levels of worry, self-blame, and fear of failure compared to boys (Steinberg and Morris, 2016). Moreover, parental involvement that crosses into control rather than support has been associated with elevated anxiety, particularly among adolescent girls who tend to internalise criticism more deeply. While parental expectations are not inherently negative, the combination of </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high standards</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low emotional reassurance appears particularly detrimental.</w:t>
      </w:r>
    </w:p>
    <w:p w:rsidRPr="005C5E80" w:rsidR="00636D9A" w:rsidP="4DB6A9DE" w:rsidRDefault="00636D9A" w14:paraId="6CD45F8A" w14:textId="20A78DF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UK context adds an important dimension. </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(2021) note that many parents themselves experience stress related to finances, housing, and work, which can unintentionally heighten pressure placed on children. For example, girls may be encouraged to pursue stable, “secure” careers due to parental fears about economic uncertainty. This can lead to internal conflict if the girl’s personal interests differ from parental expectations, contributing to identity-related anxiety.</w:t>
      </w:r>
    </w:p>
    <w:p w:rsidRPr="005C5E80" w:rsidR="00636D9A" w:rsidP="4DB6A9DE" w:rsidRDefault="00636D9A" w14:paraId="4016E70E" w14:textId="2C050408">
      <w:pPr>
        <w:pStyle w:val="Heading3"/>
        <w:keepNext w:val="1"/>
        <w:keepLines w:val="1"/>
        <w:spacing w:before="281" w:beforeAutospacing="off" w:after="281"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5B527884">
        <w:rPr>
          <w:rFonts w:ascii="Arial Nova" w:hAnsi="Arial Nova" w:eastAsia="Arial Nova" w:cs="Arial Nova"/>
          <w:b w:val="1"/>
          <w:bCs w:val="1"/>
          <w:i w:val="0"/>
          <w:iCs w:val="0"/>
          <w:caps w:val="0"/>
          <w:smallCaps w:val="0"/>
          <w:noProof w:val="0"/>
          <w:color w:val="000000" w:themeColor="text1" w:themeTint="FF" w:themeShade="FF"/>
          <w:sz w:val="24"/>
          <w:szCs w:val="24"/>
          <w:lang w:val="en-GB"/>
        </w:rPr>
        <w:t>Peer Expectations and Social Anxiety</w:t>
      </w:r>
    </w:p>
    <w:p w:rsidRPr="005C5E80" w:rsidR="00636D9A" w:rsidP="4DB6A9DE" w:rsidRDefault="00636D9A" w14:paraId="4C4EE2D1" w14:textId="3DABEDD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Peer relationships are central during adolescence, and peer expectations can significantly shape emotional wellbeing. Teenage girls </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navigate complex social dynamics, including group norms, social hierarchies, and expectations around appearance, behaviour, and communication. According to Social Identity Theory (Tajfel and Turner, 1979), adolescents derive part of their self-concept from group membership; therefore, acceptance and approval from peers are critical for emotional security. This makes girls especially vulnerable to anxiety when they perceive themselves as not meeting group norms or expectations.</w:t>
      </w:r>
    </w:p>
    <w:p w:rsidRPr="005C5E80" w:rsidR="00636D9A" w:rsidP="4DB6A9DE" w:rsidRDefault="00636D9A" w14:paraId="235C5C86" w14:textId="7D74385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Peer expectations can manifest in </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various ways</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including pressure to conform to certain styles, behaviours, or interests, as well as pressure to </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participate</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social activities. Research shows that girls often face implicit rules around loyalty, communication styles, and emotional responsiveness within friendship groups (Brown and Larson, 2009). Failure to meet these expectations can lead to fear of exclusion, conflict, or social isolation factors strongly associated with anxiety.</w:t>
      </w:r>
    </w:p>
    <w:p w:rsidRPr="005C5E80" w:rsidR="00636D9A" w:rsidP="4DB6A9DE" w:rsidRDefault="00636D9A" w14:paraId="1F48E0F7" w14:textId="13A3DF3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NHS Digital (2022) highlight that emotional and social difficulties increase sharply during the mid-teen years, with girls disproportionately reporting peer-related worry. For example, girls are more likely than boys to experience anxiety about friendships breaking down, peer judgement, or being left out. The fear of social exclusion, sometimes intensified by social media visibility, is a powerful predictor of anxiety. Girls may worry about group chats, social gatherings, or perceived changes in peer behaviour, leading to hypervigilance and emotional distress.</w:t>
      </w:r>
    </w:p>
    <w:p w:rsidRPr="005C5E80" w:rsidR="00636D9A" w:rsidP="4DB6A9DE" w:rsidRDefault="00636D9A" w14:paraId="5F6647AD" w14:textId="1B820F5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Bullying and relational aggression are also relevant. </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(2021) report that girls are more likely to experience forms of indirect bullying such as gossip, exclusion, or online hostility which often have more enduring psychological effects than overt physical bullying. Peer pressure around appearance, popularity, and relationships can further intensify anxiety, especially when combined with social comparison processes already activated by social media engagement.</w:t>
      </w:r>
    </w:p>
    <w:p w:rsidRPr="005C5E80" w:rsidR="00636D9A" w:rsidP="4DB6A9DE" w:rsidRDefault="00636D9A" w14:paraId="663B91A6" w14:textId="34995BE6">
      <w:pPr>
        <w:pStyle w:val="Heading3"/>
        <w:keepNext w:val="1"/>
        <w:keepLines w:val="1"/>
        <w:spacing w:before="281" w:beforeAutospacing="off" w:after="281"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5B527884">
        <w:rPr>
          <w:rFonts w:ascii="Arial Nova" w:hAnsi="Arial Nova" w:eastAsia="Arial Nova" w:cs="Arial Nova"/>
          <w:b w:val="1"/>
          <w:bCs w:val="1"/>
          <w:i w:val="0"/>
          <w:iCs w:val="0"/>
          <w:caps w:val="0"/>
          <w:smallCaps w:val="0"/>
          <w:noProof w:val="0"/>
          <w:color w:val="000000" w:themeColor="text1" w:themeTint="FF" w:themeShade="FF"/>
          <w:sz w:val="24"/>
          <w:szCs w:val="24"/>
          <w:lang w:val="en-GB"/>
        </w:rPr>
        <w:t>Interactions Between Family and Peer Pressures</w:t>
      </w:r>
    </w:p>
    <w:p w:rsidRPr="005C5E80" w:rsidR="00636D9A" w:rsidP="4DB6A9DE" w:rsidRDefault="00636D9A" w14:paraId="473CF949" w14:textId="604332F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Importantly, family and peer expectations do not </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operate</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independently. Bronfenbrenner’s</w:t>
      </w:r>
      <w:r w:rsidRPr="4DB6A9DE" w:rsidR="5B527884">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(1979) Ecological Systems Theory helps explain how overlapping social environments interact to shape adolescent wellbeing. For example, a girl facing academic pressure from parents may also experience peer pressure to appear effortlessly successful creating a double burden that increases anxiety. Similarly, conflict at home may heighten sensitivity to peer rejection, while peer difficulties can make girls more dependent on parental approval.</w:t>
      </w:r>
    </w:p>
    <w:p w:rsidRPr="005C5E80" w:rsidR="00636D9A" w:rsidP="4DB6A9DE" w:rsidRDefault="00636D9A" w14:paraId="757256B9" w14:textId="38B5460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Studies suggest that girls who receive strong parental emotional support are better able to manage peer-related anxiety and social comparison (Steinberg and Morris, 2016). Conversely, girls lacking secure family support often rely heavily on peer approval, making them more vulnerable to friendship conflict and relational instability. In such cases, both systems reinforce each other in ways that amplify anxiety.</w:t>
      </w:r>
    </w:p>
    <w:p w:rsidRPr="005C5E80" w:rsidR="00636D9A" w:rsidP="4DB6A9DE" w:rsidRDefault="00636D9A" w14:paraId="7FAAB64D" w14:textId="4A244629">
      <w:pPr>
        <w:pStyle w:val="Heading3"/>
        <w:keepNext w:val="1"/>
        <w:keepLines w:val="1"/>
        <w:spacing w:before="281" w:beforeAutospacing="off" w:after="281"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5B527884">
        <w:rPr>
          <w:rFonts w:ascii="Arial Nova" w:hAnsi="Arial Nova" w:eastAsia="Arial Nova" w:cs="Arial Nova"/>
          <w:b w:val="1"/>
          <w:bCs w:val="1"/>
          <w:i w:val="0"/>
          <w:iCs w:val="0"/>
          <w:caps w:val="0"/>
          <w:smallCaps w:val="0"/>
          <w:noProof w:val="0"/>
          <w:color w:val="000000" w:themeColor="text1" w:themeTint="FF" w:themeShade="FF"/>
          <w:sz w:val="24"/>
          <w:szCs w:val="24"/>
          <w:lang w:val="en-GB"/>
        </w:rPr>
        <w:t>Critical Evaluation of the Evidence</w:t>
      </w: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p>
    <w:p w:rsidRPr="005C5E80" w:rsidR="00636D9A" w:rsidP="4DB6A9DE" w:rsidRDefault="00636D9A" w14:paraId="2EFCA57F" w14:textId="490BC03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While the evidence strongly supports the association between expectations and anxiety, several limitations must be acknowledged. Many studies are correlational and cannot prove causation; anxiety may influence how girls interpret expectations, rather than expectations causing anxiety. Cultural factors also play a role: some families may emphasise collectivism or achievement more strongly, affecting how expectations are experienced. Furthermore, most UK data focus on general adolescent populations rather than specifically teenage girls, requiring cautious interpretation.</w:t>
      </w:r>
    </w:p>
    <w:p w:rsidRPr="005C5E80" w:rsidR="00636D9A" w:rsidP="4DB6A9DE" w:rsidRDefault="00636D9A" w14:paraId="3E787E1D" w14:textId="5BD0664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However, the consistency of findings across psychological theory, UK reports, and international literature provides a compelling case for the significance of this theme. Emotional development during adolescence is deeply relational, and family and peer pressures represent core components of girls’ social environments.</w:t>
      </w:r>
    </w:p>
    <w:p w:rsidRPr="005C5E80" w:rsidR="00636D9A" w:rsidP="4DB6A9DE" w:rsidRDefault="00636D9A" w14:paraId="7D99F346" w14:textId="4381C912">
      <w:pPr>
        <w:pStyle w:val="Heading3"/>
        <w:keepNext w:val="1"/>
        <w:keepLines w:val="1"/>
        <w:spacing w:before="281" w:beforeAutospacing="off" w:after="281"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Conclusion</w:t>
      </w:r>
    </w:p>
    <w:p w:rsidRPr="005C5E80" w:rsidR="00636D9A" w:rsidP="4DB6A9DE" w:rsidRDefault="00636D9A" w14:paraId="45FFA7C7" w14:textId="4CF0AFA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Family and peer expectations clearly contribute to heightened anxiety among teenage girls in the UK. Parental pressure, fear of disappointing caregivers, insecure attachment, and conditional approval can undermine emotional security, while peer norms, fear of exclusion, and relational conflict intensify social anxiety. When these pressures combine with academic and social media influences, the result is a complex web of expectations that many girls find overwhelming. This theme demonstrates that anxiety is closely tied to relational dynamics and highlights the need for supportive, emotionally aware environments in both families and peer groups. </w:t>
      </w:r>
    </w:p>
    <w:p w:rsidRPr="005C5E80" w:rsidR="00636D9A" w:rsidP="4DB6A9DE" w:rsidRDefault="00636D9A" w14:paraId="4D908E85" w14:textId="5727B3A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4.5 Theme 4: COVID-19 Impacts on Anxiety Among Teenage Girls in the UK</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Pr="005C5E80" w:rsidR="00636D9A" w:rsidP="4DB6A9DE" w:rsidRDefault="00636D9A" w14:paraId="70120833" w14:textId="50BF414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The COVID-19 pandemic represents one of the most significant social disruptions experienced by young people in recent decades, with evidence consistently showing that teenage girls were disproportionately affected in terms of mental health. Anxiety levels among girls increased sharply during the pandemic due to prolonged social isolation, loss of supportive environments, educational instability, and heightened family stress. This theme critically evaluates how these interacting factors intensified anxiety among teenage girls in the UK and why this group remained particularly vulnerable.</w:t>
      </w:r>
    </w:p>
    <w:p w:rsidRPr="005C5E80" w:rsidR="00636D9A" w:rsidP="4DB6A9DE" w:rsidRDefault="00636D9A" w14:paraId="11260A6D" w14:textId="29EC9BF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NHS Digital (2022) reported a considerable rise in probable mental health conditions among teenage girls during and following the pandemic, with anxiety being one of the most reported difficulties. These findings reflect international patterns identified in a rapid systematic review by Loades et al. (2020), who confirmed that social isolation and loneliness during lockdown were strongly associated with heightened anxiety and depression in adolescents. Although Loades et al. (2020) cover global data, their conclusions align closely with UK trends, suggesting a universal vulnerability among adolescent girls during periods of disrupted social connectivity.</w:t>
      </w:r>
    </w:p>
    <w:p w:rsidRPr="005C5E80" w:rsidR="00636D9A" w:rsidP="4DB6A9DE" w:rsidRDefault="00636D9A" w14:paraId="28225D10" w14:textId="67654428">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Educational Disruption and Academic Anxiety</w:t>
      </w:r>
    </w:p>
    <w:p w:rsidRPr="005C5E80" w:rsidR="00636D9A" w:rsidP="4DB6A9DE" w:rsidRDefault="00636D9A" w14:paraId="4A56F563" w14:textId="48C0C69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Educational instability was a major source of anxiety for teenage girls throughout the pandemic. School closures, inconsistent remote learning, and a sudden reliance on independent study removed the structure and daily support that many adolescents relied upon. The Department for Education (2023) found that girls in particular reported increased worry about falling behind academically, especially when learning environments at home lacked quiet space or digital access. Research by Putwain, Woods and Symes (2016) demonstrate that girls are more prone to internalising academic stress, making them especially vulnerable when educational systems become unpredictable.</w:t>
      </w:r>
    </w:p>
    <w:p w:rsidRPr="005C5E80" w:rsidR="00636D9A" w:rsidP="4DB6A9DE" w:rsidRDefault="00636D9A" w14:paraId="2B3A5F65" w14:textId="1E860AB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The cancellation of GCSE and A-level examinations and the introduction of teacher-assessed grades also contributed to heightened anxiety. Many students expressed uncertainty about whether these assessments would reflect their abilities fairly (Education Policy Institute, 2020). According to Lazarus and Folkman’s (1984) Cognitive Appraisal Theory, anxiety increases when individuals perceive high-stakes outcomes as uncontrollable. For many girls, the loss of predictable assessment exacerbated feelings of instability and reduced confidence in their academic progression.</w:t>
      </w:r>
    </w:p>
    <w:p w:rsidRPr="005C5E80" w:rsidR="00636D9A" w:rsidP="4DB6A9DE" w:rsidRDefault="00636D9A" w14:paraId="6E942526" w14:textId="69C25A65">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Social Isolation and Loss of Peer Support</w:t>
      </w:r>
    </w:p>
    <w:p w:rsidRPr="005C5E80" w:rsidR="00636D9A" w:rsidP="4DB6A9DE" w:rsidRDefault="00636D9A" w14:paraId="55FD5CD4" w14:textId="4C046DF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Adolescence is characterised by increased dependence on peer relationships for emotional validation and identity development. Girls tend to form highly intimate peer bonds (La Greca and Harrison, 2005), making them particularly sensitive to relational disruptions. Lockdowns eliminated opportunities for in-person socialisation, replacing them with digital communication that often-lacked emotional depth. NHS Digital (2022) reported that girls were significantly more likely than boys to experience loneliness and fears about friendship breakdown during extended periods of isolation.</w:t>
      </w:r>
    </w:p>
    <w:p w:rsidRPr="005C5E80" w:rsidR="00636D9A" w:rsidP="4DB6A9DE" w:rsidRDefault="00636D9A" w14:paraId="030CD968" w14:textId="38DAD4A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This aligns with Bronfenbrenner’s (1979) Ecological Systems Theory, which emphasises that wellbeing depends on stable interactions within key social systems including school, family and peer environments. When schools closed and peer contact diminished, multiple layers of support were simultaneously disrupted. According to Loades et al. (2020), loneliness experienced during lockdown has long-term consequences, indicating that many girls may continue to feel its effects years after initial social restrictions.</w:t>
      </w:r>
    </w:p>
    <w:p w:rsidRPr="005C5E80" w:rsidR="00636D9A" w:rsidP="4DB6A9DE" w:rsidRDefault="00636D9A" w14:paraId="3F8D5FF3" w14:textId="6F115EF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While digital communication provided some connection, it also introduced challenges. Studies such as Vannucci, Flannery and Ohannessian (2017) show that increased social media use is associated with higher anxiety levels, particularly among adolescent girls. Interpreting online interactions without the nuance of face-to-face communication also increased the potential for misunderstandings, exclusion, or intensified social comparison.</w:t>
      </w:r>
    </w:p>
    <w:p w:rsidRPr="005C5E80" w:rsidR="00636D9A" w:rsidP="4DB6A9DE" w:rsidRDefault="00636D9A" w14:paraId="0600DEDE" w14:textId="2FEF63D2">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Family Stress and Emotional Climate</w:t>
      </w:r>
    </w:p>
    <w:p w:rsidRPr="005C5E80" w:rsidR="00636D9A" w:rsidP="4DB6A9DE" w:rsidRDefault="00636D9A" w14:paraId="23AB18B7" w14:textId="2306D91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Lockdowns placed significant strain on families, with many households experiencing financial pressures, job loss, overcrowding, and heightened parental stress. These stressors had a direct impact on teenage girls’ emotional wellbeing. Evans and English (2002) found that exposure to multiple stressors within the home environment is strongly linked to socioemotional difficulties in young people, including anxiety. Girls were especially vulnerable in homes where they took on additional responsibilities, such as supporting siblings or managing increased household tasks (YoungMinds, 2021).</w:t>
      </w:r>
    </w:p>
    <w:p w:rsidRPr="005C5E80" w:rsidR="00636D9A" w:rsidP="4DB6A9DE" w:rsidRDefault="00636D9A" w14:paraId="264697D9" w14:textId="0F163519">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Furthermore, Attachment Theory (Bowlby, 1969) suggests that adolescents rely on emotionally available caregivers for regulation during stressful periods. When parents themselves were overwhelmed, their reduced availability may have intensified anxiety among girls who needed support. Research by Muris and Meesters (2002) shows that young people from families with higher conflict levels or inconsistent emotional support experience significantly greater anxiety symptoms patterns likely exacerbated during lockdown.</w:t>
      </w:r>
    </w:p>
    <w:p w:rsidRPr="005C5E80" w:rsidR="00636D9A" w:rsidP="4DB6A9DE" w:rsidRDefault="00636D9A" w14:paraId="4B6A7A4A" w14:textId="213086C5">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Health Anxiety and Media Exposure</w:t>
      </w:r>
    </w:p>
    <w:p w:rsidRPr="005C5E80" w:rsidR="00636D9A" w:rsidP="4DB6A9DE" w:rsidRDefault="00636D9A" w14:paraId="317AA6C8" w14:textId="6C5CAC1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Health anxiety also increased during the pandemic, with teenage girls reporting </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high levels</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worry about contracting COVID-19 or transmitting it to vulnerable family members (NHS Digital, 2022). Media consumption amplified these concerns: constant exposure to alarming headlines, infection statistics and social media discussions heightened fear responses. Festinger’s (1954) Social Comparison Theory helps explain why digital exposure intensified anxiety; girls often compare their experiences and fears with those of peers online, reinforcing heightened worry.</w:t>
      </w:r>
    </w:p>
    <w:p w:rsidRPr="005C5E80" w:rsidR="00636D9A" w:rsidP="4DB6A9DE" w:rsidRDefault="00636D9A" w14:paraId="35E1EE33" w14:textId="716AED4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Vannucci, Flannery and Ohannessian (2017) argue that adolescents who engage more </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digital media are at greater risk of anxiety, particularly when consuming emotionally charged or ambiguous information. This suggests that increased online activity during lockdown while n</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ecessary for social connection may have inadvertently intensified health-related anxieties.</w:t>
      </w:r>
    </w:p>
    <w:p w:rsidRPr="005C5E80" w:rsidR="00636D9A" w:rsidP="4DB6A9DE" w:rsidRDefault="00636D9A" w14:paraId="74436F1C" w14:textId="2F989AA0">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Persisting Post-Pandemic Effects</w:t>
      </w:r>
    </w:p>
    <w:p w:rsidRPr="005C5E80" w:rsidR="00636D9A" w:rsidP="4DB6A9DE" w:rsidRDefault="00636D9A" w14:paraId="2421F07C" w14:textId="6A1C339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Although formal restrictions have ended, the pandemic’s psychological impact persists. The Mental Health Foundation (2021) reported ongoing increases in anxiety and stress symptoms in young people, with girls particularly affected. Missing key developmental milestones such as school transitions, exams, and social events has left some feeling behind socially or academically. Loades et al. (2020) emphasise that loneliness and isolation during adolescence can have long-term mental health consequences, suggesting that COVID-19 may have lasting effects on this cohort.</w:t>
      </w:r>
    </w:p>
    <w:p w:rsidRPr="005C5E80" w:rsidR="00636D9A" w:rsidP="4DB6A9DE" w:rsidRDefault="00636D9A" w14:paraId="60AFEA4D" w14:textId="4EC3076A">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Critical Evaluation</w:t>
      </w:r>
    </w:p>
    <w:p w:rsidRPr="005C5E80" w:rsidR="00636D9A" w:rsidP="4DB6A9DE" w:rsidRDefault="00636D9A" w14:paraId="2D7CA2BC" w14:textId="54DAF1E0">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While the literature overwhelmingly supports the link between COVID-19 and increased anxiety among teenage girls, limitations are </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evident</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Much data relies on self-report surveys conducted during periods of heightened emotional distress, potentially inflating symptom reports. Additionally, some national datasets do not fully distinguish gender-specific pathways, limiting precise interpretation. Despite this, triangulation across UK-based reports, international systematic reviews, and theoretical frameworks provides strong, converging evidence that COVID-19 had a disproportionately negative impact on girls</w:t>
      </w:r>
      <w:r w:rsidRPr="4DB6A9DE" w:rsidR="08C829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DB6A9DE" w:rsidR="08C8296A">
        <w:rPr>
          <w:rFonts w:ascii="Arial Nova" w:hAnsi="Arial Nova" w:eastAsia="Arial Nova" w:cs="Arial Nova"/>
          <w:noProof w:val="0"/>
          <w:sz w:val="22"/>
          <w:szCs w:val="22"/>
          <w:lang w:val="en-GB"/>
        </w:rPr>
        <w:t xml:space="preserve">(Loades et al., 2020). </w:t>
      </w:r>
    </w:p>
    <w:p w:rsidRPr="005C5E80" w:rsidR="00636D9A" w:rsidP="4DB6A9DE" w:rsidRDefault="00636D9A" w14:paraId="6D810DCC" w14:textId="766BF0F5">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Conclusion</w:t>
      </w:r>
    </w:p>
    <w:p w:rsidRPr="005C5E80" w:rsidR="00636D9A" w:rsidP="4DB6A9DE" w:rsidRDefault="00636D9A" w14:paraId="6356BB5E" w14:textId="5B98E1E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COVID-19 amplified pre-existing vulnerabilities among teenage girls and introduced new stressors that collectively heightened anxiety. Educational disruption, social isolation, family stress, health fears, and increased digital exposure interacted to create a complex emotional environment with both immediate and long-lasting effects. Understanding these impacts is essential for designing targeted interventions to support adolescent girls in the post-pandemic landscape. </w:t>
      </w:r>
    </w:p>
    <w:p w:rsidRPr="005C5E80" w:rsidR="00636D9A" w:rsidP="4DB6A9DE" w:rsidRDefault="00636D9A" w14:paraId="3FBE1190" w14:textId="4E174D4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4.6 Summary of Findings</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Pr="005C5E80" w:rsidR="00636D9A" w:rsidP="4DB6A9DE" w:rsidRDefault="00636D9A" w14:paraId="0DBC7B2F" w14:textId="3DF004E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table below synthesises the main findings from the thematic analysis and </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demonstrates</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how the literature converges to </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4DB6A9DE"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key contributors to anxiety among teenage girls in the UK.</w:t>
      </w:r>
      <w:r w:rsidRPr="4DB6A9DE"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ook w:val="06A0" w:firstRow="1" w:lastRow="0" w:firstColumn="1" w:lastColumn="0" w:noHBand="1" w:noVBand="1"/>
      </w:tblPr>
      <w:tblGrid>
        <w:gridCol w:w="2254"/>
        <w:gridCol w:w="2655"/>
        <w:gridCol w:w="2445"/>
        <w:gridCol w:w="1778"/>
      </w:tblGrid>
      <w:tr w:rsidR="4DB6A9DE" w:rsidTr="4DB6A9DE" w14:paraId="19CE8938">
        <w:trPr>
          <w:trHeight w:val="300"/>
        </w:trPr>
        <w:tc>
          <w:tcPr>
            <w:tcW w:w="2254" w:type="dxa"/>
            <w:tcMar/>
          </w:tcPr>
          <w:p w:rsidR="2AB437AF" w:rsidRDefault="2AB437AF" w14:paraId="234A3C9C" w14:textId="4ACF3B8D">
            <w:r w:rsidRPr="4DB6A9DE"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Theme </w:t>
            </w:r>
            <w:r w:rsidRPr="4DB6A9DE" w:rsidR="2AB437AF">
              <w:rPr>
                <w:rFonts w:ascii="Arial Nova" w:hAnsi="Arial Nova" w:eastAsia="Arial Nova" w:cs="Arial Nova"/>
                <w:noProof w:val="0"/>
                <w:sz w:val="22"/>
                <w:szCs w:val="22"/>
                <w:lang w:val="en-GB"/>
              </w:rPr>
              <w:t xml:space="preserve"> </w:t>
            </w:r>
          </w:p>
          <w:p w:rsidR="4DB6A9DE" w:rsidP="4DB6A9DE" w:rsidRDefault="4DB6A9DE" w14:paraId="074B15B3" w14:textId="5FD6C03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2655" w:type="dxa"/>
            <w:tcMar/>
          </w:tcPr>
          <w:p w:rsidR="2AB437AF" w:rsidRDefault="2AB437AF" w14:paraId="0ACF6A86" w14:textId="5239E730">
            <w:r w:rsidRPr="4DB6A9DE"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Key Findings </w:t>
            </w:r>
            <w:r w:rsidRPr="4DB6A9DE" w:rsidR="2AB437AF">
              <w:rPr>
                <w:rFonts w:ascii="Arial Nova" w:hAnsi="Arial Nova" w:eastAsia="Arial Nova" w:cs="Arial Nova"/>
                <w:noProof w:val="0"/>
                <w:sz w:val="22"/>
                <w:szCs w:val="22"/>
                <w:lang w:val="en-GB"/>
              </w:rPr>
              <w:t xml:space="preserve"> </w:t>
            </w:r>
          </w:p>
          <w:p w:rsidR="2AB437AF" w:rsidP="4DB6A9DE" w:rsidRDefault="2AB437AF" w14:paraId="7E1BC536" w14:textId="659D8306">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445" w:type="dxa"/>
            <w:tcMar/>
          </w:tcPr>
          <w:p w:rsidR="2AB437AF" w:rsidRDefault="2AB437AF" w14:paraId="4B7A7162" w14:textId="207119F9">
            <w:r w:rsidRPr="4DB6A9DE"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Supporting Evidence </w:t>
            </w:r>
            <w:r w:rsidRPr="4DB6A9DE" w:rsidR="2AB437AF">
              <w:rPr>
                <w:rFonts w:ascii="Arial Nova" w:hAnsi="Arial Nova" w:eastAsia="Arial Nova" w:cs="Arial Nova"/>
                <w:noProof w:val="0"/>
                <w:sz w:val="22"/>
                <w:szCs w:val="22"/>
                <w:lang w:val="en-GB"/>
              </w:rPr>
              <w:t xml:space="preserve"> </w:t>
            </w:r>
          </w:p>
          <w:p w:rsidR="2AB437AF" w:rsidP="4DB6A9DE" w:rsidRDefault="2AB437AF" w14:paraId="18E54C00" w14:textId="03723FEF">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778" w:type="dxa"/>
            <w:tcMar/>
          </w:tcPr>
          <w:p w:rsidR="2AB437AF" w:rsidP="4DB6A9DE" w:rsidRDefault="2AB437AF" w14:paraId="77B59339" w14:textId="09499006">
            <w:pPr>
              <w:rPr>
                <w:rFonts w:ascii="Arial Nova" w:hAnsi="Arial Nova" w:eastAsia="Arial Nova" w:cs="Arial Nova"/>
                <w:noProof w:val="0"/>
                <w:sz w:val="22"/>
                <w:szCs w:val="22"/>
                <w:lang w:val="en-GB"/>
              </w:rPr>
            </w:pPr>
            <w:r w:rsidRPr="4DB6A9DE"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Critical Notes</w:t>
            </w:r>
          </w:p>
          <w:p w:rsidR="2AB437AF" w:rsidP="4DB6A9DE" w:rsidRDefault="2AB437AF" w14:paraId="23DDCD1A" w14:textId="379A949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4DB6A9DE" w:rsidTr="4DB6A9DE" w14:paraId="71B5225E">
        <w:trPr>
          <w:trHeight w:val="3420"/>
        </w:trPr>
        <w:tc>
          <w:tcPr>
            <w:tcW w:w="2254" w:type="dxa"/>
            <w:tcMar/>
          </w:tcPr>
          <w:p w:rsidR="321A0853" w:rsidP="4DB6A9DE" w:rsidRDefault="321A0853" w14:paraId="1CF4860E" w14:textId="2661623B">
            <w:pPr>
              <w:pStyle w:val="Normal"/>
            </w:pPr>
            <w:r w:rsidRPr="4DB6A9DE" w:rsidR="321A0853">
              <w:rPr>
                <w:rFonts w:ascii="Arial Nova" w:hAnsi="Arial Nova" w:eastAsia="Arial Nova" w:cs="Arial Nova"/>
                <w:noProof w:val="0"/>
                <w:sz w:val="22"/>
                <w:szCs w:val="22"/>
                <w:lang w:val="en-GB"/>
              </w:rPr>
              <w:t xml:space="preserve">Theme 1: Social Media Influence </w:t>
            </w:r>
            <w:r w:rsidRPr="4DB6A9DE" w:rsidR="2AB437AF">
              <w:rPr>
                <w:rFonts w:ascii="Arial Nova" w:hAnsi="Arial Nova" w:eastAsia="Arial Nova" w:cs="Arial Nova"/>
                <w:noProof w:val="0"/>
                <w:sz w:val="22"/>
                <w:szCs w:val="22"/>
                <w:lang w:val="en-GB"/>
              </w:rPr>
              <w:t xml:space="preserve"> </w:t>
            </w:r>
          </w:p>
          <w:p w:rsidR="2AB437AF" w:rsidP="4DB6A9DE" w:rsidRDefault="2AB437AF" w14:paraId="5A250EC2" w14:textId="6ECCE53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655" w:type="dxa"/>
            <w:tcMar/>
          </w:tcPr>
          <w:p w:rsidR="684B94C9" w:rsidRDefault="684B94C9" w14:paraId="1BCE6064" w14:textId="33B79A79">
            <w:r w:rsidRPr="4DB6A9DE" w:rsidR="684B94C9">
              <w:rPr>
                <w:rFonts w:ascii="Arial Nova" w:hAnsi="Arial Nova" w:eastAsia="Arial Nova" w:cs="Arial Nova"/>
                <w:noProof w:val="0"/>
                <w:sz w:val="22"/>
                <w:szCs w:val="22"/>
                <w:lang w:val="en-GB"/>
              </w:rPr>
              <w:t xml:space="preserve"> Anxiety increased due to social comparison and body image pressure. </w:t>
            </w:r>
          </w:p>
          <w:p w:rsidR="684B94C9" w:rsidRDefault="684B94C9" w14:paraId="4817FAD0" w14:textId="3106823A">
            <w:r w:rsidRPr="4DB6A9DE" w:rsidR="684B94C9">
              <w:rPr>
                <w:rFonts w:ascii="Arial Nova" w:hAnsi="Arial Nova" w:eastAsia="Arial Nova" w:cs="Arial Nova"/>
                <w:noProof w:val="0"/>
                <w:sz w:val="22"/>
                <w:szCs w:val="22"/>
                <w:lang w:val="en-GB"/>
              </w:rPr>
              <w:t xml:space="preserve">Girls more vulnerable due to relational sensitivity. </w:t>
            </w:r>
          </w:p>
          <w:p w:rsidR="684B94C9" w:rsidP="4DB6A9DE" w:rsidRDefault="684B94C9" w14:paraId="53626E55" w14:textId="15A0E107">
            <w:pPr>
              <w:pStyle w:val="Normal"/>
            </w:pPr>
            <w:r w:rsidRPr="4DB6A9DE" w:rsidR="684B94C9">
              <w:rPr>
                <w:rFonts w:ascii="Arial Nova" w:hAnsi="Arial Nova" w:eastAsia="Arial Nova" w:cs="Arial Nova"/>
                <w:noProof w:val="0"/>
                <w:sz w:val="22"/>
                <w:szCs w:val="22"/>
                <w:lang w:val="en-GB"/>
              </w:rPr>
              <w:t>Online interaction overload increases emotional distress</w:t>
            </w:r>
          </w:p>
        </w:tc>
        <w:tc>
          <w:tcPr>
            <w:tcW w:w="2445" w:type="dxa"/>
            <w:tcMar/>
          </w:tcPr>
          <w:p w:rsidR="1540B9EE" w:rsidRDefault="1540B9EE" w14:paraId="067EAF3C" w14:textId="5D801265">
            <w:r w:rsidRPr="4DB6A9DE" w:rsidR="1540B9EE">
              <w:rPr>
                <w:rFonts w:ascii="Arial Nova" w:hAnsi="Arial Nova" w:eastAsia="Arial Nova" w:cs="Arial Nova"/>
                <w:noProof w:val="0"/>
                <w:sz w:val="22"/>
                <w:szCs w:val="22"/>
                <w:lang w:val="en-GB"/>
              </w:rPr>
              <w:t xml:space="preserve">Kelly et al. (2018); </w:t>
            </w:r>
            <w:r w:rsidRPr="4DB6A9DE" w:rsidR="1540B9EE">
              <w:rPr>
                <w:rFonts w:ascii="Arial Nova" w:hAnsi="Arial Nova" w:eastAsia="Arial Nova" w:cs="Arial Nova"/>
                <w:noProof w:val="0"/>
                <w:sz w:val="22"/>
                <w:szCs w:val="22"/>
                <w:lang w:val="en-GB"/>
              </w:rPr>
              <w:t xml:space="preserve">Vannucci et al. (2017); </w:t>
            </w:r>
          </w:p>
          <w:p w:rsidR="1540B9EE" w:rsidRDefault="1540B9EE" w14:paraId="0BBA7FFB" w14:textId="3F26CD25">
            <w:r w:rsidRPr="4DB6A9DE" w:rsidR="1540B9EE">
              <w:rPr>
                <w:rFonts w:ascii="Arial Nova" w:hAnsi="Arial Nova" w:eastAsia="Arial Nova" w:cs="Arial Nova"/>
                <w:noProof w:val="0"/>
                <w:sz w:val="22"/>
                <w:szCs w:val="22"/>
                <w:lang w:val="en-GB"/>
              </w:rPr>
              <w:t xml:space="preserve">Tiggemann &amp; Slater (2014); </w:t>
            </w:r>
          </w:p>
          <w:p w:rsidR="1540B9EE" w:rsidP="4DB6A9DE" w:rsidRDefault="1540B9EE" w14:paraId="1AA0A528" w14:textId="13B406CA">
            <w:pPr>
              <w:pStyle w:val="Normal"/>
            </w:pPr>
            <w:r w:rsidRPr="4DB6A9DE" w:rsidR="1540B9EE">
              <w:rPr>
                <w:rFonts w:ascii="Arial Nova" w:hAnsi="Arial Nova" w:eastAsia="Arial Nova" w:cs="Arial Nova"/>
                <w:noProof w:val="0"/>
                <w:sz w:val="22"/>
                <w:szCs w:val="22"/>
                <w:lang w:val="en-GB"/>
              </w:rPr>
              <w:t>Festinger (1954).</w:t>
            </w:r>
          </w:p>
        </w:tc>
        <w:tc>
          <w:tcPr>
            <w:tcW w:w="1778" w:type="dxa"/>
            <w:tcMar/>
          </w:tcPr>
          <w:p w:rsidR="2E980465" w:rsidP="4DB6A9DE" w:rsidRDefault="2E980465" w14:paraId="7AD87E0F" w14:textId="12F035C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Not all social media use is harmful. </w:t>
            </w:r>
          </w:p>
          <w:p w:rsidR="2E980465" w:rsidP="4DB6A9DE" w:rsidRDefault="2E980465" w14:paraId="704A0BB1" w14:textId="2D91308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Self-report data limits objectivity. </w:t>
            </w:r>
          </w:p>
          <w:p w:rsidR="2E980465" w:rsidP="4DB6A9DE" w:rsidRDefault="2E980465" w14:paraId="45B76E19" w14:textId="560E8F71">
            <w:pPr>
              <w:pStyle w:val="Normal"/>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Hard to </w:t>
            </w: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determine</w:t>
            </w: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causation. </w:t>
            </w:r>
          </w:p>
        </w:tc>
      </w:tr>
      <w:tr w:rsidR="4DB6A9DE" w:rsidTr="4DB6A9DE" w14:paraId="3D5A1BAA">
        <w:trPr>
          <w:trHeight w:val="1380"/>
        </w:trPr>
        <w:tc>
          <w:tcPr>
            <w:tcW w:w="2254" w:type="dxa"/>
            <w:tcMar/>
          </w:tcPr>
          <w:p w:rsidR="2E980465" w:rsidP="4DB6A9DE" w:rsidRDefault="2E980465" w14:paraId="7D13793C" w14:textId="7AF17AFF">
            <w:pPr>
              <w:rPr>
                <w:rFonts w:ascii="Arial Nova" w:hAnsi="Arial Nova" w:eastAsia="Arial Nova" w:cs="Arial Nova"/>
                <w:noProof w:val="0"/>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Theme 2: Academic Pressure</w:t>
            </w:r>
          </w:p>
          <w:p w:rsidR="2E980465" w:rsidP="4DB6A9DE" w:rsidRDefault="2E980465" w14:paraId="1E176082" w14:textId="3C258CE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655" w:type="dxa"/>
            <w:tcMar/>
          </w:tcPr>
          <w:p w:rsidR="2E980465" w:rsidP="4DB6A9DE" w:rsidRDefault="2E980465" w14:paraId="19A4A119" w14:textId="1DF7E3B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High expectations, perfectionism and exam stress heighten anxiety. </w:t>
            </w:r>
          </w:p>
          <w:p w:rsidR="2E980465" w:rsidP="4DB6A9DE" w:rsidRDefault="2E980465" w14:paraId="714C566D" w14:textId="75112B1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Disrupted learning during COVID-19 worsened academic stress. </w:t>
            </w:r>
          </w:p>
          <w:p w:rsidR="2E980465" w:rsidP="4DB6A9DE" w:rsidRDefault="2E980465" w14:paraId="041AED67" w14:textId="4C107D2B">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Girls internalise academic pressure more.</w:t>
            </w:r>
          </w:p>
          <w:p w:rsidR="4DB6A9DE" w:rsidP="4DB6A9DE" w:rsidRDefault="4DB6A9DE" w14:paraId="0FCB99A9" w14:textId="343C023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2445" w:type="dxa"/>
            <w:tcMar/>
          </w:tcPr>
          <w:p w:rsidR="2E980465" w:rsidP="4DB6A9DE" w:rsidRDefault="2E980465" w14:paraId="374C07C1" w14:textId="44C65EA5">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DfE (2023); </w:t>
            </w:r>
          </w:p>
          <w:p w:rsidR="2E980465" w:rsidP="4DB6A9DE" w:rsidRDefault="2E980465" w14:paraId="793620C1" w14:textId="69DBE60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Putwain et al. (2016); </w:t>
            </w:r>
          </w:p>
          <w:p w:rsidR="2E980465" w:rsidP="4DB6A9DE" w:rsidRDefault="2E980465" w14:paraId="40464887" w14:textId="1D0A2023">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Lazarus &amp; Folkman (1984).</w:t>
            </w:r>
          </w:p>
          <w:p w:rsidR="2E980465" w:rsidP="4DB6A9DE" w:rsidRDefault="2E980465" w14:paraId="62792DE7" w14:textId="3977852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778" w:type="dxa"/>
            <w:tcMar/>
          </w:tcPr>
          <w:p w:rsidR="2E980465" w:rsidP="4DB6A9DE" w:rsidRDefault="2E980465" w14:paraId="5BC57CAF" w14:textId="740F241B">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Academic pressure varies by school context. </w:t>
            </w:r>
          </w:p>
          <w:p w:rsidR="2E980465" w:rsidP="4DB6A9DE" w:rsidRDefault="2E980465" w14:paraId="0FB3D9BE" w14:textId="60A0E66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Limited gender-specific data. </w:t>
            </w:r>
          </w:p>
          <w:p w:rsidR="2E980465" w:rsidP="4DB6A9DE" w:rsidRDefault="2E980465" w14:paraId="051E71BE" w14:textId="69678DF7">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Perfectionism is multi-factorial.</w:t>
            </w:r>
          </w:p>
          <w:p w:rsidR="4DB6A9DE" w:rsidP="4DB6A9DE" w:rsidRDefault="4DB6A9DE" w14:paraId="5E408268" w14:textId="536415D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r>
      <w:tr w:rsidR="4DB6A9DE" w:rsidTr="4DB6A9DE" w14:paraId="356D77F3">
        <w:trPr>
          <w:trHeight w:val="1380"/>
        </w:trPr>
        <w:tc>
          <w:tcPr>
            <w:tcW w:w="2254" w:type="dxa"/>
            <w:tcMar/>
          </w:tcPr>
          <w:p w:rsidR="2E980465" w:rsidP="4DB6A9DE" w:rsidRDefault="2E980465" w14:paraId="40986907" w14:textId="02727C8A">
            <w:pPr>
              <w:rPr>
                <w:rFonts w:ascii="Arial Nova" w:hAnsi="Arial Nova" w:eastAsia="Arial Nova" w:cs="Arial Nova"/>
                <w:noProof w:val="0"/>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Theme 3: Family and Peer Expectations</w:t>
            </w:r>
          </w:p>
          <w:p w:rsidR="4DB6A9DE" w:rsidP="4DB6A9DE" w:rsidRDefault="4DB6A9DE" w14:paraId="4787DFF7" w14:textId="4A8D0DB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2655" w:type="dxa"/>
            <w:tcMar/>
          </w:tcPr>
          <w:p w:rsidR="2E980465" w:rsidP="4DB6A9DE" w:rsidRDefault="2E980465" w14:paraId="732D77F9" w14:textId="1A3092C3">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Parental pressure and conditional approval increase anxiety. </w:t>
            </w:r>
          </w:p>
          <w:p w:rsidR="2E980465" w:rsidP="4DB6A9DE" w:rsidRDefault="2E980465" w14:paraId="47B8BD05" w14:textId="34F7EFAB">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Peer norms, exclusion fears and relational conflict impact girls strongly. </w:t>
            </w:r>
          </w:p>
          <w:p w:rsidR="2E980465" w:rsidP="4DB6A9DE" w:rsidRDefault="2E980465" w14:paraId="3EECA0AE" w14:textId="4D28C97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Girls depend more on relational validation.</w:t>
            </w:r>
          </w:p>
          <w:p w:rsidR="2E980465" w:rsidP="4DB6A9DE" w:rsidRDefault="2E980465" w14:paraId="47751CBD" w14:textId="4CB8EC6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445" w:type="dxa"/>
            <w:tcMar/>
          </w:tcPr>
          <w:p w:rsidR="2E980465" w:rsidP="4DB6A9DE" w:rsidRDefault="2E980465" w14:paraId="3A74C61B" w14:textId="6F5CD453">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Parental pressure and conditional approval increase anxiety. </w:t>
            </w:r>
          </w:p>
          <w:p w:rsidR="2E980465" w:rsidP="4DB6A9DE" w:rsidRDefault="2E980465" w14:paraId="7DAC3AE1" w14:textId="503896AF">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Peer norms, exclusion fears and relational conflict impact girls strongly. </w:t>
            </w:r>
          </w:p>
          <w:p w:rsidR="2E980465" w:rsidP="4DB6A9DE" w:rsidRDefault="2E980465" w14:paraId="77E302FF" w14:textId="362D1D3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Girls depend more on relational validation.</w:t>
            </w:r>
          </w:p>
          <w:p w:rsidR="4DB6A9DE" w:rsidP="4DB6A9DE" w:rsidRDefault="4DB6A9DE" w14:paraId="5F73ABBF" w14:textId="0D88D25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778" w:type="dxa"/>
            <w:tcMar/>
          </w:tcPr>
          <w:p w:rsidR="2E980465" w:rsidP="4DB6A9DE" w:rsidRDefault="2E980465" w14:paraId="3FA492E2" w14:textId="21A94447">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Some expectations can be supportive. </w:t>
            </w:r>
          </w:p>
          <w:p w:rsidR="2E980465" w:rsidP="4DB6A9DE" w:rsidRDefault="2E980465" w14:paraId="106EE2B3" w14:textId="14E355A0">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Peer dynamics vary across schools. </w:t>
            </w:r>
          </w:p>
          <w:p w:rsidR="2E980465" w:rsidP="4DB6A9DE" w:rsidRDefault="2E980465" w14:paraId="5569CE9B" w14:textId="3F861805">
            <w:pPr>
              <w:pStyle w:val="Normal"/>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Small samples limit generalisability</w:t>
            </w:r>
          </w:p>
        </w:tc>
      </w:tr>
      <w:tr w:rsidR="4DB6A9DE" w:rsidTr="4DB6A9DE" w14:paraId="6B4119C7">
        <w:trPr>
          <w:trHeight w:val="1530"/>
        </w:trPr>
        <w:tc>
          <w:tcPr>
            <w:tcW w:w="2254" w:type="dxa"/>
            <w:tcMar/>
          </w:tcPr>
          <w:p w:rsidR="2E980465" w:rsidP="4DB6A9DE" w:rsidRDefault="2E980465" w14:paraId="1862A21D" w14:textId="4FE6CF40">
            <w:pPr>
              <w:rPr>
                <w:rFonts w:ascii="Arial Nova" w:hAnsi="Arial Nova" w:eastAsia="Arial Nova" w:cs="Arial Nova"/>
                <w:noProof w:val="0"/>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Theme 4: COVID-19 Impacts</w:t>
            </w:r>
          </w:p>
          <w:p w:rsidR="2E980465" w:rsidP="4DB6A9DE" w:rsidRDefault="2E980465" w14:paraId="43698B93" w14:textId="02237F6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655" w:type="dxa"/>
            <w:tcMar/>
          </w:tcPr>
          <w:p w:rsidR="2E980465" w:rsidP="4DB6A9DE" w:rsidRDefault="2E980465" w14:paraId="151B0F47" w14:textId="33300F6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Anxiety increased due to isolation, disrupted routines, academic uncertainty and family stress. </w:t>
            </w:r>
          </w:p>
          <w:p w:rsidR="2E980465" w:rsidP="4DB6A9DE" w:rsidRDefault="2E980465" w14:paraId="2EB4FBE1" w14:textId="2663ACEF">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Girls more affected than boys.  Loneliness produced lasting effects.</w:t>
            </w:r>
          </w:p>
          <w:p w:rsidR="2E980465" w:rsidP="4DB6A9DE" w:rsidRDefault="2E980465" w14:paraId="2A726779" w14:textId="70AE492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445" w:type="dxa"/>
            <w:tcMar/>
          </w:tcPr>
          <w:p w:rsidR="2E980465" w:rsidP="4DB6A9DE" w:rsidRDefault="2E980465" w14:paraId="21D72BEA" w14:textId="5369DF2F">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Digital (2022); </w:t>
            </w:r>
          </w:p>
          <w:p w:rsidR="2E980465" w:rsidP="4DB6A9DE" w:rsidRDefault="2E980465" w14:paraId="081DF7BA" w14:textId="2BA0E1E7">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Loades et al. (2020); </w:t>
            </w:r>
          </w:p>
          <w:p w:rsidR="2E980465" w:rsidP="4DB6A9DE" w:rsidRDefault="2E980465" w14:paraId="11AC4265" w14:textId="5E48A25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Evans &amp; English (2002); </w:t>
            </w:r>
          </w:p>
          <w:p w:rsidR="2E980465" w:rsidP="4DB6A9DE" w:rsidRDefault="2E980465" w14:paraId="7CC5F053" w14:textId="45975D6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YoungMinds (2021); </w:t>
            </w:r>
          </w:p>
          <w:p w:rsidR="2E980465" w:rsidP="4DB6A9DE" w:rsidRDefault="2E980465" w14:paraId="04282BD4" w14:textId="21B13FF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Bronfenbrenner (1979).</w:t>
            </w:r>
          </w:p>
          <w:p w:rsidR="2E980465" w:rsidP="4DB6A9DE" w:rsidRDefault="2E980465" w14:paraId="61F18D12" w14:textId="6C1CA6F7">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778" w:type="dxa"/>
            <w:tcMar/>
          </w:tcPr>
          <w:p w:rsidR="2E980465" w:rsidP="4DB6A9DE" w:rsidRDefault="2E980465" w14:paraId="300DABB8" w14:textId="1AF4387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Crisis-period data may exaggerate impact. </w:t>
            </w:r>
          </w:p>
          <w:p w:rsidR="2E980465" w:rsidP="4DB6A9DE" w:rsidRDefault="2E980465" w14:paraId="26456720" w14:textId="59BA4F83">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Long-term outcomes still emerging. </w:t>
            </w:r>
          </w:p>
          <w:p w:rsidR="2E980465" w:rsidP="4DB6A9DE" w:rsidRDefault="2E980465" w14:paraId="30E099AC" w14:textId="2A92859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Household differences created unequal experiences.</w:t>
            </w:r>
          </w:p>
          <w:p w:rsidR="4DB6A9DE" w:rsidP="4DB6A9DE" w:rsidRDefault="4DB6A9DE" w14:paraId="59E08E25" w14:textId="5342DE1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r>
    </w:tbl>
    <w:p w:rsidRPr="005C5E80" w:rsidR="00636D9A" w:rsidP="4DB6A9DE" w:rsidRDefault="00636D9A" w14:paraId="1053E0C5" w14:textId="150E8E5A">
      <w:pPr>
        <w:pStyle w:val="Normal"/>
        <w:keepNext w:val="1"/>
        <w:keepLines w:val="1"/>
        <w:rPr>
          <w:rFonts w:ascii="Arial Nova" w:hAnsi="Arial Nova" w:eastAsia="Arial Nova" w:cs="Arial Nova"/>
          <w:noProof w:val="0"/>
          <w:lang w:val="en-GB"/>
        </w:rPr>
      </w:pPr>
    </w:p>
    <w:p w:rsidRPr="005C5E80" w:rsidR="00636D9A" w:rsidP="4DB6A9DE" w:rsidRDefault="00636D9A" w14:paraId="1B1790C6" w14:textId="42661FBE">
      <w:pPr>
        <w:pStyle w:val="Normal"/>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5B527884">
        <w:rPr/>
        <w:t xml:space="preserve"> </w:t>
      </w:r>
      <w:r w:rsidRPr="4DB6A9DE" w:rsidR="27860734">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4.7 Conclusion </w:t>
      </w:r>
    </w:p>
    <w:p w:rsidRPr="005C5E80" w:rsidR="00636D9A" w:rsidP="4DB6A9DE" w:rsidRDefault="00636D9A" w14:paraId="478124D7" w14:textId="7ADFDBE9">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7860734">
        <w:rPr>
          <w:rFonts w:ascii="Arial Nova" w:hAnsi="Arial Nova" w:eastAsia="Arial Nova" w:cs="Arial Nova"/>
          <w:b w:val="0"/>
          <w:bCs w:val="0"/>
          <w:i w:val="0"/>
          <w:iCs w:val="0"/>
          <w:caps w:val="0"/>
          <w:smallCaps w:val="0"/>
          <w:noProof w:val="0"/>
          <w:color w:val="000000" w:themeColor="text1" w:themeTint="FF" w:themeShade="FF"/>
          <w:sz w:val="22"/>
          <w:szCs w:val="22"/>
          <w:lang w:val="en-GB"/>
        </w:rPr>
        <w:t>This chapter has presented a critical thematic analysis of the key contributors to anxiety among teenage girls in the UK. Drawing on a wide range of verified academic literature, four interconnected themes were identified: social media influence, academic pressure, family and peer expectations, and the impacts of the COVID-19 pandemic. Collectively, these themes show that anxiety among teenage girls results from the interaction of multiple social, emotional, and environmental pressures rather than a single causal factor. The findings demonstrate that girls are particularly vulnerable due to greater relational sensitivity, stronger internalisation of stress, and heightened exposure to comparison-based environments both online and offline.</w:t>
      </w:r>
    </w:p>
    <w:p w:rsidRPr="005C5E80" w:rsidR="00636D9A" w:rsidP="4DB6A9DE" w:rsidRDefault="00636D9A" w14:paraId="00FD6DDB" w14:textId="1BDCACFD">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7860734">
        <w:rPr>
          <w:rFonts w:ascii="Arial Nova" w:hAnsi="Arial Nova" w:eastAsia="Arial Nova" w:cs="Arial Nova"/>
          <w:b w:val="0"/>
          <w:bCs w:val="0"/>
          <w:i w:val="0"/>
          <w:iCs w:val="0"/>
          <w:caps w:val="0"/>
          <w:smallCaps w:val="0"/>
          <w:noProof w:val="0"/>
          <w:color w:val="000000" w:themeColor="text1" w:themeTint="FF" w:themeShade="FF"/>
          <w:sz w:val="22"/>
          <w:szCs w:val="22"/>
          <w:lang w:val="en-GB"/>
        </w:rPr>
        <w:t>Across the themes, several psychological and developmental theories provided deeper explanatory power. Cognitive Appraisal Theory (Lazarus and Folkman, 1984) highlighted how girls’ interpretation of academic or social demands affects anxiety levels. Attachment Theory, supported by Brumariu and Kerns (2010), illustrated how insecure parent–child relationships heighten susceptibility to internalising problems. Bronfenbrenner’s (1979) Ecological Systems Theory further explained how disruptions across family, school, and peer systems compound stress and anxiety during adolescence.</w:t>
      </w:r>
    </w:p>
    <w:p w:rsidRPr="005C5E80" w:rsidR="00636D9A" w:rsidP="4DB6A9DE" w:rsidRDefault="00636D9A" w14:paraId="3B6FB1E5" w14:textId="77D078CD">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27860734">
        <w:rPr>
          <w:rFonts w:ascii="Arial Nova" w:hAnsi="Arial Nova" w:eastAsia="Arial Nova" w:cs="Arial Nova"/>
          <w:b w:val="0"/>
          <w:bCs w:val="0"/>
          <w:i w:val="0"/>
          <w:iCs w:val="0"/>
          <w:caps w:val="0"/>
          <w:smallCaps w:val="0"/>
          <w:noProof w:val="0"/>
          <w:color w:val="000000" w:themeColor="text1" w:themeTint="FF" w:themeShade="FF"/>
          <w:sz w:val="22"/>
          <w:szCs w:val="22"/>
          <w:lang w:val="en-GB"/>
        </w:rPr>
        <w:t>Although some limitations exist within the evidence base such as reliance on self-report data and the contextual constraints of COVID-19 research the consistency of findings across multiple reputable studies strengthens the validity of the overall analysis. These findings provide the foundation for the next chapter, which will discuss the implications of this evidence, address methodological limitations, and present recommendations for improving support for teenage girls experiencing anxiety.</w:t>
      </w:r>
    </w:p>
    <w:p w:rsidRPr="005C5E80" w:rsidR="00636D9A" w:rsidP="4DB6A9DE" w:rsidRDefault="00636D9A" w14:paraId="4DD0168E" w14:textId="3D81818A">
      <w:pPr>
        <w:pStyle w:val="Normal"/>
        <w:rPr>
          <w:rFonts w:ascii="Arial Nova" w:hAnsi="Arial Nova" w:eastAsia="Arial Nova" w:cs="Arial Nova"/>
        </w:rPr>
      </w:pPr>
      <w:r w:rsidR="27860734">
        <w:rPr/>
        <w:t xml:space="preserve"> </w:t>
      </w:r>
    </w:p>
    <w:p w:rsidRPr="005C5E80" w:rsidR="00636D9A" w:rsidP="4DB6A9DE" w:rsidRDefault="00636D9A" w14:paraId="5053749D" w14:textId="2F4889FF">
      <w:pPr>
        <w:pStyle w:val="Heading1"/>
        <w:ind w:left="0"/>
        <w:rPr>
          <w:rFonts w:ascii="Arial Nova" w:hAnsi="Arial Nova" w:eastAsia="Arial Nova" w:cs="Arial Nova"/>
        </w:rPr>
      </w:pPr>
      <w:r w:rsidRPr="4DB6A9DE" w:rsidR="00636D9A">
        <w:rPr>
          <w:rFonts w:ascii="Arial Nova" w:hAnsi="Arial Nova" w:eastAsia="Arial Nova" w:cs="Arial Nova"/>
        </w:rPr>
        <w:t>C</w:t>
      </w:r>
      <w:r w:rsidRPr="4DB6A9DE" w:rsidR="00636D9A">
        <w:rPr>
          <w:rFonts w:ascii="Arial Nova" w:hAnsi="Arial Nova" w:eastAsia="Arial Nova" w:cs="Arial Nova"/>
        </w:rPr>
        <w:t>HAPTER</w:t>
      </w:r>
      <w:r w:rsidRPr="4DB6A9DE" w:rsidR="00636D9A">
        <w:rPr>
          <w:rFonts w:ascii="Arial Nova" w:hAnsi="Arial Nova" w:eastAsia="Arial Nova" w:cs="Arial Nova"/>
        </w:rPr>
        <w:t xml:space="preserve"> </w:t>
      </w:r>
      <w:r w:rsidRPr="4DB6A9DE" w:rsidR="00636D9A">
        <w:rPr>
          <w:rFonts w:ascii="Arial Nova" w:hAnsi="Arial Nova" w:eastAsia="Arial Nova" w:cs="Arial Nova"/>
        </w:rPr>
        <w:t>5</w:t>
      </w:r>
      <w:r w:rsidRPr="4DB6A9DE" w:rsidR="00636D9A">
        <w:rPr>
          <w:rFonts w:ascii="Arial Nova" w:hAnsi="Arial Nova" w:eastAsia="Arial Nova" w:cs="Arial Nova"/>
        </w:rPr>
        <w:t xml:space="preserve"> – </w:t>
      </w:r>
      <w:r w:rsidRPr="4DB6A9DE" w:rsidR="00636D9A">
        <w:rPr>
          <w:rFonts w:ascii="Arial Nova" w:hAnsi="Arial Nova" w:eastAsia="Arial Nova" w:cs="Arial Nova"/>
        </w:rPr>
        <w:t>Conclusion and Recommendations</w:t>
      </w:r>
      <w:r w:rsidRPr="4DB6A9DE" w:rsidR="00636D9A">
        <w:rPr>
          <w:rFonts w:ascii="Arial Nova" w:hAnsi="Arial Nova" w:eastAsia="Arial Nova" w:cs="Arial Nova"/>
        </w:rPr>
        <w:t xml:space="preserve"> </w:t>
      </w:r>
    </w:p>
    <w:p w:rsidR="4DB6A9DE" w:rsidP="4DB6A9DE" w:rsidRDefault="4DB6A9DE" w14:paraId="27AFDBA7" w14:textId="7806C8F5">
      <w:pPr>
        <w:pStyle w:val="Heading1"/>
        <w:ind w:left="0"/>
        <w:rPr>
          <w:rFonts w:ascii="Aptos" w:hAnsi="Aptos"/>
        </w:rPr>
      </w:pPr>
    </w:p>
    <w:p w:rsidRPr="005C5E80" w:rsidR="00636D9A" w:rsidP="4DB6A9DE" w:rsidRDefault="00636D9A" w14:paraId="2C633CBA" w14:textId="2C5B7A97">
      <w:pPr>
        <w:pStyle w:val="Heading2"/>
        <w:rPr>
          <w:rFonts w:ascii="Arial Nova" w:hAnsi="Arial Nova" w:eastAsia="Arial Nova" w:cs="Arial Nova"/>
          <w:b w:val="1"/>
          <w:bCs w:val="1"/>
          <w:color w:val="000000" w:themeColor="text1" w:themeTint="FF" w:themeShade="FF"/>
        </w:rPr>
      </w:pPr>
      <w:r w:rsidRPr="4DB6A9DE" w:rsidR="00636D9A">
        <w:rPr>
          <w:rFonts w:ascii="Arial Nova" w:hAnsi="Arial Nova" w:eastAsia="Arial Nova" w:cs="Arial Nova"/>
          <w:b w:val="1"/>
          <w:bCs w:val="1"/>
          <w:color w:val="000000" w:themeColor="text1" w:themeTint="FF" w:themeShade="FF"/>
        </w:rPr>
        <w:t xml:space="preserve">5.1 – Overall Conclusion </w:t>
      </w:r>
    </w:p>
    <w:p w:rsidR="00292A36" w:rsidP="4DB6A9DE" w:rsidRDefault="00292A36" w14:paraId="311D3D17" w14:textId="55FBC761">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364B2460">
        <w:rPr>
          <w:rFonts w:ascii="Arial Nova" w:hAnsi="Arial Nova" w:eastAsia="Arial Nova" w:cs="Arial Nova"/>
          <w:b w:val="0"/>
          <w:bCs w:val="0"/>
          <w:i w:val="0"/>
          <w:iCs w:val="0"/>
          <w:caps w:val="0"/>
          <w:smallCaps w:val="0"/>
          <w:noProof w:val="0"/>
          <w:color w:val="000000" w:themeColor="text1" w:themeTint="FF" w:themeShade="FF"/>
          <w:sz w:val="22"/>
          <w:szCs w:val="22"/>
          <w:lang w:val="en-GB"/>
        </w:rPr>
        <w:t>This dissertation set out to explore the key contributors to anxiety among teenage girls in the UK, addressing a significant and growing public health concern. Through a secondary, literature-based investigation, the study critically examined four central themes: social media influence, academic pressure, family and peer expectations, and the impacts of COVID-19. Collectively, these findings demonstrate that anxiety among teenage girls is shaped by a complex interaction of relational, environmental, and psychological factors rather than a single cause.</w:t>
      </w:r>
    </w:p>
    <w:p w:rsidR="00292A36" w:rsidP="4DB6A9DE" w:rsidRDefault="00292A36" w14:paraId="394FE501" w14:textId="1C23C570">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364B2460">
        <w:rPr>
          <w:rFonts w:ascii="Arial Nova" w:hAnsi="Arial Nova" w:eastAsia="Arial Nova" w:cs="Arial Nova"/>
          <w:b w:val="0"/>
          <w:bCs w:val="0"/>
          <w:i w:val="0"/>
          <w:iCs w:val="0"/>
          <w:caps w:val="0"/>
          <w:smallCaps w:val="0"/>
          <w:noProof w:val="0"/>
          <w:color w:val="000000" w:themeColor="text1" w:themeTint="FF" w:themeShade="FF"/>
          <w:sz w:val="22"/>
          <w:szCs w:val="22"/>
          <w:lang w:val="en-GB"/>
        </w:rPr>
        <w:t>The research aims to understand the primary factors contributing to anxiety in teenage girls has been fully addressed. Each objective was achieved: definitions and contributors to anxiety were examined; social, academic, and relational influences were analysed; the impact of the pandemic was evaluated; and recommendations for improved support were proposed. Across the dissertation, established psychological theories such as Social Comparison Theory, Cognitive Appraisal Theory, Attachment Theory, and Ecological Systems Theory provided a robust foundation for interpreting the findings.</w:t>
      </w:r>
    </w:p>
    <w:p w:rsidR="00292A36" w:rsidP="4DB6A9DE" w:rsidRDefault="00292A36" w14:paraId="477DEF02" w14:textId="425F4FF2">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364B2460">
        <w:rPr>
          <w:rFonts w:ascii="Arial Nova" w:hAnsi="Arial Nova" w:eastAsia="Arial Nova" w:cs="Arial Nova"/>
          <w:b w:val="0"/>
          <w:bCs w:val="0"/>
          <w:i w:val="0"/>
          <w:iCs w:val="0"/>
          <w:caps w:val="0"/>
          <w:smallCaps w:val="0"/>
          <w:noProof w:val="0"/>
          <w:color w:val="000000" w:themeColor="text1" w:themeTint="FF" w:themeShade="FF"/>
          <w:sz w:val="22"/>
          <w:szCs w:val="22"/>
          <w:lang w:val="en-GB"/>
        </w:rPr>
        <w:t>Overall, the research highlights the multifaceted nature of anxiety in adolescent girls and the need for coordinated responses across families, schools, services, and policy. This conclusion reinforces the importance of early, targeted, and gender-sensitive interventions to support the mental wellbeing of teenage girls in the UK.</w:t>
      </w:r>
    </w:p>
    <w:p w:rsidR="00292A36" w:rsidRDefault="00292A36" w14:paraId="3628F6DF" w14:textId="0A0DD557">
      <w:r w:rsidR="364B2460">
        <w:rPr/>
        <w:t xml:space="preserve"> </w:t>
      </w:r>
    </w:p>
    <w:p w:rsidRPr="005C5E80" w:rsidR="00636D9A" w:rsidP="4DB6A9DE" w:rsidRDefault="00636D9A" w14:paraId="48005ABF" w14:textId="2435DB7A">
      <w:pPr>
        <w:pStyle w:val="Heading2"/>
        <w:rPr>
          <w:rFonts w:ascii="Arial Nova" w:hAnsi="Arial Nova" w:eastAsia="Arial Nova" w:cs="Arial Nova"/>
          <w:b w:val="1"/>
          <w:bCs w:val="1"/>
          <w:color w:val="000000" w:themeColor="text1" w:themeTint="FF" w:themeShade="FF"/>
        </w:rPr>
      </w:pPr>
      <w:r w:rsidRPr="4DB6A9DE" w:rsidR="00636D9A">
        <w:rPr>
          <w:rFonts w:ascii="Arial Nova" w:hAnsi="Arial Nova" w:eastAsia="Arial Nova" w:cs="Arial Nova"/>
          <w:b w:val="1"/>
          <w:bCs w:val="1"/>
          <w:color w:val="000000" w:themeColor="text1" w:themeTint="FF" w:themeShade="FF"/>
        </w:rPr>
        <w:t>5.</w:t>
      </w:r>
      <w:r w:rsidRPr="4DB6A9DE" w:rsidR="005C5E80">
        <w:rPr>
          <w:rFonts w:ascii="Arial Nova" w:hAnsi="Arial Nova" w:eastAsia="Arial Nova" w:cs="Arial Nova"/>
          <w:b w:val="1"/>
          <w:bCs w:val="1"/>
          <w:color w:val="000000" w:themeColor="text1" w:themeTint="FF" w:themeShade="FF"/>
        </w:rPr>
        <w:t>2</w:t>
      </w:r>
      <w:r w:rsidRPr="4DB6A9DE" w:rsidR="00636D9A">
        <w:rPr>
          <w:rFonts w:ascii="Arial Nova" w:hAnsi="Arial Nova" w:eastAsia="Arial Nova" w:cs="Arial Nova"/>
          <w:b w:val="1"/>
          <w:bCs w:val="1"/>
          <w:color w:val="000000" w:themeColor="text1" w:themeTint="FF" w:themeShade="FF"/>
        </w:rPr>
        <w:t xml:space="preserve"> – </w:t>
      </w:r>
      <w:r w:rsidRPr="4DB6A9DE" w:rsidR="005C5E80">
        <w:rPr>
          <w:rFonts w:ascii="Arial Nova" w:hAnsi="Arial Nova" w:eastAsia="Arial Nova" w:cs="Arial Nova"/>
          <w:b w:val="1"/>
          <w:bCs w:val="1"/>
          <w:color w:val="000000" w:themeColor="text1" w:themeTint="FF" w:themeShade="FF"/>
        </w:rPr>
        <w:t>Recommendations</w:t>
      </w:r>
      <w:r w:rsidRPr="4DB6A9DE" w:rsidR="00636D9A">
        <w:rPr>
          <w:rFonts w:ascii="Arial Nova" w:hAnsi="Arial Nova" w:eastAsia="Arial Nova" w:cs="Arial Nova"/>
          <w:b w:val="1"/>
          <w:bCs w:val="1"/>
          <w:color w:val="000000" w:themeColor="text1" w:themeTint="FF" w:themeShade="FF"/>
        </w:rPr>
        <w:t xml:space="preserve"> </w:t>
      </w:r>
    </w:p>
    <w:p w:rsidR="67E4FEAE" w:rsidP="4DB6A9DE" w:rsidRDefault="67E4FEAE" w14:paraId="202D96A4" w14:textId="31574EC5">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5.2.1 Recommendation 1: Implement Comprehensive School-Based Mental Health Programmes  </w:t>
      </w:r>
    </w:p>
    <w:p w:rsidR="67E4FEAE" w:rsidP="4DB6A9DE" w:rsidRDefault="67E4FEAE" w14:paraId="5DA8AF17" w14:textId="3D002246">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Schools are a primary environment for adolescent girls and are therefore well-placed to implement preventative and early-intervention mental health support. A comprehensive school-based programme should include emotional wellbeing education, early identification of anxiety symptoms, staff training, peer-support initiatives, and structured digital literacy sessions. These interventions would help girls develop emotional regulation skills, reduce unhealthy social comparison, and manage academic pressure more effectively. Consistent mental health provision can also normalise discussions around anxiety, reducing stigma and promoting help-seeking behaviours.</w:t>
      </w:r>
    </w:p>
    <w:p w:rsidR="67E4FEAE" w:rsidP="4DB6A9DE" w:rsidRDefault="67E4FEAE" w14:paraId="55A44A3A" w14:textId="6C8C0DF3">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Barriers:</w:t>
      </w:r>
      <w:r>
        <w:br/>
      </w:r>
      <w:r w:rsidRPr="4DB6A9DE"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A major barrier is the current lack of resources in schools, including limited time within the curriculum and insufficient mental health staff. Teachers may feel unprepared or lack confidence in addressing mental health concerns. Additionally, funding constraints may prevent schools from adopting new programmes.</w:t>
      </w:r>
    </w:p>
    <w:p w:rsidR="67E4FEAE" w:rsidP="4DB6A9DE" w:rsidRDefault="67E4FEAE" w14:paraId="25FF3829" w14:textId="0034026F">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How to Overcome Barriers:</w:t>
      </w:r>
      <w:r>
        <w:br/>
      </w:r>
      <w:r w:rsidRPr="4DB6A9DE"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Schools can overcome these challenges by partnering with local mental health organisations, charities, and youth services to deliver support at low or no additional cost. Government funding streams such as mental health support team initiatives should be accessed wherever possible. Training can be embedded into existing professional development schedules, reducing staff workload. Integrating wellbeing</w:t>
      </w:r>
      <w:r w:rsidRPr="4DB6A9DE" w:rsidR="67E4FE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content into existing PSHE lessons ensures that additional timetable space is not required. Ultimately, a whole-school approach is both achievable and sustainable with strategic planning and external support.</w:t>
      </w:r>
    </w:p>
    <w:p w:rsidR="4DB6A9DE" w:rsidP="4DB6A9DE" w:rsidRDefault="4DB6A9DE" w14:paraId="04E11BEF" w14:textId="0EB524CE">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67E4FEAE" w:rsidP="4DB6A9DE" w:rsidRDefault="67E4FEAE" w14:paraId="69059BF5" w14:textId="3E8517E8">
      <w:pPr>
        <w:pStyle w:val="Heading2"/>
        <w:keepNext w:val="1"/>
        <w:keepLines w:val="1"/>
        <w:spacing w:before="299" w:beforeAutospacing="off" w:after="299"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5.2.2 Recommendation 2: Strengthen Family-Focused Support and Parental Education</w:t>
      </w:r>
    </w:p>
    <w:p w:rsidR="67E4FEAE" w:rsidP="4DB6A9DE" w:rsidRDefault="67E4FEAE" w14:paraId="4F0F90FF" w14:textId="60118B43">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Given the strong influence of family relationships on adolescent anxiety, strengthening parental understanding and communication skills is essential. Support programmes for parents whether delivered through schools, community centres, or online platforms should focus on helping caregivers recognise signs of anxiety, respond sensitively, and reduce high-pressure expectations. Encouraging parents to foster open communication, emotional warmth, and consistent routines can improve attachment security and reduce internalised stress among teenage girls. Family support initiatives may also include guidance on managing digital boundaries and promoting healthy social media habits.</w:t>
      </w:r>
    </w:p>
    <w:p w:rsidR="67E4FEAE" w:rsidP="4DB6A9DE" w:rsidRDefault="67E4FEAE" w14:paraId="5DDAD866" w14:textId="5A086A94">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Barriers:</w:t>
      </w:r>
      <w:r>
        <w:br/>
      </w:r>
      <w:r w:rsidRPr="4DB6A9DE"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Some parents may feel defensive, overwhelmed, or unwilling to engage in support programmes due to stigma or time constraints. Differences in cultural background, language, or parenting styles may also make standardised programmes less accessible. Additionally, families experiencing socioeconomic hardship may struggle to prioritise emotional support over practical needs.</w:t>
      </w:r>
    </w:p>
    <w:p w:rsidR="67E4FEAE" w:rsidP="4DB6A9DE" w:rsidRDefault="67E4FEAE" w14:paraId="758AC6E6" w14:textId="545E1446">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How to Overcome Barriers:</w:t>
      </w:r>
      <w:r>
        <w:br/>
      </w:r>
      <w:r w:rsidRPr="4DB6A9DE"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Support should be flexible, culturally sensitive, and inclusive. Offering online sessions, recorded workshops, or short drop-in groups can increase accessibility for time-restricted families. Schools and services should collaborate with community leaders to ensure materials are culturally relevant. Emphasising that parental programmes are supportive not critical can reduce resistance. Providing childcare, translation options, or travel vouchers can further improve participation for disadvantaged families. Tailoring support to diverse needs ensures that interventions reach those most at risk.</w:t>
      </w:r>
    </w:p>
    <w:p w:rsidR="4DB6A9DE" w:rsidP="4DB6A9DE" w:rsidRDefault="4DB6A9DE" w14:paraId="3F9AE6BF" w14:textId="5B814220">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67E4FEAE" w:rsidP="4DB6A9DE" w:rsidRDefault="67E4FEAE" w14:paraId="3AD5AA7D" w14:textId="2FF115A0">
      <w:pPr>
        <w:pStyle w:val="Heading2"/>
        <w:keepNext w:val="1"/>
        <w:keepLines w:val="1"/>
        <w:spacing w:before="299" w:beforeAutospacing="off" w:after="299"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B6A9DE"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5.2.3 Recommendation 3: Improve Access to Gender-Sensitive Mental Health Services and Early Intervention</w:t>
      </w:r>
    </w:p>
    <w:p w:rsidR="67E4FEAE" w:rsidP="4DB6A9DE" w:rsidRDefault="67E4FEAE" w14:paraId="64FCF70D" w14:textId="7BAD9D2A">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Mental health services including CAMHS, school counsellors, and voluntary organisations should develop gender-sensitive approaches that recognise the relational, emotional, and social pressures particular to teenage girls. Interventions such as Cognitive Behavioural Therapy (CBT), social skills training, and group-based programmes focusing on self-esteem, social comparison, and managing academic pressure can be particularly effective. Early intervention is crucial; providing accessible drop-in support, digital mental health tools, and school-based counsellors could reduce escalation into more severe anxiety disorders.</w:t>
      </w:r>
    </w:p>
    <w:p w:rsidR="67E4FEAE" w:rsidP="4DB6A9DE" w:rsidRDefault="67E4FEAE" w14:paraId="2F3DEA52" w14:textId="379169B1">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Barriers:</w:t>
      </w:r>
      <w:r>
        <w:br/>
      </w:r>
      <w:r w:rsidRPr="4DB6A9DE"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A key barrier is the high demand for mental health services and long waiting lists, especially in CAMHS. Many girls may not meet clinical thresholds for treatment yet still struggle significantly. Stigma, fear of judgement, or cultural expectations can also prevent girls from seeking help. Additionally, services may lack staff with training in gender-specific approaches.</w:t>
      </w:r>
    </w:p>
    <w:p w:rsidR="67E4FEAE" w:rsidP="4DB6A9DE" w:rsidRDefault="67E4FEAE" w14:paraId="72F71AFE" w14:textId="1E1E4ED6">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How to Overcome Barriers:</w:t>
      </w:r>
      <w:r>
        <w:br/>
      </w:r>
      <w:r w:rsidRPr="4DB6A9DE"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Integrating mental health professionals within schools through part-time counsellors or regional mental health teams can reduce waiting times and provide earlier access. Offering anonymous digital support tools (such as self-help apps or online chat services) may address stigma-related barriers. Training practitioners in gender-sensitive approaches ensures that support aligns with girls’ developmental and relational needs. Working collaboratively across education, health, and voluntary sectors can increase capacity and reduce service gaps. Ensuring that girls understand how to access support and what to expect from services may also reduce barriers to engagement.</w:t>
      </w:r>
      <w:r w:rsidRPr="4DB6A9DE" w:rsidR="48DF4F1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DB6A9DE" w:rsidP="4DB6A9DE" w:rsidRDefault="4DB6A9DE" w14:paraId="119984F2" w14:textId="5F7C5C19">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DF4F14" w:rsidP="4DB6A9DE" w:rsidRDefault="48DF4F14" w14:paraId="0A1823FE" w14:textId="1475F5C2">
      <w:pPr>
        <w:pStyle w:val="Normal"/>
        <w:spacing w:before="240" w:beforeAutospacing="off" w:after="240" w:afterAutospacing="off"/>
        <w:jc w:val="left"/>
        <w:rPr>
          <w:rFonts w:ascii="Arial Nova" w:hAnsi="Arial Nova" w:eastAsia="Arial Nova" w:cs="Arial Nova"/>
          <w:noProof w:val="0"/>
          <w:sz w:val="22"/>
          <w:szCs w:val="22"/>
          <w:lang w:val="en-GB"/>
        </w:rPr>
      </w:pPr>
      <w:r w:rsidRPr="4DB6A9DE" w:rsidR="48DF4F14">
        <w:rPr>
          <w:rFonts w:ascii="Arial Nova" w:hAnsi="Arial Nova" w:eastAsia="Arial Nova" w:cs="Arial Nova"/>
          <w:b w:val="1"/>
          <w:bCs w:val="1"/>
          <w:noProof w:val="0"/>
          <w:sz w:val="24"/>
          <w:szCs w:val="24"/>
          <w:lang w:val="en-GB"/>
        </w:rPr>
        <w:t xml:space="preserve">Chapter 5.3 Conclusion </w:t>
      </w:r>
    </w:p>
    <w:p w:rsidR="48DF4F14" w:rsidP="4DB6A9DE" w:rsidRDefault="48DF4F14" w14:paraId="73E03573" w14:textId="391DFA58">
      <w:pPr>
        <w:spacing w:before="240" w:beforeAutospacing="off" w:after="240" w:afterAutospacing="off"/>
        <w:jc w:val="left"/>
      </w:pPr>
      <w:r w:rsidRPr="4DB6A9DE" w:rsidR="48DF4F14">
        <w:rPr>
          <w:rFonts w:ascii="Arial Nova" w:hAnsi="Arial Nova" w:eastAsia="Arial Nova" w:cs="Arial Nova"/>
          <w:noProof w:val="0"/>
          <w:sz w:val="22"/>
          <w:szCs w:val="22"/>
          <w:lang w:val="en-GB"/>
        </w:rPr>
        <w:t xml:space="preserve">This chapter has brought together the key implications of the research, </w:t>
      </w:r>
      <w:r w:rsidRPr="4DB6A9DE" w:rsidR="48DF4F14">
        <w:rPr>
          <w:rFonts w:ascii="Arial Nova" w:hAnsi="Arial Nova" w:eastAsia="Arial Nova" w:cs="Arial Nova"/>
          <w:noProof w:val="0"/>
          <w:sz w:val="22"/>
          <w:szCs w:val="22"/>
          <w:lang w:val="en-GB"/>
        </w:rPr>
        <w:t>demonstrating</w:t>
      </w:r>
      <w:r w:rsidRPr="4DB6A9DE" w:rsidR="48DF4F14">
        <w:rPr>
          <w:rFonts w:ascii="Arial Nova" w:hAnsi="Arial Nova" w:eastAsia="Arial Nova" w:cs="Arial Nova"/>
          <w:noProof w:val="0"/>
          <w:sz w:val="22"/>
          <w:szCs w:val="22"/>
          <w:lang w:val="en-GB"/>
        </w:rPr>
        <w:t xml:space="preserve"> how the study successfully met its aim of </w:t>
      </w:r>
      <w:r w:rsidRPr="4DB6A9DE" w:rsidR="48DF4F14">
        <w:rPr>
          <w:rFonts w:ascii="Arial Nova" w:hAnsi="Arial Nova" w:eastAsia="Arial Nova" w:cs="Arial Nova"/>
          <w:noProof w:val="0"/>
          <w:sz w:val="22"/>
          <w:szCs w:val="22"/>
          <w:lang w:val="en-GB"/>
        </w:rPr>
        <w:t>identifying</w:t>
      </w:r>
      <w:r w:rsidRPr="4DB6A9DE" w:rsidR="48DF4F14">
        <w:rPr>
          <w:rFonts w:ascii="Arial Nova" w:hAnsi="Arial Nova" w:eastAsia="Arial Nova" w:cs="Arial Nova"/>
          <w:noProof w:val="0"/>
          <w:sz w:val="22"/>
          <w:szCs w:val="22"/>
          <w:lang w:val="en-GB"/>
        </w:rPr>
        <w:t xml:space="preserve"> the major contributors to anxiety among teenage girls in the UK. Drawing on a wide evidence base, the findings confirmed that increasing anxiety in this group arises from interconnected pressures, including social media influences (Kelly et al., 2018; Azhari et al., 2022), academic stress (</w:t>
      </w:r>
      <w:r w:rsidRPr="4DB6A9DE" w:rsidR="48DF4F14">
        <w:rPr>
          <w:rFonts w:ascii="Arial Nova" w:hAnsi="Arial Nova" w:eastAsia="Arial Nova" w:cs="Arial Nova"/>
          <w:noProof w:val="0"/>
          <w:sz w:val="22"/>
          <w:szCs w:val="22"/>
          <w:lang w:val="en-GB"/>
        </w:rPr>
        <w:t>Putwain</w:t>
      </w:r>
      <w:r w:rsidRPr="4DB6A9DE" w:rsidR="48DF4F14">
        <w:rPr>
          <w:rFonts w:ascii="Arial Nova" w:hAnsi="Arial Nova" w:eastAsia="Arial Nova" w:cs="Arial Nova"/>
          <w:noProof w:val="0"/>
          <w:sz w:val="22"/>
          <w:szCs w:val="22"/>
          <w:lang w:val="en-GB"/>
        </w:rPr>
        <w:t xml:space="preserve"> et al., 2016), peer relationships (La Greca &amp; Harrison, 2005), and the significant disruptions caused by the COVID-19 pandemic (Loades et al., 2020). The chapter also showed that these factors interact within wider developmental and social contexts, echoing theoretical perspectives such as cognitive-behavioural theory (Beck, 1976) and developmental psychopathology (Cicchetti &amp; </w:t>
      </w:r>
      <w:r w:rsidRPr="4DB6A9DE" w:rsidR="48DF4F14">
        <w:rPr>
          <w:rFonts w:ascii="Arial Nova" w:hAnsi="Arial Nova" w:eastAsia="Arial Nova" w:cs="Arial Nova"/>
          <w:noProof w:val="0"/>
          <w:sz w:val="22"/>
          <w:szCs w:val="22"/>
          <w:lang w:val="en-GB"/>
        </w:rPr>
        <w:t>Rogosch</w:t>
      </w:r>
      <w:r w:rsidRPr="4DB6A9DE" w:rsidR="48DF4F14">
        <w:rPr>
          <w:rFonts w:ascii="Arial Nova" w:hAnsi="Arial Nova" w:eastAsia="Arial Nova" w:cs="Arial Nova"/>
          <w:noProof w:val="0"/>
          <w:sz w:val="22"/>
          <w:szCs w:val="22"/>
          <w:lang w:val="en-GB"/>
        </w:rPr>
        <w:t>, 2002).</w:t>
      </w:r>
    </w:p>
    <w:p w:rsidR="48DF4F14" w:rsidP="4DB6A9DE" w:rsidRDefault="48DF4F14" w14:paraId="320292AA" w14:textId="073AA143">
      <w:pPr>
        <w:spacing w:before="240" w:beforeAutospacing="off" w:after="240" w:afterAutospacing="off"/>
        <w:jc w:val="left"/>
      </w:pPr>
      <w:r w:rsidRPr="4DB6A9DE" w:rsidR="48DF4F14">
        <w:rPr>
          <w:rFonts w:ascii="Arial Nova" w:hAnsi="Arial Nova" w:eastAsia="Arial Nova" w:cs="Arial Nova"/>
          <w:noProof w:val="0"/>
          <w:sz w:val="22"/>
          <w:szCs w:val="22"/>
          <w:lang w:val="en-GB"/>
        </w:rPr>
        <w:t>The recommendations proposed emphasised the need for earlier intervention, accessible school-based support, improved service consistency, and gender-sensitive approaches—all of which align with national concerns about rising adolescent mental health needs (NHS Digital, 2022; YoungMinds, 2021). While the constraints of secondary research and variations in dataset quality were acknowledged, synthesising multiple peer-reviewed sources enabled a robust analysis of the issue. Overall, the chapter reinforces the importance of targeted, well-resourced support systems to help reduce anxiety and promote positive mental health among teenage girls in the UK.</w:t>
      </w:r>
    </w:p>
    <w:p w:rsidR="48DF4F14" w:rsidP="4DB6A9DE" w:rsidRDefault="48DF4F14" w14:paraId="41D8AE67" w14:textId="24D3558C">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DB6A9DE" w:rsidR="48DF4F1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DB6A9DE" w:rsidP="4DB6A9DE" w:rsidRDefault="4DB6A9DE" w14:paraId="41FDDA23" w14:textId="79219C10">
      <w:pPr>
        <w:spacing w:before="240" w:beforeAutospacing="off" w:after="240" w:afterAutospacing="off" w:line="360" w:lineRule="auto"/>
        <w:jc w:val="left"/>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7E4FEAE" w:rsidP="4DB6A9DE" w:rsidRDefault="67E4FEAE" w14:paraId="38D66A35" w14:textId="6A210CA1">
      <w:pPr>
        <w:pStyle w:val="Normal"/>
      </w:pPr>
      <w:r w:rsidR="67E4FEAE">
        <w:rPr/>
        <w:t xml:space="preserve"> </w:t>
      </w:r>
    </w:p>
    <w:p w:rsidR="4DB6A9DE" w:rsidP="4DB6A9DE" w:rsidRDefault="4DB6A9DE" w14:paraId="291C0581" w14:textId="678E5BBD">
      <w:pPr>
        <w:pStyle w:val="Heading1"/>
        <w:ind w:left="0"/>
        <w:rPr>
          <w:rFonts w:ascii="Arial Nova" w:hAnsi="Arial Nova" w:eastAsia="Arial Nova" w:cs="Arial Nova"/>
          <w:color w:val="000000" w:themeColor="text1" w:themeTint="FF" w:themeShade="FF"/>
        </w:rPr>
      </w:pPr>
    </w:p>
    <w:p w:rsidR="4DB6A9DE" w:rsidP="4DB6A9DE" w:rsidRDefault="4DB6A9DE" w14:paraId="33A8DFF4" w14:textId="39F37D91">
      <w:pPr>
        <w:pStyle w:val="Heading1"/>
        <w:ind w:left="0"/>
        <w:rPr>
          <w:rFonts w:ascii="Arial Nova" w:hAnsi="Arial Nova" w:eastAsia="Arial Nova" w:cs="Arial Nova"/>
          <w:color w:val="000000" w:themeColor="text1" w:themeTint="FF" w:themeShade="FF"/>
        </w:rPr>
      </w:pPr>
    </w:p>
    <w:p w:rsidR="4DB6A9DE" w:rsidP="4DB6A9DE" w:rsidRDefault="4DB6A9DE" w14:paraId="5E12E0BF" w14:textId="5ED6F009">
      <w:pPr>
        <w:pStyle w:val="Heading1"/>
        <w:ind w:left="0"/>
        <w:rPr>
          <w:rFonts w:ascii="Arial Nova" w:hAnsi="Arial Nova" w:eastAsia="Arial Nova" w:cs="Arial Nova"/>
          <w:color w:val="000000" w:themeColor="text1" w:themeTint="FF" w:themeShade="FF"/>
        </w:rPr>
      </w:pPr>
    </w:p>
    <w:p w:rsidR="4DB6A9DE" w:rsidP="4DB6A9DE" w:rsidRDefault="4DB6A9DE" w14:paraId="14E78626" w14:textId="242E1C45">
      <w:pPr>
        <w:pStyle w:val="Heading1"/>
        <w:ind w:left="0"/>
        <w:rPr>
          <w:rFonts w:ascii="Arial Nova" w:hAnsi="Arial Nova" w:eastAsia="Arial Nova" w:cs="Arial Nova"/>
          <w:color w:val="000000" w:themeColor="text1" w:themeTint="FF" w:themeShade="FF"/>
        </w:rPr>
      </w:pPr>
    </w:p>
    <w:p w:rsidR="4DB6A9DE" w:rsidP="4DB6A9DE" w:rsidRDefault="4DB6A9DE" w14:paraId="3454EFE0" w14:textId="28B78A85">
      <w:pPr>
        <w:pStyle w:val="Heading1"/>
        <w:ind w:left="0"/>
        <w:rPr>
          <w:rFonts w:ascii="Arial Nova" w:hAnsi="Arial Nova" w:eastAsia="Arial Nova" w:cs="Arial Nova"/>
          <w:color w:val="000000" w:themeColor="text1" w:themeTint="FF" w:themeShade="FF"/>
        </w:rPr>
      </w:pPr>
    </w:p>
    <w:p w:rsidR="4DB6A9DE" w:rsidP="4DB6A9DE" w:rsidRDefault="4DB6A9DE" w14:paraId="72CC1D5C" w14:textId="7901E6D8">
      <w:pPr>
        <w:pStyle w:val="Heading1"/>
        <w:ind w:left="0"/>
        <w:rPr>
          <w:rFonts w:ascii="Arial Nova" w:hAnsi="Arial Nova" w:eastAsia="Arial Nova" w:cs="Arial Nova"/>
          <w:color w:val="000000" w:themeColor="text1" w:themeTint="FF" w:themeShade="FF"/>
        </w:rPr>
      </w:pPr>
    </w:p>
    <w:p w:rsidR="4DB6A9DE" w:rsidP="4DB6A9DE" w:rsidRDefault="4DB6A9DE" w14:paraId="196214BB" w14:textId="7A781DF1">
      <w:pPr>
        <w:pStyle w:val="Heading1"/>
        <w:ind w:left="0"/>
        <w:rPr>
          <w:rFonts w:ascii="Arial Nova" w:hAnsi="Arial Nova" w:eastAsia="Arial Nova" w:cs="Arial Nova"/>
          <w:color w:val="000000" w:themeColor="text1" w:themeTint="FF" w:themeShade="FF"/>
        </w:rPr>
      </w:pPr>
    </w:p>
    <w:p w:rsidR="4DB6A9DE" w:rsidP="4DB6A9DE" w:rsidRDefault="4DB6A9DE" w14:paraId="77BE9234" w14:textId="13545521">
      <w:pPr>
        <w:pStyle w:val="Heading1"/>
        <w:ind w:left="0"/>
        <w:rPr>
          <w:rFonts w:ascii="Arial Nova" w:hAnsi="Arial Nova" w:eastAsia="Arial Nova" w:cs="Arial Nova"/>
          <w:color w:val="000000" w:themeColor="text1" w:themeTint="FF" w:themeShade="FF"/>
        </w:rPr>
      </w:pPr>
    </w:p>
    <w:p w:rsidRPr="00636D9A" w:rsidR="00211184" w:rsidP="4DB6A9DE" w:rsidRDefault="00211184" w14:paraId="3D3F3B28" w14:textId="7E3ECB1B">
      <w:pPr>
        <w:pStyle w:val="Heading1"/>
        <w:ind w:left="0"/>
        <w:rPr>
          <w:rFonts w:ascii="Arial Nova" w:hAnsi="Arial Nova" w:eastAsia="Arial Nova" w:cs="Arial Nova"/>
          <w:color w:val="000000" w:themeColor="text1" w:themeTint="FF" w:themeShade="FF"/>
        </w:rPr>
      </w:pPr>
      <w:r w:rsidRPr="4DB6A9DE" w:rsidR="00211184">
        <w:rPr>
          <w:rFonts w:ascii="Arial Nova" w:hAnsi="Arial Nova" w:eastAsia="Arial Nova" w:cs="Arial Nova"/>
          <w:color w:val="000000" w:themeColor="text1" w:themeTint="FF" w:themeShade="FF"/>
        </w:rPr>
        <w:t>C</w:t>
      </w:r>
      <w:r w:rsidRPr="4DB6A9DE" w:rsidR="00211184">
        <w:rPr>
          <w:rFonts w:ascii="Arial Nova" w:hAnsi="Arial Nova" w:eastAsia="Arial Nova" w:cs="Arial Nova"/>
          <w:color w:val="000000" w:themeColor="text1" w:themeTint="FF" w:themeShade="FF"/>
        </w:rPr>
        <w:t>HAPTER</w:t>
      </w:r>
      <w:r w:rsidRPr="4DB6A9DE" w:rsidR="00211184">
        <w:rPr>
          <w:rFonts w:ascii="Arial Nova" w:hAnsi="Arial Nova" w:eastAsia="Arial Nova" w:cs="Arial Nova"/>
          <w:color w:val="000000" w:themeColor="text1" w:themeTint="FF" w:themeShade="FF"/>
        </w:rPr>
        <w:t xml:space="preserve"> </w:t>
      </w:r>
      <w:r w:rsidRPr="4DB6A9DE" w:rsidR="00211184">
        <w:rPr>
          <w:rFonts w:ascii="Arial Nova" w:hAnsi="Arial Nova" w:eastAsia="Arial Nova" w:cs="Arial Nova"/>
          <w:color w:val="000000" w:themeColor="text1" w:themeTint="FF" w:themeShade="FF"/>
        </w:rPr>
        <w:t>6</w:t>
      </w:r>
      <w:r w:rsidRPr="4DB6A9DE" w:rsidR="00211184">
        <w:rPr>
          <w:rFonts w:ascii="Arial Nova" w:hAnsi="Arial Nova" w:eastAsia="Arial Nova" w:cs="Arial Nova"/>
          <w:color w:val="000000" w:themeColor="text1" w:themeTint="FF" w:themeShade="FF"/>
        </w:rPr>
        <w:t xml:space="preserve"> – </w:t>
      </w:r>
      <w:r w:rsidRPr="4DB6A9DE" w:rsidR="00211184">
        <w:rPr>
          <w:rFonts w:ascii="Arial Nova" w:hAnsi="Arial Nova" w:eastAsia="Arial Nova" w:cs="Arial Nova"/>
          <w:color w:val="000000" w:themeColor="text1" w:themeTint="FF" w:themeShade="FF"/>
        </w:rPr>
        <w:t>References and Appendices</w:t>
      </w:r>
      <w:r w:rsidRPr="4DB6A9DE" w:rsidR="00211184">
        <w:rPr>
          <w:rFonts w:ascii="Arial Nova" w:hAnsi="Arial Nova" w:eastAsia="Arial Nova" w:cs="Arial Nova"/>
          <w:color w:val="000000" w:themeColor="text1" w:themeTint="FF" w:themeShade="FF"/>
        </w:rPr>
        <w:t xml:space="preserve"> </w:t>
      </w:r>
      <w:r w:rsidRPr="4DB6A9DE" w:rsidR="2041633F">
        <w:rPr>
          <w:rFonts w:ascii="Arial Nova" w:hAnsi="Arial Nova" w:eastAsia="Arial Nova" w:cs="Arial Nova"/>
          <w:color w:val="000000" w:themeColor="text1" w:themeTint="FF" w:themeShade="FF"/>
        </w:rPr>
        <w:t xml:space="preserve"> </w:t>
      </w:r>
    </w:p>
    <w:p w:rsidR="00211184" w:rsidP="4DB6A9DE" w:rsidRDefault="00211184" w14:paraId="4999E34D" w14:textId="423B3979">
      <w:pPr>
        <w:pStyle w:val="Heading1"/>
        <w:ind w:left="0"/>
        <w:rPr>
          <w:rFonts w:ascii="Arial Nova" w:hAnsi="Arial Nova" w:eastAsia="Arial Nova" w:cs="Arial Nova"/>
          <w:color w:val="000000" w:themeColor="text1" w:themeTint="FF" w:themeShade="FF"/>
        </w:rPr>
      </w:pPr>
    </w:p>
    <w:p w:rsidR="00211184" w:rsidP="4DB6A9DE" w:rsidRDefault="00211184" w14:paraId="07A4FC8E" w14:textId="5D2D2F7E">
      <w:pPr>
        <w:pStyle w:val="Heading1"/>
        <w:ind w:left="0"/>
        <w:rPr>
          <w:rFonts w:ascii="Arial Nova" w:hAnsi="Arial Nova" w:eastAsia="Arial Nova" w:cs="Arial Nova"/>
          <w:color w:val="000000" w:themeColor="text1" w:themeTint="FF" w:themeShade="FF"/>
          <w:sz w:val="24"/>
          <w:szCs w:val="24"/>
        </w:rPr>
      </w:pPr>
      <w:r w:rsidRPr="4DB6A9DE" w:rsidR="2B1D18DF">
        <w:rPr>
          <w:rFonts w:ascii="Arial Nova" w:hAnsi="Arial Nova" w:eastAsia="Arial Nova" w:cs="Arial Nova"/>
          <w:color w:val="000000" w:themeColor="text1" w:themeTint="FF" w:themeShade="FF"/>
          <w:sz w:val="24"/>
          <w:szCs w:val="24"/>
        </w:rPr>
        <w:t xml:space="preserve">6.1 </w:t>
      </w:r>
      <w:r w:rsidRPr="4DB6A9DE" w:rsidR="2041633F">
        <w:rPr>
          <w:rFonts w:ascii="Arial Nova" w:hAnsi="Arial Nova" w:eastAsia="Arial Nova" w:cs="Arial Nova"/>
          <w:color w:val="000000" w:themeColor="text1" w:themeTint="FF" w:themeShade="FF"/>
          <w:sz w:val="24"/>
          <w:szCs w:val="24"/>
        </w:rPr>
        <w:t>References</w:t>
      </w:r>
    </w:p>
    <w:p w:rsidR="00211184" w:rsidP="4DB6A9DE" w:rsidRDefault="00211184" w14:paraId="3A322827" w14:textId="2A4E25C2">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Anderson, T.L., Brown, </w:t>
      </w:r>
      <w:r w:rsidRPr="4DB6A9DE" w:rsidR="4F6DC1DF">
        <w:rPr>
          <w:rFonts w:ascii="Arial Nova" w:hAnsi="Arial Nova" w:eastAsia="Arial Nova" w:cs="Arial Nova"/>
          <w:b w:val="0"/>
          <w:bCs w:val="0"/>
          <w:noProof w:val="0"/>
          <w:color w:val="000000" w:themeColor="text1" w:themeTint="FF" w:themeShade="FF"/>
          <w:sz w:val="22"/>
          <w:szCs w:val="22"/>
          <w:lang w:val="en-GB"/>
        </w:rPr>
        <w:t>H.</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and Clarke, S. (2024)</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‘Contributing factors to the rise in adolescent anxiety and depression in the UK: a comprehensive overview’,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UK Adolescent Mental Health Review</w:t>
      </w:r>
      <w:r w:rsidRPr="4DB6A9DE" w:rsidR="4F6DC1DF">
        <w:rPr>
          <w:rFonts w:ascii="Arial Nova" w:hAnsi="Arial Nova" w:eastAsia="Arial Nova" w:cs="Arial Nova"/>
          <w:b w:val="0"/>
          <w:bCs w:val="0"/>
          <w:noProof w:val="0"/>
          <w:color w:val="000000" w:themeColor="text1" w:themeTint="FF" w:themeShade="FF"/>
          <w:sz w:val="22"/>
          <w:szCs w:val="22"/>
          <w:lang w:val="en-GB"/>
        </w:rPr>
        <w:t>, 12(1), pp. 45–62.</w:t>
      </w:r>
    </w:p>
    <w:p w:rsidR="00211184" w:rsidP="4DB6A9DE" w:rsidRDefault="00211184" w14:paraId="1B49ECDF" w14:textId="012AAAF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Armitage, J.M., Wang, R.A.H., Davis, O.S.P., Bowes, </w:t>
      </w:r>
      <w:r w:rsidRPr="4DB6A9DE" w:rsidR="4F6DC1DF">
        <w:rPr>
          <w:rFonts w:ascii="Arial Nova" w:hAnsi="Arial Nova" w:eastAsia="Arial Nova" w:cs="Arial Nova"/>
          <w:b w:val="0"/>
          <w:bCs w:val="0"/>
          <w:noProof w:val="0"/>
          <w:color w:val="000000" w:themeColor="text1" w:themeTint="FF" w:themeShade="FF"/>
          <w:sz w:val="22"/>
          <w:szCs w:val="22"/>
          <w:lang w:val="en-GB"/>
        </w:rPr>
        <w:t>L.</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and Haworth, C.M.A. (2021)</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‘Peer victimisation during adolescence and its impact on wellbeing in adulthood: a prospective cohort study’,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BMC Public Health</w:t>
      </w:r>
      <w:r w:rsidRPr="4DB6A9DE" w:rsidR="4F6DC1DF">
        <w:rPr>
          <w:rFonts w:ascii="Arial Nova" w:hAnsi="Arial Nova" w:eastAsia="Arial Nova" w:cs="Arial Nova"/>
          <w:b w:val="0"/>
          <w:bCs w:val="0"/>
          <w:noProof w:val="0"/>
          <w:color w:val="000000" w:themeColor="text1" w:themeTint="FF" w:themeShade="FF"/>
          <w:sz w:val="22"/>
          <w:szCs w:val="22"/>
          <w:lang w:val="en-GB"/>
        </w:rPr>
        <w:t>, 21, Article 10198.</w:t>
      </w:r>
    </w:p>
    <w:p w:rsidR="00211184" w:rsidP="4DB6A9DE" w:rsidRDefault="00211184" w14:paraId="622D732C" w14:textId="58E6ACE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Aveyard, H. (2019)</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Doing a literature review in health and social care: a practical guide</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4th </w:t>
      </w:r>
      <w:r w:rsidRPr="4DB6A9DE" w:rsidR="4F6DC1DF">
        <w:rPr>
          <w:rFonts w:ascii="Arial Nova" w:hAnsi="Arial Nova" w:eastAsia="Arial Nova" w:cs="Arial Nova"/>
          <w:b w:val="0"/>
          <w:bCs w:val="0"/>
          <w:noProof w:val="0"/>
          <w:color w:val="000000" w:themeColor="text1" w:themeTint="FF" w:themeShade="FF"/>
          <w:sz w:val="22"/>
          <w:szCs w:val="22"/>
          <w:lang w:val="en-GB"/>
        </w:rPr>
        <w:t>edn</w:t>
      </w:r>
      <w:r w:rsidRPr="4DB6A9DE" w:rsidR="4F6DC1DF">
        <w:rPr>
          <w:rFonts w:ascii="Arial Nova" w:hAnsi="Arial Nova" w:eastAsia="Arial Nova" w:cs="Arial Nova"/>
          <w:b w:val="0"/>
          <w:bCs w:val="0"/>
          <w:noProof w:val="0"/>
          <w:color w:val="000000" w:themeColor="text1" w:themeTint="FF" w:themeShade="FF"/>
          <w:sz w:val="22"/>
          <w:szCs w:val="22"/>
          <w:lang w:val="en-GB"/>
        </w:rPr>
        <w:t>. Maidenhead: Open University Press.</w:t>
      </w:r>
    </w:p>
    <w:p w:rsidR="00211184" w:rsidP="4DB6A9DE" w:rsidRDefault="00211184" w14:paraId="4FC14E81" w14:textId="02D87BFE">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Azhari, A., Lim, M., </w:t>
      </w:r>
      <w:r w:rsidRPr="4DB6A9DE" w:rsidR="4F6DC1DF">
        <w:rPr>
          <w:rFonts w:ascii="Arial Nova" w:hAnsi="Arial Nova" w:eastAsia="Arial Nova" w:cs="Arial Nova"/>
          <w:b w:val="0"/>
          <w:bCs w:val="0"/>
          <w:noProof w:val="0"/>
          <w:color w:val="000000" w:themeColor="text1" w:themeTint="FF" w:themeShade="FF"/>
          <w:sz w:val="22"/>
          <w:szCs w:val="22"/>
          <w:lang w:val="en-GB"/>
        </w:rPr>
        <w:t>Bizzego</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 Rigo, P. and Esposito, G. (2022) ‘Associations between social media usage, anxiety, loneliness and sleep disturbances in female adolescents’,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Journal of Adolescence</w:t>
      </w:r>
      <w:r w:rsidRPr="4DB6A9DE" w:rsidR="4F6DC1DF">
        <w:rPr>
          <w:rFonts w:ascii="Arial Nova" w:hAnsi="Arial Nova" w:eastAsia="Arial Nova" w:cs="Arial Nova"/>
          <w:b w:val="0"/>
          <w:bCs w:val="0"/>
          <w:noProof w:val="0"/>
          <w:color w:val="000000" w:themeColor="text1" w:themeTint="FF" w:themeShade="FF"/>
          <w:sz w:val="22"/>
          <w:szCs w:val="22"/>
          <w:lang w:val="en-GB"/>
        </w:rPr>
        <w:t>, 98, pp. 105–117.</w:t>
      </w:r>
    </w:p>
    <w:p w:rsidR="00211184" w:rsidP="4DB6A9DE" w:rsidRDefault="00211184" w14:paraId="024B11A1" w14:textId="2C31E41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Beck, A.T. (1976)</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Cognitive therapy and the emotional disorders</w:t>
      </w:r>
      <w:r w:rsidRPr="4DB6A9DE" w:rsidR="4F6DC1DF">
        <w:rPr>
          <w:rFonts w:ascii="Arial Nova" w:hAnsi="Arial Nova" w:eastAsia="Arial Nova" w:cs="Arial Nova"/>
          <w:b w:val="0"/>
          <w:bCs w:val="0"/>
          <w:noProof w:val="0"/>
          <w:color w:val="000000" w:themeColor="text1" w:themeTint="FF" w:themeShade="FF"/>
          <w:sz w:val="22"/>
          <w:szCs w:val="22"/>
          <w:lang w:val="en-GB"/>
        </w:rPr>
        <w:t>. New York: International Universities Press.</w:t>
      </w:r>
    </w:p>
    <w:p w:rsidR="00211184" w:rsidP="4DB6A9DE" w:rsidRDefault="00211184" w14:paraId="57D71783" w14:textId="0A908407">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BERA (2018)</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Ethical guidelines for educational research</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4th </w:t>
      </w:r>
      <w:r w:rsidRPr="4DB6A9DE" w:rsidR="4F6DC1DF">
        <w:rPr>
          <w:rFonts w:ascii="Arial Nova" w:hAnsi="Arial Nova" w:eastAsia="Arial Nova" w:cs="Arial Nova"/>
          <w:b w:val="0"/>
          <w:bCs w:val="0"/>
          <w:noProof w:val="0"/>
          <w:color w:val="000000" w:themeColor="text1" w:themeTint="FF" w:themeShade="FF"/>
          <w:sz w:val="22"/>
          <w:szCs w:val="22"/>
          <w:lang w:val="en-GB"/>
        </w:rPr>
        <w:t>edn</w:t>
      </w:r>
      <w:r w:rsidRPr="4DB6A9DE" w:rsidR="4F6DC1DF">
        <w:rPr>
          <w:rFonts w:ascii="Arial Nova" w:hAnsi="Arial Nova" w:eastAsia="Arial Nova" w:cs="Arial Nova"/>
          <w:b w:val="0"/>
          <w:bCs w:val="0"/>
          <w:noProof w:val="0"/>
          <w:color w:val="000000" w:themeColor="text1" w:themeTint="FF" w:themeShade="FF"/>
          <w:sz w:val="22"/>
          <w:szCs w:val="22"/>
          <w:lang w:val="en-GB"/>
        </w:rPr>
        <w:t>. London: British Educational Research Association.</w:t>
      </w:r>
    </w:p>
    <w:p w:rsidR="00211184" w:rsidP="4DB6A9DE" w:rsidRDefault="00211184" w14:paraId="60F8E271" w14:textId="7938151A">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Bowlby, J. (1969)</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Attachment and loss: Volume 1 – Attachment</w:t>
      </w:r>
      <w:r w:rsidRPr="4DB6A9DE" w:rsidR="4F6DC1DF">
        <w:rPr>
          <w:rFonts w:ascii="Arial Nova" w:hAnsi="Arial Nova" w:eastAsia="Arial Nova" w:cs="Arial Nova"/>
          <w:b w:val="0"/>
          <w:bCs w:val="0"/>
          <w:noProof w:val="0"/>
          <w:color w:val="000000" w:themeColor="text1" w:themeTint="FF" w:themeShade="FF"/>
          <w:sz w:val="22"/>
          <w:szCs w:val="22"/>
          <w:lang w:val="en-GB"/>
        </w:rPr>
        <w:t>. London: Hogarth Press.</w:t>
      </w:r>
    </w:p>
    <w:p w:rsidR="00211184" w:rsidP="4DB6A9DE" w:rsidRDefault="00211184" w14:paraId="557BD121" w14:textId="7B649F9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Braun, </w:t>
      </w:r>
      <w:r w:rsidRPr="4DB6A9DE" w:rsidR="4F6DC1DF">
        <w:rPr>
          <w:rFonts w:ascii="Arial Nova" w:hAnsi="Arial Nova" w:eastAsia="Arial Nova" w:cs="Arial Nova"/>
          <w:b w:val="0"/>
          <w:bCs w:val="0"/>
          <w:noProof w:val="0"/>
          <w:color w:val="000000" w:themeColor="text1" w:themeTint="FF" w:themeShade="FF"/>
          <w:sz w:val="22"/>
          <w:szCs w:val="22"/>
          <w:lang w:val="en-GB"/>
        </w:rPr>
        <w:t>V.</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and Clarke, V. (2019)</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‘Reflecting on reflexive thematic analysis’,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Qualitative Research in Sport, Exercise and Health</w:t>
      </w:r>
      <w:r w:rsidRPr="4DB6A9DE" w:rsidR="4F6DC1DF">
        <w:rPr>
          <w:rFonts w:ascii="Arial Nova" w:hAnsi="Arial Nova" w:eastAsia="Arial Nova" w:cs="Arial Nova"/>
          <w:b w:val="0"/>
          <w:bCs w:val="0"/>
          <w:noProof w:val="0"/>
          <w:color w:val="000000" w:themeColor="text1" w:themeTint="FF" w:themeShade="FF"/>
          <w:sz w:val="22"/>
          <w:szCs w:val="22"/>
          <w:lang w:val="en-GB"/>
        </w:rPr>
        <w:t>, 11(4), pp. 589–597.</w:t>
      </w:r>
    </w:p>
    <w:p w:rsidR="00211184" w:rsidP="4DB6A9DE" w:rsidRDefault="00211184" w14:paraId="45DCCB28" w14:textId="35288CAD">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Bronfenbrenner, U. (1979)</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The ecology of human development</w:t>
      </w:r>
      <w:r w:rsidRPr="4DB6A9DE" w:rsidR="4F6DC1DF">
        <w:rPr>
          <w:rFonts w:ascii="Arial Nova" w:hAnsi="Arial Nova" w:eastAsia="Arial Nova" w:cs="Arial Nova"/>
          <w:b w:val="0"/>
          <w:bCs w:val="0"/>
          <w:noProof w:val="0"/>
          <w:color w:val="000000" w:themeColor="text1" w:themeTint="FF" w:themeShade="FF"/>
          <w:sz w:val="22"/>
          <w:szCs w:val="22"/>
          <w:lang w:val="en-GB"/>
        </w:rPr>
        <w:t>. Cambridge, MA: Harvard University Press.</w:t>
      </w:r>
    </w:p>
    <w:p w:rsidR="00211184" w:rsidP="4DB6A9DE" w:rsidRDefault="00211184" w14:paraId="584A77AB" w14:textId="7D9FA5A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Brown, B.B. and Larson, J. (2009)</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‘Peer relationships in adolescence’, in Lerner, R.M. and Steinberg, L. (eds.)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Handbook of Adolescent Psychology</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3rd </w:t>
      </w:r>
      <w:r w:rsidRPr="4DB6A9DE" w:rsidR="4F6DC1DF">
        <w:rPr>
          <w:rFonts w:ascii="Arial Nova" w:hAnsi="Arial Nova" w:eastAsia="Arial Nova" w:cs="Arial Nova"/>
          <w:b w:val="0"/>
          <w:bCs w:val="0"/>
          <w:noProof w:val="0"/>
          <w:color w:val="000000" w:themeColor="text1" w:themeTint="FF" w:themeShade="FF"/>
          <w:sz w:val="22"/>
          <w:szCs w:val="22"/>
          <w:lang w:val="en-GB"/>
        </w:rPr>
        <w:t>edn</w:t>
      </w:r>
      <w:r w:rsidRPr="4DB6A9DE" w:rsidR="4F6DC1DF">
        <w:rPr>
          <w:rFonts w:ascii="Arial Nova" w:hAnsi="Arial Nova" w:eastAsia="Arial Nova" w:cs="Arial Nova"/>
          <w:b w:val="0"/>
          <w:bCs w:val="0"/>
          <w:noProof w:val="0"/>
          <w:color w:val="000000" w:themeColor="text1" w:themeTint="FF" w:themeShade="FF"/>
          <w:sz w:val="22"/>
          <w:szCs w:val="22"/>
          <w:lang w:val="en-GB"/>
        </w:rPr>
        <w:t>. Hoboken, NJ: Wiley, pp. 74–103.</w:t>
      </w:r>
    </w:p>
    <w:p w:rsidR="00211184" w:rsidP="4DB6A9DE" w:rsidRDefault="00211184" w14:paraId="6E71FACE" w14:textId="559D82A8">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Brumariu</w:t>
      </w:r>
      <w:r w:rsidRPr="4DB6A9DE" w:rsidR="4F6DC1DF">
        <w:rPr>
          <w:rFonts w:ascii="Arial Nova" w:hAnsi="Arial Nova" w:eastAsia="Arial Nova" w:cs="Arial Nova"/>
          <w:b w:val="0"/>
          <w:bCs w:val="0"/>
          <w:noProof w:val="0"/>
          <w:color w:val="000000" w:themeColor="text1" w:themeTint="FF" w:themeShade="FF"/>
          <w:sz w:val="22"/>
          <w:szCs w:val="22"/>
          <w:lang w:val="en-GB"/>
        </w:rPr>
        <w:t>, L.E. and Kerns, K.A. (2010)</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‘Parent–child attachment and internalizing symptoms in children and adolescents: A review’,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Development and Psychopathology</w:t>
      </w:r>
      <w:r w:rsidRPr="4DB6A9DE" w:rsidR="4F6DC1DF">
        <w:rPr>
          <w:rFonts w:ascii="Arial Nova" w:hAnsi="Arial Nova" w:eastAsia="Arial Nova" w:cs="Arial Nova"/>
          <w:b w:val="0"/>
          <w:bCs w:val="0"/>
          <w:noProof w:val="0"/>
          <w:color w:val="000000" w:themeColor="text1" w:themeTint="FF" w:themeShade="FF"/>
          <w:sz w:val="22"/>
          <w:szCs w:val="22"/>
          <w:lang w:val="en-GB"/>
        </w:rPr>
        <w:t>, 22(1), pp. 177–203.</w:t>
      </w:r>
    </w:p>
    <w:p w:rsidR="00211184" w:rsidP="4DB6A9DE" w:rsidRDefault="00211184" w14:paraId="126AB7B8" w14:textId="1DEE38C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Bryman, A. (2016)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Social research methods</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5th </w:t>
      </w:r>
      <w:r w:rsidRPr="4DB6A9DE" w:rsidR="4F6DC1DF">
        <w:rPr>
          <w:rFonts w:ascii="Arial Nova" w:hAnsi="Arial Nova" w:eastAsia="Arial Nova" w:cs="Arial Nova"/>
          <w:b w:val="0"/>
          <w:bCs w:val="0"/>
          <w:noProof w:val="0"/>
          <w:color w:val="000000" w:themeColor="text1" w:themeTint="FF" w:themeShade="FF"/>
          <w:sz w:val="22"/>
          <w:szCs w:val="22"/>
          <w:lang w:val="en-GB"/>
        </w:rPr>
        <w:t>edn</w:t>
      </w:r>
      <w:r w:rsidRPr="4DB6A9DE" w:rsidR="4F6DC1DF">
        <w:rPr>
          <w:rFonts w:ascii="Arial Nova" w:hAnsi="Arial Nova" w:eastAsia="Arial Nova" w:cs="Arial Nova"/>
          <w:b w:val="0"/>
          <w:bCs w:val="0"/>
          <w:noProof w:val="0"/>
          <w:color w:val="000000" w:themeColor="text1" w:themeTint="FF" w:themeShade="FF"/>
          <w:sz w:val="22"/>
          <w:szCs w:val="22"/>
          <w:lang w:val="en-GB"/>
        </w:rPr>
        <w:t>. Oxford: Oxford University Press.</w:t>
      </w:r>
    </w:p>
    <w:p w:rsidR="00211184" w:rsidP="4DB6A9DE" w:rsidRDefault="00211184" w14:paraId="41C05CF9" w14:textId="0E6C4C7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Children’s Commissioner for England (2021)</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The State of Children’s Rights in England: A focus on wellbeing</w:t>
      </w:r>
      <w:r w:rsidRPr="4DB6A9DE" w:rsidR="4F6DC1DF">
        <w:rPr>
          <w:rFonts w:ascii="Arial Nova" w:hAnsi="Arial Nova" w:eastAsia="Arial Nova" w:cs="Arial Nova"/>
          <w:b w:val="0"/>
          <w:bCs w:val="0"/>
          <w:noProof w:val="0"/>
          <w:color w:val="000000" w:themeColor="text1" w:themeTint="FF" w:themeShade="FF"/>
          <w:sz w:val="22"/>
          <w:szCs w:val="22"/>
          <w:lang w:val="en-GB"/>
        </w:rPr>
        <w:t>. London: Children’s Commissioner.</w:t>
      </w:r>
    </w:p>
    <w:p w:rsidR="00211184" w:rsidP="4DB6A9DE" w:rsidRDefault="00211184" w14:paraId="58966171" w14:textId="3291099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Cicchetti, D. and </w:t>
      </w:r>
      <w:r w:rsidRPr="4DB6A9DE" w:rsidR="4F6DC1DF">
        <w:rPr>
          <w:rFonts w:ascii="Arial Nova" w:hAnsi="Arial Nova" w:eastAsia="Arial Nova" w:cs="Arial Nova"/>
          <w:b w:val="0"/>
          <w:bCs w:val="0"/>
          <w:noProof w:val="0"/>
          <w:color w:val="000000" w:themeColor="text1" w:themeTint="FF" w:themeShade="FF"/>
          <w:sz w:val="22"/>
          <w:szCs w:val="22"/>
          <w:lang w:val="en-GB"/>
        </w:rPr>
        <w:t>Rogosch</w:t>
      </w:r>
      <w:r w:rsidRPr="4DB6A9DE" w:rsidR="4F6DC1DF">
        <w:rPr>
          <w:rFonts w:ascii="Arial Nova" w:hAnsi="Arial Nova" w:eastAsia="Arial Nova" w:cs="Arial Nova"/>
          <w:b w:val="0"/>
          <w:bCs w:val="0"/>
          <w:noProof w:val="0"/>
          <w:color w:val="000000" w:themeColor="text1" w:themeTint="FF" w:themeShade="FF"/>
          <w:sz w:val="22"/>
          <w:szCs w:val="22"/>
          <w:lang w:val="en-GB"/>
        </w:rPr>
        <w:t>, F.A. (2002)</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 developmental psychopathology perspective on adolescence’,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Journal of Consulting and Clinical Psychology</w:t>
      </w:r>
      <w:r w:rsidRPr="4DB6A9DE" w:rsidR="4F6DC1DF">
        <w:rPr>
          <w:rFonts w:ascii="Arial Nova" w:hAnsi="Arial Nova" w:eastAsia="Arial Nova" w:cs="Arial Nova"/>
          <w:b w:val="0"/>
          <w:bCs w:val="0"/>
          <w:noProof w:val="0"/>
          <w:color w:val="000000" w:themeColor="text1" w:themeTint="FF" w:themeShade="FF"/>
          <w:sz w:val="22"/>
          <w:szCs w:val="22"/>
          <w:lang w:val="en-GB"/>
        </w:rPr>
        <w:t>, 70(1), pp. 6–20.</w:t>
      </w:r>
    </w:p>
    <w:p w:rsidR="00211184" w:rsidP="4DB6A9DE" w:rsidRDefault="00211184" w14:paraId="25AA4058" w14:textId="534E609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Creswell, J.W. and Creswell, J.D. (2018)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 xml:space="preserve">Research design: qualitative,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quantitative</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 xml:space="preserve"> and mixed methods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approaches</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5th </w:t>
      </w:r>
      <w:r w:rsidRPr="4DB6A9DE" w:rsidR="4F6DC1DF">
        <w:rPr>
          <w:rFonts w:ascii="Arial Nova" w:hAnsi="Arial Nova" w:eastAsia="Arial Nova" w:cs="Arial Nova"/>
          <w:b w:val="0"/>
          <w:bCs w:val="0"/>
          <w:noProof w:val="0"/>
          <w:color w:val="000000" w:themeColor="text1" w:themeTint="FF" w:themeShade="FF"/>
          <w:sz w:val="22"/>
          <w:szCs w:val="22"/>
          <w:lang w:val="en-GB"/>
        </w:rPr>
        <w:t>edn</w:t>
      </w:r>
      <w:r w:rsidRPr="4DB6A9DE" w:rsidR="4F6DC1DF">
        <w:rPr>
          <w:rFonts w:ascii="Arial Nova" w:hAnsi="Arial Nova" w:eastAsia="Arial Nova" w:cs="Arial Nova"/>
          <w:b w:val="0"/>
          <w:bCs w:val="0"/>
          <w:noProof w:val="0"/>
          <w:color w:val="000000" w:themeColor="text1" w:themeTint="FF" w:themeShade="FF"/>
          <w:sz w:val="22"/>
          <w:szCs w:val="22"/>
          <w:lang w:val="en-GB"/>
        </w:rPr>
        <w:t>. Thousand Oaks, CA: SAGE.</w:t>
      </w:r>
    </w:p>
    <w:p w:rsidR="00211184" w:rsidP="4DB6A9DE" w:rsidRDefault="00211184" w14:paraId="78CC0BCE" w14:textId="60FB448A">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Department for Education (2023)</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State of the nation 2023: children and young people’s wellbeing</w:t>
      </w:r>
      <w:r w:rsidRPr="4DB6A9DE" w:rsidR="4F6DC1DF">
        <w:rPr>
          <w:rFonts w:ascii="Arial Nova" w:hAnsi="Arial Nova" w:eastAsia="Arial Nova" w:cs="Arial Nova"/>
          <w:b w:val="0"/>
          <w:bCs w:val="0"/>
          <w:noProof w:val="0"/>
          <w:color w:val="000000" w:themeColor="text1" w:themeTint="FF" w:themeShade="FF"/>
          <w:sz w:val="22"/>
          <w:szCs w:val="22"/>
          <w:lang w:val="en-GB"/>
        </w:rPr>
        <w:t>. London: HMSO.</w:t>
      </w:r>
    </w:p>
    <w:p w:rsidR="00211184" w:rsidP="4DB6A9DE" w:rsidRDefault="00211184" w14:paraId="3F933D65" w14:textId="0798335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Department of Health and Social Care (2017)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Transforming children and young people’s mental health provision: a green paper</w:t>
      </w:r>
      <w:r w:rsidRPr="4DB6A9DE" w:rsidR="4F6DC1DF">
        <w:rPr>
          <w:rFonts w:ascii="Arial Nova" w:hAnsi="Arial Nova" w:eastAsia="Arial Nova" w:cs="Arial Nova"/>
          <w:b w:val="0"/>
          <w:bCs w:val="0"/>
          <w:noProof w:val="0"/>
          <w:color w:val="000000" w:themeColor="text1" w:themeTint="FF" w:themeShade="FF"/>
          <w:sz w:val="22"/>
          <w:szCs w:val="22"/>
          <w:lang w:val="en-GB"/>
        </w:rPr>
        <w:t>. London: HMSO.</w:t>
      </w:r>
    </w:p>
    <w:p w:rsidR="00211184" w:rsidP="4DB6A9DE" w:rsidRDefault="00211184" w14:paraId="6BD0DB79" w14:textId="6290C5C2">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Education Policy </w:t>
      </w:r>
      <w:r w:rsidRPr="4DB6A9DE" w:rsidR="36FD5537">
        <w:rPr>
          <w:rFonts w:ascii="Arial Nova" w:hAnsi="Arial Nova" w:eastAsia="Arial Nova" w:cs="Arial Nova"/>
          <w:b w:val="0"/>
          <w:bCs w:val="0"/>
          <w:noProof w:val="0"/>
          <w:color w:val="000000" w:themeColor="text1" w:themeTint="FF" w:themeShade="FF"/>
          <w:sz w:val="22"/>
          <w:szCs w:val="22"/>
          <w:lang w:val="en-GB"/>
        </w:rPr>
        <w:t>Institute (2020</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Education in England: Annual Report 2020</w:t>
      </w:r>
      <w:r w:rsidRPr="4DB6A9DE" w:rsidR="4F6DC1DF">
        <w:rPr>
          <w:rFonts w:ascii="Arial Nova" w:hAnsi="Arial Nova" w:eastAsia="Arial Nova" w:cs="Arial Nova"/>
          <w:b w:val="0"/>
          <w:bCs w:val="0"/>
          <w:noProof w:val="0"/>
          <w:color w:val="000000" w:themeColor="text1" w:themeTint="FF" w:themeShade="FF"/>
          <w:sz w:val="22"/>
          <w:szCs w:val="22"/>
          <w:lang w:val="en-GB"/>
        </w:rPr>
        <w:t>. London: EPI.</w:t>
      </w:r>
    </w:p>
    <w:p w:rsidR="00211184" w:rsidP="4DB6A9DE" w:rsidRDefault="00211184" w14:paraId="6DDA99C9" w14:textId="2C12713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Esparrago</w:t>
      </w:r>
      <w:r w:rsidRPr="4DB6A9DE" w:rsidR="4F6DC1DF">
        <w:rPr>
          <w:rFonts w:ascii="Arial Nova" w:hAnsi="Arial Nova" w:eastAsia="Arial Nova" w:cs="Arial Nova"/>
          <w:b w:val="0"/>
          <w:bCs w:val="0"/>
          <w:noProof w:val="0"/>
          <w:color w:val="000000" w:themeColor="text1" w:themeTint="FF" w:themeShade="FF"/>
          <w:sz w:val="22"/>
          <w:szCs w:val="22"/>
          <w:lang w:val="en-GB"/>
        </w:rPr>
        <w:t>-Kalidas, A.J. (2021)</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‘The effectiveness of the CRAAP test in evaluating credibility of sources’,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International Journal of TESOL &amp; Education</w:t>
      </w:r>
      <w:r w:rsidRPr="4DB6A9DE" w:rsidR="4F6DC1DF">
        <w:rPr>
          <w:rFonts w:ascii="Arial Nova" w:hAnsi="Arial Nova" w:eastAsia="Arial Nova" w:cs="Arial Nova"/>
          <w:b w:val="0"/>
          <w:bCs w:val="0"/>
          <w:noProof w:val="0"/>
          <w:color w:val="000000" w:themeColor="text1" w:themeTint="FF" w:themeShade="FF"/>
          <w:sz w:val="22"/>
          <w:szCs w:val="22"/>
          <w:lang w:val="en-GB"/>
        </w:rPr>
        <w:t>, 1(2), pp. 1–14.</w:t>
      </w:r>
    </w:p>
    <w:p w:rsidR="00211184" w:rsidP="4DB6A9DE" w:rsidRDefault="00211184" w14:paraId="2B9AAB06" w14:textId="5D7CAA6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Evans, G.W. and English, K. (2002) ‘The environment of poverty: multiple stressor exposure, psychophysiological stress, and socioemotional adjustment’,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Child Development</w:t>
      </w:r>
      <w:r w:rsidRPr="4DB6A9DE" w:rsidR="4F6DC1DF">
        <w:rPr>
          <w:rFonts w:ascii="Arial Nova" w:hAnsi="Arial Nova" w:eastAsia="Arial Nova" w:cs="Arial Nova"/>
          <w:b w:val="0"/>
          <w:bCs w:val="0"/>
          <w:noProof w:val="0"/>
          <w:color w:val="000000" w:themeColor="text1" w:themeTint="FF" w:themeShade="FF"/>
          <w:sz w:val="22"/>
          <w:szCs w:val="22"/>
          <w:lang w:val="en-GB"/>
        </w:rPr>
        <w:t>, 73(4), pp. 1238–1248.</w:t>
      </w:r>
    </w:p>
    <w:p w:rsidR="00211184" w:rsidP="4DB6A9DE" w:rsidRDefault="00211184" w14:paraId="7B777717" w14:textId="48B2E64D">
      <w:pPr>
        <w:spacing w:before="240" w:beforeAutospacing="off" w:after="240" w:afterAutospacing="off"/>
        <w:rPr>
          <w:rFonts w:ascii="Arial Nova" w:hAnsi="Arial Nova" w:eastAsia="Arial Nova" w:cs="Arial Nova"/>
          <w:b w:val="0"/>
          <w:bCs w:val="0"/>
          <w:color w:val="000000" w:themeColor="text1" w:themeTint="FF" w:themeShade="FF"/>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Fassi, L., Orben, </w:t>
      </w:r>
      <w:r w:rsidRPr="4DB6A9DE" w:rsidR="4F6DC1DF">
        <w:rPr>
          <w:rFonts w:ascii="Arial Nova" w:hAnsi="Arial Nova" w:eastAsia="Arial Nova" w:cs="Arial Nova"/>
          <w:b w:val="0"/>
          <w:bCs w:val="0"/>
          <w:noProof w:val="0"/>
          <w:color w:val="000000" w:themeColor="text1" w:themeTint="FF" w:themeShade="FF"/>
          <w:sz w:val="22"/>
          <w:szCs w:val="22"/>
          <w:lang w:val="en-GB"/>
        </w:rPr>
        <w:t>A.</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and Przybylski, A.K. (2025)</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‘Social media use in adolescents with and without mental health conditions: nationally representative UK data’,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Nature Human Behaviour</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hyperlink r:id="R307fce66c167443a">
        <w:r w:rsidRPr="4DB6A9DE" w:rsidR="4F6DC1DF">
          <w:rPr>
            <w:rStyle w:val="Hyperlink"/>
            <w:rFonts w:ascii="Arial Nova" w:hAnsi="Arial Nova" w:eastAsia="Arial Nova" w:cs="Arial Nova"/>
            <w:b w:val="0"/>
            <w:bCs w:val="0"/>
            <w:noProof w:val="0"/>
            <w:color w:val="000000" w:themeColor="text1" w:themeTint="FF" w:themeShade="FF"/>
            <w:sz w:val="22"/>
            <w:szCs w:val="22"/>
            <w:lang w:val="en-GB"/>
          </w:rPr>
          <w:t>https://doi.org/10.1038/s41562-025-02134-4</w:t>
        </w:r>
      </w:hyperlink>
    </w:p>
    <w:p w:rsidR="00211184" w:rsidP="4DB6A9DE" w:rsidRDefault="00211184" w14:paraId="7EBBC77D" w14:textId="7536FB5E">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Festinger, L. (1954)</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 theory of social comparison processes’,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Human Relations</w:t>
      </w:r>
      <w:r w:rsidRPr="4DB6A9DE" w:rsidR="4F6DC1DF">
        <w:rPr>
          <w:rFonts w:ascii="Arial Nova" w:hAnsi="Arial Nova" w:eastAsia="Arial Nova" w:cs="Arial Nova"/>
          <w:b w:val="0"/>
          <w:bCs w:val="0"/>
          <w:noProof w:val="0"/>
          <w:color w:val="000000" w:themeColor="text1" w:themeTint="FF" w:themeShade="FF"/>
          <w:sz w:val="22"/>
          <w:szCs w:val="22"/>
          <w:lang w:val="en-GB"/>
        </w:rPr>
        <w:t>, 7(2), pp. 117–140.</w:t>
      </w:r>
    </w:p>
    <w:p w:rsidR="00211184" w:rsidP="4DB6A9DE" w:rsidRDefault="00211184" w14:paraId="4E178755" w14:textId="6E3E809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Fombonne</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E. (1998) ‘Increased rates of psychosocial disorders in youth’,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European Archives of Psychiatry and Clinical Neuroscience</w:t>
      </w:r>
      <w:r w:rsidRPr="4DB6A9DE" w:rsidR="4F6DC1DF">
        <w:rPr>
          <w:rFonts w:ascii="Arial Nova" w:hAnsi="Arial Nova" w:eastAsia="Arial Nova" w:cs="Arial Nova"/>
          <w:b w:val="0"/>
          <w:bCs w:val="0"/>
          <w:noProof w:val="0"/>
          <w:color w:val="000000" w:themeColor="text1" w:themeTint="FF" w:themeShade="FF"/>
          <w:sz w:val="22"/>
          <w:szCs w:val="22"/>
          <w:lang w:val="en-GB"/>
        </w:rPr>
        <w:t>, 248(1), pp. 14–21.</w:t>
      </w:r>
    </w:p>
    <w:p w:rsidR="00211184" w:rsidP="4DB6A9DE" w:rsidRDefault="00211184" w14:paraId="61C29B62" w14:textId="57DC51E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Hart, C. (2018)</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Doing a literature review: releasing the research imagination</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2nd </w:t>
      </w:r>
      <w:r w:rsidRPr="4DB6A9DE" w:rsidR="4F6DC1DF">
        <w:rPr>
          <w:rFonts w:ascii="Arial Nova" w:hAnsi="Arial Nova" w:eastAsia="Arial Nova" w:cs="Arial Nova"/>
          <w:b w:val="0"/>
          <w:bCs w:val="0"/>
          <w:noProof w:val="0"/>
          <w:color w:val="000000" w:themeColor="text1" w:themeTint="FF" w:themeShade="FF"/>
          <w:sz w:val="22"/>
          <w:szCs w:val="22"/>
          <w:lang w:val="en-GB"/>
        </w:rPr>
        <w:t>edn</w:t>
      </w:r>
      <w:r w:rsidRPr="4DB6A9DE" w:rsidR="4F6DC1DF">
        <w:rPr>
          <w:rFonts w:ascii="Arial Nova" w:hAnsi="Arial Nova" w:eastAsia="Arial Nova" w:cs="Arial Nova"/>
          <w:b w:val="0"/>
          <w:bCs w:val="0"/>
          <w:noProof w:val="0"/>
          <w:color w:val="000000" w:themeColor="text1" w:themeTint="FF" w:themeShade="FF"/>
          <w:sz w:val="22"/>
          <w:szCs w:val="22"/>
          <w:lang w:val="en-GB"/>
        </w:rPr>
        <w:t>. London: SAGE.</w:t>
      </w:r>
    </w:p>
    <w:p w:rsidR="00211184" w:rsidP="4DB6A9DE" w:rsidRDefault="00211184" w14:paraId="12A9E7ED" w14:textId="3DF71C0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Haugland, B.S.M., </w:t>
      </w:r>
      <w:r w:rsidRPr="4DB6A9DE" w:rsidR="4F6DC1DF">
        <w:rPr>
          <w:rFonts w:ascii="Arial Nova" w:hAnsi="Arial Nova" w:eastAsia="Arial Nova" w:cs="Arial Nova"/>
          <w:b w:val="0"/>
          <w:bCs w:val="0"/>
          <w:noProof w:val="0"/>
          <w:color w:val="000000" w:themeColor="text1" w:themeTint="FF" w:themeShade="FF"/>
          <w:sz w:val="22"/>
          <w:szCs w:val="22"/>
          <w:lang w:val="en-GB"/>
        </w:rPr>
        <w:t>Raanaas</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R.K., Haaland, V.O. and </w:t>
      </w:r>
      <w:r w:rsidRPr="4DB6A9DE" w:rsidR="4F6DC1DF">
        <w:rPr>
          <w:rFonts w:ascii="Arial Nova" w:hAnsi="Arial Nova" w:eastAsia="Arial Nova" w:cs="Arial Nova"/>
          <w:b w:val="0"/>
          <w:bCs w:val="0"/>
          <w:noProof w:val="0"/>
          <w:color w:val="000000" w:themeColor="text1" w:themeTint="FF" w:themeShade="FF"/>
          <w:sz w:val="22"/>
          <w:szCs w:val="22"/>
          <w:lang w:val="en-GB"/>
        </w:rPr>
        <w:t>Wold</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B. (2020) ‘School-based mental health services in Norway: current practices and future challenges’,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Scandinavian Journal of Public Health</w:t>
      </w:r>
      <w:r w:rsidRPr="4DB6A9DE" w:rsidR="4F6DC1DF">
        <w:rPr>
          <w:rFonts w:ascii="Arial Nova" w:hAnsi="Arial Nova" w:eastAsia="Arial Nova" w:cs="Arial Nova"/>
          <w:b w:val="0"/>
          <w:bCs w:val="0"/>
          <w:noProof w:val="0"/>
          <w:color w:val="000000" w:themeColor="text1" w:themeTint="FF" w:themeShade="FF"/>
          <w:sz w:val="22"/>
          <w:szCs w:val="22"/>
          <w:lang w:val="en-GB"/>
        </w:rPr>
        <w:t>, 48(6), pp. 574–581.</w:t>
      </w:r>
    </w:p>
    <w:p w:rsidR="00211184" w:rsidP="4DB6A9DE" w:rsidRDefault="00211184" w14:paraId="59124E8A" w14:textId="61A352D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Jones, K. (1999)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The making of social policy in Britain: from the Poor Law to New Labour</w:t>
      </w:r>
      <w:r w:rsidRPr="4DB6A9DE" w:rsidR="4F6DC1DF">
        <w:rPr>
          <w:rFonts w:ascii="Arial Nova" w:hAnsi="Arial Nova" w:eastAsia="Arial Nova" w:cs="Arial Nova"/>
          <w:b w:val="0"/>
          <w:bCs w:val="0"/>
          <w:noProof w:val="0"/>
          <w:color w:val="000000" w:themeColor="text1" w:themeTint="FF" w:themeShade="FF"/>
          <w:sz w:val="22"/>
          <w:szCs w:val="22"/>
          <w:lang w:val="en-GB"/>
        </w:rPr>
        <w:t>. London: Athlone Press.</w:t>
      </w:r>
    </w:p>
    <w:p w:rsidR="00211184" w:rsidP="4DB6A9DE" w:rsidRDefault="00211184" w14:paraId="71F2A913" w14:textId="7DBBEAB8">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Kendall, P.C., Hudson, J.L., Gosch, E., Flannery-Schroeder, E. and </w:t>
      </w:r>
      <w:r w:rsidRPr="4DB6A9DE" w:rsidR="4F6DC1DF">
        <w:rPr>
          <w:rFonts w:ascii="Arial Nova" w:hAnsi="Arial Nova" w:eastAsia="Arial Nova" w:cs="Arial Nova"/>
          <w:b w:val="0"/>
          <w:bCs w:val="0"/>
          <w:noProof w:val="0"/>
          <w:color w:val="000000" w:themeColor="text1" w:themeTint="FF" w:themeShade="FF"/>
          <w:sz w:val="22"/>
          <w:szCs w:val="22"/>
          <w:lang w:val="en-GB"/>
        </w:rPr>
        <w:t>Suveg</w:t>
      </w:r>
      <w:r w:rsidRPr="4DB6A9DE" w:rsidR="4F6DC1DF">
        <w:rPr>
          <w:rFonts w:ascii="Arial Nova" w:hAnsi="Arial Nova" w:eastAsia="Arial Nova" w:cs="Arial Nova"/>
          <w:b w:val="0"/>
          <w:bCs w:val="0"/>
          <w:noProof w:val="0"/>
          <w:color w:val="000000" w:themeColor="text1" w:themeTint="FF" w:themeShade="FF"/>
          <w:sz w:val="22"/>
          <w:szCs w:val="22"/>
          <w:lang w:val="en-GB"/>
        </w:rPr>
        <w:t>, C. (2005)</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‘Cognitive-</w:t>
      </w:r>
      <w:r w:rsidRPr="4DB6A9DE" w:rsidR="4F6DC1DF">
        <w:rPr>
          <w:rFonts w:ascii="Arial Nova" w:hAnsi="Arial Nova" w:eastAsia="Arial Nova" w:cs="Arial Nova"/>
          <w:b w:val="0"/>
          <w:bCs w:val="0"/>
          <w:noProof w:val="0"/>
          <w:color w:val="000000" w:themeColor="text1" w:themeTint="FF" w:themeShade="FF"/>
          <w:sz w:val="22"/>
          <w:szCs w:val="22"/>
          <w:lang w:val="en-GB"/>
        </w:rPr>
        <w:t>behavioral</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therapy for anxiety disordered youth’,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Journal of Consulting and Clinical Psychology</w:t>
      </w:r>
      <w:r w:rsidRPr="4DB6A9DE" w:rsidR="4F6DC1DF">
        <w:rPr>
          <w:rFonts w:ascii="Arial Nova" w:hAnsi="Arial Nova" w:eastAsia="Arial Nova" w:cs="Arial Nova"/>
          <w:b w:val="0"/>
          <w:bCs w:val="0"/>
          <w:noProof w:val="0"/>
          <w:color w:val="000000" w:themeColor="text1" w:themeTint="FF" w:themeShade="FF"/>
          <w:sz w:val="22"/>
          <w:szCs w:val="22"/>
          <w:lang w:val="en-GB"/>
        </w:rPr>
        <w:t>, 73(4), pp. 706–716.</w:t>
      </w:r>
    </w:p>
    <w:p w:rsidR="00211184" w:rsidP="4DB6A9DE" w:rsidRDefault="00211184" w14:paraId="457D83CF" w14:textId="324B32DE">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Kelly, Y., </w:t>
      </w:r>
      <w:r w:rsidRPr="4DB6A9DE" w:rsidR="4F6DC1DF">
        <w:rPr>
          <w:rFonts w:ascii="Arial Nova" w:hAnsi="Arial Nova" w:eastAsia="Arial Nova" w:cs="Arial Nova"/>
          <w:b w:val="0"/>
          <w:bCs w:val="0"/>
          <w:noProof w:val="0"/>
          <w:color w:val="000000" w:themeColor="text1" w:themeTint="FF" w:themeShade="FF"/>
          <w:sz w:val="22"/>
          <w:szCs w:val="22"/>
          <w:lang w:val="en-GB"/>
        </w:rPr>
        <w:t>Zilanawala</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 Booker, </w:t>
      </w:r>
      <w:r w:rsidRPr="4DB6A9DE" w:rsidR="4F6DC1DF">
        <w:rPr>
          <w:rFonts w:ascii="Arial Nova" w:hAnsi="Arial Nova" w:eastAsia="Arial Nova" w:cs="Arial Nova"/>
          <w:b w:val="0"/>
          <w:bCs w:val="0"/>
          <w:noProof w:val="0"/>
          <w:color w:val="000000" w:themeColor="text1" w:themeTint="FF" w:themeShade="FF"/>
          <w:sz w:val="22"/>
          <w:szCs w:val="22"/>
          <w:lang w:val="en-GB"/>
        </w:rPr>
        <w:t>C.</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and Sacker, A. (2018) ‘Social media use and adolescent mental health: findings from the UK Millennium Cohort Study’,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EClinicalMedicine</w:t>
      </w:r>
      <w:r w:rsidRPr="4DB6A9DE" w:rsidR="4F6DC1DF">
        <w:rPr>
          <w:rFonts w:ascii="Arial Nova" w:hAnsi="Arial Nova" w:eastAsia="Arial Nova" w:cs="Arial Nova"/>
          <w:b w:val="0"/>
          <w:bCs w:val="0"/>
          <w:noProof w:val="0"/>
          <w:color w:val="000000" w:themeColor="text1" w:themeTint="FF" w:themeShade="FF"/>
          <w:sz w:val="22"/>
          <w:szCs w:val="22"/>
          <w:lang w:val="en-GB"/>
        </w:rPr>
        <w:t>, 6, pp. 59–68.</w:t>
      </w:r>
    </w:p>
    <w:p w:rsidR="00211184" w:rsidP="4DB6A9DE" w:rsidRDefault="00211184" w14:paraId="58078B29" w14:textId="31D22237">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La Greca, A.M. and Harrison, H.M. (2005)</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‘Adolescent peer relations, friendships, and romantic relationships’,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Journal of Clinical Child and Adolescent Psychology</w:t>
      </w:r>
      <w:r w:rsidRPr="4DB6A9DE" w:rsidR="4F6DC1DF">
        <w:rPr>
          <w:rFonts w:ascii="Arial Nova" w:hAnsi="Arial Nova" w:eastAsia="Arial Nova" w:cs="Arial Nova"/>
          <w:b w:val="0"/>
          <w:bCs w:val="0"/>
          <w:noProof w:val="0"/>
          <w:color w:val="000000" w:themeColor="text1" w:themeTint="FF" w:themeShade="FF"/>
          <w:sz w:val="22"/>
          <w:szCs w:val="22"/>
          <w:lang w:val="en-GB"/>
        </w:rPr>
        <w:t>, 34(1), pp. 49–61.</w:t>
      </w:r>
    </w:p>
    <w:p w:rsidR="00211184" w:rsidP="4DB6A9DE" w:rsidRDefault="00211184" w14:paraId="0237BBEF" w14:textId="3207DFFA">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Lazarus, R.S. and Folkman, S. (1984)</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Stress, appraisal, and coping</w:t>
      </w:r>
      <w:r w:rsidRPr="4DB6A9DE" w:rsidR="4F6DC1DF">
        <w:rPr>
          <w:rFonts w:ascii="Arial Nova" w:hAnsi="Arial Nova" w:eastAsia="Arial Nova" w:cs="Arial Nova"/>
          <w:b w:val="0"/>
          <w:bCs w:val="0"/>
          <w:noProof w:val="0"/>
          <w:color w:val="000000" w:themeColor="text1" w:themeTint="FF" w:themeShade="FF"/>
          <w:sz w:val="22"/>
          <w:szCs w:val="22"/>
          <w:lang w:val="en-GB"/>
        </w:rPr>
        <w:t>. New York: Springer.</w:t>
      </w:r>
    </w:p>
    <w:p w:rsidR="00211184" w:rsidP="4DB6A9DE" w:rsidRDefault="00211184" w14:paraId="37A15B99" w14:textId="684F139A">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Lee, S. (2019)</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‘Education fever and adolescent anxiety in South Korea’,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Asia Pacific Education Review</w:t>
      </w:r>
      <w:r w:rsidRPr="4DB6A9DE" w:rsidR="4F6DC1DF">
        <w:rPr>
          <w:rFonts w:ascii="Arial Nova" w:hAnsi="Arial Nova" w:eastAsia="Arial Nova" w:cs="Arial Nova"/>
          <w:b w:val="0"/>
          <w:bCs w:val="0"/>
          <w:noProof w:val="0"/>
          <w:color w:val="000000" w:themeColor="text1" w:themeTint="FF" w:themeShade="FF"/>
          <w:sz w:val="22"/>
          <w:szCs w:val="22"/>
          <w:lang w:val="en-GB"/>
        </w:rPr>
        <w:t>, 20(1), pp. 59–72.</w:t>
      </w:r>
    </w:p>
    <w:p w:rsidR="00211184" w:rsidP="4DB6A9DE" w:rsidRDefault="00211184" w14:paraId="0EEF7315" w14:textId="3EAD7BEE">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Loades, M.E., Chatburn, E., Higson-Sweeney, N. et al. (2020)</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‘Rapid systematic review: the impact of social isolation and loneliness on children and adolescents’,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Journal of the American Academy of Child &amp; Adolescent Psychiatry</w:t>
      </w:r>
      <w:r w:rsidRPr="4DB6A9DE" w:rsidR="4F6DC1DF">
        <w:rPr>
          <w:rFonts w:ascii="Arial Nova" w:hAnsi="Arial Nova" w:eastAsia="Arial Nova" w:cs="Arial Nova"/>
          <w:b w:val="0"/>
          <w:bCs w:val="0"/>
          <w:noProof w:val="0"/>
          <w:color w:val="000000" w:themeColor="text1" w:themeTint="FF" w:themeShade="FF"/>
          <w:sz w:val="22"/>
          <w:szCs w:val="22"/>
          <w:lang w:val="en-GB"/>
        </w:rPr>
        <w:t>, 59(11), pp. 1218–1239.e3.</w:t>
      </w:r>
    </w:p>
    <w:p w:rsidR="00211184" w:rsidP="4DB6A9DE" w:rsidRDefault="00211184" w14:paraId="4DC45F23" w14:textId="69EF4A9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Local Government Association (2020)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Improving young people’s mental health and emotional wellbeing</w:t>
      </w:r>
      <w:r w:rsidRPr="4DB6A9DE" w:rsidR="4F6DC1DF">
        <w:rPr>
          <w:rFonts w:ascii="Arial Nova" w:hAnsi="Arial Nova" w:eastAsia="Arial Nova" w:cs="Arial Nova"/>
          <w:b w:val="0"/>
          <w:bCs w:val="0"/>
          <w:noProof w:val="0"/>
          <w:color w:val="000000" w:themeColor="text1" w:themeTint="FF" w:themeShade="FF"/>
          <w:sz w:val="22"/>
          <w:szCs w:val="22"/>
          <w:lang w:val="en-GB"/>
        </w:rPr>
        <w:t>. London: LGA.</w:t>
      </w:r>
    </w:p>
    <w:p w:rsidR="00211184" w:rsidP="4DB6A9DE" w:rsidRDefault="00211184" w14:paraId="68673B20" w14:textId="62AF904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Mental Health Foundation (2021)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State of Youth Mental Health Report</w:t>
      </w:r>
      <w:r w:rsidRPr="4DB6A9DE" w:rsidR="4F6DC1DF">
        <w:rPr>
          <w:rFonts w:ascii="Arial Nova" w:hAnsi="Arial Nova" w:eastAsia="Arial Nova" w:cs="Arial Nova"/>
          <w:b w:val="0"/>
          <w:bCs w:val="0"/>
          <w:noProof w:val="0"/>
          <w:color w:val="000000" w:themeColor="text1" w:themeTint="FF" w:themeShade="FF"/>
          <w:sz w:val="22"/>
          <w:szCs w:val="22"/>
          <w:lang w:val="en-GB"/>
        </w:rPr>
        <w:t>. London: MHF.</w:t>
      </w:r>
    </w:p>
    <w:p w:rsidR="00211184" w:rsidP="4DB6A9DE" w:rsidRDefault="00211184" w14:paraId="5A8F243E" w14:textId="0D59D0B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NHS Digital (2022)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Mental health of children and young people in England 2022</w:t>
      </w:r>
      <w:r w:rsidRPr="4DB6A9DE" w:rsidR="4F6DC1DF">
        <w:rPr>
          <w:rFonts w:ascii="Arial Nova" w:hAnsi="Arial Nova" w:eastAsia="Arial Nova" w:cs="Arial Nova"/>
          <w:b w:val="0"/>
          <w:bCs w:val="0"/>
          <w:noProof w:val="0"/>
          <w:color w:val="000000" w:themeColor="text1" w:themeTint="FF" w:themeShade="FF"/>
          <w:sz w:val="22"/>
          <w:szCs w:val="22"/>
          <w:lang w:val="en-GB"/>
        </w:rPr>
        <w:t>. London: NHS.</w:t>
      </w:r>
    </w:p>
    <w:p w:rsidR="00211184" w:rsidP="4DB6A9DE" w:rsidRDefault="00211184" w14:paraId="585E2BF5" w14:textId="11664440">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Otter, M., </w:t>
      </w:r>
      <w:r w:rsidRPr="4DB6A9DE" w:rsidR="4F6DC1DF">
        <w:rPr>
          <w:rFonts w:ascii="Arial Nova" w:hAnsi="Arial Nova" w:eastAsia="Arial Nova" w:cs="Arial Nova"/>
          <w:b w:val="0"/>
          <w:bCs w:val="0"/>
          <w:noProof w:val="0"/>
          <w:color w:val="000000" w:themeColor="text1" w:themeTint="FF" w:themeShade="FF"/>
          <w:sz w:val="22"/>
          <w:szCs w:val="22"/>
          <w:lang w:val="en-GB"/>
        </w:rPr>
        <w:t>Kothgassner</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O.D., </w:t>
      </w:r>
      <w:r w:rsidRPr="4DB6A9DE" w:rsidR="4F6DC1DF">
        <w:rPr>
          <w:rFonts w:ascii="Arial Nova" w:hAnsi="Arial Nova" w:eastAsia="Arial Nova" w:cs="Arial Nova"/>
          <w:b w:val="0"/>
          <w:bCs w:val="0"/>
          <w:noProof w:val="0"/>
          <w:color w:val="000000" w:themeColor="text1" w:themeTint="FF" w:themeShade="FF"/>
          <w:sz w:val="22"/>
          <w:szCs w:val="22"/>
          <w:lang w:val="en-GB"/>
        </w:rPr>
        <w:t>Lepuschütz</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L., Drahos, S. and Plener, P.L. (2024) ‘The impact of the COVID-19 pandemic on adolescents receiving psychopharmacological medication’,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Child and Adolescent Psychiatry and Mental Health</w:t>
      </w:r>
      <w:r w:rsidRPr="4DB6A9DE" w:rsidR="4F6DC1DF">
        <w:rPr>
          <w:rFonts w:ascii="Arial Nova" w:hAnsi="Arial Nova" w:eastAsia="Arial Nova" w:cs="Arial Nova"/>
          <w:b w:val="0"/>
          <w:bCs w:val="0"/>
          <w:noProof w:val="0"/>
          <w:color w:val="000000" w:themeColor="text1" w:themeTint="FF" w:themeShade="FF"/>
          <w:sz w:val="22"/>
          <w:szCs w:val="22"/>
          <w:lang w:val="en-GB"/>
        </w:rPr>
        <w:t>, 18(1), pp. 1–10.</w:t>
      </w:r>
    </w:p>
    <w:p w:rsidR="00211184" w:rsidP="4DB6A9DE" w:rsidRDefault="00211184" w14:paraId="00BCA490" w14:textId="5511EA9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Patel, V. et al. (2018)</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‘The Lancet Commission on global mental health and sustainable development’,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The Lancet</w:t>
      </w:r>
      <w:r w:rsidRPr="4DB6A9DE" w:rsidR="4F6DC1DF">
        <w:rPr>
          <w:rFonts w:ascii="Arial Nova" w:hAnsi="Arial Nova" w:eastAsia="Arial Nova" w:cs="Arial Nova"/>
          <w:b w:val="0"/>
          <w:bCs w:val="0"/>
          <w:noProof w:val="0"/>
          <w:color w:val="000000" w:themeColor="text1" w:themeTint="FF" w:themeShade="FF"/>
          <w:sz w:val="22"/>
          <w:szCs w:val="22"/>
          <w:lang w:val="en-GB"/>
        </w:rPr>
        <w:t>, 392(10157), pp. 1553–1598.</w:t>
      </w:r>
    </w:p>
    <w:p w:rsidR="00211184" w:rsidP="4DB6A9DE" w:rsidRDefault="00211184" w14:paraId="6DC537CE" w14:textId="7F6A056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Plackett, R., Thomas, S., Marks, </w:t>
      </w:r>
      <w:r w:rsidRPr="4DB6A9DE" w:rsidR="4F6DC1DF">
        <w:rPr>
          <w:rFonts w:ascii="Arial Nova" w:hAnsi="Arial Nova" w:eastAsia="Arial Nova" w:cs="Arial Nova"/>
          <w:b w:val="0"/>
          <w:bCs w:val="0"/>
          <w:noProof w:val="0"/>
          <w:color w:val="000000" w:themeColor="text1" w:themeTint="FF" w:themeShade="FF"/>
          <w:sz w:val="22"/>
          <w:szCs w:val="22"/>
          <w:lang w:val="en-GB"/>
        </w:rPr>
        <w:t>D.</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and Jones, M. (2023)</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‘The longitudinal impact of social media on UK adolescents’,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Child</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 xml:space="preserve"> and Adolescent Mental Health</w:t>
      </w:r>
      <w:r w:rsidRPr="4DB6A9DE" w:rsidR="4F6DC1DF">
        <w:rPr>
          <w:rFonts w:ascii="Arial Nova" w:hAnsi="Arial Nova" w:eastAsia="Arial Nova" w:cs="Arial Nova"/>
          <w:b w:val="0"/>
          <w:bCs w:val="0"/>
          <w:noProof w:val="0"/>
          <w:color w:val="000000" w:themeColor="text1" w:themeTint="FF" w:themeShade="FF"/>
          <w:sz w:val="22"/>
          <w:szCs w:val="22"/>
          <w:lang w:val="en-GB"/>
        </w:rPr>
        <w:t>, 28(2), pp. 112–123.</w:t>
      </w:r>
    </w:p>
    <w:p w:rsidR="00211184" w:rsidP="4DB6A9DE" w:rsidRDefault="00211184" w14:paraId="600BB471" w14:textId="694AF4A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Punch, K.F. and Oancea, A. (2014)</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Introduction to research methods in education</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2nd </w:t>
      </w:r>
      <w:r w:rsidRPr="4DB6A9DE" w:rsidR="4F6DC1DF">
        <w:rPr>
          <w:rFonts w:ascii="Arial Nova" w:hAnsi="Arial Nova" w:eastAsia="Arial Nova" w:cs="Arial Nova"/>
          <w:b w:val="0"/>
          <w:bCs w:val="0"/>
          <w:noProof w:val="0"/>
          <w:color w:val="000000" w:themeColor="text1" w:themeTint="FF" w:themeShade="FF"/>
          <w:sz w:val="22"/>
          <w:szCs w:val="22"/>
          <w:lang w:val="en-GB"/>
        </w:rPr>
        <w:t>edn</w:t>
      </w:r>
      <w:r w:rsidRPr="4DB6A9DE" w:rsidR="4F6DC1DF">
        <w:rPr>
          <w:rFonts w:ascii="Arial Nova" w:hAnsi="Arial Nova" w:eastAsia="Arial Nova" w:cs="Arial Nova"/>
          <w:b w:val="0"/>
          <w:bCs w:val="0"/>
          <w:noProof w:val="0"/>
          <w:color w:val="000000" w:themeColor="text1" w:themeTint="FF" w:themeShade="FF"/>
          <w:sz w:val="22"/>
          <w:szCs w:val="22"/>
          <w:lang w:val="en-GB"/>
        </w:rPr>
        <w:t>. London: SAGE.</w:t>
      </w:r>
    </w:p>
    <w:p w:rsidR="00211184" w:rsidP="4DB6A9DE" w:rsidRDefault="00211184" w14:paraId="5E3519C9" w14:textId="0594850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Putwain</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D.W., Woods, </w:t>
      </w:r>
      <w:r w:rsidRPr="4DB6A9DE" w:rsidR="4F6DC1DF">
        <w:rPr>
          <w:rFonts w:ascii="Arial Nova" w:hAnsi="Arial Nova" w:eastAsia="Arial Nova" w:cs="Arial Nova"/>
          <w:b w:val="0"/>
          <w:bCs w:val="0"/>
          <w:noProof w:val="0"/>
          <w:color w:val="000000" w:themeColor="text1" w:themeTint="FF" w:themeShade="FF"/>
          <w:sz w:val="22"/>
          <w:szCs w:val="22"/>
          <w:lang w:val="en-GB"/>
        </w:rPr>
        <w:t>K.</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and Symes, W. (2016) ‘Personal and situational predictors of test anxiety’,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British Journal of Educational Psychology</w:t>
      </w:r>
      <w:r w:rsidRPr="4DB6A9DE" w:rsidR="4F6DC1DF">
        <w:rPr>
          <w:rFonts w:ascii="Arial Nova" w:hAnsi="Arial Nova" w:eastAsia="Arial Nova" w:cs="Arial Nova"/>
          <w:b w:val="0"/>
          <w:bCs w:val="0"/>
          <w:noProof w:val="0"/>
          <w:color w:val="000000" w:themeColor="text1" w:themeTint="FF" w:themeShade="FF"/>
          <w:sz w:val="22"/>
          <w:szCs w:val="22"/>
          <w:lang w:val="en-GB"/>
        </w:rPr>
        <w:t>, 86(3), pp. 364–381.</w:t>
      </w:r>
    </w:p>
    <w:p w:rsidR="00211184" w:rsidP="4DB6A9DE" w:rsidRDefault="00211184" w14:paraId="1436B1BA" w14:textId="2981781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Ridley, D. (2012)</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The literature review: a step-by-step guide for students</w:t>
      </w:r>
      <w:r w:rsidRPr="4DB6A9DE" w:rsidR="4F6DC1DF">
        <w:rPr>
          <w:rFonts w:ascii="Arial Nova" w:hAnsi="Arial Nova" w:eastAsia="Arial Nova" w:cs="Arial Nova"/>
          <w:b w:val="0"/>
          <w:bCs w:val="0"/>
          <w:noProof w:val="0"/>
          <w:color w:val="000000" w:themeColor="text1" w:themeTint="FF" w:themeShade="FF"/>
          <w:sz w:val="22"/>
          <w:szCs w:val="22"/>
          <w:lang w:val="en-GB"/>
        </w:rPr>
        <w:t>. London: SAGE.</w:t>
      </w:r>
    </w:p>
    <w:p w:rsidR="00211184" w:rsidP="4DB6A9DE" w:rsidRDefault="00211184" w14:paraId="7F0C31A5" w14:textId="5752A087">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Rutter, M. (1989) ‘Pathways from childhood to adult life’,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Journal of Child Psychology and Psychiatry</w:t>
      </w:r>
      <w:r w:rsidRPr="4DB6A9DE" w:rsidR="4F6DC1DF">
        <w:rPr>
          <w:rFonts w:ascii="Arial Nova" w:hAnsi="Arial Nova" w:eastAsia="Arial Nova" w:cs="Arial Nova"/>
          <w:b w:val="0"/>
          <w:bCs w:val="0"/>
          <w:noProof w:val="0"/>
          <w:color w:val="000000" w:themeColor="text1" w:themeTint="FF" w:themeShade="FF"/>
          <w:sz w:val="22"/>
          <w:szCs w:val="22"/>
          <w:lang w:val="en-GB"/>
        </w:rPr>
        <w:t>, 30(1), pp. 23–51.</w:t>
      </w:r>
    </w:p>
    <w:p w:rsidR="00211184" w:rsidP="4DB6A9DE" w:rsidRDefault="00211184" w14:paraId="5EF2646E" w14:textId="091B102E">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Santrock, J.W. (2019)</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Adolescence</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17th </w:t>
      </w:r>
      <w:r w:rsidRPr="4DB6A9DE" w:rsidR="4F6DC1DF">
        <w:rPr>
          <w:rFonts w:ascii="Arial Nova" w:hAnsi="Arial Nova" w:eastAsia="Arial Nova" w:cs="Arial Nova"/>
          <w:b w:val="0"/>
          <w:bCs w:val="0"/>
          <w:noProof w:val="0"/>
          <w:color w:val="000000" w:themeColor="text1" w:themeTint="FF" w:themeShade="FF"/>
          <w:sz w:val="22"/>
          <w:szCs w:val="22"/>
          <w:lang w:val="en-GB"/>
        </w:rPr>
        <w:t>edn</w:t>
      </w:r>
      <w:r w:rsidRPr="4DB6A9DE" w:rsidR="4F6DC1DF">
        <w:rPr>
          <w:rFonts w:ascii="Arial Nova" w:hAnsi="Arial Nova" w:eastAsia="Arial Nova" w:cs="Arial Nova"/>
          <w:b w:val="0"/>
          <w:bCs w:val="0"/>
          <w:noProof w:val="0"/>
          <w:color w:val="000000" w:themeColor="text1" w:themeTint="FF" w:themeShade="FF"/>
          <w:sz w:val="22"/>
          <w:szCs w:val="22"/>
          <w:lang w:val="en-GB"/>
        </w:rPr>
        <w:t>. New York: McGraw Hill Education.</w:t>
      </w:r>
    </w:p>
    <w:p w:rsidR="00211184" w:rsidP="4DB6A9DE" w:rsidRDefault="00211184" w14:paraId="639CD2DD" w14:textId="0AE37AD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Stallard, P. (2019)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Anxiety: Cognitive Behaviour Therapy with Children and Young People</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2nd </w:t>
      </w:r>
      <w:r w:rsidRPr="4DB6A9DE" w:rsidR="4F6DC1DF">
        <w:rPr>
          <w:rFonts w:ascii="Arial Nova" w:hAnsi="Arial Nova" w:eastAsia="Arial Nova" w:cs="Arial Nova"/>
          <w:b w:val="0"/>
          <w:bCs w:val="0"/>
          <w:noProof w:val="0"/>
          <w:color w:val="000000" w:themeColor="text1" w:themeTint="FF" w:themeShade="FF"/>
          <w:sz w:val="22"/>
          <w:szCs w:val="22"/>
          <w:lang w:val="en-GB"/>
        </w:rPr>
        <w:t>edn</w:t>
      </w:r>
      <w:r w:rsidRPr="4DB6A9DE" w:rsidR="4F6DC1DF">
        <w:rPr>
          <w:rFonts w:ascii="Arial Nova" w:hAnsi="Arial Nova" w:eastAsia="Arial Nova" w:cs="Arial Nova"/>
          <w:b w:val="0"/>
          <w:bCs w:val="0"/>
          <w:noProof w:val="0"/>
          <w:color w:val="000000" w:themeColor="text1" w:themeTint="FF" w:themeShade="FF"/>
          <w:sz w:val="22"/>
          <w:szCs w:val="22"/>
          <w:lang w:val="en-GB"/>
        </w:rPr>
        <w:t>. London: Routledge.</w:t>
      </w:r>
      <w:r w:rsidRPr="4DB6A9DE" w:rsidR="482DE952">
        <w:rPr>
          <w:rFonts w:ascii="Arial Nova" w:hAnsi="Arial Nova" w:eastAsia="Arial Nova" w:cs="Arial Nova"/>
          <w:b w:val="0"/>
          <w:bCs w:val="0"/>
          <w:noProof w:val="0"/>
          <w:color w:val="000000" w:themeColor="text1" w:themeTint="FF" w:themeShade="FF"/>
          <w:sz w:val="22"/>
          <w:szCs w:val="22"/>
          <w:lang w:val="en-GB"/>
        </w:rPr>
        <w:t xml:space="preserve"> </w:t>
      </w:r>
    </w:p>
    <w:p w:rsidR="00211184" w:rsidP="4DB6A9DE" w:rsidRDefault="00211184" w14:paraId="47C00AC0" w14:textId="337707C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Thorsén</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F., Antonson, C., </w:t>
      </w:r>
      <w:r w:rsidRPr="4DB6A9DE" w:rsidR="4F6DC1DF">
        <w:rPr>
          <w:rFonts w:ascii="Arial Nova" w:hAnsi="Arial Nova" w:eastAsia="Arial Nova" w:cs="Arial Nova"/>
          <w:b w:val="0"/>
          <w:bCs w:val="0"/>
          <w:noProof w:val="0"/>
          <w:color w:val="000000" w:themeColor="text1" w:themeTint="FF" w:themeShade="FF"/>
          <w:sz w:val="22"/>
          <w:szCs w:val="22"/>
          <w:lang w:val="en-GB"/>
        </w:rPr>
        <w:t>Palmér</w:t>
      </w:r>
      <w:r w:rsidRPr="4DB6A9DE" w:rsidR="4F6DC1DF">
        <w:rPr>
          <w:rFonts w:ascii="Arial Nova" w:hAnsi="Arial Nova" w:eastAsia="Arial Nova" w:cs="Arial Nova"/>
          <w:b w:val="0"/>
          <w:bCs w:val="0"/>
          <w:noProof w:val="0"/>
          <w:color w:val="000000" w:themeColor="text1" w:themeTint="FF" w:themeShade="FF"/>
          <w:sz w:val="22"/>
          <w:szCs w:val="22"/>
          <w:lang w:val="en-GB"/>
        </w:rPr>
        <w:t>, K., Berg, R., Sundquist, J. and Sundquist, K. (2022)</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‘Associations between perceived stress and health outcomes’,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Child and Adolescent Psychiatry and Mental Health</w:t>
      </w:r>
      <w:r w:rsidRPr="4DB6A9DE" w:rsidR="4F6DC1DF">
        <w:rPr>
          <w:rFonts w:ascii="Arial Nova" w:hAnsi="Arial Nova" w:eastAsia="Arial Nova" w:cs="Arial Nova"/>
          <w:b w:val="0"/>
          <w:bCs w:val="0"/>
          <w:noProof w:val="0"/>
          <w:color w:val="000000" w:themeColor="text1" w:themeTint="FF" w:themeShade="FF"/>
          <w:sz w:val="22"/>
          <w:szCs w:val="22"/>
          <w:lang w:val="en-GB"/>
        </w:rPr>
        <w:t>, 16(1), p.75.</w:t>
      </w:r>
    </w:p>
    <w:p w:rsidR="00211184" w:rsidP="4DB6A9DE" w:rsidRDefault="00211184" w14:paraId="614B16CC" w14:textId="43096587">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Tiggemann, M. and Slater, A. (2014)</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noProof w:val="0"/>
          <w:color w:val="000000" w:themeColor="text1" w:themeTint="FF" w:themeShade="FF"/>
          <w:sz w:val="22"/>
          <w:szCs w:val="22"/>
          <w:lang w:val="en-GB"/>
        </w:rPr>
        <w:t>NetGirls</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The internet, Facebook, and body image concern in adolescent girls’,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International Journal of Eating Disorders</w:t>
      </w:r>
      <w:r w:rsidRPr="4DB6A9DE" w:rsidR="4F6DC1DF">
        <w:rPr>
          <w:rFonts w:ascii="Arial Nova" w:hAnsi="Arial Nova" w:eastAsia="Arial Nova" w:cs="Arial Nova"/>
          <w:b w:val="0"/>
          <w:bCs w:val="0"/>
          <w:noProof w:val="0"/>
          <w:color w:val="000000" w:themeColor="text1" w:themeTint="FF" w:themeShade="FF"/>
          <w:sz w:val="22"/>
          <w:szCs w:val="22"/>
          <w:lang w:val="en-GB"/>
        </w:rPr>
        <w:t>, 47(6), pp. 630–633.</w:t>
      </w:r>
    </w:p>
    <w:p w:rsidR="00211184" w:rsidP="4DB6A9DE" w:rsidRDefault="00211184" w14:paraId="20F13803" w14:textId="0BBAD87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Tolman, D.L., </w:t>
      </w:r>
      <w:r w:rsidRPr="4DB6A9DE" w:rsidR="4F6DC1DF">
        <w:rPr>
          <w:rFonts w:ascii="Arial Nova" w:hAnsi="Arial Nova" w:eastAsia="Arial Nova" w:cs="Arial Nova"/>
          <w:b w:val="0"/>
          <w:bCs w:val="0"/>
          <w:noProof w:val="0"/>
          <w:color w:val="000000" w:themeColor="text1" w:themeTint="FF" w:themeShade="FF"/>
          <w:sz w:val="22"/>
          <w:szCs w:val="22"/>
          <w:lang w:val="en-GB"/>
        </w:rPr>
        <w:t>Impett</w:t>
      </w:r>
      <w:r w:rsidRPr="4DB6A9DE" w:rsidR="4F6DC1DF">
        <w:rPr>
          <w:rFonts w:ascii="Arial Nova" w:hAnsi="Arial Nova" w:eastAsia="Arial Nova" w:cs="Arial Nova"/>
          <w:b w:val="0"/>
          <w:bCs w:val="0"/>
          <w:noProof w:val="0"/>
          <w:color w:val="000000" w:themeColor="text1" w:themeTint="FF" w:themeShade="FF"/>
          <w:sz w:val="22"/>
          <w:szCs w:val="22"/>
          <w:lang w:val="en-GB"/>
        </w:rPr>
        <w:t>, E.A., Tracy, A.J. and Michael, A. (2006)</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‘Looking good, sounding good’,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Psychology of Women Quarterly</w:t>
      </w:r>
      <w:r w:rsidRPr="4DB6A9DE" w:rsidR="4F6DC1DF">
        <w:rPr>
          <w:rFonts w:ascii="Arial Nova" w:hAnsi="Arial Nova" w:eastAsia="Arial Nova" w:cs="Arial Nova"/>
          <w:b w:val="0"/>
          <w:bCs w:val="0"/>
          <w:noProof w:val="0"/>
          <w:color w:val="000000" w:themeColor="text1" w:themeTint="FF" w:themeShade="FF"/>
          <w:sz w:val="22"/>
          <w:szCs w:val="22"/>
          <w:lang w:val="en-GB"/>
        </w:rPr>
        <w:t>, 30(1), pp. 85–95.</w:t>
      </w:r>
    </w:p>
    <w:p w:rsidR="00211184" w:rsidP="4DB6A9DE" w:rsidRDefault="00211184" w14:paraId="5801F087" w14:textId="01989ADA">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Twenge, J.M. (2018)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iGen</w:t>
      </w:r>
      <w:r w:rsidRPr="4DB6A9DE" w:rsidR="4F6DC1DF">
        <w:rPr>
          <w:rFonts w:ascii="Arial Nova" w:hAnsi="Arial Nova" w:eastAsia="Arial Nova" w:cs="Arial Nova"/>
          <w:b w:val="0"/>
          <w:bCs w:val="0"/>
          <w:noProof w:val="0"/>
          <w:color w:val="000000" w:themeColor="text1" w:themeTint="FF" w:themeShade="FF"/>
          <w:sz w:val="22"/>
          <w:szCs w:val="22"/>
          <w:lang w:val="en-GB"/>
        </w:rPr>
        <w:t>. New York: Atria Books.</w:t>
      </w:r>
    </w:p>
    <w:p w:rsidR="00211184" w:rsidP="4DB6A9DE" w:rsidRDefault="00211184" w14:paraId="29412179" w14:textId="58038BF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UNICEF (2021)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The State of the World’s Children 2021: On My Mind</w:t>
      </w:r>
      <w:r w:rsidRPr="4DB6A9DE" w:rsidR="4F6DC1DF">
        <w:rPr>
          <w:rFonts w:ascii="Arial Nova" w:hAnsi="Arial Nova" w:eastAsia="Arial Nova" w:cs="Arial Nova"/>
          <w:b w:val="0"/>
          <w:bCs w:val="0"/>
          <w:noProof w:val="0"/>
          <w:color w:val="000000" w:themeColor="text1" w:themeTint="FF" w:themeShade="FF"/>
          <w:sz w:val="22"/>
          <w:szCs w:val="22"/>
          <w:lang w:val="en-GB"/>
        </w:rPr>
        <w:t>. New York: UNICEF.</w:t>
      </w:r>
    </w:p>
    <w:p w:rsidR="00211184" w:rsidP="4DB6A9DE" w:rsidRDefault="00211184" w14:paraId="27739F64" w14:textId="27F412C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Vannucci, A., Flannery, K.M. and Ohannessian, C.M. (2017) ‘Social media use and anxiety in adolescents: a systematic review’,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Journal of Affective Disorders</w:t>
      </w:r>
      <w:r w:rsidRPr="4DB6A9DE" w:rsidR="4F6DC1DF">
        <w:rPr>
          <w:rFonts w:ascii="Arial Nova" w:hAnsi="Arial Nova" w:eastAsia="Arial Nova" w:cs="Arial Nova"/>
          <w:b w:val="0"/>
          <w:bCs w:val="0"/>
          <w:noProof w:val="0"/>
          <w:color w:val="000000" w:themeColor="text1" w:themeTint="FF" w:themeShade="FF"/>
          <w:sz w:val="22"/>
          <w:szCs w:val="22"/>
          <w:lang w:val="en-GB"/>
        </w:rPr>
        <w:t>, 207, pp. 163–166.</w:t>
      </w:r>
    </w:p>
    <w:p w:rsidR="00211184" w:rsidP="4DB6A9DE" w:rsidRDefault="00211184" w14:paraId="045CE4E9" w14:textId="28FD94F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World Health Organization (1998)</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Health 21: The health for all policy framework for the WHO European Region</w:t>
      </w:r>
      <w:r w:rsidRPr="4DB6A9DE" w:rsidR="4F6DC1DF">
        <w:rPr>
          <w:rFonts w:ascii="Arial Nova" w:hAnsi="Arial Nova" w:eastAsia="Arial Nova" w:cs="Arial Nova"/>
          <w:b w:val="0"/>
          <w:bCs w:val="0"/>
          <w:noProof w:val="0"/>
          <w:color w:val="000000" w:themeColor="text1" w:themeTint="FF" w:themeShade="FF"/>
          <w:sz w:val="22"/>
          <w:szCs w:val="22"/>
          <w:lang w:val="en-GB"/>
        </w:rPr>
        <w:t>. Copenhagen: WHO.</w:t>
      </w:r>
    </w:p>
    <w:p w:rsidR="00211184" w:rsidP="4DB6A9DE" w:rsidRDefault="00211184" w14:paraId="7DD5D2F9" w14:textId="0660F328">
      <w:pPr>
        <w:spacing w:before="240" w:beforeAutospacing="off" w:after="240" w:afterAutospacing="off"/>
        <w:rPr>
          <w:rFonts w:ascii="Arial Nova" w:hAnsi="Arial Nova" w:eastAsia="Arial Nova" w:cs="Arial Nova"/>
          <w:b w:val="0"/>
          <w:bCs w:val="0"/>
          <w:color w:val="000000" w:themeColor="text1" w:themeTint="FF" w:themeShade="FF"/>
        </w:rPr>
      </w:pPr>
      <w:r w:rsidRPr="4DB6A9DE" w:rsidR="4F6DC1DF">
        <w:rPr>
          <w:rFonts w:ascii="Arial Nova" w:hAnsi="Arial Nova" w:eastAsia="Arial Nova" w:cs="Arial Nova"/>
          <w:b w:val="0"/>
          <w:bCs w:val="0"/>
          <w:noProof w:val="0"/>
          <w:color w:val="000000" w:themeColor="text1" w:themeTint="FF" w:themeShade="FF"/>
          <w:sz w:val="22"/>
          <w:szCs w:val="22"/>
          <w:lang w:val="en-GB"/>
        </w:rPr>
        <w:t xml:space="preserve">World Health Organization (2021)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Adolescent mental health</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Available at: </w:t>
      </w:r>
      <w:hyperlink r:id="R117c5479a4a04d42">
        <w:r w:rsidRPr="4DB6A9DE" w:rsidR="4F6DC1DF">
          <w:rPr>
            <w:rStyle w:val="Hyperlink"/>
            <w:rFonts w:ascii="Arial Nova" w:hAnsi="Arial Nova" w:eastAsia="Arial Nova" w:cs="Arial Nova"/>
            <w:b w:val="0"/>
            <w:bCs w:val="0"/>
            <w:noProof w:val="0"/>
            <w:color w:val="000000" w:themeColor="text1" w:themeTint="FF" w:themeShade="FF"/>
            <w:sz w:val="22"/>
            <w:szCs w:val="22"/>
            <w:lang w:val="en-GB"/>
          </w:rPr>
          <w:t>https://www.who.int/news-room/fact-sheets/detail/adolescent-mental-health</w:t>
        </w:r>
      </w:hyperlink>
    </w:p>
    <w:p w:rsidR="00211184" w:rsidP="4DB6A9DE" w:rsidRDefault="00211184" w14:paraId="0B17B631" w14:textId="7D11CBE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YoungMinds</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(2021)</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The state of children’s mental health services 2021</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London: </w:t>
      </w:r>
      <w:r w:rsidRPr="4DB6A9DE" w:rsidR="4F6DC1DF">
        <w:rPr>
          <w:rFonts w:ascii="Arial Nova" w:hAnsi="Arial Nova" w:eastAsia="Arial Nova" w:cs="Arial Nova"/>
          <w:b w:val="0"/>
          <w:bCs w:val="0"/>
          <w:noProof w:val="0"/>
          <w:color w:val="000000" w:themeColor="text1" w:themeTint="FF" w:themeShade="FF"/>
          <w:sz w:val="22"/>
          <w:szCs w:val="22"/>
          <w:lang w:val="en-GB"/>
        </w:rPr>
        <w:t>YoungMinds</w:t>
      </w:r>
      <w:r w:rsidRPr="4DB6A9DE" w:rsidR="4F6DC1DF">
        <w:rPr>
          <w:rFonts w:ascii="Arial Nova" w:hAnsi="Arial Nova" w:eastAsia="Arial Nova" w:cs="Arial Nova"/>
          <w:b w:val="0"/>
          <w:bCs w:val="0"/>
          <w:noProof w:val="0"/>
          <w:color w:val="000000" w:themeColor="text1" w:themeTint="FF" w:themeShade="FF"/>
          <w:sz w:val="22"/>
          <w:szCs w:val="22"/>
          <w:lang w:val="en-GB"/>
        </w:rPr>
        <w:t>.</w:t>
      </w:r>
    </w:p>
    <w:p w:rsidR="00211184" w:rsidP="4DB6A9DE" w:rsidRDefault="00211184" w14:paraId="060A844A" w14:textId="7B3BCF0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DB6A9DE" w:rsidR="4F6DC1DF">
        <w:rPr>
          <w:rFonts w:ascii="Arial Nova" w:hAnsi="Arial Nova" w:eastAsia="Arial Nova" w:cs="Arial Nova"/>
          <w:b w:val="0"/>
          <w:bCs w:val="0"/>
          <w:noProof w:val="0"/>
          <w:color w:val="000000" w:themeColor="text1" w:themeTint="FF" w:themeShade="FF"/>
          <w:sz w:val="22"/>
          <w:szCs w:val="22"/>
          <w:lang w:val="en-GB"/>
        </w:rPr>
        <w:t>YoungMinds</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(2021)</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w:t>
      </w:r>
      <w:r w:rsidRPr="4DB6A9DE" w:rsidR="4F6DC1DF">
        <w:rPr>
          <w:rFonts w:ascii="Arial Nova" w:hAnsi="Arial Nova" w:eastAsia="Arial Nova" w:cs="Arial Nova"/>
          <w:b w:val="0"/>
          <w:bCs w:val="0"/>
          <w:i w:val="1"/>
          <w:iCs w:val="1"/>
          <w:noProof w:val="0"/>
          <w:color w:val="000000" w:themeColor="text1" w:themeTint="FF" w:themeShade="FF"/>
          <w:sz w:val="22"/>
          <w:szCs w:val="22"/>
          <w:lang w:val="en-GB"/>
        </w:rPr>
        <w:t>Coronavirus: Impact on young people’s mental health</w:t>
      </w:r>
      <w:r w:rsidRPr="4DB6A9DE" w:rsidR="4F6DC1DF">
        <w:rPr>
          <w:rFonts w:ascii="Arial Nova" w:hAnsi="Arial Nova" w:eastAsia="Arial Nova" w:cs="Arial Nova"/>
          <w:b w:val="0"/>
          <w:bCs w:val="0"/>
          <w:noProof w:val="0"/>
          <w:color w:val="000000" w:themeColor="text1" w:themeTint="FF" w:themeShade="FF"/>
          <w:sz w:val="22"/>
          <w:szCs w:val="22"/>
          <w:lang w:val="en-GB"/>
        </w:rPr>
        <w:t xml:space="preserve">. London: </w:t>
      </w:r>
      <w:r w:rsidRPr="4DB6A9DE" w:rsidR="4F6DC1DF">
        <w:rPr>
          <w:rFonts w:ascii="Arial Nova" w:hAnsi="Arial Nova" w:eastAsia="Arial Nova" w:cs="Arial Nova"/>
          <w:b w:val="0"/>
          <w:bCs w:val="0"/>
          <w:noProof w:val="0"/>
          <w:color w:val="000000" w:themeColor="text1" w:themeTint="FF" w:themeShade="FF"/>
          <w:sz w:val="22"/>
          <w:szCs w:val="22"/>
          <w:lang w:val="en-GB"/>
        </w:rPr>
        <w:t>YoungMinds</w:t>
      </w:r>
      <w:r w:rsidRPr="4DB6A9DE" w:rsidR="4F6DC1DF">
        <w:rPr>
          <w:rFonts w:ascii="Arial Nova" w:hAnsi="Arial Nova" w:eastAsia="Arial Nova" w:cs="Arial Nova"/>
          <w:b w:val="0"/>
          <w:bCs w:val="0"/>
          <w:noProof w:val="0"/>
          <w:color w:val="000000" w:themeColor="text1" w:themeTint="FF" w:themeShade="FF"/>
          <w:sz w:val="22"/>
          <w:szCs w:val="22"/>
          <w:lang w:val="en-GB"/>
        </w:rPr>
        <w:t>.</w:t>
      </w:r>
    </w:p>
    <w:p w:rsidR="00211184" w:rsidP="4DB6A9DE" w:rsidRDefault="00211184" w14:paraId="2EE69DD1" w14:textId="230E9D9A">
      <w:pPr>
        <w:rPr>
          <w:rFonts w:ascii="Arial Nova" w:hAnsi="Arial Nova" w:eastAsia="Arial Nova" w:cs="Arial Nova"/>
          <w:b w:val="0"/>
          <w:bCs w:val="0"/>
          <w:color w:val="000000" w:themeColor="text1" w:themeTint="FF" w:themeShade="FF"/>
        </w:rPr>
      </w:pPr>
    </w:p>
    <w:p w:rsidR="008C38C3" w:rsidP="00621776" w:rsidRDefault="008C38C3" w14:paraId="78D375C0" w14:textId="77777777"/>
    <w:p w:rsidR="008C38C3" w:rsidP="00621776" w:rsidRDefault="008C38C3" w14:paraId="0D5F3838" w14:textId="77777777"/>
    <w:p w:rsidR="008C38C3" w:rsidP="00621776" w:rsidRDefault="008C38C3" w14:paraId="438D3C08" w14:textId="77777777"/>
    <w:p w:rsidR="008C38C3" w:rsidP="00621776" w:rsidRDefault="008C38C3" w14:paraId="18FF6044" w14:textId="77777777"/>
    <w:p w:rsidR="008C38C3" w:rsidP="00621776" w:rsidRDefault="008C38C3" w14:paraId="268CFD1F" w14:textId="77777777"/>
    <w:p w:rsidR="008C38C3" w:rsidP="00621776" w:rsidRDefault="008C38C3" w14:paraId="2440A778" w14:textId="77777777"/>
    <w:p w:rsidR="008C38C3" w:rsidP="00621776" w:rsidRDefault="008C38C3" w14:paraId="5122D4D8" w14:textId="77777777"/>
    <w:p w:rsidR="008C38C3" w:rsidP="00621776" w:rsidRDefault="008C38C3" w14:paraId="4944E244" w14:textId="77777777"/>
    <w:p w:rsidR="008C38C3" w:rsidP="00621776" w:rsidRDefault="008C38C3" w14:paraId="5DA0FD87" w14:textId="77777777"/>
    <w:p w:rsidR="000264A2" w:rsidP="00621776" w:rsidRDefault="000264A2" w14:paraId="6ED1B63A" w14:textId="77777777"/>
    <w:p w:rsidRPr="008C38C3" w:rsidR="008C38C3" w:rsidP="4DB6A9DE" w:rsidRDefault="008C38C3" w14:paraId="70C7CA0C" w14:textId="26B19EB8">
      <w:pPr>
        <w:pStyle w:val="Normal"/>
      </w:pPr>
    </w:p>
    <w:sectPr w:rsidRPr="008C38C3"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3AF6" w:rsidP="00211184" w:rsidRDefault="00CB3AF6" w14:paraId="26B00C6A" w14:textId="77777777">
      <w:pPr>
        <w:spacing w:after="0" w:line="240" w:lineRule="auto"/>
      </w:pPr>
      <w:r>
        <w:separator/>
      </w:r>
    </w:p>
  </w:endnote>
  <w:endnote w:type="continuationSeparator" w:id="0">
    <w:p w:rsidR="00CB3AF6" w:rsidP="00211184" w:rsidRDefault="00CB3AF6" w14:paraId="0371381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3AF6" w:rsidP="00211184" w:rsidRDefault="00CB3AF6" w14:paraId="423AB55E" w14:textId="77777777">
      <w:pPr>
        <w:spacing w:after="0" w:line="240" w:lineRule="auto"/>
      </w:pPr>
      <w:r>
        <w:separator/>
      </w:r>
    </w:p>
  </w:footnote>
  <w:footnote w:type="continuationSeparator" w:id="0">
    <w:p w:rsidR="00CB3AF6" w:rsidP="00211184" w:rsidRDefault="00CB3AF6" w14:paraId="57485EE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u2M/WnKra6FSUq" int2:id="fnjKCJ0p">
      <int2:state int2:type="spell" int2:value="Rejected"/>
    </int2:textHash>
    <int2:bookmark int2:bookmarkName="_Int_BoBR8imj" int2:invalidationBookmarkName="" int2:hashCode="UEA3LSZW7Fx9B7" int2:id="sne22o1u">
      <int2:state int2:type="gram" int2:value="Rejected"/>
    </int2:bookmark>
    <int2:bookmark int2:bookmarkName="_Int_esND2h9q" int2:invalidationBookmarkName="" int2:hashCode="w8pfeHNl6uDeqG" int2:id="0fpnLzdO">
      <int2:state int2:type="gram" int2:value="Rejected"/>
    </int2:bookmark>
    <int2:bookmark int2:bookmarkName="_Int_lh2QILhZ" int2:invalidationBookmarkName="" int2:hashCode="ZKXt0c73D/eRGL" int2:id="qKBVZJyG">
      <int2:state int2:type="gram" int2:value="Rejected"/>
    </int2:bookmark>
    <int2:bookmark int2:bookmarkName="_Int_ZBxAuZA3" int2:invalidationBookmarkName="" int2:hashCode="lthTWgLJSuuaQe" int2:id="XWUg2Owy">
      <int2:state int2:type="gram" int2:value="Rejected"/>
    </int2:bookmark>
    <int2:bookmark int2:bookmarkName="_Int_saRL9PzJ" int2:invalidationBookmarkName="" int2:hashCode="ivVt5oJ5y29e0C" int2:id="49oLCXVt">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5">
    <w:nsid w:val="7a697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f96c0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1FE78EB"/>
    <w:multiLevelType w:val="multilevel"/>
    <w:tmpl w:val="28745B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16851F01"/>
    <w:multiLevelType w:val="multilevel"/>
    <w:tmpl w:val="4DE6E4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1957425F"/>
    <w:multiLevelType w:val="hybridMultilevel"/>
    <w:tmpl w:val="CE9481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5"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6"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7"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9"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0" w15:restartNumberingAfterBreak="0">
    <w:nsid w:val="209352B6"/>
    <w:multiLevelType w:val="hybridMultilevel"/>
    <w:tmpl w:val="123A988A"/>
    <w:lvl w:ilvl="0" w:tplc="ECAAD272">
      <w:start w:val="3"/>
      <w:numFmt w:val="bullet"/>
      <w:lvlText w:val="-"/>
      <w:lvlJc w:val="left"/>
      <w:pPr>
        <w:ind w:left="720" w:hanging="360"/>
      </w:pPr>
      <w:rPr>
        <w:rFonts w:hint="default" w:ascii="Aptos" w:hAnsi="Aptos" w:eastAsia="Calibri Light" w:cs="Times New Roman"/>
        <w: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20F46237"/>
    <w:multiLevelType w:val="multilevel"/>
    <w:tmpl w:val="389C2B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5" w15:restartNumberingAfterBreak="0">
    <w:nsid w:val="23790FA6"/>
    <w:multiLevelType w:val="hybridMultilevel"/>
    <w:tmpl w:val="1C4608F8"/>
    <w:lvl w:ilvl="0" w:tplc="62ACD164">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7"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24CD0811"/>
    <w:multiLevelType w:val="multilevel"/>
    <w:tmpl w:val="3EC45D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1" w15:restartNumberingAfterBreak="0">
    <w:nsid w:val="299A3219"/>
    <w:multiLevelType w:val="multilevel"/>
    <w:tmpl w:val="70A6FF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3"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2C236C26"/>
    <w:multiLevelType w:val="multilevel"/>
    <w:tmpl w:val="74041F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2F7C5CE1"/>
    <w:multiLevelType w:val="multilevel"/>
    <w:tmpl w:val="BECAFA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9"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0" w15:restartNumberingAfterBreak="0">
    <w:nsid w:val="30055F09"/>
    <w:multiLevelType w:val="multilevel"/>
    <w:tmpl w:val="62ACCB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1"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2"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315E1E64"/>
    <w:multiLevelType w:val="multilevel"/>
    <w:tmpl w:val="59A235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5" w15:restartNumberingAfterBreak="0">
    <w:nsid w:val="326F0885"/>
    <w:multiLevelType w:val="multilevel"/>
    <w:tmpl w:val="F8B4AB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6" w15:restartNumberingAfterBreak="0">
    <w:nsid w:val="32A23129"/>
    <w:multiLevelType w:val="multilevel"/>
    <w:tmpl w:val="167AA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7" w15:restartNumberingAfterBreak="0">
    <w:nsid w:val="32B04E4F"/>
    <w:multiLevelType w:val="multilevel"/>
    <w:tmpl w:val="DE749E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8" w15:restartNumberingAfterBreak="0">
    <w:nsid w:val="34793124"/>
    <w:multiLevelType w:val="multilevel"/>
    <w:tmpl w:val="EAB236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9"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0" w15:restartNumberingAfterBreak="0">
    <w:nsid w:val="36627D2C"/>
    <w:multiLevelType w:val="multilevel"/>
    <w:tmpl w:val="9468DD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5"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6"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7"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8" w15:restartNumberingAfterBreak="0">
    <w:nsid w:val="3E527F33"/>
    <w:multiLevelType w:val="multilevel"/>
    <w:tmpl w:val="1F94D2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9"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70"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1"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2"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3"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4"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5"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6"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7"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8" w15:restartNumberingAfterBreak="0">
    <w:nsid w:val="4B4B464F"/>
    <w:multiLevelType w:val="multilevel"/>
    <w:tmpl w:val="169E0B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9"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0"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1"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2" w15:restartNumberingAfterBreak="0">
    <w:nsid w:val="4F2D31A3"/>
    <w:multiLevelType w:val="multilevel"/>
    <w:tmpl w:val="F7D42F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3" w15:restartNumberingAfterBreak="0">
    <w:nsid w:val="4F3E3B96"/>
    <w:multiLevelType w:val="multilevel"/>
    <w:tmpl w:val="6C0A4B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4"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5" w15:restartNumberingAfterBreak="0">
    <w:nsid w:val="500101D0"/>
    <w:multiLevelType w:val="multilevel"/>
    <w:tmpl w:val="4DBED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6"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7"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8"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9"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0"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1" w15:restartNumberingAfterBreak="0">
    <w:nsid w:val="568F78B2"/>
    <w:multiLevelType w:val="multilevel"/>
    <w:tmpl w:val="359E51E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2"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3" w15:restartNumberingAfterBreak="0">
    <w:nsid w:val="56C33D29"/>
    <w:multiLevelType w:val="multilevel"/>
    <w:tmpl w:val="370C22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4"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5"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6"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7"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8"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9"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0" w15:restartNumberingAfterBreak="0">
    <w:nsid w:val="5C8B0995"/>
    <w:multiLevelType w:val="multilevel"/>
    <w:tmpl w:val="8B2CA1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1"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2"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3" w15:restartNumberingAfterBreak="0">
    <w:nsid w:val="5E9F40BF"/>
    <w:multiLevelType w:val="multilevel"/>
    <w:tmpl w:val="663225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4"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5"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6"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7"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8"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9"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0" w15:restartNumberingAfterBreak="0">
    <w:nsid w:val="651810E2"/>
    <w:multiLevelType w:val="multilevel"/>
    <w:tmpl w:val="AC5264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1" w15:restartNumberingAfterBreak="0">
    <w:nsid w:val="65437F6C"/>
    <w:multiLevelType w:val="multilevel"/>
    <w:tmpl w:val="642681F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2"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13"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4"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5"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6" w15:restartNumberingAfterBreak="0">
    <w:nsid w:val="6A51747A"/>
    <w:multiLevelType w:val="multilevel"/>
    <w:tmpl w:val="9836E4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7"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8"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19"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0"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1" w15:restartNumberingAfterBreak="0">
    <w:nsid w:val="6F7060DC"/>
    <w:multiLevelType w:val="multilevel"/>
    <w:tmpl w:val="38B27B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2"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3" w15:restartNumberingAfterBreak="0">
    <w:nsid w:val="711B70B7"/>
    <w:multiLevelType w:val="multilevel"/>
    <w:tmpl w:val="C9EA8C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4"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5"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6"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7" w15:restartNumberingAfterBreak="0">
    <w:nsid w:val="76F27674"/>
    <w:multiLevelType w:val="multilevel"/>
    <w:tmpl w:val="08C263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8"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9"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0"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1" w15:restartNumberingAfterBreak="0">
    <w:nsid w:val="78C20B59"/>
    <w:multiLevelType w:val="multilevel"/>
    <w:tmpl w:val="1DC8C5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2" w15:restartNumberingAfterBreak="0">
    <w:nsid w:val="78D12B5D"/>
    <w:multiLevelType w:val="multilevel"/>
    <w:tmpl w:val="72800D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3"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4"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5"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36"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7"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8" w15:restartNumberingAfterBreak="0">
    <w:nsid w:val="79D07D96"/>
    <w:multiLevelType w:val="multilevel"/>
    <w:tmpl w:val="5718C05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9"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0"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1"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2"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3"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46">
    <w:abstractNumId w:val="145"/>
  </w:num>
  <w:num w:numId="145">
    <w:abstractNumId w:val="144"/>
  </w:num>
  <w:num w:numId="1" w16cid:durableId="1222213107">
    <w:abstractNumId w:val="35"/>
  </w:num>
  <w:num w:numId="2" w16cid:durableId="1790927071">
    <w:abstractNumId w:val="25"/>
  </w:num>
  <w:num w:numId="3" w16cid:durableId="1092819689">
    <w:abstractNumId w:val="134"/>
  </w:num>
  <w:num w:numId="4" w16cid:durableId="1500121260">
    <w:abstractNumId w:val="76"/>
  </w:num>
  <w:num w:numId="5" w16cid:durableId="438111508">
    <w:abstractNumId w:val="124"/>
  </w:num>
  <w:num w:numId="6" w16cid:durableId="106121269">
    <w:abstractNumId w:val="20"/>
  </w:num>
  <w:num w:numId="7" w16cid:durableId="1859468656">
    <w:abstractNumId w:val="140"/>
  </w:num>
  <w:num w:numId="8" w16cid:durableId="407923627">
    <w:abstractNumId w:val="138"/>
  </w:num>
  <w:num w:numId="9" w16cid:durableId="1173763238">
    <w:abstractNumId w:val="94"/>
  </w:num>
  <w:num w:numId="10" w16cid:durableId="515197422">
    <w:abstractNumId w:val="67"/>
  </w:num>
  <w:num w:numId="11" w16cid:durableId="650984044">
    <w:abstractNumId w:val="15"/>
  </w:num>
  <w:num w:numId="12" w16cid:durableId="676225712">
    <w:abstractNumId w:val="128"/>
  </w:num>
  <w:num w:numId="13" w16cid:durableId="654647421">
    <w:abstractNumId w:val="92"/>
  </w:num>
  <w:num w:numId="14" w16cid:durableId="972827862">
    <w:abstractNumId w:val="96"/>
  </w:num>
  <w:num w:numId="15" w16cid:durableId="73359902">
    <w:abstractNumId w:val="65"/>
  </w:num>
  <w:num w:numId="16" w16cid:durableId="1233615214">
    <w:abstractNumId w:val="11"/>
  </w:num>
  <w:num w:numId="17" w16cid:durableId="1037585576">
    <w:abstractNumId w:val="136"/>
  </w:num>
  <w:num w:numId="18" w16cid:durableId="1454127918">
    <w:abstractNumId w:val="114"/>
  </w:num>
  <w:num w:numId="19" w16cid:durableId="1655717882">
    <w:abstractNumId w:val="42"/>
  </w:num>
  <w:num w:numId="20" w16cid:durableId="679818721">
    <w:abstractNumId w:val="8"/>
  </w:num>
  <w:num w:numId="21" w16cid:durableId="820851363">
    <w:abstractNumId w:val="3"/>
  </w:num>
  <w:num w:numId="22" w16cid:durableId="1752123437">
    <w:abstractNumId w:val="81"/>
  </w:num>
  <w:num w:numId="23" w16cid:durableId="776406381">
    <w:abstractNumId w:val="10"/>
  </w:num>
  <w:num w:numId="24" w16cid:durableId="2003772795">
    <w:abstractNumId w:val="141"/>
  </w:num>
  <w:num w:numId="25" w16cid:durableId="471214588">
    <w:abstractNumId w:val="9"/>
  </w:num>
  <w:num w:numId="26" w16cid:durableId="747188340">
    <w:abstractNumId w:val="122"/>
  </w:num>
  <w:num w:numId="27" w16cid:durableId="1617635105">
    <w:abstractNumId w:val="24"/>
  </w:num>
  <w:num w:numId="28" w16cid:durableId="1919750537">
    <w:abstractNumId w:val="130"/>
  </w:num>
  <w:num w:numId="29" w16cid:durableId="1917666381">
    <w:abstractNumId w:val="5"/>
  </w:num>
  <w:num w:numId="30" w16cid:durableId="836925604">
    <w:abstractNumId w:val="113"/>
  </w:num>
  <w:num w:numId="31" w16cid:durableId="881479433">
    <w:abstractNumId w:val="97"/>
  </w:num>
  <w:num w:numId="32" w16cid:durableId="164788852">
    <w:abstractNumId w:val="102"/>
  </w:num>
  <w:num w:numId="33" w16cid:durableId="735323509">
    <w:abstractNumId w:val="17"/>
  </w:num>
  <w:num w:numId="34" w16cid:durableId="1000431254">
    <w:abstractNumId w:val="64"/>
  </w:num>
  <w:num w:numId="35" w16cid:durableId="434404662">
    <w:abstractNumId w:val="29"/>
  </w:num>
  <w:num w:numId="36" w16cid:durableId="792409853">
    <w:abstractNumId w:val="74"/>
  </w:num>
  <w:num w:numId="37" w16cid:durableId="70469880">
    <w:abstractNumId w:val="79"/>
  </w:num>
  <w:num w:numId="38" w16cid:durableId="1255548974">
    <w:abstractNumId w:val="71"/>
  </w:num>
  <w:num w:numId="39" w16cid:durableId="509951972">
    <w:abstractNumId w:val="51"/>
  </w:num>
  <w:num w:numId="40" w16cid:durableId="1491873496">
    <w:abstractNumId w:val="87"/>
  </w:num>
  <w:num w:numId="41" w16cid:durableId="1277179892">
    <w:abstractNumId w:val="101"/>
  </w:num>
  <w:num w:numId="42" w16cid:durableId="1137721610">
    <w:abstractNumId w:val="80"/>
  </w:num>
  <w:num w:numId="43" w16cid:durableId="1569337486">
    <w:abstractNumId w:val="142"/>
  </w:num>
  <w:num w:numId="44" w16cid:durableId="1771851078">
    <w:abstractNumId w:val="6"/>
  </w:num>
  <w:num w:numId="45" w16cid:durableId="1096747610">
    <w:abstractNumId w:val="28"/>
  </w:num>
  <w:num w:numId="46" w16cid:durableId="1853105471">
    <w:abstractNumId w:val="115"/>
  </w:num>
  <w:num w:numId="47" w16cid:durableId="2016615092">
    <w:abstractNumId w:val="75"/>
  </w:num>
  <w:num w:numId="48" w16cid:durableId="439030946">
    <w:abstractNumId w:val="98"/>
  </w:num>
  <w:num w:numId="49" w16cid:durableId="315690756">
    <w:abstractNumId w:val="52"/>
  </w:num>
  <w:num w:numId="50" w16cid:durableId="1252278660">
    <w:abstractNumId w:val="14"/>
  </w:num>
  <w:num w:numId="51" w16cid:durableId="1719351677">
    <w:abstractNumId w:val="106"/>
  </w:num>
  <w:num w:numId="52" w16cid:durableId="1107427397">
    <w:abstractNumId w:val="33"/>
  </w:num>
  <w:num w:numId="53" w16cid:durableId="371266753">
    <w:abstractNumId w:val="99"/>
  </w:num>
  <w:num w:numId="54" w16cid:durableId="491869272">
    <w:abstractNumId w:val="40"/>
  </w:num>
  <w:num w:numId="55" w16cid:durableId="1351251430">
    <w:abstractNumId w:val="104"/>
  </w:num>
  <w:num w:numId="56" w16cid:durableId="1368607436">
    <w:abstractNumId w:val="133"/>
  </w:num>
  <w:num w:numId="57" w16cid:durableId="1588029100">
    <w:abstractNumId w:val="139"/>
  </w:num>
  <w:num w:numId="58" w16cid:durableId="415832180">
    <w:abstractNumId w:val="125"/>
  </w:num>
  <w:num w:numId="59" w16cid:durableId="1178735139">
    <w:abstractNumId w:val="66"/>
  </w:num>
  <w:num w:numId="60" w16cid:durableId="721834200">
    <w:abstractNumId w:val="77"/>
  </w:num>
  <w:num w:numId="61" w16cid:durableId="686251813">
    <w:abstractNumId w:val="2"/>
  </w:num>
  <w:num w:numId="62" w16cid:durableId="1960641414">
    <w:abstractNumId w:val="16"/>
  </w:num>
  <w:num w:numId="63" w16cid:durableId="39089564">
    <w:abstractNumId w:val="70"/>
  </w:num>
  <w:num w:numId="64" w16cid:durableId="1192718157">
    <w:abstractNumId w:val="27"/>
  </w:num>
  <w:num w:numId="65" w16cid:durableId="1777825955">
    <w:abstractNumId w:val="107"/>
  </w:num>
  <w:num w:numId="66" w16cid:durableId="286199487">
    <w:abstractNumId w:val="36"/>
  </w:num>
  <w:num w:numId="67" w16cid:durableId="1119490663">
    <w:abstractNumId w:val="86"/>
  </w:num>
  <w:num w:numId="68" w16cid:durableId="1353922786">
    <w:abstractNumId w:val="46"/>
  </w:num>
  <w:num w:numId="69" w16cid:durableId="492723980">
    <w:abstractNumId w:val="90"/>
  </w:num>
  <w:num w:numId="70" w16cid:durableId="526941613">
    <w:abstractNumId w:val="47"/>
  </w:num>
  <w:num w:numId="71" w16cid:durableId="320043301">
    <w:abstractNumId w:val="88"/>
  </w:num>
  <w:num w:numId="72" w16cid:durableId="2037610982">
    <w:abstractNumId w:val="7"/>
  </w:num>
  <w:num w:numId="73" w16cid:durableId="1079794559">
    <w:abstractNumId w:val="61"/>
  </w:num>
  <w:num w:numId="74" w16cid:durableId="503403534">
    <w:abstractNumId w:val="49"/>
  </w:num>
  <w:num w:numId="75" w16cid:durableId="194734275">
    <w:abstractNumId w:val="13"/>
  </w:num>
  <w:num w:numId="76" w16cid:durableId="424033359">
    <w:abstractNumId w:val="69"/>
  </w:num>
  <w:num w:numId="77" w16cid:durableId="1335066293">
    <w:abstractNumId w:val="118"/>
  </w:num>
  <w:num w:numId="78" w16cid:durableId="662587085">
    <w:abstractNumId w:val="54"/>
  </w:num>
  <w:num w:numId="79" w16cid:durableId="2071072074">
    <w:abstractNumId w:val="112"/>
  </w:num>
  <w:num w:numId="80" w16cid:durableId="1573662111">
    <w:abstractNumId w:val="135"/>
  </w:num>
  <w:num w:numId="81" w16cid:durableId="131678057">
    <w:abstractNumId w:val="126"/>
  </w:num>
  <w:num w:numId="82" w16cid:durableId="2103643901">
    <w:abstractNumId w:val="111"/>
  </w:num>
  <w:num w:numId="83" w16cid:durableId="99565733">
    <w:abstractNumId w:val="39"/>
  </w:num>
  <w:num w:numId="84" w16cid:durableId="834734195">
    <w:abstractNumId w:val="26"/>
  </w:num>
  <w:num w:numId="85" w16cid:durableId="1810784339">
    <w:abstractNumId w:val="95"/>
  </w:num>
  <w:num w:numId="86" w16cid:durableId="294062445">
    <w:abstractNumId w:val="91"/>
  </w:num>
  <w:num w:numId="87" w16cid:durableId="461116587">
    <w:abstractNumId w:val="103"/>
  </w:num>
  <w:num w:numId="88" w16cid:durableId="1771701466">
    <w:abstractNumId w:val="18"/>
  </w:num>
  <w:num w:numId="89" w16cid:durableId="458109583">
    <w:abstractNumId w:val="53"/>
  </w:num>
  <w:num w:numId="90" w16cid:durableId="1118372837">
    <w:abstractNumId w:val="110"/>
  </w:num>
  <w:num w:numId="91" w16cid:durableId="928196919">
    <w:abstractNumId w:val="56"/>
  </w:num>
  <w:num w:numId="92" w16cid:durableId="540751746">
    <w:abstractNumId w:val="12"/>
  </w:num>
  <w:num w:numId="93" w16cid:durableId="1732345686">
    <w:abstractNumId w:val="41"/>
  </w:num>
  <w:num w:numId="94" w16cid:durableId="1491748033">
    <w:abstractNumId w:val="109"/>
  </w:num>
  <w:num w:numId="95" w16cid:durableId="670565925">
    <w:abstractNumId w:val="23"/>
  </w:num>
  <w:num w:numId="96" w16cid:durableId="920025912">
    <w:abstractNumId w:val="30"/>
  </w:num>
  <w:num w:numId="97" w16cid:durableId="385184188">
    <w:abstractNumId w:val="22"/>
  </w:num>
  <w:num w:numId="98" w16cid:durableId="433670804">
    <w:abstractNumId w:val="116"/>
  </w:num>
  <w:num w:numId="99" w16cid:durableId="1986471659">
    <w:abstractNumId w:val="85"/>
  </w:num>
  <w:num w:numId="100" w16cid:durableId="384569146">
    <w:abstractNumId w:val="68"/>
  </w:num>
  <w:num w:numId="101" w16cid:durableId="211696971">
    <w:abstractNumId w:val="37"/>
  </w:num>
  <w:num w:numId="102" w16cid:durableId="1773429901">
    <w:abstractNumId w:val="63"/>
  </w:num>
  <w:num w:numId="103" w16cid:durableId="1313095327">
    <w:abstractNumId w:val="50"/>
  </w:num>
  <w:num w:numId="104" w16cid:durableId="520290349">
    <w:abstractNumId w:val="38"/>
  </w:num>
  <w:num w:numId="105" w16cid:durableId="1512571936">
    <w:abstractNumId w:val="123"/>
  </w:num>
  <w:num w:numId="106" w16cid:durableId="804733676">
    <w:abstractNumId w:val="43"/>
  </w:num>
  <w:num w:numId="107" w16cid:durableId="488864096">
    <w:abstractNumId w:val="119"/>
  </w:num>
  <w:num w:numId="108" w16cid:durableId="1599749197">
    <w:abstractNumId w:val="62"/>
  </w:num>
  <w:num w:numId="109" w16cid:durableId="1729497930">
    <w:abstractNumId w:val="58"/>
  </w:num>
  <w:num w:numId="110" w16cid:durableId="202600046">
    <w:abstractNumId w:val="83"/>
  </w:num>
  <w:num w:numId="111" w16cid:durableId="705715569">
    <w:abstractNumId w:val="57"/>
  </w:num>
  <w:num w:numId="112" w16cid:durableId="1726679607">
    <w:abstractNumId w:val="32"/>
  </w:num>
  <w:num w:numId="113" w16cid:durableId="1630209448">
    <w:abstractNumId w:val="72"/>
  </w:num>
  <w:num w:numId="114" w16cid:durableId="928663234">
    <w:abstractNumId w:val="89"/>
  </w:num>
  <w:num w:numId="115" w16cid:durableId="1492596474">
    <w:abstractNumId w:val="93"/>
  </w:num>
  <w:num w:numId="116" w16cid:durableId="801120737">
    <w:abstractNumId w:val="78"/>
  </w:num>
  <w:num w:numId="117" w16cid:durableId="214050367">
    <w:abstractNumId w:val="121"/>
  </w:num>
  <w:num w:numId="118" w16cid:durableId="119765671">
    <w:abstractNumId w:val="45"/>
  </w:num>
  <w:num w:numId="119" w16cid:durableId="655495887">
    <w:abstractNumId w:val="48"/>
  </w:num>
  <w:num w:numId="120" w16cid:durableId="329139902">
    <w:abstractNumId w:val="55"/>
  </w:num>
  <w:num w:numId="121" w16cid:durableId="2017072952">
    <w:abstractNumId w:val="105"/>
  </w:num>
  <w:num w:numId="122" w16cid:durableId="58405484">
    <w:abstractNumId w:val="44"/>
  </w:num>
  <w:num w:numId="123" w16cid:durableId="1817530714">
    <w:abstractNumId w:val="19"/>
  </w:num>
  <w:num w:numId="124" w16cid:durableId="2141336387">
    <w:abstractNumId w:val="84"/>
  </w:num>
  <w:num w:numId="125" w16cid:durableId="1325282792">
    <w:abstractNumId w:val="4"/>
  </w:num>
  <w:num w:numId="126" w16cid:durableId="1319654748">
    <w:abstractNumId w:val="108"/>
  </w:num>
  <w:num w:numId="127" w16cid:durableId="1431050858">
    <w:abstractNumId w:val="60"/>
  </w:num>
  <w:num w:numId="128" w16cid:durableId="1905674203">
    <w:abstractNumId w:val="132"/>
  </w:num>
  <w:num w:numId="129" w16cid:durableId="1172839593">
    <w:abstractNumId w:val="82"/>
  </w:num>
  <w:num w:numId="130" w16cid:durableId="556555801">
    <w:abstractNumId w:val="1"/>
  </w:num>
  <w:num w:numId="131" w16cid:durableId="1903828627">
    <w:abstractNumId w:val="21"/>
  </w:num>
  <w:num w:numId="132" w16cid:durableId="281425930">
    <w:abstractNumId w:val="73"/>
  </w:num>
  <w:num w:numId="133" w16cid:durableId="218833604">
    <w:abstractNumId w:val="31"/>
  </w:num>
  <w:num w:numId="134" w16cid:durableId="1947999269">
    <w:abstractNumId w:val="131"/>
  </w:num>
  <w:num w:numId="135" w16cid:durableId="1491553762">
    <w:abstractNumId w:val="59"/>
  </w:num>
  <w:num w:numId="136" w16cid:durableId="965625632">
    <w:abstractNumId w:val="117"/>
  </w:num>
  <w:num w:numId="137" w16cid:durableId="1420058146">
    <w:abstractNumId w:val="100"/>
  </w:num>
  <w:num w:numId="138" w16cid:durableId="829950104">
    <w:abstractNumId w:val="127"/>
  </w:num>
  <w:num w:numId="139" w16cid:durableId="1481145624">
    <w:abstractNumId w:val="143"/>
  </w:num>
  <w:num w:numId="140" w16cid:durableId="29957555">
    <w:abstractNumId w:val="137"/>
  </w:num>
  <w:num w:numId="141" w16cid:durableId="1042821728">
    <w:abstractNumId w:val="120"/>
  </w:num>
  <w:num w:numId="142" w16cid:durableId="1995062474">
    <w:abstractNumId w:val="0"/>
  </w:num>
  <w:num w:numId="143" w16cid:durableId="633143735">
    <w:abstractNumId w:val="129"/>
  </w:num>
  <w:num w:numId="144" w16cid:durableId="1100951892">
    <w:abstractNumId w:val="34"/>
  </w:num>
  <w:numIdMacAtCleanup w:val="8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C62A0"/>
    <w:rsid w:val="000D05D8"/>
    <w:rsid w:val="000D0641"/>
    <w:rsid w:val="000D2B00"/>
    <w:rsid w:val="001601E6"/>
    <w:rsid w:val="00165364"/>
    <w:rsid w:val="001C3AF6"/>
    <w:rsid w:val="001D1485"/>
    <w:rsid w:val="001F19A6"/>
    <w:rsid w:val="00211184"/>
    <w:rsid w:val="0021364B"/>
    <w:rsid w:val="0025020C"/>
    <w:rsid w:val="00256951"/>
    <w:rsid w:val="002865F5"/>
    <w:rsid w:val="0028909B"/>
    <w:rsid w:val="00292A36"/>
    <w:rsid w:val="002D64A3"/>
    <w:rsid w:val="002F5E53"/>
    <w:rsid w:val="00312A5A"/>
    <w:rsid w:val="003135AD"/>
    <w:rsid w:val="00393F39"/>
    <w:rsid w:val="003A66FD"/>
    <w:rsid w:val="003B1E32"/>
    <w:rsid w:val="004D4021"/>
    <w:rsid w:val="005119DE"/>
    <w:rsid w:val="005446BF"/>
    <w:rsid w:val="0055147E"/>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378F2"/>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D6F0F"/>
    <w:rsid w:val="008E7B2E"/>
    <w:rsid w:val="00916814"/>
    <w:rsid w:val="00995444"/>
    <w:rsid w:val="009D06C5"/>
    <w:rsid w:val="009D534C"/>
    <w:rsid w:val="009D728C"/>
    <w:rsid w:val="009E5B14"/>
    <w:rsid w:val="00A90A7A"/>
    <w:rsid w:val="00AA437C"/>
    <w:rsid w:val="00AB78F0"/>
    <w:rsid w:val="00B01396"/>
    <w:rsid w:val="00B2418B"/>
    <w:rsid w:val="00B26973"/>
    <w:rsid w:val="00B575E2"/>
    <w:rsid w:val="00B5E929"/>
    <w:rsid w:val="00B7073C"/>
    <w:rsid w:val="00B858A1"/>
    <w:rsid w:val="00BB65AC"/>
    <w:rsid w:val="00BD2909"/>
    <w:rsid w:val="00C17A49"/>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F6341"/>
    <w:rsid w:val="00F0560A"/>
    <w:rsid w:val="00F158D7"/>
    <w:rsid w:val="00F20EE5"/>
    <w:rsid w:val="00F44833"/>
    <w:rsid w:val="00F544B0"/>
    <w:rsid w:val="00F67C87"/>
    <w:rsid w:val="00F84C23"/>
    <w:rsid w:val="00FD3DE0"/>
    <w:rsid w:val="00FD7729"/>
    <w:rsid w:val="00FD7C22"/>
    <w:rsid w:val="00FE5C58"/>
    <w:rsid w:val="01A9A151"/>
    <w:rsid w:val="026E0FAF"/>
    <w:rsid w:val="027BC934"/>
    <w:rsid w:val="0283C5EB"/>
    <w:rsid w:val="03410E5A"/>
    <w:rsid w:val="0359FFDA"/>
    <w:rsid w:val="03C536B1"/>
    <w:rsid w:val="04403E9B"/>
    <w:rsid w:val="04B0155A"/>
    <w:rsid w:val="04C3F372"/>
    <w:rsid w:val="052E22EC"/>
    <w:rsid w:val="05442AA3"/>
    <w:rsid w:val="0544AC4B"/>
    <w:rsid w:val="058DB873"/>
    <w:rsid w:val="06207E7B"/>
    <w:rsid w:val="077AAADC"/>
    <w:rsid w:val="077D9D20"/>
    <w:rsid w:val="07949864"/>
    <w:rsid w:val="08261581"/>
    <w:rsid w:val="0838BA16"/>
    <w:rsid w:val="08A3B0B9"/>
    <w:rsid w:val="08C8296A"/>
    <w:rsid w:val="08FAA52D"/>
    <w:rsid w:val="09C723A6"/>
    <w:rsid w:val="09E6B9B9"/>
    <w:rsid w:val="0A4B6560"/>
    <w:rsid w:val="0ACEC004"/>
    <w:rsid w:val="0B314473"/>
    <w:rsid w:val="0B496E6F"/>
    <w:rsid w:val="0B4DB016"/>
    <w:rsid w:val="0B791174"/>
    <w:rsid w:val="0BA46C9E"/>
    <w:rsid w:val="0C3EF1AB"/>
    <w:rsid w:val="0C5E8E59"/>
    <w:rsid w:val="0C7FB898"/>
    <w:rsid w:val="0D0E0A4E"/>
    <w:rsid w:val="0D3C4321"/>
    <w:rsid w:val="0D9ACB88"/>
    <w:rsid w:val="0E9DB6EF"/>
    <w:rsid w:val="0EC6BF52"/>
    <w:rsid w:val="0EDABAB5"/>
    <w:rsid w:val="0F3F9DCE"/>
    <w:rsid w:val="0F5B87C7"/>
    <w:rsid w:val="0FDCB492"/>
    <w:rsid w:val="0FE1D87F"/>
    <w:rsid w:val="1074676E"/>
    <w:rsid w:val="11FA04B5"/>
    <w:rsid w:val="12063C88"/>
    <w:rsid w:val="12107397"/>
    <w:rsid w:val="1236C52A"/>
    <w:rsid w:val="124D2D9F"/>
    <w:rsid w:val="144F2DEA"/>
    <w:rsid w:val="15122F1A"/>
    <w:rsid w:val="153F8DB0"/>
    <w:rsid w:val="1540B9EE"/>
    <w:rsid w:val="16406F14"/>
    <w:rsid w:val="1693B28D"/>
    <w:rsid w:val="173F6A66"/>
    <w:rsid w:val="1779B0C0"/>
    <w:rsid w:val="17CC052C"/>
    <w:rsid w:val="17FCC383"/>
    <w:rsid w:val="181BB8CD"/>
    <w:rsid w:val="18400FC5"/>
    <w:rsid w:val="187CE1A8"/>
    <w:rsid w:val="18D3196F"/>
    <w:rsid w:val="19077378"/>
    <w:rsid w:val="19BBFAE8"/>
    <w:rsid w:val="1AB9EB51"/>
    <w:rsid w:val="1AC5ACF4"/>
    <w:rsid w:val="1B3C6217"/>
    <w:rsid w:val="1BA2BF98"/>
    <w:rsid w:val="1BB9D4A1"/>
    <w:rsid w:val="1BBF446A"/>
    <w:rsid w:val="1C14403D"/>
    <w:rsid w:val="1C36E9C9"/>
    <w:rsid w:val="1CE47968"/>
    <w:rsid w:val="1D4E5D6B"/>
    <w:rsid w:val="1DEB2A93"/>
    <w:rsid w:val="1E352594"/>
    <w:rsid w:val="1FBD45C6"/>
    <w:rsid w:val="2041633F"/>
    <w:rsid w:val="2057EE22"/>
    <w:rsid w:val="207EE62C"/>
    <w:rsid w:val="212A9C97"/>
    <w:rsid w:val="21577E03"/>
    <w:rsid w:val="21D1A405"/>
    <w:rsid w:val="21DBD17B"/>
    <w:rsid w:val="22730991"/>
    <w:rsid w:val="2301E41D"/>
    <w:rsid w:val="234A7BCD"/>
    <w:rsid w:val="235502A1"/>
    <w:rsid w:val="24170417"/>
    <w:rsid w:val="2448D57D"/>
    <w:rsid w:val="251CCF0D"/>
    <w:rsid w:val="257E48BD"/>
    <w:rsid w:val="25B9348A"/>
    <w:rsid w:val="25C5D574"/>
    <w:rsid w:val="25D1CEFA"/>
    <w:rsid w:val="26D4EEF3"/>
    <w:rsid w:val="2718A14C"/>
    <w:rsid w:val="2784134E"/>
    <w:rsid w:val="27860734"/>
    <w:rsid w:val="278A7F83"/>
    <w:rsid w:val="2956FD15"/>
    <w:rsid w:val="2980FDCE"/>
    <w:rsid w:val="2A42D524"/>
    <w:rsid w:val="2AB437AF"/>
    <w:rsid w:val="2B1D18DF"/>
    <w:rsid w:val="2B2D8B27"/>
    <w:rsid w:val="2B3FC5C0"/>
    <w:rsid w:val="2C0C8700"/>
    <w:rsid w:val="2C4BE454"/>
    <w:rsid w:val="2E0715FF"/>
    <w:rsid w:val="2E980465"/>
    <w:rsid w:val="2EA68AC0"/>
    <w:rsid w:val="2F3B496D"/>
    <w:rsid w:val="2F6C807E"/>
    <w:rsid w:val="2FD0E0D7"/>
    <w:rsid w:val="300BFD16"/>
    <w:rsid w:val="300FAD4F"/>
    <w:rsid w:val="3071BAA3"/>
    <w:rsid w:val="316BA190"/>
    <w:rsid w:val="31B475E5"/>
    <w:rsid w:val="31CA6A34"/>
    <w:rsid w:val="32031EEB"/>
    <w:rsid w:val="321A0853"/>
    <w:rsid w:val="32A4B851"/>
    <w:rsid w:val="32EB023E"/>
    <w:rsid w:val="33620FDE"/>
    <w:rsid w:val="33A026C2"/>
    <w:rsid w:val="33B350FA"/>
    <w:rsid w:val="33DCC76F"/>
    <w:rsid w:val="34BC9FCA"/>
    <w:rsid w:val="34E1F162"/>
    <w:rsid w:val="356ADE6E"/>
    <w:rsid w:val="35F9D02F"/>
    <w:rsid w:val="3617877A"/>
    <w:rsid w:val="364B2460"/>
    <w:rsid w:val="3664D4BE"/>
    <w:rsid w:val="36FD5537"/>
    <w:rsid w:val="3733051F"/>
    <w:rsid w:val="376B0428"/>
    <w:rsid w:val="378F9C30"/>
    <w:rsid w:val="38449A0A"/>
    <w:rsid w:val="385E78FC"/>
    <w:rsid w:val="38A8314C"/>
    <w:rsid w:val="393CF622"/>
    <w:rsid w:val="393F606C"/>
    <w:rsid w:val="39DC86D1"/>
    <w:rsid w:val="39FC91EC"/>
    <w:rsid w:val="3A89FD57"/>
    <w:rsid w:val="3B1E08A4"/>
    <w:rsid w:val="3B21A15B"/>
    <w:rsid w:val="3B78F1B5"/>
    <w:rsid w:val="3BA98656"/>
    <w:rsid w:val="3C1E37F6"/>
    <w:rsid w:val="3CDCA3D7"/>
    <w:rsid w:val="3D2A2A4D"/>
    <w:rsid w:val="3DF3D84C"/>
    <w:rsid w:val="3E12BE46"/>
    <w:rsid w:val="3E2CC834"/>
    <w:rsid w:val="3EE2A502"/>
    <w:rsid w:val="3F45E9DF"/>
    <w:rsid w:val="3F95BE8E"/>
    <w:rsid w:val="3FFE9996"/>
    <w:rsid w:val="4058CBE2"/>
    <w:rsid w:val="407D2BA2"/>
    <w:rsid w:val="409A5E91"/>
    <w:rsid w:val="40AA60D6"/>
    <w:rsid w:val="40BE457E"/>
    <w:rsid w:val="40DD4CC8"/>
    <w:rsid w:val="412934C6"/>
    <w:rsid w:val="415C8B41"/>
    <w:rsid w:val="41DCF9C1"/>
    <w:rsid w:val="4237FC9F"/>
    <w:rsid w:val="42861970"/>
    <w:rsid w:val="428B20BD"/>
    <w:rsid w:val="4320F153"/>
    <w:rsid w:val="4338C854"/>
    <w:rsid w:val="433BD658"/>
    <w:rsid w:val="4342023F"/>
    <w:rsid w:val="434A5B85"/>
    <w:rsid w:val="434D9AEB"/>
    <w:rsid w:val="4353BCF1"/>
    <w:rsid w:val="43B856B1"/>
    <w:rsid w:val="43D738A7"/>
    <w:rsid w:val="44830F74"/>
    <w:rsid w:val="44D83B5F"/>
    <w:rsid w:val="45716C6B"/>
    <w:rsid w:val="45B54300"/>
    <w:rsid w:val="45D2531C"/>
    <w:rsid w:val="46116D68"/>
    <w:rsid w:val="4619888B"/>
    <w:rsid w:val="46A4BC6F"/>
    <w:rsid w:val="477E3F60"/>
    <w:rsid w:val="47B5046A"/>
    <w:rsid w:val="47B7D74D"/>
    <w:rsid w:val="47BD6745"/>
    <w:rsid w:val="47D0837A"/>
    <w:rsid w:val="4815C679"/>
    <w:rsid w:val="482DE952"/>
    <w:rsid w:val="4854FB4A"/>
    <w:rsid w:val="4870F17A"/>
    <w:rsid w:val="48DF4F14"/>
    <w:rsid w:val="49BC7FD1"/>
    <w:rsid w:val="4A4BA1B2"/>
    <w:rsid w:val="4BC0CBF5"/>
    <w:rsid w:val="4BE57080"/>
    <w:rsid w:val="4BE7AA2E"/>
    <w:rsid w:val="4C0D2AAD"/>
    <w:rsid w:val="4C49FA2C"/>
    <w:rsid w:val="4C4BCF53"/>
    <w:rsid w:val="4C9A0E67"/>
    <w:rsid w:val="4CD9FAA3"/>
    <w:rsid w:val="4CE8C648"/>
    <w:rsid w:val="4D080CDF"/>
    <w:rsid w:val="4DB6A9DE"/>
    <w:rsid w:val="4E1008FD"/>
    <w:rsid w:val="4E181471"/>
    <w:rsid w:val="4E7235CB"/>
    <w:rsid w:val="4F00732C"/>
    <w:rsid w:val="4F0188A0"/>
    <w:rsid w:val="4F6DC1DF"/>
    <w:rsid w:val="4F7ED0FF"/>
    <w:rsid w:val="4F928FB8"/>
    <w:rsid w:val="50845AC1"/>
    <w:rsid w:val="509EBB7B"/>
    <w:rsid w:val="510107B1"/>
    <w:rsid w:val="51288421"/>
    <w:rsid w:val="51330153"/>
    <w:rsid w:val="513B33FA"/>
    <w:rsid w:val="51C14AA2"/>
    <w:rsid w:val="52270D77"/>
    <w:rsid w:val="52660A41"/>
    <w:rsid w:val="52749A20"/>
    <w:rsid w:val="53360481"/>
    <w:rsid w:val="5338E02A"/>
    <w:rsid w:val="534114F9"/>
    <w:rsid w:val="535A8D19"/>
    <w:rsid w:val="53B94B5A"/>
    <w:rsid w:val="5407870A"/>
    <w:rsid w:val="5465CFBB"/>
    <w:rsid w:val="54F63E6B"/>
    <w:rsid w:val="561A385D"/>
    <w:rsid w:val="56C07089"/>
    <w:rsid w:val="56F11FAC"/>
    <w:rsid w:val="57757C92"/>
    <w:rsid w:val="57BA4205"/>
    <w:rsid w:val="57C76F6E"/>
    <w:rsid w:val="58B3B2CA"/>
    <w:rsid w:val="58F11880"/>
    <w:rsid w:val="59131C1C"/>
    <w:rsid w:val="592FC4B8"/>
    <w:rsid w:val="5960161C"/>
    <w:rsid w:val="5967E7E1"/>
    <w:rsid w:val="59796A1E"/>
    <w:rsid w:val="5B527884"/>
    <w:rsid w:val="5B5D02EC"/>
    <w:rsid w:val="5B7A05CD"/>
    <w:rsid w:val="5BA9DE3A"/>
    <w:rsid w:val="5CE2312F"/>
    <w:rsid w:val="5D6E9175"/>
    <w:rsid w:val="5E110BAF"/>
    <w:rsid w:val="5E29AE08"/>
    <w:rsid w:val="5E2BC5C3"/>
    <w:rsid w:val="5F05BFFF"/>
    <w:rsid w:val="5F589E7D"/>
    <w:rsid w:val="5FDDAFEB"/>
    <w:rsid w:val="5FED14DB"/>
    <w:rsid w:val="5FF04AAF"/>
    <w:rsid w:val="600D029D"/>
    <w:rsid w:val="626D05F8"/>
    <w:rsid w:val="628EAF39"/>
    <w:rsid w:val="62C8E8F6"/>
    <w:rsid w:val="63123C9B"/>
    <w:rsid w:val="63AC52F3"/>
    <w:rsid w:val="63D8E69B"/>
    <w:rsid w:val="643DCFC6"/>
    <w:rsid w:val="64506038"/>
    <w:rsid w:val="6494EE09"/>
    <w:rsid w:val="64AA6DE5"/>
    <w:rsid w:val="64B146C7"/>
    <w:rsid w:val="6504753A"/>
    <w:rsid w:val="6597FCAD"/>
    <w:rsid w:val="6622A449"/>
    <w:rsid w:val="66DF2C0B"/>
    <w:rsid w:val="66F5D078"/>
    <w:rsid w:val="67066935"/>
    <w:rsid w:val="6721C662"/>
    <w:rsid w:val="6743C79D"/>
    <w:rsid w:val="675EA21B"/>
    <w:rsid w:val="67E4FEAE"/>
    <w:rsid w:val="67EA91D4"/>
    <w:rsid w:val="684B94C9"/>
    <w:rsid w:val="688D7C84"/>
    <w:rsid w:val="6897ECA8"/>
    <w:rsid w:val="68D34862"/>
    <w:rsid w:val="69368145"/>
    <w:rsid w:val="6940050F"/>
    <w:rsid w:val="694B4D8D"/>
    <w:rsid w:val="695A1ED9"/>
    <w:rsid w:val="69997030"/>
    <w:rsid w:val="6A2F5A17"/>
    <w:rsid w:val="6A920DC7"/>
    <w:rsid w:val="6B56FFC3"/>
    <w:rsid w:val="6B7F0AD1"/>
    <w:rsid w:val="6BDEFFDA"/>
    <w:rsid w:val="6C21F631"/>
    <w:rsid w:val="6C675B1B"/>
    <w:rsid w:val="6D36B538"/>
    <w:rsid w:val="6D503A5B"/>
    <w:rsid w:val="6E17A900"/>
    <w:rsid w:val="6E24B43F"/>
    <w:rsid w:val="6F62B23F"/>
    <w:rsid w:val="70247CF0"/>
    <w:rsid w:val="70371DFB"/>
    <w:rsid w:val="7058AB2F"/>
    <w:rsid w:val="706D1BFE"/>
    <w:rsid w:val="707BEC38"/>
    <w:rsid w:val="70981D32"/>
    <w:rsid w:val="70E40556"/>
    <w:rsid w:val="711C458D"/>
    <w:rsid w:val="71493B5D"/>
    <w:rsid w:val="7197046B"/>
    <w:rsid w:val="719A9CF4"/>
    <w:rsid w:val="71A80F23"/>
    <w:rsid w:val="729DC8EA"/>
    <w:rsid w:val="72F1096D"/>
    <w:rsid w:val="73E52D84"/>
    <w:rsid w:val="73FF774F"/>
    <w:rsid w:val="74DFE29B"/>
    <w:rsid w:val="76139F17"/>
    <w:rsid w:val="76E02067"/>
    <w:rsid w:val="773C7022"/>
    <w:rsid w:val="785402E9"/>
    <w:rsid w:val="799F94D3"/>
    <w:rsid w:val="79D37F1D"/>
    <w:rsid w:val="7A141241"/>
    <w:rsid w:val="7AA865F9"/>
    <w:rsid w:val="7AB5E329"/>
    <w:rsid w:val="7AF4E59A"/>
    <w:rsid w:val="7B572A7D"/>
    <w:rsid w:val="7B652075"/>
    <w:rsid w:val="7B9A24F4"/>
    <w:rsid w:val="7C785BD6"/>
    <w:rsid w:val="7D89EA14"/>
    <w:rsid w:val="7DFEDFE2"/>
    <w:rsid w:val="7E5654D1"/>
    <w:rsid w:val="7EFC116E"/>
    <w:rsid w:val="7EFC5679"/>
    <w:rsid w:val="7F847376"/>
    <w:rsid w:val="7FA7E290"/>
    <w:rsid w:val="7FB39C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doi.org/10.1038/s41562-025-02134-4" TargetMode="External" Id="R307fce66c167443a" /><Relationship Type="http://schemas.openxmlformats.org/officeDocument/2006/relationships/hyperlink" Target="https://www.who.int/news-room/fact-sheets/detail/adolescent-mental-health" TargetMode="External" Id="R117c5479a4a04d42" /><Relationship Type="http://schemas.microsoft.com/office/2020/10/relationships/intelligence" Target="intelligence2.xml" Id="Re039e4cf2b6e41a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02f89ec0a939a72ce2d3b2d5b783251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f67a1c3c8ebd284353474c4c8e1598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B817898A-C674-4726-91D1-9442EAA20C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DEC615-CD6E-4D6D-B60D-477B848A038B}">
  <ds:schemaRefs>
    <ds:schemaRef ds:uri="http://schemas.microsoft.com/sharepoint/v3/contenttype/forms"/>
  </ds:schemaRefs>
</ds:datastoreItem>
</file>

<file path=customXml/itemProps4.xml><?xml version="1.0" encoding="utf-8"?>
<ds:datastoreItem xmlns:ds="http://schemas.openxmlformats.org/officeDocument/2006/customXml" ds:itemID="{8BBB7325-B8D3-4234-BB31-B85A581382DE}">
  <ds:schemaRefs>
    <ds:schemaRef ds:uri="http://purl.org/dc/dcmitype/"/>
    <ds:schemaRef ds:uri="http://schemas.microsoft.com/office/2006/metadata/properties"/>
    <ds:schemaRef ds:uri="http://schemas.microsoft.com/office/2006/documentManagement/types"/>
    <ds:schemaRef ds:uri="d8e79d84-78fb-44a9-92e9-d04bdd8f0359"/>
    <ds:schemaRef ds:uri="http://schemas.microsoft.com/office/infopath/2007/PartnerControls"/>
    <ds:schemaRef ds:uri="http://purl.org/dc/elements/1.1/"/>
    <ds:schemaRef ds:uri="http://www.w3.org/XML/1998/namespace"/>
    <ds:schemaRef ds:uri="http://schemas.openxmlformats.org/package/2006/metadata/core-properties"/>
    <ds:schemaRef ds:uri="04c7059f-bde8-4ce9-bb0f-e52888740953"/>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Aleia Younis (2219526)</lastModifiedBy>
  <revision>4</revision>
  <dcterms:created xsi:type="dcterms:W3CDTF">2025-11-21T19:25:00.0000000Z</dcterms:created>
  <dcterms:modified xsi:type="dcterms:W3CDTF">2025-11-23T21:12:51.0550943Z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