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30C6" w:rsidRDefault="00CE30C6" w:rsidP="00CE30C6">
      <w:r>
        <w:t>Portman Co. is appraising an overseas investment project which has an expected life of four years and which will not be repeated.  The initial investment, payable at the start of the first year of operation, is $7 million.  Scrap value of $900,000 is expected to arise at the end of four years.</w:t>
      </w:r>
    </w:p>
    <w:p w:rsidR="00CE30C6" w:rsidRDefault="00CE30C6" w:rsidP="00CE30C6"/>
    <w:p w:rsidR="00CE30C6" w:rsidRDefault="00CE30C6" w:rsidP="00CE30C6">
      <w:r>
        <w:t>There is some uncertainty about what price can be charged for the units produced by the investment project, as this is expected to depend on the future state of the overseas economy.  The following forecast of selling prices and their probabilities has been prepared:</w:t>
      </w:r>
    </w:p>
    <w:p w:rsidR="00CE30C6" w:rsidRDefault="00CE30C6" w:rsidP="00CE30C6">
      <w:pPr>
        <w:rPr>
          <w:b/>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1843"/>
        <w:gridCol w:w="1701"/>
        <w:gridCol w:w="1559"/>
      </w:tblGrid>
      <w:tr w:rsidR="00CE30C6" w:rsidTr="00CE30C6">
        <w:tc>
          <w:tcPr>
            <w:tcW w:w="3969" w:type="dxa"/>
            <w:hideMark/>
          </w:tcPr>
          <w:p w:rsidR="00CE30C6" w:rsidRDefault="00CE30C6">
            <w:pPr>
              <w:rPr>
                <w:b/>
              </w:rPr>
            </w:pPr>
            <w:r>
              <w:rPr>
                <w:b/>
              </w:rPr>
              <w:t xml:space="preserve">Future Economic State </w:t>
            </w:r>
          </w:p>
        </w:tc>
        <w:tc>
          <w:tcPr>
            <w:tcW w:w="1843" w:type="dxa"/>
            <w:hideMark/>
          </w:tcPr>
          <w:p w:rsidR="00CE30C6" w:rsidRDefault="00CE30C6">
            <w:pPr>
              <w:rPr>
                <w:b/>
              </w:rPr>
            </w:pPr>
            <w:r>
              <w:rPr>
                <w:b/>
              </w:rPr>
              <w:t xml:space="preserve">Weak </w:t>
            </w:r>
          </w:p>
        </w:tc>
        <w:tc>
          <w:tcPr>
            <w:tcW w:w="1701" w:type="dxa"/>
            <w:hideMark/>
          </w:tcPr>
          <w:p w:rsidR="00CE30C6" w:rsidRDefault="00CE30C6">
            <w:pPr>
              <w:rPr>
                <w:b/>
              </w:rPr>
            </w:pPr>
            <w:r>
              <w:rPr>
                <w:b/>
              </w:rPr>
              <w:t xml:space="preserve">Medium </w:t>
            </w:r>
          </w:p>
        </w:tc>
        <w:tc>
          <w:tcPr>
            <w:tcW w:w="1559" w:type="dxa"/>
            <w:hideMark/>
          </w:tcPr>
          <w:p w:rsidR="00CE30C6" w:rsidRDefault="00CE30C6">
            <w:pPr>
              <w:rPr>
                <w:b/>
              </w:rPr>
            </w:pPr>
            <w:r>
              <w:rPr>
                <w:b/>
              </w:rPr>
              <w:t xml:space="preserve">Strong </w:t>
            </w:r>
          </w:p>
        </w:tc>
      </w:tr>
      <w:tr w:rsidR="00CE30C6" w:rsidTr="00CE30C6">
        <w:tc>
          <w:tcPr>
            <w:tcW w:w="3969" w:type="dxa"/>
            <w:hideMark/>
          </w:tcPr>
          <w:p w:rsidR="00CE30C6" w:rsidRDefault="00CE30C6">
            <w:r>
              <w:t xml:space="preserve">Probability of future economic state </w:t>
            </w:r>
          </w:p>
        </w:tc>
        <w:tc>
          <w:tcPr>
            <w:tcW w:w="1843" w:type="dxa"/>
            <w:hideMark/>
          </w:tcPr>
          <w:p w:rsidR="00CE30C6" w:rsidRDefault="00CE30C6">
            <w:r>
              <w:t>25%</w:t>
            </w:r>
          </w:p>
        </w:tc>
        <w:tc>
          <w:tcPr>
            <w:tcW w:w="1701" w:type="dxa"/>
            <w:hideMark/>
          </w:tcPr>
          <w:p w:rsidR="00CE30C6" w:rsidRDefault="00CE30C6">
            <w:r>
              <w:t>45%</w:t>
            </w:r>
          </w:p>
        </w:tc>
        <w:tc>
          <w:tcPr>
            <w:tcW w:w="1559" w:type="dxa"/>
            <w:hideMark/>
          </w:tcPr>
          <w:p w:rsidR="00CE30C6" w:rsidRDefault="00CE30C6">
            <w:r>
              <w:t>30%</w:t>
            </w:r>
          </w:p>
        </w:tc>
      </w:tr>
      <w:tr w:rsidR="00CE30C6" w:rsidTr="00CE30C6">
        <w:tc>
          <w:tcPr>
            <w:tcW w:w="3969" w:type="dxa"/>
            <w:hideMark/>
          </w:tcPr>
          <w:p w:rsidR="00CE30C6" w:rsidRDefault="00CE30C6">
            <w:r>
              <w:t>Selling price in current price terms</w:t>
            </w:r>
          </w:p>
        </w:tc>
        <w:tc>
          <w:tcPr>
            <w:tcW w:w="1843" w:type="dxa"/>
            <w:hideMark/>
          </w:tcPr>
          <w:p w:rsidR="00CE30C6" w:rsidRDefault="00CE30C6">
            <w:r>
              <w:t xml:space="preserve">$28 per unit </w:t>
            </w:r>
          </w:p>
        </w:tc>
        <w:tc>
          <w:tcPr>
            <w:tcW w:w="1701" w:type="dxa"/>
            <w:hideMark/>
          </w:tcPr>
          <w:p w:rsidR="00CE30C6" w:rsidRDefault="00CE30C6">
            <w:r>
              <w:t xml:space="preserve">$33 per unit </w:t>
            </w:r>
          </w:p>
        </w:tc>
        <w:tc>
          <w:tcPr>
            <w:tcW w:w="1559" w:type="dxa"/>
            <w:hideMark/>
          </w:tcPr>
          <w:p w:rsidR="00CE30C6" w:rsidRDefault="00CE30C6">
            <w:r>
              <w:t xml:space="preserve">$36 per unit </w:t>
            </w:r>
          </w:p>
        </w:tc>
      </w:tr>
    </w:tbl>
    <w:p w:rsidR="00CE30C6" w:rsidRDefault="00CE30C6" w:rsidP="00CE30C6">
      <w:pPr>
        <w:tabs>
          <w:tab w:val="left" w:pos="6825"/>
        </w:tabs>
        <w:rPr>
          <w:b/>
        </w:rPr>
      </w:pPr>
      <w:r>
        <w:rPr>
          <w:b/>
        </w:rPr>
        <w:tab/>
      </w:r>
    </w:p>
    <w:p w:rsidR="00CE30C6" w:rsidRDefault="00CE30C6" w:rsidP="00CE30C6">
      <w:r>
        <w:t xml:space="preserve">These selling prices are expected to be subject to annual inflation of 4% per year, regardless of which economic state prevails in the future </w:t>
      </w:r>
    </w:p>
    <w:p w:rsidR="00CE30C6" w:rsidRDefault="00CE30C6" w:rsidP="00CE30C6"/>
    <w:p w:rsidR="00CE30C6" w:rsidRDefault="00CE30C6" w:rsidP="00CE30C6">
      <w:r>
        <w:t>Forecast sales and production volumes, ad in total nominal variable costs, have already been forecast, as follows:</w:t>
      </w:r>
    </w:p>
    <w:p w:rsidR="00CE30C6" w:rsidRDefault="00CE30C6" w:rsidP="00CE30C6"/>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1559"/>
        <w:gridCol w:w="1559"/>
        <w:gridCol w:w="1222"/>
        <w:gridCol w:w="996"/>
      </w:tblGrid>
      <w:tr w:rsidR="00CE30C6" w:rsidTr="00CE30C6">
        <w:tc>
          <w:tcPr>
            <w:tcW w:w="3681" w:type="dxa"/>
            <w:hideMark/>
          </w:tcPr>
          <w:p w:rsidR="00CE30C6" w:rsidRDefault="00CE30C6">
            <w:pPr>
              <w:rPr>
                <w:b/>
              </w:rPr>
            </w:pPr>
            <w:r>
              <w:rPr>
                <w:b/>
              </w:rPr>
              <w:t xml:space="preserve">Year </w:t>
            </w:r>
          </w:p>
        </w:tc>
        <w:tc>
          <w:tcPr>
            <w:tcW w:w="1559" w:type="dxa"/>
            <w:hideMark/>
          </w:tcPr>
          <w:p w:rsidR="00CE30C6" w:rsidRDefault="00CE30C6">
            <w:pPr>
              <w:jc w:val="center"/>
              <w:rPr>
                <w:b/>
              </w:rPr>
            </w:pPr>
            <w:r>
              <w:rPr>
                <w:b/>
              </w:rPr>
              <w:t>1</w:t>
            </w:r>
          </w:p>
        </w:tc>
        <w:tc>
          <w:tcPr>
            <w:tcW w:w="1559" w:type="dxa"/>
            <w:hideMark/>
          </w:tcPr>
          <w:p w:rsidR="00CE30C6" w:rsidRDefault="00CE30C6">
            <w:pPr>
              <w:jc w:val="center"/>
              <w:rPr>
                <w:b/>
              </w:rPr>
            </w:pPr>
            <w:r>
              <w:rPr>
                <w:b/>
              </w:rPr>
              <w:t>2</w:t>
            </w:r>
          </w:p>
        </w:tc>
        <w:tc>
          <w:tcPr>
            <w:tcW w:w="1222" w:type="dxa"/>
            <w:hideMark/>
          </w:tcPr>
          <w:p w:rsidR="00CE30C6" w:rsidRDefault="00CE30C6">
            <w:pPr>
              <w:jc w:val="center"/>
              <w:rPr>
                <w:b/>
              </w:rPr>
            </w:pPr>
            <w:r>
              <w:rPr>
                <w:b/>
              </w:rPr>
              <w:t>3</w:t>
            </w:r>
          </w:p>
        </w:tc>
        <w:tc>
          <w:tcPr>
            <w:tcW w:w="996" w:type="dxa"/>
            <w:hideMark/>
          </w:tcPr>
          <w:p w:rsidR="00CE30C6" w:rsidRDefault="00CE30C6">
            <w:pPr>
              <w:jc w:val="center"/>
              <w:rPr>
                <w:b/>
              </w:rPr>
            </w:pPr>
            <w:r>
              <w:rPr>
                <w:b/>
              </w:rPr>
              <w:t>4</w:t>
            </w:r>
          </w:p>
        </w:tc>
      </w:tr>
      <w:tr w:rsidR="00CE30C6" w:rsidTr="00CE30C6">
        <w:tc>
          <w:tcPr>
            <w:tcW w:w="3681" w:type="dxa"/>
            <w:hideMark/>
          </w:tcPr>
          <w:p w:rsidR="00CE30C6" w:rsidRDefault="00CE30C6">
            <w:r>
              <w:t>Sales and production (units)</w:t>
            </w:r>
          </w:p>
        </w:tc>
        <w:tc>
          <w:tcPr>
            <w:tcW w:w="1559" w:type="dxa"/>
            <w:hideMark/>
          </w:tcPr>
          <w:p w:rsidR="00CE30C6" w:rsidRDefault="00CE30C6">
            <w:pPr>
              <w:jc w:val="right"/>
            </w:pPr>
            <w:r>
              <w:t>210,000</w:t>
            </w:r>
          </w:p>
        </w:tc>
        <w:tc>
          <w:tcPr>
            <w:tcW w:w="1559" w:type="dxa"/>
            <w:hideMark/>
          </w:tcPr>
          <w:p w:rsidR="00CE30C6" w:rsidRDefault="00CE30C6">
            <w:pPr>
              <w:jc w:val="right"/>
            </w:pPr>
            <w:r>
              <w:t>210,000</w:t>
            </w:r>
          </w:p>
        </w:tc>
        <w:tc>
          <w:tcPr>
            <w:tcW w:w="1222" w:type="dxa"/>
            <w:hideMark/>
          </w:tcPr>
          <w:p w:rsidR="00CE30C6" w:rsidRDefault="00CE30C6">
            <w:pPr>
              <w:jc w:val="right"/>
            </w:pPr>
            <w:r>
              <w:t>340,000</w:t>
            </w:r>
          </w:p>
        </w:tc>
        <w:tc>
          <w:tcPr>
            <w:tcW w:w="996" w:type="dxa"/>
            <w:hideMark/>
          </w:tcPr>
          <w:p w:rsidR="00CE30C6" w:rsidRDefault="00CE30C6">
            <w:pPr>
              <w:jc w:val="right"/>
            </w:pPr>
            <w:r>
              <w:t>340,000</w:t>
            </w:r>
          </w:p>
        </w:tc>
      </w:tr>
      <w:tr w:rsidR="00CE30C6" w:rsidTr="00CE30C6">
        <w:tc>
          <w:tcPr>
            <w:tcW w:w="3681" w:type="dxa"/>
            <w:hideMark/>
          </w:tcPr>
          <w:p w:rsidR="00CE30C6" w:rsidRDefault="00CE30C6">
            <w:r>
              <w:t>Nominal variable cost ($000)</w:t>
            </w:r>
          </w:p>
        </w:tc>
        <w:tc>
          <w:tcPr>
            <w:tcW w:w="1559" w:type="dxa"/>
            <w:hideMark/>
          </w:tcPr>
          <w:p w:rsidR="00CE30C6" w:rsidRDefault="00CE30C6">
            <w:pPr>
              <w:jc w:val="right"/>
            </w:pPr>
            <w:r>
              <w:t>2,575</w:t>
            </w:r>
          </w:p>
        </w:tc>
        <w:tc>
          <w:tcPr>
            <w:tcW w:w="1559" w:type="dxa"/>
            <w:hideMark/>
          </w:tcPr>
          <w:p w:rsidR="00CE30C6" w:rsidRDefault="00CE30C6">
            <w:pPr>
              <w:jc w:val="right"/>
            </w:pPr>
            <w:r>
              <w:t>4,325</w:t>
            </w:r>
          </w:p>
        </w:tc>
        <w:tc>
          <w:tcPr>
            <w:tcW w:w="1222" w:type="dxa"/>
            <w:hideMark/>
          </w:tcPr>
          <w:p w:rsidR="00CE30C6" w:rsidRDefault="00CE30C6">
            <w:pPr>
              <w:jc w:val="right"/>
            </w:pPr>
            <w:r>
              <w:t>7,105</w:t>
            </w:r>
          </w:p>
        </w:tc>
        <w:tc>
          <w:tcPr>
            <w:tcW w:w="996" w:type="dxa"/>
            <w:hideMark/>
          </w:tcPr>
          <w:p w:rsidR="00CE30C6" w:rsidRDefault="00CE30C6">
            <w:pPr>
              <w:jc w:val="right"/>
            </w:pPr>
            <w:r>
              <w:t>5,825</w:t>
            </w:r>
          </w:p>
        </w:tc>
      </w:tr>
    </w:tbl>
    <w:p w:rsidR="00CE30C6" w:rsidRDefault="00CE30C6" w:rsidP="00CE30C6"/>
    <w:p w:rsidR="00CE30C6" w:rsidRDefault="00CE30C6" w:rsidP="00CE30C6">
      <w:r>
        <w:t>Incremental overheads of $500,000 per year in current price terms will arise as a result of undertaking the investment project.  A large proportion of these overheads relate to energy costs which are expected to increase sharply in the future because of energy supply shortages, so overhead inflation of 10% per year is expected.</w:t>
      </w:r>
    </w:p>
    <w:p w:rsidR="00CE30C6" w:rsidRDefault="00CE30C6" w:rsidP="00CE30C6"/>
    <w:p w:rsidR="00CE30C6" w:rsidRDefault="00CE30C6" w:rsidP="00CE30C6">
      <w:r>
        <w:t xml:space="preserve">The initial investment will attract tax-allowable depreciation on the straight-line basis over the </w:t>
      </w:r>
      <w:proofErr w:type="gramStart"/>
      <w:r>
        <w:t>four year</w:t>
      </w:r>
      <w:proofErr w:type="gramEnd"/>
      <w:r>
        <w:t xml:space="preserve"> project life.  The rate of corporation tax is 30% and tax liabilities are paid in the year in which they arise.  Portman Co. has traditionally used a nominal after-tax discount rate of 8% per year for investment appraisal.</w:t>
      </w:r>
    </w:p>
    <w:p w:rsidR="00CE30C6" w:rsidRDefault="00CE30C6" w:rsidP="00CE30C6"/>
    <w:p w:rsidR="00CE30C6" w:rsidRDefault="00CE30C6" w:rsidP="00CE30C6"/>
    <w:p w:rsidR="00CE30C6" w:rsidRDefault="00CE30C6" w:rsidP="00CE30C6">
      <w:pPr>
        <w:rPr>
          <w:b/>
        </w:rPr>
      </w:pPr>
      <w:r>
        <w:rPr>
          <w:b/>
        </w:rPr>
        <w:t>Required:</w:t>
      </w:r>
    </w:p>
    <w:p w:rsidR="00CE30C6" w:rsidRDefault="00CE30C6" w:rsidP="00CE30C6"/>
    <w:p w:rsidR="00D04107" w:rsidRDefault="00CE30C6" w:rsidP="00CE30C6">
      <w:pPr>
        <w:pStyle w:val="ListParagraph"/>
        <w:numPr>
          <w:ilvl w:val="0"/>
          <w:numId w:val="1"/>
        </w:numPr>
        <w:rPr>
          <w:b/>
        </w:rPr>
      </w:pPr>
      <w:r>
        <w:rPr>
          <w:b/>
        </w:rPr>
        <w:t>Calculate the expected net present value of the overseas investment project and comment on</w:t>
      </w:r>
      <w:r w:rsidR="00D04107">
        <w:rPr>
          <w:b/>
        </w:rPr>
        <w:t xml:space="preserve"> its financial acceptability.</w:t>
      </w:r>
      <w:r w:rsidR="00D04107">
        <w:rPr>
          <w:b/>
        </w:rPr>
        <w:tab/>
      </w:r>
    </w:p>
    <w:p w:rsidR="00D04107" w:rsidRPr="00D04107" w:rsidRDefault="00D04107" w:rsidP="00D04107">
      <w:pPr>
        <w:pStyle w:val="ListParagraph"/>
        <w:numPr>
          <w:ilvl w:val="0"/>
          <w:numId w:val="1"/>
        </w:numPr>
        <w:rPr>
          <w:b/>
        </w:rPr>
      </w:pPr>
      <w:r>
        <w:rPr>
          <w:b/>
        </w:rPr>
        <w:t xml:space="preserve"> </w:t>
      </w:r>
      <w:r w:rsidRPr="00D04107">
        <w:rPr>
          <w:b/>
        </w:rPr>
        <w:t>Calculate the internal rate of return of the pro</w:t>
      </w:r>
      <w:r>
        <w:rPr>
          <w:b/>
        </w:rPr>
        <w:t>posed investment</w:t>
      </w:r>
      <w:bookmarkStart w:id="0" w:name="_GoBack"/>
      <w:bookmarkEnd w:id="0"/>
    </w:p>
    <w:p w:rsidR="00CE30C6" w:rsidRDefault="00CE30C6" w:rsidP="00D04107">
      <w:pPr>
        <w:pStyle w:val="ListParagraph"/>
        <w:rPr>
          <w:b/>
        </w:rPr>
      </w:pPr>
      <w:r>
        <w:rPr>
          <w:b/>
        </w:rPr>
        <w:t xml:space="preserve">                                         </w:t>
      </w:r>
    </w:p>
    <w:p w:rsidR="00CE30C6" w:rsidRDefault="00CE30C6" w:rsidP="00CE30C6">
      <w:pPr>
        <w:pStyle w:val="ListParagraph"/>
        <w:rPr>
          <w:b/>
        </w:rPr>
      </w:pPr>
    </w:p>
    <w:p w:rsidR="00837E0E" w:rsidRDefault="00837E0E"/>
    <w:sectPr w:rsidR="00837E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C76B7A"/>
    <w:multiLevelType w:val="hybridMultilevel"/>
    <w:tmpl w:val="D24E95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2BBD2C72"/>
    <w:multiLevelType w:val="hybridMultilevel"/>
    <w:tmpl w:val="B4EE8EA0"/>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0C6"/>
    <w:rsid w:val="0078677A"/>
    <w:rsid w:val="00807E59"/>
    <w:rsid w:val="00837E0E"/>
    <w:rsid w:val="00906E38"/>
    <w:rsid w:val="00CC5DB8"/>
    <w:rsid w:val="00CE30C6"/>
    <w:rsid w:val="00D04107"/>
    <w:rsid w:val="00DA5687"/>
    <w:rsid w:val="00FA7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1A23F"/>
  <w15:chartTrackingRefBased/>
  <w15:docId w15:val="{1D24AE06-0138-420A-B0E5-8BE8D0A87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30C6"/>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30C6"/>
    <w:pPr>
      <w:ind w:left="720"/>
      <w:contextualSpacing/>
    </w:pPr>
  </w:style>
  <w:style w:type="table" w:styleId="TableGrid">
    <w:name w:val="Table Grid"/>
    <w:basedOn w:val="TableNormal"/>
    <w:uiPriority w:val="59"/>
    <w:rsid w:val="00CE30C6"/>
    <w:pPr>
      <w:spacing w:after="0" w:line="240" w:lineRule="auto"/>
    </w:pPr>
    <w:rPr>
      <w:rFonts w:ascii="Times New Roman" w:eastAsia="Times New Roman" w:hAnsi="Times New Roman" w:cs="Times New Roman"/>
      <w:sz w:val="20"/>
      <w:szCs w:val="20"/>
      <w:lang w:eastAsia="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MUNORMALARIAL">
    <w:name w:val="SMU NORMAL ARIAL"/>
    <w:basedOn w:val="Normal"/>
    <w:rsid w:val="00D04107"/>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494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304</Words>
  <Characters>1739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Dunstan</dc:creator>
  <cp:keywords/>
  <dc:description/>
  <cp:lastModifiedBy>Richard Dunstan</cp:lastModifiedBy>
  <cp:revision>2</cp:revision>
  <dcterms:created xsi:type="dcterms:W3CDTF">2019-11-28T15:08:00Z</dcterms:created>
  <dcterms:modified xsi:type="dcterms:W3CDTF">2019-12-05T10:52:00Z</dcterms:modified>
</cp:coreProperties>
</file>