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AB8955" w14:textId="77777777" w:rsidR="002D53FC" w:rsidRPr="006B2173" w:rsidRDefault="002D53FC" w:rsidP="006B2173">
      <w:pPr>
        <w:spacing w:after="0" w:line="257" w:lineRule="auto"/>
        <w:jc w:val="both"/>
        <w:rPr>
          <w:rFonts w:ascii="Times New Roman" w:eastAsia="Times New Roman" w:hAnsi="Times New Roman" w:cs="Times New Roman"/>
          <w:lang w:eastAsia="en-GB"/>
        </w:rPr>
      </w:pPr>
      <w:r w:rsidRPr="006B2173">
        <w:rPr>
          <w:rFonts w:ascii="Times New Roman" w:eastAsia="Calibri" w:hAnsi="Times New Roman" w:cs="Times New Roman"/>
          <w:b/>
          <w:bCs/>
          <w:lang w:eastAsia="en-GB"/>
        </w:rPr>
        <w:t>1000 words - Understanding the role of Constable/Maintaining Professional Standards</w:t>
      </w:r>
    </w:p>
    <w:p w14:paraId="2EC07545" w14:textId="77777777" w:rsidR="002D53FC" w:rsidRPr="006B2173" w:rsidRDefault="002D53FC" w:rsidP="006B2173">
      <w:pPr>
        <w:spacing w:after="0" w:line="257" w:lineRule="auto"/>
        <w:jc w:val="both"/>
        <w:rPr>
          <w:rFonts w:ascii="Times New Roman" w:eastAsia="Times New Roman" w:hAnsi="Times New Roman" w:cs="Times New Roman"/>
          <w:lang w:eastAsia="en-GB"/>
        </w:rPr>
      </w:pPr>
      <w:r w:rsidRPr="006B2173">
        <w:rPr>
          <w:rFonts w:ascii="Times New Roman" w:eastAsia="Calibri" w:hAnsi="Times New Roman" w:cs="Times New Roman"/>
          <w:lang w:eastAsia="en-GB"/>
        </w:rPr>
        <w:t xml:space="preserve">Critically evaluate the concept of ‘the professionalisation of the police service’ considering how ‘Maintaining Professional Standards’ ‘ethical and inclusive’ and ‘Coaching and Mentoring’ approaches contribute to this. </w:t>
      </w:r>
    </w:p>
    <w:p w14:paraId="285FA76B" w14:textId="77777777"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 </w:t>
      </w:r>
    </w:p>
    <w:p w14:paraId="78A6750E" w14:textId="26958035"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In 2011 Peter Neyroud issued a review of Police Leadership and Training, during which he identified the need for the police service to adopt a more professional approach (Neyr</w:t>
      </w:r>
      <w:r w:rsidR="009C23E0">
        <w:rPr>
          <w:rFonts w:ascii="Times New Roman" w:eastAsia="Calibri" w:hAnsi="Times New Roman" w:cs="Times New Roman"/>
          <w:lang w:eastAsia="en-GB"/>
        </w:rPr>
        <w:t>o</w:t>
      </w:r>
      <w:r w:rsidRPr="006B2173">
        <w:rPr>
          <w:rFonts w:ascii="Times New Roman" w:eastAsia="Calibri" w:hAnsi="Times New Roman" w:cs="Times New Roman"/>
          <w:lang w:eastAsia="en-GB"/>
        </w:rPr>
        <w:t xml:space="preserve">ud, 2011), as a result of this report, in 2012 the College of Policing was established in order to act as the official professional body for policing (Bryant and Bryant, 2020). Although ‘Professionalisation of the Police Service’ is not a contemporary idea, it is one that has slowly emerged for many years (Schneider, 2009), with Neyroud’s report and the subsequent establishment of the College of Policing being key developments to this concept in more recent years. </w:t>
      </w:r>
    </w:p>
    <w:p w14:paraId="24E59B57" w14:textId="77777777" w:rsidR="002D53FC" w:rsidRPr="006B2173" w:rsidRDefault="002D53FC" w:rsidP="006B2173">
      <w:pPr>
        <w:spacing w:after="0" w:line="257" w:lineRule="auto"/>
        <w:jc w:val="both"/>
        <w:rPr>
          <w:rFonts w:ascii="Times New Roman" w:eastAsia="Calibri" w:hAnsi="Times New Roman" w:cs="Times New Roman"/>
          <w:lang w:eastAsia="en-GB"/>
        </w:rPr>
      </w:pPr>
    </w:p>
    <w:p w14:paraId="178518D2" w14:textId="2C5BBBD0"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In order for an occupation to be considered as a profession, Bryant and Bryant (2020) state that some of the following are required.</w:t>
      </w:r>
    </w:p>
    <w:p w14:paraId="6815FD50" w14:textId="77777777" w:rsidR="002D53FC" w:rsidRPr="006B2173" w:rsidRDefault="002D53FC" w:rsidP="006B2173">
      <w:pPr>
        <w:numPr>
          <w:ilvl w:val="0"/>
          <w:numId w:val="1"/>
        </w:numPr>
        <w:spacing w:after="0" w:line="257" w:lineRule="auto"/>
        <w:contextualSpacing/>
        <w:jc w:val="both"/>
        <w:rPr>
          <w:rFonts w:ascii="Times New Roman" w:eastAsia="Calibri" w:hAnsi="Times New Roman" w:cs="Times New Roman"/>
          <w:lang w:eastAsia="en-GB"/>
        </w:rPr>
      </w:pPr>
      <w:r w:rsidRPr="006B2173">
        <w:rPr>
          <w:rFonts w:ascii="Times New Roman" w:eastAsia="Calibri" w:hAnsi="Times New Roman" w:cs="Times New Roman"/>
          <w:lang w:eastAsia="en-GB"/>
        </w:rPr>
        <w:t>A Corpus of knowledge and theory that underpins the practice.</w:t>
      </w:r>
    </w:p>
    <w:p w14:paraId="2EA3DBC7" w14:textId="77777777" w:rsidR="002D53FC" w:rsidRPr="006B2173" w:rsidRDefault="002D53FC" w:rsidP="006B2173">
      <w:pPr>
        <w:numPr>
          <w:ilvl w:val="0"/>
          <w:numId w:val="1"/>
        </w:numPr>
        <w:spacing w:after="0" w:line="257" w:lineRule="auto"/>
        <w:contextualSpacing/>
        <w:jc w:val="both"/>
        <w:rPr>
          <w:rFonts w:ascii="Times New Roman" w:eastAsia="Calibri" w:hAnsi="Times New Roman" w:cs="Times New Roman"/>
          <w:lang w:eastAsia="en-GB"/>
        </w:rPr>
      </w:pPr>
      <w:r w:rsidRPr="006B2173">
        <w:rPr>
          <w:rFonts w:ascii="Times New Roman" w:eastAsia="Calibri" w:hAnsi="Times New Roman" w:cs="Times New Roman"/>
          <w:lang w:eastAsia="en-GB"/>
        </w:rPr>
        <w:t>A control of entry to the profession, often through means of a qualification.</w:t>
      </w:r>
    </w:p>
    <w:p w14:paraId="5F33227B" w14:textId="77777777" w:rsidR="002D53FC" w:rsidRPr="006B2173" w:rsidRDefault="002D53FC" w:rsidP="006B2173">
      <w:pPr>
        <w:numPr>
          <w:ilvl w:val="0"/>
          <w:numId w:val="1"/>
        </w:numPr>
        <w:spacing w:after="0" w:line="257" w:lineRule="auto"/>
        <w:contextualSpacing/>
        <w:jc w:val="both"/>
        <w:rPr>
          <w:rFonts w:ascii="Times New Roman" w:eastAsia="Calibri" w:hAnsi="Times New Roman" w:cs="Times New Roman"/>
          <w:lang w:eastAsia="en-GB"/>
        </w:rPr>
      </w:pPr>
      <w:r w:rsidRPr="006B2173">
        <w:rPr>
          <w:rFonts w:ascii="Times New Roman" w:eastAsia="Calibri" w:hAnsi="Times New Roman" w:cs="Times New Roman"/>
          <w:lang w:eastAsia="en-GB"/>
        </w:rPr>
        <w:t>Autonomy, discretion, and a degree of self-regulation.</w:t>
      </w:r>
    </w:p>
    <w:p w14:paraId="47BEA392" w14:textId="77777777" w:rsidR="002D53FC" w:rsidRPr="006B2173" w:rsidRDefault="002D53FC" w:rsidP="006B2173">
      <w:pPr>
        <w:numPr>
          <w:ilvl w:val="0"/>
          <w:numId w:val="1"/>
        </w:numPr>
        <w:spacing w:after="0" w:line="257" w:lineRule="auto"/>
        <w:contextualSpacing/>
        <w:jc w:val="both"/>
        <w:rPr>
          <w:rFonts w:ascii="Times New Roman" w:eastAsia="Calibri" w:hAnsi="Times New Roman" w:cs="Times New Roman"/>
          <w:lang w:eastAsia="en-GB"/>
        </w:rPr>
      </w:pPr>
      <w:r w:rsidRPr="006B2173">
        <w:rPr>
          <w:rFonts w:ascii="Times New Roman" w:eastAsia="Calibri" w:hAnsi="Times New Roman" w:cs="Times New Roman"/>
          <w:lang w:eastAsia="en-GB"/>
        </w:rPr>
        <w:t>Those who practice the profession see it as a vocational calling.</w:t>
      </w:r>
    </w:p>
    <w:p w14:paraId="7795FE8A" w14:textId="77777777" w:rsidR="002D53FC" w:rsidRPr="006B2173" w:rsidRDefault="002D53FC" w:rsidP="006B2173">
      <w:pPr>
        <w:numPr>
          <w:ilvl w:val="0"/>
          <w:numId w:val="1"/>
        </w:numPr>
        <w:spacing w:after="0" w:line="257" w:lineRule="auto"/>
        <w:contextualSpacing/>
        <w:jc w:val="both"/>
        <w:rPr>
          <w:rFonts w:ascii="Times New Roman" w:eastAsia="Calibri" w:hAnsi="Times New Roman" w:cs="Times New Roman"/>
          <w:lang w:eastAsia="en-GB"/>
        </w:rPr>
      </w:pPr>
      <w:r w:rsidRPr="006B2173">
        <w:rPr>
          <w:rFonts w:ascii="Times New Roman" w:eastAsia="Calibri" w:hAnsi="Times New Roman" w:cs="Times New Roman"/>
          <w:lang w:eastAsia="en-GB"/>
        </w:rPr>
        <w:t>A Code of Ethics.</w:t>
      </w:r>
    </w:p>
    <w:p w14:paraId="5052E08E" w14:textId="68B772B1"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Should the above requirements be considered, it is clear that the police service, can most certainly be considered as a profession, as it meets each requirement. There is a vast amount of theory and knowledge surrounding policing, entry into the police service is controlled through a selection process, although there is no specific academic requirement prior to entry, officers are required to earn a policing qualification at a higher education level. Officers rely upon their own discretion and autonomy on a daily basis, with the police service often having a great impact on that person’s life, with officers considering the service as a lifestyle. And finally, the Police Code of Ethics was created in 2014 by the College of Policing. </w:t>
      </w:r>
    </w:p>
    <w:p w14:paraId="167D7B22" w14:textId="77777777" w:rsidR="002D53FC" w:rsidRPr="006B2173" w:rsidRDefault="002D53FC" w:rsidP="006B2173">
      <w:pPr>
        <w:spacing w:after="0" w:line="257" w:lineRule="auto"/>
        <w:jc w:val="both"/>
        <w:rPr>
          <w:rFonts w:ascii="Times New Roman" w:eastAsia="Calibri" w:hAnsi="Times New Roman" w:cs="Times New Roman"/>
          <w:lang w:eastAsia="en-GB"/>
        </w:rPr>
      </w:pPr>
    </w:p>
    <w:p w14:paraId="66E98F21" w14:textId="62CA9D5A"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The Code of Ethics are at the heart of all police services, it provides those within the police profession the ability to provide the public with the most professional service (CoP, 2014). A large proportion of the Code of Ethics are the ten standards of professional behaviour which have been set in order to identify what expectations are required from those involved with the policing profession. The ten standards as identified by the Code of Ethics (CoP, 2014) </w:t>
      </w:r>
      <w:r w:rsidR="001462EF" w:rsidRPr="006B2173">
        <w:rPr>
          <w:rFonts w:ascii="Times New Roman" w:eastAsia="Calibri" w:hAnsi="Times New Roman" w:cs="Times New Roman"/>
          <w:lang w:eastAsia="en-GB"/>
        </w:rPr>
        <w:t>are;</w:t>
      </w:r>
      <w:r w:rsidRPr="006B2173">
        <w:rPr>
          <w:rFonts w:ascii="Times New Roman" w:eastAsia="Calibri" w:hAnsi="Times New Roman" w:cs="Times New Roman"/>
          <w:lang w:eastAsia="en-GB"/>
        </w:rPr>
        <w:t xml:space="preserve"> 1) Honesty and Integrity, which states that the police officer or staff will be honest at all times, and will not abuse their position within the public service. 2) Authority, Respect and Courtesy, which states that the police service will treat members of the public and colleagues with respect, whilst lawfully using their police powers. 3) Equality and Diversity, states those involved in the police service will not discriminate unlawfully and will be fair and impartial in all aspects of the profession. 4) Use of Force, states that when required to do so any use of force will be necessary, proportionate and reasonable. 5) Orders and Instructions, states that police officers shall only carry order out orders that are lawful and will always abide by Police Regulations. 6) Duties and Responsibilities, in the exercise of duties and responsibilities, all will be diligent. 7) Confidentiality, states that information will be treated with respect and will only be disclosed in the proper course of duties. 8) Fitness for work, states that when on duty officers, will be fit to carry out their duties. 9) Conduct, when on and off duty, officers and staff will behave in a manner which does not discredit the police services. 10) Challenging and reporting improper behaviour, states that should a colleague fall below the standards of professional behaviour then they are to be challenged and reported (CoP, 2014). </w:t>
      </w:r>
    </w:p>
    <w:p w14:paraId="2924E5A4" w14:textId="77777777" w:rsidR="002D53FC" w:rsidRPr="006B2173" w:rsidRDefault="002D53FC" w:rsidP="006B2173">
      <w:pPr>
        <w:spacing w:after="0" w:line="257" w:lineRule="auto"/>
        <w:jc w:val="both"/>
        <w:rPr>
          <w:rFonts w:ascii="Times New Roman" w:eastAsia="Calibri" w:hAnsi="Times New Roman" w:cs="Times New Roman"/>
          <w:lang w:eastAsia="en-GB"/>
        </w:rPr>
      </w:pPr>
    </w:p>
    <w:p w14:paraId="078A99B3" w14:textId="2EE90D01" w:rsidR="002D53FC" w:rsidRPr="006B2173" w:rsidRDefault="001462EF" w:rsidP="006B2173">
      <w:pPr>
        <w:spacing w:after="0" w:line="257" w:lineRule="auto"/>
        <w:jc w:val="both"/>
        <w:rPr>
          <w:rFonts w:ascii="Times New Roman" w:eastAsia="Times New Roman" w:hAnsi="Times New Roman" w:cs="Times New Roman"/>
          <w:shd w:val="clear" w:color="auto" w:fill="FFFFFF"/>
          <w:lang w:eastAsia="en-GB"/>
        </w:rPr>
      </w:pPr>
      <w:r w:rsidRPr="006B2173">
        <w:rPr>
          <w:rFonts w:ascii="Times New Roman" w:eastAsia="Calibri" w:hAnsi="Times New Roman" w:cs="Times New Roman"/>
          <w:lang w:eastAsia="en-GB"/>
        </w:rPr>
        <w:t>The</w:t>
      </w:r>
      <w:r w:rsidR="002D53FC" w:rsidRPr="006B2173">
        <w:rPr>
          <w:rFonts w:ascii="Times New Roman" w:eastAsia="Calibri" w:hAnsi="Times New Roman" w:cs="Times New Roman"/>
          <w:lang w:eastAsia="en-GB"/>
        </w:rPr>
        <w:t xml:space="preserve"> standards of professional behaviours which is expected of all involved with the police service</w:t>
      </w:r>
      <w:r w:rsidRPr="006B2173">
        <w:rPr>
          <w:rFonts w:ascii="Times New Roman" w:eastAsia="Calibri" w:hAnsi="Times New Roman" w:cs="Times New Roman"/>
          <w:lang w:eastAsia="en-GB"/>
        </w:rPr>
        <w:t xml:space="preserve"> also </w:t>
      </w:r>
      <w:r w:rsidR="002D53FC" w:rsidRPr="006B2173">
        <w:rPr>
          <w:rFonts w:ascii="Times New Roman" w:eastAsia="Calibri" w:hAnsi="Times New Roman" w:cs="Times New Roman"/>
          <w:lang w:eastAsia="en-GB"/>
        </w:rPr>
        <w:t xml:space="preserve">extends to when officers are ‘Off-duty’. If an officer is to neglect their duties or fall below these </w:t>
      </w:r>
      <w:r w:rsidR="002D53FC" w:rsidRPr="006B2173">
        <w:rPr>
          <w:rFonts w:ascii="Times New Roman" w:eastAsia="Calibri" w:hAnsi="Times New Roman" w:cs="Times New Roman"/>
          <w:lang w:eastAsia="en-GB"/>
        </w:rPr>
        <w:lastRenderedPageBreak/>
        <w:t xml:space="preserve">standards, they may be subject to a misconduct hearing (Home Office, 2020), this is one form of maintaining these professional standards. New officers often look to those with greater experience for guidance when starting a career within police (CIPD, 2021), and often a mentoring or tutoring is required for new police officers as a part of their probation period. This is vital aspect of maintaining professional standards as it allows a new officer to gain a greater, more practicable understanding of the professional expectations required from a police officer. In contrast, one may argue that should an experienced officer become a mentor to a new police officer, and the experienced officer’s morals and ethics come </w:t>
      </w:r>
      <w:r w:rsidRPr="006B2173">
        <w:rPr>
          <w:rFonts w:ascii="Times New Roman" w:eastAsia="Calibri" w:hAnsi="Times New Roman" w:cs="Times New Roman"/>
          <w:lang w:eastAsia="en-GB"/>
        </w:rPr>
        <w:t>into</w:t>
      </w:r>
      <w:r w:rsidR="002D53FC" w:rsidRPr="006B2173">
        <w:rPr>
          <w:rFonts w:ascii="Times New Roman" w:eastAsia="Calibri" w:hAnsi="Times New Roman" w:cs="Times New Roman"/>
          <w:lang w:eastAsia="en-GB"/>
        </w:rPr>
        <w:t xml:space="preserve"> question, then there is a possibility that the new officers may be poorly influenced. Although the Standards of Professional behaviours have been established with all police officers required to follow these behaviours, acting in a professional manner does not professionalise policing (</w:t>
      </w:r>
      <w:r w:rsidR="002D53FC" w:rsidRPr="006B2173">
        <w:rPr>
          <w:rFonts w:ascii="Times New Roman" w:eastAsia="Times New Roman" w:hAnsi="Times New Roman" w:cs="Times New Roman"/>
          <w:shd w:val="clear" w:color="auto" w:fill="FFFFFF"/>
          <w:lang w:eastAsia="en-GB"/>
        </w:rPr>
        <w:t xml:space="preserve">Lumsden, 2017). </w:t>
      </w:r>
    </w:p>
    <w:p w14:paraId="6B3728B0" w14:textId="77777777" w:rsidR="002D53FC" w:rsidRPr="006B2173" w:rsidRDefault="002D53FC" w:rsidP="006B2173">
      <w:pPr>
        <w:spacing w:after="0" w:line="257" w:lineRule="auto"/>
        <w:jc w:val="both"/>
        <w:rPr>
          <w:rFonts w:ascii="Times New Roman" w:eastAsia="Times New Roman" w:hAnsi="Times New Roman" w:cs="Times New Roman"/>
          <w:shd w:val="clear" w:color="auto" w:fill="FFFFFF"/>
          <w:lang w:eastAsia="en-GB"/>
        </w:rPr>
      </w:pPr>
    </w:p>
    <w:p w14:paraId="3E20DEC6" w14:textId="7D806B77"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Although the police service is currently seen as a profession by many police officers (Lumsden, 2017 ; Holdaway, 2017) , there are some who consider this concept to be a step away from the core of what policing was built. Neyroud (2011) himself identifies the notion of professionalism being ‘elitist’ and thus creating distance with the public. It is this connection with the public on which Sir Robert Peel’s 1829 ‘Peelian Principles’ is based (GOV.UK, 2012). Within these principles is the concept of ‘Policing with Consent’, which suggests that any police service will only be able to provide the highest possible professional service with the support and confidence of </w:t>
      </w:r>
      <w:r w:rsidR="001462EF" w:rsidRPr="006B2173">
        <w:rPr>
          <w:rFonts w:ascii="Times New Roman" w:eastAsia="Calibri" w:hAnsi="Times New Roman" w:cs="Times New Roman"/>
          <w:lang w:eastAsia="en-GB"/>
        </w:rPr>
        <w:t xml:space="preserve">the </w:t>
      </w:r>
      <w:r w:rsidRPr="006B2173">
        <w:rPr>
          <w:rFonts w:ascii="Times New Roman" w:eastAsia="Calibri" w:hAnsi="Times New Roman" w:cs="Times New Roman"/>
          <w:lang w:eastAsia="en-GB"/>
        </w:rPr>
        <w:t>public</w:t>
      </w:r>
      <w:r w:rsidR="001462EF"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and failure to gain this trust will make ‘Policing by Consent’ difficult and near impossible (Goldsmith, 2005). Although written in the 19th Century, the ethical approach to police and gaining the public’s trust is relevant now more than ever (Jones, 2004). Bryant and Bryant (2020) also note that by striving for a professional status may result in the police service los</w:t>
      </w:r>
      <w:r w:rsidR="001462EF" w:rsidRPr="006B2173">
        <w:rPr>
          <w:rFonts w:ascii="Times New Roman" w:eastAsia="Calibri" w:hAnsi="Times New Roman" w:cs="Times New Roman"/>
          <w:lang w:eastAsia="en-GB"/>
        </w:rPr>
        <w:t>ing</w:t>
      </w:r>
      <w:r w:rsidRPr="006B2173">
        <w:rPr>
          <w:rFonts w:ascii="Times New Roman" w:eastAsia="Calibri" w:hAnsi="Times New Roman" w:cs="Times New Roman"/>
          <w:lang w:eastAsia="en-GB"/>
        </w:rPr>
        <w:t xml:space="preserve"> their representative nature. </w:t>
      </w:r>
    </w:p>
    <w:p w14:paraId="0E0F2F12" w14:textId="77777777" w:rsidR="002D53FC" w:rsidRPr="006B2173" w:rsidRDefault="002D53FC" w:rsidP="006B2173">
      <w:pPr>
        <w:spacing w:after="0" w:line="257" w:lineRule="auto"/>
        <w:jc w:val="both"/>
        <w:rPr>
          <w:rFonts w:ascii="Times New Roman" w:eastAsia="Calibri" w:hAnsi="Times New Roman" w:cs="Times New Roman"/>
          <w:lang w:eastAsia="en-GB"/>
        </w:rPr>
      </w:pPr>
    </w:p>
    <w:p w14:paraId="778D708B" w14:textId="3DA4AE57" w:rsidR="002D53FC" w:rsidRPr="006B2173" w:rsidRDefault="002D53FC"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Professionalisation of the Police Service has developed greatly inn recent years, the introduction of the College of Policing and the introduction of new policing qualification</w:t>
      </w:r>
      <w:r w:rsidR="001462EF"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for new officers being at the forefront of this. </w:t>
      </w:r>
      <w:r w:rsidR="001462EF" w:rsidRPr="006B2173">
        <w:rPr>
          <w:rFonts w:ascii="Times New Roman" w:eastAsia="Calibri" w:hAnsi="Times New Roman" w:cs="Times New Roman"/>
          <w:lang w:eastAsia="en-GB"/>
        </w:rPr>
        <w:t>However,</w:t>
      </w:r>
      <w:r w:rsidRPr="006B2173">
        <w:rPr>
          <w:rFonts w:ascii="Times New Roman" w:eastAsia="Calibri" w:hAnsi="Times New Roman" w:cs="Times New Roman"/>
          <w:lang w:eastAsia="en-GB"/>
        </w:rPr>
        <w:t xml:space="preserve"> there are some traditionalists who consider this concept to be a process that will hinder the police as it disconnects police officers from member</w:t>
      </w:r>
      <w:r w:rsidR="001462EF"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of the public. Fuller (2006) states ‘The importance of achieving and maintaining high professional standards in the police cannot be overstated’</w:t>
      </w:r>
      <w:r w:rsidR="001462EF"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and thus it is vital that all officer</w:t>
      </w:r>
      <w:r w:rsidR="001462EF"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understand and achieve the professional standard outlined by the Code of Ethics (CoP, 2014) but they are able to maintain these standards, and in doing so continue to professionalise the</w:t>
      </w:r>
      <w:r w:rsidR="001462EF" w:rsidRPr="006B2173">
        <w:rPr>
          <w:rFonts w:ascii="Times New Roman" w:eastAsia="Calibri" w:hAnsi="Times New Roman" w:cs="Times New Roman"/>
          <w:lang w:eastAsia="en-GB"/>
        </w:rPr>
        <w:t xml:space="preserve"> police</w:t>
      </w:r>
      <w:r w:rsidRPr="006B2173">
        <w:rPr>
          <w:rFonts w:ascii="Times New Roman" w:eastAsia="Calibri" w:hAnsi="Times New Roman" w:cs="Times New Roman"/>
          <w:lang w:eastAsia="en-GB"/>
        </w:rPr>
        <w:t xml:space="preserve">. </w:t>
      </w:r>
    </w:p>
    <w:p w14:paraId="71C10450" w14:textId="14CF608F" w:rsidR="001462EF" w:rsidRPr="006B2173" w:rsidRDefault="001462EF" w:rsidP="006B2173">
      <w:pPr>
        <w:spacing w:after="0" w:line="257" w:lineRule="auto"/>
        <w:jc w:val="both"/>
        <w:rPr>
          <w:rFonts w:ascii="Times New Roman" w:eastAsia="Calibri" w:hAnsi="Times New Roman" w:cs="Times New Roman"/>
          <w:lang w:eastAsia="en-GB"/>
        </w:rPr>
      </w:pPr>
    </w:p>
    <w:p w14:paraId="72B80C36" w14:textId="0828C94C" w:rsidR="001462EF" w:rsidRPr="006B2173" w:rsidRDefault="001462EF" w:rsidP="006B2173">
      <w:pPr>
        <w:spacing w:after="0" w:line="257" w:lineRule="auto"/>
        <w:jc w:val="both"/>
        <w:rPr>
          <w:rFonts w:ascii="Times New Roman" w:eastAsia="Calibri" w:hAnsi="Times New Roman" w:cs="Times New Roman"/>
          <w:lang w:eastAsia="en-GB"/>
        </w:rPr>
      </w:pPr>
    </w:p>
    <w:p w14:paraId="68FEBFE5" w14:textId="77777777"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b/>
          <w:bCs/>
          <w:lang w:eastAsia="en-GB"/>
        </w:rPr>
        <w:t>1000 words - Community/Response Policing/Policing roads/Conducting Investigations /Digital Policing</w:t>
      </w:r>
    </w:p>
    <w:p w14:paraId="10149D05" w14:textId="77777777"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Critically evaluate the role of the police in </w:t>
      </w:r>
      <w:r w:rsidRPr="006B2173">
        <w:rPr>
          <w:rFonts w:ascii="Times New Roman" w:eastAsia="Calibri" w:hAnsi="Times New Roman" w:cs="Times New Roman"/>
          <w:b/>
          <w:bCs/>
          <w:u w:val="single"/>
          <w:lang w:eastAsia="en-GB"/>
        </w:rPr>
        <w:t>one</w:t>
      </w:r>
      <w:r w:rsidRPr="006B2173">
        <w:rPr>
          <w:rFonts w:ascii="Times New Roman" w:eastAsia="Calibri" w:hAnsi="Times New Roman" w:cs="Times New Roman"/>
          <w:lang w:eastAsia="en-GB"/>
        </w:rPr>
        <w:t xml:space="preserve"> of the following areas:</w:t>
      </w:r>
    </w:p>
    <w:p w14:paraId="01D880B8" w14:textId="77777777" w:rsidR="002D576D" w:rsidRPr="006B2173" w:rsidRDefault="002D576D" w:rsidP="006B2173">
      <w:pPr>
        <w:numPr>
          <w:ilvl w:val="0"/>
          <w:numId w:val="2"/>
        </w:num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Community policing (strategies and incentives)</w:t>
      </w:r>
    </w:p>
    <w:p w14:paraId="69CEB349" w14:textId="77777777" w:rsidR="002D576D" w:rsidRPr="006B2173" w:rsidRDefault="002D576D" w:rsidP="006B2173">
      <w:pPr>
        <w:numPr>
          <w:ilvl w:val="0"/>
          <w:numId w:val="2"/>
        </w:num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Response policing (public perception and critical/major incidents)</w:t>
      </w:r>
    </w:p>
    <w:p w14:paraId="39C0EA50" w14:textId="77777777" w:rsidR="002D576D" w:rsidRPr="006B2173" w:rsidRDefault="002D576D" w:rsidP="006B2173">
      <w:pPr>
        <w:numPr>
          <w:ilvl w:val="0"/>
          <w:numId w:val="2"/>
        </w:num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Policing the roads (application of regulations) </w:t>
      </w:r>
    </w:p>
    <w:p w14:paraId="38E9D408" w14:textId="77777777" w:rsidR="002D576D" w:rsidRPr="006B2173" w:rsidRDefault="002D576D" w:rsidP="006B2173">
      <w:pPr>
        <w:numPr>
          <w:ilvl w:val="0"/>
          <w:numId w:val="2"/>
        </w:num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Counter Terrorism Policing (Structure/ Risks/Insider threat).  </w:t>
      </w:r>
    </w:p>
    <w:p w14:paraId="7D780FFE" w14:textId="77777777" w:rsidR="002D576D" w:rsidRPr="006B2173" w:rsidRDefault="002D576D" w:rsidP="006B2173">
      <w:pPr>
        <w:numPr>
          <w:ilvl w:val="0"/>
          <w:numId w:val="2"/>
        </w:num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Digital Policing (Internet related crime / Digital evidence retrieval).  </w:t>
      </w:r>
    </w:p>
    <w:p w14:paraId="5A49A7D7" w14:textId="77777777" w:rsidR="002D576D" w:rsidRPr="006B2173" w:rsidRDefault="002D576D" w:rsidP="006B2173">
      <w:pPr>
        <w:spacing w:after="0" w:line="257" w:lineRule="auto"/>
        <w:jc w:val="both"/>
        <w:rPr>
          <w:rFonts w:ascii="Times New Roman" w:eastAsia="Calibri" w:hAnsi="Times New Roman" w:cs="Times New Roman"/>
          <w:lang w:eastAsia="en-GB"/>
        </w:rPr>
      </w:pPr>
    </w:p>
    <w:p w14:paraId="4685F1D9" w14:textId="04536418"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Response policing is the very front line of all policing, with Response Officers required to attend all manners of incidents as the initial attending officer, including those which are considered as critical or major incidents. During both critical and major incidents, the police more specifically response officers will be required to attend and conduct the initial requirements</w:t>
      </w:r>
      <w:r w:rsidR="00037B7B"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which may vary from the initial investigation to applying first aid and communication with members of the public. Response Officers are required to speak and interact with members of the public more often than other departments may be required to. The concept of ‘Policing by Consent’ is derived from Sir Robert Peels 9 Principles of Policing which were created in 1829, with the concept suggesting that although police officers police </w:t>
      </w:r>
      <w:r w:rsidRPr="006B2173">
        <w:rPr>
          <w:rFonts w:ascii="Times New Roman" w:eastAsia="Calibri" w:hAnsi="Times New Roman" w:cs="Times New Roman"/>
          <w:lang w:eastAsia="en-GB"/>
        </w:rPr>
        <w:lastRenderedPageBreak/>
        <w:t>the public they can only do so with the trust and confidence from the public (CoP, 2015; GOV.UK, 2012). As such, it i</w:t>
      </w:r>
      <w:r w:rsidR="00037B7B"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vitally important that all police officers, especially response officers maintain a positive public perception. During this essay the public’s perception of response officers will be evaluated, along with the importance and impact of response officer upon public perception</w:t>
      </w:r>
      <w:r w:rsidR="00037B7B"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especially following incidents that are considered to major or critical incidents. </w:t>
      </w:r>
    </w:p>
    <w:p w14:paraId="1B9BDAAA" w14:textId="77777777" w:rsidR="002D576D" w:rsidRPr="006B2173" w:rsidRDefault="002D576D" w:rsidP="006B2173">
      <w:pPr>
        <w:spacing w:after="0" w:line="257" w:lineRule="auto"/>
        <w:jc w:val="both"/>
        <w:rPr>
          <w:rFonts w:ascii="Times New Roman" w:eastAsia="Calibri" w:hAnsi="Times New Roman" w:cs="Times New Roman"/>
          <w:lang w:eastAsia="en-GB"/>
        </w:rPr>
      </w:pPr>
    </w:p>
    <w:p w14:paraId="45207483" w14:textId="385F0378"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An incident can be considered as a ‘Major Incident’ when one or more of the emergency services are required to attend and take action (Bryant and Bryant, 2020), this also includes local authority and or NHS. The police service will have a great responsibility during these types of incidents and will often be required to oversee the overall coordination of the incident, including management of emergency service responses, assisting and protecting members of the public, gather information from the incident and recognise any offences and offenders. The Joint Emergency Services Interoperability Programme (JESIP) was introduced in 2012 following reviews in to a number of declared major incidents, such as the London Bombings in 2005 and the mass shooting that took place in Cumbria in 2010. The review identified the failings of interoperability between emergency services at major incidents (HMICFRS, 2018), with the College of Policing identifying that confusion between emergency services can occur at major incidents as a result of different methodologies and proc</w:t>
      </w:r>
      <w:r w:rsidR="00037B7B" w:rsidRPr="006B2173">
        <w:rPr>
          <w:rFonts w:ascii="Times New Roman" w:eastAsia="Calibri" w:hAnsi="Times New Roman" w:cs="Times New Roman"/>
          <w:lang w:eastAsia="en-GB"/>
        </w:rPr>
        <w:t>ed</w:t>
      </w:r>
      <w:r w:rsidRPr="006B2173">
        <w:rPr>
          <w:rFonts w:ascii="Times New Roman" w:eastAsia="Calibri" w:hAnsi="Times New Roman" w:cs="Times New Roman"/>
          <w:lang w:eastAsia="en-GB"/>
        </w:rPr>
        <w:t xml:space="preserve">ures (Channon, 2021). The introduction of JESIP introduced procedures for major incidents that require a multi-agency response, this includes the M/ETHANE mnemonic (JESIP, 2017b) which is used in order </w:t>
      </w:r>
      <w:r w:rsidR="00037B7B" w:rsidRPr="006B2173">
        <w:rPr>
          <w:rFonts w:ascii="Times New Roman" w:eastAsia="Calibri" w:hAnsi="Times New Roman" w:cs="Times New Roman"/>
          <w:lang w:eastAsia="en-GB"/>
        </w:rPr>
        <w:t xml:space="preserve">to </w:t>
      </w:r>
      <w:r w:rsidRPr="006B2173">
        <w:rPr>
          <w:rFonts w:ascii="Times New Roman" w:eastAsia="Calibri" w:hAnsi="Times New Roman" w:cs="Times New Roman"/>
          <w:lang w:eastAsia="en-GB"/>
        </w:rPr>
        <w:t xml:space="preserve">guide the initial attending officer to identify a major incident and gather information which will guide the police and other attending emergency services decisions at the early stages of the incident (Bryant and Bryant, 2020). The mnemonic requires the attending officer to identify, if a major incident is to be declare, the exact location of the incident, the type of incident, any hazards (Present or suspected), safe access routes, any casualties (number, type and severity) and what emergency services are present and required? (JESIP, No date). It is vital that all response officers understand what is required from them when attending these types of incidents, as failure to do so may escalate the incident further and potentially cause further injuries, which will have a great impact on public confidence with the police, which may lead the incident to be recognised as a ‘critical incident’ from the perspective of the police service. </w:t>
      </w:r>
    </w:p>
    <w:p w14:paraId="0922ADBE" w14:textId="77777777" w:rsidR="002D576D" w:rsidRPr="006B2173" w:rsidRDefault="002D576D" w:rsidP="006B2173">
      <w:pPr>
        <w:spacing w:after="0" w:line="257" w:lineRule="auto"/>
        <w:jc w:val="both"/>
        <w:rPr>
          <w:rFonts w:ascii="Times New Roman" w:eastAsia="Calibri" w:hAnsi="Times New Roman" w:cs="Times New Roman"/>
          <w:lang w:eastAsia="en-GB"/>
        </w:rPr>
      </w:pPr>
    </w:p>
    <w:p w14:paraId="127017EF" w14:textId="1D369F04"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A ‘critical incident’ is considered as ‘any incident where the effectiveness of the police response is likely to have a significant impact on the confidence of the victim, their family and/or the community’ (CoP, 2013). There is a possibility for any type of incident to become a critical incident (Bryant and Bryant, 2020), such as a low-level criminal damage or assault, however the concept was created following the inquest in to the murder of Stephen Lawrence in 1993, which identified that all incidents can have a significant negative impact on the victim, family or community</w:t>
      </w:r>
      <w:r w:rsidR="00037B7B"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even those which are dealt with properly (CoP, 2013). According to the CoP (2013) there are three levels to the critical incident management (CIM), which </w:t>
      </w:r>
      <w:r w:rsidR="00037B7B" w:rsidRPr="006B2173">
        <w:rPr>
          <w:rFonts w:ascii="Times New Roman" w:eastAsia="Calibri" w:hAnsi="Times New Roman" w:cs="Times New Roman"/>
          <w:lang w:eastAsia="en-GB"/>
        </w:rPr>
        <w:t>intends</w:t>
      </w:r>
      <w:r w:rsidRPr="006B2173">
        <w:rPr>
          <w:rFonts w:ascii="Times New Roman" w:eastAsia="Calibri" w:hAnsi="Times New Roman" w:cs="Times New Roman"/>
          <w:lang w:eastAsia="en-GB"/>
        </w:rPr>
        <w:t xml:space="preserve"> to satisfy the needs of any victims, family or community whilst also ensuring the effective and proportionate outcome of an incident. The first phase of the CIM is ensuring that the police service is prepared for an incident, this includes ensuring resource levels are sufficient and all officers have been trained to high standard. The second stage of CIM is the identification of a ‘critical incident’, including the importance of notifying a ‘critical incident’ to the most appropriate person. The final stage is the restoration of public confidence, especially following incidents that have impacted the community</w:t>
      </w:r>
      <w:r w:rsidR="00BC3885" w:rsidRPr="006B2173">
        <w:rPr>
          <w:rFonts w:ascii="Times New Roman" w:eastAsia="Calibri" w:hAnsi="Times New Roman" w:cs="Times New Roman"/>
          <w:lang w:eastAsia="en-GB"/>
        </w:rPr>
        <w:t xml:space="preserve"> which </w:t>
      </w:r>
      <w:r w:rsidRPr="006B2173">
        <w:rPr>
          <w:rFonts w:ascii="Times New Roman" w:eastAsia="Calibri" w:hAnsi="Times New Roman" w:cs="Times New Roman"/>
          <w:lang w:eastAsia="en-GB"/>
        </w:rPr>
        <w:t>went unnoticed at the time of the live incident, this may occur through a form a community resolution or a public enquiry into the incident (CoP, 2013). The impact of critical incidents, and failure to manage these incidents correctly, will have a great detrimental effect on the public perception of the police service.</w:t>
      </w:r>
    </w:p>
    <w:p w14:paraId="7152F15B" w14:textId="77777777" w:rsidR="002D576D" w:rsidRPr="006B2173" w:rsidRDefault="002D576D" w:rsidP="006B2173">
      <w:pPr>
        <w:spacing w:after="0" w:line="257" w:lineRule="auto"/>
        <w:jc w:val="both"/>
        <w:rPr>
          <w:rFonts w:ascii="Times New Roman" w:eastAsia="Calibri" w:hAnsi="Times New Roman" w:cs="Times New Roman"/>
          <w:lang w:eastAsia="en-GB"/>
        </w:rPr>
      </w:pPr>
    </w:p>
    <w:p w14:paraId="16021F7B" w14:textId="5090472A"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It is the decision making of police officers at the initial incident and subsequent investigation which may create a ‘critical incident’, with the importance of decision making outlined by Roycroft and Roach (2019), these decisions may take the form of investigative decision or a decision whilst the incident is </w:t>
      </w:r>
      <w:r w:rsidRPr="006B2173">
        <w:rPr>
          <w:rFonts w:ascii="Times New Roman" w:eastAsia="Calibri" w:hAnsi="Times New Roman" w:cs="Times New Roman"/>
          <w:lang w:eastAsia="en-GB"/>
        </w:rPr>
        <w:lastRenderedPageBreak/>
        <w:t>live, such as use of force. An officers use of force or excessive use of force can and has had a great impact of public perception, in 2015 the IPCC released a review of police officers use of force, during which they state a quarter of the public have great concern of</w:t>
      </w:r>
      <w:r w:rsidR="00BC3885" w:rsidRPr="006B2173">
        <w:rPr>
          <w:rFonts w:ascii="Times New Roman" w:eastAsia="Calibri" w:hAnsi="Times New Roman" w:cs="Times New Roman"/>
          <w:lang w:eastAsia="en-GB"/>
        </w:rPr>
        <w:t xml:space="preserve"> how</w:t>
      </w:r>
      <w:r w:rsidRPr="006B2173">
        <w:rPr>
          <w:rFonts w:ascii="Times New Roman" w:eastAsia="Calibri" w:hAnsi="Times New Roman" w:cs="Times New Roman"/>
          <w:lang w:eastAsia="en-GB"/>
        </w:rPr>
        <w:t xml:space="preserve"> quickly police officers turn to using force, and that those from ethnic minority and younger age groups have significantly less trust in the police (IPCC, 2015).</w:t>
      </w:r>
    </w:p>
    <w:p w14:paraId="6A7E690E" w14:textId="77777777" w:rsidR="002D576D" w:rsidRPr="006B2173" w:rsidRDefault="002D576D" w:rsidP="006B2173">
      <w:pPr>
        <w:spacing w:after="0" w:line="257" w:lineRule="auto"/>
        <w:jc w:val="both"/>
        <w:rPr>
          <w:rFonts w:ascii="Times New Roman" w:eastAsia="Calibri" w:hAnsi="Times New Roman" w:cs="Times New Roman"/>
          <w:lang w:eastAsia="en-GB"/>
        </w:rPr>
      </w:pPr>
    </w:p>
    <w:p w14:paraId="3B56ABB7" w14:textId="1FBF2DD8" w:rsidR="002D576D" w:rsidRPr="006B2173" w:rsidRDefault="002D576D"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A positive public perception of the police is vitally important in order for the police service to provide the most effective service to the public, a negative perception will cause great distrust of the police service. Incident</w:t>
      </w:r>
      <w:r w:rsidR="00BC3885"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which can be considered a ‘major incident’ have the possibility to become a ‘critical incident’ as a result of police officer response to </w:t>
      </w:r>
      <w:r w:rsidR="00BC3885" w:rsidRPr="006B2173">
        <w:rPr>
          <w:rFonts w:ascii="Times New Roman" w:eastAsia="Calibri" w:hAnsi="Times New Roman" w:cs="Times New Roman"/>
          <w:lang w:eastAsia="en-GB"/>
        </w:rPr>
        <w:t>that i</w:t>
      </w:r>
      <w:r w:rsidRPr="006B2173">
        <w:rPr>
          <w:rFonts w:ascii="Times New Roman" w:eastAsia="Calibri" w:hAnsi="Times New Roman" w:cs="Times New Roman"/>
          <w:lang w:eastAsia="en-GB"/>
        </w:rPr>
        <w:t>ncident, this can be as a result of a number of aspects, including a response officer</w:t>
      </w:r>
      <w:r w:rsidR="00BC3885"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decision making. Decisions such as an officer’s use of force or investigative decision can have a great impact upon the public’s perception.</w:t>
      </w:r>
    </w:p>
    <w:p w14:paraId="044E8B05" w14:textId="5437E03C" w:rsidR="009A5889" w:rsidRPr="006B2173" w:rsidRDefault="009A5889" w:rsidP="006B2173">
      <w:pPr>
        <w:spacing w:after="0" w:line="257" w:lineRule="auto"/>
        <w:jc w:val="both"/>
        <w:rPr>
          <w:rFonts w:ascii="Times New Roman" w:eastAsia="Calibri" w:hAnsi="Times New Roman" w:cs="Times New Roman"/>
          <w:lang w:eastAsia="en-GB"/>
        </w:rPr>
      </w:pPr>
    </w:p>
    <w:p w14:paraId="724B722D" w14:textId="53680AD7" w:rsidR="009A5889" w:rsidRPr="006B2173" w:rsidRDefault="009A5889" w:rsidP="006B2173">
      <w:pPr>
        <w:spacing w:after="0" w:line="257" w:lineRule="auto"/>
        <w:jc w:val="both"/>
        <w:rPr>
          <w:rFonts w:ascii="Times New Roman" w:eastAsia="Calibri" w:hAnsi="Times New Roman" w:cs="Times New Roman"/>
          <w:lang w:eastAsia="en-GB"/>
        </w:rPr>
      </w:pPr>
    </w:p>
    <w:p w14:paraId="5974BE49" w14:textId="77777777" w:rsidR="009A5889" w:rsidRPr="006B2173" w:rsidRDefault="009A5889" w:rsidP="006B2173">
      <w:pPr>
        <w:spacing w:after="0" w:line="257" w:lineRule="auto"/>
        <w:jc w:val="both"/>
        <w:rPr>
          <w:rFonts w:ascii="Times New Roman" w:eastAsia="Calibri" w:hAnsi="Times New Roman" w:cs="Times New Roman"/>
          <w:lang w:eastAsia="en-GB"/>
        </w:rPr>
      </w:pPr>
    </w:p>
    <w:p w14:paraId="272F6590" w14:textId="77777777"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b/>
          <w:bCs/>
          <w:lang w:eastAsia="en-GB"/>
        </w:rPr>
        <w:t>1000 words - Information and Intelligence/Communication Skills</w:t>
      </w:r>
    </w:p>
    <w:p w14:paraId="60581662" w14:textId="77777777"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Critically evaluate the methods used by police in gathering information and intelligence, how information contributes to the ‘tasking and coordinating’ process and how information and intelligence is communicated. </w:t>
      </w:r>
    </w:p>
    <w:p w14:paraId="2E5F9BF9" w14:textId="77777777" w:rsidR="009A5889" w:rsidRPr="006B2173" w:rsidRDefault="009A5889" w:rsidP="006B2173">
      <w:pPr>
        <w:spacing w:after="0" w:line="257" w:lineRule="auto"/>
        <w:jc w:val="both"/>
        <w:rPr>
          <w:rFonts w:ascii="Times New Roman" w:eastAsia="Calibri" w:hAnsi="Times New Roman" w:cs="Times New Roman"/>
          <w:lang w:eastAsia="en-GB"/>
        </w:rPr>
      </w:pPr>
    </w:p>
    <w:p w14:paraId="24EF684A" w14:textId="6BA32065"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Gathering information and intelligence is vital to providing an effective policing service, however, in order for it to be used effectively and legally it is vital that it is managed, processed and analysed correctly (Bryant and Bryant, 2020). The gathering of information and its management and dissemination into intelligence provides the police service the ability to identify tactical and strategical options and priorities (CoP, 2013) this would include passing on any intelligence or information gathered to external agencies. According to Innes and Sheptycki (2004) ‘Information consists of bits of data that, when combined</w:t>
      </w:r>
    </w:p>
    <w:p w14:paraId="0F80A7A4" w14:textId="77777777"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and viewed together with relevant background knowledge, may be used to produce</w:t>
      </w:r>
    </w:p>
    <w:p w14:paraId="55AC005D" w14:textId="114C8B5B"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intelligence, which informs the actions and decisions of policing organization’. The police service use information and intelligence in a number of different ways, the National Intelligence Model (NIM) was introduced in the year 2000, and is considered a ‘model for policing’ that is concerned with using intelligence in order to determine current policing priorities, it can be considered as a business process model that can be used to guide all police activities (Kirby and McPherson, 2004), whereby Intelligence Led Policing (ILP) is concerned with the objective of crime reduction, disruption and prevention (Ratcliffe, 2008).</w:t>
      </w:r>
    </w:p>
    <w:p w14:paraId="6FE042B3" w14:textId="77777777" w:rsidR="009A5889" w:rsidRPr="006B2173" w:rsidRDefault="009A5889" w:rsidP="006B2173">
      <w:pPr>
        <w:spacing w:after="0" w:line="257" w:lineRule="auto"/>
        <w:jc w:val="both"/>
        <w:rPr>
          <w:rFonts w:ascii="Times New Roman" w:eastAsia="Calibri" w:hAnsi="Times New Roman" w:cs="Times New Roman"/>
          <w:lang w:eastAsia="en-GB"/>
        </w:rPr>
      </w:pPr>
    </w:p>
    <w:p w14:paraId="4296DC0F" w14:textId="2A90618A"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Police officers gather information on a daily basis from a number of various sources. Bryant and Bryant (2020) suggest that sources vary from general conversation with member of the public to covert surveillance operations, with any information that can be obtained legitimately and free of cost to be considered as an ‘open source’ (United Nations, 2006) and a ‘closed source’ being those of which access is restricted, such as information from other police forces (CoP, 2013). Gottschalk (2009) suggests 16 sources of information available to the police service, the 16 sources, vary from ‘open sources’ such as information from members of the public to sources which are considered as ‘closed sources’ such as information held on police systems (CoP, 2013). </w:t>
      </w:r>
    </w:p>
    <w:p w14:paraId="0506C0B5" w14:textId="77777777" w:rsidR="009A5889" w:rsidRPr="006B2173" w:rsidRDefault="009A5889" w:rsidP="006B2173">
      <w:pPr>
        <w:spacing w:after="0" w:line="257" w:lineRule="auto"/>
        <w:jc w:val="both"/>
        <w:rPr>
          <w:rFonts w:ascii="Times New Roman" w:eastAsia="Calibri" w:hAnsi="Times New Roman" w:cs="Times New Roman"/>
          <w:lang w:eastAsia="en-GB"/>
        </w:rPr>
      </w:pPr>
    </w:p>
    <w:p w14:paraId="3084F0FC" w14:textId="2141C963"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Information from member of the public can provide the police with extremely useful information as members of the community often observe and are aware of criminality or criminals within the community, a simple conversation between officers and the public regarding suspicious activity can be greatly useful for disrupting criminality. Another open source of information is the internet and online sources, due to the advancements of technology and criminality the police can obtain a vast amount of useful information from the internet, especially social media, and online forums (Bryant and Bryant, </w:t>
      </w:r>
      <w:r w:rsidRPr="006B2173">
        <w:rPr>
          <w:rFonts w:ascii="Times New Roman" w:eastAsia="Calibri" w:hAnsi="Times New Roman" w:cs="Times New Roman"/>
          <w:lang w:eastAsia="en-GB"/>
        </w:rPr>
        <w:lastRenderedPageBreak/>
        <w:t>2020). However, as stated by Bryant and Bryant (2020), information received form online sources and the internet may not be the most reliable and may lack provenance due to the ease of accessibility and lack of management and control on the internet (Bryant and Bryant, 2020). ‘Closed Sources’ of information involve sources</w:t>
      </w:r>
      <w:r w:rsidR="00A12046" w:rsidRPr="006B2173">
        <w:rPr>
          <w:rFonts w:ascii="Times New Roman" w:eastAsia="Calibri" w:hAnsi="Times New Roman" w:cs="Times New Roman"/>
          <w:lang w:eastAsia="en-GB"/>
        </w:rPr>
        <w:t xml:space="preserve"> that </w:t>
      </w:r>
      <w:r w:rsidRPr="006B2173">
        <w:rPr>
          <w:rFonts w:ascii="Times New Roman" w:eastAsia="Calibri" w:hAnsi="Times New Roman" w:cs="Times New Roman"/>
          <w:lang w:eastAsia="en-GB"/>
        </w:rPr>
        <w:t xml:space="preserve">have </w:t>
      </w:r>
      <w:r w:rsidR="00A12046" w:rsidRPr="006B2173">
        <w:rPr>
          <w:rFonts w:ascii="Times New Roman" w:eastAsia="Calibri" w:hAnsi="Times New Roman" w:cs="Times New Roman"/>
          <w:lang w:eastAsia="en-GB"/>
        </w:rPr>
        <w:t>r</w:t>
      </w:r>
      <w:r w:rsidRPr="006B2173">
        <w:rPr>
          <w:rFonts w:ascii="Times New Roman" w:eastAsia="Calibri" w:hAnsi="Times New Roman" w:cs="Times New Roman"/>
          <w:lang w:eastAsia="en-GB"/>
        </w:rPr>
        <w:t xml:space="preserve">estricted access, however the information received is often more reliable than those considered as ‘open sources’. One useful ‘closed source’ of information is Covert Human Intelligence Sources (CHIS). Often a criminal themselves, CHIS are individuals who provide the police and other agencies with information that they have obtained from another individual who is involved in criminal activity having built a relationship (Home Office, 2021). A CHIS’ use is regulated by RIPA (2000) however authorisation must be granted by a senior officer within that police force (Bryant and Bryant, 2020) and are managed by detectives known as ‘Handling Sources’ who are tasked with ensuring that the CHIS is </w:t>
      </w:r>
      <w:r w:rsidR="00A12046" w:rsidRPr="006B2173">
        <w:rPr>
          <w:rFonts w:ascii="Times New Roman" w:eastAsia="Calibri" w:hAnsi="Times New Roman" w:cs="Times New Roman"/>
          <w:lang w:eastAsia="en-GB"/>
        </w:rPr>
        <w:t>motivated and kept under control</w:t>
      </w:r>
      <w:r w:rsidRPr="006B2173">
        <w:rPr>
          <w:rFonts w:ascii="Times New Roman" w:eastAsia="Calibri" w:hAnsi="Times New Roman" w:cs="Times New Roman"/>
          <w:lang w:eastAsia="en-GB"/>
        </w:rPr>
        <w:t xml:space="preserve">. </w:t>
      </w:r>
    </w:p>
    <w:p w14:paraId="0D2BCFCB" w14:textId="77777777" w:rsidR="009A5889" w:rsidRPr="006B2173" w:rsidRDefault="009A5889" w:rsidP="006B2173">
      <w:pPr>
        <w:spacing w:after="0" w:line="257" w:lineRule="auto"/>
        <w:jc w:val="both"/>
        <w:rPr>
          <w:rFonts w:ascii="Times New Roman" w:eastAsia="Calibri" w:hAnsi="Times New Roman" w:cs="Times New Roman"/>
          <w:lang w:eastAsia="en-GB"/>
        </w:rPr>
      </w:pPr>
    </w:p>
    <w:p w14:paraId="771DBC99" w14:textId="717325BA"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In order for information to</w:t>
      </w:r>
      <w:r w:rsidR="00A12046" w:rsidRPr="006B2173">
        <w:rPr>
          <w:rFonts w:ascii="Times New Roman" w:eastAsia="Calibri" w:hAnsi="Times New Roman" w:cs="Times New Roman"/>
          <w:lang w:eastAsia="en-GB"/>
        </w:rPr>
        <w:t xml:space="preserve"> used</w:t>
      </w:r>
      <w:r w:rsidRPr="006B2173">
        <w:rPr>
          <w:rFonts w:ascii="Times New Roman" w:eastAsia="Calibri" w:hAnsi="Times New Roman" w:cs="Times New Roman"/>
          <w:lang w:eastAsia="en-GB"/>
        </w:rPr>
        <w:t xml:space="preserve"> lawfully and effectively it</w:t>
      </w:r>
      <w:r w:rsidR="00A12046" w:rsidRPr="006B2173">
        <w:rPr>
          <w:rFonts w:ascii="Times New Roman" w:eastAsia="Calibri" w:hAnsi="Times New Roman" w:cs="Times New Roman"/>
          <w:lang w:eastAsia="en-GB"/>
        </w:rPr>
        <w:t xml:space="preserve"> is</w:t>
      </w:r>
      <w:r w:rsidRPr="006B2173">
        <w:rPr>
          <w:rFonts w:ascii="Times New Roman" w:eastAsia="Calibri" w:hAnsi="Times New Roman" w:cs="Times New Roman"/>
          <w:lang w:eastAsia="en-GB"/>
        </w:rPr>
        <w:t xml:space="preserve"> require</w:t>
      </w:r>
      <w:r w:rsidR="00A12046" w:rsidRPr="006B2173">
        <w:rPr>
          <w:rFonts w:ascii="Times New Roman" w:eastAsia="Calibri" w:hAnsi="Times New Roman" w:cs="Times New Roman"/>
          <w:lang w:eastAsia="en-GB"/>
        </w:rPr>
        <w:t>d</w:t>
      </w:r>
      <w:r w:rsidRPr="006B2173">
        <w:rPr>
          <w:rFonts w:ascii="Times New Roman" w:eastAsia="Calibri" w:hAnsi="Times New Roman" w:cs="Times New Roman"/>
          <w:lang w:eastAsia="en-GB"/>
        </w:rPr>
        <w:t xml:space="preserve"> that it is processed and analysed by intelligence officers. The first stage of this process is the intelligence report completed by the police officer having obtained information, whereby the information is evaluated at three different stages, using the 3x5x2 system (CoP, 2015). The 3x5x2 system,</w:t>
      </w:r>
      <w:r w:rsidR="00A12046" w:rsidRPr="006B2173">
        <w:rPr>
          <w:rFonts w:ascii="Times New Roman" w:eastAsia="Calibri" w:hAnsi="Times New Roman" w:cs="Times New Roman"/>
          <w:lang w:eastAsia="en-GB"/>
        </w:rPr>
        <w:t xml:space="preserve"> </w:t>
      </w:r>
      <w:r w:rsidRPr="006B2173">
        <w:rPr>
          <w:rFonts w:ascii="Times New Roman" w:eastAsia="Calibri" w:hAnsi="Times New Roman" w:cs="Times New Roman"/>
          <w:lang w:eastAsia="en-GB"/>
        </w:rPr>
        <w:t xml:space="preserve">allows for the evaluation of information by establishing the reliability and accuracy of intelligence and identify who it should be disseminated to. It is then required that the intelligence is analysed by an analyst, with the NIM identifying that analysis should be undertaken at four separate areas (Bryant and Bryant, 2020). The areas include ‘Problem Profiling’ which will identify specific area problems, ‘Subject Profiling’ which identifies movements and activities of individuals involved in criminal activity, ‘Tactical Assessment’ which will identify recommendations for resource deployment and finally ‘Strategic Assessment’ which will identify future criminal activity (Bryant and Bryant, 2020).  There are several analytical techniques available to analysts, some of the most effective forms of analysis are those which are considered as scenario generation techniques, </w:t>
      </w:r>
      <w:r w:rsidR="00A12046" w:rsidRPr="006B2173">
        <w:rPr>
          <w:rFonts w:ascii="Times New Roman" w:eastAsia="Calibri" w:hAnsi="Times New Roman" w:cs="Times New Roman"/>
          <w:lang w:eastAsia="en-GB"/>
        </w:rPr>
        <w:t>such as the</w:t>
      </w:r>
      <w:r w:rsidRPr="006B2173">
        <w:rPr>
          <w:rFonts w:ascii="Times New Roman" w:eastAsia="Calibri" w:hAnsi="Times New Roman" w:cs="Times New Roman"/>
          <w:lang w:eastAsia="en-GB"/>
        </w:rPr>
        <w:t xml:space="preserve"> ‘Cone of plausibility’ which seeks to identify a range of plausible future scenarios and events, by using key drivers which related to a specific subject area (CoP, 2013). It is the sanitisation and dissemination of the intelligence which is the following steps of the intelligence process. Intelligence is sanitised in order to protect the source, and then disseminated to those involved with the police including external partner agencies.</w:t>
      </w:r>
    </w:p>
    <w:p w14:paraId="025851F3" w14:textId="77777777" w:rsidR="009A5889" w:rsidRPr="006B2173" w:rsidRDefault="009A5889" w:rsidP="006B2173">
      <w:pPr>
        <w:spacing w:after="0" w:line="257" w:lineRule="auto"/>
        <w:jc w:val="both"/>
        <w:rPr>
          <w:rFonts w:ascii="Times New Roman" w:eastAsia="Calibri" w:hAnsi="Times New Roman" w:cs="Times New Roman"/>
          <w:lang w:eastAsia="en-GB"/>
        </w:rPr>
      </w:pPr>
    </w:p>
    <w:p w14:paraId="4AD93D9B" w14:textId="697B3A4B"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“At the heart of business management in the NIM is a tasking and co-ordination process …. operating at both strategic and tactical levels” (Flood, 2004). The tasking and co-ordination process determines the priorities of crime and disorder and what intelligence is therefor required in order to combat this issue. However, the process is also affected by several external and internal matters, these include government objectives, local objectives and performance objectives (Bryant and Bryant, 2020). Managed by a Tasking and Co-ordinating group (T&amp;CG) meetings, there are two categories of meetings, a Strategic T&amp;CG meeting, will maintain an overview of priorities and will introduce a Control Strategy which will then identify any intelligence requirements (CoP, 2013). The second category of meeting is the Tactical T&amp;CG meeting which will determine the most effective tactical options for that Control Strategy (Bryant and Bryant, 2020; CoP, 2013). The way the outcome of these meetings is produced to local officers is vitally important, this is often done through a Daily Intelligence Meeting or Daily Management Meeting, with all officers required to review the meeting notes in order to understand or be informed of any specific intelligence requirements. </w:t>
      </w:r>
    </w:p>
    <w:p w14:paraId="3778347A" w14:textId="77777777" w:rsidR="00A12046" w:rsidRPr="006B2173" w:rsidRDefault="00A12046" w:rsidP="006B2173">
      <w:pPr>
        <w:spacing w:after="0" w:line="257" w:lineRule="auto"/>
        <w:jc w:val="both"/>
        <w:rPr>
          <w:rFonts w:ascii="Times New Roman" w:eastAsia="Calibri" w:hAnsi="Times New Roman" w:cs="Times New Roman"/>
          <w:lang w:eastAsia="en-GB"/>
        </w:rPr>
      </w:pPr>
    </w:p>
    <w:p w14:paraId="0B1D3F40" w14:textId="77777777" w:rsidR="009A5889" w:rsidRPr="006B2173" w:rsidRDefault="009A5889"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Information gathering is vitally important to the disruption of criminal activity, however for the use of the information to be most effective it is required that it is correctly and lawfully processed, sanitised, disseminated and analysed. Failure to manage intelligence may result in the police services failure to identify potential police priorities and may leave members of the public open to risk or harm. </w:t>
      </w:r>
    </w:p>
    <w:p w14:paraId="4D890E33" w14:textId="64FF7C16" w:rsidR="009A5889" w:rsidRPr="006B2173" w:rsidRDefault="009A5889" w:rsidP="006B2173">
      <w:pPr>
        <w:spacing w:after="0" w:line="257" w:lineRule="auto"/>
        <w:jc w:val="both"/>
        <w:rPr>
          <w:rFonts w:ascii="Times New Roman" w:eastAsia="Calibri" w:hAnsi="Times New Roman" w:cs="Times New Roman"/>
          <w:lang w:eastAsia="en-GB"/>
        </w:rPr>
      </w:pPr>
    </w:p>
    <w:p w14:paraId="38484191" w14:textId="47082EE4" w:rsidR="0077118B" w:rsidRPr="006B2173" w:rsidRDefault="0077118B" w:rsidP="006B2173">
      <w:pPr>
        <w:spacing w:after="0" w:line="257" w:lineRule="auto"/>
        <w:jc w:val="both"/>
        <w:rPr>
          <w:rFonts w:ascii="Times New Roman" w:eastAsia="Calibri" w:hAnsi="Times New Roman" w:cs="Times New Roman"/>
          <w:lang w:eastAsia="en-GB"/>
        </w:rPr>
      </w:pPr>
    </w:p>
    <w:p w14:paraId="1FFBCB27" w14:textId="19AD6758" w:rsidR="0077118B" w:rsidRPr="006B2173" w:rsidRDefault="0077118B" w:rsidP="006B2173">
      <w:pPr>
        <w:spacing w:after="0" w:line="257" w:lineRule="auto"/>
        <w:jc w:val="both"/>
        <w:rPr>
          <w:rFonts w:ascii="Times New Roman" w:eastAsia="Calibri" w:hAnsi="Times New Roman" w:cs="Times New Roman"/>
          <w:lang w:eastAsia="en-GB"/>
        </w:rPr>
      </w:pPr>
    </w:p>
    <w:p w14:paraId="6E25EA08" w14:textId="77777777"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b/>
          <w:bCs/>
          <w:lang w:eastAsia="en-GB"/>
        </w:rPr>
        <w:lastRenderedPageBreak/>
        <w:t>1000 words - Public Protection</w:t>
      </w:r>
    </w:p>
    <w:p w14:paraId="3F9031AA" w14:textId="77777777"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19CE0ADF"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1083C4C3" w14:textId="33D1ED4C"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Public protection is a vital aspect of present-day policing with large proportion of incidents attended by police officers often involving a form of vulnerability and public protection. An individual is considered as vulnerable if they are unable to protect themselves or close ones from harm or exploitation as a result of their personal circumstances (CoP, 2020), as such vulnerability is a broad term with a number of circumstances being contributors to this, some circumstances include, being a victim of crime, the age of the individual, belonging to an ethnic minority group, mental ill-health or a disability (Bryant and Bryant, 2020). These vulnerabilities can often lead that individuals in to being a target of Serious Organised Crime Group (SOCG) to be used in their criminal activity (Thompson, 2019). </w:t>
      </w:r>
    </w:p>
    <w:p w14:paraId="2A2025B6"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2E538BCA" w14:textId="792EFEB8"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Protecting vulnerable victims is a major aspect of ‘public protection’. Protecting and safeguarding vulnerable victims is the responsibility of all police officers and failure to do so may result in that individual suffering major harm, however a multi-agency approach is most effective. One of the largest failings of public protection is the case of Fiona Pilkington, whereby between 1997 and 2007 the family made 33 reports to the police of harassment and ASB, however due to the lack of response from the police and social services, Fiona tragically took her own life and the life of her disabled daughter in 2007 (Capewell, Ralph and Bonnet, 2015). Following the death of Fiona and her daughter, an investigation and report by the IPCC (2009) into the death of Fiona and Francesca found that it was a failure from the Leicestershire Constabulary to identify the family as a vulnerable family and failure to implement a structured safeguarding programme</w:t>
      </w:r>
      <w:r w:rsidR="00010494"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which included liaising with the relevant appropriate partner agencies (Brookes, 2013). What is clear from this case is the importance of a multi-agency approach into the protection of vulnerable victims, and how effective communication is key to providing public protection. </w:t>
      </w:r>
    </w:p>
    <w:p w14:paraId="56268199"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1E46B3C9" w14:textId="77777777"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Victims such as Fiona Pilkington and her family were also victims of abuse. There are many types of abuse that an individual may suffer, including, physical, sexual, psychological, discriminatory, institutional, or financial abuse, however neglect may also play a factor in to the abuse (Bryant and Bryant, 2020). This abuse can have a great impact on the victim, some of which can impact the victim for several years and thus affect their professional and personal life. Initially the victims may experience more emotional response to the incident however this will develop in to more psychological and mental pain, (Dinisman and Moroz, 2017; Dustmann and Fasani, 2015) such as depression or anxiety attacks or Post Traumatic Stress Disorder. In the case of Fiona Pilkington and her family, as stated failure to provide support to her as a victim ultimately resulted in the mental and emotional anguish becoming too much for her.</w:t>
      </w:r>
    </w:p>
    <w:p w14:paraId="196BDA66"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59A62D41" w14:textId="1AEEC6C4"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In 2015 the MoJ created the Victim Code of Practice (MoJ, 2015), which provides the key entitlements a victim of crime should receive. Some victim entitlements include updates of the investigation, the opportunity to write a Victim Personal Statement which allows the opportunity to describe how the crime incident has made them feel and affected them personally, provide guidance through the court procedure and the process of the criminal justice system (MoJ, 2015). However, victim entitlements vary due to a person’s situation, for example there are enhanced entitlements available to victims who are considered as vulnerable (MoJ, 2015). There are also external anciencies and initiative</w:t>
      </w:r>
      <w:r w:rsidR="00010494" w:rsidRPr="006B2173">
        <w:rPr>
          <w:rFonts w:ascii="Times New Roman" w:eastAsia="Calibri" w:hAnsi="Times New Roman" w:cs="Times New Roman"/>
          <w:lang w:eastAsia="en-GB"/>
        </w:rPr>
        <w:t>s</w:t>
      </w:r>
      <w:r w:rsidRPr="006B2173">
        <w:rPr>
          <w:rFonts w:ascii="Times New Roman" w:eastAsia="Calibri" w:hAnsi="Times New Roman" w:cs="Times New Roman"/>
          <w:lang w:eastAsia="en-GB"/>
        </w:rPr>
        <w:t xml:space="preserve"> such as Victim Support and VictimFocus who can provide further support to victims and their family (Bryant and Bryant, 2020; Victim Support, No Date). </w:t>
      </w:r>
    </w:p>
    <w:p w14:paraId="57230B47"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76747583" w14:textId="77777777"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Unfortunately, in present day society, those who are considered as vulnerable are often targets of those involved with SOCG. Vulnerable persons such as children, individuals with mental health or individuals </w:t>
      </w:r>
      <w:r w:rsidRPr="006B2173">
        <w:rPr>
          <w:rFonts w:ascii="Times New Roman" w:eastAsia="Calibri" w:hAnsi="Times New Roman" w:cs="Times New Roman"/>
          <w:lang w:eastAsia="en-GB"/>
        </w:rPr>
        <w:lastRenderedPageBreak/>
        <w:t xml:space="preserve">with alcohol and drugs dependencies may be a target of such criminal activity as County Lines, Modern slavery, Human trafficking, Immigration crime, CSE, money laundering, fraud, economic crime, bribery and corruption, Cyber Crime, illegal firearms, and illegal drugs. It is believed approximately 50000 children aged 10-18 years old are involved in SOCG and county lines in England (Glover and Finlav, 2019) with research by Sturrock and Holmes (2015) identifying the link between missing children and SOCG involvement which further emphasises the exploitation of vulnerable people by SOCG (Thompson, 2019).  </w:t>
      </w:r>
    </w:p>
    <w:p w14:paraId="6CCD10CF"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120AB689" w14:textId="61140B39"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Public Protection can also occur through the management of offenders. Multi-agency Public Protection Arrangements (MAPPA) is considered as the most effective strategy in managing violent and serious offenders following a prison sentence (Bryant and Bryant, 2020). The initiative is based on a multi-agency approach with the police, prison services and probation forming a ‘responsible authority’ and then working with other agencies such as, local authority, local housing authority and social services (Baker and Sutherland, 2009). MAPPA is based on a framework, with four core functions; Identifying MAPPA offenders, ensuring information is shared, assessing any risk of serious harm, and managing the risk, therefor, this initiative can protect the vulnerable through a number of methods</w:t>
      </w:r>
      <w:r w:rsidR="00010494"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 </w:t>
      </w:r>
      <w:r w:rsidR="00010494" w:rsidRPr="006B2173">
        <w:rPr>
          <w:rFonts w:ascii="Times New Roman" w:eastAsia="Calibri" w:hAnsi="Times New Roman" w:cs="Times New Roman"/>
          <w:lang w:eastAsia="en-GB"/>
        </w:rPr>
        <w:t xml:space="preserve">By </w:t>
      </w:r>
      <w:r w:rsidRPr="006B2173">
        <w:rPr>
          <w:rFonts w:ascii="Times New Roman" w:eastAsia="Calibri" w:hAnsi="Times New Roman" w:cs="Times New Roman"/>
          <w:lang w:eastAsia="en-GB"/>
        </w:rPr>
        <w:t xml:space="preserve">managing serious and violent offenders, Rawlinson (2012) states that following a MAPPA meeting not only is risk of harm to those who are vulnerable is kept to a minimum, but the majority of serious offenders do not re-offend. </w:t>
      </w:r>
    </w:p>
    <w:p w14:paraId="40095773"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416C9AAA" w14:textId="77777777"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Having attended an incident involving a vulnerable person, a police officer is required to provide safeguarding measures to that individual, however, an officer may not be able to do so by themselves and therefor will need to share any safeguarding concerns with the relevant departments/external agencies. A Police Officer is able to do this by submitting a Public Protection Notification form (PPN), in the cases of incidents involving domestic violence, the PPN will involve a series of risk assessment questions known as the Domestic Abuse, Stalking and Harassment and Honour Based Violence (DASH). The DASH questions are considered as an effective evidence-based tool for officers to gain an understanding of the risk of re-victimisation within the domestic relationship (Richards et al, 2009). However, some argue that the DASH questionnaire, does not accurately predict the severity or risk and possibility of re-victimisation, with a logistical and common-sense approach offering a similar risk assessment (Turner, Medina and Brown, 2019).</w:t>
      </w:r>
    </w:p>
    <w:p w14:paraId="7E7634F6" w14:textId="77777777" w:rsidR="0077118B" w:rsidRPr="006B2173" w:rsidRDefault="0077118B" w:rsidP="006B2173">
      <w:pPr>
        <w:spacing w:after="0" w:line="257" w:lineRule="auto"/>
        <w:jc w:val="both"/>
        <w:rPr>
          <w:rFonts w:ascii="Times New Roman" w:eastAsia="Calibri" w:hAnsi="Times New Roman" w:cs="Times New Roman"/>
          <w:lang w:eastAsia="en-GB"/>
        </w:rPr>
      </w:pPr>
    </w:p>
    <w:p w14:paraId="17DAACF8" w14:textId="1000DBB4" w:rsidR="0077118B" w:rsidRPr="006B2173" w:rsidRDefault="0077118B"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Providing protection to the vulnerable is the responsibility of all officers. However, what is clear from such cases as Fiona Pilkington, failure to share information to external agencies regarding an individual’s vulnerabilities, can result in the failure to safeguard and protect that person, this may lead to the death of that individual or as with many young person’s, involvement in SOCG.  </w:t>
      </w:r>
    </w:p>
    <w:p w14:paraId="0BF93D4B" w14:textId="73B122DC" w:rsidR="000A7F7A" w:rsidRPr="006B2173" w:rsidRDefault="000A7F7A" w:rsidP="006B2173">
      <w:pPr>
        <w:spacing w:after="0" w:line="257" w:lineRule="auto"/>
        <w:jc w:val="both"/>
        <w:rPr>
          <w:rFonts w:ascii="Times New Roman" w:eastAsia="Calibri" w:hAnsi="Times New Roman" w:cs="Times New Roman"/>
          <w:lang w:eastAsia="en-GB"/>
        </w:rPr>
      </w:pPr>
    </w:p>
    <w:p w14:paraId="6D935019" w14:textId="4774CACA" w:rsidR="000A7F7A" w:rsidRPr="006B2173" w:rsidRDefault="000A7F7A" w:rsidP="006B2173">
      <w:pPr>
        <w:spacing w:after="0" w:line="257" w:lineRule="auto"/>
        <w:jc w:val="both"/>
        <w:rPr>
          <w:rFonts w:ascii="Times New Roman" w:eastAsia="Calibri" w:hAnsi="Times New Roman" w:cs="Times New Roman"/>
          <w:lang w:eastAsia="en-GB"/>
        </w:rPr>
      </w:pPr>
    </w:p>
    <w:p w14:paraId="66947D06" w14:textId="698D409E" w:rsidR="000A7F7A" w:rsidRPr="006B2173" w:rsidRDefault="000A7F7A" w:rsidP="006B2173">
      <w:pPr>
        <w:spacing w:after="0" w:line="257" w:lineRule="auto"/>
        <w:jc w:val="both"/>
        <w:rPr>
          <w:rFonts w:ascii="Times New Roman" w:eastAsia="Calibri" w:hAnsi="Times New Roman" w:cs="Times New Roman"/>
          <w:lang w:eastAsia="en-GB"/>
        </w:rPr>
      </w:pPr>
    </w:p>
    <w:p w14:paraId="6AF4EDC0"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6E10E8A1" w14:textId="19B952F7" w:rsidR="000A7F7A" w:rsidRPr="006B2173" w:rsidRDefault="000A7F7A" w:rsidP="006B2173">
      <w:pPr>
        <w:spacing w:after="0" w:line="257" w:lineRule="auto"/>
        <w:jc w:val="both"/>
        <w:rPr>
          <w:rFonts w:ascii="Times New Roman" w:eastAsia="Calibri" w:hAnsi="Times New Roman" w:cs="Times New Roman"/>
          <w:lang w:eastAsia="en-GB"/>
        </w:rPr>
      </w:pPr>
    </w:p>
    <w:p w14:paraId="18793543" w14:textId="77777777"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b/>
          <w:bCs/>
          <w:lang w:eastAsia="en-GB"/>
        </w:rPr>
        <w:t>1000 words - Evidence based policing/criminology and crime prevention/criminal Justice</w:t>
      </w:r>
    </w:p>
    <w:p w14:paraId="7CFD04E2" w14:textId="77777777"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Critically analyse the concept of evidence-based policing and ‘what works’ in policing evaluating crime prevention theories and strategies and considering the options open to reduce re offending. </w:t>
      </w:r>
    </w:p>
    <w:p w14:paraId="11B13F20"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57CF6D30" w14:textId="42798AE3"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A police officers basic mission is preventing crime and disorder according to very first principle set within Sir Robert Peel’s nine Policing principles (Loader, 2016). This is as relevant today as it was when they were first introduced in 1829, however the tactics and strategies used to reduce and prevent crime is constantly developing, this is due to the manner of which criminals operate also developing. It is therefore vital that when developing these strategies and theories that the police service have a good understanding of the current and potential criminal landscape and ‘what works’ in preventing criminal </w:t>
      </w:r>
      <w:r w:rsidRPr="006B2173">
        <w:rPr>
          <w:rFonts w:ascii="Times New Roman" w:eastAsia="Calibri" w:hAnsi="Times New Roman" w:cs="Times New Roman"/>
          <w:lang w:eastAsia="en-GB"/>
        </w:rPr>
        <w:lastRenderedPageBreak/>
        <w:t xml:space="preserve">activity, this is the basis of the concept known as ‘Evidence Based Policing’ (EBP). By using an EBP approach, the police service is able to gain a greater understanding of ‘what works’ for policing and thus a greater ability to reduce crime and criminal activity, however there are some effective strategies currently implemented which has a great effect on crime reduction and re-offending. </w:t>
      </w:r>
    </w:p>
    <w:p w14:paraId="4B9CBDFA"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5730FD1B" w14:textId="77777777"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Initially introduced by Professor Lawrence Sherman in 1998 (Huey and Mitchell, 2021) having identified the success of an evidence-based approach to other professions and organisation, such as medicine (Bryant and Bryant, 2020). EBP can be broadly defined as the use of best research evidence on “what works” as a guide to police decisions (Sherman 1998), however it has since been developed and is now utilised all over the world. Sherman (2013) notes the great positive impact the introduction of the College of Policing (CoP) as a sole governing body of policing has had on policing in the United Kingdom with the college able to provide recommendations of policing practices as a result of continuous review of new research evidence on ‘what works’ (Sherman, 2013). </w:t>
      </w:r>
    </w:p>
    <w:p w14:paraId="0D6AD41F"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172F8D3B" w14:textId="78A2BD4A"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In order for an Evidence Based approach to be successful it required that the quality of evidence of research is of a high quality. Bryant and Bryant (2020) suggest five key stages within an EBP research project, the stages are, A) State the question, where a policing problem is identified and a specific question is asked, it is vital that the question asked is clear and precise but also one that can be answered. B) Gathering existing evidence, at this stage researchers will consider previous studies and their results and identify ‘what works’ in circumstances which are related to their own research question. There are several sources of evidence available to researchers and practitioners, such as the ‘What Work Centre for Crime Reduction’ which was created by the College of Policing in 2013 which seeks to collate and share research evidence on crime reduction for its use in police decision making (Hunter, May and Hough, 2017). C) Assessing the existing evidence and undertaking research, the third stage of the research project will identify the validity and relevance of the current evidence. The CoP and the ‘What Works Centre for Crime Reduction’ suggesting the EMMIE framework as a system for assessing the existing evidence, the framework identifies five categories of assessing research evidence, the stages are, Effect, Mechanism, Moderator, Implementation and Economics (Johnson, Tilley and Bowers, 2015). With new policing initiatives a more statistical and empirical research will provide the ‘best evidence’, the research can take the from of a Randomized Control Trial (RCT) (Bryant and Bryant, 2020), however a number of authors have identified the ethical issues that RCT’s possess (Goldstein </w:t>
      </w:r>
      <w:r w:rsidRPr="006B2173">
        <w:rPr>
          <w:rFonts w:ascii="Times New Roman" w:eastAsia="Calibri" w:hAnsi="Times New Roman" w:cs="Times New Roman"/>
          <w:i/>
          <w:iCs/>
          <w:lang w:eastAsia="en-GB"/>
        </w:rPr>
        <w:t>et a</w:t>
      </w:r>
      <w:r w:rsidRPr="006B2173">
        <w:rPr>
          <w:rFonts w:ascii="Times New Roman" w:eastAsia="Calibri" w:hAnsi="Times New Roman" w:cs="Times New Roman"/>
          <w:lang w:eastAsia="en-GB"/>
        </w:rPr>
        <w:t xml:space="preserve">l, 2018). D) Implementing the findings, at this stage the findings from the research will be implemented, this may include a change of practice. E) Evaluating the implementation, the final stage of the project identifies if the implementation has achieved the desired outcome followed by further testing to ensure that the improvement will continue (Bryant and Bryant, 2020). </w:t>
      </w:r>
    </w:p>
    <w:p w14:paraId="1649D3A6"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29493829" w14:textId="6DBE15CD"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An Evidence based approach to preventing and reducing crime can be very successful, however there are a number crime prevention theories and initiatives which are utilised by a number of police forces. In 2016, the Home Office created the ‘Modern Crime Prevention Strategy’, within which they identify six key drivers for crime, they include, opportunity, character, the effectiveness of the Criminal Justice System, profit, drugs and alcohol (Home Office, 2016). The strategy seeks to reduce and prevent crime, by tackling each of the suggested key drivers. It states, opportuni</w:t>
      </w:r>
      <w:r w:rsidR="00177800" w:rsidRPr="006B2173">
        <w:rPr>
          <w:rFonts w:ascii="Times New Roman" w:eastAsia="Calibri" w:hAnsi="Times New Roman" w:cs="Times New Roman"/>
          <w:lang w:eastAsia="en-GB"/>
        </w:rPr>
        <w:t>ties</w:t>
      </w:r>
      <w:r w:rsidRPr="006B2173">
        <w:rPr>
          <w:rFonts w:ascii="Times New Roman" w:eastAsia="Calibri" w:hAnsi="Times New Roman" w:cs="Times New Roman"/>
          <w:lang w:eastAsia="en-GB"/>
        </w:rPr>
        <w:t xml:space="preserve"> for criminal activity is to be removed, this also includes opportunities online</w:t>
      </w:r>
      <w:r w:rsidR="00177800" w:rsidRPr="006B2173">
        <w:rPr>
          <w:rFonts w:ascii="Times New Roman" w:eastAsia="Calibri" w:hAnsi="Times New Roman" w:cs="Times New Roman"/>
          <w:lang w:eastAsia="en-GB"/>
        </w:rPr>
        <w:t>, i</w:t>
      </w:r>
      <w:r w:rsidRPr="006B2173">
        <w:rPr>
          <w:rFonts w:ascii="Times New Roman" w:eastAsia="Calibri" w:hAnsi="Times New Roman" w:cs="Times New Roman"/>
          <w:lang w:eastAsia="en-GB"/>
        </w:rPr>
        <w:t>ntervening early with individuals who are at risk of becoming involved in crime will reduce their involvement in the future, utilising the CJS as deterrent for offender, this also includes, organisations such as the police service and the courts (Home Office, 2016). The strategy also suggests, reducing the financial benefit of criminal activity for offenders, improving a new drug strategy which restricts the sale of drugs and provide support to those who misuse drugs, and finally improving night-time economy ensuring members of the public consume alcohol in a safe manner (Home Office, 2016).</w:t>
      </w:r>
    </w:p>
    <w:p w14:paraId="78FC40DA"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0050E1BC" w14:textId="21DBB663"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lastRenderedPageBreak/>
        <w:t>Although the above strategy outlines the need for early intervention with individuals who may become involved in crime, it does not account for those who have offended and are in need of rehabilitation or management to avoid re-offending. One of the most effective initiatives which is tasked with managing offenders is Multi-agency Public Protection Arrangements (MAPPA), which is a mul</w:t>
      </w:r>
      <w:r w:rsidR="00177800" w:rsidRPr="006B2173">
        <w:rPr>
          <w:rFonts w:ascii="Times New Roman" w:eastAsia="Calibri" w:hAnsi="Times New Roman" w:cs="Times New Roman"/>
          <w:lang w:eastAsia="en-GB"/>
        </w:rPr>
        <w:t>t</w:t>
      </w:r>
      <w:r w:rsidRPr="006B2173">
        <w:rPr>
          <w:rFonts w:ascii="Times New Roman" w:eastAsia="Calibri" w:hAnsi="Times New Roman" w:cs="Times New Roman"/>
          <w:lang w:eastAsia="en-GB"/>
        </w:rPr>
        <w:t>i-agency approach to managing offenders following a prison service (Bryant and Bryant, 2020). The effectiveness of MAPPA is well documented with Rawlinson (2012) stating that following a MAPPA meeting not only is risk of harm kept to a minimum, but the majority of offenders do not re-offend. The College of Policing also identify several other initiatives which have proven effective in reducing re-offending, some of which include, drugs courts, Cognitive Behavioural Therapy, Moral Reconation Therapy and Motivational Enhancement Therapy (CoP, No Date).</w:t>
      </w:r>
    </w:p>
    <w:p w14:paraId="39F0AA8F" w14:textId="77777777" w:rsidR="000A7F7A" w:rsidRPr="006B2173" w:rsidRDefault="000A7F7A" w:rsidP="006B2173">
      <w:pPr>
        <w:spacing w:after="0" w:line="257" w:lineRule="auto"/>
        <w:jc w:val="both"/>
        <w:rPr>
          <w:rFonts w:ascii="Times New Roman" w:eastAsia="Calibri" w:hAnsi="Times New Roman" w:cs="Times New Roman"/>
          <w:lang w:eastAsia="en-GB"/>
        </w:rPr>
      </w:pPr>
    </w:p>
    <w:p w14:paraId="60CC11CE" w14:textId="4E03B287" w:rsidR="000A7F7A" w:rsidRPr="006B2173" w:rsidRDefault="000A7F7A" w:rsidP="006B2173">
      <w:pPr>
        <w:spacing w:after="0" w:line="257" w:lineRule="auto"/>
        <w:jc w:val="both"/>
        <w:rPr>
          <w:rFonts w:ascii="Times New Roman" w:eastAsia="Calibri" w:hAnsi="Times New Roman" w:cs="Times New Roman"/>
          <w:lang w:eastAsia="en-GB"/>
        </w:rPr>
      </w:pPr>
      <w:r w:rsidRPr="006B2173">
        <w:rPr>
          <w:rFonts w:ascii="Times New Roman" w:eastAsia="Calibri" w:hAnsi="Times New Roman" w:cs="Times New Roman"/>
          <w:lang w:eastAsia="en-GB"/>
        </w:rPr>
        <w:t xml:space="preserve">Evidence Based Policing does not provide the definitive answers to all policing problems (CoP, No Date) however it does provide the ‘best evidence’ for policing decisions to be made, this is vitally important when identifying ‘what works’ in relation to preventing and reducing crime and criminal activity. Theories such as Routine-Activity Theory, which identify the three elements of crime being, an offender, a suitable target and an absence of a capable guardian (Tilley </w:t>
      </w:r>
      <w:r w:rsidRPr="006B2173">
        <w:rPr>
          <w:rFonts w:ascii="Times New Roman" w:eastAsia="Calibri" w:hAnsi="Times New Roman" w:cs="Times New Roman"/>
          <w:i/>
          <w:iCs/>
          <w:lang w:eastAsia="en-GB"/>
        </w:rPr>
        <w:t xml:space="preserve">et al, </w:t>
      </w:r>
      <w:r w:rsidRPr="006B2173">
        <w:rPr>
          <w:rFonts w:ascii="Times New Roman" w:eastAsia="Calibri" w:hAnsi="Times New Roman" w:cs="Times New Roman"/>
          <w:lang w:eastAsia="en-GB"/>
        </w:rPr>
        <w:t xml:space="preserve">2015) and strategies such as the Home Office’s ‘Modern Crime Prevention Strategy’ (Home Office, 2016) have provided great insight in to </w:t>
      </w:r>
      <w:r w:rsidR="00177800" w:rsidRPr="006B2173">
        <w:rPr>
          <w:rFonts w:ascii="Times New Roman" w:eastAsia="Calibri" w:hAnsi="Times New Roman" w:cs="Times New Roman"/>
          <w:lang w:eastAsia="en-GB"/>
        </w:rPr>
        <w:t>‘</w:t>
      </w:r>
      <w:r w:rsidRPr="006B2173">
        <w:rPr>
          <w:rFonts w:ascii="Times New Roman" w:eastAsia="Calibri" w:hAnsi="Times New Roman" w:cs="Times New Roman"/>
          <w:lang w:eastAsia="en-GB"/>
        </w:rPr>
        <w:t xml:space="preserve">what </w:t>
      </w:r>
      <w:r w:rsidR="00177800" w:rsidRPr="006B2173">
        <w:rPr>
          <w:rFonts w:ascii="Times New Roman" w:eastAsia="Calibri" w:hAnsi="Times New Roman" w:cs="Times New Roman"/>
          <w:lang w:eastAsia="en-GB"/>
        </w:rPr>
        <w:t xml:space="preserve">works’ </w:t>
      </w:r>
      <w:r w:rsidRPr="006B2173">
        <w:rPr>
          <w:rFonts w:ascii="Times New Roman" w:eastAsia="Calibri" w:hAnsi="Times New Roman" w:cs="Times New Roman"/>
          <w:lang w:eastAsia="en-GB"/>
        </w:rPr>
        <w:t xml:space="preserve">for crime prevention. </w:t>
      </w:r>
    </w:p>
    <w:p w14:paraId="0FD3FC9B" w14:textId="77777777" w:rsidR="000A7F7A" w:rsidRPr="000A7F7A" w:rsidRDefault="000A7F7A" w:rsidP="000A7F7A">
      <w:pPr>
        <w:spacing w:after="0" w:line="257" w:lineRule="auto"/>
        <w:rPr>
          <w:rFonts w:ascii="Times New Roman" w:eastAsia="Calibri" w:hAnsi="Times New Roman" w:cs="Times New Roman"/>
          <w:sz w:val="24"/>
          <w:szCs w:val="24"/>
          <w:lang w:eastAsia="en-GB"/>
        </w:rPr>
      </w:pPr>
    </w:p>
    <w:p w14:paraId="75B0858D" w14:textId="77777777" w:rsidR="000A7F7A" w:rsidRPr="0077118B" w:rsidRDefault="000A7F7A" w:rsidP="0077118B">
      <w:pPr>
        <w:spacing w:after="0" w:line="257" w:lineRule="auto"/>
        <w:rPr>
          <w:rFonts w:ascii="Times New Roman" w:eastAsia="Calibri" w:hAnsi="Times New Roman" w:cs="Times New Roman"/>
          <w:sz w:val="24"/>
          <w:szCs w:val="24"/>
          <w:lang w:eastAsia="en-GB"/>
        </w:rPr>
      </w:pPr>
    </w:p>
    <w:p w14:paraId="6A0B967B" w14:textId="77777777" w:rsidR="0077118B" w:rsidRPr="001462EF" w:rsidRDefault="0077118B" w:rsidP="002D576D">
      <w:pPr>
        <w:spacing w:after="0" w:line="257" w:lineRule="auto"/>
        <w:rPr>
          <w:rFonts w:ascii="Times New Roman" w:eastAsia="Calibri" w:hAnsi="Times New Roman" w:cs="Times New Roman"/>
          <w:sz w:val="24"/>
          <w:szCs w:val="24"/>
          <w:lang w:eastAsia="en-GB"/>
        </w:rPr>
      </w:pPr>
    </w:p>
    <w:p w14:paraId="3C847718" w14:textId="77777777" w:rsidR="001462EF" w:rsidRPr="001462EF" w:rsidRDefault="001462EF" w:rsidP="002D53FC">
      <w:pPr>
        <w:spacing w:after="0" w:line="257" w:lineRule="auto"/>
        <w:rPr>
          <w:rFonts w:ascii="Times New Roman" w:eastAsia="Calibri" w:hAnsi="Times New Roman" w:cs="Times New Roman"/>
          <w:sz w:val="24"/>
          <w:szCs w:val="24"/>
          <w:lang w:eastAsia="en-GB"/>
        </w:rPr>
      </w:pPr>
    </w:p>
    <w:p w14:paraId="20123486" w14:textId="5E5ABED7" w:rsidR="001462EF" w:rsidRDefault="001462EF" w:rsidP="002D53FC">
      <w:pPr>
        <w:spacing w:after="0" w:line="257" w:lineRule="auto"/>
        <w:rPr>
          <w:rFonts w:ascii="Times New Roman" w:eastAsia="Calibri" w:hAnsi="Times New Roman" w:cs="Times New Roman"/>
          <w:sz w:val="24"/>
          <w:szCs w:val="24"/>
          <w:lang w:eastAsia="en-GB"/>
        </w:rPr>
      </w:pPr>
    </w:p>
    <w:p w14:paraId="5A582342" w14:textId="024D7D10" w:rsidR="00DD7F3F" w:rsidRDefault="00DD7F3F" w:rsidP="002D53FC">
      <w:pPr>
        <w:spacing w:after="0" w:line="257" w:lineRule="auto"/>
        <w:rPr>
          <w:rFonts w:ascii="Times New Roman" w:eastAsia="Calibri" w:hAnsi="Times New Roman" w:cs="Times New Roman"/>
          <w:sz w:val="24"/>
          <w:szCs w:val="24"/>
          <w:lang w:eastAsia="en-GB"/>
        </w:rPr>
      </w:pPr>
    </w:p>
    <w:p w14:paraId="71C3795E" w14:textId="731411F2" w:rsidR="00DD7F3F" w:rsidRDefault="00DD7F3F" w:rsidP="002D53FC">
      <w:pPr>
        <w:spacing w:after="0" w:line="257" w:lineRule="auto"/>
        <w:rPr>
          <w:rFonts w:ascii="Times New Roman" w:eastAsia="Calibri" w:hAnsi="Times New Roman" w:cs="Times New Roman"/>
          <w:sz w:val="24"/>
          <w:szCs w:val="24"/>
          <w:lang w:eastAsia="en-GB"/>
        </w:rPr>
      </w:pPr>
    </w:p>
    <w:p w14:paraId="640158FD" w14:textId="22BFC74A" w:rsidR="00DD7F3F" w:rsidRDefault="00DD7F3F" w:rsidP="002D53FC">
      <w:pPr>
        <w:spacing w:after="0" w:line="257" w:lineRule="auto"/>
        <w:rPr>
          <w:rFonts w:ascii="Times New Roman" w:eastAsia="Calibri" w:hAnsi="Times New Roman" w:cs="Times New Roman"/>
          <w:sz w:val="24"/>
          <w:szCs w:val="24"/>
          <w:lang w:eastAsia="en-GB"/>
        </w:rPr>
      </w:pPr>
    </w:p>
    <w:p w14:paraId="324D3282" w14:textId="569769C9" w:rsidR="00DD7F3F" w:rsidRDefault="00DD7F3F" w:rsidP="002D53FC">
      <w:pPr>
        <w:spacing w:after="0" w:line="257" w:lineRule="auto"/>
        <w:rPr>
          <w:rFonts w:ascii="Times New Roman" w:eastAsia="Calibri" w:hAnsi="Times New Roman" w:cs="Times New Roman"/>
          <w:sz w:val="24"/>
          <w:szCs w:val="24"/>
          <w:lang w:eastAsia="en-GB"/>
        </w:rPr>
      </w:pPr>
    </w:p>
    <w:p w14:paraId="09C22594" w14:textId="77777777" w:rsidR="00DD7F3F" w:rsidRPr="001462EF" w:rsidRDefault="00DD7F3F" w:rsidP="002D53FC">
      <w:pPr>
        <w:spacing w:after="0" w:line="257" w:lineRule="auto"/>
        <w:rPr>
          <w:rFonts w:ascii="Times New Roman" w:eastAsia="Calibri" w:hAnsi="Times New Roman" w:cs="Times New Roman"/>
          <w:sz w:val="24"/>
          <w:szCs w:val="24"/>
          <w:lang w:eastAsia="en-GB"/>
        </w:rPr>
      </w:pPr>
    </w:p>
    <w:p w14:paraId="41D5641D" w14:textId="447D06F4" w:rsidR="001462EF" w:rsidRDefault="001462EF" w:rsidP="002D53FC">
      <w:pPr>
        <w:spacing w:after="0" w:line="257" w:lineRule="auto"/>
        <w:rPr>
          <w:rFonts w:ascii="Times New Roman" w:eastAsia="Calibri" w:hAnsi="Times New Roman" w:cs="Times New Roman"/>
          <w:b/>
          <w:bCs/>
          <w:sz w:val="24"/>
          <w:szCs w:val="24"/>
          <w:u w:val="single"/>
          <w:lang w:eastAsia="en-GB"/>
        </w:rPr>
      </w:pPr>
      <w:r w:rsidRPr="001462EF">
        <w:rPr>
          <w:rFonts w:ascii="Times New Roman" w:eastAsia="Calibri" w:hAnsi="Times New Roman" w:cs="Times New Roman"/>
          <w:b/>
          <w:bCs/>
          <w:sz w:val="24"/>
          <w:szCs w:val="24"/>
          <w:u w:val="single"/>
          <w:lang w:eastAsia="en-GB"/>
        </w:rPr>
        <w:t xml:space="preserve">Bibliography </w:t>
      </w:r>
    </w:p>
    <w:p w14:paraId="532C8871" w14:textId="77777777" w:rsidR="001462EF" w:rsidRPr="001462EF" w:rsidRDefault="001462EF">
      <w:pPr>
        <w:rPr>
          <w:rFonts w:ascii="Times New Roman" w:hAnsi="Times New Roman" w:cs="Times New Roman"/>
        </w:rPr>
      </w:pPr>
    </w:p>
    <w:p w14:paraId="498253D0" w14:textId="77777777" w:rsidR="006B2173" w:rsidRPr="006B2173" w:rsidRDefault="006B2173" w:rsidP="006B2173">
      <w:pPr>
        <w:rPr>
          <w:rFonts w:ascii="Times New Roman" w:hAnsi="Times New Roman" w:cs="Times New Roman"/>
        </w:rPr>
      </w:pPr>
    </w:p>
    <w:p w14:paraId="27D61DB8" w14:textId="77777777" w:rsidR="006B2173" w:rsidRDefault="006B2173" w:rsidP="000A7F7A">
      <w:pPr>
        <w:rPr>
          <w:rFonts w:ascii="Times New Roman" w:hAnsi="Times New Roman" w:cs="Times New Roman"/>
        </w:rPr>
      </w:pPr>
      <w:r w:rsidRPr="000A7F7A">
        <w:rPr>
          <w:rFonts w:ascii="Times New Roman" w:hAnsi="Times New Roman" w:cs="Times New Roman"/>
        </w:rPr>
        <w:t>Baker, K. &amp; Sutherland, A. (2009) Multi-agency public protection arrangements and youth justice. Bristol: Policy Press.</w:t>
      </w:r>
    </w:p>
    <w:p w14:paraId="5C3ED670"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 xml:space="preserve">Brookes, S. ( 2013 ) ‘ The role of the UK Disability Hate Crime Network.’ In A Roulstone &amp; H Mason‐Bish (eds), Disability, Hate Crime and Violence, pp. 126 – 135. London : Routledge </w:t>
      </w:r>
    </w:p>
    <w:p w14:paraId="71B5622C" w14:textId="77777777" w:rsidR="006B2173" w:rsidRDefault="006B2173" w:rsidP="00DD7F3F">
      <w:pPr>
        <w:rPr>
          <w:rFonts w:ascii="Times New Roman" w:hAnsi="Times New Roman" w:cs="Times New Roman"/>
        </w:rPr>
      </w:pPr>
      <w:r w:rsidRPr="001462EF">
        <w:rPr>
          <w:rFonts w:ascii="Times New Roman" w:hAnsi="Times New Roman" w:cs="Times New Roman"/>
        </w:rPr>
        <w:t>Bryant, R. and Bryant, S. (2019). Blackstone’s handbook for policing students 2020. Oxford: Oxford University Press.</w:t>
      </w:r>
      <w:r w:rsidRPr="00DD7F3F">
        <w:rPr>
          <w:rFonts w:ascii="Times New Roman" w:hAnsi="Times New Roman" w:cs="Times New Roman"/>
        </w:rPr>
        <w:t xml:space="preserve"> </w:t>
      </w:r>
    </w:p>
    <w:p w14:paraId="568429DE"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Bryant, R. and Bryant, S. (2019). </w:t>
      </w:r>
      <w:r w:rsidRPr="000A7F7A">
        <w:rPr>
          <w:rFonts w:ascii="Times New Roman" w:hAnsi="Times New Roman" w:cs="Times New Roman"/>
          <w:i/>
          <w:iCs/>
        </w:rPr>
        <w:t>Blackstone’s handbook for policing students 2020</w:t>
      </w:r>
      <w:r w:rsidRPr="000A7F7A">
        <w:rPr>
          <w:rFonts w:ascii="Times New Roman" w:hAnsi="Times New Roman" w:cs="Times New Roman"/>
        </w:rPr>
        <w:t>. Oxford: Oxford University Press.</w:t>
      </w:r>
    </w:p>
    <w:p w14:paraId="27471B77"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 xml:space="preserve">Capewell, C., Ralph, S. and Bonnett, L. (2015) ‘The continuing violence towards disabled people’, Journal of Research in Special Educational Needs, 15(3), pp. 211–221. doi: 10.1111/1471-3802.12112. </w:t>
      </w:r>
    </w:p>
    <w:p w14:paraId="6DF57AB2" w14:textId="77777777" w:rsidR="006B2173" w:rsidRPr="001462EF" w:rsidRDefault="006B2173" w:rsidP="001462EF">
      <w:pPr>
        <w:rPr>
          <w:rFonts w:ascii="Times New Roman" w:hAnsi="Times New Roman" w:cs="Times New Roman"/>
        </w:rPr>
      </w:pPr>
      <w:r w:rsidRPr="00DD7F3F">
        <w:rPr>
          <w:rFonts w:ascii="Times New Roman" w:hAnsi="Times New Roman" w:cs="Times New Roman"/>
        </w:rPr>
        <w:t xml:space="preserve">Channon, M. (2021) Why police declare major incidents and what this means. </w:t>
      </w:r>
      <w:r w:rsidRPr="00DD7F3F">
        <w:rPr>
          <w:rFonts w:ascii="Times New Roman" w:hAnsi="Times New Roman" w:cs="Times New Roman"/>
          <w:i/>
          <w:iCs/>
        </w:rPr>
        <w:t>Devon Live</w:t>
      </w:r>
      <w:r w:rsidRPr="00DD7F3F">
        <w:rPr>
          <w:rFonts w:ascii="Times New Roman" w:hAnsi="Times New Roman" w:cs="Times New Roman"/>
        </w:rPr>
        <w:t xml:space="preserve">. 26 February. </w:t>
      </w:r>
      <w:hyperlink r:id="rId7" w:history="1">
        <w:r w:rsidRPr="00DD7F3F">
          <w:rPr>
            <w:rStyle w:val="Hyperlink"/>
            <w:rFonts w:ascii="Times New Roman" w:hAnsi="Times New Roman" w:cs="Times New Roman"/>
          </w:rPr>
          <w:t>https://www.devonlive.com/news/devon-news/police-declare-major-incidents-what-5048761</w:t>
        </w:r>
      </w:hyperlink>
      <w:r w:rsidRPr="00DD7F3F">
        <w:rPr>
          <w:rFonts w:ascii="Times New Roman" w:hAnsi="Times New Roman" w:cs="Times New Roman"/>
        </w:rPr>
        <w:t>, Accessed 07/11/2021</w:t>
      </w:r>
    </w:p>
    <w:p w14:paraId="7D70F007" w14:textId="77777777" w:rsidR="006B2173" w:rsidRDefault="006B2173" w:rsidP="00DD7F3F">
      <w:pPr>
        <w:rPr>
          <w:rFonts w:ascii="Times New Roman" w:hAnsi="Times New Roman" w:cs="Times New Roman"/>
        </w:rPr>
      </w:pPr>
      <w:r w:rsidRPr="001462EF">
        <w:rPr>
          <w:rFonts w:ascii="Times New Roman" w:hAnsi="Times New Roman" w:cs="Times New Roman"/>
        </w:rPr>
        <w:lastRenderedPageBreak/>
        <w:t xml:space="preserve">Chartered Institutes of Personnel and Development (2021) Coaching and mentoring. Chartered Institutes of Personnel and Development. https://www.cipd.co.uk/knowledge/fundamentals/people/development/coaching-mentoring-factsheet. Accessed 08 Nov. 21 </w:t>
      </w:r>
    </w:p>
    <w:p w14:paraId="70B53600" w14:textId="77777777" w:rsidR="006B2173" w:rsidRDefault="006B2173" w:rsidP="001462EF">
      <w:pPr>
        <w:rPr>
          <w:rFonts w:ascii="Times New Roman" w:hAnsi="Times New Roman" w:cs="Times New Roman"/>
        </w:rPr>
      </w:pPr>
      <w:r w:rsidRPr="00DD7F3F">
        <w:rPr>
          <w:rFonts w:ascii="Times New Roman" w:hAnsi="Times New Roman" w:cs="Times New Roman"/>
        </w:rPr>
        <w:t xml:space="preserve">College of Police (2013) </w:t>
      </w:r>
      <w:r w:rsidRPr="00DD7F3F">
        <w:rPr>
          <w:rFonts w:ascii="Times New Roman" w:hAnsi="Times New Roman" w:cs="Times New Roman"/>
          <w:i/>
          <w:iCs/>
        </w:rPr>
        <w:t>Critical incident management.</w:t>
      </w:r>
      <w:r w:rsidRPr="00DD7F3F">
        <w:rPr>
          <w:rFonts w:ascii="Times New Roman" w:hAnsi="Times New Roman" w:cs="Times New Roman"/>
        </w:rPr>
        <w:t xml:space="preserve"> [Online] Available at: </w:t>
      </w:r>
      <w:hyperlink r:id="rId8" w:history="1">
        <w:r w:rsidRPr="00DD7F3F">
          <w:rPr>
            <w:rStyle w:val="Hyperlink"/>
            <w:rFonts w:ascii="Times New Roman" w:hAnsi="Times New Roman" w:cs="Times New Roman"/>
          </w:rPr>
          <w:t>https://www.app.college.police.uk/app-content/critical-incident-management/types-of-critical-incident/</w:t>
        </w:r>
      </w:hyperlink>
    </w:p>
    <w:p w14:paraId="72E588C5"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 xml:space="preserve">College of Policing (20103 </w:t>
      </w:r>
      <w:r w:rsidRPr="0077118B">
        <w:rPr>
          <w:rFonts w:ascii="Times New Roman" w:hAnsi="Times New Roman" w:cs="Times New Roman"/>
          <w:i/>
          <w:iCs/>
        </w:rPr>
        <w:t xml:space="preserve">Intelligence Cycle. </w:t>
      </w:r>
      <w:r w:rsidRPr="0077118B">
        <w:rPr>
          <w:rFonts w:ascii="Times New Roman" w:hAnsi="Times New Roman" w:cs="Times New Roman"/>
        </w:rPr>
        <w:t xml:space="preserve">[Online] Available at; </w:t>
      </w:r>
      <w:hyperlink r:id="rId9" w:history="1">
        <w:r w:rsidRPr="0077118B">
          <w:rPr>
            <w:rStyle w:val="Hyperlink"/>
            <w:rFonts w:ascii="Times New Roman" w:hAnsi="Times New Roman" w:cs="Times New Roman"/>
          </w:rPr>
          <w:t>Intelligence cycle (college.police.uk)</w:t>
        </w:r>
      </w:hyperlink>
      <w:r w:rsidRPr="0077118B">
        <w:rPr>
          <w:rFonts w:ascii="Times New Roman" w:hAnsi="Times New Roman" w:cs="Times New Roman"/>
        </w:rPr>
        <w:t xml:space="preserve"> </w:t>
      </w:r>
    </w:p>
    <w:p w14:paraId="6ABCE79F" w14:textId="77777777" w:rsidR="006B2173" w:rsidRPr="0077118B" w:rsidRDefault="006B2173" w:rsidP="0077118B">
      <w:pPr>
        <w:rPr>
          <w:rFonts w:ascii="Times New Roman" w:hAnsi="Times New Roman" w:cs="Times New Roman"/>
          <w:u w:val="single"/>
        </w:rPr>
      </w:pPr>
      <w:r w:rsidRPr="0077118B">
        <w:rPr>
          <w:rFonts w:ascii="Times New Roman" w:hAnsi="Times New Roman" w:cs="Times New Roman"/>
        </w:rPr>
        <w:t xml:space="preserve">College of Policing (2013) </w:t>
      </w:r>
      <w:r w:rsidRPr="0077118B">
        <w:rPr>
          <w:rFonts w:ascii="Times New Roman" w:hAnsi="Times New Roman" w:cs="Times New Roman"/>
          <w:i/>
          <w:iCs/>
        </w:rPr>
        <w:t>Analytical techniques</w:t>
      </w:r>
      <w:r w:rsidRPr="0077118B">
        <w:rPr>
          <w:rFonts w:ascii="Times New Roman" w:hAnsi="Times New Roman" w:cs="Times New Roman"/>
        </w:rPr>
        <w:t xml:space="preserve">. [Online] Available at: </w:t>
      </w:r>
      <w:hyperlink r:id="rId10" w:anchor=":~:text=The%20cone%20of%20plausibility%20is%20a%20scenario%20generation,factors%20are%20most%20important%20in%20shaping%20future%20events." w:history="1">
        <w:r w:rsidRPr="0077118B">
          <w:rPr>
            <w:rStyle w:val="Hyperlink"/>
            <w:rFonts w:ascii="Times New Roman" w:hAnsi="Times New Roman" w:cs="Times New Roman"/>
          </w:rPr>
          <w:t>Analytical techniques (college.police.uk)</w:t>
        </w:r>
      </w:hyperlink>
    </w:p>
    <w:p w14:paraId="6C0EBAEA"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 xml:space="preserve">College of Policing (2013) </w:t>
      </w:r>
      <w:r w:rsidRPr="0077118B">
        <w:rPr>
          <w:rFonts w:ascii="Times New Roman" w:hAnsi="Times New Roman" w:cs="Times New Roman"/>
          <w:i/>
          <w:iCs/>
        </w:rPr>
        <w:t xml:space="preserve">Governance. </w:t>
      </w:r>
      <w:r w:rsidRPr="0077118B">
        <w:rPr>
          <w:rFonts w:ascii="Times New Roman" w:hAnsi="Times New Roman" w:cs="Times New Roman"/>
        </w:rPr>
        <w:t xml:space="preserve">[Online] Available at: </w:t>
      </w:r>
      <w:hyperlink r:id="rId11" w:anchor=":~:text=Tasking%20and%20coordination.%20The%20T%26C%20process%20provides%20managers,based%20on%20a%20thorough%20understanding%20of%20the%20problems." w:history="1">
        <w:r w:rsidRPr="0077118B">
          <w:rPr>
            <w:rStyle w:val="Hyperlink"/>
            <w:rFonts w:ascii="Times New Roman" w:hAnsi="Times New Roman" w:cs="Times New Roman"/>
          </w:rPr>
          <w:t>Governance (college.police.uk)</w:t>
        </w:r>
      </w:hyperlink>
    </w:p>
    <w:p w14:paraId="0C25A264" w14:textId="77777777" w:rsidR="006B2173" w:rsidRPr="001462EF" w:rsidRDefault="006B2173" w:rsidP="001462EF">
      <w:pPr>
        <w:rPr>
          <w:rFonts w:ascii="Times New Roman" w:hAnsi="Times New Roman" w:cs="Times New Roman"/>
        </w:rPr>
      </w:pPr>
      <w:r w:rsidRPr="002D576D">
        <w:rPr>
          <w:rFonts w:ascii="Times New Roman" w:hAnsi="Times New Roman" w:cs="Times New Roman"/>
        </w:rPr>
        <w:t xml:space="preserve">College of Policing (2014). </w:t>
      </w:r>
      <w:r w:rsidRPr="002D576D">
        <w:rPr>
          <w:rFonts w:ascii="Times New Roman" w:hAnsi="Times New Roman" w:cs="Times New Roman"/>
          <w:i/>
          <w:iCs/>
        </w:rPr>
        <w:t>Code of Ethics</w:t>
      </w:r>
      <w:r w:rsidRPr="002D576D">
        <w:rPr>
          <w:rFonts w:ascii="Times New Roman" w:hAnsi="Times New Roman" w:cs="Times New Roman"/>
        </w:rPr>
        <w:t>:</w:t>
      </w:r>
      <w:r>
        <w:rPr>
          <w:rFonts w:ascii="Times New Roman" w:hAnsi="Times New Roman" w:cs="Times New Roman"/>
        </w:rPr>
        <w:t xml:space="preserve"> </w:t>
      </w:r>
      <w:r w:rsidRPr="002D576D">
        <w:rPr>
          <w:rFonts w:ascii="Times New Roman" w:hAnsi="Times New Roman" w:cs="Times New Roman"/>
        </w:rPr>
        <w:t>[online] Available at: code_of_ethics.pdf (paas-s3-broker-prod-lon-6453d964-1d1a-432a-9260-5e0ba7d2fc51.s3.eu-west-2.amazonaws.com)</w:t>
      </w:r>
    </w:p>
    <w:p w14:paraId="1AD381B7" w14:textId="77777777" w:rsidR="006B2173" w:rsidRPr="0077118B" w:rsidRDefault="006B2173" w:rsidP="0077118B">
      <w:pPr>
        <w:rPr>
          <w:rFonts w:ascii="Times New Roman" w:hAnsi="Times New Roman" w:cs="Times New Roman"/>
          <w:u w:val="single"/>
        </w:rPr>
      </w:pPr>
      <w:r w:rsidRPr="0077118B">
        <w:rPr>
          <w:rFonts w:ascii="Times New Roman" w:hAnsi="Times New Roman" w:cs="Times New Roman"/>
        </w:rPr>
        <w:t xml:space="preserve">College of Policing (2015) </w:t>
      </w:r>
      <w:r w:rsidRPr="0077118B">
        <w:rPr>
          <w:rFonts w:ascii="Times New Roman" w:hAnsi="Times New Roman" w:cs="Times New Roman"/>
          <w:i/>
          <w:iCs/>
        </w:rPr>
        <w:t xml:space="preserve">Intelligence management: Intelligence report. </w:t>
      </w:r>
      <w:r w:rsidRPr="0077118B">
        <w:rPr>
          <w:rFonts w:ascii="Times New Roman" w:hAnsi="Times New Roman" w:cs="Times New Roman"/>
        </w:rPr>
        <w:t xml:space="preserve">Available at: </w:t>
      </w:r>
      <w:hyperlink r:id="rId12" w:history="1">
        <w:r w:rsidRPr="0077118B">
          <w:rPr>
            <w:rStyle w:val="Hyperlink"/>
            <w:rFonts w:ascii="Times New Roman" w:hAnsi="Times New Roman" w:cs="Times New Roman"/>
          </w:rPr>
          <w:t>Intelligence report (college.police.uk)</w:t>
        </w:r>
      </w:hyperlink>
    </w:p>
    <w:p w14:paraId="3F24037A"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College of Policing (No Date) About College What Works. [online] Available at: </w:t>
      </w:r>
      <w:hyperlink r:id="rId13" w:history="1">
        <w:r w:rsidRPr="006B2173">
          <w:rPr>
            <w:rStyle w:val="Hyperlink"/>
            <w:rFonts w:ascii="Times New Roman" w:hAnsi="Times New Roman" w:cs="Times New Roman"/>
          </w:rPr>
          <w:t>https://whatworks.college.police.uk/About/Pages/default.aspx</w:t>
        </w:r>
      </w:hyperlink>
    </w:p>
    <w:p w14:paraId="63A6296C"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College of Policing (No Date) </w:t>
      </w:r>
      <w:r w:rsidRPr="006B2173">
        <w:rPr>
          <w:rFonts w:ascii="Times New Roman" w:hAnsi="Times New Roman" w:cs="Times New Roman"/>
          <w:i/>
          <w:iCs/>
        </w:rPr>
        <w:t>What is evidence-based polcing?</w:t>
      </w:r>
      <w:r w:rsidRPr="006B2173">
        <w:rPr>
          <w:rFonts w:ascii="Times New Roman" w:hAnsi="Times New Roman" w:cs="Times New Roman"/>
        </w:rPr>
        <w:t xml:space="preserve"> [Online] Available at: </w:t>
      </w:r>
      <w:hyperlink r:id="rId14" w:anchor=":~:text=The%20College%20of%20Policing%20has%20developed%20the%20following,to%20inform%20and%20challenge%20policies%2C%20practices%20and%20decisions." w:history="1">
        <w:r w:rsidRPr="006B2173">
          <w:rPr>
            <w:rStyle w:val="Hyperlink"/>
            <w:rFonts w:ascii="Times New Roman" w:hAnsi="Times New Roman" w:cs="Times New Roman"/>
          </w:rPr>
          <w:t>What is evidence-based policing? | What Works Centre for Crime Reduction (college.police.uk)</w:t>
        </w:r>
      </w:hyperlink>
    </w:p>
    <w:p w14:paraId="789006B9"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 xml:space="preserve">College of Policing, 2020. </w:t>
      </w:r>
      <w:r w:rsidRPr="000A7F7A">
        <w:rPr>
          <w:rFonts w:ascii="Times New Roman" w:hAnsi="Times New Roman" w:cs="Times New Roman"/>
          <w:i/>
          <w:iCs/>
        </w:rPr>
        <w:t>Recognising and responding to vulnerability related risks guidelines.</w:t>
      </w:r>
      <w:r w:rsidRPr="000A7F7A">
        <w:rPr>
          <w:rFonts w:ascii="Times New Roman" w:hAnsi="Times New Roman" w:cs="Times New Roman"/>
        </w:rPr>
        <w:t>[Online] Available at:</w:t>
      </w:r>
      <w:r w:rsidRPr="000A7F7A">
        <w:rPr>
          <w:rFonts w:ascii="Times New Roman" w:hAnsi="Times New Roman" w:cs="Times New Roman"/>
          <w:i/>
          <w:iCs/>
        </w:rPr>
        <w:t xml:space="preserve"> </w:t>
      </w:r>
      <w:hyperlink r:id="rId15" w:anchor=":~:text=2%20The%20College%20of%20Policing%20has%20adopted%20the,when%20considering%20the%20police%20response%20to%20mental%20health4." w:history="1">
        <w:r w:rsidRPr="000A7F7A">
          <w:rPr>
            <w:rStyle w:val="Hyperlink"/>
            <w:rFonts w:ascii="Times New Roman" w:hAnsi="Times New Roman" w:cs="Times New Roman"/>
          </w:rPr>
          <w:t>Recognising and responding to vulnerability related risks guidelines: Consultation (paas-s3-broker-prod-lon-6453d964-1d1a-432a-9260-5e0ba7d2fc51.s3.eu-west-2.amazonaws.com)</w:t>
        </w:r>
      </w:hyperlink>
      <w:r w:rsidRPr="000A7F7A">
        <w:rPr>
          <w:rFonts w:ascii="Times New Roman" w:hAnsi="Times New Roman" w:cs="Times New Roman"/>
        </w:rPr>
        <w:t xml:space="preserve"> </w:t>
      </w:r>
    </w:p>
    <w:p w14:paraId="485ED607"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 xml:space="preserve">Dinisman, T. and Moroz, A. (2017). Understanding victims of crime. [online] Available at: </w:t>
      </w:r>
      <w:hyperlink r:id="rId16" w:history="1">
        <w:r w:rsidRPr="000A7F7A">
          <w:rPr>
            <w:rStyle w:val="Hyperlink"/>
            <w:rFonts w:ascii="Times New Roman" w:hAnsi="Times New Roman" w:cs="Times New Roman"/>
          </w:rPr>
          <w:t>https://www.victimsupport.org.uk/sites/default/files/VS_Understanding%20victims%20of%20crime_web.pdf</w:t>
        </w:r>
      </w:hyperlink>
      <w:r w:rsidRPr="000A7F7A">
        <w:rPr>
          <w:rFonts w:ascii="Times New Roman" w:hAnsi="Times New Roman" w:cs="Times New Roman"/>
        </w:rPr>
        <w:t>.</w:t>
      </w:r>
    </w:p>
    <w:p w14:paraId="794596E4"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Dustmann, C. and Fasani, F. (2015). The Effect of Local Area Crime on Mental Health. The Economic Journal, [online] 126(593), pp.978–1017. Available at: https://www.ucl.ac.uk/~uctpb21/Cpapers/Crime_and_Mental_Health%20EJ.PDF [Accessed 18 Oct. 2020].</w:t>
      </w:r>
    </w:p>
    <w:p w14:paraId="7DBAAC8C"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Flood, B., (2004). Strategic aspects of the UK National Intelligence Model. In J.H Ratcliffe (Ed.) Strategic Thinking in Criminal Intelligence. Sydney, Federation Press, 37-52</w:t>
      </w:r>
    </w:p>
    <w:p w14:paraId="7D7A83A5" w14:textId="77777777" w:rsidR="006B2173" w:rsidRPr="001462EF" w:rsidRDefault="006B2173" w:rsidP="001462EF">
      <w:pPr>
        <w:rPr>
          <w:rFonts w:ascii="Times New Roman" w:hAnsi="Times New Roman" w:cs="Times New Roman"/>
        </w:rPr>
      </w:pPr>
      <w:r w:rsidRPr="001462EF">
        <w:rPr>
          <w:rFonts w:ascii="Times New Roman" w:hAnsi="Times New Roman" w:cs="Times New Roman"/>
        </w:rPr>
        <w:t>F</w:t>
      </w:r>
      <w:r>
        <w:rPr>
          <w:rFonts w:ascii="Times New Roman" w:hAnsi="Times New Roman" w:cs="Times New Roman"/>
        </w:rPr>
        <w:t>uller</w:t>
      </w:r>
      <w:r w:rsidRPr="001462EF">
        <w:rPr>
          <w:rFonts w:ascii="Times New Roman" w:hAnsi="Times New Roman" w:cs="Times New Roman"/>
        </w:rPr>
        <w:t>, G. 2006. Police vetting loophole lets foreign criminals join force. Personnel Today,</w:t>
      </w:r>
      <w:r>
        <w:rPr>
          <w:rFonts w:ascii="Times New Roman" w:hAnsi="Times New Roman" w:cs="Times New Roman"/>
        </w:rPr>
        <w:t xml:space="preserve"> </w:t>
      </w:r>
      <w:r w:rsidRPr="001462EF">
        <w:rPr>
          <w:rFonts w:ascii="Times New Roman" w:hAnsi="Times New Roman" w:cs="Times New Roman"/>
        </w:rPr>
        <w:t>pp. 1</w:t>
      </w:r>
    </w:p>
    <w:p w14:paraId="60195CD5"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Gillian, H. May, T. and Hough, M. (2017) </w:t>
      </w:r>
      <w:r w:rsidRPr="006B2173">
        <w:rPr>
          <w:rFonts w:ascii="Times New Roman" w:hAnsi="Times New Roman" w:cs="Times New Roman"/>
          <w:i/>
          <w:iCs/>
        </w:rPr>
        <w:t>An Evaluation of the ‘What Works Centre for Crime Reduction’ Final Repor</w:t>
      </w:r>
      <w:r w:rsidRPr="006B2173">
        <w:rPr>
          <w:rFonts w:ascii="Times New Roman" w:hAnsi="Times New Roman" w:cs="Times New Roman"/>
        </w:rPr>
        <w:t xml:space="preserve">t. [Online] Available at: </w:t>
      </w:r>
      <w:hyperlink r:id="rId17" w:history="1">
        <w:r w:rsidRPr="006B2173">
          <w:rPr>
            <w:rStyle w:val="Hyperlink"/>
            <w:rFonts w:ascii="Times New Roman" w:hAnsi="Times New Roman" w:cs="Times New Roman"/>
          </w:rPr>
          <w:t>ICPR_Final_Evaluation_WWCCR.pdf (college.police.uk)</w:t>
        </w:r>
      </w:hyperlink>
      <w:r w:rsidRPr="006B2173">
        <w:rPr>
          <w:rFonts w:ascii="Times New Roman" w:hAnsi="Times New Roman" w:cs="Times New Roman"/>
        </w:rPr>
        <w:t xml:space="preserve"> </w:t>
      </w:r>
    </w:p>
    <w:p w14:paraId="480B3603"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Glover Williams, A. &amp; Finlay, F. (2019) County lines: how gang crime is affecting our young people. Archives of disease in childhood. [Online] 104 (8), 730–732.</w:t>
      </w:r>
    </w:p>
    <w:p w14:paraId="7123FABC" w14:textId="77777777" w:rsidR="006B2173" w:rsidRPr="001462EF" w:rsidRDefault="006B2173" w:rsidP="001462EF">
      <w:pPr>
        <w:rPr>
          <w:rFonts w:ascii="Times New Roman" w:hAnsi="Times New Roman" w:cs="Times New Roman"/>
        </w:rPr>
      </w:pPr>
      <w:r w:rsidRPr="001462EF">
        <w:rPr>
          <w:rFonts w:ascii="Times New Roman" w:hAnsi="Times New Roman" w:cs="Times New Roman"/>
        </w:rPr>
        <w:t>Goldsmith, A. (2005) ‘Police reform and the problem of trust’, Theoretical Criminology, 9(4), pp. 443–470. doi: 10.1177/1362480605057727.</w:t>
      </w:r>
    </w:p>
    <w:p w14:paraId="0C5702D9"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lastRenderedPageBreak/>
        <w:t>Goldstein, C. E. et al. (2018) Ethical issues in pragmatic randomized controlled trials: a review of the recent literature identifies gaps in ethical argumentation. </w:t>
      </w:r>
      <w:r w:rsidRPr="006B2173">
        <w:rPr>
          <w:rFonts w:ascii="Times New Roman" w:hAnsi="Times New Roman" w:cs="Times New Roman"/>
          <w:i/>
          <w:iCs/>
        </w:rPr>
        <w:t>BMC medical ethics</w:t>
      </w:r>
      <w:r w:rsidRPr="006B2173">
        <w:rPr>
          <w:rFonts w:ascii="Times New Roman" w:hAnsi="Times New Roman" w:cs="Times New Roman"/>
        </w:rPr>
        <w:t>. [Online] 19 (1), 14–14.</w:t>
      </w:r>
    </w:p>
    <w:p w14:paraId="0114FEC0"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Gottschalk, P. (2009) Information Sources in Police Intelligence. </w:t>
      </w:r>
      <w:r w:rsidRPr="0077118B">
        <w:rPr>
          <w:rFonts w:ascii="Times New Roman" w:hAnsi="Times New Roman" w:cs="Times New Roman"/>
          <w:i/>
          <w:iCs/>
        </w:rPr>
        <w:t>Police journal (Chichester)</w:t>
      </w:r>
      <w:r w:rsidRPr="0077118B">
        <w:rPr>
          <w:rFonts w:ascii="Times New Roman" w:hAnsi="Times New Roman" w:cs="Times New Roman"/>
        </w:rPr>
        <w:t>. [Online] 82 (2), 149–170.</w:t>
      </w:r>
    </w:p>
    <w:p w14:paraId="1D7DBCE8" w14:textId="77777777" w:rsidR="006B2173" w:rsidRDefault="006B2173" w:rsidP="00DD7F3F">
      <w:pPr>
        <w:rPr>
          <w:rFonts w:ascii="Times New Roman" w:hAnsi="Times New Roman" w:cs="Times New Roman"/>
        </w:rPr>
      </w:pPr>
      <w:r w:rsidRPr="001462EF">
        <w:rPr>
          <w:rFonts w:ascii="Times New Roman" w:hAnsi="Times New Roman" w:cs="Times New Roman"/>
        </w:rPr>
        <w:t>Gov.uk (2012) Definition of Policing by Consent. Gov.uk.</w:t>
      </w:r>
      <w:r>
        <w:rPr>
          <w:rFonts w:ascii="Times New Roman" w:hAnsi="Times New Roman" w:cs="Times New Roman"/>
        </w:rPr>
        <w:t xml:space="preserve"> </w:t>
      </w:r>
      <w:hyperlink r:id="rId18" w:history="1">
        <w:r w:rsidRPr="00060BB7">
          <w:rPr>
            <w:rStyle w:val="Hyperlink"/>
            <w:rFonts w:ascii="Times New Roman" w:hAnsi="Times New Roman" w:cs="Times New Roman"/>
          </w:rPr>
          <w:t>https://www.gov.uk/government/publications/policing-by-consent/definition-of-policing-by-consent</w:t>
        </w:r>
      </w:hyperlink>
      <w:r w:rsidRPr="001462EF">
        <w:rPr>
          <w:rFonts w:ascii="Times New Roman" w:hAnsi="Times New Roman" w:cs="Times New Roman"/>
        </w:rPr>
        <w:t>.</w:t>
      </w:r>
      <w:r>
        <w:rPr>
          <w:rFonts w:ascii="Times New Roman" w:hAnsi="Times New Roman" w:cs="Times New Roman"/>
        </w:rPr>
        <w:t xml:space="preserve"> </w:t>
      </w:r>
      <w:r w:rsidRPr="001462EF">
        <w:rPr>
          <w:rFonts w:ascii="Times New Roman" w:hAnsi="Times New Roman" w:cs="Times New Roman"/>
        </w:rPr>
        <w:t>Accessed:  08 November 2021</w:t>
      </w:r>
      <w:r w:rsidRPr="00DD7F3F">
        <w:rPr>
          <w:rFonts w:ascii="Times New Roman" w:hAnsi="Times New Roman" w:cs="Times New Roman"/>
        </w:rPr>
        <w:t xml:space="preserve"> </w:t>
      </w:r>
    </w:p>
    <w:p w14:paraId="7BC4C9C0" w14:textId="77777777" w:rsidR="006B2173" w:rsidRPr="009A5889" w:rsidRDefault="006B2173" w:rsidP="001462EF">
      <w:pPr>
        <w:rPr>
          <w:rFonts w:ascii="Times New Roman" w:hAnsi="Times New Roman" w:cs="Times New Roman"/>
          <w:u w:val="single"/>
        </w:rPr>
      </w:pPr>
      <w:r w:rsidRPr="00DD7F3F">
        <w:rPr>
          <w:rFonts w:ascii="Times New Roman" w:hAnsi="Times New Roman" w:cs="Times New Roman"/>
        </w:rPr>
        <w:t xml:space="preserve">HMICFRS (2018) </w:t>
      </w:r>
      <w:r w:rsidRPr="00DD7F3F">
        <w:rPr>
          <w:rFonts w:ascii="Times New Roman" w:hAnsi="Times New Roman" w:cs="Times New Roman"/>
          <w:i/>
          <w:iCs/>
        </w:rPr>
        <w:t xml:space="preserve">Joint Emergency Services Interoperability Principles. </w:t>
      </w:r>
      <w:r w:rsidRPr="00DD7F3F">
        <w:rPr>
          <w:rFonts w:ascii="Times New Roman" w:hAnsi="Times New Roman" w:cs="Times New Roman"/>
        </w:rPr>
        <w:t xml:space="preserve">[Online] Available at: </w:t>
      </w:r>
      <w:hyperlink r:id="rId19" w:history="1">
        <w:r w:rsidRPr="00DD7F3F">
          <w:rPr>
            <w:rStyle w:val="Hyperlink"/>
            <w:rFonts w:ascii="Times New Roman" w:hAnsi="Times New Roman" w:cs="Times New Roman"/>
          </w:rPr>
          <w:t>Joint Emergency Services Interoperability Principles - HMICFRS (justiceinspectorates.gov.uk)</w:t>
        </w:r>
      </w:hyperlink>
    </w:p>
    <w:p w14:paraId="477CBC4E"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Home Office (2016) </w:t>
      </w:r>
      <w:r w:rsidRPr="006B2173">
        <w:rPr>
          <w:rFonts w:ascii="Times New Roman" w:hAnsi="Times New Roman" w:cs="Times New Roman"/>
          <w:i/>
          <w:iCs/>
        </w:rPr>
        <w:t>Modern Crime Prevention Pamphlet.</w:t>
      </w:r>
      <w:r w:rsidRPr="006B2173">
        <w:rPr>
          <w:rFonts w:ascii="Times New Roman" w:hAnsi="Times New Roman" w:cs="Times New Roman"/>
        </w:rPr>
        <w:t xml:space="preserve"> [Online] Available at </w:t>
      </w:r>
      <w:hyperlink r:id="rId20" w:history="1">
        <w:r w:rsidRPr="006B2173">
          <w:rPr>
            <w:rStyle w:val="Hyperlink"/>
            <w:rFonts w:ascii="Times New Roman" w:hAnsi="Times New Roman" w:cs="Times New Roman"/>
          </w:rPr>
          <w:t>https://assets.publishing.service.gov.uk/government/uploads/system/uploads/attachment_data/file/509833/6.1770_Modern_Crime_Prevention_Pamphlet_final_WEB_version.pdf</w:t>
        </w:r>
      </w:hyperlink>
    </w:p>
    <w:p w14:paraId="1750CDA3" w14:textId="77777777" w:rsidR="006B2173" w:rsidRDefault="006B2173" w:rsidP="00DD7F3F">
      <w:pPr>
        <w:rPr>
          <w:rFonts w:ascii="Times New Roman" w:hAnsi="Times New Roman" w:cs="Times New Roman"/>
        </w:rPr>
      </w:pPr>
      <w:r>
        <w:rPr>
          <w:rFonts w:ascii="Times New Roman" w:hAnsi="Times New Roman" w:cs="Times New Roman"/>
        </w:rPr>
        <w:t xml:space="preserve">Home Office (2020) </w:t>
      </w:r>
      <w:r w:rsidRPr="00D80C7D">
        <w:rPr>
          <w:rFonts w:ascii="Times New Roman" w:hAnsi="Times New Roman" w:cs="Times New Roman"/>
          <w:i/>
          <w:iCs/>
        </w:rPr>
        <w:t>Home Office Guidance Conduct, Efficiency and Effectiveness: Statutory Guidance on Professional Standards, Performance and Integrity in Policing</w:t>
      </w:r>
      <w:r>
        <w:rPr>
          <w:rFonts w:ascii="Times New Roman" w:hAnsi="Times New Roman" w:cs="Times New Roman"/>
        </w:rPr>
        <w:t xml:space="preserve">. Home Office.  </w:t>
      </w:r>
      <w:r w:rsidRPr="001462EF">
        <w:rPr>
          <w:rFonts w:ascii="Times New Roman" w:hAnsi="Times New Roman" w:cs="Times New Roman"/>
        </w:rPr>
        <w:t>Home_Office_Statutory_Guidance_0502.pdf (publishing.service.gov.uk)</w:t>
      </w:r>
      <w:r w:rsidRPr="00DD7F3F">
        <w:rPr>
          <w:rFonts w:ascii="Times New Roman" w:hAnsi="Times New Roman" w:cs="Times New Roman"/>
        </w:rPr>
        <w:t xml:space="preserve"> </w:t>
      </w:r>
    </w:p>
    <w:p w14:paraId="11ED9CC4"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 xml:space="preserve">Home Office (2021) ‘Covert Human Intelligence Sources: Draft Revised Code of Practice. </w:t>
      </w:r>
      <w:r w:rsidRPr="0077118B">
        <w:rPr>
          <w:rFonts w:ascii="Times New Roman" w:hAnsi="Times New Roman" w:cs="Times New Roman"/>
          <w:i/>
          <w:iCs/>
        </w:rPr>
        <w:t xml:space="preserve">Home Office. </w:t>
      </w:r>
      <w:hyperlink r:id="rId21" w:history="1">
        <w:r w:rsidRPr="0077118B">
          <w:rPr>
            <w:rStyle w:val="Hyperlink"/>
            <w:rFonts w:ascii="Times New Roman" w:hAnsi="Times New Roman" w:cs="Times New Roman"/>
          </w:rPr>
          <w:t>https://assets.publishing.service.gov.uk/government/uploads/system/uploads/attachment_data/file/949806/Covert_Human_Intelligence_Sources_Draft_Revised_Code_of_Practice_FINAL.pdf</w:t>
        </w:r>
      </w:hyperlink>
      <w:r w:rsidRPr="0077118B">
        <w:rPr>
          <w:rFonts w:ascii="Times New Roman" w:hAnsi="Times New Roman" w:cs="Times New Roman"/>
        </w:rPr>
        <w:t xml:space="preserve"> </w:t>
      </w:r>
    </w:p>
    <w:p w14:paraId="63A3C7AB"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Innes, M. &amp; Sheptycki, J. W. E. (2004) From Detection to Disruption. </w:t>
      </w:r>
      <w:r w:rsidRPr="0077118B">
        <w:rPr>
          <w:rFonts w:ascii="Times New Roman" w:hAnsi="Times New Roman" w:cs="Times New Roman"/>
          <w:i/>
          <w:iCs/>
        </w:rPr>
        <w:t>International criminal justice review</w:t>
      </w:r>
      <w:r w:rsidRPr="0077118B">
        <w:rPr>
          <w:rFonts w:ascii="Times New Roman" w:hAnsi="Times New Roman" w:cs="Times New Roman"/>
        </w:rPr>
        <w:t>. [Online] 14 (1), 1–24.</w:t>
      </w:r>
    </w:p>
    <w:p w14:paraId="1D2FDB5E"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 xml:space="preserve">IPCC (2009) </w:t>
      </w:r>
      <w:r w:rsidRPr="000A7F7A">
        <w:rPr>
          <w:rFonts w:ascii="Times New Roman" w:hAnsi="Times New Roman" w:cs="Times New Roman"/>
          <w:i/>
          <w:iCs/>
        </w:rPr>
        <w:t>IPCC report into the contact between Fiona Pilkington and Leicestershire Constabulary 2004-2007.</w:t>
      </w:r>
      <w:r w:rsidRPr="000A7F7A">
        <w:rPr>
          <w:rFonts w:ascii="Times New Roman" w:hAnsi="Times New Roman" w:cs="Times New Roman"/>
        </w:rPr>
        <w:t xml:space="preserve"> [Online] Available at:  </w:t>
      </w:r>
      <w:hyperlink r:id="rId22" w:history="1">
        <w:r w:rsidRPr="000A7F7A">
          <w:rPr>
            <w:rStyle w:val="Hyperlink"/>
            <w:rFonts w:ascii="Times New Roman" w:hAnsi="Times New Roman" w:cs="Times New Roman"/>
          </w:rPr>
          <w:t>https://www.report-it.org.uk/files/ipcc_report-fiona-pilkington-leicestershire.pdf</w:t>
        </w:r>
      </w:hyperlink>
    </w:p>
    <w:p w14:paraId="4FFF5C5F" w14:textId="77777777" w:rsidR="006B2173" w:rsidRPr="00DD7F3F" w:rsidRDefault="006B2173" w:rsidP="00DD7F3F">
      <w:pPr>
        <w:rPr>
          <w:rFonts w:ascii="Times New Roman" w:hAnsi="Times New Roman" w:cs="Times New Roman"/>
        </w:rPr>
      </w:pPr>
      <w:r w:rsidRPr="00DD7F3F">
        <w:rPr>
          <w:rFonts w:ascii="Times New Roman" w:hAnsi="Times New Roman" w:cs="Times New Roman"/>
        </w:rPr>
        <w:t xml:space="preserve">IPCC (2015) </w:t>
      </w:r>
      <w:r w:rsidRPr="00DD7F3F">
        <w:rPr>
          <w:rFonts w:ascii="Times New Roman" w:hAnsi="Times New Roman" w:cs="Times New Roman"/>
          <w:i/>
          <w:iCs/>
        </w:rPr>
        <w:t xml:space="preserve">Police Use of Force. </w:t>
      </w:r>
      <w:r w:rsidRPr="00DD7F3F">
        <w:rPr>
          <w:rFonts w:ascii="Times New Roman" w:hAnsi="Times New Roman" w:cs="Times New Roman"/>
        </w:rPr>
        <w:t xml:space="preserve">[Online] Available at: </w:t>
      </w:r>
      <w:hyperlink r:id="rId23" w:history="1">
        <w:r w:rsidRPr="00DD7F3F">
          <w:rPr>
            <w:rStyle w:val="Hyperlink"/>
            <w:rFonts w:ascii="Times New Roman" w:hAnsi="Times New Roman" w:cs="Times New Roman"/>
          </w:rPr>
          <w:t>BMRB_use_of_force_report.pdf (policeconduct.gov.uk)</w:t>
        </w:r>
      </w:hyperlink>
    </w:p>
    <w:p w14:paraId="12877D55" w14:textId="77777777" w:rsidR="006B2173" w:rsidRPr="001462EF" w:rsidRDefault="006B2173" w:rsidP="00D80C7D">
      <w:pPr>
        <w:rPr>
          <w:rFonts w:ascii="Times New Roman" w:hAnsi="Times New Roman" w:cs="Times New Roman"/>
        </w:rPr>
      </w:pPr>
      <w:r w:rsidRPr="009A5889">
        <w:rPr>
          <w:rFonts w:ascii="Times New Roman" w:hAnsi="Times New Roman" w:cs="Times New Roman"/>
        </w:rPr>
        <w:t>Jackson, J. &amp; Sunshine, J. (2007) PUBLIC CONFIDENCE IN POLICING: A Neo-Durkheimian Perspective. </w:t>
      </w:r>
      <w:r w:rsidRPr="009A5889">
        <w:rPr>
          <w:rFonts w:ascii="Times New Roman" w:hAnsi="Times New Roman" w:cs="Times New Roman"/>
          <w:i/>
          <w:iCs/>
        </w:rPr>
        <w:t>British journal of criminology</w:t>
      </w:r>
      <w:r w:rsidRPr="009A5889">
        <w:rPr>
          <w:rFonts w:ascii="Times New Roman" w:hAnsi="Times New Roman" w:cs="Times New Roman"/>
        </w:rPr>
        <w:t>. 47 (2), 214–233.</w:t>
      </w:r>
    </w:p>
    <w:p w14:paraId="72DFF107" w14:textId="77777777" w:rsidR="006B2173" w:rsidRPr="00DD7F3F" w:rsidRDefault="006B2173" w:rsidP="00DD7F3F">
      <w:pPr>
        <w:rPr>
          <w:rFonts w:ascii="Times New Roman" w:hAnsi="Times New Roman" w:cs="Times New Roman"/>
          <w:u w:val="single"/>
        </w:rPr>
      </w:pPr>
      <w:r w:rsidRPr="00DD7F3F">
        <w:rPr>
          <w:rFonts w:ascii="Times New Roman" w:hAnsi="Times New Roman" w:cs="Times New Roman"/>
        </w:rPr>
        <w:t xml:space="preserve">JESIP (No Date) </w:t>
      </w:r>
      <w:r w:rsidRPr="00DD7F3F">
        <w:rPr>
          <w:rFonts w:ascii="Times New Roman" w:hAnsi="Times New Roman" w:cs="Times New Roman"/>
          <w:i/>
          <w:iCs/>
        </w:rPr>
        <w:t xml:space="preserve">EARLY STAGES OF AN INCIDENT &amp; M/ETHANE. </w:t>
      </w:r>
      <w:r w:rsidRPr="00DD7F3F">
        <w:rPr>
          <w:rFonts w:ascii="Times New Roman" w:hAnsi="Times New Roman" w:cs="Times New Roman"/>
        </w:rPr>
        <w:t xml:space="preserve">[Online] Available at </w:t>
      </w:r>
      <w:hyperlink r:id="rId24" w:history="1">
        <w:r w:rsidRPr="00DD7F3F">
          <w:rPr>
            <w:rStyle w:val="Hyperlink"/>
            <w:rFonts w:ascii="Times New Roman" w:hAnsi="Times New Roman" w:cs="Times New Roman"/>
          </w:rPr>
          <w:t>https://www.jesip.org.uk/early-stages-methane</w:t>
        </w:r>
      </w:hyperlink>
    </w:p>
    <w:p w14:paraId="142EA0DE"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Johnson, S. D. et al. (2015) Introducing EMMIE: an evidence rating scale to encourage mixed-method </w:t>
      </w:r>
      <w:r>
        <w:rPr>
          <w:rFonts w:ascii="Times New Roman" w:hAnsi="Times New Roman" w:cs="Times New Roman"/>
        </w:rPr>
        <w:t>C</w:t>
      </w:r>
      <w:r w:rsidRPr="006B2173">
        <w:rPr>
          <w:rFonts w:ascii="Times New Roman" w:hAnsi="Times New Roman" w:cs="Times New Roman"/>
        </w:rPr>
        <w:t>rime prevention synthesis reviews. </w:t>
      </w:r>
      <w:r w:rsidRPr="006B2173">
        <w:rPr>
          <w:rFonts w:ascii="Times New Roman" w:hAnsi="Times New Roman" w:cs="Times New Roman"/>
          <w:i/>
          <w:iCs/>
        </w:rPr>
        <w:t>Journal of experimental criminology</w:t>
      </w:r>
      <w:r w:rsidRPr="006B2173">
        <w:rPr>
          <w:rFonts w:ascii="Times New Roman" w:hAnsi="Times New Roman" w:cs="Times New Roman"/>
        </w:rPr>
        <w:t>. [Online] 11 (3), 459–473</w:t>
      </w:r>
    </w:p>
    <w:p w14:paraId="5BDE19EC" w14:textId="77777777" w:rsidR="006B2173" w:rsidRPr="001462EF" w:rsidRDefault="006B2173" w:rsidP="001462EF">
      <w:pPr>
        <w:rPr>
          <w:rFonts w:ascii="Times New Roman" w:hAnsi="Times New Roman" w:cs="Times New Roman"/>
        </w:rPr>
      </w:pPr>
      <w:r w:rsidRPr="001462EF">
        <w:rPr>
          <w:rFonts w:ascii="Times New Roman" w:hAnsi="Times New Roman" w:cs="Times New Roman"/>
        </w:rPr>
        <w:t>Jones, Lance. D (2004) Sir Robert Peel's Nine Principles: Their Relevance to Campus Policing in the 21st Century. Campus Law Enforcement Journal, 34(3), 30-32</w:t>
      </w:r>
    </w:p>
    <w:p w14:paraId="72955231" w14:textId="77777777" w:rsidR="006B2173" w:rsidRPr="0077118B" w:rsidRDefault="006B2173" w:rsidP="0077118B">
      <w:pPr>
        <w:rPr>
          <w:rFonts w:ascii="Times New Roman" w:hAnsi="Times New Roman" w:cs="Times New Roman"/>
        </w:rPr>
      </w:pPr>
      <w:bookmarkStart w:id="0" w:name="_Hlk83038666"/>
      <w:r w:rsidRPr="0077118B">
        <w:rPr>
          <w:rFonts w:ascii="Times New Roman" w:hAnsi="Times New Roman" w:cs="Times New Roman"/>
        </w:rPr>
        <w:t xml:space="preserve">Kirby, S. &amp; McPherson, I. (2004) </w:t>
      </w:r>
      <w:bookmarkEnd w:id="0"/>
      <w:r w:rsidRPr="0077118B">
        <w:rPr>
          <w:rFonts w:ascii="Times New Roman" w:hAnsi="Times New Roman" w:cs="Times New Roman"/>
        </w:rPr>
        <w:t>Integrating the National Intelligence Model with a ‘problem solving’ approach. </w:t>
      </w:r>
      <w:r w:rsidRPr="0077118B">
        <w:rPr>
          <w:rFonts w:ascii="Times New Roman" w:hAnsi="Times New Roman" w:cs="Times New Roman"/>
          <w:i/>
          <w:iCs/>
        </w:rPr>
        <w:t>Safer communities</w:t>
      </w:r>
      <w:r w:rsidRPr="0077118B">
        <w:rPr>
          <w:rFonts w:ascii="Times New Roman" w:hAnsi="Times New Roman" w:cs="Times New Roman"/>
        </w:rPr>
        <w:t>. [Online] 3 (2), 36–46.</w:t>
      </w:r>
    </w:p>
    <w:p w14:paraId="657F0B5F"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Loader, I. (2016) In Search of Civic Policing: Recasting the ‘Peelian’ Principles. </w:t>
      </w:r>
      <w:r w:rsidRPr="006B2173">
        <w:rPr>
          <w:rFonts w:ascii="Times New Roman" w:hAnsi="Times New Roman" w:cs="Times New Roman"/>
          <w:i/>
          <w:iCs/>
        </w:rPr>
        <w:t>Criminal law and philosophy</w:t>
      </w:r>
      <w:r w:rsidRPr="006B2173">
        <w:rPr>
          <w:rFonts w:ascii="Times New Roman" w:hAnsi="Times New Roman" w:cs="Times New Roman"/>
        </w:rPr>
        <w:t>. [Online] 10 (3), 427–440.</w:t>
      </w:r>
    </w:p>
    <w:p w14:paraId="55E4392A" w14:textId="77777777" w:rsidR="006B2173" w:rsidRPr="001462EF" w:rsidRDefault="006B2173" w:rsidP="001462EF">
      <w:pPr>
        <w:rPr>
          <w:rFonts w:ascii="Times New Roman" w:hAnsi="Times New Roman" w:cs="Times New Roman"/>
        </w:rPr>
      </w:pPr>
      <w:r w:rsidRPr="001462EF">
        <w:rPr>
          <w:rFonts w:ascii="Times New Roman" w:hAnsi="Times New Roman" w:cs="Times New Roman"/>
        </w:rPr>
        <w:t>Lumsden, K. (2017) ‘‘It’s a Profession, it Isn’t a Job’: Police Officers’ Views on the Professionalisation of Policing in England’, Sociological Research Online, 22(3), pp. 4–20. doi: 10.1177/1360780417724062.</w:t>
      </w:r>
    </w:p>
    <w:p w14:paraId="2F71F18D"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lastRenderedPageBreak/>
        <w:t>Mitchell, R. &amp; Huey, L. (2019) Evidence based policing : an introduction. Bristol, UK ;: Policy Press.</w:t>
      </w:r>
    </w:p>
    <w:p w14:paraId="414C7A46" w14:textId="77777777" w:rsidR="006B2173" w:rsidRDefault="006B2173" w:rsidP="009A5889">
      <w:pPr>
        <w:rPr>
          <w:rFonts w:ascii="Times New Roman" w:hAnsi="Times New Roman" w:cs="Times New Roman"/>
        </w:rPr>
      </w:pPr>
      <w:r w:rsidRPr="001462EF">
        <w:rPr>
          <w:rFonts w:ascii="Times New Roman" w:hAnsi="Times New Roman" w:cs="Times New Roman"/>
        </w:rPr>
        <w:t xml:space="preserve">Neyroud, P (2011) </w:t>
      </w:r>
      <w:r w:rsidRPr="002D576D">
        <w:rPr>
          <w:rFonts w:ascii="Times New Roman" w:hAnsi="Times New Roman" w:cs="Times New Roman"/>
          <w:i/>
          <w:iCs/>
        </w:rPr>
        <w:t>Review of police leadership and training</w:t>
      </w:r>
      <w:r w:rsidRPr="001462EF">
        <w:rPr>
          <w:rFonts w:ascii="Times New Roman" w:hAnsi="Times New Roman" w:cs="Times New Roman"/>
        </w:rPr>
        <w:t>.</w:t>
      </w:r>
      <w:r>
        <w:rPr>
          <w:rFonts w:ascii="Times New Roman" w:hAnsi="Times New Roman" w:cs="Times New Roman"/>
        </w:rPr>
        <w:t xml:space="preserve"> Home Office.</w:t>
      </w:r>
      <w:r w:rsidRPr="001462EF">
        <w:rPr>
          <w:rFonts w:ascii="Times New Roman" w:hAnsi="Times New Roman" w:cs="Times New Roman"/>
        </w:rPr>
        <w:t xml:space="preserve"> Available at: </w:t>
      </w:r>
      <w:hyperlink r:id="rId25" w:history="1">
        <w:r w:rsidRPr="00060BB7">
          <w:rPr>
            <w:rStyle w:val="Hyperlink"/>
            <w:rFonts w:ascii="Times New Roman" w:hAnsi="Times New Roman" w:cs="Times New Roman"/>
          </w:rPr>
          <w:t>www.gov.uk/government/publications/police-leadership-and-training-report-review</w:t>
        </w:r>
      </w:hyperlink>
      <w:r w:rsidRPr="001462EF">
        <w:rPr>
          <w:rFonts w:ascii="Times New Roman" w:hAnsi="Times New Roman" w:cs="Times New Roman"/>
        </w:rPr>
        <w:t>.</w:t>
      </w:r>
    </w:p>
    <w:p w14:paraId="2DFBB748" w14:textId="77777777" w:rsidR="006B2173" w:rsidRPr="0077118B" w:rsidRDefault="006B2173" w:rsidP="0077118B">
      <w:pPr>
        <w:rPr>
          <w:rFonts w:ascii="Times New Roman" w:hAnsi="Times New Roman" w:cs="Times New Roman"/>
        </w:rPr>
      </w:pPr>
      <w:r w:rsidRPr="0077118B">
        <w:rPr>
          <w:rFonts w:ascii="Times New Roman" w:hAnsi="Times New Roman" w:cs="Times New Roman"/>
        </w:rPr>
        <w:t>Ratcliffe, J. H. (2008). Intelligence-Led Policing. Cullompton, UK: Willan</w:t>
      </w:r>
    </w:p>
    <w:p w14:paraId="2CB3158E"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Rawlinson, L. (2012) Thematic inspection of Multi-Agency Public Protection Arrangements. </w:t>
      </w:r>
      <w:r w:rsidRPr="000A7F7A">
        <w:rPr>
          <w:rFonts w:ascii="Times New Roman" w:hAnsi="Times New Roman" w:cs="Times New Roman"/>
          <w:i/>
          <w:iCs/>
        </w:rPr>
        <w:t>Probation Journal</w:t>
      </w:r>
      <w:r w:rsidRPr="000A7F7A">
        <w:rPr>
          <w:rFonts w:ascii="Times New Roman" w:hAnsi="Times New Roman" w:cs="Times New Roman"/>
        </w:rPr>
        <w:t>. [Online] 59 (2), 166–167.</w:t>
      </w:r>
    </w:p>
    <w:p w14:paraId="6D4EBE9A"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Rawlinson, L. (2012) Thematic inspection of Multi-Agency Public Protection Arrangements. </w:t>
      </w:r>
      <w:r w:rsidRPr="006B2173">
        <w:rPr>
          <w:rFonts w:ascii="Times New Roman" w:hAnsi="Times New Roman" w:cs="Times New Roman"/>
          <w:i/>
          <w:iCs/>
        </w:rPr>
        <w:t>Probation Journal</w:t>
      </w:r>
      <w:r w:rsidRPr="006B2173">
        <w:rPr>
          <w:rFonts w:ascii="Times New Roman" w:hAnsi="Times New Roman" w:cs="Times New Roman"/>
        </w:rPr>
        <w:t>. [Online] 59 (2), 166–167.</w:t>
      </w:r>
    </w:p>
    <w:p w14:paraId="00F307DF"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Richards, M. et al (2009) ‘Childhood mental health and life chances in post-war Britain: insights from three national birth cohort studies (executive summary)’ London: Sainsbury Centre for Mental Health.</w:t>
      </w:r>
    </w:p>
    <w:p w14:paraId="0681951C" w14:textId="77777777" w:rsidR="006B2173" w:rsidRPr="00DD7F3F" w:rsidRDefault="006B2173" w:rsidP="009A5889">
      <w:pPr>
        <w:rPr>
          <w:rFonts w:ascii="Times New Roman" w:hAnsi="Times New Roman" w:cs="Times New Roman"/>
        </w:rPr>
      </w:pPr>
      <w:r w:rsidRPr="009A5889">
        <w:rPr>
          <w:rFonts w:ascii="Times New Roman" w:hAnsi="Times New Roman" w:cs="Times New Roman"/>
        </w:rPr>
        <w:t>Roycroft, M. &amp; Roach, J. (2019) </w:t>
      </w:r>
      <w:r w:rsidRPr="009A5889">
        <w:rPr>
          <w:rFonts w:ascii="Times New Roman" w:hAnsi="Times New Roman" w:cs="Times New Roman"/>
          <w:i/>
          <w:iCs/>
        </w:rPr>
        <w:t>Decision Making in Police Enquiries and Critical Incidents What Really Works?</w:t>
      </w:r>
      <w:r w:rsidRPr="009A5889">
        <w:rPr>
          <w:rFonts w:ascii="Times New Roman" w:hAnsi="Times New Roman" w:cs="Times New Roman"/>
        </w:rPr>
        <w:t> 1st ed. 2019. [Online]. London: Palgrave Macmillan UK.</w:t>
      </w:r>
    </w:p>
    <w:p w14:paraId="34421543" w14:textId="77777777" w:rsidR="006B2173" w:rsidRPr="001462EF" w:rsidRDefault="006B2173" w:rsidP="001462EF">
      <w:pPr>
        <w:rPr>
          <w:rFonts w:ascii="Times New Roman" w:hAnsi="Times New Roman" w:cs="Times New Roman"/>
        </w:rPr>
      </w:pPr>
      <w:r w:rsidRPr="001462EF">
        <w:rPr>
          <w:rFonts w:ascii="Times New Roman" w:hAnsi="Times New Roman" w:cs="Times New Roman"/>
        </w:rPr>
        <w:t>Savage, S, Charman, S &amp; Cope, S</w:t>
      </w:r>
      <w:r>
        <w:rPr>
          <w:rFonts w:ascii="Times New Roman" w:hAnsi="Times New Roman" w:cs="Times New Roman"/>
        </w:rPr>
        <w:t xml:space="preserve">, </w:t>
      </w:r>
      <w:r w:rsidRPr="001462EF">
        <w:rPr>
          <w:rFonts w:ascii="Times New Roman" w:hAnsi="Times New Roman" w:cs="Times New Roman"/>
        </w:rPr>
        <w:t>2000</w:t>
      </w:r>
      <w:r>
        <w:rPr>
          <w:rFonts w:ascii="Times New Roman" w:hAnsi="Times New Roman" w:cs="Times New Roman"/>
        </w:rPr>
        <w:t xml:space="preserve">. </w:t>
      </w:r>
      <w:r w:rsidRPr="001462EF">
        <w:rPr>
          <w:rFonts w:ascii="Times New Roman" w:hAnsi="Times New Roman" w:cs="Times New Roman"/>
        </w:rPr>
        <w:t>Policing and the power of persuasion. Blackstone, London.</w:t>
      </w:r>
    </w:p>
    <w:p w14:paraId="66367241" w14:textId="77777777" w:rsidR="006B2173" w:rsidRPr="001462EF" w:rsidRDefault="006B2173" w:rsidP="001462EF">
      <w:pPr>
        <w:rPr>
          <w:rFonts w:ascii="Times New Roman" w:hAnsi="Times New Roman" w:cs="Times New Roman"/>
        </w:rPr>
      </w:pPr>
      <w:r w:rsidRPr="001462EF">
        <w:rPr>
          <w:rFonts w:ascii="Times New Roman" w:hAnsi="Times New Roman" w:cs="Times New Roman"/>
        </w:rPr>
        <w:t>Schenider, J (2009) In Pursuit of Police Professionalism: The Development and Assessment of a Conceptual Model of Professionalism in Law Enforcement. University of Pittsburg,</w:t>
      </w:r>
    </w:p>
    <w:p w14:paraId="51CA0A08"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Sherman, L. (1998) Evidence-Based Policing. Ideas in American Policing Series. Washington, DC: Police Foundation </w:t>
      </w:r>
    </w:p>
    <w:p w14:paraId="4EEFB1F7"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 xml:space="preserve">Sherman, L.W. (2013). ‘The rise of evidence-based policing: Targeting, testing, and track - ing’, Crime and Justice , 377– 451. </w:t>
      </w:r>
    </w:p>
    <w:p w14:paraId="5C8B417F" w14:textId="77777777" w:rsidR="006B2173" w:rsidRDefault="006B2173" w:rsidP="000A7F7A">
      <w:pPr>
        <w:rPr>
          <w:rFonts w:ascii="Times New Roman" w:hAnsi="Times New Roman" w:cs="Times New Roman"/>
        </w:rPr>
      </w:pPr>
      <w:r w:rsidRPr="000A7F7A">
        <w:rPr>
          <w:rFonts w:ascii="Times New Roman" w:hAnsi="Times New Roman" w:cs="Times New Roman"/>
        </w:rPr>
        <w:t xml:space="preserve">Thompson, N. (2019) ‘It’s a No-Win Scenario, either the Police or the Gang Will Get You’: Young People and Organised Crime – Vulnerable or Criminal? Youth justice. [Online] 19 (2), 102–119. </w:t>
      </w:r>
    </w:p>
    <w:p w14:paraId="655C8D23" w14:textId="77777777" w:rsidR="006B2173" w:rsidRPr="006B2173" w:rsidRDefault="006B2173" w:rsidP="006B2173">
      <w:pPr>
        <w:rPr>
          <w:rFonts w:ascii="Times New Roman" w:hAnsi="Times New Roman" w:cs="Times New Roman"/>
        </w:rPr>
      </w:pPr>
      <w:r w:rsidRPr="006B2173">
        <w:rPr>
          <w:rFonts w:ascii="Times New Roman" w:hAnsi="Times New Roman" w:cs="Times New Roman"/>
        </w:rPr>
        <w:t>Tilley, N. et al. (2015) Target Suitability and the Crime Drop. [Online]. London: Palgrave Macmillan UK.</w:t>
      </w:r>
    </w:p>
    <w:p w14:paraId="2A9F560D" w14:textId="77777777" w:rsidR="006B2173" w:rsidRDefault="006B2173" w:rsidP="000A7F7A">
      <w:pPr>
        <w:rPr>
          <w:rFonts w:ascii="Times New Roman" w:hAnsi="Times New Roman" w:cs="Times New Roman"/>
        </w:rPr>
      </w:pPr>
      <w:r w:rsidRPr="000A7F7A">
        <w:rPr>
          <w:rFonts w:ascii="Times New Roman" w:hAnsi="Times New Roman" w:cs="Times New Roman"/>
        </w:rPr>
        <w:t xml:space="preserve">Turner, E, Medina-Ariza, J &amp; Brown, G 2019, 'Dashing Hopes? The Predictive Accuracy of Domestic Abuse Risk Assessment by Police?', The British Journal of Criminology, vol. 59, no. 5, pp. 1013-1034. </w:t>
      </w:r>
      <w:hyperlink r:id="rId26" w:history="1">
        <w:r w:rsidRPr="00060BB7">
          <w:rPr>
            <w:rStyle w:val="Hyperlink"/>
            <w:rFonts w:ascii="Times New Roman" w:hAnsi="Times New Roman" w:cs="Times New Roman"/>
          </w:rPr>
          <w:t>https://doi.org/10.1093/bjc/azy074</w:t>
        </w:r>
      </w:hyperlink>
    </w:p>
    <w:p w14:paraId="3DB4FE80" w14:textId="77777777" w:rsidR="006B2173" w:rsidRDefault="006B2173" w:rsidP="0077118B">
      <w:pPr>
        <w:rPr>
          <w:rFonts w:ascii="Times New Roman" w:hAnsi="Times New Roman" w:cs="Times New Roman"/>
        </w:rPr>
      </w:pPr>
      <w:r w:rsidRPr="0077118B">
        <w:rPr>
          <w:rFonts w:ascii="Times New Roman" w:hAnsi="Times New Roman" w:cs="Times New Roman"/>
        </w:rPr>
        <w:t xml:space="preserve">United Nations (2006) </w:t>
      </w:r>
      <w:r w:rsidRPr="0077118B">
        <w:rPr>
          <w:rFonts w:ascii="Times New Roman" w:hAnsi="Times New Roman" w:cs="Times New Roman"/>
          <w:i/>
          <w:iCs/>
        </w:rPr>
        <w:t>Police Information and Intelligence Systems: Criminal Justice Assessment Toolkit.</w:t>
      </w:r>
      <w:r w:rsidRPr="0077118B">
        <w:rPr>
          <w:rFonts w:ascii="Times New Roman" w:hAnsi="Times New Roman" w:cs="Times New Roman"/>
        </w:rPr>
        <w:t xml:space="preserve"> [Online] Available at: </w:t>
      </w:r>
      <w:hyperlink r:id="rId27" w:history="1">
        <w:r w:rsidRPr="0077118B">
          <w:rPr>
            <w:rStyle w:val="Hyperlink"/>
            <w:rFonts w:ascii="Times New Roman" w:hAnsi="Times New Roman" w:cs="Times New Roman"/>
          </w:rPr>
          <w:t>UNODC Assessment Toolkit</w:t>
        </w:r>
      </w:hyperlink>
    </w:p>
    <w:p w14:paraId="63943CCE" w14:textId="77777777" w:rsidR="006B2173" w:rsidRPr="000A7F7A" w:rsidRDefault="006B2173" w:rsidP="000A7F7A">
      <w:pPr>
        <w:rPr>
          <w:rFonts w:ascii="Times New Roman" w:hAnsi="Times New Roman" w:cs="Times New Roman"/>
        </w:rPr>
      </w:pPr>
      <w:r w:rsidRPr="000A7F7A">
        <w:rPr>
          <w:rFonts w:ascii="Times New Roman" w:hAnsi="Times New Roman" w:cs="Times New Roman"/>
        </w:rPr>
        <w:t xml:space="preserve">Victim Support (No Date) </w:t>
      </w:r>
      <w:r w:rsidRPr="000A7F7A">
        <w:rPr>
          <w:rFonts w:ascii="Times New Roman" w:hAnsi="Times New Roman" w:cs="Times New Roman"/>
          <w:i/>
          <w:iCs/>
        </w:rPr>
        <w:t xml:space="preserve">How we can help </w:t>
      </w:r>
      <w:r w:rsidRPr="000A7F7A">
        <w:rPr>
          <w:rFonts w:ascii="Times New Roman" w:hAnsi="Times New Roman" w:cs="Times New Roman"/>
        </w:rPr>
        <w:t xml:space="preserve">[Online] Available at:  </w:t>
      </w:r>
      <w:hyperlink r:id="rId28" w:history="1">
        <w:r w:rsidRPr="000A7F7A">
          <w:rPr>
            <w:rStyle w:val="Hyperlink"/>
            <w:rFonts w:ascii="Times New Roman" w:hAnsi="Times New Roman" w:cs="Times New Roman"/>
          </w:rPr>
          <w:t>How we can help - Victim Support</w:t>
        </w:r>
      </w:hyperlink>
    </w:p>
    <w:p w14:paraId="48ED8F8A" w14:textId="77777777" w:rsidR="006B2173" w:rsidRDefault="006B2173" w:rsidP="001462EF">
      <w:pPr>
        <w:rPr>
          <w:rFonts w:ascii="Times New Roman" w:hAnsi="Times New Roman" w:cs="Times New Roman"/>
        </w:rPr>
      </w:pPr>
      <w:r w:rsidRPr="001462EF">
        <w:rPr>
          <w:rFonts w:ascii="Times New Roman" w:hAnsi="Times New Roman" w:cs="Times New Roman"/>
        </w:rPr>
        <w:t>Wikström, P.-O. H. and Svensson, R. (2008) ‘Why are English Youths More Violent Than Swedish Youths?: A Comparative Study of the Role of Crime Propensity, Lifestyles and Their Interactions in Two Cities’, European Journal of Criminology, 5(3), pp. 309–330. doi: 10.1177/1477370808090835.</w:t>
      </w:r>
    </w:p>
    <w:p w14:paraId="6975FCA1" w14:textId="77777777" w:rsidR="006B2173" w:rsidRPr="000A7F7A" w:rsidRDefault="006B2173" w:rsidP="000A7F7A">
      <w:pPr>
        <w:rPr>
          <w:rFonts w:ascii="Times New Roman" w:hAnsi="Times New Roman" w:cs="Times New Roman"/>
        </w:rPr>
      </w:pPr>
    </w:p>
    <w:p w14:paraId="20E24727" w14:textId="77777777" w:rsidR="000A7F7A" w:rsidRPr="0077118B" w:rsidRDefault="000A7F7A" w:rsidP="0077118B">
      <w:pPr>
        <w:rPr>
          <w:rFonts w:ascii="Times New Roman" w:hAnsi="Times New Roman" w:cs="Times New Roman"/>
        </w:rPr>
      </w:pPr>
    </w:p>
    <w:p w14:paraId="664D608E" w14:textId="77777777" w:rsidR="0077118B" w:rsidRDefault="0077118B" w:rsidP="001462EF">
      <w:pPr>
        <w:rPr>
          <w:rFonts w:ascii="Times New Roman" w:hAnsi="Times New Roman" w:cs="Times New Roman"/>
        </w:rPr>
      </w:pPr>
    </w:p>
    <w:p w14:paraId="1D890985" w14:textId="2D3EF1E2" w:rsidR="00DD7F3F" w:rsidRDefault="00DD7F3F" w:rsidP="001462EF">
      <w:pPr>
        <w:rPr>
          <w:rFonts w:ascii="Times New Roman" w:hAnsi="Times New Roman" w:cs="Times New Roman"/>
        </w:rPr>
      </w:pPr>
    </w:p>
    <w:p w14:paraId="62D23847" w14:textId="35C5D914" w:rsidR="00DD7F3F" w:rsidRDefault="00DD7F3F" w:rsidP="001462EF">
      <w:pPr>
        <w:rPr>
          <w:rFonts w:ascii="Times New Roman" w:hAnsi="Times New Roman" w:cs="Times New Roman"/>
        </w:rPr>
      </w:pPr>
    </w:p>
    <w:p w14:paraId="37C795A6" w14:textId="77777777" w:rsidR="00DD7F3F" w:rsidRPr="00DD7F3F" w:rsidRDefault="00DD7F3F" w:rsidP="00DD7F3F">
      <w:pPr>
        <w:rPr>
          <w:rFonts w:ascii="Times New Roman" w:hAnsi="Times New Roman" w:cs="Times New Roman"/>
        </w:rPr>
      </w:pPr>
    </w:p>
    <w:p w14:paraId="60AAB107" w14:textId="77777777" w:rsidR="00DD7F3F" w:rsidRPr="00DD7F3F" w:rsidRDefault="00DD7F3F" w:rsidP="00DD7F3F">
      <w:pPr>
        <w:rPr>
          <w:rFonts w:ascii="Times New Roman" w:hAnsi="Times New Roman" w:cs="Times New Roman"/>
        </w:rPr>
      </w:pPr>
    </w:p>
    <w:p w14:paraId="7965839D" w14:textId="77777777" w:rsidR="00DD7F3F" w:rsidRPr="00DD7F3F" w:rsidRDefault="00DD7F3F" w:rsidP="00DD7F3F">
      <w:pPr>
        <w:rPr>
          <w:rFonts w:ascii="Times New Roman" w:hAnsi="Times New Roman" w:cs="Times New Roman"/>
        </w:rPr>
      </w:pPr>
    </w:p>
    <w:p w14:paraId="638213E3" w14:textId="77777777" w:rsidR="00DD7F3F" w:rsidRPr="00DD7F3F" w:rsidRDefault="00DD7F3F" w:rsidP="00DD7F3F">
      <w:pPr>
        <w:rPr>
          <w:rFonts w:ascii="Times New Roman" w:hAnsi="Times New Roman" w:cs="Times New Roman"/>
          <w:u w:val="single"/>
        </w:rPr>
      </w:pPr>
    </w:p>
    <w:p w14:paraId="49295141" w14:textId="77777777" w:rsidR="00DD7F3F" w:rsidRPr="00DD7F3F" w:rsidRDefault="00DD7F3F" w:rsidP="00DD7F3F">
      <w:pPr>
        <w:rPr>
          <w:rFonts w:ascii="Times New Roman" w:hAnsi="Times New Roman" w:cs="Times New Roman"/>
          <w:u w:val="single"/>
        </w:rPr>
      </w:pPr>
    </w:p>
    <w:p w14:paraId="706B1CCB" w14:textId="77777777" w:rsidR="00DD7F3F" w:rsidRPr="00DD7F3F" w:rsidRDefault="00DD7F3F" w:rsidP="00DD7F3F">
      <w:pPr>
        <w:rPr>
          <w:rFonts w:ascii="Times New Roman" w:hAnsi="Times New Roman" w:cs="Times New Roman"/>
        </w:rPr>
      </w:pPr>
    </w:p>
    <w:p w14:paraId="583C952D" w14:textId="77777777" w:rsidR="00DD7F3F" w:rsidRPr="00DD7F3F" w:rsidRDefault="00DD7F3F" w:rsidP="00DD7F3F">
      <w:pPr>
        <w:rPr>
          <w:rFonts w:ascii="Times New Roman" w:hAnsi="Times New Roman" w:cs="Times New Roman"/>
          <w:u w:val="single"/>
        </w:rPr>
      </w:pPr>
    </w:p>
    <w:p w14:paraId="2733BBE3" w14:textId="77777777" w:rsidR="00DD7F3F" w:rsidRPr="00DD7F3F" w:rsidRDefault="00DD7F3F" w:rsidP="00DD7F3F">
      <w:pPr>
        <w:rPr>
          <w:rFonts w:ascii="Times New Roman" w:hAnsi="Times New Roman" w:cs="Times New Roman"/>
          <w:u w:val="single"/>
        </w:rPr>
      </w:pPr>
    </w:p>
    <w:p w14:paraId="06BBB375" w14:textId="77777777" w:rsidR="00DD7F3F" w:rsidRPr="00DD7F3F" w:rsidRDefault="00DD7F3F" w:rsidP="00DD7F3F">
      <w:pPr>
        <w:rPr>
          <w:rFonts w:ascii="Times New Roman" w:hAnsi="Times New Roman" w:cs="Times New Roman"/>
        </w:rPr>
      </w:pPr>
    </w:p>
    <w:p w14:paraId="69E0479F" w14:textId="77777777" w:rsidR="00DD7F3F" w:rsidRPr="00DD7F3F" w:rsidRDefault="00DD7F3F" w:rsidP="00DD7F3F">
      <w:pPr>
        <w:rPr>
          <w:rFonts w:ascii="Times New Roman" w:hAnsi="Times New Roman" w:cs="Times New Roman"/>
        </w:rPr>
      </w:pPr>
    </w:p>
    <w:p w14:paraId="0225B394" w14:textId="77777777" w:rsidR="00DD7F3F" w:rsidRPr="001462EF" w:rsidRDefault="00DD7F3F" w:rsidP="001462EF">
      <w:pPr>
        <w:rPr>
          <w:rFonts w:ascii="Times New Roman" w:hAnsi="Times New Roman" w:cs="Times New Roman"/>
        </w:rPr>
      </w:pPr>
    </w:p>
    <w:sectPr w:rsidR="00DD7F3F" w:rsidRPr="001462EF">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6D4C8B" w14:textId="77777777" w:rsidR="000A7F7A" w:rsidRDefault="000A7F7A" w:rsidP="002D53FC">
      <w:pPr>
        <w:spacing w:after="0" w:line="240" w:lineRule="auto"/>
      </w:pPr>
      <w:r>
        <w:separator/>
      </w:r>
    </w:p>
  </w:endnote>
  <w:endnote w:type="continuationSeparator" w:id="0">
    <w:p w14:paraId="1AE73C63" w14:textId="77777777" w:rsidR="000A7F7A" w:rsidRDefault="000A7F7A" w:rsidP="002D5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1EE00" w14:textId="77777777" w:rsidR="00113522" w:rsidRDefault="00113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D23D80" w14:textId="77777777" w:rsidR="00113522" w:rsidRDefault="00113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13D3ED" w14:textId="77777777" w:rsidR="00113522" w:rsidRDefault="00113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B49A2B" w14:textId="77777777" w:rsidR="000A7F7A" w:rsidRDefault="000A7F7A" w:rsidP="002D53FC">
      <w:pPr>
        <w:spacing w:after="0" w:line="240" w:lineRule="auto"/>
      </w:pPr>
      <w:r>
        <w:separator/>
      </w:r>
    </w:p>
  </w:footnote>
  <w:footnote w:type="continuationSeparator" w:id="0">
    <w:p w14:paraId="228080E1" w14:textId="77777777" w:rsidR="000A7F7A" w:rsidRDefault="000A7F7A" w:rsidP="002D5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86502" w14:textId="77777777" w:rsidR="00113522" w:rsidRDefault="00113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4A94F6" w14:textId="5D6E1D12" w:rsidR="000A7F7A" w:rsidRDefault="0094768F">
    <w:pPr>
      <w:pStyle w:val="Header"/>
    </w:pPr>
    <w:r>
      <w:t>WC-5358</w:t>
    </w:r>
    <w:r w:rsidR="000A7F7A">
      <w:ptab w:relativeTo="margin" w:alignment="center" w:leader="none"/>
    </w:r>
    <w:r w:rsidR="000A7F7A" w:rsidRPr="009601B8">
      <w:rPr>
        <w:rFonts w:ascii="Arial" w:eastAsia="Calibri" w:hAnsi="Arial" w:cs="Arial"/>
        <w:b/>
        <w:bCs/>
      </w:rPr>
      <w:t>BMP</w:t>
    </w:r>
    <w:r w:rsidR="000A7F7A">
      <w:rPr>
        <w:rFonts w:ascii="Arial" w:eastAsia="Calibri" w:hAnsi="Arial" w:cs="Arial"/>
        <w:b/>
        <w:bCs/>
      </w:rPr>
      <w:t>6002D</w:t>
    </w:r>
    <w:r w:rsidR="000A7F7A">
      <w:ptab w:relativeTo="margin" w:alignment="right" w:leader="none"/>
    </w:r>
    <w:r>
      <w:t>1920596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4B7DA" w14:textId="77777777" w:rsidR="00113522" w:rsidRDefault="001135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5249E3"/>
    <w:multiLevelType w:val="hybridMultilevel"/>
    <w:tmpl w:val="68BA0CBC"/>
    <w:lvl w:ilvl="0" w:tplc="0214086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3FC"/>
    <w:rsid w:val="00010494"/>
    <w:rsid w:val="00037B7B"/>
    <w:rsid w:val="000633E2"/>
    <w:rsid w:val="000A7F7A"/>
    <w:rsid w:val="000C3E9D"/>
    <w:rsid w:val="00113522"/>
    <w:rsid w:val="001462EF"/>
    <w:rsid w:val="00177800"/>
    <w:rsid w:val="002D53FC"/>
    <w:rsid w:val="002D576D"/>
    <w:rsid w:val="006B2173"/>
    <w:rsid w:val="0077118B"/>
    <w:rsid w:val="0094768F"/>
    <w:rsid w:val="009708DC"/>
    <w:rsid w:val="009A5889"/>
    <w:rsid w:val="009C23E0"/>
    <w:rsid w:val="00A12046"/>
    <w:rsid w:val="00BC3885"/>
    <w:rsid w:val="00CD211E"/>
    <w:rsid w:val="00D80C7D"/>
    <w:rsid w:val="00DD7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809537"/>
  <w15:chartTrackingRefBased/>
  <w15:docId w15:val="{D1F6E813-DF51-4D70-B81C-C3B3966C8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53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3FC"/>
  </w:style>
  <w:style w:type="paragraph" w:styleId="Footer">
    <w:name w:val="footer"/>
    <w:basedOn w:val="Normal"/>
    <w:link w:val="FooterChar"/>
    <w:uiPriority w:val="99"/>
    <w:unhideWhenUsed/>
    <w:rsid w:val="002D53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3FC"/>
  </w:style>
  <w:style w:type="character" w:styleId="Hyperlink">
    <w:name w:val="Hyperlink"/>
    <w:basedOn w:val="DefaultParagraphFont"/>
    <w:uiPriority w:val="99"/>
    <w:unhideWhenUsed/>
    <w:rsid w:val="001462EF"/>
    <w:rPr>
      <w:color w:val="0563C1" w:themeColor="hyperlink"/>
      <w:u w:val="single"/>
    </w:rPr>
  </w:style>
  <w:style w:type="character" w:styleId="UnresolvedMention">
    <w:name w:val="Unresolved Mention"/>
    <w:basedOn w:val="DefaultParagraphFont"/>
    <w:uiPriority w:val="99"/>
    <w:semiHidden/>
    <w:unhideWhenUsed/>
    <w:rsid w:val="001462EF"/>
    <w:rPr>
      <w:color w:val="605E5C"/>
      <w:shd w:val="clear" w:color="auto" w:fill="E1DFDD"/>
    </w:rPr>
  </w:style>
  <w:style w:type="character" w:styleId="FollowedHyperlink">
    <w:name w:val="FollowedHyperlink"/>
    <w:basedOn w:val="DefaultParagraphFont"/>
    <w:uiPriority w:val="99"/>
    <w:semiHidden/>
    <w:unhideWhenUsed/>
    <w:rsid w:val="00DD7F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works.college.police.uk/About/Pages/default.aspx" TargetMode="External"/><Relationship Id="rId18" Type="http://schemas.openxmlformats.org/officeDocument/2006/relationships/hyperlink" Target="https://www.gov.uk/government/publications/policing-by-consent/definition-of-policing-by-consent" TargetMode="External"/><Relationship Id="rId26" Type="http://schemas.openxmlformats.org/officeDocument/2006/relationships/hyperlink" Target="https://doi.org/10.1093/bjc/azy074" TargetMode="External"/><Relationship Id="rId3" Type="http://schemas.openxmlformats.org/officeDocument/2006/relationships/settings" Target="settings.xml"/><Relationship Id="rId21" Type="http://schemas.openxmlformats.org/officeDocument/2006/relationships/hyperlink" Target="https://assets.publishing.service.gov.uk/government/uploads/system/uploads/attachment_data/file/949806/Covert_Human_Intelligence_Sources_Draft_Revised_Code_of_Practice_FINAL.pdf" TargetMode="External"/><Relationship Id="rId34" Type="http://schemas.openxmlformats.org/officeDocument/2006/relationships/footer" Target="footer3.xml"/><Relationship Id="rId7" Type="http://schemas.openxmlformats.org/officeDocument/2006/relationships/hyperlink" Target="https://www.devonlive.com/news/devon-news/police-declare-major-incidents-what-5048761" TargetMode="External"/><Relationship Id="rId12" Type="http://schemas.openxmlformats.org/officeDocument/2006/relationships/hyperlink" Target="https://www.app.college.police.uk/app-content/intelligence-management/intelligence-report/" TargetMode="External"/><Relationship Id="rId17" Type="http://schemas.openxmlformats.org/officeDocument/2006/relationships/hyperlink" Target="https://whatworks.college.police.uk/About/Documents/ICPR_Final_Evaluation_WWCCR.pdf" TargetMode="External"/><Relationship Id="rId25" Type="http://schemas.openxmlformats.org/officeDocument/2006/relationships/hyperlink" Target="http://www.gov.uk/government/publications/police-leadership-and-training-report-review"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victimsupport.org.uk/sites/default/files/VS_Understanding%20victims%20of%20crime_web.pdf" TargetMode="External"/><Relationship Id="rId20" Type="http://schemas.openxmlformats.org/officeDocument/2006/relationships/hyperlink" Target="https://assets.publishing.service.gov.uk/government/uploads/system/uploads/attachment_data/file/509833/6.1770_Modern_Crime_Prevention_Pamphlet_final_WEB_version.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intelligence-management/governance/" TargetMode="External"/><Relationship Id="rId24" Type="http://schemas.openxmlformats.org/officeDocument/2006/relationships/hyperlink" Target="https://www.jesip.org.uk/early-stages-methane"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aas-s3-broker-prod-lon-6453d964-1d1a-432a-9260-5e0ba7d2fc51.s3.eu-west-2.amazonaws.com/s3fs-public/Recognising-responding-vulnerability-related-risks-guidelines.pdf" TargetMode="External"/><Relationship Id="rId23" Type="http://schemas.openxmlformats.org/officeDocument/2006/relationships/hyperlink" Target="https://www.policeconduct.gov.uk/sites/default/files/Documents/research-learning/BMRB_use_of_force_report.pdf" TargetMode="External"/><Relationship Id="rId28" Type="http://schemas.openxmlformats.org/officeDocument/2006/relationships/hyperlink" Target="https://www.victimsupport.org.uk/help-and-support/how-we-can-help/" TargetMode="External"/><Relationship Id="rId36" Type="http://schemas.openxmlformats.org/officeDocument/2006/relationships/theme" Target="theme/theme1.xml"/><Relationship Id="rId10" Type="http://schemas.openxmlformats.org/officeDocument/2006/relationships/hyperlink" Target="https://www.app.college.police.uk/app-content/intelligence-management/analysis/analytical-techniques/" TargetMode="External"/><Relationship Id="rId19" Type="http://schemas.openxmlformats.org/officeDocument/2006/relationships/hyperlink" Target="https://www.justiceinspectorates.gov.uk/hmicfrs/our-work/article/joint-emergency-services-interoperability-principle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pp.college.police.uk/app-content/intelligence-management/intelligence-cycle/" TargetMode="External"/><Relationship Id="rId14" Type="http://schemas.openxmlformats.org/officeDocument/2006/relationships/hyperlink" Target="https://whatworks.college.police.uk/About/Pages/What-is-EBP.aspx" TargetMode="External"/><Relationship Id="rId22" Type="http://schemas.openxmlformats.org/officeDocument/2006/relationships/hyperlink" Target="https://www.report-it.org.uk/files/ipcc_report-fiona-pilkington-leicestershire.pdf" TargetMode="External"/><Relationship Id="rId27" Type="http://schemas.openxmlformats.org/officeDocument/2006/relationships/hyperlink" Target="https://www.un.org/ruleoflaw/files/4_Police_Information_Intelligence_Systems.pdf"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hyperlink" Target="https://www.app.college.police.uk/app-content/critical-incident-management/types-of-critical-incid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13</Pages>
  <Words>7254</Words>
  <Characters>41350</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George,Robert swp6644</dc:creator>
  <cp:keywords/>
  <dc:description/>
  <cp:lastModifiedBy>George,Robert swp6644</cp:lastModifiedBy>
  <cp:revision>2</cp:revision>
  <dcterms:created xsi:type="dcterms:W3CDTF">2021-11-21T18:09:00Z</dcterms:created>
  <dcterms:modified xsi:type="dcterms:W3CDTF">2021-11-22T10:52:00Z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2021-11-21T21:13:19Z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be9fba19-e8cc-4acb-9686-04e3c369d8a7</vt:lpwstr>
  </property>
  <property fmtid="{D5CDD505-2E9C-101B-9397-08002B2CF9AE}" pid="8" name="MSIP_Label_66cf8fe5-b7b7-4df7-b38d-1c61ac2f6639_ContentBits">
    <vt:lpwstr>0</vt:lpwstr>
  </property>
</Properties>
</file>