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01A0F80" wp14:paraId="2A681E40" wp14:textId="3D2E36E8">
      <w:pPr>
        <w:pStyle w:val="Heading2"/>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32"/>
          <w:szCs w:val="32"/>
          <w:lang w:val="en-US"/>
        </w:rPr>
      </w:pPr>
      <w:r w:rsidRPr="301A0F80" w:rsidR="371352B8">
        <w:rPr>
          <w:rFonts w:ascii="Arial" w:hAnsi="Arial" w:eastAsia="Arial" w:cs="Arial"/>
          <w:b w:val="1"/>
          <w:bCs w:val="1"/>
          <w:i w:val="0"/>
          <w:iCs w:val="0"/>
          <w:caps w:val="0"/>
          <w:smallCaps w:val="0"/>
          <w:noProof w:val="0"/>
          <w:color w:val="00B0F0"/>
          <w:sz w:val="32"/>
          <w:szCs w:val="32"/>
          <w:lang w:val="en-US"/>
        </w:rPr>
        <w:t>Module title: Introduction to Physiology</w:t>
      </w:r>
    </w:p>
    <w:p xmlns:wp14="http://schemas.microsoft.com/office/word/2010/wordml" w:rsidP="301A0F80" wp14:paraId="21974336" wp14:textId="26EF15D2">
      <w:pPr>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32"/>
          <w:szCs w:val="32"/>
          <w:lang w:val="en-US"/>
        </w:rPr>
      </w:pPr>
      <w:r>
        <w:br/>
      </w:r>
      <w:r w:rsidRPr="301A0F80" w:rsidR="371352B8">
        <w:rPr>
          <w:rFonts w:ascii="Arial" w:hAnsi="Arial" w:eastAsia="Arial" w:cs="Arial"/>
          <w:b w:val="1"/>
          <w:bCs w:val="1"/>
          <w:i w:val="0"/>
          <w:iCs w:val="0"/>
          <w:caps w:val="0"/>
          <w:smallCaps w:val="0"/>
          <w:noProof w:val="0"/>
          <w:color w:val="00B0F0"/>
          <w:sz w:val="32"/>
          <w:szCs w:val="32"/>
          <w:lang w:val="en-US"/>
        </w:rPr>
        <w:t>Student name and number (Shamima Akter Rumi 2223220)</w:t>
      </w:r>
    </w:p>
    <w:p xmlns:wp14="http://schemas.microsoft.com/office/word/2010/wordml" w:rsidP="301A0F80" wp14:paraId="554020CB" wp14:textId="482F9696">
      <w:pPr>
        <w:pStyle w:val="Heading2"/>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32"/>
          <w:szCs w:val="32"/>
          <w:lang w:val="en-US"/>
        </w:rPr>
      </w:pPr>
      <w:r w:rsidRPr="301A0F80" w:rsidR="371352B8">
        <w:rPr>
          <w:rFonts w:ascii="Arial" w:hAnsi="Arial" w:eastAsia="Arial" w:cs="Arial"/>
          <w:b w:val="1"/>
          <w:bCs w:val="1"/>
          <w:i w:val="0"/>
          <w:iCs w:val="0"/>
          <w:caps w:val="0"/>
          <w:smallCaps w:val="0"/>
          <w:noProof w:val="0"/>
          <w:color w:val="00B0F0"/>
          <w:sz w:val="32"/>
          <w:szCs w:val="32"/>
          <w:lang w:val="en-US"/>
        </w:rPr>
        <w:t xml:space="preserve"> </w:t>
      </w:r>
      <w:r>
        <w:br/>
      </w:r>
      <w:r w:rsidRPr="301A0F80" w:rsidR="371352B8">
        <w:rPr>
          <w:rFonts w:ascii="Arial" w:hAnsi="Arial" w:eastAsia="Arial" w:cs="Arial"/>
          <w:b w:val="1"/>
          <w:bCs w:val="1"/>
          <w:i w:val="0"/>
          <w:iCs w:val="0"/>
          <w:caps w:val="0"/>
          <w:smallCaps w:val="0"/>
          <w:noProof w:val="0"/>
          <w:color w:val="00B0F0"/>
          <w:sz w:val="32"/>
          <w:szCs w:val="32"/>
          <w:lang w:val="en-US"/>
        </w:rPr>
        <w:t xml:space="preserve">Module title and code (BMHP5023) </w:t>
      </w:r>
    </w:p>
    <w:p xmlns:wp14="http://schemas.microsoft.com/office/word/2010/wordml" w:rsidP="301A0F80" wp14:paraId="4F1804E4" wp14:textId="42BEFE30">
      <w:pPr>
        <w:keepNext w:val="1"/>
        <w:keepLines w:val="1"/>
        <w:spacing w:before="160" w:after="80"/>
        <w:jc w:val="center"/>
        <w:rPr>
          <w:rFonts w:ascii="Arial" w:hAnsi="Arial" w:eastAsia="Arial" w:cs="Arial"/>
          <w:b w:val="1"/>
          <w:bCs w:val="1"/>
          <w:i w:val="0"/>
          <w:iCs w:val="0"/>
          <w:caps w:val="0"/>
          <w:smallCaps w:val="0"/>
          <w:noProof w:val="0"/>
          <w:color w:val="00B0F0" w:themeColor="text2" w:themeTint="80" w:themeShade="FF"/>
          <w:sz w:val="22"/>
          <w:szCs w:val="22"/>
          <w:lang w:val="en-US"/>
        </w:rPr>
      </w:pPr>
      <w:r>
        <w:br/>
      </w:r>
      <w:r w:rsidRPr="301A0F80" w:rsidR="371352B8">
        <w:rPr>
          <w:rFonts w:ascii="Arial" w:hAnsi="Arial" w:eastAsia="Arial" w:cs="Arial"/>
          <w:b w:val="1"/>
          <w:bCs w:val="1"/>
          <w:i w:val="0"/>
          <w:iCs w:val="0"/>
          <w:caps w:val="0"/>
          <w:smallCaps w:val="0"/>
          <w:noProof w:val="0"/>
          <w:color w:val="00B0F0"/>
          <w:sz w:val="32"/>
          <w:szCs w:val="32"/>
          <w:lang w:val="en-US"/>
        </w:rPr>
        <w:t>Assignment title (Component 1: Case Study Report)</w:t>
      </w:r>
      <w:r w:rsidRPr="301A0F80" w:rsidR="371352B8">
        <w:rPr>
          <w:rFonts w:ascii="Arial" w:hAnsi="Arial" w:eastAsia="Arial" w:cs="Arial"/>
          <w:b w:val="1"/>
          <w:bCs w:val="1"/>
          <w:i w:val="0"/>
          <w:iCs w:val="0"/>
          <w:caps w:val="0"/>
          <w:smallCaps w:val="0"/>
          <w:noProof w:val="0"/>
          <w:color w:val="00B0F0"/>
          <w:sz w:val="22"/>
          <w:szCs w:val="22"/>
          <w:lang w:val="en-US"/>
        </w:rPr>
        <w:t xml:space="preserve"> </w:t>
      </w:r>
    </w:p>
    <w:p xmlns:wp14="http://schemas.microsoft.com/office/word/2010/wordml" w:rsidP="01057697" wp14:paraId="34C07DC0" wp14:textId="1994C777">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01057697" wp14:paraId="74BEF6EC" wp14:textId="51E17E5F">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01057697" wp14:paraId="7D286E4B" wp14:textId="2993DAA2">
      <w:pPr>
        <w:keepNext w:val="1"/>
        <w:keepLines w:val="1"/>
        <w:spacing w:before="160" w:after="80"/>
        <w:jc w:val="center"/>
        <w:rPr>
          <w:rFonts w:ascii="Arial" w:hAnsi="Arial" w:eastAsia="Arial" w:cs="Arial"/>
          <w:b w:val="1"/>
          <w:bCs w:val="1"/>
          <w:i w:val="0"/>
          <w:iCs w:val="0"/>
          <w:caps w:val="0"/>
          <w:smallCaps w:val="0"/>
          <w:noProof w:val="0"/>
          <w:color w:val="00B050"/>
          <w:sz w:val="22"/>
          <w:szCs w:val="22"/>
          <w:lang w:val="en-US"/>
        </w:rPr>
      </w:pPr>
    </w:p>
    <w:p xmlns:wp14="http://schemas.microsoft.com/office/word/2010/wordml" w:rsidP="01057697" wp14:paraId="6A7139A8" wp14:textId="152A63FA">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141CBFC" wp14:textId="1AE553F6">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7AB96B7F" wp14:textId="21A28751">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7604912C" wp14:textId="4CE23902">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4F64870E" wp14:textId="1D5B7A3F">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0C5FF8F9" wp14:textId="4A9AD99B">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202F241" wp14:textId="31368CE4">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0B05146A" wp14:textId="00ED4833">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025D75B" wp14:textId="3220B43B">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0A8F505A" wp14:textId="18C18748">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824CA36" wp14:textId="6C9616C8">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B172A15" wp14:textId="5F6A8647">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06F2B63" wp14:textId="0036A318">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6DCB075" wp14:textId="15F816BF">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D6E9BEC" wp14:textId="7644188D">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20BFAB6" wp14:textId="5981B951">
      <w:pPr>
        <w:pStyle w:val="Heading1"/>
        <w:keepNext w:val="1"/>
        <w:keepLines w:val="1"/>
        <w:spacing w:before="160" w:after="80"/>
        <w:jc w:val="center"/>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65D2158D" wp14:textId="360301FB">
      <w:pPr>
        <w:pStyle w:val="Heading2"/>
        <w:keepNext w:val="1"/>
        <w:keepLines w:val="1"/>
        <w:spacing w:before="160" w:after="80"/>
        <w:jc w:val="center"/>
        <w:rPr>
          <w:rFonts w:ascii="Arial" w:hAnsi="Arial" w:eastAsia="Arial" w:cs="Arial"/>
          <w:b w:val="1"/>
          <w:bCs w:val="1"/>
          <w:noProof w:val="0"/>
          <w:color w:val="00B0F0"/>
          <w:sz w:val="22"/>
          <w:szCs w:val="22"/>
          <w:u w:val="single"/>
          <w:lang w:val="en-US"/>
        </w:rPr>
      </w:pPr>
    </w:p>
    <w:p xmlns:wp14="http://schemas.microsoft.com/office/word/2010/wordml" w:rsidP="01057697" wp14:paraId="76D9B09E" wp14:textId="3A0FF4BF">
      <w:pPr>
        <w:pStyle w:val="Heading2"/>
        <w:keepNext w:val="1"/>
        <w:keepLines w:val="1"/>
        <w:spacing w:before="160" w:after="80"/>
        <w:jc w:val="left"/>
        <w:rPr>
          <w:rFonts w:ascii="Arial" w:hAnsi="Arial" w:eastAsia="Arial" w:cs="Arial"/>
          <w:b w:val="1"/>
          <w:bCs w:val="1"/>
          <w:noProof w:val="0"/>
          <w:color w:val="00B0F0"/>
          <w:sz w:val="22"/>
          <w:szCs w:val="22"/>
          <w:u w:val="single"/>
          <w:lang w:val="en-US"/>
        </w:rPr>
      </w:pPr>
      <w:r w:rsidRPr="01057697" w:rsidR="1FED13BD">
        <w:rPr>
          <w:rFonts w:ascii="Arial" w:hAnsi="Arial" w:eastAsia="Arial" w:cs="Arial"/>
          <w:b w:val="1"/>
          <w:bCs w:val="1"/>
          <w:noProof w:val="0"/>
          <w:color w:val="00B0F0"/>
          <w:sz w:val="22"/>
          <w:szCs w:val="22"/>
          <w:u w:val="single"/>
          <w:lang w:val="en-US"/>
        </w:rPr>
        <w:t>Content list:</w:t>
      </w:r>
    </w:p>
    <w:p xmlns:wp14="http://schemas.microsoft.com/office/word/2010/wordml" w:rsidP="01057697" wp14:paraId="64AAEF23" wp14:textId="4598D5EC">
      <w:pPr>
        <w:pStyle w:val="Normal"/>
        <w:keepNext w:val="1"/>
        <w:keepLines w:val="1"/>
        <w:rPr>
          <w:noProof w:val="0"/>
          <w:lang w:val="en-US"/>
        </w:rPr>
      </w:pPr>
    </w:p>
    <w:p xmlns:wp14="http://schemas.microsoft.com/office/word/2010/wordml" w:rsidP="01057697" wp14:paraId="5217958B" wp14:textId="0C13D822">
      <w:pPr>
        <w:pStyle w:val="Heading2"/>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Introduction:</w:t>
      </w:r>
    </w:p>
    <w:p xmlns:wp14="http://schemas.microsoft.com/office/word/2010/wordml" w:rsidP="01057697" wp14:paraId="1C94D9D5" wp14:textId="06ECB1CD">
      <w:pPr>
        <w:pStyle w:val="Heading2"/>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Anatomy and Physiology:</w:t>
      </w:r>
    </w:p>
    <w:p xmlns:wp14="http://schemas.microsoft.com/office/word/2010/wordml" w:rsidP="01057697" wp14:paraId="1FAD7203" wp14:textId="2745B68C">
      <w:pPr>
        <w:pStyle w:val="Normal"/>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Pathophysiology and Impact:</w:t>
      </w:r>
    </w:p>
    <w:p xmlns:wp14="http://schemas.microsoft.com/office/word/2010/wordml" w:rsidP="01057697" wp14:paraId="37FDCDA3" wp14:textId="1E1D3D47">
      <w:pPr>
        <w:jc w:val="left"/>
        <w:rPr>
          <w:rFonts w:ascii="Arial" w:hAnsi="Arial" w:eastAsia="Arial" w:cs="Arial"/>
          <w:b w:val="1"/>
          <w:bCs w:val="1"/>
          <w:noProof w:val="0"/>
          <w:color w:val="00B0F0"/>
          <w:sz w:val="22"/>
          <w:szCs w:val="22"/>
          <w:lang w:val="en-US"/>
        </w:rPr>
      </w:pPr>
      <w:r w:rsidRPr="01057697" w:rsidR="2AA6C3FD">
        <w:rPr>
          <w:rFonts w:ascii="Arial" w:hAnsi="Arial" w:eastAsia="Arial" w:cs="Arial"/>
          <w:b w:val="1"/>
          <w:bCs w:val="1"/>
          <w:noProof w:val="0"/>
          <w:color w:val="00B0F0"/>
          <w:sz w:val="22"/>
          <w:szCs w:val="22"/>
          <w:lang w:val="en-US"/>
        </w:rPr>
        <w:t>Monitoring and Data Use:</w:t>
      </w:r>
    </w:p>
    <w:p xmlns:wp14="http://schemas.microsoft.com/office/word/2010/wordml" w:rsidP="01057697" wp14:paraId="4DE5D322" wp14:textId="5FC33D6B">
      <w:pPr>
        <w:pStyle w:val="Heading2"/>
        <w:jc w:val="left"/>
        <w:rPr>
          <w:rFonts w:ascii="Arial" w:hAnsi="Arial" w:eastAsia="Arial" w:cs="Arial"/>
          <w:b w:val="1"/>
          <w:bCs w:val="1"/>
          <w:noProof w:val="0"/>
          <w:color w:val="00B0F0"/>
          <w:sz w:val="22"/>
          <w:szCs w:val="22"/>
          <w:lang w:val="en-US"/>
        </w:rPr>
      </w:pPr>
      <w:r w:rsidRPr="01057697" w:rsidR="370A2217">
        <w:rPr>
          <w:rFonts w:ascii="Arial" w:hAnsi="Arial" w:eastAsia="Arial" w:cs="Arial"/>
          <w:b w:val="1"/>
          <w:bCs w:val="1"/>
          <w:noProof w:val="0"/>
          <w:color w:val="00B0F0"/>
          <w:sz w:val="22"/>
          <w:szCs w:val="22"/>
          <w:lang w:val="en-US"/>
        </w:rPr>
        <w:t>Evidence-Based Lifestyle Recommendations:</w:t>
      </w:r>
    </w:p>
    <w:p xmlns:wp14="http://schemas.microsoft.com/office/word/2010/wordml" w:rsidP="01057697" wp14:paraId="7098C57E" wp14:textId="1CD438AB">
      <w:pPr>
        <w:pStyle w:val="Heading2"/>
        <w:jc w:val="left"/>
        <w:rPr>
          <w:rFonts w:ascii="Arial" w:hAnsi="Arial" w:eastAsia="Arial" w:cs="Arial"/>
          <w:b w:val="1"/>
          <w:bCs w:val="1"/>
          <w:noProof w:val="0"/>
          <w:color w:val="00B0F0"/>
          <w:sz w:val="22"/>
          <w:szCs w:val="22"/>
          <w:lang w:val="en-US"/>
        </w:rPr>
      </w:pPr>
      <w:r w:rsidRPr="01057697" w:rsidR="370A2217">
        <w:rPr>
          <w:rFonts w:ascii="Arial" w:hAnsi="Arial" w:eastAsia="Arial" w:cs="Arial"/>
          <w:b w:val="1"/>
          <w:bCs w:val="1"/>
          <w:noProof w:val="0"/>
          <w:color w:val="00B0F0"/>
          <w:sz w:val="22"/>
          <w:szCs w:val="22"/>
          <w:lang w:val="en-US"/>
        </w:rPr>
        <w:t>Conclusion:</w:t>
      </w:r>
    </w:p>
    <w:p xmlns:wp14="http://schemas.microsoft.com/office/word/2010/wordml" w:rsidP="01057697" wp14:paraId="125554DF" wp14:textId="76510C0B">
      <w:pPr>
        <w:pStyle w:val="Normal"/>
        <w:jc w:val="left"/>
        <w:rPr>
          <w:b w:val="1"/>
          <w:bCs w:val="1"/>
          <w:noProof w:val="0"/>
          <w:color w:val="00B0F0"/>
          <w:lang w:val="en-US"/>
        </w:rPr>
      </w:pPr>
      <w:r w:rsidRPr="01057697" w:rsidR="370A2217">
        <w:rPr>
          <w:b w:val="1"/>
          <w:bCs w:val="1"/>
          <w:noProof w:val="0"/>
          <w:color w:val="00B0F0"/>
          <w:lang w:val="en-US"/>
        </w:rPr>
        <w:t>References:</w:t>
      </w:r>
    </w:p>
    <w:p xmlns:wp14="http://schemas.microsoft.com/office/word/2010/wordml" w:rsidP="01057697" wp14:paraId="58B8E4CB" wp14:textId="096FF150">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16262D39" wp14:textId="5290ED2E">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2A0BE00E" wp14:textId="549C8C17">
      <w:pPr>
        <w:pStyle w:val="Normal"/>
        <w:rPr>
          <w:noProof w:val="0"/>
          <w:lang w:val="en-US"/>
        </w:rPr>
      </w:pPr>
    </w:p>
    <w:p xmlns:wp14="http://schemas.microsoft.com/office/word/2010/wordml" w:rsidP="01057697" wp14:paraId="693B06EC" wp14:textId="300156DF">
      <w:pPr>
        <w:pStyle w:val="Normal"/>
        <w:rPr>
          <w:noProof w:val="0"/>
          <w:lang w:val="en-US"/>
        </w:rPr>
      </w:pPr>
    </w:p>
    <w:p xmlns:wp14="http://schemas.microsoft.com/office/word/2010/wordml" w:rsidP="01057697" wp14:paraId="4DF10B57" wp14:textId="579BE1AA">
      <w:pPr>
        <w:pStyle w:val="Normal"/>
        <w:rPr>
          <w:noProof w:val="0"/>
          <w:lang w:val="en-US"/>
        </w:rPr>
      </w:pPr>
    </w:p>
    <w:p xmlns:wp14="http://schemas.microsoft.com/office/word/2010/wordml" w:rsidP="01057697" wp14:paraId="6E66849B" wp14:textId="296CF816">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4D57C5E0" wp14:textId="5CACF2E7">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B3B4B03" wp14:textId="005D157D">
      <w:pPr>
        <w:pStyle w:val="Heading1"/>
        <w:ind w:left="0"/>
        <w:rPr>
          <w:rFonts w:ascii="Arial" w:hAnsi="Arial" w:eastAsia="Arial" w:cs="Arial"/>
          <w:b w:val="1"/>
          <w:bCs w:val="1"/>
          <w:noProof w:val="0"/>
          <w:color w:val="4C94D8" w:themeColor="text2" w:themeTint="80" w:themeShade="FF"/>
          <w:sz w:val="22"/>
          <w:szCs w:val="22"/>
          <w:lang w:val="en-US"/>
        </w:rPr>
      </w:pPr>
    </w:p>
    <w:p xmlns:wp14="http://schemas.microsoft.com/office/word/2010/wordml" w:rsidP="01057697" wp14:paraId="3406DA99" wp14:textId="498E93F6">
      <w:pPr>
        <w:pStyle w:val="Normal"/>
        <w:rPr>
          <w:noProof w:val="0"/>
          <w:lang w:val="en-US"/>
        </w:rPr>
      </w:pPr>
    </w:p>
    <w:p xmlns:wp14="http://schemas.microsoft.com/office/word/2010/wordml" w:rsidP="01057697" wp14:paraId="524959D7" wp14:textId="69E85955">
      <w:pPr>
        <w:pStyle w:val="Normal"/>
        <w:rPr>
          <w:noProof w:val="0"/>
          <w:lang w:val="en-US"/>
        </w:rPr>
      </w:pPr>
    </w:p>
    <w:p xmlns:wp14="http://schemas.microsoft.com/office/word/2010/wordml" w:rsidP="01057697" wp14:paraId="3928823D" wp14:textId="2CC56701">
      <w:pPr>
        <w:pStyle w:val="Normal"/>
        <w:rPr>
          <w:noProof w:val="0"/>
          <w:lang w:val="en-US"/>
        </w:rPr>
      </w:pPr>
    </w:p>
    <w:p xmlns:wp14="http://schemas.microsoft.com/office/word/2010/wordml" w:rsidP="01057697" wp14:paraId="54C5A50B" wp14:textId="5B2E7C32">
      <w:pPr>
        <w:pStyle w:val="Normal"/>
        <w:rPr>
          <w:noProof w:val="0"/>
          <w:lang w:val="en-US"/>
        </w:rPr>
      </w:pPr>
    </w:p>
    <w:p xmlns:wp14="http://schemas.microsoft.com/office/word/2010/wordml" w:rsidP="01057697" wp14:paraId="499B3AAD" wp14:textId="4F4C166E">
      <w:pPr>
        <w:pStyle w:val="Normal"/>
        <w:rPr>
          <w:noProof w:val="0"/>
          <w:lang w:val="en-US"/>
        </w:rPr>
      </w:pPr>
    </w:p>
    <w:p xmlns:wp14="http://schemas.microsoft.com/office/word/2010/wordml" w:rsidP="01057697" wp14:paraId="2976793A" wp14:textId="5988E9DE">
      <w:pPr>
        <w:pStyle w:val="Normal"/>
        <w:rPr>
          <w:noProof w:val="0"/>
          <w:lang w:val="en-US"/>
        </w:rPr>
      </w:pPr>
    </w:p>
    <w:p xmlns:wp14="http://schemas.microsoft.com/office/word/2010/wordml" w:rsidP="01057697" wp14:paraId="7707B4B5" wp14:textId="78A469C1">
      <w:pPr>
        <w:pStyle w:val="Normal"/>
        <w:rPr>
          <w:noProof w:val="0"/>
          <w:lang w:val="en-US"/>
        </w:rPr>
      </w:pPr>
    </w:p>
    <w:p xmlns:wp14="http://schemas.microsoft.com/office/word/2010/wordml" w:rsidP="01057697" wp14:paraId="236DBBB6" wp14:textId="08CAB526">
      <w:pPr>
        <w:pStyle w:val="Heading1"/>
        <w:ind w:left="0"/>
        <w:rPr>
          <w:rStyle w:val="ListParagraph"/>
          <w:rFonts w:ascii="Aptos" w:hAnsi="Aptos" w:eastAsia="Aptos" w:cs="Aptos"/>
          <w:b w:val="1"/>
          <w:bCs w:val="1"/>
          <w:noProof w:val="0"/>
          <w:color w:val="4C94D8" w:themeColor="text2" w:themeTint="80" w:themeShade="FF"/>
          <w:sz w:val="24"/>
          <w:szCs w:val="24"/>
          <w:lang w:val="en-US"/>
        </w:rPr>
      </w:pPr>
      <w:r w:rsidRPr="01057697" w:rsidR="0F0CB670">
        <w:rPr>
          <w:rFonts w:ascii="Arial" w:hAnsi="Arial" w:eastAsia="Arial" w:cs="Arial"/>
          <w:b w:val="1"/>
          <w:bCs w:val="1"/>
          <w:noProof w:val="0"/>
          <w:color w:val="4C94D8" w:themeColor="text2" w:themeTint="80" w:themeShade="FF"/>
          <w:sz w:val="22"/>
          <w:szCs w:val="22"/>
          <w:lang w:val="en-US"/>
        </w:rPr>
        <w:t>Diabetes Report</w:t>
      </w:r>
      <w:r w:rsidRPr="01057697" w:rsidR="2530E779">
        <w:rPr>
          <w:rFonts w:ascii="Arial" w:hAnsi="Arial" w:eastAsia="Arial" w:cs="Arial"/>
          <w:b w:val="1"/>
          <w:bCs w:val="1"/>
          <w:noProof w:val="0"/>
          <w:color w:val="4C94D8" w:themeColor="text2" w:themeTint="80" w:themeShade="FF"/>
          <w:sz w:val="22"/>
          <w:szCs w:val="22"/>
          <w:lang w:val="en-US"/>
        </w:rPr>
        <w:t xml:space="preserve"> </w:t>
      </w:r>
      <w:r w:rsidRPr="01057697" w:rsidR="2530E779">
        <w:rPr>
          <w:rFonts w:ascii="Aptos" w:hAnsi="Aptos" w:eastAsia="Aptos" w:cs="Aptos"/>
          <w:b w:val="1"/>
          <w:bCs w:val="1"/>
          <w:noProof w:val="0"/>
          <w:color w:val="4C94D8" w:themeColor="text2" w:themeTint="80" w:themeShade="FF"/>
          <w:sz w:val="24"/>
          <w:szCs w:val="24"/>
          <w:lang w:val="en-US"/>
        </w:rPr>
        <w:t>Case Study 1: Type 2 Diabetes</w:t>
      </w:r>
    </w:p>
    <w:p w:rsidR="0F0CB670" w:rsidP="01057697" w:rsidRDefault="0F0CB670" w14:paraId="41DC0F16" w14:textId="2F688110">
      <w:pPr>
        <w:pStyle w:val="Heading2"/>
        <w:rPr>
          <w:rFonts w:ascii="Arial" w:hAnsi="Arial" w:eastAsia="Arial" w:cs="Arial"/>
          <w:b w:val="1"/>
          <w:bCs w:val="1"/>
          <w:noProof w:val="0"/>
          <w:color w:val="00B0F0"/>
          <w:sz w:val="22"/>
          <w:szCs w:val="22"/>
          <w:lang w:val="en-US"/>
        </w:rPr>
      </w:pPr>
      <w:r w:rsidRPr="01057697" w:rsidR="0F0CB670">
        <w:rPr>
          <w:rFonts w:ascii="Arial" w:hAnsi="Arial" w:eastAsia="Arial" w:cs="Arial"/>
          <w:b w:val="1"/>
          <w:bCs w:val="1"/>
          <w:noProof w:val="0"/>
          <w:color w:val="00B0F0"/>
          <w:sz w:val="22"/>
          <w:szCs w:val="22"/>
          <w:lang w:val="en-US"/>
        </w:rPr>
        <w:t>Introduction</w:t>
      </w:r>
      <w:r w:rsidRPr="01057697" w:rsidR="13222D13">
        <w:rPr>
          <w:rFonts w:ascii="Arial" w:hAnsi="Arial" w:eastAsia="Arial" w:cs="Arial"/>
          <w:b w:val="1"/>
          <w:bCs w:val="1"/>
          <w:noProof w:val="0"/>
          <w:color w:val="00B0F0"/>
          <w:sz w:val="22"/>
          <w:szCs w:val="22"/>
          <w:lang w:val="en-US"/>
        </w:rPr>
        <w:t>:</w:t>
      </w:r>
    </w:p>
    <w:p xmlns:wp14="http://schemas.microsoft.com/office/word/2010/wordml" w:rsidP="01057697" wp14:paraId="3A50BF83" wp14:textId="6E93E3E6">
      <w:pPr>
        <w:spacing w:line="360" w:lineRule="auto"/>
        <w:jc w:val="both"/>
        <w:rPr>
          <w:rFonts w:ascii="Arial" w:hAnsi="Arial" w:eastAsia="Arial" w:cs="Arial"/>
          <w:noProof w:val="0"/>
          <w:sz w:val="22"/>
          <w:szCs w:val="22"/>
          <w:lang w:val="en-US"/>
        </w:rPr>
      </w:pPr>
      <w:r w:rsidRPr="01057697" w:rsidR="0F0CB670">
        <w:rPr>
          <w:rFonts w:ascii="Arial" w:hAnsi="Arial" w:eastAsia="Arial" w:cs="Arial"/>
          <w:noProof w:val="0"/>
          <w:sz w:val="22"/>
          <w:szCs w:val="22"/>
          <w:lang w:val="en-US"/>
        </w:rPr>
        <w:t>Diabetes mellitus is a chronic metabolic disorder characterised by elevated blood glucose levels resulting from insufficient insulin production, impaired insulin action, or a combination of both. Insulin is a hormone produced by the beta cells of the pancreas and is responsible for regulating blood glucose levels by facilitating the uptake of glucose into body cells for energy production. The two main forms of diabetes are Type 1 diabetes, where the immune system destroys insulin-producing beta cells, and Type 2 diabetes, which is associated with insulin resistance and reduced insulin effectiveness.</w:t>
      </w:r>
    </w:p>
    <w:p xmlns:wp14="http://schemas.microsoft.com/office/word/2010/wordml" w:rsidP="01057697" wp14:paraId="37A5A9DC" wp14:textId="1FC328E5">
      <w:pPr>
        <w:spacing w:line="360" w:lineRule="auto"/>
        <w:jc w:val="both"/>
        <w:rPr>
          <w:rFonts w:ascii="Arial" w:hAnsi="Arial" w:eastAsia="Arial" w:cs="Arial"/>
          <w:noProof w:val="0"/>
          <w:sz w:val="22"/>
          <w:szCs w:val="22"/>
          <w:lang w:val="en-US"/>
        </w:rPr>
      </w:pPr>
      <w:r w:rsidRPr="01057697" w:rsidR="0F0CB670">
        <w:rPr>
          <w:rFonts w:ascii="Arial" w:hAnsi="Arial" w:eastAsia="Arial" w:cs="Arial"/>
          <w:noProof w:val="0"/>
          <w:sz w:val="22"/>
          <w:szCs w:val="22"/>
          <w:lang w:val="en-US"/>
        </w:rPr>
        <w:t>Several risk factors contribute to the development of diabetes. For Type 1 diabetes, genetic predisposition and environmental triggers are considered major factors. For Type 2 diabetes, risk factors include obesity, physical inactivity, unhealthy diet, increasing age, family history of diabetes, hypertension, and certain ethnic backgrounds. Lifestyle factors such as smoking and excessive alcohol consumption may also increase the risk of developing the condition.</w:t>
      </w:r>
    </w:p>
    <w:p xmlns:wp14="http://schemas.microsoft.com/office/word/2010/wordml" w:rsidP="01057697" wp14:paraId="68CFE0A5" wp14:textId="5E43376A">
      <w:pPr>
        <w:spacing w:line="360" w:lineRule="auto"/>
        <w:jc w:val="both"/>
        <w:rPr>
          <w:rFonts w:ascii="Arial" w:hAnsi="Arial" w:eastAsia="Arial" w:cs="Arial"/>
          <w:noProof w:val="0"/>
          <w:sz w:val="22"/>
          <w:szCs w:val="22"/>
          <w:lang w:val="en-US"/>
        </w:rPr>
      </w:pPr>
      <w:r w:rsidRPr="01057697" w:rsidR="0F0CB670">
        <w:rPr>
          <w:rFonts w:ascii="Arial" w:hAnsi="Arial" w:eastAsia="Arial" w:cs="Arial"/>
          <w:noProof w:val="0"/>
          <w:sz w:val="22"/>
          <w:szCs w:val="22"/>
          <w:lang w:val="en-US"/>
        </w:rPr>
        <w:t>Diabetes is a significant global health concern because prolonged high blood glucose levels can lead to serious complications, including cardiovascular disease, kidney failure, nerve damage, and vision impairment. Effective management is therefore essential to prevent long-term health consequences.</w:t>
      </w:r>
    </w:p>
    <w:p w:rsidR="0F0CB670" w:rsidP="01057697" w:rsidRDefault="0F0CB670" w14:paraId="610E235B" w14:textId="12B5AD5C">
      <w:pPr>
        <w:spacing w:line="360" w:lineRule="auto"/>
        <w:jc w:val="both"/>
        <w:rPr>
          <w:rFonts w:ascii="Arial" w:hAnsi="Arial" w:eastAsia="Arial" w:cs="Arial"/>
          <w:noProof w:val="0"/>
          <w:sz w:val="22"/>
          <w:szCs w:val="22"/>
          <w:lang w:val="en-US"/>
        </w:rPr>
      </w:pPr>
      <w:r w:rsidRPr="01057697" w:rsidR="0F0CB670">
        <w:rPr>
          <w:rFonts w:ascii="Arial" w:hAnsi="Arial" w:eastAsia="Arial" w:cs="Arial"/>
          <w:noProof w:val="0"/>
          <w:sz w:val="22"/>
          <w:szCs w:val="22"/>
          <w:lang w:val="en-US"/>
        </w:rPr>
        <w:t>The purpose of this report is to examine the anatomy and physiology associated with diabetes, focusing on the regulation of blood glucose, the role of insulin and the pancreas, and the process of cellular metabolism. Understanding these physiological mechanisms provides a foundation for understanding the development, symptoms, and management of diabetes.</w:t>
      </w:r>
    </w:p>
    <w:p w:rsidR="01057697" w:rsidP="01057697" w:rsidRDefault="01057697" w14:paraId="4BB6598D" w14:textId="367E95AF">
      <w:pPr>
        <w:spacing w:line="360" w:lineRule="auto"/>
        <w:jc w:val="both"/>
        <w:rPr>
          <w:rFonts w:ascii="Arial" w:hAnsi="Arial" w:eastAsia="Arial" w:cs="Arial"/>
          <w:noProof w:val="0"/>
          <w:sz w:val="22"/>
          <w:szCs w:val="22"/>
          <w:lang w:val="en-US"/>
        </w:rPr>
      </w:pPr>
    </w:p>
    <w:p xmlns:wp14="http://schemas.microsoft.com/office/word/2010/wordml" w:rsidP="01057697" wp14:paraId="1845565A" wp14:textId="1AA014F2">
      <w:pPr>
        <w:pStyle w:val="Heading2"/>
        <w:spacing w:line="360" w:lineRule="auto"/>
        <w:jc w:val="both"/>
        <w:rPr>
          <w:rFonts w:ascii="Arial" w:hAnsi="Arial" w:eastAsia="Arial" w:cs="Arial"/>
          <w:b w:val="1"/>
          <w:bCs w:val="1"/>
          <w:noProof w:val="0"/>
          <w:color w:val="0F9DD4" w:themeColor="accent4" w:themeTint="FF" w:themeShade="FF"/>
          <w:sz w:val="22"/>
          <w:szCs w:val="22"/>
          <w:lang w:val="en-US"/>
        </w:rPr>
      </w:pPr>
      <w:r w:rsidRPr="01057697" w:rsidR="0F0CB670">
        <w:rPr>
          <w:rFonts w:ascii="Arial" w:hAnsi="Arial" w:eastAsia="Arial" w:cs="Arial"/>
          <w:b w:val="1"/>
          <w:bCs w:val="1"/>
          <w:noProof w:val="0"/>
          <w:color w:val="00B0F0"/>
          <w:sz w:val="22"/>
          <w:szCs w:val="22"/>
          <w:lang w:val="en-US"/>
        </w:rPr>
        <w:t>Anatomy and Physiology</w:t>
      </w:r>
      <w:r w:rsidRPr="01057697" w:rsidR="6ED29CE9">
        <w:rPr>
          <w:rFonts w:ascii="Arial" w:hAnsi="Arial" w:eastAsia="Arial" w:cs="Arial"/>
          <w:b w:val="1"/>
          <w:bCs w:val="1"/>
          <w:noProof w:val="0"/>
          <w:color w:val="00B0F0"/>
          <w:sz w:val="22"/>
          <w:szCs w:val="22"/>
          <w:lang w:val="en-US"/>
        </w:rPr>
        <w:t>:</w:t>
      </w:r>
      <w:r w:rsidRPr="01057697" w:rsidR="718F529B">
        <w:rPr>
          <w:rFonts w:ascii="Arial" w:hAnsi="Arial" w:eastAsia="Arial" w:cs="Arial"/>
          <w:b w:val="1"/>
          <w:bCs w:val="1"/>
          <w:noProof w:val="0"/>
          <w:color w:val="00B0F0"/>
          <w:sz w:val="22"/>
          <w:szCs w:val="22"/>
          <w:lang w:val="en-US"/>
        </w:rPr>
        <w:t xml:space="preserve"> </w:t>
      </w:r>
    </w:p>
    <w:p w:rsidR="555C12B6" w:rsidP="15583260" w:rsidRDefault="555C12B6" w14:paraId="3A2ADFE1" w14:textId="03030FF7">
      <w:pPr>
        <w:pStyle w:val="Heading2"/>
        <w:spacing w:line="360" w:lineRule="auto"/>
        <w:jc w:val="both"/>
        <w:rPr>
          <w:rFonts w:ascii="Arial" w:hAnsi="Arial" w:eastAsia="Arial" w:cs="Arial"/>
          <w:b w:val="1"/>
          <w:bCs w:val="1"/>
          <w:noProof w:val="0"/>
          <w:sz w:val="22"/>
          <w:szCs w:val="22"/>
          <w:lang w:val="en-US"/>
        </w:rPr>
      </w:pPr>
      <w:r w:rsidRPr="15583260" w:rsidR="3BFD5CA2">
        <w:rPr>
          <w:rFonts w:ascii="Arial" w:hAnsi="Arial" w:eastAsia="Arial" w:cs="Arial"/>
          <w:b w:val="1"/>
          <w:bCs w:val="1"/>
          <w:noProof w:val="0"/>
          <w:sz w:val="22"/>
          <w:szCs w:val="22"/>
          <w:lang w:val="en-US"/>
        </w:rPr>
        <w:t>Blood Glucose Regulation and Cellular Metabolism</w:t>
      </w:r>
    </w:p>
    <w:p w:rsidR="0B674590" w:rsidP="01057697" w:rsidRDefault="0B674590" w14:paraId="1A6B5606" w14:textId="73151F41">
      <w:pPr>
        <w:pStyle w:val="Normal"/>
        <w:spacing w:line="360" w:lineRule="auto"/>
        <w:jc w:val="both"/>
        <w:rPr>
          <w:rFonts w:ascii="Arial" w:hAnsi="Arial" w:eastAsia="Arial" w:cs="Arial"/>
          <w:noProof w:val="0"/>
          <w:sz w:val="22"/>
          <w:szCs w:val="22"/>
          <w:lang w:val="en-US"/>
        </w:rPr>
      </w:pPr>
      <w:r w:rsidRPr="01057697" w:rsidR="7B04871D">
        <w:rPr>
          <w:rFonts w:ascii="Arial" w:hAnsi="Arial" w:eastAsia="Arial" w:cs="Arial"/>
          <w:noProof w:val="0"/>
          <w:sz w:val="22"/>
          <w:szCs w:val="22"/>
          <w:lang w:val="en-US"/>
        </w:rPr>
        <w:t>Blood glucose regulation is an important homeostatic process that helps maintain a steady supply of energy while keeping blood sugar levels within a healthy range. This process is controlled by the pancreas, which contains beta cells in the Islets of Langerhans. After carbohydrates are digested into glucose and absorbed into the bloodstream, rising blood glucose levels stimulate the beta cells to release insulin, helping to regulate blood sugar levels (Henquin, 2000).</w:t>
      </w:r>
    </w:p>
    <w:p w:rsidR="219C45CB" w:rsidP="01057697" w:rsidRDefault="219C45CB" w14:paraId="790A6CA1" w14:textId="7300EC5C">
      <w:pPr>
        <w:pStyle w:val="Normal"/>
        <w:spacing w:line="360" w:lineRule="auto"/>
        <w:jc w:val="both"/>
        <w:rPr>
          <w:rFonts w:ascii="Arial" w:hAnsi="Arial" w:eastAsia="Arial" w:cs="Arial"/>
          <w:noProof w:val="0"/>
          <w:sz w:val="22"/>
          <w:szCs w:val="22"/>
          <w:lang w:val="en-US"/>
        </w:rPr>
      </w:pPr>
      <w:r w:rsidRPr="01057697" w:rsidR="7D1970BE">
        <w:rPr>
          <w:rFonts w:ascii="Arial" w:hAnsi="Arial" w:eastAsia="Arial" w:cs="Arial"/>
          <w:noProof w:val="0"/>
          <w:sz w:val="22"/>
          <w:szCs w:val="22"/>
          <w:lang w:val="en-US"/>
        </w:rPr>
        <w:t xml:space="preserve">Insulin helps regulate blood glucose levels by allowing glucose to move from the bloodstream into muscle, </w:t>
      </w:r>
      <w:r w:rsidRPr="01057697" w:rsidR="7D1970BE">
        <w:rPr>
          <w:rFonts w:ascii="Arial" w:hAnsi="Arial" w:eastAsia="Arial" w:cs="Arial"/>
          <w:noProof w:val="0"/>
          <w:sz w:val="22"/>
          <w:szCs w:val="22"/>
          <w:lang w:val="en-US"/>
        </w:rPr>
        <w:t>fat,</w:t>
      </w:r>
      <w:r w:rsidRPr="01057697" w:rsidR="7D1970BE">
        <w:rPr>
          <w:rFonts w:ascii="Arial" w:hAnsi="Arial" w:eastAsia="Arial" w:cs="Arial"/>
          <w:noProof w:val="0"/>
          <w:sz w:val="22"/>
          <w:szCs w:val="22"/>
          <w:lang w:val="en-US"/>
        </w:rPr>
        <w:t xml:space="preserve"> and liver cells, where it is used for energy or stored as glycogen. As glucose is taken into cells, blood sugar levels return to normal. When blood glucose levels fall, the pancreas releases glucagon, which stimulates the liver to break down glycogen and </w:t>
      </w:r>
      <w:r w:rsidRPr="01057697" w:rsidR="7D1970BE">
        <w:rPr>
          <w:rFonts w:ascii="Arial" w:hAnsi="Arial" w:eastAsia="Arial" w:cs="Arial"/>
          <w:noProof w:val="0"/>
          <w:sz w:val="22"/>
          <w:szCs w:val="22"/>
          <w:lang w:val="en-US"/>
        </w:rPr>
        <w:t>release</w:t>
      </w:r>
      <w:r w:rsidRPr="01057697" w:rsidR="7D1970BE">
        <w:rPr>
          <w:rFonts w:ascii="Arial" w:hAnsi="Arial" w:eastAsia="Arial" w:cs="Arial"/>
          <w:noProof w:val="0"/>
          <w:sz w:val="22"/>
          <w:szCs w:val="22"/>
          <w:lang w:val="en-US"/>
        </w:rPr>
        <w:t xml:space="preserve"> glucose into the bloodstream. Together, insulin and glucagon work to </w:t>
      </w:r>
      <w:r w:rsidRPr="01057697" w:rsidR="7D1970BE">
        <w:rPr>
          <w:rFonts w:ascii="Arial" w:hAnsi="Arial" w:eastAsia="Arial" w:cs="Arial"/>
          <w:noProof w:val="0"/>
          <w:sz w:val="22"/>
          <w:szCs w:val="22"/>
          <w:lang w:val="en-US"/>
        </w:rPr>
        <w:t>maintain</w:t>
      </w:r>
      <w:r w:rsidRPr="01057697" w:rsidR="7D1970BE">
        <w:rPr>
          <w:rFonts w:ascii="Arial" w:hAnsi="Arial" w:eastAsia="Arial" w:cs="Arial"/>
          <w:noProof w:val="0"/>
          <w:sz w:val="22"/>
          <w:szCs w:val="22"/>
          <w:lang w:val="en-US"/>
        </w:rPr>
        <w:t xml:space="preserve"> stable blood glucose levels and ensure the body has a continuous supply of energy (Hall and Hall, 2021).</w:t>
      </w:r>
    </w:p>
    <w:p w:rsidR="555C12B6" w:rsidP="01057697" w:rsidRDefault="555C12B6" w14:paraId="6FC70082" w14:textId="0CBC0F1F">
      <w:pPr>
        <w:spacing w:line="360" w:lineRule="auto"/>
        <w:jc w:val="both"/>
        <w:rPr>
          <w:rFonts w:ascii="Arial" w:hAnsi="Arial" w:eastAsia="Arial" w:cs="Arial"/>
          <w:noProof w:val="0"/>
          <w:sz w:val="22"/>
          <w:szCs w:val="22"/>
          <w:lang w:val="en-US"/>
        </w:rPr>
      </w:pPr>
      <w:r w:rsidRPr="01057697" w:rsidR="59EFA74E">
        <w:rPr>
          <w:rFonts w:ascii="Arial" w:hAnsi="Arial" w:eastAsia="Arial" w:cs="Arial"/>
          <w:noProof w:val="0"/>
          <w:sz w:val="22"/>
          <w:szCs w:val="22"/>
          <w:lang w:val="en-US"/>
        </w:rPr>
        <w:t>In individuals with diabetes, this regulatory system becomes impaired. People with Type 1 diabetes are unable to produce sufficient insulin due to autoimmune destruction of pancreatic beta cells. In contrast, individuals with Type 2 diabetes develop insulin resistance, meaning that body cells respond less effectively to insulin. As a result, glucose remains in the bloodstream, causing persistent hyperglycaemia and increasing the risk of long-term complications such as cardiovascular disease, neuropathy and kidney damage (Diabetes UK, 2024).</w:t>
      </w:r>
    </w:p>
    <w:p w:rsidR="555C12B6" w:rsidP="01057697" w:rsidRDefault="555C12B6" w14:paraId="3019577E" w14:textId="67E96848">
      <w:pPr>
        <w:spacing w:line="360" w:lineRule="auto"/>
        <w:jc w:val="both"/>
        <w:rPr>
          <w:rFonts w:ascii="Arial" w:hAnsi="Arial" w:eastAsia="Arial" w:cs="Arial"/>
          <w:noProof w:val="0"/>
          <w:sz w:val="22"/>
          <w:szCs w:val="22"/>
          <w:lang w:val="en-US"/>
        </w:rPr>
      </w:pPr>
      <w:r w:rsidRPr="01057697" w:rsidR="59EFA74E">
        <w:rPr>
          <w:rFonts w:ascii="Arial" w:hAnsi="Arial" w:eastAsia="Arial" w:cs="Arial"/>
          <w:noProof w:val="0"/>
          <w:sz w:val="22"/>
          <w:szCs w:val="22"/>
          <w:lang w:val="en-US"/>
        </w:rPr>
        <w:t xml:space="preserve">Cellular metabolism relies heavily on glucose as the body's primary energy source. Through aerobic respiration, glucose combines with oxygen to produce adenosine triphosphate (ATP), carbon </w:t>
      </w:r>
      <w:r w:rsidRPr="01057697" w:rsidR="53CFD7A0">
        <w:rPr>
          <w:rFonts w:ascii="Arial" w:hAnsi="Arial" w:eastAsia="Arial" w:cs="Arial"/>
          <w:noProof w:val="0"/>
          <w:sz w:val="22"/>
          <w:szCs w:val="22"/>
          <w:lang w:val="en-US"/>
        </w:rPr>
        <w:t>dioxide,</w:t>
      </w:r>
      <w:r w:rsidRPr="01057697" w:rsidR="59EFA74E">
        <w:rPr>
          <w:rFonts w:ascii="Arial" w:hAnsi="Arial" w:eastAsia="Arial" w:cs="Arial"/>
          <w:noProof w:val="0"/>
          <w:sz w:val="22"/>
          <w:szCs w:val="22"/>
          <w:lang w:val="en-US"/>
        </w:rPr>
        <w:t xml:space="preserve"> and water. ATP is essential for powering </w:t>
      </w:r>
      <w:r w:rsidRPr="01057697" w:rsidR="59EFA74E">
        <w:rPr>
          <w:rFonts w:ascii="Arial" w:hAnsi="Arial" w:eastAsia="Arial" w:cs="Arial"/>
          <w:noProof w:val="0"/>
          <w:sz w:val="22"/>
          <w:szCs w:val="22"/>
          <w:lang w:val="en-US"/>
        </w:rPr>
        <w:t>numerous</w:t>
      </w:r>
      <w:r w:rsidRPr="01057697" w:rsidR="59EFA74E">
        <w:rPr>
          <w:rFonts w:ascii="Arial" w:hAnsi="Arial" w:eastAsia="Arial" w:cs="Arial"/>
          <w:noProof w:val="0"/>
          <w:sz w:val="22"/>
          <w:szCs w:val="22"/>
          <w:lang w:val="en-US"/>
        </w:rPr>
        <w:t xml:space="preserve"> cellular activities, including muscle contraction, nerve impulse transmission, protein </w:t>
      </w:r>
      <w:r w:rsidRPr="01057697" w:rsidR="172729DB">
        <w:rPr>
          <w:rFonts w:ascii="Arial" w:hAnsi="Arial" w:eastAsia="Arial" w:cs="Arial"/>
          <w:noProof w:val="0"/>
          <w:sz w:val="22"/>
          <w:szCs w:val="22"/>
          <w:lang w:val="en-US"/>
        </w:rPr>
        <w:t>synthesis,</w:t>
      </w:r>
      <w:r w:rsidRPr="01057697" w:rsidR="59EFA74E">
        <w:rPr>
          <w:rFonts w:ascii="Arial" w:hAnsi="Arial" w:eastAsia="Arial" w:cs="Arial"/>
          <w:noProof w:val="0"/>
          <w:sz w:val="22"/>
          <w:szCs w:val="22"/>
          <w:lang w:val="en-US"/>
        </w:rPr>
        <w:t xml:space="preserve"> and active transport across cell membranes. The overall equation for aerobic respiration is:</w:t>
      </w:r>
    </w:p>
    <w:p w:rsidR="555C12B6" w:rsidP="01057697" w:rsidRDefault="555C12B6" w14:paraId="72D1C2C5" w14:textId="3D7362AF">
      <w:pPr>
        <w:spacing w:line="360" w:lineRule="auto"/>
        <w:jc w:val="both"/>
        <w:rPr>
          <w:rFonts w:ascii="Arial" w:hAnsi="Arial" w:eastAsia="Arial" w:cs="Arial"/>
          <w:b w:val="1"/>
          <w:bCs w:val="1"/>
          <w:noProof w:val="0"/>
          <w:sz w:val="22"/>
          <w:szCs w:val="22"/>
          <w:lang w:val="en-US"/>
        </w:rPr>
      </w:pPr>
      <w:r w:rsidRPr="01057697" w:rsidR="59EFA74E">
        <w:rPr>
          <w:rFonts w:ascii="Arial" w:hAnsi="Arial" w:eastAsia="Arial" w:cs="Arial"/>
          <w:b w:val="1"/>
          <w:bCs w:val="1"/>
          <w:noProof w:val="0"/>
          <w:sz w:val="22"/>
          <w:szCs w:val="22"/>
          <w:lang w:val="en-US"/>
        </w:rPr>
        <w:t>Glucose + Oxygen → Carbon Dioxide + Water + ATP (Energy)</w:t>
      </w:r>
    </w:p>
    <w:p w:rsidR="3E89F414" w:rsidP="01057697" w:rsidRDefault="3E89F414" w14:paraId="50E790D9" w14:textId="01E216D1">
      <w:pPr>
        <w:pStyle w:val="Normal"/>
        <w:spacing w:line="360" w:lineRule="auto"/>
        <w:jc w:val="both"/>
        <w:rPr>
          <w:rFonts w:ascii="Arial" w:hAnsi="Arial" w:eastAsia="Arial" w:cs="Arial"/>
          <w:noProof w:val="0"/>
          <w:sz w:val="22"/>
          <w:szCs w:val="22"/>
          <w:lang w:val="en-US"/>
        </w:rPr>
      </w:pPr>
      <w:r w:rsidRPr="01057697" w:rsidR="0D55DD63">
        <w:rPr>
          <w:rFonts w:ascii="Arial" w:hAnsi="Arial" w:eastAsia="Arial" w:cs="Arial"/>
          <w:noProof w:val="0"/>
          <w:sz w:val="22"/>
          <w:szCs w:val="22"/>
          <w:lang w:val="en-US"/>
        </w:rPr>
        <w:t>Initially, glucose undergoes glycolysis within the cytoplasm, producing pyruvate and a small amount of ATP. The pyruvate then enters the mitochondria, where further reactions occur through the Krebs cycle and oxidative phosphorylation, generating significantly larger quantities of ATP. Efficient glucose uptake into cells is therefore critical for maintaining normal cellular function. In diabetes, impaired insulin action limits glucose entry into cells, reducing ATP production and contributing to symptoms such as fatigue, weakness, and reduced physical performance (Liemburg-Apers et al., 2015).</w:t>
      </w:r>
    </w:p>
    <w:p w:rsidR="01057697" w:rsidP="01057697" w:rsidRDefault="01057697" w14:paraId="1A5367AD" w14:textId="3CE2A238">
      <w:pPr>
        <w:pStyle w:val="Normal"/>
        <w:spacing w:line="360" w:lineRule="auto"/>
        <w:jc w:val="both"/>
        <w:rPr>
          <w:rFonts w:ascii="Arial" w:hAnsi="Arial" w:eastAsia="Arial" w:cs="Arial"/>
          <w:noProof w:val="0"/>
          <w:sz w:val="22"/>
          <w:szCs w:val="22"/>
          <w:lang w:val="en-US"/>
        </w:rPr>
      </w:pPr>
    </w:p>
    <w:p xmlns:wp14="http://schemas.microsoft.com/office/word/2010/wordml" w:rsidP="01057697" wp14:paraId="6E9BEBD3" wp14:textId="6AE4A26A">
      <w:pPr>
        <w:pStyle w:val="Heading2"/>
        <w:spacing w:line="360" w:lineRule="auto"/>
        <w:jc w:val="both"/>
        <w:rPr>
          <w:rFonts w:ascii="Arial" w:hAnsi="Arial" w:eastAsia="Arial" w:cs="Arial"/>
          <w:b w:val="1"/>
          <w:bCs w:val="1"/>
          <w:noProof w:val="0"/>
          <w:color w:val="00B0F0" w:themeColor="accent4" w:themeTint="FF" w:themeShade="FF"/>
          <w:sz w:val="22"/>
          <w:szCs w:val="22"/>
          <w:lang w:val="en-US"/>
        </w:rPr>
      </w:pPr>
      <w:r w:rsidRPr="01057697" w:rsidR="2ED36EA7">
        <w:rPr>
          <w:rFonts w:ascii="Arial" w:hAnsi="Arial" w:eastAsia="Arial" w:cs="Arial"/>
          <w:b w:val="1"/>
          <w:bCs w:val="1"/>
          <w:noProof w:val="0"/>
          <w:color w:val="00B0F0"/>
          <w:sz w:val="22"/>
          <w:szCs w:val="22"/>
          <w:lang w:val="en-US"/>
        </w:rPr>
        <w:t>Pathophysiology and Impact</w:t>
      </w:r>
      <w:r w:rsidRPr="01057697" w:rsidR="5C466B8F">
        <w:rPr>
          <w:rFonts w:ascii="Arial" w:hAnsi="Arial" w:eastAsia="Arial" w:cs="Arial"/>
          <w:b w:val="1"/>
          <w:bCs w:val="1"/>
          <w:noProof w:val="0"/>
          <w:color w:val="00B0F0"/>
          <w:sz w:val="22"/>
          <w:szCs w:val="22"/>
          <w:lang w:val="en-US"/>
        </w:rPr>
        <w:t>:</w:t>
      </w:r>
    </w:p>
    <w:p w:rsidR="3C3C8C24" w:rsidP="01057697" w:rsidRDefault="3C3C8C24" w14:paraId="3419963B" w14:textId="270C8949">
      <w:pPr>
        <w:pStyle w:val="Heading2"/>
        <w:spacing w:line="360" w:lineRule="auto"/>
        <w:jc w:val="both"/>
        <w:rPr>
          <w:rFonts w:ascii="Arial" w:hAnsi="Arial" w:eastAsia="Arial" w:cs="Arial"/>
          <w:b w:val="1"/>
          <w:bCs w:val="1"/>
          <w:noProof w:val="0"/>
          <w:color w:val="00B0F0"/>
          <w:sz w:val="22"/>
          <w:szCs w:val="22"/>
          <w:lang w:val="en-US"/>
        </w:rPr>
      </w:pPr>
      <w:r w:rsidRPr="01057697" w:rsidR="3C3C8C24">
        <w:rPr>
          <w:rFonts w:ascii="Arial" w:hAnsi="Arial" w:eastAsia="Arial" w:cs="Arial"/>
          <w:b w:val="1"/>
          <w:bCs w:val="1"/>
          <w:noProof w:val="0"/>
          <w:color w:val="00B0F0"/>
          <w:sz w:val="22"/>
          <w:szCs w:val="22"/>
          <w:lang w:val="en-US"/>
        </w:rPr>
        <w:t>Failure of Blood Glucose Regulation</w:t>
      </w:r>
    </w:p>
    <w:p w:rsidR="6703DF48" w:rsidP="01057697" w:rsidRDefault="6703DF48" w14:paraId="019522CC" w14:textId="53618398">
      <w:pPr>
        <w:bidi w:val="0"/>
        <w:spacing w:line="360" w:lineRule="auto"/>
        <w:jc w:val="both"/>
        <w:rPr>
          <w:rFonts w:ascii="Arial" w:hAnsi="Arial" w:eastAsia="Arial" w:cs="Arial"/>
          <w:noProof w:val="0"/>
          <w:sz w:val="22"/>
          <w:szCs w:val="22"/>
          <w:lang w:val="en-US"/>
        </w:rPr>
      </w:pPr>
      <w:r w:rsidRPr="01057697" w:rsidR="6703DF48">
        <w:rPr>
          <w:rFonts w:ascii="Arial" w:hAnsi="Arial" w:eastAsia="Arial" w:cs="Arial"/>
          <w:noProof w:val="0"/>
          <w:sz w:val="22"/>
          <w:szCs w:val="22"/>
          <w:lang w:val="en-US"/>
        </w:rPr>
        <w:t xml:space="preserve">Diabetes mellitus occurs when the body's ability to regulate blood glucose becomes impaired. Normally, blood glucose levels are controlled by the </w:t>
      </w:r>
      <w:r w:rsidRPr="01057697" w:rsidR="6703DF48">
        <w:rPr>
          <w:rFonts w:ascii="Arial" w:hAnsi="Arial" w:eastAsia="Arial" w:cs="Arial"/>
          <w:noProof w:val="0"/>
          <w:sz w:val="22"/>
          <w:szCs w:val="22"/>
          <w:lang w:val="en-US"/>
        </w:rPr>
        <w:t>hormone's</w:t>
      </w:r>
      <w:r w:rsidRPr="01057697" w:rsidR="6703DF48">
        <w:rPr>
          <w:rFonts w:ascii="Arial" w:hAnsi="Arial" w:eastAsia="Arial" w:cs="Arial"/>
          <w:noProof w:val="0"/>
          <w:sz w:val="22"/>
          <w:szCs w:val="22"/>
          <w:lang w:val="en-US"/>
        </w:rPr>
        <w:t xml:space="preserve"> insulin and glucagon, produced by the pancreas. </w:t>
      </w:r>
      <w:r w:rsidRPr="01057697" w:rsidR="6703DF48">
        <w:rPr>
          <w:rFonts w:ascii="Arial" w:hAnsi="Arial" w:eastAsia="Arial" w:cs="Arial"/>
          <w:noProof w:val="0"/>
          <w:sz w:val="22"/>
          <w:szCs w:val="22"/>
          <w:lang w:val="en-US"/>
        </w:rPr>
        <w:t>After eating, insulin</w:t>
      </w:r>
      <w:r w:rsidRPr="01057697" w:rsidR="6703DF48">
        <w:rPr>
          <w:rFonts w:ascii="Arial" w:hAnsi="Arial" w:eastAsia="Arial" w:cs="Arial"/>
          <w:noProof w:val="0"/>
          <w:sz w:val="22"/>
          <w:szCs w:val="22"/>
          <w:lang w:val="en-US"/>
        </w:rPr>
        <w:t xml:space="preserve"> is released from pancreatic beta cells, allowing glucose to move from the bloodstream into body cells for energy or storage. When this process is disrupted, glucose accumulates in the blood, causing </w:t>
      </w:r>
      <w:r w:rsidRPr="01057697" w:rsidR="6703DF48">
        <w:rPr>
          <w:rFonts w:ascii="Arial" w:hAnsi="Arial" w:eastAsia="Arial" w:cs="Arial"/>
          <w:noProof w:val="0"/>
          <w:sz w:val="22"/>
          <w:szCs w:val="22"/>
          <w:lang w:val="en-US"/>
        </w:rPr>
        <w:t>hyperglycaemia</w:t>
      </w:r>
      <w:r w:rsidRPr="01057697" w:rsidR="6703DF48">
        <w:rPr>
          <w:rFonts w:ascii="Arial" w:hAnsi="Arial" w:eastAsia="Arial" w:cs="Arial"/>
          <w:noProof w:val="0"/>
          <w:sz w:val="22"/>
          <w:szCs w:val="22"/>
          <w:lang w:val="en-US"/>
        </w:rPr>
        <w:t xml:space="preserve"> (American Diabetes Association, 2024).</w:t>
      </w:r>
    </w:p>
    <w:p w:rsidR="6703DF48" w:rsidP="01057697" w:rsidRDefault="6703DF48" w14:paraId="3C1E6F02" w14:textId="42A080D6">
      <w:pPr>
        <w:bidi w:val="0"/>
        <w:spacing w:line="360" w:lineRule="auto"/>
        <w:jc w:val="both"/>
        <w:rPr>
          <w:rFonts w:ascii="Arial" w:hAnsi="Arial" w:eastAsia="Arial" w:cs="Arial"/>
          <w:noProof w:val="0"/>
          <w:sz w:val="22"/>
          <w:szCs w:val="22"/>
          <w:lang w:val="en-US"/>
        </w:rPr>
      </w:pPr>
      <w:r w:rsidRPr="01057697" w:rsidR="6703DF48">
        <w:rPr>
          <w:rFonts w:ascii="Arial" w:hAnsi="Arial" w:eastAsia="Arial" w:cs="Arial"/>
          <w:noProof w:val="0"/>
          <w:sz w:val="22"/>
          <w:szCs w:val="22"/>
          <w:lang w:val="en-US"/>
        </w:rPr>
        <w:t xml:space="preserve">The causes differ between Type 1 and Type 2 diabetes. Type 1 diabetes results from the destruction of insulin-producing beta cells, leading to an absolute lack of insulin and the need for lifelong insulin therapy (Atkinson et al., 2014). Type 2 diabetes </w:t>
      </w:r>
      <w:r w:rsidRPr="01057697" w:rsidR="6703DF48">
        <w:rPr>
          <w:rFonts w:ascii="Arial" w:hAnsi="Arial" w:eastAsia="Arial" w:cs="Arial"/>
          <w:noProof w:val="0"/>
          <w:sz w:val="22"/>
          <w:szCs w:val="22"/>
          <w:lang w:val="en-US"/>
        </w:rPr>
        <w:t>develop</w:t>
      </w:r>
      <w:r w:rsidRPr="01057697" w:rsidR="6703DF48">
        <w:rPr>
          <w:rFonts w:ascii="Arial" w:hAnsi="Arial" w:eastAsia="Arial" w:cs="Arial"/>
          <w:noProof w:val="0"/>
          <w:sz w:val="22"/>
          <w:szCs w:val="22"/>
          <w:lang w:val="en-US"/>
        </w:rPr>
        <w:t xml:space="preserve"> </w:t>
      </w:r>
      <w:r w:rsidRPr="01057697" w:rsidR="6703DF48">
        <w:rPr>
          <w:rFonts w:ascii="Arial" w:hAnsi="Arial" w:eastAsia="Arial" w:cs="Arial"/>
          <w:noProof w:val="0"/>
          <w:sz w:val="22"/>
          <w:szCs w:val="22"/>
          <w:lang w:val="en-US"/>
        </w:rPr>
        <w:t>mainly through</w:t>
      </w:r>
      <w:r w:rsidRPr="01057697" w:rsidR="6703DF48">
        <w:rPr>
          <w:rFonts w:ascii="Arial" w:hAnsi="Arial" w:eastAsia="Arial" w:cs="Arial"/>
          <w:noProof w:val="0"/>
          <w:sz w:val="22"/>
          <w:szCs w:val="22"/>
          <w:lang w:val="en-US"/>
        </w:rPr>
        <w:t xml:space="preserve"> insulin resistance, where body cells respond poorly to insulin. Over time, the pancreas may be unable to produce enough insulin to compensate, resulting in persistent </w:t>
      </w:r>
      <w:r w:rsidRPr="01057697" w:rsidR="6703DF48">
        <w:rPr>
          <w:rFonts w:ascii="Arial" w:hAnsi="Arial" w:eastAsia="Arial" w:cs="Arial"/>
          <w:noProof w:val="0"/>
          <w:sz w:val="22"/>
          <w:szCs w:val="22"/>
          <w:lang w:val="en-US"/>
        </w:rPr>
        <w:t>hyperglycaemia</w:t>
      </w:r>
      <w:r w:rsidRPr="01057697" w:rsidR="6703DF48">
        <w:rPr>
          <w:rFonts w:ascii="Arial" w:hAnsi="Arial" w:eastAsia="Arial" w:cs="Arial"/>
          <w:noProof w:val="0"/>
          <w:sz w:val="22"/>
          <w:szCs w:val="22"/>
          <w:lang w:val="en-US"/>
        </w:rPr>
        <w:t>. Obesity, physical inactivity, poor diet, and genetic factors increase the risk of Type 2 diabetes (American Diabetes Association, 2024).</w:t>
      </w:r>
    </w:p>
    <w:p w:rsidR="6703DF48" w:rsidP="01057697" w:rsidRDefault="6703DF48" w14:paraId="54D95C82" w14:textId="204677B3">
      <w:pPr>
        <w:bidi w:val="0"/>
        <w:spacing w:line="360" w:lineRule="auto"/>
        <w:jc w:val="both"/>
        <w:rPr>
          <w:rFonts w:ascii="Arial" w:hAnsi="Arial" w:eastAsia="Arial" w:cs="Arial"/>
          <w:noProof w:val="0"/>
          <w:sz w:val="22"/>
          <w:szCs w:val="22"/>
          <w:lang w:val="en-US"/>
        </w:rPr>
      </w:pPr>
      <w:r w:rsidRPr="01057697" w:rsidR="6703DF48">
        <w:rPr>
          <w:rFonts w:ascii="Arial" w:hAnsi="Arial" w:eastAsia="Arial" w:cs="Arial"/>
          <w:noProof w:val="0"/>
          <w:sz w:val="22"/>
          <w:szCs w:val="22"/>
          <w:lang w:val="en-US"/>
        </w:rPr>
        <w:t xml:space="preserve">Persistent </w:t>
      </w:r>
      <w:r w:rsidRPr="01057697" w:rsidR="6703DF48">
        <w:rPr>
          <w:rFonts w:ascii="Arial" w:hAnsi="Arial" w:eastAsia="Arial" w:cs="Arial"/>
          <w:noProof w:val="0"/>
          <w:sz w:val="22"/>
          <w:szCs w:val="22"/>
          <w:lang w:val="en-US"/>
        </w:rPr>
        <w:t>hyperglycaemia</w:t>
      </w:r>
      <w:r w:rsidRPr="01057697" w:rsidR="6703DF48">
        <w:rPr>
          <w:rFonts w:ascii="Arial" w:hAnsi="Arial" w:eastAsia="Arial" w:cs="Arial"/>
          <w:noProof w:val="0"/>
          <w:sz w:val="22"/>
          <w:szCs w:val="22"/>
          <w:lang w:val="en-US"/>
        </w:rPr>
        <w:t xml:space="preserve"> can damage blood vessels and nerves, causing complications such as retinopathy, nephropathy, neuropathy, cardiovascular disease, stroke, and peripheral arterial disease. Acute complications, including hyperosmolar </w:t>
      </w:r>
      <w:r w:rsidRPr="01057697" w:rsidR="6703DF48">
        <w:rPr>
          <w:rFonts w:ascii="Arial" w:hAnsi="Arial" w:eastAsia="Arial" w:cs="Arial"/>
          <w:noProof w:val="0"/>
          <w:sz w:val="22"/>
          <w:szCs w:val="22"/>
          <w:lang w:val="en-US"/>
        </w:rPr>
        <w:t>hyperglycaemic</w:t>
      </w:r>
      <w:r w:rsidRPr="01057697" w:rsidR="6703DF48">
        <w:rPr>
          <w:rFonts w:ascii="Arial" w:hAnsi="Arial" w:eastAsia="Arial" w:cs="Arial"/>
          <w:noProof w:val="0"/>
          <w:sz w:val="22"/>
          <w:szCs w:val="22"/>
          <w:lang w:val="en-US"/>
        </w:rPr>
        <w:t xml:space="preserve"> state (HHS), can also occur and require urgent treatment. Effective management through medication, lifestyle changes, and regular monitoring is essential for preventing complications and improving long-term health outcomes (World Health Organization, 2023).</w:t>
      </w:r>
    </w:p>
    <w:p w:rsidR="01057697" w:rsidP="01057697" w:rsidRDefault="01057697" w14:paraId="53A25EE1" w14:textId="7AE21D85">
      <w:pPr>
        <w:pStyle w:val="Normal"/>
        <w:bidi w:val="0"/>
        <w:spacing w:line="360" w:lineRule="auto"/>
        <w:jc w:val="both"/>
        <w:rPr>
          <w:rFonts w:ascii="Arial" w:hAnsi="Arial" w:eastAsia="Arial" w:cs="Arial"/>
          <w:noProof w:val="0"/>
          <w:sz w:val="22"/>
          <w:szCs w:val="22"/>
          <w:lang w:val="en-US"/>
        </w:rPr>
      </w:pPr>
    </w:p>
    <w:p w:rsidR="64DE30F1" w:rsidP="01057697" w:rsidRDefault="64DE30F1" w14:paraId="041DC103" w14:textId="01746291">
      <w:pPr>
        <w:pStyle w:val="Heading2"/>
        <w:bidi w:val="0"/>
        <w:spacing w:line="360" w:lineRule="auto"/>
        <w:jc w:val="both"/>
        <w:rPr>
          <w:rFonts w:ascii="Arial" w:hAnsi="Arial" w:eastAsia="Arial" w:cs="Arial"/>
          <w:b w:val="1"/>
          <w:bCs w:val="1"/>
          <w:noProof w:val="0"/>
          <w:color w:val="00B0F0"/>
          <w:sz w:val="22"/>
          <w:szCs w:val="22"/>
          <w:lang w:val="en-US"/>
        </w:rPr>
      </w:pPr>
      <w:r w:rsidRPr="01057697" w:rsidR="454A46EF">
        <w:rPr>
          <w:rFonts w:ascii="Arial" w:hAnsi="Arial" w:eastAsia="Arial" w:cs="Arial"/>
          <w:b w:val="1"/>
          <w:bCs w:val="1"/>
          <w:noProof w:val="0"/>
          <w:color w:val="00B0F0"/>
          <w:sz w:val="22"/>
          <w:szCs w:val="22"/>
          <w:lang w:val="en-US"/>
        </w:rPr>
        <w:t>Impact of Lifestyle Factors on Glucose Control</w:t>
      </w:r>
    </w:p>
    <w:p w:rsidR="7083D3E0" w:rsidP="01057697" w:rsidRDefault="7083D3E0" w14:paraId="618FC574" w14:textId="690118C1">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Lifestyle factors play a major role in the development and management of diabetes, particularly Type 2 diabetes. Healthy lifestyle choices can improve blood glucose control, while unhealthy behaviours increase insulin resistance and the risk of complications. Consequently, lifestyle modification is a key aspect of diabetes prevention and management.</w:t>
      </w:r>
    </w:p>
    <w:p w:rsidR="7083D3E0" w:rsidP="01057697" w:rsidRDefault="7083D3E0" w14:paraId="5D2EB456" w14:textId="4353BD4B">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 xml:space="preserve">Diet directly affects blood glucose levels because food provides the body with glucose. Diets high in refined sugars, processed foods, and saturated fats can contribute to weight gain and insulin resistance. In contrast, a balanced diet rich in whole grains, fruits, vegetables, lean proteins, and fiber helps stabilize blood glucose levels and supports healthy weight management. </w:t>
      </w:r>
      <w:r w:rsidRPr="01057697" w:rsidR="7083D3E0">
        <w:rPr>
          <w:rFonts w:ascii="Arial" w:hAnsi="Arial" w:eastAsia="Arial" w:cs="Arial"/>
          <w:noProof w:val="0"/>
          <w:sz w:val="22"/>
          <w:szCs w:val="22"/>
          <w:lang w:val="en-US"/>
        </w:rPr>
        <w:t>Fiber</w:t>
      </w:r>
      <w:r w:rsidRPr="01057697" w:rsidR="7083D3E0">
        <w:rPr>
          <w:rFonts w:ascii="Arial" w:hAnsi="Arial" w:eastAsia="Arial" w:cs="Arial"/>
          <w:noProof w:val="0"/>
          <w:sz w:val="22"/>
          <w:szCs w:val="22"/>
          <w:lang w:val="en-US"/>
        </w:rPr>
        <w:t xml:space="preserve"> slows glucose absorption, reducing sudden increases in blood sugar and improving </w:t>
      </w:r>
      <w:r w:rsidRPr="01057697" w:rsidR="7083D3E0">
        <w:rPr>
          <w:rFonts w:ascii="Arial" w:hAnsi="Arial" w:eastAsia="Arial" w:cs="Arial"/>
          <w:noProof w:val="0"/>
          <w:sz w:val="22"/>
          <w:szCs w:val="22"/>
          <w:lang w:val="en-US"/>
        </w:rPr>
        <w:t>glycaemic</w:t>
      </w:r>
      <w:r w:rsidRPr="01057697" w:rsidR="7083D3E0">
        <w:rPr>
          <w:rFonts w:ascii="Arial" w:hAnsi="Arial" w:eastAsia="Arial" w:cs="Arial"/>
          <w:noProof w:val="0"/>
          <w:sz w:val="22"/>
          <w:szCs w:val="22"/>
          <w:lang w:val="en-US"/>
        </w:rPr>
        <w:t xml:space="preserve"> control (Diabetes UK, 2024).</w:t>
      </w:r>
    </w:p>
    <w:p w:rsidR="7083D3E0" w:rsidP="01057697" w:rsidRDefault="7083D3E0" w14:paraId="43BFDC92" w14:textId="35CB4C43">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Regular physical activity also supports glucose regulation. Exercise increases glucose uptake by muscles and improves insulin sensitivity, helping to lower blood glucose levels. It additionally promotes weight management, cardiovascular health, and overall wellbeing. Adults are recommended to engage in at least 150 minutes of moderate-intensity activity each week (Colberg et al., 2016).</w:t>
      </w:r>
    </w:p>
    <w:p w:rsidR="7083D3E0" w:rsidP="01057697" w:rsidRDefault="7083D3E0" w14:paraId="27C522D1" w14:textId="2B0247E3">
      <w:pPr>
        <w:bidi w:val="0"/>
        <w:spacing w:line="360" w:lineRule="auto"/>
        <w:jc w:val="both"/>
        <w:rPr>
          <w:rFonts w:ascii="Arial" w:hAnsi="Arial" w:eastAsia="Arial" w:cs="Arial"/>
          <w:noProof w:val="0"/>
          <w:sz w:val="22"/>
          <w:szCs w:val="22"/>
          <w:lang w:val="en-US"/>
        </w:rPr>
      </w:pPr>
      <w:r w:rsidRPr="01057697" w:rsidR="7083D3E0">
        <w:rPr>
          <w:rFonts w:ascii="Arial" w:hAnsi="Arial" w:eastAsia="Arial" w:cs="Arial"/>
          <w:noProof w:val="0"/>
          <w:sz w:val="22"/>
          <w:szCs w:val="22"/>
          <w:lang w:val="en-US"/>
        </w:rPr>
        <w:t>Smoking negatively affects diabetes management by increasing insulin resistance and damaging blood vessels. Avoiding smoking, maintaining a healthy diet, and exercising regularly can improve glycaemic control, reduce complications, and enhance quality of life (CDC, 2024).</w:t>
      </w:r>
    </w:p>
    <w:p w:rsidR="01057697" w:rsidP="01057697" w:rsidRDefault="01057697" w14:paraId="22A22516" w14:textId="24C0D7BD">
      <w:pPr>
        <w:pStyle w:val="Normal"/>
        <w:suppressLineNumbers w:val="0"/>
        <w:bidi w:val="0"/>
        <w:spacing w:before="0" w:beforeAutospacing="off" w:after="160" w:afterAutospacing="off" w:line="360" w:lineRule="auto"/>
        <w:ind w:left="0" w:right="0"/>
        <w:jc w:val="both"/>
        <w:rPr>
          <w:rFonts w:ascii="Arial" w:hAnsi="Arial" w:eastAsia="Arial" w:cs="Arial"/>
          <w:noProof w:val="0"/>
          <w:color w:val="0F9DD4"/>
          <w:sz w:val="22"/>
          <w:szCs w:val="22"/>
          <w:lang w:val="en-US"/>
        </w:rPr>
      </w:pPr>
    </w:p>
    <w:p w:rsidR="145C0CF9" w:rsidP="01057697" w:rsidRDefault="145C0CF9" w14:paraId="08ABD235" w14:textId="1E1D3D47">
      <w:pPr>
        <w:spacing w:line="360" w:lineRule="auto"/>
        <w:jc w:val="both"/>
        <w:rPr>
          <w:rFonts w:ascii="Arial" w:hAnsi="Arial" w:eastAsia="Arial" w:cs="Arial"/>
          <w:b w:val="1"/>
          <w:bCs w:val="1"/>
          <w:noProof w:val="0"/>
          <w:color w:val="00B0F0"/>
          <w:sz w:val="22"/>
          <w:szCs w:val="22"/>
          <w:lang w:val="en-US"/>
        </w:rPr>
      </w:pPr>
      <w:r w:rsidRPr="01057697" w:rsidR="145C0CF9">
        <w:rPr>
          <w:rFonts w:ascii="Arial" w:hAnsi="Arial" w:eastAsia="Arial" w:cs="Arial"/>
          <w:b w:val="1"/>
          <w:bCs w:val="1"/>
          <w:noProof w:val="0"/>
          <w:color w:val="00B0F0"/>
          <w:sz w:val="22"/>
          <w:szCs w:val="22"/>
          <w:lang w:val="en-US"/>
        </w:rPr>
        <w:t xml:space="preserve">Monitoring and Data </w:t>
      </w:r>
      <w:r w:rsidRPr="01057697" w:rsidR="1538E9DB">
        <w:rPr>
          <w:rFonts w:ascii="Arial" w:hAnsi="Arial" w:eastAsia="Arial" w:cs="Arial"/>
          <w:b w:val="1"/>
          <w:bCs w:val="1"/>
          <w:noProof w:val="0"/>
          <w:color w:val="00B0F0"/>
          <w:sz w:val="22"/>
          <w:szCs w:val="22"/>
          <w:lang w:val="en-US"/>
        </w:rPr>
        <w:t>Use:</w:t>
      </w:r>
    </w:p>
    <w:p xmlns:wp14="http://schemas.microsoft.com/office/word/2010/wordml" w:rsidP="01057697" wp14:paraId="65243F1C" wp14:textId="6B499BD3">
      <w:pPr>
        <w:spacing w:line="360" w:lineRule="auto"/>
        <w:jc w:val="both"/>
        <w:rPr>
          <w:rFonts w:ascii="Arial" w:hAnsi="Arial" w:eastAsia="Arial" w:cs="Arial"/>
          <w:noProof w:val="0"/>
          <w:sz w:val="22"/>
          <w:szCs w:val="22"/>
          <w:lang w:val="en-US"/>
        </w:rPr>
      </w:pPr>
      <w:r w:rsidRPr="01057697" w:rsidR="145C0CF9">
        <w:rPr>
          <w:rFonts w:ascii="Arial" w:hAnsi="Arial" w:eastAsia="Arial" w:cs="Arial"/>
          <w:noProof w:val="0"/>
          <w:sz w:val="22"/>
          <w:szCs w:val="22"/>
          <w:lang w:val="en-US"/>
        </w:rPr>
        <w:t>Effective monitoring is a fundamental aspect of diabetes management. Tracking health data, particularly blood glucose levels, helps individuals and healthcare professionals assess how well the condition is being controlled and whether treatment plans are effective. Regular monitoring enables early identification of abnormal blood glucose levels, allowing prompt action to prevent complications and maintain overall health.</w:t>
      </w:r>
    </w:p>
    <w:p xmlns:wp14="http://schemas.microsoft.com/office/word/2010/wordml" w:rsidP="01057697" wp14:paraId="53F27288" wp14:textId="57254A26">
      <w:pPr>
        <w:spacing w:line="360" w:lineRule="auto"/>
        <w:jc w:val="both"/>
        <w:rPr>
          <w:rFonts w:ascii="Arial" w:hAnsi="Arial" w:eastAsia="Arial" w:cs="Arial"/>
          <w:noProof w:val="0"/>
          <w:sz w:val="22"/>
          <w:szCs w:val="22"/>
          <w:lang w:val="en-US"/>
        </w:rPr>
      </w:pPr>
      <w:r w:rsidRPr="01057697" w:rsidR="145C0CF9">
        <w:rPr>
          <w:rFonts w:ascii="Arial" w:hAnsi="Arial" w:eastAsia="Arial" w:cs="Arial"/>
          <w:noProof w:val="0"/>
          <w:sz w:val="22"/>
          <w:szCs w:val="22"/>
          <w:lang w:val="en-US"/>
        </w:rPr>
        <w:t>Blood glucose monitoring can be carried out using finger-prick blood tests or continuous glucose monitoring (CGM) systems. These methods provide valuable information about how blood sugar levels change throughout the day in response to food intake, physical activity, medication, stress, and illness. Monitoring helps individuals understand patterns in their glucose levels and make informed decisions regarding diet, exercise, and medication use (American Diabetes Association, 2024).</w:t>
      </w:r>
    </w:p>
    <w:p xmlns:wp14="http://schemas.microsoft.com/office/word/2010/wordml" w:rsidP="01057697" wp14:paraId="45C77FD5" wp14:textId="03DC3D6E">
      <w:pPr>
        <w:spacing w:line="360" w:lineRule="auto"/>
        <w:jc w:val="both"/>
        <w:rPr>
          <w:rFonts w:ascii="Arial" w:hAnsi="Arial" w:eastAsia="Arial" w:cs="Arial"/>
          <w:noProof w:val="0"/>
          <w:sz w:val="22"/>
          <w:szCs w:val="22"/>
          <w:lang w:val="en-US"/>
        </w:rPr>
      </w:pPr>
      <w:r w:rsidRPr="01057697" w:rsidR="145C0CF9">
        <w:rPr>
          <w:rFonts w:ascii="Arial" w:hAnsi="Arial" w:eastAsia="Arial" w:cs="Arial"/>
          <w:noProof w:val="0"/>
          <w:sz w:val="22"/>
          <w:szCs w:val="22"/>
          <w:lang w:val="en-US"/>
        </w:rPr>
        <w:t xml:space="preserve">In addition to daily blood glucose measurements, healthcare professionals routinely collect other health data, including glycated </w:t>
      </w:r>
      <w:r w:rsidRPr="01057697" w:rsidR="256470C6">
        <w:rPr>
          <w:rFonts w:ascii="Arial" w:hAnsi="Arial" w:eastAsia="Arial" w:cs="Arial"/>
          <w:noProof w:val="0"/>
          <w:sz w:val="22"/>
          <w:szCs w:val="22"/>
          <w:lang w:val="en-US"/>
        </w:rPr>
        <w:t>hemoglobin</w:t>
      </w:r>
      <w:r w:rsidRPr="01057697" w:rsidR="145C0CF9">
        <w:rPr>
          <w:rFonts w:ascii="Arial" w:hAnsi="Arial" w:eastAsia="Arial" w:cs="Arial"/>
          <w:noProof w:val="0"/>
          <w:sz w:val="22"/>
          <w:szCs w:val="22"/>
          <w:lang w:val="en-US"/>
        </w:rPr>
        <w:t xml:space="preserve"> (HbA1c) levels, blood pressure, cholesterol levels, weight, and body mass index (BMI). HbA1c testing is particularly important because it reflects average blood glucose levels over the </w:t>
      </w:r>
      <w:r w:rsidRPr="01057697" w:rsidR="145C0CF9">
        <w:rPr>
          <w:rFonts w:ascii="Arial" w:hAnsi="Arial" w:eastAsia="Arial" w:cs="Arial"/>
          <w:noProof w:val="0"/>
          <w:sz w:val="22"/>
          <w:szCs w:val="22"/>
          <w:lang w:val="en-US"/>
        </w:rPr>
        <w:t>previous</w:t>
      </w:r>
      <w:r w:rsidRPr="01057697" w:rsidR="145C0CF9">
        <w:rPr>
          <w:rFonts w:ascii="Arial" w:hAnsi="Arial" w:eastAsia="Arial" w:cs="Arial"/>
          <w:noProof w:val="0"/>
          <w:sz w:val="22"/>
          <w:szCs w:val="22"/>
          <w:lang w:val="en-US"/>
        </w:rPr>
        <w:t xml:space="preserve"> two to three months and provides </w:t>
      </w:r>
      <w:r w:rsidRPr="01057697" w:rsidR="145C0CF9">
        <w:rPr>
          <w:rFonts w:ascii="Arial" w:hAnsi="Arial" w:eastAsia="Arial" w:cs="Arial"/>
          <w:noProof w:val="0"/>
          <w:sz w:val="22"/>
          <w:szCs w:val="22"/>
          <w:lang w:val="en-US"/>
        </w:rPr>
        <w:t>an indication</w:t>
      </w:r>
      <w:r w:rsidRPr="01057697" w:rsidR="145C0CF9">
        <w:rPr>
          <w:rFonts w:ascii="Arial" w:hAnsi="Arial" w:eastAsia="Arial" w:cs="Arial"/>
          <w:noProof w:val="0"/>
          <w:sz w:val="22"/>
          <w:szCs w:val="22"/>
          <w:lang w:val="en-US"/>
        </w:rPr>
        <w:t xml:space="preserve"> of long-term diabetes control (National Institute for Health and Care Excellence, 2022).</w:t>
      </w:r>
    </w:p>
    <w:p xmlns:wp14="http://schemas.microsoft.com/office/word/2010/wordml" w:rsidP="01057697" wp14:paraId="7399FA68" wp14:textId="723377CC">
      <w:pPr>
        <w:spacing w:line="360" w:lineRule="auto"/>
        <w:jc w:val="both"/>
        <w:rPr>
          <w:rFonts w:ascii="Arial" w:hAnsi="Arial" w:eastAsia="Arial" w:cs="Arial"/>
          <w:noProof w:val="0"/>
          <w:sz w:val="22"/>
          <w:szCs w:val="22"/>
          <w:lang w:val="en-US"/>
        </w:rPr>
      </w:pPr>
      <w:r w:rsidRPr="01057697" w:rsidR="145C0CF9">
        <w:rPr>
          <w:rFonts w:ascii="Arial" w:hAnsi="Arial" w:eastAsia="Arial" w:cs="Arial"/>
          <w:noProof w:val="0"/>
          <w:sz w:val="22"/>
          <w:szCs w:val="22"/>
          <w:lang w:val="en-US"/>
        </w:rPr>
        <w:t>Routine data collection supports effective diabetes management by identifying trends and highlighting potential problems before they become serious. For example, consistently elevated blood glucose readings may indicate that dietary habits, physical activity levels, or medication dosages need adjustment. Likewise, monitoring blood pressure and cholesterol levels can help reduce the risk of cardiovascular complications, which are more common in people with diabetes.</w:t>
      </w:r>
    </w:p>
    <w:p xmlns:wp14="http://schemas.microsoft.com/office/word/2010/wordml" w:rsidP="01057697" wp14:paraId="729FC37B" wp14:textId="21882666">
      <w:pPr>
        <w:spacing w:line="360" w:lineRule="auto"/>
        <w:jc w:val="both"/>
        <w:rPr>
          <w:rFonts w:ascii="Arial" w:hAnsi="Arial" w:eastAsia="Arial" w:cs="Arial"/>
          <w:noProof w:val="0"/>
          <w:sz w:val="22"/>
          <w:szCs w:val="22"/>
          <w:lang w:val="en-US"/>
        </w:rPr>
      </w:pPr>
      <w:r w:rsidRPr="01057697" w:rsidR="145C0CF9">
        <w:rPr>
          <w:rFonts w:ascii="Arial" w:hAnsi="Arial" w:eastAsia="Arial" w:cs="Arial"/>
          <w:noProof w:val="0"/>
          <w:sz w:val="22"/>
          <w:szCs w:val="22"/>
          <w:lang w:val="en-US"/>
        </w:rPr>
        <w:t>Healthcare professionals use this data to develop personalised treatment plans and evaluate the effectiveness of interventions over time. Patients can also use their health records to set goals, monitor progress, and improve self-management. Therefore, regular monitoring and the use of routine health data are essential for maintaining glycaemic control, preventing complications, and improving the long-term quality of life for individuals living with diabetes.</w:t>
      </w:r>
    </w:p>
    <w:p w:rsidR="01057697" w:rsidP="01057697" w:rsidRDefault="01057697" w14:paraId="183B84FF" w14:textId="28243964">
      <w:pPr>
        <w:pStyle w:val="Heading2"/>
        <w:spacing w:line="360" w:lineRule="auto"/>
        <w:jc w:val="both"/>
        <w:rPr>
          <w:rFonts w:ascii="Arial" w:hAnsi="Arial" w:eastAsia="Arial" w:cs="Arial"/>
          <w:noProof w:val="0"/>
          <w:sz w:val="22"/>
          <w:szCs w:val="22"/>
          <w:lang w:val="en-US"/>
        </w:rPr>
      </w:pPr>
    </w:p>
    <w:p xmlns:wp14="http://schemas.microsoft.com/office/word/2010/wordml" w:rsidP="01057697" wp14:paraId="44107093" wp14:textId="37004E41">
      <w:pPr>
        <w:pStyle w:val="Heading2"/>
        <w:spacing w:line="360" w:lineRule="auto"/>
        <w:jc w:val="both"/>
        <w:rPr>
          <w:rFonts w:ascii="Arial" w:hAnsi="Arial" w:eastAsia="Arial" w:cs="Arial"/>
          <w:b w:val="1"/>
          <w:bCs w:val="1"/>
          <w:noProof w:val="0"/>
          <w:color w:val="0F9DD4" w:themeColor="accent4" w:themeTint="FF" w:themeShade="FF"/>
          <w:sz w:val="22"/>
          <w:szCs w:val="22"/>
          <w:lang w:val="en-US"/>
        </w:rPr>
      </w:pPr>
      <w:r w:rsidRPr="01057697" w:rsidR="05BC5A7E">
        <w:rPr>
          <w:rFonts w:ascii="Arial" w:hAnsi="Arial" w:eastAsia="Arial" w:cs="Arial"/>
          <w:b w:val="1"/>
          <w:bCs w:val="1"/>
          <w:noProof w:val="0"/>
          <w:color w:val="00B0F0"/>
          <w:sz w:val="22"/>
          <w:szCs w:val="22"/>
          <w:lang w:val="en-US"/>
        </w:rPr>
        <w:t xml:space="preserve">Evidence-Based Lifestyle </w:t>
      </w:r>
      <w:r w:rsidRPr="01057697" w:rsidR="62CA277B">
        <w:rPr>
          <w:rFonts w:ascii="Arial" w:hAnsi="Arial" w:eastAsia="Arial" w:cs="Arial"/>
          <w:b w:val="1"/>
          <w:bCs w:val="1"/>
          <w:noProof w:val="0"/>
          <w:color w:val="00B0F0"/>
          <w:sz w:val="22"/>
          <w:szCs w:val="22"/>
          <w:lang w:val="en-US"/>
        </w:rPr>
        <w:t>Recommendations:</w:t>
      </w:r>
      <w:r w:rsidRPr="01057697" w:rsidR="77C35D41">
        <w:rPr>
          <w:rFonts w:ascii="Arial" w:hAnsi="Arial" w:eastAsia="Arial" w:cs="Arial"/>
          <w:b w:val="1"/>
          <w:bCs w:val="1"/>
          <w:noProof w:val="0"/>
          <w:color w:val="00B0F0"/>
          <w:sz w:val="22"/>
          <w:szCs w:val="22"/>
          <w:lang w:val="en-US"/>
        </w:rPr>
        <w:t xml:space="preserve"> </w:t>
      </w:r>
    </w:p>
    <w:p xmlns:wp14="http://schemas.microsoft.com/office/word/2010/wordml" w:rsidP="01057697" wp14:paraId="6A0CA858" wp14:textId="58F2E28A">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 xml:space="preserve">Lifestyle modification is a key </w:t>
      </w:r>
      <w:r w:rsidRPr="01057697" w:rsidR="05BC5A7E">
        <w:rPr>
          <w:rFonts w:ascii="Arial" w:hAnsi="Arial" w:eastAsia="Arial" w:cs="Arial"/>
          <w:noProof w:val="0"/>
          <w:sz w:val="22"/>
          <w:szCs w:val="22"/>
          <w:lang w:val="en-US"/>
        </w:rPr>
        <w:t>component</w:t>
      </w:r>
      <w:r w:rsidRPr="01057697" w:rsidR="05BC5A7E">
        <w:rPr>
          <w:rFonts w:ascii="Arial" w:hAnsi="Arial" w:eastAsia="Arial" w:cs="Arial"/>
          <w:noProof w:val="0"/>
          <w:sz w:val="22"/>
          <w:szCs w:val="22"/>
          <w:lang w:val="en-US"/>
        </w:rPr>
        <w:t xml:space="preserve"> of diabetes prevention and management, particularly for individuals with Type 2 diabetes. Evidence-based recommendations focus on improving diet, increasing physical activity, </w:t>
      </w:r>
      <w:r w:rsidRPr="01057697" w:rsidR="05BC5A7E">
        <w:rPr>
          <w:rFonts w:ascii="Arial" w:hAnsi="Arial" w:eastAsia="Arial" w:cs="Arial"/>
          <w:noProof w:val="0"/>
          <w:sz w:val="22"/>
          <w:szCs w:val="22"/>
          <w:lang w:val="en-US"/>
        </w:rPr>
        <w:t>maintaining</w:t>
      </w:r>
      <w:r w:rsidRPr="01057697" w:rsidR="05BC5A7E">
        <w:rPr>
          <w:rFonts w:ascii="Arial" w:hAnsi="Arial" w:eastAsia="Arial" w:cs="Arial"/>
          <w:noProof w:val="0"/>
          <w:sz w:val="22"/>
          <w:szCs w:val="22"/>
          <w:lang w:val="en-US"/>
        </w:rPr>
        <w:t xml:space="preserve"> </w:t>
      </w:r>
      <w:r w:rsidRPr="01057697" w:rsidR="728B8E09">
        <w:rPr>
          <w:rFonts w:ascii="Arial" w:hAnsi="Arial" w:eastAsia="Arial" w:cs="Arial"/>
          <w:noProof w:val="0"/>
          <w:sz w:val="22"/>
          <w:szCs w:val="22"/>
          <w:lang w:val="en-US"/>
        </w:rPr>
        <w:t>healthy</w:t>
      </w:r>
      <w:r w:rsidRPr="01057697" w:rsidR="05BC5A7E">
        <w:rPr>
          <w:rFonts w:ascii="Arial" w:hAnsi="Arial" w:eastAsia="Arial" w:cs="Arial"/>
          <w:noProof w:val="0"/>
          <w:sz w:val="22"/>
          <w:szCs w:val="22"/>
          <w:lang w:val="en-US"/>
        </w:rPr>
        <w:t xml:space="preserve"> weight, and avoiding smoking. These interventions can significantly improve blood glucose control and reduce the risk of long-term complications.</w:t>
      </w:r>
    </w:p>
    <w:p xmlns:wp14="http://schemas.microsoft.com/office/word/2010/wordml" w:rsidP="01057697" wp14:paraId="2A7222BC" wp14:textId="71E3B419">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One of the most effective lifestyle changes is adopting a balanced and nutritious diet. NICE (2022) recommends a diet rich in whole grains, vegetables, fruits, legumes, and lean protein sources while limiting foods high in saturated fats, salt, and added sugars. Reducing the intake of refined carbohydrates can help prevent rapid increases in blood glucose levels after meals. Portion control and regular meal patterns also contribute to improved glycaemic management. Research has shown that healthy dietary changes can improve insulin sensitivity and support weight reduction, which is particularly beneficial for individuals with Type 2 diabetes (Lean et al., 2018).</w:t>
      </w:r>
    </w:p>
    <w:p xmlns:wp14="http://schemas.microsoft.com/office/word/2010/wordml" w:rsidP="01057697" wp14:paraId="533FF06E" wp14:textId="37D2388D">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 xml:space="preserve">Regular physical activity is another important recommendation. NICE </w:t>
      </w:r>
      <w:r w:rsidRPr="01057697" w:rsidR="05BC5A7E">
        <w:rPr>
          <w:rFonts w:ascii="Arial" w:hAnsi="Arial" w:eastAsia="Arial" w:cs="Arial"/>
          <w:noProof w:val="0"/>
          <w:sz w:val="22"/>
          <w:szCs w:val="22"/>
          <w:lang w:val="en-US"/>
        </w:rPr>
        <w:t>advises adults to</w:t>
      </w:r>
      <w:r w:rsidRPr="01057697" w:rsidR="05BC5A7E">
        <w:rPr>
          <w:rFonts w:ascii="Arial" w:hAnsi="Arial" w:eastAsia="Arial" w:cs="Arial"/>
          <w:noProof w:val="0"/>
          <w:sz w:val="22"/>
          <w:szCs w:val="22"/>
          <w:lang w:val="en-US"/>
        </w:rPr>
        <w:t xml:space="preserve"> </w:t>
      </w:r>
      <w:r w:rsidRPr="01057697" w:rsidR="05BC5A7E">
        <w:rPr>
          <w:rFonts w:ascii="Arial" w:hAnsi="Arial" w:eastAsia="Arial" w:cs="Arial"/>
          <w:noProof w:val="0"/>
          <w:sz w:val="22"/>
          <w:szCs w:val="22"/>
          <w:lang w:val="en-US"/>
        </w:rPr>
        <w:t>participate</w:t>
      </w:r>
      <w:r w:rsidRPr="01057697" w:rsidR="05BC5A7E">
        <w:rPr>
          <w:rFonts w:ascii="Arial" w:hAnsi="Arial" w:eastAsia="Arial" w:cs="Arial"/>
          <w:noProof w:val="0"/>
          <w:sz w:val="22"/>
          <w:szCs w:val="22"/>
          <w:lang w:val="en-US"/>
        </w:rPr>
        <w:t xml:space="preserve"> in at least </w:t>
      </w:r>
      <w:r w:rsidRPr="01057697" w:rsidR="05BC5A7E">
        <w:rPr>
          <w:rFonts w:ascii="Arial" w:hAnsi="Arial" w:eastAsia="Arial" w:cs="Arial"/>
          <w:noProof w:val="0"/>
          <w:sz w:val="22"/>
          <w:szCs w:val="22"/>
          <w:lang w:val="en-US"/>
        </w:rPr>
        <w:t>150 minutes</w:t>
      </w:r>
      <w:r w:rsidRPr="01057697" w:rsidR="05BC5A7E">
        <w:rPr>
          <w:rFonts w:ascii="Arial" w:hAnsi="Arial" w:eastAsia="Arial" w:cs="Arial"/>
          <w:noProof w:val="0"/>
          <w:sz w:val="22"/>
          <w:szCs w:val="22"/>
          <w:lang w:val="en-US"/>
        </w:rPr>
        <w:t xml:space="preserve"> of </w:t>
      </w:r>
      <w:r w:rsidRPr="01057697" w:rsidR="18A487E9">
        <w:rPr>
          <w:rFonts w:ascii="Arial" w:hAnsi="Arial" w:eastAsia="Arial" w:cs="Arial"/>
          <w:noProof w:val="0"/>
          <w:sz w:val="22"/>
          <w:szCs w:val="22"/>
          <w:lang w:val="en-US"/>
        </w:rPr>
        <w:t>moderate intensity</w:t>
      </w:r>
      <w:r w:rsidRPr="01057697" w:rsidR="05BC5A7E">
        <w:rPr>
          <w:rFonts w:ascii="Arial" w:hAnsi="Arial" w:eastAsia="Arial" w:cs="Arial"/>
          <w:noProof w:val="0"/>
          <w:sz w:val="22"/>
          <w:szCs w:val="22"/>
          <w:lang w:val="en-US"/>
        </w:rPr>
        <w:t xml:space="preserve"> exercise each week. Activities such as brisk walking, cycling, swimming, or gardening can improve cardiovascular health and enhance the body's response to insulin. Exercise increases glucose uptake by muscle cells, reducing blood glucose </w:t>
      </w:r>
      <w:r w:rsidRPr="01057697" w:rsidR="02F462A0">
        <w:rPr>
          <w:rFonts w:ascii="Arial" w:hAnsi="Arial" w:eastAsia="Arial" w:cs="Arial"/>
          <w:noProof w:val="0"/>
          <w:sz w:val="22"/>
          <w:szCs w:val="22"/>
          <w:lang w:val="en-US"/>
        </w:rPr>
        <w:t>levels,</w:t>
      </w:r>
      <w:r w:rsidRPr="01057697" w:rsidR="05BC5A7E">
        <w:rPr>
          <w:rFonts w:ascii="Arial" w:hAnsi="Arial" w:eastAsia="Arial" w:cs="Arial"/>
          <w:noProof w:val="0"/>
          <w:sz w:val="22"/>
          <w:szCs w:val="22"/>
          <w:lang w:val="en-US"/>
        </w:rPr>
        <w:t xml:space="preserve"> and improving overall metabolic function (Colberg et al., 2016). Increased physical activity can also contribute to weight loss, lower blood pressure, and improve cholesterol levels.</w:t>
      </w:r>
    </w:p>
    <w:p xmlns:wp14="http://schemas.microsoft.com/office/word/2010/wordml" w:rsidP="01057697" wp14:paraId="64BA24ED" wp14:textId="45001F48">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 xml:space="preserve">Weight management is strongly associated with improved diabetes outcomes. Excess </w:t>
      </w:r>
      <w:r w:rsidRPr="01057697" w:rsidR="3DB6B487">
        <w:rPr>
          <w:rFonts w:ascii="Arial" w:hAnsi="Arial" w:eastAsia="Arial" w:cs="Arial"/>
          <w:noProof w:val="0"/>
          <w:sz w:val="22"/>
          <w:szCs w:val="22"/>
          <w:lang w:val="en-US"/>
        </w:rPr>
        <w:t>to body</w:t>
      </w:r>
      <w:r w:rsidRPr="01057697" w:rsidR="05BC5A7E">
        <w:rPr>
          <w:rFonts w:ascii="Arial" w:hAnsi="Arial" w:eastAsia="Arial" w:cs="Arial"/>
          <w:noProof w:val="0"/>
          <w:sz w:val="22"/>
          <w:szCs w:val="22"/>
          <w:lang w:val="en-US"/>
        </w:rPr>
        <w:t xml:space="preserve"> fat, particularly around the abdomen, contributes to insulin resistance. Studies have </w:t>
      </w:r>
      <w:r w:rsidRPr="01057697" w:rsidR="05BC5A7E">
        <w:rPr>
          <w:rFonts w:ascii="Arial" w:hAnsi="Arial" w:eastAsia="Arial" w:cs="Arial"/>
          <w:noProof w:val="0"/>
          <w:sz w:val="22"/>
          <w:szCs w:val="22"/>
          <w:lang w:val="en-US"/>
        </w:rPr>
        <w:t>demonstrated</w:t>
      </w:r>
      <w:r w:rsidRPr="01057697" w:rsidR="05BC5A7E">
        <w:rPr>
          <w:rFonts w:ascii="Arial" w:hAnsi="Arial" w:eastAsia="Arial" w:cs="Arial"/>
          <w:noProof w:val="0"/>
          <w:sz w:val="22"/>
          <w:szCs w:val="22"/>
          <w:lang w:val="en-US"/>
        </w:rPr>
        <w:t xml:space="preserve"> that sustained weight loss can improve blood glucose control and, in some cases, lead to remission of Type 2 diabetes (Lean et al., 2018). Achieving and </w:t>
      </w:r>
      <w:r w:rsidRPr="01057697" w:rsidR="05BC5A7E">
        <w:rPr>
          <w:rFonts w:ascii="Arial" w:hAnsi="Arial" w:eastAsia="Arial" w:cs="Arial"/>
          <w:noProof w:val="0"/>
          <w:sz w:val="22"/>
          <w:szCs w:val="22"/>
          <w:lang w:val="en-US"/>
        </w:rPr>
        <w:t>maintaining</w:t>
      </w:r>
      <w:r w:rsidRPr="01057697" w:rsidR="05BC5A7E">
        <w:rPr>
          <w:rFonts w:ascii="Arial" w:hAnsi="Arial" w:eastAsia="Arial" w:cs="Arial"/>
          <w:noProof w:val="0"/>
          <w:sz w:val="22"/>
          <w:szCs w:val="22"/>
          <w:lang w:val="en-US"/>
        </w:rPr>
        <w:t xml:space="preserve"> a healthy weight therefore has significant physiological benefits, including reduced strain on the pancreas and improved insulin effectiveness.</w:t>
      </w:r>
    </w:p>
    <w:p xmlns:wp14="http://schemas.microsoft.com/office/word/2010/wordml" w:rsidP="01057697" wp14:paraId="283AD915" wp14:textId="2C8D5734">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Smoking cessation should also be encouraged. Smoking increases insulin resistance, damages blood vessels, and raises the risk of cardiovascular disease. Stopping smoking improves circulation, reduces inflammation, and decreases the likelihood of diabetes-related complications (Centers for Disease Control and Prevention, 2024).</w:t>
      </w:r>
    </w:p>
    <w:p xmlns:wp14="http://schemas.microsoft.com/office/word/2010/wordml" w:rsidP="01057697" wp14:paraId="34E32AFB" wp14:textId="1F12A2BD">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Overall, these evidence-based lifestyle interventions improve physiological outcomes by enhancing insulin sensitivity, reducing blood glucose levels, supporting cardiovascular health, and lowering the risk of complications. When combined with medical treatment and regular monitoring, lifestyle modifications can significantly improve quality of life for individuals living with diabetes.</w:t>
      </w:r>
    </w:p>
    <w:p w:rsidR="01057697" w:rsidP="01057697" w:rsidRDefault="01057697" w14:paraId="338EFCC4" w14:textId="4AFD7F1A">
      <w:pPr>
        <w:pStyle w:val="Normal"/>
        <w:spacing w:line="360" w:lineRule="auto"/>
        <w:jc w:val="both"/>
        <w:rPr>
          <w:rFonts w:ascii="Arial" w:hAnsi="Arial" w:eastAsia="Arial" w:cs="Arial"/>
          <w:noProof w:val="0"/>
          <w:sz w:val="22"/>
          <w:szCs w:val="22"/>
          <w:lang w:val="en-US"/>
        </w:rPr>
      </w:pPr>
    </w:p>
    <w:p xmlns:wp14="http://schemas.microsoft.com/office/word/2010/wordml" w:rsidP="01057697" wp14:paraId="78A14B7E" wp14:textId="1CD438AB">
      <w:pPr>
        <w:pStyle w:val="Heading2"/>
        <w:spacing w:line="360" w:lineRule="auto"/>
        <w:jc w:val="both"/>
        <w:rPr>
          <w:rFonts w:ascii="Arial" w:hAnsi="Arial" w:eastAsia="Arial" w:cs="Arial"/>
          <w:b w:val="1"/>
          <w:bCs w:val="1"/>
          <w:noProof w:val="0"/>
          <w:color w:val="00B0F0" w:themeColor="accent4" w:themeTint="FF" w:themeShade="FF"/>
          <w:sz w:val="22"/>
          <w:szCs w:val="22"/>
          <w:lang w:val="en-US"/>
        </w:rPr>
      </w:pPr>
      <w:r w:rsidRPr="01057697" w:rsidR="05BC5A7E">
        <w:rPr>
          <w:rFonts w:ascii="Arial" w:hAnsi="Arial" w:eastAsia="Arial" w:cs="Arial"/>
          <w:b w:val="1"/>
          <w:bCs w:val="1"/>
          <w:noProof w:val="0"/>
          <w:color w:val="00B0F0"/>
          <w:sz w:val="22"/>
          <w:szCs w:val="22"/>
          <w:lang w:val="en-US"/>
        </w:rPr>
        <w:t>Conclusion</w:t>
      </w:r>
      <w:r w:rsidRPr="01057697" w:rsidR="22853C9E">
        <w:rPr>
          <w:rFonts w:ascii="Arial" w:hAnsi="Arial" w:eastAsia="Arial" w:cs="Arial"/>
          <w:b w:val="1"/>
          <w:bCs w:val="1"/>
          <w:noProof w:val="0"/>
          <w:color w:val="00B0F0"/>
          <w:sz w:val="22"/>
          <w:szCs w:val="22"/>
          <w:lang w:val="en-US"/>
        </w:rPr>
        <w:t>:</w:t>
      </w:r>
    </w:p>
    <w:p xmlns:wp14="http://schemas.microsoft.com/office/word/2010/wordml" w:rsidP="01057697" wp14:paraId="7FB59FC4" wp14:textId="5383610B">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Diabetes is a chronic metabolic disorder that affects the body's ability to regulate blood glucose levels effectively. This report has explored the anatomy and physiology of glucose regulation, highlighting the essential roles of the pancreas, insulin, and cellular metabolism in maintaining normal bodily function. It has also examined how diabetes disrupts these processes, leading to elevated blood glucose levels and increasing the risk of serious complications affecting the cardiovascular, nervous, renal, and visual systems.</w:t>
      </w:r>
    </w:p>
    <w:p xmlns:wp14="http://schemas.microsoft.com/office/word/2010/wordml" w:rsidP="01057697" wp14:paraId="2D46DE89" wp14:textId="413E8C43">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The report has demonstrated that lifestyle factors such as diet, physical activity, and smoking have a significant influence on glucose control and disease progression. Furthermore, the importance of monitoring health data, including blood glucose levels and HbA1c measurements, has been discussed as a vital component of effective diabetes management. Routine data collection enables healthcare professionals and patients to identify trends, evaluate treatment effectiveness, and make informed decisions regarding ongoing care.</w:t>
      </w:r>
    </w:p>
    <w:p xmlns:wp14="http://schemas.microsoft.com/office/word/2010/wordml" w:rsidP="01057697" wp14:paraId="1492A76A" wp14:textId="6433756D">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Evidence-based recommendations, supported by NICE guidance and clinical research, show that healthy eating, regular exercise, weight management, and smoking cessation can improve insulin sensitivity, enhance metabolic function, and reduce the likelihood of long-term complications. These interventions contribute to better physiological outcomes and improved quality of life.</w:t>
      </w:r>
    </w:p>
    <w:p xmlns:wp14="http://schemas.microsoft.com/office/word/2010/wordml" w:rsidP="01057697" wp14:paraId="1F61CB9E" wp14:textId="11E1500B">
      <w:pPr>
        <w:spacing w:line="360" w:lineRule="auto"/>
        <w:jc w:val="both"/>
        <w:rPr>
          <w:rFonts w:ascii="Arial" w:hAnsi="Arial" w:eastAsia="Arial" w:cs="Arial"/>
          <w:noProof w:val="0"/>
          <w:sz w:val="22"/>
          <w:szCs w:val="22"/>
          <w:lang w:val="en-US"/>
        </w:rPr>
      </w:pPr>
      <w:r w:rsidRPr="01057697" w:rsidR="05BC5A7E">
        <w:rPr>
          <w:rFonts w:ascii="Arial" w:hAnsi="Arial" w:eastAsia="Arial" w:cs="Arial"/>
          <w:noProof w:val="0"/>
          <w:sz w:val="22"/>
          <w:szCs w:val="22"/>
          <w:lang w:val="en-US"/>
        </w:rPr>
        <w:t>Health professionals play a crucial role in educating and supporting individuals with diabetes. Through patient education, regular assessment, and personalised care planning, healthcare professionals empower patients to develop self-management skills and make informed lifestyle choices. A thorough understanding of diabetes and its management is therefore essential for both healthcare providers and patients to achieve positive health outcomes and minimise the burden of this increasingly prevalent condition.</w:t>
      </w:r>
    </w:p>
    <w:p w:rsidR="54FBF616" w:rsidP="01057697" w:rsidRDefault="54FBF616" w14:paraId="397CCC51" w14:textId="247C3697">
      <w:pPr>
        <w:spacing w:line="360" w:lineRule="auto"/>
        <w:rPr>
          <w:rFonts w:ascii="Arial" w:hAnsi="Arial" w:eastAsia="Arial" w:cs="Arial"/>
          <w:noProof w:val="0"/>
          <w:sz w:val="22"/>
          <w:szCs w:val="22"/>
          <w:lang w:val="en-US"/>
        </w:rPr>
      </w:pPr>
    </w:p>
    <w:p w:rsidR="54FBF616" w:rsidP="64DE30F1" w:rsidRDefault="54FBF616" w14:paraId="314D6C28" w14:textId="30673A10">
      <w:pPr>
        <w:pStyle w:val="Heading2"/>
        <w:rPr>
          <w:rFonts w:ascii="Arial" w:hAnsi="Arial" w:eastAsia="Arial" w:cs="Arial"/>
          <w:noProof w:val="0"/>
          <w:color w:val="0F9DD4" w:themeColor="accent4" w:themeTint="FF" w:themeShade="FF"/>
          <w:sz w:val="22"/>
          <w:szCs w:val="22"/>
          <w:lang w:val="en-US"/>
        </w:rPr>
      </w:pPr>
    </w:p>
    <w:p xmlns:wp14="http://schemas.microsoft.com/office/word/2010/wordml" w:rsidP="01057697" wp14:paraId="19F9ACF0" wp14:textId="2B00A509">
      <w:pPr>
        <w:pStyle w:val="Heading2"/>
        <w:rPr>
          <w:rFonts w:ascii="Arial" w:hAnsi="Arial" w:eastAsia="Arial" w:cs="Arial"/>
          <w:b w:val="1"/>
          <w:bCs w:val="1"/>
          <w:noProof w:val="0"/>
          <w:color w:val="00B0F0"/>
          <w:sz w:val="22"/>
          <w:szCs w:val="22"/>
          <w:lang w:val="en-US"/>
        </w:rPr>
      </w:pPr>
    </w:p>
    <w:p xmlns:wp14="http://schemas.microsoft.com/office/word/2010/wordml" w:rsidP="01057697" wp14:paraId="5BFC2490" wp14:textId="76575EF8">
      <w:pPr>
        <w:pStyle w:val="Heading2"/>
        <w:rPr>
          <w:rFonts w:ascii="Arial" w:hAnsi="Arial" w:eastAsia="Arial" w:cs="Arial"/>
          <w:b w:val="1"/>
          <w:bCs w:val="1"/>
          <w:noProof w:val="0"/>
          <w:color w:val="00B0F0"/>
          <w:sz w:val="22"/>
          <w:szCs w:val="22"/>
          <w:lang w:val="en-US"/>
        </w:rPr>
      </w:pPr>
    </w:p>
    <w:p xmlns:wp14="http://schemas.microsoft.com/office/word/2010/wordml" w:rsidP="01057697" wp14:paraId="687620D4" wp14:textId="203607A9">
      <w:pPr>
        <w:pStyle w:val="Heading2"/>
        <w:rPr>
          <w:rFonts w:ascii="Arial" w:hAnsi="Arial" w:eastAsia="Arial" w:cs="Arial"/>
          <w:b w:val="1"/>
          <w:bCs w:val="1"/>
          <w:noProof w:val="0"/>
          <w:color w:val="00B0F0"/>
          <w:sz w:val="22"/>
          <w:szCs w:val="22"/>
          <w:lang w:val="en-US"/>
        </w:rPr>
      </w:pPr>
    </w:p>
    <w:p xmlns:wp14="http://schemas.microsoft.com/office/word/2010/wordml" w:rsidP="01057697" wp14:paraId="14C7342C" wp14:textId="661FE3E9">
      <w:pPr>
        <w:pStyle w:val="Heading2"/>
        <w:rPr>
          <w:rFonts w:ascii="Arial" w:hAnsi="Arial" w:eastAsia="Arial" w:cs="Arial"/>
          <w:b w:val="1"/>
          <w:bCs w:val="1"/>
          <w:noProof w:val="0"/>
          <w:color w:val="00B0F0"/>
          <w:sz w:val="22"/>
          <w:szCs w:val="22"/>
          <w:lang w:val="en-US"/>
        </w:rPr>
      </w:pPr>
    </w:p>
    <w:p xmlns:wp14="http://schemas.microsoft.com/office/word/2010/wordml" w:rsidP="01057697" wp14:paraId="0D9B0C12" wp14:textId="16D1D47D">
      <w:pPr>
        <w:pStyle w:val="Heading2"/>
        <w:rPr>
          <w:rFonts w:ascii="Arial" w:hAnsi="Arial" w:eastAsia="Arial" w:cs="Arial"/>
          <w:b w:val="1"/>
          <w:bCs w:val="1"/>
          <w:noProof w:val="0"/>
          <w:color w:val="0F9DD4" w:themeColor="accent4" w:themeTint="FF" w:themeShade="FF"/>
          <w:sz w:val="22"/>
          <w:szCs w:val="22"/>
          <w:lang w:val="en-US"/>
        </w:rPr>
      </w:pPr>
      <w:r w:rsidRPr="01057697" w:rsidR="05BC5A7E">
        <w:rPr>
          <w:rFonts w:ascii="Arial" w:hAnsi="Arial" w:eastAsia="Arial" w:cs="Arial"/>
          <w:b w:val="1"/>
          <w:bCs w:val="1"/>
          <w:noProof w:val="0"/>
          <w:color w:val="00B0F0"/>
          <w:sz w:val="22"/>
          <w:szCs w:val="22"/>
          <w:lang w:val="en-US"/>
        </w:rPr>
        <w:t>References</w:t>
      </w:r>
      <w:r w:rsidRPr="01057697" w:rsidR="06801EE7">
        <w:rPr>
          <w:rFonts w:ascii="Arial" w:hAnsi="Arial" w:eastAsia="Arial" w:cs="Arial"/>
          <w:b w:val="1"/>
          <w:bCs w:val="1"/>
          <w:noProof w:val="0"/>
          <w:color w:val="00B0F0"/>
          <w:sz w:val="22"/>
          <w:szCs w:val="22"/>
          <w:lang w:val="en-US"/>
        </w:rPr>
        <w:t>:</w:t>
      </w:r>
    </w:p>
    <w:p w:rsidR="50C5380A" w:rsidP="01057697" w:rsidRDefault="50C5380A" w14:paraId="32FE26A2" w14:textId="7BC621BB">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American Diabetes Association (2024) </w:t>
      </w:r>
      <w:r w:rsidRPr="01057697" w:rsidR="7FC544C5">
        <w:rPr>
          <w:rFonts w:ascii="Arial" w:hAnsi="Arial" w:eastAsia="Arial" w:cs="Arial"/>
          <w:i w:val="1"/>
          <w:iCs w:val="1"/>
          <w:noProof w:val="0"/>
          <w:sz w:val="22"/>
          <w:szCs w:val="22"/>
          <w:lang w:val="en-US"/>
        </w:rPr>
        <w:t>Standards of Care in Diabetes—2024</w:t>
      </w:r>
      <w:r w:rsidRPr="01057697" w:rsidR="7FC544C5">
        <w:rPr>
          <w:rFonts w:ascii="Arial" w:hAnsi="Arial" w:eastAsia="Arial" w:cs="Arial"/>
          <w:noProof w:val="0"/>
          <w:sz w:val="22"/>
          <w:szCs w:val="22"/>
          <w:lang w:val="en-US"/>
        </w:rPr>
        <w:t xml:space="preserve">. </w:t>
      </w:r>
      <w:r w:rsidRPr="01057697" w:rsidR="7FC544C5">
        <w:rPr>
          <w:rFonts w:ascii="Arial" w:hAnsi="Arial" w:eastAsia="Arial" w:cs="Arial"/>
          <w:i w:val="1"/>
          <w:iCs w:val="1"/>
          <w:noProof w:val="0"/>
          <w:sz w:val="22"/>
          <w:szCs w:val="22"/>
          <w:lang w:val="en-US"/>
        </w:rPr>
        <w:t>Diabetes Care</w:t>
      </w:r>
      <w:r w:rsidRPr="01057697" w:rsidR="7FC544C5">
        <w:rPr>
          <w:rFonts w:ascii="Arial" w:hAnsi="Arial" w:eastAsia="Arial" w:cs="Arial"/>
          <w:noProof w:val="0"/>
          <w:sz w:val="22"/>
          <w:szCs w:val="22"/>
          <w:lang w:val="en-US"/>
        </w:rPr>
        <w:t>, 47(Supplement 1), pp. S1–S350.</w:t>
      </w:r>
      <w:r w:rsidRPr="01057697" w:rsidR="32C24184">
        <w:rPr>
          <w:rFonts w:ascii="Arial" w:hAnsi="Arial" w:eastAsia="Arial" w:cs="Arial"/>
          <w:noProof w:val="0"/>
          <w:sz w:val="22"/>
          <w:szCs w:val="22"/>
          <w:lang w:val="en-US"/>
        </w:rPr>
        <w:t xml:space="preserve"> (Accessed: 10 June 2026)</w:t>
      </w:r>
    </w:p>
    <w:p w:rsidR="50C5380A" w:rsidP="01057697" w:rsidRDefault="50C5380A" w14:paraId="584EFB82" w14:textId="6A9EEAE2">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Centers for Disease Control and Prevention (CDC) (2024) </w:t>
      </w:r>
      <w:r w:rsidRPr="01057697" w:rsidR="7FC544C5">
        <w:rPr>
          <w:rFonts w:ascii="Arial" w:hAnsi="Arial" w:eastAsia="Arial" w:cs="Arial"/>
          <w:i w:val="1"/>
          <w:iCs w:val="1"/>
          <w:noProof w:val="0"/>
          <w:sz w:val="22"/>
          <w:szCs w:val="22"/>
          <w:lang w:val="en-US"/>
        </w:rPr>
        <w:t>Smoking and Diabetes</w:t>
      </w:r>
      <w:r w:rsidRPr="01057697" w:rsidR="7FC544C5">
        <w:rPr>
          <w:rFonts w:ascii="Arial" w:hAnsi="Arial" w:eastAsia="Arial" w:cs="Arial"/>
          <w:noProof w:val="0"/>
          <w:sz w:val="22"/>
          <w:szCs w:val="22"/>
          <w:lang w:val="en-US"/>
        </w:rPr>
        <w:t xml:space="preserve">. Atlanta: CDC. Available at: </w:t>
      </w:r>
      <w:hyperlink r:id="Rf2430868928d432b">
        <w:r w:rsidRPr="01057697" w:rsidR="7FC544C5">
          <w:rPr>
            <w:rStyle w:val="Hyperlink"/>
            <w:rFonts w:ascii="Arial" w:hAnsi="Arial" w:eastAsia="Arial" w:cs="Arial"/>
            <w:noProof w:val="0"/>
            <w:sz w:val="22"/>
            <w:szCs w:val="22"/>
            <w:lang w:val="en-US"/>
          </w:rPr>
          <w:t>https://www.cdc.gov/tobacco/campaign/tips/diseases/diabetes.html</w:t>
        </w:r>
      </w:hyperlink>
      <w:r w:rsidRPr="01057697" w:rsidR="7FC544C5">
        <w:rPr>
          <w:rFonts w:ascii="Arial" w:hAnsi="Arial" w:eastAsia="Arial" w:cs="Arial"/>
          <w:noProof w:val="0"/>
          <w:sz w:val="22"/>
          <w:szCs w:val="22"/>
          <w:lang w:val="en-US"/>
        </w:rPr>
        <w:t xml:space="preserve"> (Accessed: 4 June 2026).</w:t>
      </w:r>
    </w:p>
    <w:p w:rsidR="50C5380A" w:rsidP="01057697" w:rsidRDefault="50C5380A" w14:paraId="1217D56F" w14:textId="4A67BFFE">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Colberg, S.R., Sigal, R.J., Yardley, J.E., Riddell, M.C., Dunstan, D.W., Dempsey, P.C., Horton, E.S., Castorino, K. and Tate, D.F. (2016) ‘Physical activity/exercise and diabetes: A position statement of the American Diabetes Association’, </w:t>
      </w:r>
      <w:r w:rsidRPr="01057697" w:rsidR="7FC544C5">
        <w:rPr>
          <w:rFonts w:ascii="Arial" w:hAnsi="Arial" w:eastAsia="Arial" w:cs="Arial"/>
          <w:i w:val="1"/>
          <w:iCs w:val="1"/>
          <w:noProof w:val="0"/>
          <w:sz w:val="22"/>
          <w:szCs w:val="22"/>
          <w:lang w:val="en-US"/>
        </w:rPr>
        <w:t>Diabetes Care</w:t>
      </w:r>
      <w:r w:rsidRPr="01057697" w:rsidR="7FC544C5">
        <w:rPr>
          <w:rFonts w:ascii="Arial" w:hAnsi="Arial" w:eastAsia="Arial" w:cs="Arial"/>
          <w:noProof w:val="0"/>
          <w:sz w:val="22"/>
          <w:szCs w:val="22"/>
          <w:lang w:val="en-US"/>
        </w:rPr>
        <w:t>, 39(11), pp. 2065–2079.</w:t>
      </w:r>
      <w:r w:rsidRPr="01057697" w:rsidR="0E689095">
        <w:rPr>
          <w:rFonts w:ascii="Arial" w:hAnsi="Arial" w:eastAsia="Arial" w:cs="Arial"/>
          <w:noProof w:val="0"/>
          <w:sz w:val="22"/>
          <w:szCs w:val="22"/>
          <w:lang w:val="en-US"/>
        </w:rPr>
        <w:t xml:space="preserve"> (Accessed; 12 June 2026)</w:t>
      </w:r>
    </w:p>
    <w:p w:rsidR="50C5380A" w:rsidP="01057697" w:rsidRDefault="50C5380A" w14:paraId="275909F8" w14:textId="3267A753">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Henquin</w:t>
      </w:r>
      <w:r w:rsidRPr="01057697" w:rsidR="7FC544C5">
        <w:rPr>
          <w:rFonts w:ascii="Arial" w:hAnsi="Arial" w:eastAsia="Arial" w:cs="Arial"/>
          <w:noProof w:val="0"/>
          <w:sz w:val="22"/>
          <w:szCs w:val="22"/>
          <w:lang w:val="en-US"/>
        </w:rPr>
        <w:t xml:space="preserve">, J.C. (2000) ‘Triggering and amplifying pathways of regulation of insulin secretion by glucose’, </w:t>
      </w:r>
      <w:r w:rsidRPr="01057697" w:rsidR="7FC544C5">
        <w:rPr>
          <w:rFonts w:ascii="Arial" w:hAnsi="Arial" w:eastAsia="Arial" w:cs="Arial"/>
          <w:i w:val="1"/>
          <w:iCs w:val="1"/>
          <w:noProof w:val="0"/>
          <w:sz w:val="22"/>
          <w:szCs w:val="22"/>
          <w:lang w:val="en-US"/>
        </w:rPr>
        <w:t>Diabetes</w:t>
      </w:r>
      <w:r w:rsidRPr="01057697" w:rsidR="7FC544C5">
        <w:rPr>
          <w:rFonts w:ascii="Arial" w:hAnsi="Arial" w:eastAsia="Arial" w:cs="Arial"/>
          <w:noProof w:val="0"/>
          <w:sz w:val="22"/>
          <w:szCs w:val="22"/>
          <w:lang w:val="en-US"/>
        </w:rPr>
        <w:t>, 49(11), pp. 1751–1760.</w:t>
      </w:r>
      <w:r w:rsidRPr="01057697" w:rsidR="3AEC2F2D">
        <w:rPr>
          <w:rFonts w:ascii="Arial" w:hAnsi="Arial" w:eastAsia="Arial" w:cs="Arial"/>
          <w:noProof w:val="0"/>
          <w:sz w:val="22"/>
          <w:szCs w:val="22"/>
          <w:lang w:val="en-US"/>
        </w:rPr>
        <w:t xml:space="preserve"> (Accessed: 11 June 2026)</w:t>
      </w:r>
    </w:p>
    <w:p w:rsidR="50C5380A" w:rsidP="01057697" w:rsidRDefault="50C5380A" w14:paraId="7461682F" w14:textId="084CCE81">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Lean, M.E.J., Leslie, W.S., Barnes, A.C., Brosnahan, N., Thom, G., McCombie, L., Peters, C., </w:t>
      </w:r>
      <w:r w:rsidRPr="01057697" w:rsidR="7FC544C5">
        <w:rPr>
          <w:rFonts w:ascii="Arial" w:hAnsi="Arial" w:eastAsia="Arial" w:cs="Arial"/>
          <w:noProof w:val="0"/>
          <w:sz w:val="22"/>
          <w:szCs w:val="22"/>
          <w:lang w:val="en-US"/>
        </w:rPr>
        <w:t>Zhyzhneuskaya</w:t>
      </w:r>
      <w:r w:rsidRPr="01057697" w:rsidR="7FC544C5">
        <w:rPr>
          <w:rFonts w:ascii="Arial" w:hAnsi="Arial" w:eastAsia="Arial" w:cs="Arial"/>
          <w:noProof w:val="0"/>
          <w:sz w:val="22"/>
          <w:szCs w:val="22"/>
          <w:lang w:val="en-US"/>
        </w:rPr>
        <w:t>, S., Al-</w:t>
      </w:r>
      <w:r w:rsidRPr="01057697" w:rsidR="7FC544C5">
        <w:rPr>
          <w:rFonts w:ascii="Arial" w:hAnsi="Arial" w:eastAsia="Arial" w:cs="Arial"/>
          <w:noProof w:val="0"/>
          <w:sz w:val="22"/>
          <w:szCs w:val="22"/>
          <w:lang w:val="en-US"/>
        </w:rPr>
        <w:t>Mrabeh</w:t>
      </w:r>
      <w:r w:rsidRPr="01057697" w:rsidR="7FC544C5">
        <w:rPr>
          <w:rFonts w:ascii="Arial" w:hAnsi="Arial" w:eastAsia="Arial" w:cs="Arial"/>
          <w:noProof w:val="0"/>
          <w:sz w:val="22"/>
          <w:szCs w:val="22"/>
          <w:lang w:val="en-US"/>
        </w:rPr>
        <w:t>, A., Hollingsworth, K.G. and Taylor, R. (2018) ‘Primary care-led weight management for remission of type 2 diabetes (</w:t>
      </w:r>
      <w:r w:rsidRPr="01057697" w:rsidR="7FC544C5">
        <w:rPr>
          <w:rFonts w:ascii="Arial" w:hAnsi="Arial" w:eastAsia="Arial" w:cs="Arial"/>
          <w:noProof w:val="0"/>
          <w:sz w:val="22"/>
          <w:szCs w:val="22"/>
          <w:lang w:val="en-US"/>
        </w:rPr>
        <w:t>DiRECT</w:t>
      </w:r>
      <w:r w:rsidRPr="01057697" w:rsidR="7FC544C5">
        <w:rPr>
          <w:rFonts w:ascii="Arial" w:hAnsi="Arial" w:eastAsia="Arial" w:cs="Arial"/>
          <w:noProof w:val="0"/>
          <w:sz w:val="22"/>
          <w:szCs w:val="22"/>
          <w:lang w:val="en-US"/>
        </w:rPr>
        <w:t>): An open-label, cluster-</w:t>
      </w:r>
      <w:r w:rsidRPr="01057697" w:rsidR="7FC544C5">
        <w:rPr>
          <w:rFonts w:ascii="Arial" w:hAnsi="Arial" w:eastAsia="Arial" w:cs="Arial"/>
          <w:noProof w:val="0"/>
          <w:sz w:val="22"/>
          <w:szCs w:val="22"/>
          <w:lang w:val="en-US"/>
        </w:rPr>
        <w:t>randomised</w:t>
      </w:r>
      <w:r w:rsidRPr="01057697" w:rsidR="7FC544C5">
        <w:rPr>
          <w:rFonts w:ascii="Arial" w:hAnsi="Arial" w:eastAsia="Arial" w:cs="Arial"/>
          <w:noProof w:val="0"/>
          <w:sz w:val="22"/>
          <w:szCs w:val="22"/>
          <w:lang w:val="en-US"/>
        </w:rPr>
        <w:t xml:space="preserve"> trial’, </w:t>
      </w:r>
      <w:r w:rsidRPr="01057697" w:rsidR="7FC544C5">
        <w:rPr>
          <w:rFonts w:ascii="Arial" w:hAnsi="Arial" w:eastAsia="Arial" w:cs="Arial"/>
          <w:i w:val="1"/>
          <w:iCs w:val="1"/>
          <w:noProof w:val="0"/>
          <w:sz w:val="22"/>
          <w:szCs w:val="22"/>
          <w:lang w:val="en-US"/>
        </w:rPr>
        <w:t>The Lancet</w:t>
      </w:r>
      <w:r w:rsidRPr="01057697" w:rsidR="7FC544C5">
        <w:rPr>
          <w:rFonts w:ascii="Arial" w:hAnsi="Arial" w:eastAsia="Arial" w:cs="Arial"/>
          <w:noProof w:val="0"/>
          <w:sz w:val="22"/>
          <w:szCs w:val="22"/>
          <w:lang w:val="en-US"/>
        </w:rPr>
        <w:t>, 391(10120), pp. 541–551.</w:t>
      </w:r>
      <w:r w:rsidRPr="01057697" w:rsidR="6297D155">
        <w:rPr>
          <w:rFonts w:ascii="Arial" w:hAnsi="Arial" w:eastAsia="Arial" w:cs="Arial"/>
          <w:noProof w:val="0"/>
          <w:sz w:val="22"/>
          <w:szCs w:val="22"/>
          <w:lang w:val="en-US"/>
        </w:rPr>
        <w:t xml:space="preserve"> (Accessed: 11 June 2026)</w:t>
      </w:r>
    </w:p>
    <w:p w:rsidR="50C5380A" w:rsidP="01057697" w:rsidRDefault="50C5380A" w14:paraId="58582E02" w14:textId="0BDA6EAC">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Liemburg</w:t>
      </w:r>
      <w:r w:rsidRPr="01057697" w:rsidR="7FC544C5">
        <w:rPr>
          <w:rFonts w:ascii="Arial" w:hAnsi="Arial" w:eastAsia="Arial" w:cs="Arial"/>
          <w:noProof w:val="0"/>
          <w:sz w:val="22"/>
          <w:szCs w:val="22"/>
          <w:lang w:val="en-US"/>
        </w:rPr>
        <w:t xml:space="preserve">-Apers, D.C., Willems, P.H.G.M., Koopman, W.J.H. and </w:t>
      </w:r>
      <w:r w:rsidRPr="01057697" w:rsidR="7FC544C5">
        <w:rPr>
          <w:rFonts w:ascii="Arial" w:hAnsi="Arial" w:eastAsia="Arial" w:cs="Arial"/>
          <w:noProof w:val="0"/>
          <w:sz w:val="22"/>
          <w:szCs w:val="22"/>
          <w:lang w:val="en-US"/>
        </w:rPr>
        <w:t>Grefte</w:t>
      </w:r>
      <w:r w:rsidRPr="01057697" w:rsidR="7FC544C5">
        <w:rPr>
          <w:rFonts w:ascii="Arial" w:hAnsi="Arial" w:eastAsia="Arial" w:cs="Arial"/>
          <w:noProof w:val="0"/>
          <w:sz w:val="22"/>
          <w:szCs w:val="22"/>
          <w:lang w:val="en-US"/>
        </w:rPr>
        <w:t xml:space="preserve">, S. (2015) ‘Interactions between mitochondrial reactive oxygen species and cellular glucose metabolism’, </w:t>
      </w:r>
      <w:r w:rsidRPr="01057697" w:rsidR="7FC544C5">
        <w:rPr>
          <w:rFonts w:ascii="Arial" w:hAnsi="Arial" w:eastAsia="Arial" w:cs="Arial"/>
          <w:i w:val="1"/>
          <w:iCs w:val="1"/>
          <w:noProof w:val="0"/>
          <w:sz w:val="22"/>
          <w:szCs w:val="22"/>
          <w:lang w:val="en-US"/>
        </w:rPr>
        <w:t>Archives of Toxicology</w:t>
      </w:r>
      <w:r w:rsidRPr="01057697" w:rsidR="7FC544C5">
        <w:rPr>
          <w:rFonts w:ascii="Arial" w:hAnsi="Arial" w:eastAsia="Arial" w:cs="Arial"/>
          <w:noProof w:val="0"/>
          <w:sz w:val="22"/>
          <w:szCs w:val="22"/>
          <w:lang w:val="en-US"/>
        </w:rPr>
        <w:t>, 89(8), pp. 1209–1226.</w:t>
      </w:r>
      <w:r w:rsidRPr="01057697" w:rsidR="6F421D52">
        <w:rPr>
          <w:rFonts w:ascii="Arial" w:hAnsi="Arial" w:eastAsia="Arial" w:cs="Arial"/>
          <w:noProof w:val="0"/>
          <w:sz w:val="22"/>
          <w:szCs w:val="22"/>
          <w:lang w:val="en-US"/>
        </w:rPr>
        <w:t xml:space="preserve"> (Accessed: 8 June 2026)</w:t>
      </w:r>
    </w:p>
    <w:p w:rsidR="50C5380A" w:rsidP="01057697" w:rsidRDefault="50C5380A" w14:paraId="026ABFA8" w14:textId="11DEB192">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National Health Service (NHS) (2024) </w:t>
      </w:r>
      <w:r w:rsidRPr="01057697" w:rsidR="7FC544C5">
        <w:rPr>
          <w:rFonts w:ascii="Arial" w:hAnsi="Arial" w:eastAsia="Arial" w:cs="Arial"/>
          <w:i w:val="1"/>
          <w:iCs w:val="1"/>
          <w:noProof w:val="0"/>
          <w:sz w:val="22"/>
          <w:szCs w:val="22"/>
          <w:lang w:val="en-US"/>
        </w:rPr>
        <w:t>Type 2 Diabetes Overview</w:t>
      </w:r>
      <w:r w:rsidRPr="01057697" w:rsidR="7FC544C5">
        <w:rPr>
          <w:rFonts w:ascii="Arial" w:hAnsi="Arial" w:eastAsia="Arial" w:cs="Arial"/>
          <w:noProof w:val="0"/>
          <w:sz w:val="22"/>
          <w:szCs w:val="22"/>
          <w:lang w:val="en-US"/>
        </w:rPr>
        <w:t xml:space="preserve">. Available at: </w:t>
      </w:r>
      <w:hyperlink r:id="R391a2cfe612c4ae1">
        <w:r w:rsidRPr="01057697" w:rsidR="7FC544C5">
          <w:rPr>
            <w:rStyle w:val="Hyperlink"/>
            <w:rFonts w:ascii="Arial" w:hAnsi="Arial" w:eastAsia="Arial" w:cs="Arial"/>
            <w:noProof w:val="0"/>
            <w:sz w:val="22"/>
            <w:szCs w:val="22"/>
            <w:lang w:val="en-US"/>
          </w:rPr>
          <w:t>https://www.nhs.uk/conditions/type-2-diabetes/</w:t>
        </w:r>
      </w:hyperlink>
      <w:r w:rsidRPr="01057697" w:rsidR="7FC544C5">
        <w:rPr>
          <w:rFonts w:ascii="Arial" w:hAnsi="Arial" w:eastAsia="Arial" w:cs="Arial"/>
          <w:noProof w:val="0"/>
          <w:sz w:val="22"/>
          <w:szCs w:val="22"/>
          <w:lang w:val="en-US"/>
        </w:rPr>
        <w:t xml:space="preserve"> (Accessed: 6 June 2026).</w:t>
      </w:r>
    </w:p>
    <w:p w:rsidR="50C5380A" w:rsidP="01057697" w:rsidRDefault="50C5380A" w14:paraId="1804ADCA" w14:textId="7D3D2A40">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National Institute for Health and Care Excellence (NICE) (2022) </w:t>
      </w:r>
      <w:r w:rsidRPr="01057697" w:rsidR="7FC544C5">
        <w:rPr>
          <w:rFonts w:ascii="Arial" w:hAnsi="Arial" w:eastAsia="Arial" w:cs="Arial"/>
          <w:i w:val="1"/>
          <w:iCs w:val="1"/>
          <w:noProof w:val="0"/>
          <w:sz w:val="22"/>
          <w:szCs w:val="22"/>
          <w:lang w:val="en-US"/>
        </w:rPr>
        <w:t>Type 2 Diabetes in Adults: Management (NG28)</w:t>
      </w:r>
      <w:r w:rsidRPr="01057697" w:rsidR="7FC544C5">
        <w:rPr>
          <w:rFonts w:ascii="Arial" w:hAnsi="Arial" w:eastAsia="Arial" w:cs="Arial"/>
          <w:noProof w:val="0"/>
          <w:sz w:val="22"/>
          <w:szCs w:val="22"/>
          <w:lang w:val="en-US"/>
        </w:rPr>
        <w:t>. London: NICE.</w:t>
      </w:r>
      <w:r w:rsidRPr="01057697" w:rsidR="2C2AF5D7">
        <w:rPr>
          <w:rFonts w:ascii="Arial" w:hAnsi="Arial" w:eastAsia="Arial" w:cs="Arial"/>
          <w:noProof w:val="0"/>
          <w:sz w:val="22"/>
          <w:szCs w:val="22"/>
          <w:lang w:val="en-US"/>
        </w:rPr>
        <w:t xml:space="preserve"> (Accessed: 5 June 2026)</w:t>
      </w:r>
    </w:p>
    <w:p w:rsidR="50C5380A" w:rsidP="01057697" w:rsidRDefault="50C5380A" w14:paraId="10751F0F" w14:textId="17E89350">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UK Prospective Diabetes Study Group (1998) ‘Intensive blood-glucose control with </w:t>
      </w:r>
      <w:r w:rsidRPr="01057697" w:rsidR="7FC544C5">
        <w:rPr>
          <w:rFonts w:ascii="Arial" w:hAnsi="Arial" w:eastAsia="Arial" w:cs="Arial"/>
          <w:noProof w:val="0"/>
          <w:sz w:val="22"/>
          <w:szCs w:val="22"/>
          <w:lang w:val="en-US"/>
        </w:rPr>
        <w:t>sulphonylureas</w:t>
      </w:r>
      <w:r w:rsidRPr="01057697" w:rsidR="7FC544C5">
        <w:rPr>
          <w:rFonts w:ascii="Arial" w:hAnsi="Arial" w:eastAsia="Arial" w:cs="Arial"/>
          <w:noProof w:val="0"/>
          <w:sz w:val="22"/>
          <w:szCs w:val="22"/>
          <w:lang w:val="en-US"/>
        </w:rPr>
        <w:t xml:space="preserve"> or insulin compared with conventional treatment and risk of complications in patients with Type 2 diabetes’, </w:t>
      </w:r>
      <w:r w:rsidRPr="01057697" w:rsidR="7FC544C5">
        <w:rPr>
          <w:rFonts w:ascii="Arial" w:hAnsi="Arial" w:eastAsia="Arial" w:cs="Arial"/>
          <w:i w:val="1"/>
          <w:iCs w:val="1"/>
          <w:noProof w:val="0"/>
          <w:sz w:val="22"/>
          <w:szCs w:val="22"/>
          <w:lang w:val="en-US"/>
        </w:rPr>
        <w:t>The Lancet</w:t>
      </w:r>
      <w:r w:rsidRPr="01057697" w:rsidR="7FC544C5">
        <w:rPr>
          <w:rFonts w:ascii="Arial" w:hAnsi="Arial" w:eastAsia="Arial" w:cs="Arial"/>
          <w:noProof w:val="0"/>
          <w:sz w:val="22"/>
          <w:szCs w:val="22"/>
          <w:lang w:val="en-US"/>
        </w:rPr>
        <w:t>, 352(9131), pp. 837–853.</w:t>
      </w:r>
      <w:r w:rsidRPr="01057697" w:rsidR="3A47C218">
        <w:rPr>
          <w:rFonts w:ascii="Arial" w:hAnsi="Arial" w:eastAsia="Arial" w:cs="Arial"/>
          <w:noProof w:val="0"/>
          <w:sz w:val="22"/>
          <w:szCs w:val="22"/>
          <w:lang w:val="en-US"/>
        </w:rPr>
        <w:t xml:space="preserve"> (Accessed; 4 June 2026)</w:t>
      </w:r>
    </w:p>
    <w:p w:rsidR="50C5380A" w:rsidP="01057697" w:rsidRDefault="50C5380A" w14:paraId="7C897F5A" w14:textId="03E3DB22">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World Health Organization (2023) </w:t>
      </w:r>
      <w:r w:rsidRPr="01057697" w:rsidR="7FC544C5">
        <w:rPr>
          <w:rFonts w:ascii="Arial" w:hAnsi="Arial" w:eastAsia="Arial" w:cs="Arial"/>
          <w:i w:val="1"/>
          <w:iCs w:val="1"/>
          <w:noProof w:val="0"/>
          <w:sz w:val="22"/>
          <w:szCs w:val="22"/>
          <w:lang w:val="en-US"/>
        </w:rPr>
        <w:t>Diabetes Fact Sheet</w:t>
      </w:r>
      <w:r w:rsidRPr="01057697" w:rsidR="7FC544C5">
        <w:rPr>
          <w:rFonts w:ascii="Arial" w:hAnsi="Arial" w:eastAsia="Arial" w:cs="Arial"/>
          <w:noProof w:val="0"/>
          <w:sz w:val="22"/>
          <w:szCs w:val="22"/>
          <w:lang w:val="en-US"/>
        </w:rPr>
        <w:t>. Geneva: World Health Organization.</w:t>
      </w:r>
      <w:r w:rsidRPr="01057697" w:rsidR="0699F61A">
        <w:rPr>
          <w:rFonts w:ascii="Arial" w:hAnsi="Arial" w:eastAsia="Arial" w:cs="Arial"/>
          <w:noProof w:val="0"/>
          <w:sz w:val="22"/>
          <w:szCs w:val="22"/>
          <w:lang w:val="en-US"/>
        </w:rPr>
        <w:t xml:space="preserve"> (Accessed: 4 June 2026)</w:t>
      </w:r>
    </w:p>
    <w:p w:rsidR="50C5380A" w:rsidP="01057697" w:rsidRDefault="50C5380A" w14:paraId="4C2746D1" w14:textId="0947B595">
      <w:pPr>
        <w:spacing w:line="360" w:lineRule="auto"/>
        <w:jc w:val="both"/>
        <w:rPr>
          <w:rFonts w:ascii="Arial" w:hAnsi="Arial" w:eastAsia="Arial" w:cs="Arial"/>
          <w:noProof w:val="0"/>
          <w:sz w:val="22"/>
          <w:szCs w:val="22"/>
          <w:lang w:val="en-US"/>
        </w:rPr>
      </w:pPr>
      <w:r w:rsidRPr="01057697" w:rsidR="7FC544C5">
        <w:rPr>
          <w:rFonts w:ascii="Arial" w:hAnsi="Arial" w:eastAsia="Arial" w:cs="Arial"/>
          <w:noProof w:val="0"/>
          <w:sz w:val="22"/>
          <w:szCs w:val="22"/>
          <w:lang w:val="en-US"/>
        </w:rPr>
        <w:t xml:space="preserve">World Health Organization (WHO) (2020) </w:t>
      </w:r>
      <w:r w:rsidRPr="01057697" w:rsidR="7FC544C5">
        <w:rPr>
          <w:rFonts w:ascii="Arial" w:hAnsi="Arial" w:eastAsia="Arial" w:cs="Arial"/>
          <w:i w:val="1"/>
          <w:iCs w:val="1"/>
          <w:noProof w:val="0"/>
          <w:sz w:val="22"/>
          <w:szCs w:val="22"/>
          <w:lang w:val="en-US"/>
        </w:rPr>
        <w:t xml:space="preserve">WHO Guidelines on Physical Activity and Sedentary </w:t>
      </w:r>
      <w:r w:rsidRPr="01057697" w:rsidR="7FC544C5">
        <w:rPr>
          <w:rFonts w:ascii="Arial" w:hAnsi="Arial" w:eastAsia="Arial" w:cs="Arial"/>
          <w:i w:val="1"/>
          <w:iCs w:val="1"/>
          <w:noProof w:val="0"/>
          <w:sz w:val="22"/>
          <w:szCs w:val="22"/>
          <w:lang w:val="en-US"/>
        </w:rPr>
        <w:t>Behaviour</w:t>
      </w:r>
      <w:r w:rsidRPr="01057697" w:rsidR="7FC544C5">
        <w:rPr>
          <w:rFonts w:ascii="Arial" w:hAnsi="Arial" w:eastAsia="Arial" w:cs="Arial"/>
          <w:noProof w:val="0"/>
          <w:sz w:val="22"/>
          <w:szCs w:val="22"/>
          <w:lang w:val="en-US"/>
        </w:rPr>
        <w:t>. Geneva: WHO.</w:t>
      </w:r>
      <w:r w:rsidRPr="01057697" w:rsidR="4F24CE57">
        <w:rPr>
          <w:rFonts w:ascii="Arial" w:hAnsi="Arial" w:eastAsia="Arial" w:cs="Arial"/>
          <w:noProof w:val="0"/>
          <w:sz w:val="22"/>
          <w:szCs w:val="22"/>
          <w:lang w:val="en-US"/>
        </w:rPr>
        <w:t xml:space="preserve"> (Accessed: 7 June 2026)</w:t>
      </w:r>
    </w:p>
    <w:p w:rsidR="50C5380A" w:rsidP="01057697" w:rsidRDefault="50C5380A" w14:paraId="595E17A4" w14:textId="72D697E4">
      <w:pPr>
        <w:pStyle w:val="Normal"/>
        <w:rPr>
          <w:rFonts w:ascii="Arial" w:hAnsi="Arial" w:eastAsia="Arial" w:cs="Arial"/>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XSUiEPxXFZ9tOg" int2:id="nkw5Rs2Q">
      <int2:state int2:type="spell" int2:value="Rejected"/>
    </int2:textHash>
    <int2:textHash int2:hashCode="yLGa3PbIwIauAZ" int2:id="2K72diUn">
      <int2:state int2:type="spell" int2:value="Rejected"/>
    </int2:textHash>
    <int2:textHash int2:hashCode="QgmNU58P0unWdN" int2:id="wwIlrrAu">
      <int2:state int2:type="spell" int2:value="Rejected"/>
    </int2:textHash>
    <int2:textHash int2:hashCode="gOigg3B4VG+1IR" int2:id="ItO8sVtU">
      <int2:state int2:type="spell" int2:value="Rejected"/>
    </int2:textHash>
    <int2:textHash int2:hashCode="7PGAFEkfwt9kky" int2:id="z3A4r1Nu">
      <int2:state int2:type="spell" int2:value="Rejected"/>
    </int2:textHash>
    <int2:textHash int2:hashCode="MAfw00a8z206Bq" int2:id="I8paHsCg">
      <int2:state int2:type="spell" int2:value="Rejected"/>
    </int2:textHash>
    <int2:textHash int2:hashCode="wZ67MIMbYC6VN8" int2:id="Io2NXbGV">
      <int2:state int2:type="spell" int2:value="Rejected"/>
    </int2:textHash>
    <int2:textHash int2:hashCode="tTG5BSlMCqXNoU" int2:id="oAhfMEC4">
      <int2:state int2:type="spell" int2:value="Rejected"/>
    </int2:textHash>
    <int2:textHash int2:hashCode="LOKXXXnn8FfYIs" int2:id="Y1MDKNq8">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ea87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7DF778"/>
    <w:rsid w:val="00BF1C64"/>
    <w:rsid w:val="01057697"/>
    <w:rsid w:val="017B55F1"/>
    <w:rsid w:val="02F462A0"/>
    <w:rsid w:val="03198A2D"/>
    <w:rsid w:val="032ADE70"/>
    <w:rsid w:val="04D85BCB"/>
    <w:rsid w:val="050EA191"/>
    <w:rsid w:val="0546A602"/>
    <w:rsid w:val="059964D1"/>
    <w:rsid w:val="05BC5A7E"/>
    <w:rsid w:val="05E38922"/>
    <w:rsid w:val="05F61DF0"/>
    <w:rsid w:val="064FC133"/>
    <w:rsid w:val="0653DB3E"/>
    <w:rsid w:val="0672F1BF"/>
    <w:rsid w:val="06801EE7"/>
    <w:rsid w:val="0699F61A"/>
    <w:rsid w:val="06DAC339"/>
    <w:rsid w:val="0801FA43"/>
    <w:rsid w:val="08BDC3E4"/>
    <w:rsid w:val="09083BCC"/>
    <w:rsid w:val="096FEF59"/>
    <w:rsid w:val="09A5363C"/>
    <w:rsid w:val="0A99523A"/>
    <w:rsid w:val="0A9F6B90"/>
    <w:rsid w:val="0B674590"/>
    <w:rsid w:val="0BBFFB1B"/>
    <w:rsid w:val="0D55DD63"/>
    <w:rsid w:val="0E0D6999"/>
    <w:rsid w:val="0E1908DE"/>
    <w:rsid w:val="0E689095"/>
    <w:rsid w:val="0F0CB670"/>
    <w:rsid w:val="107AD228"/>
    <w:rsid w:val="10B00244"/>
    <w:rsid w:val="10C59E37"/>
    <w:rsid w:val="11AA52E8"/>
    <w:rsid w:val="11B6D265"/>
    <w:rsid w:val="13222D13"/>
    <w:rsid w:val="13A012BA"/>
    <w:rsid w:val="13AF230D"/>
    <w:rsid w:val="14162226"/>
    <w:rsid w:val="145C0CF9"/>
    <w:rsid w:val="150E1CDA"/>
    <w:rsid w:val="1538E9DB"/>
    <w:rsid w:val="15583260"/>
    <w:rsid w:val="16464735"/>
    <w:rsid w:val="172729DB"/>
    <w:rsid w:val="1831AB76"/>
    <w:rsid w:val="18A487E9"/>
    <w:rsid w:val="1978E279"/>
    <w:rsid w:val="19FE27B2"/>
    <w:rsid w:val="1A49C5F7"/>
    <w:rsid w:val="1B29B940"/>
    <w:rsid w:val="1B456999"/>
    <w:rsid w:val="1B9A669D"/>
    <w:rsid w:val="1CDDE9CC"/>
    <w:rsid w:val="1D9BF1DD"/>
    <w:rsid w:val="1DE957C6"/>
    <w:rsid w:val="1DFE5A12"/>
    <w:rsid w:val="1E1B1C30"/>
    <w:rsid w:val="1EC4319A"/>
    <w:rsid w:val="1FC91719"/>
    <w:rsid w:val="1FED13BD"/>
    <w:rsid w:val="219C45CB"/>
    <w:rsid w:val="221A7C6F"/>
    <w:rsid w:val="22853C9E"/>
    <w:rsid w:val="2296F3F1"/>
    <w:rsid w:val="24643747"/>
    <w:rsid w:val="2530E779"/>
    <w:rsid w:val="256470C6"/>
    <w:rsid w:val="257DB488"/>
    <w:rsid w:val="26402A51"/>
    <w:rsid w:val="277DF778"/>
    <w:rsid w:val="2999F5C5"/>
    <w:rsid w:val="2A013966"/>
    <w:rsid w:val="2AA6C3FD"/>
    <w:rsid w:val="2AC25070"/>
    <w:rsid w:val="2B8F1372"/>
    <w:rsid w:val="2B94CCD6"/>
    <w:rsid w:val="2BA1697F"/>
    <w:rsid w:val="2C2AF5D7"/>
    <w:rsid w:val="2C354177"/>
    <w:rsid w:val="2C6052B1"/>
    <w:rsid w:val="2D9E5FEA"/>
    <w:rsid w:val="2DC79B5D"/>
    <w:rsid w:val="2DDF0556"/>
    <w:rsid w:val="2ED36EA7"/>
    <w:rsid w:val="2F55DD9C"/>
    <w:rsid w:val="301A0F80"/>
    <w:rsid w:val="3072FE2F"/>
    <w:rsid w:val="30BEB1A2"/>
    <w:rsid w:val="31383492"/>
    <w:rsid w:val="31DC6A1D"/>
    <w:rsid w:val="328509BA"/>
    <w:rsid w:val="32C24184"/>
    <w:rsid w:val="33D6AF0C"/>
    <w:rsid w:val="3478C7E5"/>
    <w:rsid w:val="34D00205"/>
    <w:rsid w:val="34E8E1C6"/>
    <w:rsid w:val="359C3ABD"/>
    <w:rsid w:val="3622FC49"/>
    <w:rsid w:val="3639D3A2"/>
    <w:rsid w:val="363E3148"/>
    <w:rsid w:val="370A2217"/>
    <w:rsid w:val="37125CED"/>
    <w:rsid w:val="371352B8"/>
    <w:rsid w:val="37FB6594"/>
    <w:rsid w:val="391AF418"/>
    <w:rsid w:val="3947894F"/>
    <w:rsid w:val="3A47C218"/>
    <w:rsid w:val="3AEC2F2D"/>
    <w:rsid w:val="3BFD5CA2"/>
    <w:rsid w:val="3C3C8C24"/>
    <w:rsid w:val="3CB571C6"/>
    <w:rsid w:val="3DB6B487"/>
    <w:rsid w:val="3E89F414"/>
    <w:rsid w:val="3EA89449"/>
    <w:rsid w:val="3F6AE66C"/>
    <w:rsid w:val="3F77069C"/>
    <w:rsid w:val="3FAA97B5"/>
    <w:rsid w:val="3FC4E221"/>
    <w:rsid w:val="3FE5727C"/>
    <w:rsid w:val="40B2819C"/>
    <w:rsid w:val="41958A66"/>
    <w:rsid w:val="4224F41E"/>
    <w:rsid w:val="42FFABEC"/>
    <w:rsid w:val="434317A0"/>
    <w:rsid w:val="448B35E7"/>
    <w:rsid w:val="45285D28"/>
    <w:rsid w:val="454A46EF"/>
    <w:rsid w:val="4781232E"/>
    <w:rsid w:val="47B4EE25"/>
    <w:rsid w:val="48329955"/>
    <w:rsid w:val="49EB6CCD"/>
    <w:rsid w:val="4A61BE06"/>
    <w:rsid w:val="4B63BA97"/>
    <w:rsid w:val="4BF2F4DC"/>
    <w:rsid w:val="4BF731C3"/>
    <w:rsid w:val="4C0212EA"/>
    <w:rsid w:val="4CD75A93"/>
    <w:rsid w:val="4CDA7BA0"/>
    <w:rsid w:val="4CDFFF00"/>
    <w:rsid w:val="4D326E90"/>
    <w:rsid w:val="4D76B314"/>
    <w:rsid w:val="4EBF9ED7"/>
    <w:rsid w:val="4F24CE57"/>
    <w:rsid w:val="5072E53F"/>
    <w:rsid w:val="50C5380A"/>
    <w:rsid w:val="515FA33E"/>
    <w:rsid w:val="51A637BD"/>
    <w:rsid w:val="521F1248"/>
    <w:rsid w:val="52855E75"/>
    <w:rsid w:val="52A26B87"/>
    <w:rsid w:val="52C2309D"/>
    <w:rsid w:val="536DD403"/>
    <w:rsid w:val="53CFD7A0"/>
    <w:rsid w:val="53FC22B2"/>
    <w:rsid w:val="541CF34C"/>
    <w:rsid w:val="54BCB3BF"/>
    <w:rsid w:val="54FBF616"/>
    <w:rsid w:val="555C12B6"/>
    <w:rsid w:val="55AEB5F6"/>
    <w:rsid w:val="56180235"/>
    <w:rsid w:val="57FF9B4B"/>
    <w:rsid w:val="5823B4A0"/>
    <w:rsid w:val="589D111D"/>
    <w:rsid w:val="59DEC642"/>
    <w:rsid w:val="59EFA74E"/>
    <w:rsid w:val="5A3E76A9"/>
    <w:rsid w:val="5B1AB063"/>
    <w:rsid w:val="5C3C29A4"/>
    <w:rsid w:val="5C466B8F"/>
    <w:rsid w:val="5C76A202"/>
    <w:rsid w:val="5CA06805"/>
    <w:rsid w:val="5D7F313E"/>
    <w:rsid w:val="5D80CFF7"/>
    <w:rsid w:val="5DC96BB3"/>
    <w:rsid w:val="5DE930F5"/>
    <w:rsid w:val="5F0F2AC8"/>
    <w:rsid w:val="5F3C36D1"/>
    <w:rsid w:val="5FBEAE12"/>
    <w:rsid w:val="5FD47462"/>
    <w:rsid w:val="5FEB46EC"/>
    <w:rsid w:val="6069EFE4"/>
    <w:rsid w:val="62284E8B"/>
    <w:rsid w:val="6297D155"/>
    <w:rsid w:val="62CA277B"/>
    <w:rsid w:val="642D238D"/>
    <w:rsid w:val="644E5447"/>
    <w:rsid w:val="645F5A7D"/>
    <w:rsid w:val="646B0E5F"/>
    <w:rsid w:val="64DE30F1"/>
    <w:rsid w:val="64FA3B3C"/>
    <w:rsid w:val="6703DF48"/>
    <w:rsid w:val="6745F821"/>
    <w:rsid w:val="6801AB87"/>
    <w:rsid w:val="68B819BB"/>
    <w:rsid w:val="6BA1F9FA"/>
    <w:rsid w:val="6C1B6368"/>
    <w:rsid w:val="6C4BE288"/>
    <w:rsid w:val="6CA42BF8"/>
    <w:rsid w:val="6ED29CE9"/>
    <w:rsid w:val="6EF1061B"/>
    <w:rsid w:val="6F421D52"/>
    <w:rsid w:val="6F4FEF4B"/>
    <w:rsid w:val="7083D3E0"/>
    <w:rsid w:val="70B9542E"/>
    <w:rsid w:val="70F5EFF2"/>
    <w:rsid w:val="70FAA6B2"/>
    <w:rsid w:val="718F529B"/>
    <w:rsid w:val="728B8E09"/>
    <w:rsid w:val="75765F1C"/>
    <w:rsid w:val="7598EB2F"/>
    <w:rsid w:val="7627A529"/>
    <w:rsid w:val="769437DD"/>
    <w:rsid w:val="77AD5FF7"/>
    <w:rsid w:val="77C35D41"/>
    <w:rsid w:val="79227C55"/>
    <w:rsid w:val="794E3D53"/>
    <w:rsid w:val="7AA8942E"/>
    <w:rsid w:val="7ACF478C"/>
    <w:rsid w:val="7B04871D"/>
    <w:rsid w:val="7B76CB79"/>
    <w:rsid w:val="7C0038CE"/>
    <w:rsid w:val="7C922F3D"/>
    <w:rsid w:val="7D1970BE"/>
    <w:rsid w:val="7DD9CD0A"/>
    <w:rsid w:val="7E2D6369"/>
    <w:rsid w:val="7EB70E22"/>
    <w:rsid w:val="7F2D90D9"/>
    <w:rsid w:val="7FB1E590"/>
    <w:rsid w:val="7FC54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E3867"/>
  <w15:chartTrackingRefBased/>
  <w15:docId w15:val="{377365D8-35A8-4D57-9810-BF5CBD5165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21A7C6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21A7C6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221A7C6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21A7C6F"/>
    <w:rPr>
      <w:color w:val="467886"/>
      <w:u w:val="single"/>
    </w:rPr>
  </w:style>
  <w:style w:type="paragraph" w:styleId="ListParagraph">
    <w:uiPriority w:val="34"/>
    <w:name w:val="List Paragraph"/>
    <w:basedOn w:val="Normal"/>
    <w:qFormat/>
    <w:rsid w:val="0105769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ab764f8cf3f4445" /><Relationship Type="http://schemas.openxmlformats.org/officeDocument/2006/relationships/hyperlink" Target="https://www.cdc.gov/tobacco/campaign/tips/diseases/diabetes.html" TargetMode="External" Id="Rf2430868928d432b" /><Relationship Type="http://schemas.openxmlformats.org/officeDocument/2006/relationships/hyperlink" Target="https://www.nhs.uk/conditions/type-2-diabetes/?utm_source=chatgpt.com" TargetMode="External" Id="R391a2cfe612c4ae1" /><Relationship Type="http://schemas.openxmlformats.org/officeDocument/2006/relationships/numbering" Target="numbering.xml" Id="R02fe6938c76a46f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2026-06-04T09:28:58.6359767Z</dcterms:created>
  <dcterms:modified xsi:type="dcterms:W3CDTF">2026-06-15T22:10:27.4479319Z</dcterms:modified>
  <dc:creator>Shamima Akter Rumi (2223220)</dc:creator>
  <lastModifiedBy>Shamima Akter Rumi (2223220)</lastModifiedBy>
</coreProperties>
</file>