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B4720" w14:textId="77777777" w:rsidR="00704C97" w:rsidRPr="00601867" w:rsidRDefault="00704C97" w:rsidP="00704C97">
      <w:pPr>
        <w:spacing w:line="259" w:lineRule="auto"/>
        <w:jc w:val="center"/>
        <w:rPr>
          <w:rFonts w:ascii="Arial" w:hAnsi="Arial" w:cs="Arial"/>
          <w:b/>
          <w:bCs/>
          <w:sz w:val="22"/>
          <w:szCs w:val="22"/>
        </w:rPr>
      </w:pPr>
    </w:p>
    <w:p w14:paraId="7069C28E" w14:textId="77777777" w:rsidR="00704C97" w:rsidRPr="00601867" w:rsidRDefault="00704C97" w:rsidP="00704C97">
      <w:pPr>
        <w:spacing w:line="259" w:lineRule="auto"/>
        <w:jc w:val="center"/>
        <w:rPr>
          <w:rFonts w:ascii="Arial" w:hAnsi="Arial" w:cs="Arial"/>
          <w:b/>
          <w:bCs/>
          <w:sz w:val="22"/>
          <w:szCs w:val="22"/>
        </w:rPr>
      </w:pPr>
    </w:p>
    <w:p w14:paraId="21721F4F" w14:textId="77777777" w:rsidR="00704C97" w:rsidRPr="00601867" w:rsidRDefault="00704C97" w:rsidP="00704C97">
      <w:pPr>
        <w:spacing w:line="259" w:lineRule="auto"/>
        <w:jc w:val="center"/>
        <w:rPr>
          <w:rFonts w:ascii="Arial" w:hAnsi="Arial" w:cs="Arial"/>
          <w:b/>
          <w:bCs/>
          <w:sz w:val="22"/>
          <w:szCs w:val="22"/>
        </w:rPr>
      </w:pPr>
    </w:p>
    <w:p w14:paraId="0A8D27D2" w14:textId="269F2B4A" w:rsidR="008E51BB" w:rsidRPr="008E51BB" w:rsidRDefault="0016167C" w:rsidP="008E51BB">
      <w:pPr>
        <w:pStyle w:val="Heading1"/>
      </w:pPr>
      <w:r>
        <w:t xml:space="preserve">NAME MARYAM WASEEM </w:t>
      </w:r>
      <w:r w:rsidR="00DF4207">
        <w:t xml:space="preserve">  </w:t>
      </w:r>
    </w:p>
    <w:p w14:paraId="50EA81F9" w14:textId="0EA41C8E" w:rsidR="0016167C" w:rsidRDefault="0016167C" w:rsidP="0016167C">
      <w:r>
        <w:t xml:space="preserve">STUDENT NUMBER </w:t>
      </w:r>
      <w:r w:rsidR="00EE58E9">
        <w:t>2433389</w:t>
      </w:r>
    </w:p>
    <w:p w14:paraId="24867406" w14:textId="36F4CFA7" w:rsidR="004F75B0" w:rsidRPr="00D608F2" w:rsidRDefault="004F75B0" w:rsidP="00D608F2">
      <w:proofErr w:type="gramStart"/>
      <w:r w:rsidRPr="00D608F2">
        <w:t xml:space="preserve">MODULE </w:t>
      </w:r>
      <w:r w:rsidR="0013058F" w:rsidRPr="00D608F2">
        <w:t xml:space="preserve"> P</w:t>
      </w:r>
      <w:r w:rsidR="00DD0F22" w:rsidRPr="00D608F2">
        <w:t>SYCHOLOGY</w:t>
      </w:r>
      <w:proofErr w:type="gramEnd"/>
      <w:r w:rsidR="00DD0F22" w:rsidRPr="00D608F2">
        <w:t xml:space="preserve"> IN HEALTH AND SOCIAL CARE</w:t>
      </w:r>
    </w:p>
    <w:p w14:paraId="17D4D3E3" w14:textId="77777777" w:rsidR="00704C97" w:rsidRPr="00601867" w:rsidRDefault="00704C97" w:rsidP="00DD0F22">
      <w:pPr>
        <w:spacing w:line="259" w:lineRule="auto"/>
        <w:rPr>
          <w:rFonts w:ascii="Arial" w:hAnsi="Arial" w:cs="Arial"/>
          <w:b/>
          <w:bCs/>
          <w:sz w:val="22"/>
          <w:szCs w:val="22"/>
        </w:rPr>
      </w:pPr>
    </w:p>
    <w:p w14:paraId="305EB0C1" w14:textId="77777777" w:rsidR="00704C97" w:rsidRPr="00601867" w:rsidRDefault="00704C97" w:rsidP="00704C97">
      <w:pPr>
        <w:spacing w:line="259" w:lineRule="auto"/>
        <w:jc w:val="center"/>
        <w:rPr>
          <w:rFonts w:ascii="Arial" w:hAnsi="Arial" w:cs="Arial"/>
          <w:b/>
          <w:bCs/>
          <w:sz w:val="22"/>
          <w:szCs w:val="22"/>
        </w:rPr>
      </w:pPr>
    </w:p>
    <w:p w14:paraId="1E8B22AA" w14:textId="301E7031" w:rsidR="00704C97" w:rsidRPr="00601867" w:rsidRDefault="00704C97" w:rsidP="004B0124">
      <w:pPr>
        <w:spacing w:line="259" w:lineRule="auto"/>
        <w:jc w:val="center"/>
        <w:rPr>
          <w:rFonts w:ascii="Arial" w:eastAsiaTheme="majorEastAsia" w:hAnsi="Arial" w:cs="Arial"/>
          <w:b/>
          <w:bCs/>
          <w:sz w:val="22"/>
          <w:szCs w:val="22"/>
        </w:rPr>
      </w:pPr>
      <w:r w:rsidRPr="00601867">
        <w:rPr>
          <w:rFonts w:ascii="Arial" w:hAnsi="Arial" w:cs="Arial"/>
          <w:b/>
          <w:bCs/>
          <w:sz w:val="22"/>
          <w:szCs w:val="22"/>
        </w:rPr>
        <w:t>Behavioural Strategies for Wellbeing in Residential Care</w:t>
      </w:r>
      <w:r w:rsidRPr="00601867">
        <w:rPr>
          <w:rFonts w:ascii="Arial" w:eastAsiaTheme="majorEastAsia" w:hAnsi="Arial" w:cs="Arial"/>
          <w:b/>
          <w:bCs/>
          <w:sz w:val="22"/>
          <w:szCs w:val="22"/>
        </w:rPr>
        <w:br w:type="page"/>
      </w:r>
    </w:p>
    <w:p w14:paraId="53E08058" w14:textId="4E7A8D2E" w:rsidR="0011534B" w:rsidRPr="00601867" w:rsidRDefault="0011534B" w:rsidP="00704C97">
      <w:pPr>
        <w:pStyle w:val="Heading1"/>
        <w:rPr>
          <w:rFonts w:ascii="Arial" w:hAnsi="Arial" w:cs="Arial"/>
          <w:sz w:val="22"/>
          <w:szCs w:val="22"/>
        </w:rPr>
      </w:pPr>
      <w:r w:rsidRPr="00601867">
        <w:rPr>
          <w:rFonts w:ascii="Arial" w:hAnsi="Arial" w:cs="Arial"/>
          <w:sz w:val="22"/>
          <w:szCs w:val="22"/>
        </w:rPr>
        <w:lastRenderedPageBreak/>
        <w:t>PART A: Annotated Bibliography</w:t>
      </w:r>
    </w:p>
    <w:p w14:paraId="498CBC67" w14:textId="3C884C36" w:rsidR="008D7A45" w:rsidRDefault="0011534B" w:rsidP="00704C97">
      <w:pPr>
        <w:rPr>
          <w:rFonts w:ascii="Arial" w:hAnsi="Arial" w:cs="Arial"/>
          <w:b/>
          <w:bCs/>
          <w:sz w:val="22"/>
          <w:szCs w:val="22"/>
          <w:u w:val="single"/>
        </w:rPr>
      </w:pPr>
      <w:r w:rsidRPr="00601867">
        <w:rPr>
          <w:rFonts w:ascii="Arial" w:hAnsi="Arial" w:cs="Arial"/>
          <w:b/>
          <w:bCs/>
          <w:sz w:val="22"/>
          <w:szCs w:val="22"/>
          <w:u w:val="single"/>
        </w:rPr>
        <w:t>Language Interactionist Theory</w:t>
      </w:r>
    </w:p>
    <w:p w14:paraId="29FA7075" w14:textId="6C8535B6" w:rsidR="00A51E52" w:rsidRPr="00A51E52" w:rsidRDefault="00A51E52" w:rsidP="00704C97">
      <w:pPr>
        <w:rPr>
          <w:rFonts w:ascii="Arial" w:hAnsi="Arial" w:cs="Arial"/>
          <w:b/>
          <w:bCs/>
          <w:sz w:val="22"/>
          <w:szCs w:val="22"/>
        </w:rPr>
      </w:pPr>
      <w:r w:rsidRPr="00A51E52">
        <w:rPr>
          <w:rFonts w:ascii="Arial" w:hAnsi="Arial" w:cs="Arial"/>
          <w:b/>
          <w:bCs/>
          <w:sz w:val="22"/>
          <w:szCs w:val="22"/>
        </w:rPr>
        <w:t>Source 1</w:t>
      </w:r>
    </w:p>
    <w:p w14:paraId="508C6786" w14:textId="4556EAEF" w:rsidR="0011534B" w:rsidRPr="00601867" w:rsidRDefault="0011534B" w:rsidP="00704C97">
      <w:pPr>
        <w:rPr>
          <w:rFonts w:ascii="Arial" w:hAnsi="Arial" w:cs="Arial"/>
          <w:i/>
          <w:iCs/>
          <w:sz w:val="22"/>
          <w:szCs w:val="22"/>
        </w:rPr>
      </w:pPr>
      <w:r w:rsidRPr="00601867">
        <w:rPr>
          <w:rFonts w:ascii="Arial" w:hAnsi="Arial" w:cs="Arial"/>
          <w:i/>
          <w:iCs/>
          <w:sz w:val="22"/>
          <w:szCs w:val="22"/>
        </w:rPr>
        <w:t xml:space="preserve">Muhinyi, A., Stewart, A.J. and Rowland, C.F. (2025) ‘Encouraging use of complex language in preschoolers: a classroom-based storybook intervention study’, Language Learning and Development, 21(4), pp. 399–417. </w:t>
      </w:r>
    </w:p>
    <w:p w14:paraId="4BFD56E4" w14:textId="0FB92E20" w:rsidR="0011534B" w:rsidRPr="00601867" w:rsidRDefault="0011534B" w:rsidP="00704C97">
      <w:pPr>
        <w:rPr>
          <w:rFonts w:ascii="Arial" w:hAnsi="Arial" w:cs="Arial"/>
          <w:b/>
          <w:bCs/>
          <w:sz w:val="22"/>
          <w:szCs w:val="22"/>
        </w:rPr>
      </w:pPr>
      <w:r w:rsidRPr="00601867">
        <w:rPr>
          <w:rFonts w:ascii="Arial" w:hAnsi="Arial" w:cs="Arial"/>
          <w:b/>
          <w:bCs/>
          <w:sz w:val="22"/>
          <w:szCs w:val="22"/>
        </w:rPr>
        <w:t>Summary</w:t>
      </w:r>
    </w:p>
    <w:p w14:paraId="5039C2D0" w14:textId="7CF4B412" w:rsidR="0011534B" w:rsidRPr="00601867" w:rsidRDefault="0011534B" w:rsidP="00704C97">
      <w:pPr>
        <w:rPr>
          <w:rFonts w:ascii="Arial" w:hAnsi="Arial" w:cs="Arial"/>
          <w:sz w:val="22"/>
          <w:szCs w:val="22"/>
        </w:rPr>
      </w:pPr>
      <w:r w:rsidRPr="00601867">
        <w:rPr>
          <w:rFonts w:ascii="Arial" w:hAnsi="Arial" w:cs="Arial"/>
          <w:sz w:val="22"/>
          <w:szCs w:val="22"/>
        </w:rPr>
        <w:t xml:space="preserve">This study investigates the effects of being exposed to simple and complex stories on preschool children's production of language. This intervention ran for six weeks and compared children being exposed to stories with different levels of inferential thinking. Findings indicated that children whose exposure to complex stories expressed a more complex language. However, there were no significant differences on vocabulary or narrative skills after the intervention. The study </w:t>
      </w:r>
      <w:r w:rsidR="00601867">
        <w:rPr>
          <w:rFonts w:ascii="Arial" w:hAnsi="Arial" w:cs="Arial"/>
          <w:sz w:val="22"/>
          <w:szCs w:val="22"/>
        </w:rPr>
        <w:t xml:space="preserve">shows structured interaction </w:t>
      </w:r>
      <w:r w:rsidRPr="00601867">
        <w:rPr>
          <w:rFonts w:ascii="Arial" w:hAnsi="Arial" w:cs="Arial"/>
          <w:sz w:val="22"/>
          <w:szCs w:val="22"/>
        </w:rPr>
        <w:t>language development.</w:t>
      </w:r>
    </w:p>
    <w:p w14:paraId="630C5CD9" w14:textId="0CF0DF74" w:rsidR="0011534B" w:rsidRPr="00601867" w:rsidRDefault="0011534B" w:rsidP="00704C97">
      <w:pPr>
        <w:rPr>
          <w:rFonts w:ascii="Arial" w:hAnsi="Arial" w:cs="Arial"/>
          <w:b/>
          <w:bCs/>
          <w:sz w:val="22"/>
          <w:szCs w:val="22"/>
        </w:rPr>
      </w:pPr>
      <w:r w:rsidRPr="00601867">
        <w:rPr>
          <w:rFonts w:ascii="Arial" w:hAnsi="Arial" w:cs="Arial"/>
          <w:b/>
          <w:bCs/>
          <w:sz w:val="22"/>
          <w:szCs w:val="22"/>
        </w:rPr>
        <w:t>Critical Comment</w:t>
      </w:r>
    </w:p>
    <w:p w14:paraId="327CBC1B" w14:textId="20470349" w:rsidR="00601867" w:rsidRPr="00601867" w:rsidRDefault="00601867" w:rsidP="00601867">
      <w:pPr>
        <w:rPr>
          <w:rFonts w:ascii="Arial" w:hAnsi="Arial" w:cs="Arial"/>
          <w:sz w:val="22"/>
          <w:szCs w:val="22"/>
        </w:rPr>
      </w:pPr>
      <w:r w:rsidRPr="00601867">
        <w:rPr>
          <w:rFonts w:ascii="Arial" w:hAnsi="Arial" w:cs="Arial"/>
          <w:sz w:val="22"/>
          <w:szCs w:val="22"/>
        </w:rPr>
        <w:t>This study supports interactionist theory as adult scaffolding can improve language development. Its randomized design strengthens reliability, but short on gains to vocabulary in length. Findings identify the significance of communication for engagement in thought and emotional wellbeing in the care setting.</w:t>
      </w:r>
    </w:p>
    <w:p w14:paraId="6A283D8C" w14:textId="2EE56C69" w:rsidR="0011534B" w:rsidRDefault="0011534B" w:rsidP="00704C97">
      <w:pPr>
        <w:rPr>
          <w:rFonts w:ascii="Arial" w:hAnsi="Arial" w:cs="Arial"/>
          <w:b/>
          <w:bCs/>
          <w:sz w:val="22"/>
          <w:szCs w:val="22"/>
          <w:u w:val="single"/>
        </w:rPr>
      </w:pPr>
      <w:r w:rsidRPr="00601867">
        <w:rPr>
          <w:rFonts w:ascii="Arial" w:hAnsi="Arial" w:cs="Arial"/>
          <w:b/>
          <w:bCs/>
          <w:sz w:val="22"/>
          <w:szCs w:val="22"/>
          <w:u w:val="single"/>
        </w:rPr>
        <w:t>Language Interactionist Theory</w:t>
      </w:r>
    </w:p>
    <w:p w14:paraId="0AE765C3" w14:textId="4846771A" w:rsidR="00A51E52" w:rsidRPr="00A51E52" w:rsidRDefault="00A51E52" w:rsidP="00704C97">
      <w:pPr>
        <w:rPr>
          <w:rFonts w:ascii="Arial" w:hAnsi="Arial" w:cs="Arial"/>
          <w:b/>
          <w:bCs/>
          <w:sz w:val="22"/>
          <w:szCs w:val="22"/>
        </w:rPr>
      </w:pPr>
      <w:r>
        <w:rPr>
          <w:rFonts w:ascii="Arial" w:hAnsi="Arial" w:cs="Arial"/>
          <w:b/>
          <w:bCs/>
          <w:sz w:val="22"/>
          <w:szCs w:val="22"/>
        </w:rPr>
        <w:t>Source 2</w:t>
      </w:r>
    </w:p>
    <w:p w14:paraId="538BA98D" w14:textId="46D5BA12" w:rsidR="0011534B" w:rsidRPr="00601867" w:rsidRDefault="0011534B" w:rsidP="00704C97">
      <w:pPr>
        <w:rPr>
          <w:rFonts w:ascii="Arial" w:hAnsi="Arial" w:cs="Arial"/>
          <w:i/>
          <w:iCs/>
          <w:sz w:val="22"/>
          <w:szCs w:val="22"/>
        </w:rPr>
      </w:pPr>
      <w:r w:rsidRPr="00601867">
        <w:rPr>
          <w:rFonts w:ascii="Arial" w:hAnsi="Arial" w:cs="Arial"/>
          <w:i/>
          <w:iCs/>
          <w:sz w:val="22"/>
          <w:szCs w:val="22"/>
        </w:rPr>
        <w:t>Zappa, A., Slater, M. and Rodriguez-Fornells, A. (2025) ‘Social interaction shapes and boosts second language learning: virtual reality can show us how’, npj Science of Learning, 10(1), p. 90.</w:t>
      </w:r>
    </w:p>
    <w:p w14:paraId="26FE6F76" w14:textId="18FD9298" w:rsidR="0011534B" w:rsidRPr="00601867" w:rsidRDefault="0011534B" w:rsidP="00704C97">
      <w:pPr>
        <w:rPr>
          <w:rFonts w:ascii="Arial" w:hAnsi="Arial" w:cs="Arial"/>
          <w:b/>
          <w:bCs/>
          <w:sz w:val="22"/>
          <w:szCs w:val="22"/>
        </w:rPr>
      </w:pPr>
      <w:r w:rsidRPr="00601867">
        <w:rPr>
          <w:rFonts w:ascii="Arial" w:hAnsi="Arial" w:cs="Arial"/>
          <w:b/>
          <w:bCs/>
          <w:sz w:val="22"/>
          <w:szCs w:val="22"/>
        </w:rPr>
        <w:t>Summary</w:t>
      </w:r>
    </w:p>
    <w:p w14:paraId="428F69CB" w14:textId="7EEE3C7A" w:rsidR="0011534B" w:rsidRPr="00601867" w:rsidRDefault="0011534B" w:rsidP="00704C97">
      <w:pPr>
        <w:rPr>
          <w:rFonts w:ascii="Arial" w:hAnsi="Arial" w:cs="Arial"/>
          <w:sz w:val="22"/>
          <w:szCs w:val="22"/>
        </w:rPr>
      </w:pPr>
      <w:r w:rsidRPr="00601867">
        <w:rPr>
          <w:rFonts w:ascii="Arial" w:hAnsi="Arial" w:cs="Arial"/>
          <w:sz w:val="22"/>
          <w:szCs w:val="22"/>
        </w:rPr>
        <w:t>This article discusses the role of social interaction in the improvement of second language learning. Using virtual reality environments, the study shows improved engagement and language learning using interactive learning contexts. The findings show that social presence and active participation also increase retention and complexity of language. The authors suggest that rather than passive exposure to language, interaction that is meaningful to the learner reinforces language learning. This reinforces the stance of interactionist theory as it focuses on the role of the social context in cognitive and linguistic development.</w:t>
      </w:r>
    </w:p>
    <w:p w14:paraId="60406DC6" w14:textId="272A3345" w:rsidR="0011534B" w:rsidRPr="00601867" w:rsidRDefault="0011534B" w:rsidP="00704C97">
      <w:pPr>
        <w:rPr>
          <w:rFonts w:ascii="Arial" w:hAnsi="Arial" w:cs="Arial"/>
          <w:b/>
          <w:bCs/>
          <w:sz w:val="22"/>
          <w:szCs w:val="22"/>
        </w:rPr>
      </w:pPr>
      <w:r w:rsidRPr="00601867">
        <w:rPr>
          <w:rFonts w:ascii="Arial" w:hAnsi="Arial" w:cs="Arial"/>
          <w:b/>
          <w:bCs/>
          <w:sz w:val="22"/>
          <w:szCs w:val="22"/>
        </w:rPr>
        <w:lastRenderedPageBreak/>
        <w:t>Critical Comment</w:t>
      </w:r>
    </w:p>
    <w:p w14:paraId="1293E698" w14:textId="22C03852" w:rsidR="0011534B" w:rsidRPr="00601867" w:rsidRDefault="0011534B" w:rsidP="00704C97">
      <w:pPr>
        <w:rPr>
          <w:rFonts w:ascii="Arial" w:hAnsi="Arial" w:cs="Arial"/>
          <w:sz w:val="22"/>
          <w:szCs w:val="22"/>
        </w:rPr>
      </w:pPr>
      <w:r w:rsidRPr="00601867">
        <w:rPr>
          <w:rFonts w:ascii="Arial" w:hAnsi="Arial" w:cs="Arial"/>
          <w:sz w:val="22"/>
          <w:szCs w:val="22"/>
        </w:rPr>
        <w:t>The strength of this study is that it is an innovative methodology with a great theoretical foundation in the social interaction area. However, the use of virtual reality could reduce generalisability to the real world of care. Despite this, the studies do strengthen the concept of social engagement being conducive to development. In health and social care practice, structured communication activities could be used to enhance cognitive stimulation and wellbeing in older adults especially those who suffer from social isolation.</w:t>
      </w:r>
    </w:p>
    <w:p w14:paraId="6892D57E" w14:textId="688E9F7B" w:rsidR="0011534B" w:rsidRDefault="0011534B" w:rsidP="00704C97">
      <w:pPr>
        <w:rPr>
          <w:rFonts w:ascii="Arial" w:hAnsi="Arial" w:cs="Arial"/>
          <w:b/>
          <w:bCs/>
          <w:sz w:val="22"/>
          <w:szCs w:val="22"/>
          <w:u w:val="single"/>
        </w:rPr>
      </w:pPr>
      <w:r w:rsidRPr="00601867">
        <w:rPr>
          <w:rFonts w:ascii="Arial" w:hAnsi="Arial" w:cs="Arial"/>
          <w:b/>
          <w:bCs/>
          <w:sz w:val="22"/>
          <w:szCs w:val="22"/>
          <w:u w:val="single"/>
        </w:rPr>
        <w:t>Theory of Planned Behaviour</w:t>
      </w:r>
    </w:p>
    <w:p w14:paraId="7D08996B" w14:textId="5F26BB3F" w:rsidR="00A51E52" w:rsidRPr="00A51E52" w:rsidRDefault="00A51E52" w:rsidP="00704C97">
      <w:pPr>
        <w:rPr>
          <w:rFonts w:ascii="Arial" w:hAnsi="Arial" w:cs="Arial"/>
          <w:b/>
          <w:bCs/>
          <w:sz w:val="22"/>
          <w:szCs w:val="22"/>
        </w:rPr>
      </w:pPr>
      <w:r w:rsidRPr="00A51E52">
        <w:rPr>
          <w:rFonts w:ascii="Arial" w:hAnsi="Arial" w:cs="Arial"/>
          <w:b/>
          <w:bCs/>
          <w:sz w:val="22"/>
          <w:szCs w:val="22"/>
        </w:rPr>
        <w:t>Source 3</w:t>
      </w:r>
    </w:p>
    <w:p w14:paraId="12738DA6" w14:textId="0B0AFD10" w:rsidR="0011534B" w:rsidRPr="00601867" w:rsidRDefault="0011534B" w:rsidP="00704C97">
      <w:pPr>
        <w:rPr>
          <w:rFonts w:ascii="Arial" w:hAnsi="Arial" w:cs="Arial"/>
          <w:i/>
          <w:iCs/>
          <w:sz w:val="22"/>
          <w:szCs w:val="22"/>
        </w:rPr>
      </w:pPr>
      <w:r w:rsidRPr="00601867">
        <w:rPr>
          <w:rFonts w:ascii="Arial" w:hAnsi="Arial" w:cs="Arial"/>
          <w:i/>
          <w:iCs/>
          <w:sz w:val="22"/>
          <w:szCs w:val="22"/>
        </w:rPr>
        <w:t>Rakhshani, T., Bushehri, S.A., Daneshmandi, H., Kashfi, S.M., Kamyab, A. and Jeihooni, A.K. (2025) ‘Application of the theory of planned behavior in self-care behaviors of knee osteoarthritis in the rural older people’, BMC Geriatrics, 25(1), p. 932.</w:t>
      </w:r>
    </w:p>
    <w:p w14:paraId="08227778" w14:textId="76F626C0" w:rsidR="0011534B" w:rsidRPr="00601867" w:rsidRDefault="0011534B" w:rsidP="00704C97">
      <w:pPr>
        <w:rPr>
          <w:rFonts w:ascii="Arial" w:hAnsi="Arial" w:cs="Arial"/>
          <w:b/>
          <w:bCs/>
          <w:sz w:val="22"/>
          <w:szCs w:val="22"/>
        </w:rPr>
      </w:pPr>
      <w:r w:rsidRPr="00601867">
        <w:rPr>
          <w:rFonts w:ascii="Arial" w:hAnsi="Arial" w:cs="Arial"/>
          <w:b/>
          <w:bCs/>
          <w:sz w:val="22"/>
          <w:szCs w:val="22"/>
        </w:rPr>
        <w:t>Summary</w:t>
      </w:r>
    </w:p>
    <w:p w14:paraId="2189A12B" w14:textId="1A20CA1B" w:rsidR="0011534B" w:rsidRPr="00601867" w:rsidRDefault="0011534B" w:rsidP="00704C97">
      <w:pPr>
        <w:rPr>
          <w:rFonts w:ascii="Arial" w:hAnsi="Arial" w:cs="Arial"/>
          <w:sz w:val="22"/>
          <w:szCs w:val="22"/>
        </w:rPr>
      </w:pPr>
      <w:r w:rsidRPr="00601867">
        <w:rPr>
          <w:rFonts w:ascii="Arial" w:hAnsi="Arial" w:cs="Arial"/>
          <w:sz w:val="22"/>
          <w:szCs w:val="22"/>
        </w:rPr>
        <w:t>This clinical study examined whether education based on the Theory of Planned Behaviour can improve self-care behaviours in older people with osteoarthritis of the knee. The intervention focused on the attitudes, subjective norms and perceived behavioural control. After four sessions, participants had significant improvements in behavioural intention and self-care practices. The study confirms that TPB constructs are good predictors of health behaviour change. It can be used to prove how structured education can have a positive impact on the health management of older adults.</w:t>
      </w:r>
    </w:p>
    <w:p w14:paraId="5D0715DC" w14:textId="38331105" w:rsidR="0011534B" w:rsidRPr="00601867" w:rsidRDefault="0011534B" w:rsidP="00704C97">
      <w:pPr>
        <w:rPr>
          <w:rFonts w:ascii="Arial" w:hAnsi="Arial" w:cs="Arial"/>
          <w:b/>
          <w:bCs/>
          <w:sz w:val="22"/>
          <w:szCs w:val="22"/>
        </w:rPr>
      </w:pPr>
      <w:r w:rsidRPr="00601867">
        <w:rPr>
          <w:rFonts w:ascii="Arial" w:hAnsi="Arial" w:cs="Arial"/>
          <w:b/>
          <w:bCs/>
          <w:sz w:val="22"/>
          <w:szCs w:val="22"/>
        </w:rPr>
        <w:t>Critical Comment</w:t>
      </w:r>
    </w:p>
    <w:p w14:paraId="0753BE06" w14:textId="73DE74C8" w:rsidR="0011534B" w:rsidRPr="00601867" w:rsidRDefault="0011534B" w:rsidP="00704C97">
      <w:pPr>
        <w:rPr>
          <w:rFonts w:ascii="Arial" w:hAnsi="Arial" w:cs="Arial"/>
          <w:sz w:val="22"/>
          <w:szCs w:val="22"/>
        </w:rPr>
      </w:pPr>
      <w:r w:rsidRPr="00601867">
        <w:rPr>
          <w:rFonts w:ascii="Arial" w:hAnsi="Arial" w:cs="Arial"/>
          <w:sz w:val="22"/>
          <w:szCs w:val="22"/>
        </w:rPr>
        <w:t>This study is very relevant since it uses TPB directly with older populations. Its experimental design increases the validity of the findings. However, the research was done in one region, which may be limiting its widespread application. In a health and social care context, the TPB can be used by professionals to create educational programmes to promote self-care and independence in older people.</w:t>
      </w:r>
    </w:p>
    <w:p w14:paraId="2832C649" w14:textId="753B4488" w:rsidR="0011534B" w:rsidRDefault="0011534B" w:rsidP="00704C97">
      <w:pPr>
        <w:rPr>
          <w:rFonts w:ascii="Arial" w:hAnsi="Arial" w:cs="Arial"/>
          <w:b/>
          <w:bCs/>
          <w:sz w:val="22"/>
          <w:szCs w:val="22"/>
          <w:u w:val="single"/>
        </w:rPr>
      </w:pPr>
      <w:r w:rsidRPr="00601867">
        <w:rPr>
          <w:rFonts w:ascii="Arial" w:hAnsi="Arial" w:cs="Arial"/>
          <w:b/>
          <w:bCs/>
          <w:sz w:val="22"/>
          <w:szCs w:val="22"/>
          <w:u w:val="single"/>
        </w:rPr>
        <w:t>Theory of Planned Behaviour</w:t>
      </w:r>
    </w:p>
    <w:p w14:paraId="5CC6F02C" w14:textId="18E28AA0" w:rsidR="00A51E52" w:rsidRPr="00A51E52" w:rsidRDefault="00A51E52" w:rsidP="00704C97">
      <w:pPr>
        <w:rPr>
          <w:rFonts w:ascii="Arial" w:hAnsi="Arial" w:cs="Arial"/>
          <w:b/>
          <w:bCs/>
          <w:sz w:val="22"/>
          <w:szCs w:val="22"/>
        </w:rPr>
      </w:pPr>
      <w:r w:rsidRPr="00A51E52">
        <w:rPr>
          <w:rFonts w:ascii="Arial" w:hAnsi="Arial" w:cs="Arial"/>
          <w:b/>
          <w:bCs/>
          <w:sz w:val="22"/>
          <w:szCs w:val="22"/>
        </w:rPr>
        <w:t>Source 4</w:t>
      </w:r>
    </w:p>
    <w:p w14:paraId="767964B8" w14:textId="727BA7B2" w:rsidR="0011534B" w:rsidRPr="00601867" w:rsidRDefault="0011534B" w:rsidP="00704C97">
      <w:pPr>
        <w:rPr>
          <w:rFonts w:ascii="Arial" w:hAnsi="Arial" w:cs="Arial"/>
          <w:i/>
          <w:iCs/>
          <w:sz w:val="22"/>
          <w:szCs w:val="22"/>
        </w:rPr>
      </w:pPr>
      <w:r w:rsidRPr="00601867">
        <w:rPr>
          <w:rFonts w:ascii="Arial" w:hAnsi="Arial" w:cs="Arial"/>
          <w:i/>
          <w:iCs/>
          <w:sz w:val="22"/>
          <w:szCs w:val="22"/>
        </w:rPr>
        <w:t>Lee, P.C., Huang, C.Y. and Hsu, M.J. (2025) ‘Healthcare-seeking intentions of middle-aged and elderly individuals with critical diseases: an expanded TPB model in the post-pandemic era’, Scientific Reports, 15(1), p. 28996.</w:t>
      </w:r>
    </w:p>
    <w:p w14:paraId="30D790A1" w14:textId="0593D7C9" w:rsidR="0011534B" w:rsidRPr="00601867" w:rsidRDefault="0011534B" w:rsidP="00704C97">
      <w:pPr>
        <w:rPr>
          <w:rFonts w:ascii="Arial" w:hAnsi="Arial" w:cs="Arial"/>
          <w:b/>
          <w:bCs/>
          <w:sz w:val="22"/>
          <w:szCs w:val="22"/>
        </w:rPr>
      </w:pPr>
      <w:r w:rsidRPr="00601867">
        <w:rPr>
          <w:rFonts w:ascii="Arial" w:hAnsi="Arial" w:cs="Arial"/>
          <w:b/>
          <w:bCs/>
          <w:sz w:val="22"/>
          <w:szCs w:val="22"/>
        </w:rPr>
        <w:t>Summary</w:t>
      </w:r>
    </w:p>
    <w:p w14:paraId="63178B7B" w14:textId="13C9E8C7" w:rsidR="0011534B" w:rsidRPr="00601867" w:rsidRDefault="0011534B" w:rsidP="00704C97">
      <w:pPr>
        <w:rPr>
          <w:rFonts w:ascii="Arial" w:hAnsi="Arial" w:cs="Arial"/>
          <w:sz w:val="22"/>
          <w:szCs w:val="22"/>
        </w:rPr>
      </w:pPr>
      <w:r w:rsidRPr="00601867">
        <w:rPr>
          <w:rFonts w:ascii="Arial" w:hAnsi="Arial" w:cs="Arial"/>
          <w:sz w:val="22"/>
          <w:szCs w:val="22"/>
        </w:rPr>
        <w:lastRenderedPageBreak/>
        <w:t>This study uses an extension of the TPB model to understand healthcare-seeking intentions among the middle age and the elderly. In addition to attitude, subjective norms and perceived behavioural control, perceived risk and trust are included in the study. Findings show that trust in healthcare institutions had the greatest impact on behavioural intention. The study works to underscore the way that psychological and social factors play into healthcare choices. The expansion model enhances knowledge of health behaviour in uncertain conditions.</w:t>
      </w:r>
    </w:p>
    <w:p w14:paraId="7EA52D36" w14:textId="43F3DAF5" w:rsidR="0011534B" w:rsidRPr="00601867" w:rsidRDefault="0011534B" w:rsidP="00704C97">
      <w:pPr>
        <w:rPr>
          <w:rFonts w:ascii="Arial" w:hAnsi="Arial" w:cs="Arial"/>
          <w:b/>
          <w:bCs/>
          <w:sz w:val="22"/>
          <w:szCs w:val="22"/>
        </w:rPr>
      </w:pPr>
      <w:r w:rsidRPr="00601867">
        <w:rPr>
          <w:rFonts w:ascii="Arial" w:hAnsi="Arial" w:cs="Arial"/>
          <w:b/>
          <w:bCs/>
          <w:sz w:val="22"/>
          <w:szCs w:val="22"/>
        </w:rPr>
        <w:t>Critical Comment</w:t>
      </w:r>
    </w:p>
    <w:p w14:paraId="4376A7EC" w14:textId="21C45F97" w:rsidR="0011534B" w:rsidRPr="00601867" w:rsidRDefault="0011534B" w:rsidP="00704C97">
      <w:pPr>
        <w:rPr>
          <w:rFonts w:ascii="Arial" w:hAnsi="Arial" w:cs="Arial"/>
          <w:sz w:val="22"/>
          <w:szCs w:val="22"/>
        </w:rPr>
      </w:pPr>
      <w:r w:rsidRPr="00601867">
        <w:rPr>
          <w:rFonts w:ascii="Arial" w:hAnsi="Arial" w:cs="Arial"/>
          <w:sz w:val="22"/>
          <w:szCs w:val="22"/>
        </w:rPr>
        <w:t>A major strength of this study is the large sample size and the structural equation modelling approach used. The supplement of trust and perceived risk increases the traditional TPB framework. However, the cross-sectional nature of the design has the advantage of being limited in terms of causal conclusions. The findings have an excellent degree of applicability in health and social care practice, especially in terms of promoting healthcare engagement in older people who may have feelings of fear or mistrust.</w:t>
      </w:r>
    </w:p>
    <w:p w14:paraId="5E8F5A4E" w14:textId="1A4201D4" w:rsidR="0011534B" w:rsidRPr="00601867" w:rsidRDefault="0011534B" w:rsidP="00704C97">
      <w:pPr>
        <w:pStyle w:val="Heading1"/>
        <w:rPr>
          <w:rFonts w:ascii="Arial" w:hAnsi="Arial" w:cs="Arial"/>
          <w:sz w:val="22"/>
          <w:szCs w:val="22"/>
        </w:rPr>
      </w:pPr>
      <w:r w:rsidRPr="00601867">
        <w:rPr>
          <w:rFonts w:ascii="Arial" w:hAnsi="Arial" w:cs="Arial"/>
          <w:sz w:val="22"/>
          <w:szCs w:val="22"/>
        </w:rPr>
        <w:t>Part B: Short Report</w:t>
      </w:r>
    </w:p>
    <w:p w14:paraId="104C4780" w14:textId="4E8A1C24" w:rsidR="0011534B" w:rsidRPr="00601867" w:rsidRDefault="0011534B" w:rsidP="00704C97">
      <w:pPr>
        <w:rPr>
          <w:rFonts w:ascii="Arial" w:hAnsi="Arial" w:cs="Arial"/>
          <w:b/>
          <w:bCs/>
          <w:sz w:val="22"/>
          <w:szCs w:val="22"/>
        </w:rPr>
      </w:pPr>
      <w:r w:rsidRPr="00601867">
        <w:rPr>
          <w:rFonts w:ascii="Arial" w:hAnsi="Arial" w:cs="Arial"/>
          <w:b/>
          <w:bCs/>
          <w:sz w:val="22"/>
          <w:szCs w:val="22"/>
        </w:rPr>
        <w:t>Introduction</w:t>
      </w:r>
    </w:p>
    <w:p w14:paraId="47FCF32A" w14:textId="09324654" w:rsidR="0011534B" w:rsidRPr="00601867" w:rsidRDefault="0011534B" w:rsidP="00704C97">
      <w:pPr>
        <w:rPr>
          <w:rFonts w:ascii="Arial" w:hAnsi="Arial" w:cs="Arial"/>
          <w:sz w:val="22"/>
          <w:szCs w:val="22"/>
        </w:rPr>
      </w:pPr>
      <w:r w:rsidRPr="00601867">
        <w:rPr>
          <w:rFonts w:ascii="Arial" w:hAnsi="Arial" w:cs="Arial"/>
          <w:sz w:val="22"/>
          <w:szCs w:val="22"/>
        </w:rPr>
        <w:t>Autonomy, social participation and confidence in how they can manage their daily life, are influential factors for psychological wellbeing in older people living in residential care homes. Many residents suffer from lowered independence, and social withdrawal and anxiety, as a result that can have a negative impact on mental health (Rakhshani et al., 2025). Research also shows that trust, perceived risk can further influence health-related decisions in older adults (Lee, Huang and Hsu, 2025). This report details how TPB can be used in residential care to enhance psychological wellbeing, provides a practical case scenario and addresses a major implementation hurdle with an implementation strategy.</w:t>
      </w:r>
    </w:p>
    <w:p w14:paraId="582EE7A7" w14:textId="190527D5" w:rsidR="0011534B" w:rsidRPr="00601867" w:rsidRDefault="0011534B" w:rsidP="00704C97">
      <w:pPr>
        <w:rPr>
          <w:rFonts w:ascii="Arial" w:hAnsi="Arial" w:cs="Arial"/>
          <w:b/>
          <w:bCs/>
          <w:sz w:val="22"/>
          <w:szCs w:val="22"/>
        </w:rPr>
      </w:pPr>
      <w:r w:rsidRPr="00601867">
        <w:rPr>
          <w:rFonts w:ascii="Arial" w:hAnsi="Arial" w:cs="Arial"/>
          <w:b/>
          <w:bCs/>
          <w:sz w:val="22"/>
          <w:szCs w:val="22"/>
        </w:rPr>
        <w:t>Applying the theory of planned behaviour to residential care</w:t>
      </w:r>
    </w:p>
    <w:p w14:paraId="4F69B5EA" w14:textId="0E20BD27" w:rsidR="0011534B" w:rsidRPr="00601867" w:rsidRDefault="0011534B" w:rsidP="00704C97">
      <w:pPr>
        <w:rPr>
          <w:rFonts w:ascii="Arial" w:hAnsi="Arial" w:cs="Arial"/>
          <w:sz w:val="22"/>
          <w:szCs w:val="22"/>
        </w:rPr>
      </w:pPr>
      <w:r w:rsidRPr="00601867">
        <w:rPr>
          <w:rFonts w:ascii="Arial" w:hAnsi="Arial" w:cs="Arial"/>
          <w:sz w:val="22"/>
          <w:szCs w:val="22"/>
        </w:rPr>
        <w:t>The Theory of Planned Behaviour suggests that behaviour is predicted by three elements that are attitude, subjective norms, and perceived behavioural control that influence intention (Rakhshani et al., 2025). In care home environments, this model can help others guide their practice of promoting participation in activities that lead to mental wellbeing.</w:t>
      </w:r>
    </w:p>
    <w:p w14:paraId="065F079D" w14:textId="597A509F" w:rsidR="0011534B" w:rsidRPr="00601867" w:rsidRDefault="0011534B" w:rsidP="00704C97">
      <w:pPr>
        <w:rPr>
          <w:rFonts w:ascii="Arial" w:hAnsi="Arial" w:cs="Arial"/>
          <w:sz w:val="22"/>
          <w:szCs w:val="22"/>
        </w:rPr>
      </w:pPr>
      <w:r w:rsidRPr="00601867">
        <w:rPr>
          <w:rFonts w:ascii="Arial" w:hAnsi="Arial" w:cs="Arial"/>
          <w:sz w:val="22"/>
          <w:szCs w:val="22"/>
        </w:rPr>
        <w:t xml:space="preserve">First, attitude means that the residents have a positive or negative perception of an activity. If the older adults think they will benefit from group sessions or physical exercises, both in their mood and health, they are more likely to participate. Educational interventions to change attitudes have succeeded in significantly improving older populations self-care behaviours (Rakhshani et al., 2025). </w:t>
      </w:r>
    </w:p>
    <w:p w14:paraId="39D54274" w14:textId="20651D8B" w:rsidR="0011534B" w:rsidRPr="00601867" w:rsidRDefault="0011534B" w:rsidP="00704C97">
      <w:pPr>
        <w:rPr>
          <w:rFonts w:ascii="Arial" w:hAnsi="Arial" w:cs="Arial"/>
          <w:sz w:val="22"/>
          <w:szCs w:val="22"/>
        </w:rPr>
      </w:pPr>
      <w:r w:rsidRPr="00601867">
        <w:rPr>
          <w:rFonts w:ascii="Arial" w:hAnsi="Arial" w:cs="Arial"/>
          <w:sz w:val="22"/>
          <w:szCs w:val="22"/>
        </w:rPr>
        <w:lastRenderedPageBreak/>
        <w:t>Second, subjective norms are norms of perceived social expectations. Older adults are influenced by family members, and peers and trusted professionals. There is evidence that social influences and trust in institutions play an important role for behavioural intentions amongst middle-aged and elderly people (Lee, Huang and Hsu, 2025). In a care home, professionals can reinforce positive norms by encouraging peer modelling, celebrating involvement and engagement of families in supportive conversations.</w:t>
      </w:r>
    </w:p>
    <w:p w14:paraId="0723D200" w14:textId="731232EE" w:rsidR="0011534B" w:rsidRPr="00601867" w:rsidRDefault="0011534B" w:rsidP="00704C97">
      <w:pPr>
        <w:rPr>
          <w:rFonts w:ascii="Arial" w:hAnsi="Arial" w:cs="Arial"/>
          <w:sz w:val="22"/>
          <w:szCs w:val="22"/>
        </w:rPr>
      </w:pPr>
      <w:r w:rsidRPr="00601867">
        <w:rPr>
          <w:rFonts w:ascii="Arial" w:hAnsi="Arial" w:cs="Arial"/>
          <w:sz w:val="22"/>
          <w:szCs w:val="22"/>
        </w:rPr>
        <w:t xml:space="preserve">Third, perceived behavioural control is associated with a resident's belief in his or her ability to do a behaviour. When individuals feel capable, then the intention to act is increased (Rakhshani et al., 2025). Staff can increase the sense of control by </w:t>
      </w:r>
      <w:proofErr w:type="gramStart"/>
      <w:r w:rsidRPr="00601867">
        <w:rPr>
          <w:rFonts w:ascii="Arial" w:hAnsi="Arial" w:cs="Arial"/>
          <w:sz w:val="22"/>
          <w:szCs w:val="22"/>
        </w:rPr>
        <w:t>making adjustments</w:t>
      </w:r>
      <w:proofErr w:type="gramEnd"/>
      <w:r w:rsidRPr="00601867">
        <w:rPr>
          <w:rFonts w:ascii="Arial" w:hAnsi="Arial" w:cs="Arial"/>
          <w:sz w:val="22"/>
          <w:szCs w:val="22"/>
        </w:rPr>
        <w:t xml:space="preserve"> for physical ability in activities, by providing reassurance and small achievable targets (Zappa, Slater and Rodriguez-Fornells, 2025).</w:t>
      </w:r>
    </w:p>
    <w:p w14:paraId="0E77ABFA" w14:textId="1C38BEF0" w:rsidR="0011534B" w:rsidRPr="00601867" w:rsidRDefault="0011534B" w:rsidP="00704C97">
      <w:pPr>
        <w:rPr>
          <w:rFonts w:ascii="Arial" w:hAnsi="Arial" w:cs="Arial"/>
          <w:sz w:val="22"/>
          <w:szCs w:val="22"/>
        </w:rPr>
      </w:pPr>
      <w:r w:rsidRPr="00601867">
        <w:rPr>
          <w:rFonts w:ascii="Arial" w:hAnsi="Arial" w:cs="Arial"/>
          <w:sz w:val="22"/>
          <w:szCs w:val="22"/>
        </w:rPr>
        <w:t xml:space="preserve">Although the Language Interactionist perspective is mainly oriented to language development, it puts into perspective the importance of meaningful social interaction in promoting cognitive and emotional engagement (Muhinyi, Stewart and Rowland, 2025). </w:t>
      </w:r>
    </w:p>
    <w:p w14:paraId="37FE4314" w14:textId="4801B502" w:rsidR="0011534B" w:rsidRPr="00601867" w:rsidRDefault="0011534B" w:rsidP="00704C97">
      <w:pPr>
        <w:rPr>
          <w:rFonts w:ascii="Arial" w:hAnsi="Arial" w:cs="Arial"/>
          <w:b/>
          <w:bCs/>
          <w:sz w:val="22"/>
          <w:szCs w:val="22"/>
        </w:rPr>
      </w:pPr>
      <w:r w:rsidRPr="00601867">
        <w:rPr>
          <w:rFonts w:ascii="Arial" w:hAnsi="Arial" w:cs="Arial"/>
          <w:b/>
          <w:bCs/>
          <w:sz w:val="22"/>
          <w:szCs w:val="22"/>
        </w:rPr>
        <w:t>Real-World Case Scenario</w:t>
      </w:r>
    </w:p>
    <w:p w14:paraId="7111BC4B" w14:textId="0B76156C" w:rsidR="0011534B" w:rsidRPr="00601867" w:rsidRDefault="0011534B" w:rsidP="00704C97">
      <w:pPr>
        <w:rPr>
          <w:rFonts w:ascii="Arial" w:hAnsi="Arial" w:cs="Arial"/>
          <w:sz w:val="22"/>
          <w:szCs w:val="22"/>
        </w:rPr>
      </w:pPr>
      <w:r w:rsidRPr="00601867">
        <w:rPr>
          <w:rFonts w:ascii="Arial" w:hAnsi="Arial" w:cs="Arial"/>
          <w:sz w:val="22"/>
          <w:szCs w:val="22"/>
        </w:rPr>
        <w:t>Mrs Patel is an 82-year-old resident who recently admitted to residential care following a fall. She misses out on group activities in a bid to stay in her room alone. She claims to feel anxious and not having any motivation.</w:t>
      </w:r>
    </w:p>
    <w:p w14:paraId="2DFADACD" w14:textId="310CF75C" w:rsidR="0011534B" w:rsidRPr="00601867" w:rsidRDefault="0011534B" w:rsidP="00704C97">
      <w:pPr>
        <w:rPr>
          <w:rFonts w:ascii="Arial" w:hAnsi="Arial" w:cs="Arial"/>
          <w:sz w:val="22"/>
          <w:szCs w:val="22"/>
        </w:rPr>
      </w:pPr>
      <w:r w:rsidRPr="00601867">
        <w:rPr>
          <w:rFonts w:ascii="Arial" w:hAnsi="Arial" w:cs="Arial"/>
          <w:sz w:val="22"/>
          <w:szCs w:val="22"/>
        </w:rPr>
        <w:t>Using TPB, staff then explore her attitude to participation. Mrs Patel thinks exercise sessions are too demanding</w:t>
      </w:r>
      <w:r w:rsidR="00704C97" w:rsidRPr="00601867">
        <w:rPr>
          <w:rFonts w:ascii="Arial" w:hAnsi="Arial" w:cs="Arial"/>
          <w:sz w:val="22"/>
          <w:szCs w:val="22"/>
        </w:rPr>
        <w:t xml:space="preserve"> </w:t>
      </w:r>
      <w:r w:rsidRPr="00601867">
        <w:rPr>
          <w:rFonts w:ascii="Arial" w:hAnsi="Arial" w:cs="Arial"/>
          <w:sz w:val="22"/>
          <w:szCs w:val="22"/>
        </w:rPr>
        <w:t>(Rakhshani et al., 2025).</w:t>
      </w:r>
    </w:p>
    <w:p w14:paraId="64C21FC2" w14:textId="15EAD880" w:rsidR="0011534B" w:rsidRPr="00601867" w:rsidRDefault="0011534B" w:rsidP="00704C97">
      <w:pPr>
        <w:rPr>
          <w:rFonts w:ascii="Arial" w:hAnsi="Arial" w:cs="Arial"/>
          <w:sz w:val="22"/>
          <w:szCs w:val="22"/>
        </w:rPr>
      </w:pPr>
      <w:r w:rsidRPr="00601867">
        <w:rPr>
          <w:rFonts w:ascii="Arial" w:hAnsi="Arial" w:cs="Arial"/>
          <w:sz w:val="22"/>
          <w:szCs w:val="22"/>
        </w:rPr>
        <w:t>Next, staff deal with subjective norms by introducing her to another resident who regularly attends sessions. Watching other kids play around and not be so nervous helps her to become less apprehensive. Research shows that trust and social influence are important in influencing a behavioural intention (Lee, Huang and Hsu, 2025).</w:t>
      </w:r>
    </w:p>
    <w:p w14:paraId="43A2C5D4" w14:textId="6D80545B" w:rsidR="0011534B" w:rsidRPr="00601867" w:rsidRDefault="0011534B" w:rsidP="00704C97">
      <w:pPr>
        <w:rPr>
          <w:rFonts w:ascii="Arial" w:hAnsi="Arial" w:cs="Arial"/>
          <w:sz w:val="22"/>
          <w:szCs w:val="22"/>
        </w:rPr>
      </w:pPr>
      <w:r w:rsidRPr="00601867">
        <w:rPr>
          <w:rFonts w:ascii="Arial" w:hAnsi="Arial" w:cs="Arial"/>
          <w:sz w:val="22"/>
          <w:szCs w:val="22"/>
        </w:rPr>
        <w:t>Finally, staff boost perceived behavioural control by providing individual assistance in her initial session and making sure to cater activities to her mobility level. Socially supportive environments have been demonstrated to enhance engagement and participation (Zappa, Slater and Rodriguez-Fornells, 2025). After a few sessions Mrs Patel says her mood is improved and starts to attend independently.</w:t>
      </w:r>
    </w:p>
    <w:p w14:paraId="19C58134" w14:textId="46EDBE70" w:rsidR="0011534B" w:rsidRPr="00601867" w:rsidRDefault="0011534B" w:rsidP="00704C97">
      <w:pPr>
        <w:rPr>
          <w:rFonts w:ascii="Arial" w:hAnsi="Arial" w:cs="Arial"/>
          <w:b/>
          <w:bCs/>
          <w:sz w:val="22"/>
          <w:szCs w:val="22"/>
        </w:rPr>
      </w:pPr>
      <w:r w:rsidRPr="00601867">
        <w:rPr>
          <w:rFonts w:ascii="Arial" w:hAnsi="Arial" w:cs="Arial"/>
          <w:b/>
          <w:bCs/>
          <w:sz w:val="22"/>
          <w:szCs w:val="22"/>
        </w:rPr>
        <w:t>Challenge and Strategy for Implementation</w:t>
      </w:r>
    </w:p>
    <w:p w14:paraId="48450EAC" w14:textId="29AFAE39" w:rsidR="0011534B" w:rsidRPr="00601867" w:rsidRDefault="0011534B" w:rsidP="00704C97">
      <w:pPr>
        <w:rPr>
          <w:rFonts w:ascii="Arial" w:hAnsi="Arial" w:cs="Arial"/>
          <w:sz w:val="22"/>
          <w:szCs w:val="22"/>
        </w:rPr>
      </w:pPr>
      <w:r w:rsidRPr="00601867">
        <w:rPr>
          <w:rFonts w:ascii="Arial" w:hAnsi="Arial" w:cs="Arial"/>
          <w:sz w:val="22"/>
          <w:szCs w:val="22"/>
        </w:rPr>
        <w:t xml:space="preserve">A crucial challenge when trying to implement TPB in residential care involves resistance brought along by low self-confidence, or long-standing beliefs. Some residents may be afraid </w:t>
      </w:r>
      <w:r w:rsidRPr="00601867">
        <w:rPr>
          <w:rFonts w:ascii="Arial" w:hAnsi="Arial" w:cs="Arial"/>
          <w:sz w:val="22"/>
          <w:szCs w:val="22"/>
        </w:rPr>
        <w:lastRenderedPageBreak/>
        <w:t>of embarrassment, of failure or social judgement. Just giving information may not be enough to alter deeply held attitudes.</w:t>
      </w:r>
    </w:p>
    <w:p w14:paraId="60B43135" w14:textId="3B5FC202" w:rsidR="0011534B" w:rsidRPr="00601867" w:rsidRDefault="0011534B" w:rsidP="00704C97">
      <w:pPr>
        <w:rPr>
          <w:rFonts w:ascii="Arial" w:hAnsi="Arial" w:cs="Arial"/>
          <w:sz w:val="22"/>
          <w:szCs w:val="22"/>
        </w:rPr>
      </w:pPr>
      <w:r w:rsidRPr="00601867">
        <w:rPr>
          <w:rFonts w:ascii="Arial" w:hAnsi="Arial" w:cs="Arial"/>
          <w:sz w:val="22"/>
          <w:szCs w:val="22"/>
        </w:rPr>
        <w:t xml:space="preserve">To get over this it is important for professionals to take a person-centred approach to motivation. Building trust is vital as trust is a strong predictor of behavioural intention for older people (Lee, Huang and Hsu, 2025). Staff should participate in empathic conversations, investigate individual values and set small goals together. Attitudes can over time be changed with repeated positive social interaction and confidence built up (Muhinyi, Stewart and Rowland, 2025). </w:t>
      </w:r>
    </w:p>
    <w:p w14:paraId="114A0A23" w14:textId="1831CDA6" w:rsidR="0011534B" w:rsidRPr="00601867" w:rsidRDefault="0011534B" w:rsidP="00704C97">
      <w:pPr>
        <w:rPr>
          <w:rFonts w:ascii="Arial" w:hAnsi="Arial" w:cs="Arial"/>
          <w:b/>
          <w:bCs/>
          <w:sz w:val="22"/>
          <w:szCs w:val="22"/>
        </w:rPr>
      </w:pPr>
      <w:r w:rsidRPr="00601867">
        <w:rPr>
          <w:rFonts w:ascii="Arial" w:hAnsi="Arial" w:cs="Arial"/>
          <w:b/>
          <w:bCs/>
          <w:sz w:val="22"/>
          <w:szCs w:val="22"/>
        </w:rPr>
        <w:t>Conclusion</w:t>
      </w:r>
    </w:p>
    <w:p w14:paraId="0E073D0F" w14:textId="5B4F4885" w:rsidR="00117C60" w:rsidRDefault="0011534B" w:rsidP="00704C97">
      <w:pPr>
        <w:rPr>
          <w:rFonts w:ascii="Arial" w:hAnsi="Arial" w:cs="Arial"/>
          <w:sz w:val="22"/>
          <w:szCs w:val="22"/>
        </w:rPr>
      </w:pPr>
      <w:r w:rsidRPr="00601867">
        <w:rPr>
          <w:rFonts w:ascii="Arial" w:hAnsi="Arial" w:cs="Arial"/>
          <w:sz w:val="22"/>
          <w:szCs w:val="22"/>
        </w:rPr>
        <w:t>The Theory of Planned Behaviour offers a practical framework for maximizing psychological wellbeing for older people living in residential care. Through work on the attitudes, social influence and perceived ability, professionals can encourage meaningful participation in activities that lead to improved mental health. Through structured person-centred implementation and supportive interaction, this approach encourages confidence, engagement and overall wellbeing between residents.</w:t>
      </w:r>
    </w:p>
    <w:p w14:paraId="0B9DF64E" w14:textId="77777777" w:rsidR="00117C60" w:rsidRDefault="00117C60">
      <w:pPr>
        <w:spacing w:line="259" w:lineRule="auto"/>
        <w:jc w:val="left"/>
        <w:rPr>
          <w:rFonts w:ascii="Arial" w:hAnsi="Arial" w:cs="Arial"/>
          <w:sz w:val="22"/>
          <w:szCs w:val="22"/>
        </w:rPr>
      </w:pPr>
      <w:r>
        <w:rPr>
          <w:rFonts w:ascii="Arial" w:hAnsi="Arial" w:cs="Arial"/>
          <w:sz w:val="22"/>
          <w:szCs w:val="22"/>
        </w:rPr>
        <w:br w:type="page"/>
      </w:r>
    </w:p>
    <w:p w14:paraId="481E9793" w14:textId="759546EC" w:rsidR="00117C60" w:rsidRPr="00117C60" w:rsidRDefault="00117C60" w:rsidP="00117C60">
      <w:pPr>
        <w:rPr>
          <w:rFonts w:ascii="Arial" w:hAnsi="Arial" w:cs="Arial"/>
          <w:b/>
          <w:bCs/>
          <w:sz w:val="22"/>
          <w:szCs w:val="22"/>
        </w:rPr>
      </w:pPr>
      <w:r>
        <w:rPr>
          <w:rFonts w:ascii="Arial" w:hAnsi="Arial" w:cs="Arial"/>
          <w:b/>
          <w:bCs/>
          <w:sz w:val="22"/>
          <w:szCs w:val="22"/>
        </w:rPr>
        <w:lastRenderedPageBreak/>
        <w:t xml:space="preserve">References </w:t>
      </w:r>
    </w:p>
    <w:p w14:paraId="58A9BE7D" w14:textId="77777777" w:rsidR="00117C60" w:rsidRPr="00117C60" w:rsidRDefault="00117C60" w:rsidP="00117C60">
      <w:pPr>
        <w:numPr>
          <w:ilvl w:val="0"/>
          <w:numId w:val="2"/>
        </w:numPr>
        <w:rPr>
          <w:rFonts w:ascii="Arial" w:hAnsi="Arial" w:cs="Arial"/>
          <w:sz w:val="22"/>
          <w:szCs w:val="22"/>
        </w:rPr>
      </w:pPr>
      <w:r w:rsidRPr="00117C60">
        <w:rPr>
          <w:rFonts w:ascii="Arial" w:hAnsi="Arial" w:cs="Arial"/>
          <w:sz w:val="22"/>
          <w:szCs w:val="22"/>
        </w:rPr>
        <w:t>Lee, P.C., Huang, C.Y. and Hsu, M.J., 2025. Healthcare-seeking intentions of middle-aged and elderly individuals with critical diseases: an expanded TPB model in the post-pandemic era. </w:t>
      </w:r>
      <w:r w:rsidRPr="00117C60">
        <w:rPr>
          <w:rFonts w:ascii="Arial" w:hAnsi="Arial" w:cs="Arial"/>
          <w:i/>
          <w:iCs/>
          <w:sz w:val="22"/>
          <w:szCs w:val="22"/>
        </w:rPr>
        <w:t>Scientific Reports</w:t>
      </w:r>
      <w:r w:rsidRPr="00117C60">
        <w:rPr>
          <w:rFonts w:ascii="Arial" w:hAnsi="Arial" w:cs="Arial"/>
          <w:sz w:val="22"/>
          <w:szCs w:val="22"/>
        </w:rPr>
        <w:t>, </w:t>
      </w:r>
      <w:r w:rsidRPr="00117C60">
        <w:rPr>
          <w:rFonts w:ascii="Arial" w:hAnsi="Arial" w:cs="Arial"/>
          <w:i/>
          <w:iCs/>
          <w:sz w:val="22"/>
          <w:szCs w:val="22"/>
        </w:rPr>
        <w:t>15</w:t>
      </w:r>
      <w:r w:rsidRPr="00117C60">
        <w:rPr>
          <w:rFonts w:ascii="Arial" w:hAnsi="Arial" w:cs="Arial"/>
          <w:sz w:val="22"/>
          <w:szCs w:val="22"/>
        </w:rPr>
        <w:t xml:space="preserve">(1), p.28996. </w:t>
      </w:r>
      <w:hyperlink r:id="rId7" w:history="1">
        <w:r w:rsidRPr="00117C60">
          <w:rPr>
            <w:rStyle w:val="Hyperlink"/>
            <w:rFonts w:ascii="Arial" w:hAnsi="Arial" w:cs="Arial"/>
            <w:sz w:val="22"/>
            <w:szCs w:val="22"/>
          </w:rPr>
          <w:t>https://www.nature.com/articles/s41598-025-12860-4.pdf</w:t>
        </w:r>
      </w:hyperlink>
      <w:r w:rsidRPr="00117C60">
        <w:rPr>
          <w:rFonts w:ascii="Arial" w:hAnsi="Arial" w:cs="Arial"/>
          <w:sz w:val="22"/>
          <w:szCs w:val="22"/>
        </w:rPr>
        <w:t xml:space="preserve"> </w:t>
      </w:r>
    </w:p>
    <w:p w14:paraId="02FDA452" w14:textId="77777777" w:rsidR="00117C60" w:rsidRPr="00117C60" w:rsidRDefault="00117C60" w:rsidP="00117C60">
      <w:pPr>
        <w:numPr>
          <w:ilvl w:val="0"/>
          <w:numId w:val="1"/>
        </w:numPr>
        <w:rPr>
          <w:rFonts w:ascii="Arial" w:hAnsi="Arial" w:cs="Arial"/>
          <w:sz w:val="22"/>
          <w:szCs w:val="22"/>
        </w:rPr>
      </w:pPr>
      <w:r w:rsidRPr="00117C60">
        <w:rPr>
          <w:rFonts w:ascii="Arial" w:hAnsi="Arial" w:cs="Arial"/>
          <w:sz w:val="22"/>
          <w:szCs w:val="22"/>
        </w:rPr>
        <w:t>Muhinyi, A., Stewart, A.J. and Rowland, C.F., 2025. Encouraging use of complex language in preschoolers: a classroom-based storybook intervention study. </w:t>
      </w:r>
      <w:r w:rsidRPr="00117C60">
        <w:rPr>
          <w:rFonts w:ascii="Arial" w:hAnsi="Arial" w:cs="Arial"/>
          <w:i/>
          <w:iCs/>
          <w:sz w:val="22"/>
          <w:szCs w:val="22"/>
        </w:rPr>
        <w:t>Language Learning and Development</w:t>
      </w:r>
      <w:r w:rsidRPr="00117C60">
        <w:rPr>
          <w:rFonts w:ascii="Arial" w:hAnsi="Arial" w:cs="Arial"/>
          <w:sz w:val="22"/>
          <w:szCs w:val="22"/>
        </w:rPr>
        <w:t>, </w:t>
      </w:r>
      <w:r w:rsidRPr="00117C60">
        <w:rPr>
          <w:rFonts w:ascii="Arial" w:hAnsi="Arial" w:cs="Arial"/>
          <w:i/>
          <w:iCs/>
          <w:sz w:val="22"/>
          <w:szCs w:val="22"/>
        </w:rPr>
        <w:t>21</w:t>
      </w:r>
      <w:r w:rsidRPr="00117C60">
        <w:rPr>
          <w:rFonts w:ascii="Arial" w:hAnsi="Arial" w:cs="Arial"/>
          <w:sz w:val="22"/>
          <w:szCs w:val="22"/>
        </w:rPr>
        <w:t xml:space="preserve">(4), pp.399-417. </w:t>
      </w:r>
      <w:hyperlink r:id="rId8" w:history="1">
        <w:r w:rsidRPr="00117C60">
          <w:rPr>
            <w:rStyle w:val="Hyperlink"/>
            <w:rFonts w:ascii="Arial" w:hAnsi="Arial" w:cs="Arial"/>
            <w:sz w:val="22"/>
            <w:szCs w:val="22"/>
          </w:rPr>
          <w:t>https://www.tandfonline.com/doi/pdf/10.1080/15475441.2024.2443447</w:t>
        </w:r>
      </w:hyperlink>
      <w:r w:rsidRPr="00117C60">
        <w:rPr>
          <w:rFonts w:ascii="Arial" w:hAnsi="Arial" w:cs="Arial"/>
          <w:sz w:val="22"/>
          <w:szCs w:val="22"/>
        </w:rPr>
        <w:t xml:space="preserve"> </w:t>
      </w:r>
    </w:p>
    <w:p w14:paraId="57958846" w14:textId="77777777" w:rsidR="00117C60" w:rsidRPr="00117C60" w:rsidRDefault="00117C60" w:rsidP="00117C60">
      <w:pPr>
        <w:numPr>
          <w:ilvl w:val="0"/>
          <w:numId w:val="2"/>
        </w:numPr>
        <w:rPr>
          <w:rFonts w:ascii="Arial" w:hAnsi="Arial" w:cs="Arial"/>
          <w:sz w:val="22"/>
          <w:szCs w:val="22"/>
        </w:rPr>
      </w:pPr>
      <w:r w:rsidRPr="00117C60">
        <w:rPr>
          <w:rFonts w:ascii="Arial" w:hAnsi="Arial" w:cs="Arial"/>
          <w:sz w:val="22"/>
          <w:szCs w:val="22"/>
        </w:rPr>
        <w:t>Rakhshani, T., Bushehri, S.A., Daneshmandi, H., Kashfi, S.M., Kamyab, A. and Jeihooni, A.K., 2025. Application of the theory of planned behavior in self-care behaviors of knee osteoarthritis in the rural older people. </w:t>
      </w:r>
      <w:r w:rsidRPr="00117C60">
        <w:rPr>
          <w:rFonts w:ascii="Arial" w:hAnsi="Arial" w:cs="Arial"/>
          <w:i/>
          <w:iCs/>
          <w:sz w:val="22"/>
          <w:szCs w:val="22"/>
        </w:rPr>
        <w:t>BMC geriatrics</w:t>
      </w:r>
      <w:r w:rsidRPr="00117C60">
        <w:rPr>
          <w:rFonts w:ascii="Arial" w:hAnsi="Arial" w:cs="Arial"/>
          <w:sz w:val="22"/>
          <w:szCs w:val="22"/>
        </w:rPr>
        <w:t>, </w:t>
      </w:r>
      <w:r w:rsidRPr="00117C60">
        <w:rPr>
          <w:rFonts w:ascii="Arial" w:hAnsi="Arial" w:cs="Arial"/>
          <w:i/>
          <w:iCs/>
          <w:sz w:val="22"/>
          <w:szCs w:val="22"/>
        </w:rPr>
        <w:t>25</w:t>
      </w:r>
      <w:r w:rsidRPr="00117C60">
        <w:rPr>
          <w:rFonts w:ascii="Arial" w:hAnsi="Arial" w:cs="Arial"/>
          <w:sz w:val="22"/>
          <w:szCs w:val="22"/>
        </w:rPr>
        <w:t xml:space="preserve">(1), p.932. </w:t>
      </w:r>
      <w:hyperlink r:id="rId9" w:history="1">
        <w:r w:rsidRPr="00117C60">
          <w:rPr>
            <w:rStyle w:val="Hyperlink"/>
            <w:rFonts w:ascii="Arial" w:hAnsi="Arial" w:cs="Arial"/>
            <w:sz w:val="22"/>
            <w:szCs w:val="22"/>
          </w:rPr>
          <w:t>https://link.springer.com/content/pdf/10.1186/s12877-025-06616-y.pdf</w:t>
        </w:r>
      </w:hyperlink>
      <w:r w:rsidRPr="00117C60">
        <w:rPr>
          <w:rFonts w:ascii="Arial" w:hAnsi="Arial" w:cs="Arial"/>
          <w:sz w:val="22"/>
          <w:szCs w:val="22"/>
        </w:rPr>
        <w:t xml:space="preserve"> </w:t>
      </w:r>
    </w:p>
    <w:p w14:paraId="1E99BEE6" w14:textId="77777777" w:rsidR="00117C60" w:rsidRPr="00117C60" w:rsidRDefault="00117C60" w:rsidP="00117C60">
      <w:pPr>
        <w:numPr>
          <w:ilvl w:val="0"/>
          <w:numId w:val="1"/>
        </w:numPr>
        <w:rPr>
          <w:rFonts w:ascii="Arial" w:hAnsi="Arial" w:cs="Arial"/>
          <w:sz w:val="22"/>
          <w:szCs w:val="22"/>
        </w:rPr>
      </w:pPr>
      <w:r w:rsidRPr="00117C60">
        <w:rPr>
          <w:rFonts w:ascii="Arial" w:hAnsi="Arial" w:cs="Arial"/>
          <w:sz w:val="22"/>
          <w:szCs w:val="22"/>
        </w:rPr>
        <w:t>Zappa, A., Slater, M. and Rodriguez-Fornells, A., 2025. Social interaction shapes and boosts second language learning: virtual reality can show us how. </w:t>
      </w:r>
      <w:r w:rsidRPr="00117C60">
        <w:rPr>
          <w:rFonts w:ascii="Arial" w:hAnsi="Arial" w:cs="Arial"/>
          <w:i/>
          <w:iCs/>
          <w:sz w:val="22"/>
          <w:szCs w:val="22"/>
        </w:rPr>
        <w:t>npj Science of Learning</w:t>
      </w:r>
      <w:r w:rsidRPr="00117C60">
        <w:rPr>
          <w:rFonts w:ascii="Arial" w:hAnsi="Arial" w:cs="Arial"/>
          <w:sz w:val="22"/>
          <w:szCs w:val="22"/>
        </w:rPr>
        <w:t>, </w:t>
      </w:r>
      <w:r w:rsidRPr="00117C60">
        <w:rPr>
          <w:rFonts w:ascii="Arial" w:hAnsi="Arial" w:cs="Arial"/>
          <w:i/>
          <w:iCs/>
          <w:sz w:val="22"/>
          <w:szCs w:val="22"/>
        </w:rPr>
        <w:t>10</w:t>
      </w:r>
      <w:r w:rsidRPr="00117C60">
        <w:rPr>
          <w:rFonts w:ascii="Arial" w:hAnsi="Arial" w:cs="Arial"/>
          <w:sz w:val="22"/>
          <w:szCs w:val="22"/>
        </w:rPr>
        <w:t xml:space="preserve">(1), p.90. </w:t>
      </w:r>
      <w:hyperlink r:id="rId10" w:history="1">
        <w:r w:rsidRPr="00117C60">
          <w:rPr>
            <w:rStyle w:val="Hyperlink"/>
            <w:rFonts w:ascii="Arial" w:hAnsi="Arial" w:cs="Arial"/>
            <w:sz w:val="22"/>
            <w:szCs w:val="22"/>
          </w:rPr>
          <w:t>https://www.nature.com/articles/s41539-025-00381-8.pdf</w:t>
        </w:r>
      </w:hyperlink>
      <w:r w:rsidRPr="00117C60">
        <w:rPr>
          <w:rFonts w:ascii="Arial" w:hAnsi="Arial" w:cs="Arial"/>
          <w:sz w:val="22"/>
          <w:szCs w:val="22"/>
        </w:rPr>
        <w:t xml:space="preserve"> </w:t>
      </w:r>
    </w:p>
    <w:p w14:paraId="08DB00D5" w14:textId="77777777" w:rsidR="00117C60" w:rsidRPr="00117C60" w:rsidRDefault="00117C60" w:rsidP="00117C60">
      <w:pPr>
        <w:rPr>
          <w:rFonts w:ascii="Arial" w:hAnsi="Arial" w:cs="Arial"/>
          <w:b/>
          <w:bCs/>
          <w:sz w:val="22"/>
          <w:szCs w:val="22"/>
        </w:rPr>
      </w:pPr>
    </w:p>
    <w:p w14:paraId="4658E4D3" w14:textId="77777777" w:rsidR="0011534B" w:rsidRPr="00601867" w:rsidRDefault="0011534B" w:rsidP="00704C97">
      <w:pPr>
        <w:rPr>
          <w:rFonts w:ascii="Arial" w:hAnsi="Arial" w:cs="Arial"/>
          <w:sz w:val="22"/>
          <w:szCs w:val="22"/>
        </w:rPr>
      </w:pPr>
    </w:p>
    <w:sectPr w:rsidR="0011534B" w:rsidRPr="00601867" w:rsidSect="00704C97">
      <w:footerReference w:type="default" r:id="rId11"/>
      <w:footerReference w:type="first" r:id="rId12"/>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945AA" w14:textId="77777777" w:rsidR="00E859C1" w:rsidRDefault="00E859C1" w:rsidP="00704C97">
      <w:pPr>
        <w:spacing w:after="0" w:line="240" w:lineRule="auto"/>
      </w:pPr>
      <w:r>
        <w:separator/>
      </w:r>
    </w:p>
  </w:endnote>
  <w:endnote w:type="continuationSeparator" w:id="0">
    <w:p w14:paraId="3750AC8C" w14:textId="77777777" w:rsidR="00E859C1" w:rsidRDefault="00E859C1" w:rsidP="00704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4734120"/>
      <w:docPartObj>
        <w:docPartGallery w:val="Page Numbers (Bottom of Page)"/>
        <w:docPartUnique/>
      </w:docPartObj>
    </w:sdtPr>
    <w:sdtEndPr>
      <w:rPr>
        <w:noProof/>
      </w:rPr>
    </w:sdtEndPr>
    <w:sdtContent>
      <w:p w14:paraId="15362E72" w14:textId="5ADD3ABD" w:rsidR="00704C97" w:rsidRDefault="00704C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1A25DB" w14:textId="77777777" w:rsidR="00704C97" w:rsidRDefault="00704C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864937"/>
      <w:docPartObj>
        <w:docPartGallery w:val="Page Numbers (Bottom of Page)"/>
        <w:docPartUnique/>
      </w:docPartObj>
    </w:sdtPr>
    <w:sdtEndPr>
      <w:rPr>
        <w:noProof/>
      </w:rPr>
    </w:sdtEndPr>
    <w:sdtContent>
      <w:p w14:paraId="2AFF8426" w14:textId="13B398D5" w:rsidR="00704C97" w:rsidRDefault="00704C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9C6C9D" w14:textId="77777777" w:rsidR="00704C97" w:rsidRDefault="00704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B9F7B" w14:textId="77777777" w:rsidR="00E859C1" w:rsidRDefault="00E859C1" w:rsidP="00704C97">
      <w:pPr>
        <w:spacing w:after="0" w:line="240" w:lineRule="auto"/>
      </w:pPr>
      <w:r>
        <w:separator/>
      </w:r>
    </w:p>
  </w:footnote>
  <w:footnote w:type="continuationSeparator" w:id="0">
    <w:p w14:paraId="7F507986" w14:textId="77777777" w:rsidR="00E859C1" w:rsidRDefault="00E859C1" w:rsidP="00704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02BF8"/>
    <w:multiLevelType w:val="hybridMultilevel"/>
    <w:tmpl w:val="EECEE45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4B245BCB"/>
    <w:multiLevelType w:val="hybridMultilevel"/>
    <w:tmpl w:val="6338DEC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312756002">
    <w:abstractNumId w:val="1"/>
  </w:num>
  <w:num w:numId="2" w16cid:durableId="1677727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842"/>
    <w:rsid w:val="00035C83"/>
    <w:rsid w:val="0011534B"/>
    <w:rsid w:val="00117C60"/>
    <w:rsid w:val="0013058F"/>
    <w:rsid w:val="0015001F"/>
    <w:rsid w:val="0016167C"/>
    <w:rsid w:val="00163204"/>
    <w:rsid w:val="00355D03"/>
    <w:rsid w:val="004A3684"/>
    <w:rsid w:val="004B0124"/>
    <w:rsid w:val="004F75B0"/>
    <w:rsid w:val="005C7842"/>
    <w:rsid w:val="005D1EBB"/>
    <w:rsid w:val="00601867"/>
    <w:rsid w:val="00654723"/>
    <w:rsid w:val="00704C97"/>
    <w:rsid w:val="00762BE2"/>
    <w:rsid w:val="008D7A45"/>
    <w:rsid w:val="008E51BB"/>
    <w:rsid w:val="009B428C"/>
    <w:rsid w:val="009D0641"/>
    <w:rsid w:val="00A51E52"/>
    <w:rsid w:val="00AA4897"/>
    <w:rsid w:val="00B13910"/>
    <w:rsid w:val="00CB591F"/>
    <w:rsid w:val="00D608F2"/>
    <w:rsid w:val="00DD0F22"/>
    <w:rsid w:val="00DF4207"/>
    <w:rsid w:val="00E72484"/>
    <w:rsid w:val="00E859C1"/>
    <w:rsid w:val="00EE58E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D9BEF"/>
  <w15:chartTrackingRefBased/>
  <w15:docId w15:val="{B0C3A658-9404-41D8-BF4A-969F2C08A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D0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D608F2"/>
    <w:pPr>
      <w:keepNext/>
      <w:keepLines/>
      <w:spacing w:before="360" w:after="80"/>
      <w:jc w:val="left"/>
      <w:outlineLvl w:val="0"/>
    </w:pPr>
    <w:rPr>
      <w:rFonts w:eastAsiaTheme="majorEastAsia" w:cstheme="majorBidi"/>
      <w:b/>
      <w:sz w:val="28"/>
      <w:szCs w:val="50"/>
    </w:rPr>
  </w:style>
  <w:style w:type="paragraph" w:styleId="Heading2">
    <w:name w:val="heading 2"/>
    <w:basedOn w:val="Normal"/>
    <w:next w:val="Normal"/>
    <w:link w:val="Heading2Char"/>
    <w:autoRedefine/>
    <w:uiPriority w:val="9"/>
    <w:semiHidden/>
    <w:unhideWhenUsed/>
    <w:qFormat/>
    <w:rsid w:val="00355D03"/>
    <w:pPr>
      <w:keepNext/>
      <w:keepLines/>
      <w:spacing w:before="160" w:after="80"/>
      <w:jc w:val="left"/>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5C7842"/>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5C784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C784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C784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C784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C784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C784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8F2"/>
    <w:rPr>
      <w:rFonts w:ascii="Times New Roman" w:eastAsiaTheme="majorEastAsia" w:hAnsi="Times New Roman" w:cstheme="majorBidi"/>
      <w:b/>
      <w:color w:val="000000" w:themeColor="text1"/>
      <w:sz w:val="28"/>
      <w:szCs w:val="50"/>
    </w:rPr>
  </w:style>
  <w:style w:type="character" w:customStyle="1" w:styleId="Heading2Char">
    <w:name w:val="Heading 2 Char"/>
    <w:basedOn w:val="DefaultParagraphFont"/>
    <w:link w:val="Heading2"/>
    <w:uiPriority w:val="9"/>
    <w:semiHidden/>
    <w:rsid w:val="00355D03"/>
    <w:rPr>
      <w:rFonts w:ascii="Times New Roman" w:eastAsiaTheme="majorEastAsia" w:hAnsi="Times New Roman" w:cstheme="majorBidi"/>
      <w:b/>
      <w:color w:val="000000" w:themeColor="text1"/>
      <w:sz w:val="24"/>
      <w:szCs w:val="40"/>
    </w:rPr>
  </w:style>
  <w:style w:type="character" w:customStyle="1" w:styleId="Heading3Char">
    <w:name w:val="Heading 3 Char"/>
    <w:basedOn w:val="DefaultParagraphFont"/>
    <w:link w:val="Heading3"/>
    <w:uiPriority w:val="9"/>
    <w:semiHidden/>
    <w:rsid w:val="005C7842"/>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5C7842"/>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5C784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C784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C784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C784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C784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C7842"/>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5C7842"/>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C7842"/>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C7842"/>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C7842"/>
    <w:pPr>
      <w:spacing w:before="160"/>
      <w:jc w:val="center"/>
    </w:pPr>
    <w:rPr>
      <w:i/>
      <w:iCs/>
      <w:color w:val="404040" w:themeColor="text1" w:themeTint="BF"/>
    </w:rPr>
  </w:style>
  <w:style w:type="character" w:customStyle="1" w:styleId="QuoteChar">
    <w:name w:val="Quote Char"/>
    <w:basedOn w:val="DefaultParagraphFont"/>
    <w:link w:val="Quote"/>
    <w:uiPriority w:val="29"/>
    <w:rsid w:val="005C7842"/>
    <w:rPr>
      <w:rFonts w:ascii="Times New Roman" w:hAnsi="Times New Roman"/>
      <w:i/>
      <w:iCs/>
      <w:color w:val="404040" w:themeColor="text1" w:themeTint="BF"/>
      <w:sz w:val="24"/>
    </w:rPr>
  </w:style>
  <w:style w:type="paragraph" w:styleId="ListParagraph">
    <w:name w:val="List Paragraph"/>
    <w:basedOn w:val="Normal"/>
    <w:uiPriority w:val="34"/>
    <w:qFormat/>
    <w:rsid w:val="005C7842"/>
    <w:pPr>
      <w:ind w:left="720"/>
      <w:contextualSpacing/>
    </w:pPr>
  </w:style>
  <w:style w:type="character" w:styleId="IntenseEmphasis">
    <w:name w:val="Intense Emphasis"/>
    <w:basedOn w:val="DefaultParagraphFont"/>
    <w:uiPriority w:val="21"/>
    <w:qFormat/>
    <w:rsid w:val="005C7842"/>
    <w:rPr>
      <w:i/>
      <w:iCs/>
      <w:color w:val="2F5496" w:themeColor="accent1" w:themeShade="BF"/>
    </w:rPr>
  </w:style>
  <w:style w:type="paragraph" w:styleId="IntenseQuote">
    <w:name w:val="Intense Quote"/>
    <w:basedOn w:val="Normal"/>
    <w:next w:val="Normal"/>
    <w:link w:val="IntenseQuoteChar"/>
    <w:uiPriority w:val="30"/>
    <w:qFormat/>
    <w:rsid w:val="005C78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784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C7842"/>
    <w:rPr>
      <w:b/>
      <w:bCs/>
      <w:smallCaps/>
      <w:color w:val="2F5496" w:themeColor="accent1" w:themeShade="BF"/>
      <w:spacing w:val="5"/>
    </w:rPr>
  </w:style>
  <w:style w:type="paragraph" w:styleId="Header">
    <w:name w:val="header"/>
    <w:basedOn w:val="Normal"/>
    <w:link w:val="HeaderChar"/>
    <w:uiPriority w:val="99"/>
    <w:unhideWhenUsed/>
    <w:rsid w:val="00704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C97"/>
    <w:rPr>
      <w:rFonts w:ascii="Times New Roman" w:hAnsi="Times New Roman"/>
      <w:color w:val="000000" w:themeColor="text1"/>
      <w:sz w:val="24"/>
    </w:rPr>
  </w:style>
  <w:style w:type="paragraph" w:styleId="Footer">
    <w:name w:val="footer"/>
    <w:basedOn w:val="Normal"/>
    <w:link w:val="FooterChar"/>
    <w:uiPriority w:val="99"/>
    <w:unhideWhenUsed/>
    <w:rsid w:val="00704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C97"/>
    <w:rPr>
      <w:rFonts w:ascii="Times New Roman" w:hAnsi="Times New Roman"/>
      <w:color w:val="000000" w:themeColor="text1"/>
      <w:sz w:val="24"/>
    </w:rPr>
  </w:style>
  <w:style w:type="character" w:styleId="Hyperlink">
    <w:name w:val="Hyperlink"/>
    <w:basedOn w:val="DefaultParagraphFont"/>
    <w:uiPriority w:val="99"/>
    <w:unhideWhenUsed/>
    <w:rsid w:val="00117C60"/>
    <w:rPr>
      <w:color w:val="0563C1" w:themeColor="hyperlink"/>
      <w:u w:val="single"/>
    </w:rPr>
  </w:style>
  <w:style w:type="character" w:styleId="UnresolvedMention">
    <w:name w:val="Unresolved Mention"/>
    <w:basedOn w:val="DefaultParagraphFont"/>
    <w:uiPriority w:val="99"/>
    <w:semiHidden/>
    <w:unhideWhenUsed/>
    <w:rsid w:val="00117C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15475441.2024.244344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ature.com/articles/s41598-025-12860-4.pdf"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ature.com/articles/s41539-025-00381-8.pdf" TargetMode="External"/><Relationship Id="rId4" Type="http://schemas.openxmlformats.org/officeDocument/2006/relationships/webSettings" Target="webSettings.xml"/><Relationship Id="rId9" Type="http://schemas.openxmlformats.org/officeDocument/2006/relationships/hyperlink" Target="https://link.springer.com/content/pdf/10.1186/s12877-025-06616-y.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7</Pages>
  <Words>1789</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Saroni Saha</dc:creator>
  <cp:keywords/>
  <dc:description/>
  <cp:lastModifiedBy>Maryam Waseem (2433389)</cp:lastModifiedBy>
  <cp:revision>14</cp:revision>
  <dcterms:created xsi:type="dcterms:W3CDTF">2026-03-03T15:22:00Z</dcterms:created>
  <dcterms:modified xsi:type="dcterms:W3CDTF">2026-03-16T16:15:00Z</dcterms:modified>
</cp:coreProperties>
</file>