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5B9BE" w14:textId="1BC9ACE7" w:rsidR="00CD708D" w:rsidRDefault="00CD708D" w:rsidP="00FA3FE7">
      <w:pPr>
        <w:spacing w:after="0" w:line="480" w:lineRule="auto"/>
        <w:rPr>
          <w:rFonts w:ascii="Times New Roman" w:hAnsi="Times New Roman" w:cs="Times New Roman"/>
          <w:sz w:val="24"/>
          <w:szCs w:val="24"/>
        </w:rPr>
      </w:pPr>
      <w:r>
        <w:rPr>
          <w:rFonts w:ascii="Times New Roman" w:hAnsi="Times New Roman" w:cs="Times New Roman"/>
          <w:sz w:val="24"/>
          <w:szCs w:val="24"/>
        </w:rPr>
        <w:t>Roxana-Maria Burlacu (2014302)</w:t>
      </w:r>
    </w:p>
    <w:p w14:paraId="70F66460" w14:textId="77777777" w:rsidR="00CD708D" w:rsidRDefault="00CD708D" w:rsidP="00FA3FE7">
      <w:pPr>
        <w:spacing w:after="0" w:line="480" w:lineRule="auto"/>
        <w:rPr>
          <w:rFonts w:ascii="Times New Roman" w:hAnsi="Times New Roman" w:cs="Times New Roman"/>
          <w:sz w:val="24"/>
          <w:szCs w:val="24"/>
        </w:rPr>
      </w:pPr>
    </w:p>
    <w:p w14:paraId="63537940" w14:textId="6734D5AE"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Date:       July 2021</w:t>
      </w:r>
    </w:p>
    <w:p w14:paraId="145F742E"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Client:     John Wells (Cosmetic Transformations)</w:t>
      </w:r>
    </w:p>
    <w:p w14:paraId="2CF8B9B7"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 xml:space="preserve">Matter:    Partnership Liability on Outstanding Account                                                                                                                    </w:t>
      </w:r>
    </w:p>
    <w:p w14:paraId="5CF97360" w14:textId="77777777" w:rsidR="00FA3FE7" w:rsidRPr="00FA3FE7" w:rsidRDefault="00FA3FE7" w:rsidP="00FA3FE7">
      <w:pPr>
        <w:numPr>
          <w:ilvl w:val="0"/>
          <w:numId w:val="1"/>
        </w:numPr>
        <w:spacing w:after="0" w:line="480" w:lineRule="auto"/>
        <w:rPr>
          <w:rFonts w:ascii="Times New Roman" w:hAnsi="Times New Roman" w:cs="Times New Roman"/>
          <w:b/>
          <w:sz w:val="24"/>
          <w:szCs w:val="24"/>
        </w:rPr>
      </w:pPr>
      <w:r w:rsidRPr="00FA3FE7">
        <w:rPr>
          <w:rFonts w:ascii="Times New Roman" w:hAnsi="Times New Roman" w:cs="Times New Roman"/>
          <w:b/>
          <w:sz w:val="24"/>
          <w:szCs w:val="24"/>
        </w:rPr>
        <w:t>Liability, of the partnership, Cosmetic Transformations, in respect of the outstanding account.</w:t>
      </w:r>
    </w:p>
    <w:p w14:paraId="68CC182B" w14:textId="77777777" w:rsidR="00FA3FE7" w:rsidRPr="00FA3FE7" w:rsidRDefault="00FA3FE7" w:rsidP="00FA3FE7">
      <w:pPr>
        <w:spacing w:after="0" w:line="480" w:lineRule="auto"/>
        <w:rPr>
          <w:rFonts w:ascii="Times New Roman" w:hAnsi="Times New Roman" w:cs="Times New Roman"/>
          <w:b/>
          <w:sz w:val="24"/>
          <w:szCs w:val="24"/>
          <w:u w:val="single"/>
        </w:rPr>
      </w:pPr>
      <w:r w:rsidRPr="00FA3FE7">
        <w:rPr>
          <w:rFonts w:ascii="Times New Roman" w:hAnsi="Times New Roman" w:cs="Times New Roman"/>
          <w:b/>
          <w:sz w:val="24"/>
          <w:szCs w:val="24"/>
          <w:u w:val="single"/>
        </w:rPr>
        <w:t xml:space="preserve">Issue </w:t>
      </w:r>
    </w:p>
    <w:p w14:paraId="78C811D8"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What is the liability of partnership business in contracts entered by partners?</w:t>
      </w:r>
    </w:p>
    <w:p w14:paraId="2E617EB6" w14:textId="77777777" w:rsidR="00FA3FE7" w:rsidRPr="00FA3FE7" w:rsidRDefault="00FA3FE7" w:rsidP="00FA3FE7">
      <w:pPr>
        <w:spacing w:after="0" w:line="480" w:lineRule="auto"/>
        <w:rPr>
          <w:rFonts w:ascii="Times New Roman" w:hAnsi="Times New Roman" w:cs="Times New Roman"/>
          <w:sz w:val="24"/>
          <w:szCs w:val="24"/>
          <w:u w:val="single"/>
        </w:rPr>
      </w:pPr>
      <w:r w:rsidRPr="00FA3FE7">
        <w:rPr>
          <w:rFonts w:ascii="Times New Roman" w:hAnsi="Times New Roman" w:cs="Times New Roman"/>
          <w:sz w:val="24"/>
          <w:szCs w:val="24"/>
          <w:u w:val="single"/>
        </w:rPr>
        <w:t xml:space="preserve">Rules </w:t>
      </w:r>
    </w:p>
    <w:p w14:paraId="6D46CDAD"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Partners are agents of the partnership business. Section 6 of the Partnership Act provides that any act that is executed in the firm name, in relation to the business or with the intention to bind the business by an authorized person is binding towards the partnership and to all partners</w:t>
      </w:r>
    </w:p>
    <w:p w14:paraId="504D6394"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Section 5 of the partnership Act provides that every partner is an agent of the partnership business for the purpose of the partnership business.</w:t>
      </w:r>
      <w:r>
        <w:rPr>
          <w:rFonts w:ascii="Times New Roman" w:hAnsi="Times New Roman" w:cs="Times New Roman"/>
          <w:sz w:val="24"/>
          <w:szCs w:val="24"/>
        </w:rPr>
        <w:t xml:space="preserve"> </w:t>
      </w:r>
      <w:r w:rsidRPr="00FA3FE7">
        <w:rPr>
          <w:rFonts w:ascii="Times New Roman" w:hAnsi="Times New Roman" w:cs="Times New Roman"/>
          <w:sz w:val="24"/>
          <w:szCs w:val="24"/>
        </w:rPr>
        <w:t>Therefore</w:t>
      </w:r>
      <w:r>
        <w:rPr>
          <w:rFonts w:ascii="Times New Roman" w:hAnsi="Times New Roman" w:cs="Times New Roman"/>
          <w:sz w:val="24"/>
          <w:szCs w:val="24"/>
        </w:rPr>
        <w:t>,</w:t>
      </w:r>
      <w:r w:rsidRPr="00FA3FE7">
        <w:rPr>
          <w:rFonts w:ascii="Times New Roman" w:hAnsi="Times New Roman" w:cs="Times New Roman"/>
          <w:sz w:val="24"/>
          <w:szCs w:val="24"/>
        </w:rPr>
        <w:t xml:space="preserve"> the acts of every partner who does any act for carrying on in the usual way business of the kind carried on by the firm bind the firm and his partners. A contract binds the partnership business unless the has the partner acts without  authority from the firm in the particular matter, or  the person with whom he is dealing either knows that he has no authority, or does not know or believe him to be a partner. A partner has an apparent authority when the purpose of the contract entered relate to the business of the partnership</w:t>
      </w:r>
      <w:r>
        <w:rPr>
          <w:rFonts w:ascii="Times New Roman" w:hAnsi="Times New Roman" w:cs="Times New Roman"/>
          <w:sz w:val="24"/>
          <w:szCs w:val="24"/>
        </w:rPr>
        <w:t>.</w:t>
      </w:r>
      <w:r w:rsidRPr="00FA3FE7">
        <w:rPr>
          <w:rFonts w:ascii="Times New Roman" w:hAnsi="Times New Roman" w:cs="Times New Roman"/>
          <w:sz w:val="24"/>
          <w:szCs w:val="24"/>
        </w:rPr>
        <w:t xml:space="preserve"> </w:t>
      </w:r>
      <w:r>
        <w:rPr>
          <w:rFonts w:ascii="Times New Roman" w:hAnsi="Times New Roman" w:cs="Times New Roman"/>
          <w:sz w:val="24"/>
          <w:szCs w:val="24"/>
        </w:rPr>
        <w:t>The c</w:t>
      </w:r>
      <w:r w:rsidRPr="00FA3FE7">
        <w:rPr>
          <w:rFonts w:ascii="Times New Roman" w:hAnsi="Times New Roman" w:cs="Times New Roman"/>
          <w:sz w:val="24"/>
          <w:szCs w:val="24"/>
        </w:rPr>
        <w:t>ontract must be made in usual way and where third party contracting with</w:t>
      </w:r>
      <w:r>
        <w:rPr>
          <w:rFonts w:ascii="Times New Roman" w:hAnsi="Times New Roman" w:cs="Times New Roman"/>
          <w:sz w:val="24"/>
          <w:szCs w:val="24"/>
        </w:rPr>
        <w:t xml:space="preserve"> them</w:t>
      </w:r>
      <w:r w:rsidRPr="00FA3FE7">
        <w:rPr>
          <w:rFonts w:ascii="Times New Roman" w:hAnsi="Times New Roman" w:cs="Times New Roman"/>
          <w:sz w:val="24"/>
          <w:szCs w:val="24"/>
        </w:rPr>
        <w:t xml:space="preserve"> is  not aware of any absence of authority, the contract will be enforced.</w:t>
      </w:r>
    </w:p>
    <w:p w14:paraId="43F1F6D0"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 xml:space="preserve">Application and Conclusion </w:t>
      </w:r>
    </w:p>
    <w:p w14:paraId="34965F6E"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The partnership is liable for order dated 8th July 2020  for £100,000 in respect of a new x-ray as the partners had apparent authority. The order related to the business and  was made in the ordinary course of business.</w:t>
      </w:r>
    </w:p>
    <w:p w14:paraId="07D7DEF3"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(b)</w:t>
      </w:r>
      <w:r w:rsidRPr="00FA3FE7">
        <w:rPr>
          <w:rFonts w:ascii="Times New Roman" w:hAnsi="Times New Roman" w:cs="Times New Roman"/>
          <w:sz w:val="24"/>
          <w:szCs w:val="24"/>
        </w:rPr>
        <w:tab/>
      </w:r>
      <w:r w:rsidRPr="00FA3FE7">
        <w:rPr>
          <w:rFonts w:ascii="Times New Roman" w:hAnsi="Times New Roman" w:cs="Times New Roman"/>
          <w:b/>
          <w:sz w:val="24"/>
          <w:szCs w:val="24"/>
        </w:rPr>
        <w:t>Liability of each of the 4 past and present partners, in respect of the outstanding account?</w:t>
      </w:r>
      <w:r w:rsidRPr="00FA3FE7">
        <w:rPr>
          <w:rFonts w:ascii="Times New Roman" w:hAnsi="Times New Roman" w:cs="Times New Roman"/>
          <w:sz w:val="24"/>
          <w:szCs w:val="24"/>
        </w:rPr>
        <w:t xml:space="preserve">     </w:t>
      </w:r>
    </w:p>
    <w:p w14:paraId="7F90B789" w14:textId="77777777" w:rsidR="00FA3FE7" w:rsidRPr="00FA3FE7" w:rsidRDefault="00FA3FE7" w:rsidP="00FA3FE7">
      <w:pPr>
        <w:spacing w:after="0" w:line="480" w:lineRule="auto"/>
        <w:rPr>
          <w:rFonts w:ascii="Times New Roman" w:hAnsi="Times New Roman" w:cs="Times New Roman"/>
          <w:b/>
          <w:sz w:val="24"/>
          <w:szCs w:val="24"/>
          <w:u w:val="single"/>
        </w:rPr>
      </w:pPr>
      <w:r w:rsidRPr="00FA3FE7">
        <w:rPr>
          <w:rFonts w:ascii="Times New Roman" w:hAnsi="Times New Roman" w:cs="Times New Roman"/>
          <w:b/>
          <w:sz w:val="24"/>
          <w:szCs w:val="24"/>
          <w:u w:val="single"/>
        </w:rPr>
        <w:t xml:space="preserve">Issues </w:t>
      </w:r>
    </w:p>
    <w:p w14:paraId="6DDE09DD"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What is the extent of liability of partners in a partnership business?</w:t>
      </w:r>
    </w:p>
    <w:p w14:paraId="7A2D504D"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What is the liability of deceased partner for the partnership contractual debts?</w:t>
      </w:r>
    </w:p>
    <w:p w14:paraId="376EA544" w14:textId="77777777" w:rsidR="00FA3FE7" w:rsidRPr="00FA3FE7" w:rsidRDefault="00FA3FE7" w:rsidP="00FA3FE7">
      <w:pPr>
        <w:spacing w:after="0" w:line="480" w:lineRule="auto"/>
        <w:rPr>
          <w:rFonts w:ascii="Times New Roman" w:hAnsi="Times New Roman" w:cs="Times New Roman"/>
          <w:b/>
          <w:sz w:val="24"/>
          <w:szCs w:val="24"/>
          <w:u w:val="single"/>
        </w:rPr>
      </w:pPr>
      <w:r w:rsidRPr="00FA3FE7">
        <w:rPr>
          <w:rFonts w:ascii="Times New Roman" w:hAnsi="Times New Roman" w:cs="Times New Roman"/>
          <w:b/>
          <w:sz w:val="24"/>
          <w:szCs w:val="24"/>
          <w:u w:val="single"/>
        </w:rPr>
        <w:t xml:space="preserve">Rules </w:t>
      </w:r>
    </w:p>
    <w:p w14:paraId="2AC6EEF5"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 xml:space="preserve"> Partners are jointly and severally liable for any debts relating to the business as long it is done in the ordinary course of business. Section 9 of the P</w:t>
      </w:r>
      <w:r>
        <w:rPr>
          <w:rFonts w:ascii="Times New Roman" w:hAnsi="Times New Roman" w:cs="Times New Roman"/>
          <w:sz w:val="24"/>
          <w:szCs w:val="24"/>
        </w:rPr>
        <w:t xml:space="preserve">artnership Act </w:t>
      </w:r>
      <w:r w:rsidRPr="00FA3FE7">
        <w:rPr>
          <w:rFonts w:ascii="Times New Roman" w:hAnsi="Times New Roman" w:cs="Times New Roman"/>
          <w:sz w:val="24"/>
          <w:szCs w:val="24"/>
        </w:rPr>
        <w:t xml:space="preserve"> provides that if a partnership business is liable in contract, all the individuals who were partners at the time the contract was entered are jointly liable for any debts and obligations without limit. Section 17(1) of the PA provides that a new partner does not become liable for any debts and obligations that were incurred before they became partners. Section 14 of the PA provides that a partner who represents himself or knowingly allows himself to be represented as a partner to a specific firm is liable to anyone who relied upon such representation.</w:t>
      </w:r>
    </w:p>
    <w:p w14:paraId="2CC9EAE5"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Section 9 of the PA provides that a deceased partner estate is liable for debts incurred before death. Section 36 (3) provides that a deceased partner estate is not liable for the debts incurred after their death. Section 14 (2) further provides that even if the deceased name continue to be used in the business, this does not make the deceased liable for the partnership debts.</w:t>
      </w:r>
    </w:p>
    <w:p w14:paraId="59452E61" w14:textId="77777777" w:rsidR="00FA3FE7" w:rsidRPr="00FA3FE7" w:rsidRDefault="00FA3FE7" w:rsidP="00FA3FE7">
      <w:pPr>
        <w:spacing w:after="0" w:line="480" w:lineRule="auto"/>
        <w:rPr>
          <w:rFonts w:ascii="Times New Roman" w:hAnsi="Times New Roman" w:cs="Times New Roman"/>
          <w:b/>
          <w:sz w:val="24"/>
          <w:szCs w:val="24"/>
          <w:u w:val="single"/>
        </w:rPr>
      </w:pPr>
      <w:r w:rsidRPr="00FA3FE7">
        <w:rPr>
          <w:rFonts w:ascii="Times New Roman" w:hAnsi="Times New Roman" w:cs="Times New Roman"/>
          <w:b/>
          <w:sz w:val="24"/>
          <w:szCs w:val="24"/>
          <w:u w:val="single"/>
        </w:rPr>
        <w:t>Application and Conclusion</w:t>
      </w:r>
    </w:p>
    <w:p w14:paraId="4E111B40"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In our problem scenario the order was made on 8th July 2020.The existing partners at the time were John, Rhian Thomas and Sion Williams. Therefore John, Rhian Thomas and the deceased partner Sion Williams estate will be liable to pay the outstanding account. They are all jointly and severally liable for the debt based on their shares in the partnership.</w:t>
      </w:r>
    </w:p>
    <w:p w14:paraId="014F4231"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 xml:space="preserve">Question 2 </w:t>
      </w:r>
    </w:p>
    <w:p w14:paraId="58AB0068" w14:textId="77777777" w:rsidR="00FA3FE7" w:rsidRPr="00FA3FE7" w:rsidRDefault="00FA3FE7" w:rsidP="00FA3FE7">
      <w:pPr>
        <w:numPr>
          <w:ilvl w:val="0"/>
          <w:numId w:val="2"/>
        </w:num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 xml:space="preserve">Identify and explain any potential legal problems in relation to the selection of the name. </w:t>
      </w:r>
    </w:p>
    <w:p w14:paraId="333B6EE0"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It may be regarded as a sole proprietorship making the business personally liable for debts and obligations.</w:t>
      </w:r>
    </w:p>
    <w:p w14:paraId="0A194532"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It may be denied tax benefits.</w:t>
      </w:r>
    </w:p>
    <w:p w14:paraId="06803D06"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The owners will not have protection from liability of the company. It is also difficult to finance and get business credit. Therefore, raising the capital for the business might be challenging.</w:t>
      </w:r>
    </w:p>
    <w:p w14:paraId="00B1C8F4"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It lacks financial control and difficulty in tracking expenses.</w:t>
      </w:r>
    </w:p>
    <w:p w14:paraId="3F76EDD7"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(b)</w:t>
      </w:r>
      <w:r w:rsidRPr="00FA3FE7">
        <w:rPr>
          <w:rFonts w:ascii="Times New Roman" w:hAnsi="Times New Roman" w:cs="Times New Roman"/>
          <w:sz w:val="24"/>
          <w:szCs w:val="24"/>
        </w:rPr>
        <w:tab/>
        <w:t>Set out the legal requirements in relation to disclosure of the name, together with the effect (if any) of not complying with those requirements.</w:t>
      </w:r>
    </w:p>
    <w:p w14:paraId="508F2999" w14:textId="77777777" w:rsidR="00FA3FE7" w:rsidRPr="00FA3FE7" w:rsidRDefault="00FA3FE7" w:rsidP="00FA3FE7">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S.1200 (2) (b) Companies Act a “business name” means a name other than … in the case of a partnership (i) the surnames of all partners who are individuals and (ii) the corporate names of all companies who are partners without any additions other than a permitted addition.” Permitted additions include in case of an individual forenames or initials of forenames.</w:t>
      </w:r>
    </w:p>
    <w:p w14:paraId="1F3BA561" w14:textId="77777777" w:rsidR="00FA3FE7" w:rsidRPr="00FA3FE7" w:rsidRDefault="00FA3FE7" w:rsidP="00334784">
      <w:pPr>
        <w:spacing w:after="0" w:line="480" w:lineRule="auto"/>
        <w:rPr>
          <w:rFonts w:ascii="Times New Roman" w:hAnsi="Times New Roman" w:cs="Times New Roman"/>
          <w:sz w:val="24"/>
          <w:szCs w:val="24"/>
        </w:rPr>
      </w:pPr>
      <w:r w:rsidRPr="00FA3FE7">
        <w:rPr>
          <w:rFonts w:ascii="Times New Roman" w:hAnsi="Times New Roman" w:cs="Times New Roman"/>
          <w:sz w:val="24"/>
          <w:szCs w:val="24"/>
        </w:rPr>
        <w:t>If partners use a business name, legally the name of each partner and an address for service of documents must appear. As per section 1202 of company Act the name must appear in every business letter, every written order and Invoices and receipt, written demands for payment .Section 1204 provide that a notice at the business premises. Section 1203, partnerships which have more than 20 partners must keep a list of all partners at the principal place of business/</w:t>
      </w:r>
    </w:p>
    <w:p w14:paraId="4E444910" w14:textId="77777777" w:rsidR="00821103" w:rsidRPr="00991B0B" w:rsidRDefault="00821103" w:rsidP="00334784">
      <w:pPr>
        <w:spacing w:after="0" w:line="480" w:lineRule="auto"/>
        <w:rPr>
          <w:rFonts w:ascii="Times New Roman" w:hAnsi="Times New Roman" w:cs="Times New Roman"/>
          <w:b/>
          <w:sz w:val="24"/>
          <w:szCs w:val="24"/>
        </w:rPr>
      </w:pPr>
      <w:r w:rsidRPr="00991B0B">
        <w:rPr>
          <w:rFonts w:ascii="Times New Roman" w:hAnsi="Times New Roman" w:cs="Times New Roman"/>
          <w:b/>
          <w:sz w:val="24"/>
          <w:szCs w:val="24"/>
        </w:rPr>
        <w:t>Question 3</w:t>
      </w:r>
    </w:p>
    <w:p w14:paraId="2CB3C7F3" w14:textId="77777777" w:rsidR="00821103" w:rsidRPr="00991B0B" w:rsidRDefault="00821103" w:rsidP="00334784">
      <w:pPr>
        <w:spacing w:after="0" w:line="480" w:lineRule="auto"/>
        <w:rPr>
          <w:rFonts w:ascii="Times New Roman" w:hAnsi="Times New Roman" w:cs="Times New Roman"/>
          <w:sz w:val="24"/>
          <w:szCs w:val="24"/>
        </w:rPr>
      </w:pPr>
      <w:r w:rsidRPr="00991B0B">
        <w:rPr>
          <w:rFonts w:ascii="Times New Roman" w:hAnsi="Times New Roman" w:cs="Times New Roman"/>
          <w:sz w:val="24"/>
          <w:szCs w:val="24"/>
        </w:rPr>
        <w:t>Yes, Joseph can object to the transaction due to the subsequent rationale;</w:t>
      </w:r>
    </w:p>
    <w:p w14:paraId="080A86A7" w14:textId="77777777" w:rsidR="00DB08BF" w:rsidRPr="00991B0B" w:rsidRDefault="009E3DF2" w:rsidP="00821103">
      <w:pPr>
        <w:spacing w:after="0" w:line="480" w:lineRule="auto"/>
        <w:ind w:firstLine="720"/>
        <w:rPr>
          <w:rFonts w:ascii="Times New Roman" w:hAnsi="Times New Roman" w:cs="Times New Roman"/>
          <w:sz w:val="24"/>
          <w:szCs w:val="24"/>
        </w:rPr>
      </w:pPr>
      <w:r w:rsidRPr="00991B0B">
        <w:rPr>
          <w:rFonts w:ascii="Times New Roman" w:hAnsi="Times New Roman" w:cs="Times New Roman"/>
          <w:sz w:val="24"/>
          <w:szCs w:val="24"/>
        </w:rPr>
        <w:t>Th</w:t>
      </w:r>
      <w:r w:rsidR="00197505" w:rsidRPr="00991B0B">
        <w:rPr>
          <w:rFonts w:ascii="Times New Roman" w:hAnsi="Times New Roman" w:cs="Times New Roman"/>
          <w:sz w:val="24"/>
          <w:szCs w:val="24"/>
        </w:rPr>
        <w:t>e issues under contention in th</w:t>
      </w:r>
      <w:r w:rsidRPr="00991B0B">
        <w:rPr>
          <w:rFonts w:ascii="Times New Roman" w:hAnsi="Times New Roman" w:cs="Times New Roman"/>
          <w:sz w:val="24"/>
          <w:szCs w:val="24"/>
        </w:rPr>
        <w:t>is regard involve whether a minority shareholder can bring an action against a majority shareholder in case of a wrongful action done by the latter.</w:t>
      </w:r>
      <w:r w:rsidR="00197505" w:rsidRPr="00991B0B">
        <w:rPr>
          <w:rFonts w:ascii="Times New Roman" w:hAnsi="Times New Roman" w:cs="Times New Roman"/>
          <w:sz w:val="24"/>
          <w:szCs w:val="24"/>
        </w:rPr>
        <w:t xml:space="preserve"> In most companies, the majority shareholders often tend to steer the wrong way due to their influence in terms of shareholding.</w:t>
      </w:r>
      <w:r w:rsidR="00DB08BF" w:rsidRPr="00991B0B">
        <w:rPr>
          <w:rFonts w:ascii="Times New Roman" w:hAnsi="Times New Roman" w:cs="Times New Roman"/>
          <w:sz w:val="24"/>
          <w:szCs w:val="24"/>
        </w:rPr>
        <w:t xml:space="preserve"> </w:t>
      </w:r>
      <w:r w:rsidR="00197505" w:rsidRPr="00991B0B">
        <w:rPr>
          <w:rFonts w:ascii="Times New Roman" w:hAnsi="Times New Roman" w:cs="Times New Roman"/>
          <w:sz w:val="24"/>
          <w:szCs w:val="24"/>
        </w:rPr>
        <w:t>Notably, the general rule is that the company is the proper plaintiff in any matters affecting its operations.</w:t>
      </w:r>
      <w:r w:rsidR="00DB08BF" w:rsidRPr="00991B0B">
        <w:rPr>
          <w:rFonts w:ascii="Times New Roman" w:hAnsi="Times New Roman" w:cs="Times New Roman"/>
          <w:sz w:val="24"/>
          <w:szCs w:val="24"/>
        </w:rPr>
        <w:t xml:space="preserve"> This rule was established in the case of </w:t>
      </w:r>
      <w:r w:rsidR="00DB08BF" w:rsidRPr="00991B0B">
        <w:rPr>
          <w:rFonts w:ascii="Times New Roman" w:hAnsi="Times New Roman" w:cs="Times New Roman"/>
          <w:i/>
          <w:sz w:val="24"/>
          <w:szCs w:val="24"/>
        </w:rPr>
        <w:t>Foss v Harbottle</w:t>
      </w:r>
      <w:r w:rsidR="00DB08BF" w:rsidRPr="00991B0B">
        <w:rPr>
          <w:rFonts w:ascii="Times New Roman" w:hAnsi="Times New Roman" w:cs="Times New Roman"/>
          <w:sz w:val="24"/>
          <w:szCs w:val="24"/>
        </w:rPr>
        <w:t xml:space="preserve"> </w:t>
      </w:r>
      <w:r w:rsidR="00991B0B" w:rsidRPr="00991B0B">
        <w:rPr>
          <w:rFonts w:ascii="Times New Roman" w:hAnsi="Times New Roman" w:cs="Times New Roman"/>
          <w:sz w:val="24"/>
          <w:szCs w:val="24"/>
        </w:rPr>
        <w:t xml:space="preserve">(1843) </w:t>
      </w:r>
      <w:r w:rsidR="00DB08BF" w:rsidRPr="00991B0B">
        <w:rPr>
          <w:rFonts w:ascii="Times New Roman" w:hAnsi="Times New Roman" w:cs="Times New Roman"/>
          <w:sz w:val="24"/>
          <w:szCs w:val="24"/>
        </w:rPr>
        <w:t>where the court asserted that shareholders should not sue for the loss in value of the wrongs done by the company. Contrastingly, the company itself should push for legal redress as it is an artificial person.</w:t>
      </w:r>
    </w:p>
    <w:p w14:paraId="16DC7230" w14:textId="77777777" w:rsidR="00DB08BF" w:rsidRPr="00991B0B" w:rsidRDefault="00DB08BF" w:rsidP="00334784">
      <w:pPr>
        <w:spacing w:after="0" w:line="480" w:lineRule="auto"/>
        <w:rPr>
          <w:rFonts w:ascii="Times New Roman" w:hAnsi="Times New Roman" w:cs="Times New Roman"/>
          <w:sz w:val="24"/>
          <w:szCs w:val="24"/>
        </w:rPr>
      </w:pPr>
      <w:r w:rsidRPr="00991B0B">
        <w:rPr>
          <w:rFonts w:ascii="Times New Roman" w:hAnsi="Times New Roman" w:cs="Times New Roman"/>
          <w:sz w:val="24"/>
          <w:szCs w:val="24"/>
        </w:rPr>
        <w:tab/>
        <w:t xml:space="preserve">This rule is also a consequence of the position held in </w:t>
      </w:r>
      <w:r w:rsidR="009D55D5" w:rsidRPr="00991B0B">
        <w:rPr>
          <w:rFonts w:ascii="Times New Roman" w:hAnsi="Times New Roman" w:cs="Times New Roman"/>
          <w:i/>
          <w:sz w:val="24"/>
          <w:szCs w:val="24"/>
        </w:rPr>
        <w:t>Salmon v Salmon</w:t>
      </w:r>
      <w:r w:rsidRPr="00991B0B">
        <w:rPr>
          <w:rFonts w:ascii="Times New Roman" w:hAnsi="Times New Roman" w:cs="Times New Roman"/>
          <w:i/>
          <w:sz w:val="24"/>
          <w:szCs w:val="24"/>
        </w:rPr>
        <w:t>.</w:t>
      </w:r>
      <w:r w:rsidR="00B05E54" w:rsidRPr="00991B0B">
        <w:rPr>
          <w:rFonts w:ascii="Times New Roman" w:hAnsi="Times New Roman" w:cs="Times New Roman"/>
          <w:i/>
          <w:sz w:val="24"/>
          <w:szCs w:val="24"/>
        </w:rPr>
        <w:t xml:space="preserve"> </w:t>
      </w:r>
      <w:r w:rsidR="009D314D" w:rsidRPr="00991B0B">
        <w:rPr>
          <w:rFonts w:ascii="Times New Roman" w:hAnsi="Times New Roman" w:cs="Times New Roman"/>
          <w:sz w:val="24"/>
          <w:szCs w:val="24"/>
        </w:rPr>
        <w:t>In this case, the contention was whether the company stands as a separate legal entity from its shareholders and directors. Accordingly, the court asserted that a company should be viewed as a separate legal entity that has the ability to be stand on its own as an artificial person.</w:t>
      </w:r>
      <w:r w:rsidR="009D55D5" w:rsidRPr="00991B0B">
        <w:rPr>
          <w:rFonts w:ascii="Times New Roman" w:hAnsi="Times New Roman" w:cs="Times New Roman"/>
          <w:sz w:val="24"/>
          <w:szCs w:val="24"/>
        </w:rPr>
        <w:t xml:space="preserve"> Basing on the preceding, the general rule is that the company should sue on its own motion for the potential undervaluation that it undergoes from the sale of the old catering equipment.</w:t>
      </w:r>
    </w:p>
    <w:p w14:paraId="221553C9" w14:textId="77777777" w:rsidR="009D55D5" w:rsidRPr="00991B0B" w:rsidRDefault="009D55D5" w:rsidP="00334784">
      <w:pPr>
        <w:spacing w:after="0" w:line="480" w:lineRule="auto"/>
        <w:rPr>
          <w:rFonts w:ascii="Times New Roman" w:hAnsi="Times New Roman" w:cs="Times New Roman"/>
          <w:sz w:val="24"/>
          <w:szCs w:val="24"/>
        </w:rPr>
      </w:pPr>
      <w:r w:rsidRPr="00991B0B">
        <w:rPr>
          <w:rFonts w:ascii="Times New Roman" w:hAnsi="Times New Roman" w:cs="Times New Roman"/>
          <w:sz w:val="24"/>
          <w:szCs w:val="24"/>
        </w:rPr>
        <w:tab/>
        <w:t xml:space="preserve">Notwithstanding the foregoing position, it is important to note that there is an exception to the rule established in </w:t>
      </w:r>
      <w:r w:rsidRPr="00991B0B">
        <w:rPr>
          <w:rFonts w:ascii="Times New Roman" w:hAnsi="Times New Roman" w:cs="Times New Roman"/>
          <w:i/>
          <w:sz w:val="24"/>
          <w:szCs w:val="24"/>
        </w:rPr>
        <w:t>Salmon v Salmon</w:t>
      </w:r>
      <w:r w:rsidRPr="00991B0B">
        <w:rPr>
          <w:rFonts w:ascii="Times New Roman" w:hAnsi="Times New Roman" w:cs="Times New Roman"/>
          <w:sz w:val="24"/>
          <w:szCs w:val="24"/>
        </w:rPr>
        <w:t xml:space="preserve"> and </w:t>
      </w:r>
      <w:r w:rsidRPr="00991B0B">
        <w:rPr>
          <w:rFonts w:ascii="Times New Roman" w:hAnsi="Times New Roman" w:cs="Times New Roman"/>
          <w:i/>
          <w:sz w:val="24"/>
          <w:szCs w:val="24"/>
        </w:rPr>
        <w:t>Foss v Harbottle</w:t>
      </w:r>
      <w:r w:rsidR="00991B0B" w:rsidRPr="00991B0B">
        <w:rPr>
          <w:rFonts w:ascii="Times New Roman" w:hAnsi="Times New Roman" w:cs="Times New Roman"/>
          <w:i/>
          <w:sz w:val="24"/>
          <w:szCs w:val="24"/>
        </w:rPr>
        <w:t xml:space="preserve"> </w:t>
      </w:r>
      <w:r w:rsidR="00991B0B" w:rsidRPr="00991B0B">
        <w:rPr>
          <w:rFonts w:ascii="Times New Roman" w:hAnsi="Times New Roman" w:cs="Times New Roman"/>
          <w:sz w:val="24"/>
          <w:szCs w:val="24"/>
        </w:rPr>
        <w:t>(1843)</w:t>
      </w:r>
      <w:r w:rsidR="00991B0B" w:rsidRPr="00991B0B">
        <w:rPr>
          <w:rFonts w:ascii="Times New Roman" w:hAnsi="Times New Roman" w:cs="Times New Roman"/>
          <w:i/>
          <w:sz w:val="24"/>
          <w:szCs w:val="24"/>
        </w:rPr>
        <w:t xml:space="preserve"> </w:t>
      </w:r>
      <w:r w:rsidRPr="00991B0B">
        <w:rPr>
          <w:rFonts w:ascii="Times New Roman" w:hAnsi="Times New Roman" w:cs="Times New Roman"/>
          <w:sz w:val="24"/>
          <w:szCs w:val="24"/>
        </w:rPr>
        <w:t>. The exception is renowned as the derivative action, which asserts that the minority shareholders can bring an action on behalf of the company against majority shareholders. Remarkably, this exception ensures that the majority shareholders do not misuse their power and influence through their shares to take actions that are against the company’s success.</w:t>
      </w:r>
      <w:r w:rsidR="00992D83" w:rsidRPr="00991B0B">
        <w:rPr>
          <w:rFonts w:ascii="Times New Roman" w:hAnsi="Times New Roman" w:cs="Times New Roman"/>
          <w:sz w:val="24"/>
          <w:szCs w:val="24"/>
        </w:rPr>
        <w:t xml:space="preserve"> The exception also prevents the shareholding from committing actions of fraud and negligence which are detrimental to the company itself.</w:t>
      </w:r>
    </w:p>
    <w:p w14:paraId="273C1046" w14:textId="77777777" w:rsidR="00992D83" w:rsidRPr="00991B0B" w:rsidRDefault="00992D83" w:rsidP="00334784">
      <w:pPr>
        <w:spacing w:after="0" w:line="480" w:lineRule="auto"/>
        <w:rPr>
          <w:rFonts w:ascii="Times New Roman" w:hAnsi="Times New Roman" w:cs="Times New Roman"/>
          <w:sz w:val="24"/>
          <w:szCs w:val="24"/>
        </w:rPr>
      </w:pPr>
      <w:r w:rsidRPr="00991B0B">
        <w:rPr>
          <w:rFonts w:ascii="Times New Roman" w:hAnsi="Times New Roman" w:cs="Times New Roman"/>
          <w:sz w:val="24"/>
          <w:szCs w:val="24"/>
        </w:rPr>
        <w:tab/>
        <w:t xml:space="preserve">In the present scenario, Joseph holds lesser shares compared to Monica. This position makes him the minority shareholder and Monica the majority shareholder. Ordinarily, the rule in Foss v Harbottle would require the company to push for legal redress in its own capacity. This position would ensure the company to stand as a separate legal entity. </w:t>
      </w:r>
      <w:r w:rsidR="00821103" w:rsidRPr="00991B0B">
        <w:rPr>
          <w:rFonts w:ascii="Times New Roman" w:hAnsi="Times New Roman" w:cs="Times New Roman"/>
          <w:sz w:val="24"/>
          <w:szCs w:val="24"/>
        </w:rPr>
        <w:t>Nonetheless, the ex</w:t>
      </w:r>
      <w:r w:rsidRPr="00991B0B">
        <w:rPr>
          <w:rFonts w:ascii="Times New Roman" w:hAnsi="Times New Roman" w:cs="Times New Roman"/>
          <w:sz w:val="24"/>
          <w:szCs w:val="24"/>
        </w:rPr>
        <w:t xml:space="preserve">ception of derivative action stands as one of the areas where the corporate veil can be lifted so that the directors are sued personally for their actions within the company. It is noteworthy that Monica intends to purchase the old equipment at a lower price of </w:t>
      </w:r>
      <w:r w:rsidR="00211504" w:rsidRPr="00991B0B">
        <w:rPr>
          <w:rFonts w:ascii="Times New Roman" w:hAnsi="Times New Roman" w:cs="Times New Roman"/>
          <w:sz w:val="24"/>
          <w:szCs w:val="24"/>
        </w:rPr>
        <w:t>3,000 Euros compared to its standard value of 15,000 Euros.</w:t>
      </w:r>
      <w:r w:rsidR="00277C55" w:rsidRPr="00991B0B">
        <w:rPr>
          <w:rFonts w:ascii="Times New Roman" w:hAnsi="Times New Roman" w:cs="Times New Roman"/>
          <w:sz w:val="24"/>
          <w:szCs w:val="24"/>
        </w:rPr>
        <w:t xml:space="preserve"> This is a wrongful manipulation of the high shareholding and thus invokes the principle of derivative action. The goal is not to punish the director but rather to protect the company’s assets and prevent misuse by the individuals in charge.</w:t>
      </w:r>
    </w:p>
    <w:p w14:paraId="4649277E" w14:textId="77777777" w:rsidR="00DA5C55" w:rsidRPr="00991B0B" w:rsidRDefault="00DA5C55" w:rsidP="00334784">
      <w:pPr>
        <w:spacing w:after="0" w:line="480" w:lineRule="auto"/>
        <w:rPr>
          <w:rFonts w:ascii="Times New Roman" w:hAnsi="Times New Roman" w:cs="Times New Roman"/>
          <w:sz w:val="24"/>
          <w:szCs w:val="24"/>
        </w:rPr>
      </w:pPr>
    </w:p>
    <w:p w14:paraId="7F7CF359" w14:textId="77777777" w:rsidR="00DA5C55" w:rsidRPr="00991B0B" w:rsidRDefault="00DA5C55" w:rsidP="00334784">
      <w:pPr>
        <w:spacing w:after="0" w:line="480" w:lineRule="auto"/>
        <w:rPr>
          <w:rFonts w:ascii="Times New Roman" w:hAnsi="Times New Roman" w:cs="Times New Roman"/>
          <w:b/>
          <w:sz w:val="24"/>
          <w:szCs w:val="24"/>
        </w:rPr>
      </w:pPr>
      <w:r w:rsidRPr="00991B0B">
        <w:rPr>
          <w:rFonts w:ascii="Times New Roman" w:hAnsi="Times New Roman" w:cs="Times New Roman"/>
          <w:b/>
          <w:sz w:val="24"/>
          <w:szCs w:val="24"/>
        </w:rPr>
        <w:t>Question 4</w:t>
      </w:r>
    </w:p>
    <w:p w14:paraId="779090B8" w14:textId="77777777" w:rsidR="00DA5785" w:rsidRPr="00991B0B" w:rsidRDefault="00DA5C55" w:rsidP="00BF0D57">
      <w:pPr>
        <w:spacing w:after="0" w:line="480" w:lineRule="auto"/>
        <w:ind w:firstLine="720"/>
        <w:rPr>
          <w:rFonts w:ascii="Times New Roman" w:hAnsi="Times New Roman" w:cs="Times New Roman"/>
          <w:sz w:val="24"/>
          <w:szCs w:val="24"/>
        </w:rPr>
      </w:pPr>
      <w:r w:rsidRPr="00991B0B">
        <w:rPr>
          <w:rFonts w:ascii="Times New Roman" w:hAnsi="Times New Roman" w:cs="Times New Roman"/>
          <w:sz w:val="24"/>
          <w:szCs w:val="24"/>
        </w:rPr>
        <w:t xml:space="preserve">Debentures are a form of an accounts </w:t>
      </w:r>
      <w:r w:rsidR="00BF0D57" w:rsidRPr="00991B0B">
        <w:rPr>
          <w:rFonts w:ascii="Times New Roman" w:hAnsi="Times New Roman" w:cs="Times New Roman"/>
          <w:sz w:val="24"/>
          <w:szCs w:val="24"/>
        </w:rPr>
        <w:t>receivable</w:t>
      </w:r>
      <w:r w:rsidRPr="00991B0B">
        <w:rPr>
          <w:rFonts w:ascii="Times New Roman" w:hAnsi="Times New Roman" w:cs="Times New Roman"/>
          <w:sz w:val="24"/>
          <w:szCs w:val="24"/>
        </w:rPr>
        <w:t xml:space="preserve"> where the company provides an acknowledgement of funding from external parties. It also establishes that it shall repay this debenture in future with an accumulated interest. Consequently, the standard document creates a charge over the properties used as security, which can either be fixed or floating charges.</w:t>
      </w:r>
      <w:r w:rsidR="00E65377" w:rsidRPr="00991B0B">
        <w:rPr>
          <w:rFonts w:ascii="Times New Roman" w:hAnsi="Times New Roman" w:cs="Times New Roman"/>
          <w:sz w:val="24"/>
          <w:szCs w:val="24"/>
        </w:rPr>
        <w:t xml:space="preserve"> It is important to differentiate between a fixed and floating charge. A fixed charge is a charge placed on a specific asset such as land and intellectual property. On the other hand</w:t>
      </w:r>
      <w:r w:rsidR="00BF0D57" w:rsidRPr="00991B0B">
        <w:rPr>
          <w:rFonts w:ascii="Times New Roman" w:hAnsi="Times New Roman" w:cs="Times New Roman"/>
          <w:sz w:val="24"/>
          <w:szCs w:val="24"/>
        </w:rPr>
        <w:t>,</w:t>
      </w:r>
      <w:r w:rsidR="00E65377" w:rsidRPr="00991B0B">
        <w:rPr>
          <w:rFonts w:ascii="Times New Roman" w:hAnsi="Times New Roman" w:cs="Times New Roman"/>
          <w:sz w:val="24"/>
          <w:szCs w:val="24"/>
        </w:rPr>
        <w:t xml:space="preserve"> a floating charge is a ch</w:t>
      </w:r>
      <w:r w:rsidR="00A44CE7" w:rsidRPr="00991B0B">
        <w:rPr>
          <w:rFonts w:ascii="Times New Roman" w:hAnsi="Times New Roman" w:cs="Times New Roman"/>
          <w:sz w:val="24"/>
          <w:szCs w:val="24"/>
        </w:rPr>
        <w:t>arge is lien placed over a group of a class of assets that are not constant and may vary in value and size</w:t>
      </w:r>
      <w:r w:rsidR="00991B0B" w:rsidRPr="00991B0B">
        <w:rPr>
          <w:rFonts w:ascii="Times New Roman" w:hAnsi="Times New Roman" w:cs="Times New Roman"/>
          <w:sz w:val="24"/>
          <w:szCs w:val="24"/>
        </w:rPr>
        <w:t xml:space="preserve"> (Gregson &amp; Bell, 2017)</w:t>
      </w:r>
      <w:r w:rsidR="00A44CE7" w:rsidRPr="00991B0B">
        <w:rPr>
          <w:rFonts w:ascii="Times New Roman" w:hAnsi="Times New Roman" w:cs="Times New Roman"/>
          <w:sz w:val="24"/>
          <w:szCs w:val="24"/>
        </w:rPr>
        <w:t>.</w:t>
      </w:r>
    </w:p>
    <w:p w14:paraId="000CD88F" w14:textId="77777777" w:rsidR="00BF0D57" w:rsidRPr="00991B0B" w:rsidRDefault="00BF0D57" w:rsidP="00BF0D57">
      <w:pPr>
        <w:spacing w:after="0" w:line="480" w:lineRule="auto"/>
        <w:ind w:firstLine="720"/>
        <w:rPr>
          <w:rFonts w:ascii="Times New Roman" w:hAnsi="Times New Roman" w:cs="Times New Roman"/>
          <w:sz w:val="24"/>
          <w:szCs w:val="24"/>
        </w:rPr>
      </w:pPr>
      <w:r w:rsidRPr="00991B0B">
        <w:rPr>
          <w:rFonts w:ascii="Times New Roman" w:hAnsi="Times New Roman" w:cs="Times New Roman"/>
          <w:sz w:val="24"/>
          <w:szCs w:val="24"/>
        </w:rPr>
        <w:t xml:space="preserve">Upon executing a debenture, the next step is the registration of the debenture. According to </w:t>
      </w:r>
      <w:r w:rsidR="00B22BFC">
        <w:rPr>
          <w:rFonts w:ascii="Times New Roman" w:hAnsi="Times New Roman" w:cs="Times New Roman"/>
          <w:sz w:val="24"/>
          <w:szCs w:val="24"/>
        </w:rPr>
        <w:t xml:space="preserve">the </w:t>
      </w:r>
      <w:r w:rsidRPr="00991B0B">
        <w:rPr>
          <w:rFonts w:ascii="Times New Roman" w:hAnsi="Times New Roman" w:cs="Times New Roman"/>
          <w:sz w:val="24"/>
          <w:szCs w:val="24"/>
        </w:rPr>
        <w:t>Companies Act 2006, a standard form must be completed by the parties registering the debenture. This form is renowned as the form MR03 and is used to capture the particulars of the charges used to facilitate the debenture.</w:t>
      </w:r>
      <w:r w:rsidR="002B3A34" w:rsidRPr="00991B0B">
        <w:rPr>
          <w:rFonts w:ascii="Times New Roman" w:hAnsi="Times New Roman" w:cs="Times New Roman"/>
          <w:sz w:val="24"/>
          <w:szCs w:val="24"/>
        </w:rPr>
        <w:t xml:space="preserve"> Furthermore, it is used to register a debenture that involves the use of instruments as security. Once the form is completed, it ough</w:t>
      </w:r>
      <w:r w:rsidR="006F2A49" w:rsidRPr="00991B0B">
        <w:rPr>
          <w:rFonts w:ascii="Times New Roman" w:hAnsi="Times New Roman" w:cs="Times New Roman"/>
          <w:sz w:val="24"/>
          <w:szCs w:val="24"/>
        </w:rPr>
        <w:t>t</w:t>
      </w:r>
      <w:r w:rsidR="002B3A34" w:rsidRPr="00991B0B">
        <w:rPr>
          <w:rFonts w:ascii="Times New Roman" w:hAnsi="Times New Roman" w:cs="Times New Roman"/>
          <w:sz w:val="24"/>
          <w:szCs w:val="24"/>
        </w:rPr>
        <w:t xml:space="preserve"> to be </w:t>
      </w:r>
      <w:r w:rsidR="00FA3FE7" w:rsidRPr="00991B0B">
        <w:rPr>
          <w:rFonts w:ascii="Times New Roman" w:hAnsi="Times New Roman" w:cs="Times New Roman"/>
          <w:sz w:val="24"/>
          <w:szCs w:val="24"/>
        </w:rPr>
        <w:t>delivered</w:t>
      </w:r>
      <w:r w:rsidR="002B3A34" w:rsidRPr="00991B0B">
        <w:rPr>
          <w:rFonts w:ascii="Times New Roman" w:hAnsi="Times New Roman" w:cs="Times New Roman"/>
          <w:sz w:val="24"/>
          <w:szCs w:val="24"/>
        </w:rPr>
        <w:t xml:space="preserve"> to the registra</w:t>
      </w:r>
      <w:r w:rsidR="00FA3FE7">
        <w:rPr>
          <w:rFonts w:ascii="Times New Roman" w:hAnsi="Times New Roman" w:cs="Times New Roman"/>
          <w:sz w:val="24"/>
          <w:szCs w:val="24"/>
        </w:rPr>
        <w:t>r</w:t>
      </w:r>
      <w:r w:rsidR="002B3A34" w:rsidRPr="00991B0B">
        <w:rPr>
          <w:rFonts w:ascii="Times New Roman" w:hAnsi="Times New Roman" w:cs="Times New Roman"/>
          <w:sz w:val="24"/>
          <w:szCs w:val="24"/>
        </w:rPr>
        <w:t xml:space="preserve"> for registration within a duration of 21 days.</w:t>
      </w:r>
      <w:r w:rsidR="006F2A49" w:rsidRPr="00991B0B">
        <w:rPr>
          <w:rFonts w:ascii="Times New Roman" w:hAnsi="Times New Roman" w:cs="Times New Roman"/>
          <w:sz w:val="24"/>
          <w:szCs w:val="24"/>
        </w:rPr>
        <w:t xml:space="preserve"> It is noteworthy that the 21-day period are counted from the date of execution of the debenture.</w:t>
      </w:r>
      <w:r w:rsidR="00E773F5" w:rsidRPr="00991B0B">
        <w:rPr>
          <w:rFonts w:ascii="Times New Roman" w:hAnsi="Times New Roman" w:cs="Times New Roman"/>
          <w:sz w:val="24"/>
          <w:szCs w:val="24"/>
        </w:rPr>
        <w:t xml:space="preserve"> If the parties are unable to deliver the debenture registration form within the prescribed timeline, the registrar is required to reject the debenture registration</w:t>
      </w:r>
      <w:r w:rsidR="00991B0B" w:rsidRPr="00991B0B">
        <w:rPr>
          <w:rFonts w:ascii="Times New Roman" w:hAnsi="Times New Roman" w:cs="Times New Roman"/>
          <w:sz w:val="24"/>
          <w:szCs w:val="24"/>
        </w:rPr>
        <w:t xml:space="preserve"> (Gregson &amp; Bell, 2017)</w:t>
      </w:r>
      <w:r w:rsidR="00E773F5" w:rsidRPr="00991B0B">
        <w:rPr>
          <w:rFonts w:ascii="Times New Roman" w:hAnsi="Times New Roman" w:cs="Times New Roman"/>
          <w:sz w:val="24"/>
          <w:szCs w:val="24"/>
        </w:rPr>
        <w:t>. Nevertheless, the companies act espouses that a debenture can still be registered beyond this timeline if it is accompanied by a court order for time extension.</w:t>
      </w:r>
      <w:r w:rsidR="00B22BFC">
        <w:rPr>
          <w:rFonts w:ascii="Times New Roman" w:hAnsi="Times New Roman" w:cs="Times New Roman"/>
          <w:sz w:val="24"/>
          <w:szCs w:val="24"/>
        </w:rPr>
        <w:t xml:space="preserve"> The registrar is to be notified of the debentures as provided under section 741 of the Companies Act</w:t>
      </w:r>
    </w:p>
    <w:p w14:paraId="07DCA737" w14:textId="77777777" w:rsidR="005961A8" w:rsidRPr="00991B0B" w:rsidRDefault="005961A8" w:rsidP="00BF0D57">
      <w:pPr>
        <w:spacing w:after="0" w:line="480" w:lineRule="auto"/>
        <w:ind w:firstLine="720"/>
        <w:rPr>
          <w:rFonts w:ascii="Times New Roman" w:hAnsi="Times New Roman" w:cs="Times New Roman"/>
          <w:sz w:val="24"/>
          <w:szCs w:val="24"/>
        </w:rPr>
      </w:pPr>
      <w:r w:rsidRPr="00991B0B">
        <w:rPr>
          <w:rFonts w:ascii="Times New Roman" w:hAnsi="Times New Roman" w:cs="Times New Roman"/>
          <w:sz w:val="24"/>
          <w:szCs w:val="24"/>
        </w:rPr>
        <w:t>The companies registering the debentures are required to send the documents to specific o</w:t>
      </w:r>
      <w:r w:rsidR="00CB6CE1" w:rsidRPr="00991B0B">
        <w:rPr>
          <w:rFonts w:ascii="Times New Roman" w:hAnsi="Times New Roman" w:cs="Times New Roman"/>
          <w:sz w:val="24"/>
          <w:szCs w:val="24"/>
        </w:rPr>
        <w:t>ffices within their juris</w:t>
      </w:r>
      <w:r w:rsidRPr="00991B0B">
        <w:rPr>
          <w:rFonts w:ascii="Times New Roman" w:hAnsi="Times New Roman" w:cs="Times New Roman"/>
          <w:sz w:val="24"/>
          <w:szCs w:val="24"/>
        </w:rPr>
        <w:t>dictions. Companies registered in England and Wales are required to</w:t>
      </w:r>
      <w:r w:rsidR="00CB6CE1" w:rsidRPr="00991B0B">
        <w:rPr>
          <w:rFonts w:ascii="Times New Roman" w:hAnsi="Times New Roman" w:cs="Times New Roman"/>
          <w:sz w:val="24"/>
          <w:szCs w:val="24"/>
        </w:rPr>
        <w:t xml:space="preserve"> lodge</w:t>
      </w:r>
      <w:r w:rsidRPr="00991B0B">
        <w:rPr>
          <w:rFonts w:ascii="Times New Roman" w:hAnsi="Times New Roman" w:cs="Times New Roman"/>
          <w:sz w:val="24"/>
          <w:szCs w:val="24"/>
        </w:rPr>
        <w:t xml:space="preserve"> the same to the registrar of companies </w:t>
      </w:r>
      <w:r w:rsidR="00CB6CE1" w:rsidRPr="00991B0B">
        <w:rPr>
          <w:rFonts w:ascii="Times New Roman" w:hAnsi="Times New Roman" w:cs="Times New Roman"/>
          <w:sz w:val="24"/>
          <w:szCs w:val="24"/>
        </w:rPr>
        <w:t>in Cardiff, Wales. The companies registered in Scotland are required to send the debenture registration to Edinburgh, Scotland. On the other hand, the companies registered in Northern Ireland are required to send their registration to the Registrar of Companies located in Belfast, Northern Ireland</w:t>
      </w:r>
      <w:r w:rsidR="00991B0B" w:rsidRPr="00991B0B">
        <w:rPr>
          <w:rFonts w:ascii="Times New Roman" w:hAnsi="Times New Roman" w:cs="Times New Roman"/>
          <w:sz w:val="24"/>
          <w:szCs w:val="24"/>
        </w:rPr>
        <w:t xml:space="preserve"> (Gregson &amp; Bell, 2017)</w:t>
      </w:r>
      <w:r w:rsidR="00CB6CE1" w:rsidRPr="00991B0B">
        <w:rPr>
          <w:rFonts w:ascii="Times New Roman" w:hAnsi="Times New Roman" w:cs="Times New Roman"/>
          <w:sz w:val="24"/>
          <w:szCs w:val="24"/>
        </w:rPr>
        <w:t>.</w:t>
      </w:r>
    </w:p>
    <w:p w14:paraId="3707A47A" w14:textId="77777777" w:rsidR="00991B0B" w:rsidRPr="00991B0B" w:rsidRDefault="000B4DD8" w:rsidP="00BF0D57">
      <w:pPr>
        <w:spacing w:after="0" w:line="480" w:lineRule="auto"/>
        <w:ind w:firstLine="720"/>
        <w:rPr>
          <w:rFonts w:ascii="Times New Roman" w:hAnsi="Times New Roman" w:cs="Times New Roman"/>
          <w:sz w:val="24"/>
          <w:szCs w:val="24"/>
        </w:rPr>
      </w:pPr>
      <w:r w:rsidRPr="00991B0B">
        <w:rPr>
          <w:rFonts w:ascii="Times New Roman" w:hAnsi="Times New Roman" w:cs="Times New Roman"/>
          <w:sz w:val="24"/>
          <w:szCs w:val="24"/>
        </w:rPr>
        <w:t xml:space="preserve">To prevent rejection of the debenture registration, it is important to ensure that all required </w:t>
      </w:r>
      <w:r w:rsidR="00FB1018" w:rsidRPr="00991B0B">
        <w:rPr>
          <w:rFonts w:ascii="Times New Roman" w:hAnsi="Times New Roman" w:cs="Times New Roman"/>
          <w:sz w:val="24"/>
          <w:szCs w:val="24"/>
        </w:rPr>
        <w:t>conditions are met. The first aspect is that the company name and number should match the details held in the public register. Secondly, the date of creating the charge should also be included in the registration. The company should also ensure that the resolution date is entered as well as the date of the covering instrument.</w:t>
      </w:r>
      <w:r w:rsidR="00BD1C7B" w:rsidRPr="00991B0B">
        <w:rPr>
          <w:rFonts w:ascii="Times New Roman" w:hAnsi="Times New Roman" w:cs="Times New Roman"/>
          <w:sz w:val="24"/>
          <w:szCs w:val="24"/>
        </w:rPr>
        <w:t xml:space="preserve"> The form should be signed and enclosed with the required fee and certified copies of the instrument should be attached win the registration.</w:t>
      </w:r>
    </w:p>
    <w:p w14:paraId="3B3DA5FF" w14:textId="77777777" w:rsidR="00991B0B" w:rsidRPr="00991B0B" w:rsidRDefault="00991B0B">
      <w:pPr>
        <w:rPr>
          <w:rFonts w:ascii="Times New Roman" w:hAnsi="Times New Roman" w:cs="Times New Roman"/>
          <w:sz w:val="24"/>
          <w:szCs w:val="24"/>
        </w:rPr>
      </w:pPr>
      <w:r w:rsidRPr="00991B0B">
        <w:rPr>
          <w:rFonts w:ascii="Times New Roman" w:hAnsi="Times New Roman" w:cs="Times New Roman"/>
          <w:sz w:val="24"/>
          <w:szCs w:val="24"/>
        </w:rPr>
        <w:br w:type="page"/>
      </w:r>
    </w:p>
    <w:p w14:paraId="4715E873" w14:textId="77777777" w:rsidR="000B4DD8" w:rsidRPr="00991B0B" w:rsidRDefault="00991B0B" w:rsidP="00991B0B">
      <w:pPr>
        <w:spacing w:after="0" w:line="480" w:lineRule="auto"/>
        <w:ind w:firstLine="720"/>
        <w:jc w:val="center"/>
        <w:rPr>
          <w:rFonts w:ascii="Times New Roman" w:hAnsi="Times New Roman" w:cs="Times New Roman"/>
          <w:sz w:val="24"/>
          <w:szCs w:val="24"/>
        </w:rPr>
      </w:pPr>
      <w:r w:rsidRPr="00991B0B">
        <w:rPr>
          <w:rFonts w:ascii="Times New Roman" w:hAnsi="Times New Roman" w:cs="Times New Roman"/>
          <w:sz w:val="24"/>
          <w:szCs w:val="24"/>
        </w:rPr>
        <w:t>References</w:t>
      </w:r>
    </w:p>
    <w:p w14:paraId="2E836230" w14:textId="77777777" w:rsidR="00991B0B" w:rsidRPr="00991B0B" w:rsidRDefault="00991B0B" w:rsidP="00991B0B">
      <w:pPr>
        <w:spacing w:after="0" w:line="480" w:lineRule="auto"/>
        <w:rPr>
          <w:rFonts w:ascii="Times New Roman" w:hAnsi="Times New Roman" w:cs="Times New Roman"/>
          <w:color w:val="222222"/>
          <w:sz w:val="24"/>
          <w:szCs w:val="24"/>
          <w:shd w:val="clear" w:color="auto" w:fill="FFFFFF"/>
        </w:rPr>
      </w:pPr>
      <w:r w:rsidRPr="00991B0B">
        <w:rPr>
          <w:rFonts w:ascii="Times New Roman" w:hAnsi="Times New Roman" w:cs="Times New Roman"/>
          <w:color w:val="222222"/>
          <w:sz w:val="24"/>
          <w:szCs w:val="24"/>
          <w:shd w:val="clear" w:color="auto" w:fill="FFFFFF"/>
        </w:rPr>
        <w:t>Gregson, A., &amp; Bell, J. (2017). Registration of UK company charges–theory and practice. </w:t>
      </w:r>
      <w:r w:rsidRPr="00991B0B">
        <w:rPr>
          <w:rFonts w:ascii="Times New Roman" w:hAnsi="Times New Roman" w:cs="Times New Roman"/>
          <w:i/>
          <w:iCs/>
          <w:color w:val="222222"/>
          <w:sz w:val="24"/>
          <w:szCs w:val="24"/>
          <w:shd w:val="clear" w:color="auto" w:fill="FFFFFF"/>
        </w:rPr>
        <w:t>BUTTERWORTHS J. INT'L BANKING &amp; FIN. L.</w:t>
      </w:r>
      <w:r w:rsidRPr="00991B0B">
        <w:rPr>
          <w:rFonts w:ascii="Times New Roman" w:hAnsi="Times New Roman" w:cs="Times New Roman"/>
          <w:color w:val="222222"/>
          <w:sz w:val="24"/>
          <w:szCs w:val="24"/>
          <w:shd w:val="clear" w:color="auto" w:fill="FFFFFF"/>
        </w:rPr>
        <w:t>, </w:t>
      </w:r>
      <w:r w:rsidRPr="00991B0B">
        <w:rPr>
          <w:rFonts w:ascii="Times New Roman" w:hAnsi="Times New Roman" w:cs="Times New Roman"/>
          <w:i/>
          <w:iCs/>
          <w:color w:val="222222"/>
          <w:sz w:val="24"/>
          <w:szCs w:val="24"/>
          <w:shd w:val="clear" w:color="auto" w:fill="FFFFFF"/>
        </w:rPr>
        <w:t>32</w:t>
      </w:r>
      <w:r w:rsidRPr="00991B0B">
        <w:rPr>
          <w:rFonts w:ascii="Times New Roman" w:hAnsi="Times New Roman" w:cs="Times New Roman"/>
          <w:color w:val="222222"/>
          <w:sz w:val="24"/>
          <w:szCs w:val="24"/>
          <w:shd w:val="clear" w:color="auto" w:fill="FFFFFF"/>
        </w:rPr>
        <w:t>, 580-581.</w:t>
      </w:r>
    </w:p>
    <w:p w14:paraId="015AA030" w14:textId="77777777" w:rsidR="00991B0B" w:rsidRPr="00991B0B" w:rsidRDefault="00991B0B" w:rsidP="00991B0B">
      <w:pPr>
        <w:spacing w:after="0" w:line="480" w:lineRule="auto"/>
        <w:rPr>
          <w:rFonts w:ascii="Times New Roman" w:hAnsi="Times New Roman" w:cs="Times New Roman"/>
          <w:sz w:val="24"/>
          <w:szCs w:val="24"/>
        </w:rPr>
      </w:pPr>
      <w:r w:rsidRPr="00991B0B">
        <w:rPr>
          <w:rFonts w:ascii="Times New Roman" w:hAnsi="Times New Roman" w:cs="Times New Roman"/>
          <w:color w:val="111111"/>
          <w:sz w:val="24"/>
          <w:szCs w:val="24"/>
          <w:shd w:val="clear" w:color="auto" w:fill="FFFFFF"/>
        </w:rPr>
        <w:t>Foss v Harbottle Citation: </w:t>
      </w:r>
      <w:r w:rsidRPr="00991B0B">
        <w:rPr>
          <w:rStyle w:val="Strong"/>
          <w:rFonts w:ascii="Times New Roman" w:hAnsi="Times New Roman" w:cs="Times New Roman"/>
          <w:color w:val="111111"/>
          <w:sz w:val="24"/>
          <w:szCs w:val="24"/>
          <w:shd w:val="clear" w:color="auto" w:fill="FFFFFF"/>
        </w:rPr>
        <w:t>[1843] 67 ER 189</w:t>
      </w:r>
      <w:r w:rsidRPr="00991B0B">
        <w:rPr>
          <w:rFonts w:ascii="Times New Roman" w:hAnsi="Times New Roman" w:cs="Times New Roman"/>
          <w:color w:val="111111"/>
          <w:sz w:val="24"/>
          <w:szCs w:val="24"/>
          <w:shd w:val="clear" w:color="auto" w:fill="FFFFFF"/>
        </w:rPr>
        <w:t>, (1843) </w:t>
      </w:r>
    </w:p>
    <w:sectPr w:rsidR="00991B0B" w:rsidRPr="00991B0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566F6"/>
    <w:multiLevelType w:val="hybridMultilevel"/>
    <w:tmpl w:val="71E491A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9B1A39"/>
    <w:multiLevelType w:val="hybridMultilevel"/>
    <w:tmpl w:val="B9966310"/>
    <w:lvl w:ilvl="0" w:tplc="A538CE38">
      <w:start w:val="1"/>
      <w:numFmt w:val="lowerLetter"/>
      <w:lvlText w:val="(%1)"/>
      <w:lvlJc w:val="left"/>
      <w:pPr>
        <w:ind w:left="780" w:hanging="78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4784"/>
    <w:rsid w:val="000B4DD8"/>
    <w:rsid w:val="00197505"/>
    <w:rsid w:val="00211504"/>
    <w:rsid w:val="00277C55"/>
    <w:rsid w:val="002B3A34"/>
    <w:rsid w:val="00334784"/>
    <w:rsid w:val="00382067"/>
    <w:rsid w:val="005961A8"/>
    <w:rsid w:val="0062033B"/>
    <w:rsid w:val="006F2A49"/>
    <w:rsid w:val="00821103"/>
    <w:rsid w:val="00991B0B"/>
    <w:rsid w:val="00992D83"/>
    <w:rsid w:val="009D314D"/>
    <w:rsid w:val="009D55D5"/>
    <w:rsid w:val="009E3DF2"/>
    <w:rsid w:val="00A44CE7"/>
    <w:rsid w:val="00B05E54"/>
    <w:rsid w:val="00B22BFC"/>
    <w:rsid w:val="00BD1C7B"/>
    <w:rsid w:val="00BF0D57"/>
    <w:rsid w:val="00CB6CE1"/>
    <w:rsid w:val="00CD708D"/>
    <w:rsid w:val="00DA5C55"/>
    <w:rsid w:val="00DB08BF"/>
    <w:rsid w:val="00E65377"/>
    <w:rsid w:val="00E773F5"/>
    <w:rsid w:val="00F40771"/>
    <w:rsid w:val="00FA3FE7"/>
    <w:rsid w:val="00FB10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1ABB3"/>
  <w15:chartTrackingRefBased/>
  <w15:docId w15:val="{C4277FA6-A2A3-449D-BC38-D503F9B37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91B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1660</Words>
  <Characters>9467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ndutarachael@hotmail.com</dc:creator>
  <cp:keywords/>
  <dc:description/>
  <cp:lastModifiedBy>roxana burlacu</cp:lastModifiedBy>
  <cp:revision>2</cp:revision>
  <dcterms:created xsi:type="dcterms:W3CDTF">2022-01-10T12:05:00Z</dcterms:created>
  <dcterms:modified xsi:type="dcterms:W3CDTF">2022-01-10T12:05:00Z</dcterms:modified>
</cp:coreProperties>
</file>