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56BB79" w14:textId="77777777" w:rsidR="00A9278F" w:rsidRDefault="00A9278F" w:rsidP="00A9278F">
      <w:pPr>
        <w:spacing w:line="360" w:lineRule="auto"/>
        <w:jc w:val="both"/>
        <w:rPr>
          <w:bCs/>
          <w:sz w:val="24"/>
          <w:szCs w:val="24"/>
        </w:rPr>
      </w:pPr>
      <w:r>
        <w:rPr>
          <w:rFonts w:eastAsiaTheme="minorEastAsia"/>
          <w:sz w:val="24"/>
          <w:szCs w:val="24"/>
        </w:rPr>
        <w:t xml:space="preserve">The Well-being and Future Generations Act (WAG, 2015a) argues for a thriving welsh language and a vibrant culture, with the ambitious aim of reaching a million Welsh speakers </w:t>
      </w:r>
      <w:r w:rsidRPr="009D0DED">
        <w:rPr>
          <w:rFonts w:eastAsiaTheme="minorEastAsia"/>
          <w:sz w:val="24"/>
          <w:szCs w:val="24"/>
        </w:rPr>
        <w:t>by 2050</w:t>
      </w:r>
      <w:r>
        <w:rPr>
          <w:rFonts w:eastAsiaTheme="minorEastAsia"/>
          <w:sz w:val="24"/>
          <w:szCs w:val="24"/>
        </w:rPr>
        <w:t xml:space="preserve"> (WAG, 2017a). The WAG (2015b) stipulates that the Welsh language not only has a commercial value for the new age we are entering into; creating ethical, informed citizens of </w:t>
      </w:r>
      <w:r w:rsidRPr="000E7F8A">
        <w:rPr>
          <w:rFonts w:eastAsiaTheme="minorEastAsia"/>
          <w:sz w:val="24"/>
          <w:szCs w:val="24"/>
        </w:rPr>
        <w:t>Wales, ready to live as valued members of society</w:t>
      </w:r>
      <w:r>
        <w:rPr>
          <w:rFonts w:eastAsiaTheme="minorEastAsia"/>
          <w:sz w:val="24"/>
          <w:szCs w:val="24"/>
        </w:rPr>
        <w:t xml:space="preserve"> (Donaldson, 2015)</w:t>
      </w:r>
      <w:r w:rsidRPr="000E7F8A">
        <w:rPr>
          <w:rFonts w:eastAsiaTheme="minorEastAsia"/>
          <w:sz w:val="24"/>
          <w:szCs w:val="24"/>
        </w:rPr>
        <w:t xml:space="preserve"> but bilingualism has also cognitive benefits. </w:t>
      </w:r>
      <w:r>
        <w:rPr>
          <w:rFonts w:eastAsiaTheme="minorEastAsia"/>
          <w:sz w:val="24"/>
          <w:szCs w:val="24"/>
        </w:rPr>
        <w:t xml:space="preserve">This also encompasses The European Commission’s (2012) objective to work with Governments to enable citizens to learn at least a second language from an early age.  The Welsh news </w:t>
      </w:r>
      <w:r w:rsidRPr="007B7A5B">
        <w:rPr>
          <w:rFonts w:eastAsiaTheme="minorEastAsia"/>
          <w:sz w:val="24"/>
          <w:szCs w:val="24"/>
        </w:rPr>
        <w:t>reported that, ‘Welsh</w:t>
      </w:r>
      <w:r w:rsidRPr="007B7A5B">
        <w:rPr>
          <w:bCs/>
          <w:sz w:val="24"/>
          <w:szCs w:val="24"/>
        </w:rPr>
        <w:t xml:space="preserve"> will no longer be classed as a second language in English-medium schools, under new proposals’ (BBC, 2019)</w:t>
      </w:r>
      <w:r>
        <w:rPr>
          <w:bCs/>
          <w:sz w:val="24"/>
          <w:szCs w:val="24"/>
        </w:rPr>
        <w:t>.</w:t>
      </w:r>
      <w:r w:rsidRPr="000D54CB">
        <w:rPr>
          <w:bCs/>
          <w:sz w:val="24"/>
          <w:szCs w:val="24"/>
        </w:rPr>
        <w:t xml:space="preserve"> </w:t>
      </w:r>
      <w:r>
        <w:rPr>
          <w:bCs/>
          <w:sz w:val="24"/>
          <w:szCs w:val="24"/>
        </w:rPr>
        <w:t xml:space="preserve">An issue highlighted by Estyn (2014) in recommendations that </w:t>
      </w:r>
      <w:r w:rsidRPr="000D54CB">
        <w:rPr>
          <w:bCs/>
          <w:sz w:val="24"/>
          <w:szCs w:val="24"/>
        </w:rPr>
        <w:t xml:space="preserve">English-medium primary and secondary schools </w:t>
      </w:r>
      <w:r>
        <w:rPr>
          <w:bCs/>
          <w:sz w:val="24"/>
          <w:szCs w:val="24"/>
        </w:rPr>
        <w:t>should use Welsh as a medium to learn across the curriculum.</w:t>
      </w:r>
    </w:p>
    <w:p w14:paraId="7162F908" w14:textId="77777777" w:rsidR="00A9278F" w:rsidRPr="007B7A5B" w:rsidRDefault="00A9278F" w:rsidP="00A9278F">
      <w:pPr>
        <w:spacing w:line="360" w:lineRule="auto"/>
        <w:jc w:val="both"/>
        <w:rPr>
          <w:bCs/>
          <w:sz w:val="24"/>
          <w:szCs w:val="24"/>
        </w:rPr>
      </w:pPr>
    </w:p>
    <w:p w14:paraId="7CF88D35" w14:textId="77777777" w:rsidR="00A9278F" w:rsidRDefault="00A9278F" w:rsidP="00A9278F">
      <w:pPr>
        <w:spacing w:line="360" w:lineRule="auto"/>
        <w:jc w:val="both"/>
        <w:rPr>
          <w:bCs/>
          <w:sz w:val="24"/>
          <w:szCs w:val="24"/>
        </w:rPr>
      </w:pPr>
      <w:r w:rsidRPr="007B7A5B">
        <w:rPr>
          <w:bCs/>
          <w:sz w:val="24"/>
          <w:szCs w:val="24"/>
        </w:rPr>
        <w:t xml:space="preserve">This essay will demonstrate a critical response to an article by Bernardo and </w:t>
      </w:r>
      <w:proofErr w:type="spellStart"/>
      <w:r w:rsidRPr="007B7A5B">
        <w:rPr>
          <w:bCs/>
          <w:sz w:val="24"/>
          <w:szCs w:val="24"/>
        </w:rPr>
        <w:t>Gaerlan</w:t>
      </w:r>
      <w:proofErr w:type="spellEnd"/>
      <w:r w:rsidRPr="007B7A5B">
        <w:rPr>
          <w:bCs/>
          <w:sz w:val="24"/>
          <w:szCs w:val="24"/>
        </w:rPr>
        <w:t xml:space="preserve"> (20</w:t>
      </w:r>
      <w:r>
        <w:rPr>
          <w:bCs/>
          <w:sz w:val="24"/>
          <w:szCs w:val="24"/>
        </w:rPr>
        <w:t>11</w:t>
      </w:r>
      <w:r w:rsidRPr="007B7A5B">
        <w:rPr>
          <w:bCs/>
          <w:sz w:val="24"/>
          <w:szCs w:val="24"/>
        </w:rPr>
        <w:t xml:space="preserve">) reflecting on the links between non-native </w:t>
      </w:r>
      <w:r>
        <w:rPr>
          <w:bCs/>
          <w:sz w:val="24"/>
          <w:szCs w:val="24"/>
        </w:rPr>
        <w:t xml:space="preserve">speakers of </w:t>
      </w:r>
      <w:r w:rsidRPr="007B7A5B">
        <w:rPr>
          <w:bCs/>
          <w:sz w:val="24"/>
          <w:szCs w:val="24"/>
        </w:rPr>
        <w:t>English students learning in English in the Philippines and how that could translate into the Welsh classroom</w:t>
      </w:r>
      <w:r>
        <w:rPr>
          <w:bCs/>
          <w:sz w:val="24"/>
          <w:szCs w:val="24"/>
        </w:rPr>
        <w:t xml:space="preserve"> </w:t>
      </w:r>
      <w:r w:rsidRPr="007B7A5B">
        <w:rPr>
          <w:bCs/>
          <w:sz w:val="24"/>
          <w:szCs w:val="24"/>
        </w:rPr>
        <w:t xml:space="preserve">if the aims and objectives of The </w:t>
      </w:r>
      <w:r>
        <w:rPr>
          <w:bCs/>
          <w:sz w:val="24"/>
          <w:szCs w:val="24"/>
        </w:rPr>
        <w:t xml:space="preserve">WAG </w:t>
      </w:r>
      <w:r w:rsidRPr="007B7A5B">
        <w:rPr>
          <w:bCs/>
          <w:sz w:val="24"/>
          <w:szCs w:val="24"/>
        </w:rPr>
        <w:t xml:space="preserve">are to </w:t>
      </w:r>
      <w:r>
        <w:rPr>
          <w:bCs/>
          <w:sz w:val="24"/>
          <w:szCs w:val="24"/>
        </w:rPr>
        <w:t xml:space="preserve">be </w:t>
      </w:r>
      <w:r w:rsidRPr="007B7A5B">
        <w:rPr>
          <w:bCs/>
          <w:sz w:val="24"/>
          <w:szCs w:val="24"/>
        </w:rPr>
        <w:t xml:space="preserve">realised. Key themes from the article will be highlighted, </w:t>
      </w:r>
      <w:r>
        <w:rPr>
          <w:bCs/>
          <w:sz w:val="24"/>
          <w:szCs w:val="24"/>
        </w:rPr>
        <w:t>reflecting on</w:t>
      </w:r>
      <w:r w:rsidRPr="007B7A5B">
        <w:rPr>
          <w:bCs/>
          <w:sz w:val="24"/>
          <w:szCs w:val="24"/>
        </w:rPr>
        <w:t xml:space="preserve"> Government legislation and policy, wider research and personal reflection to inform the discussion</w:t>
      </w:r>
      <w:r>
        <w:rPr>
          <w:bCs/>
          <w:sz w:val="24"/>
          <w:szCs w:val="24"/>
        </w:rPr>
        <w:t xml:space="preserve"> and conclude with personal and wider recommendations.</w:t>
      </w:r>
    </w:p>
    <w:p w14:paraId="664E1A45" w14:textId="77777777" w:rsidR="00A9278F" w:rsidRDefault="00A9278F" w:rsidP="00A9278F">
      <w:pPr>
        <w:spacing w:line="360" w:lineRule="auto"/>
        <w:jc w:val="both"/>
        <w:rPr>
          <w:bCs/>
          <w:sz w:val="24"/>
          <w:szCs w:val="24"/>
        </w:rPr>
      </w:pPr>
    </w:p>
    <w:p w14:paraId="5D52B82F" w14:textId="77777777" w:rsidR="00A9278F" w:rsidRDefault="00A9278F" w:rsidP="00A9278F">
      <w:pPr>
        <w:spacing w:line="360" w:lineRule="auto"/>
        <w:jc w:val="both"/>
        <w:rPr>
          <w:bCs/>
          <w:sz w:val="24"/>
          <w:szCs w:val="24"/>
        </w:rPr>
      </w:pPr>
      <w:r>
        <w:rPr>
          <w:bCs/>
          <w:sz w:val="24"/>
          <w:szCs w:val="24"/>
        </w:rPr>
        <w:t>It is important to note that in 2013 The Philippine Government began educational reform resulting from a UNESCO (2008)  report which found that due to under-funding achievement had fallen with the Philippines being ranked 24</w:t>
      </w:r>
      <w:r w:rsidRPr="00864DEB">
        <w:rPr>
          <w:bCs/>
          <w:sz w:val="24"/>
          <w:szCs w:val="24"/>
          <w:vertAlign w:val="superscript"/>
        </w:rPr>
        <w:t>th</w:t>
      </w:r>
      <w:r>
        <w:rPr>
          <w:bCs/>
          <w:sz w:val="24"/>
          <w:szCs w:val="24"/>
        </w:rPr>
        <w:t xml:space="preserve"> out of 38 countries in high school mathematics  (</w:t>
      </w:r>
      <w:r>
        <w:rPr>
          <w:sz w:val="24"/>
          <w:szCs w:val="24"/>
        </w:rPr>
        <w:t xml:space="preserve">Macha, Mackie and </w:t>
      </w:r>
      <w:proofErr w:type="spellStart"/>
      <w:r>
        <w:rPr>
          <w:sz w:val="24"/>
          <w:szCs w:val="24"/>
        </w:rPr>
        <w:t>Magaziner</w:t>
      </w:r>
      <w:proofErr w:type="spellEnd"/>
      <w:r>
        <w:rPr>
          <w:sz w:val="24"/>
          <w:szCs w:val="24"/>
        </w:rPr>
        <w:t xml:space="preserve">, 2018). </w:t>
      </w:r>
      <w:r>
        <w:rPr>
          <w:bCs/>
          <w:sz w:val="24"/>
          <w:szCs w:val="24"/>
        </w:rPr>
        <w:t xml:space="preserve"> The authors of the article being reviewed focus on mathematics, thus have a clear agenda. They also wrote, ‘Educational Reform and Innovation in Asia Specific’ (Bernardo and </w:t>
      </w:r>
      <w:proofErr w:type="spellStart"/>
      <w:r>
        <w:rPr>
          <w:bCs/>
          <w:sz w:val="24"/>
          <w:szCs w:val="24"/>
        </w:rPr>
        <w:t>Gaerlan</w:t>
      </w:r>
      <w:proofErr w:type="spellEnd"/>
      <w:r>
        <w:rPr>
          <w:bCs/>
          <w:sz w:val="24"/>
          <w:szCs w:val="24"/>
        </w:rPr>
        <w:t xml:space="preserve">, 2013). This could suggest that these individuals are respected in their research areas, however, the article also refers to much of their own previous research, one of which is an unpublished doctoral dissertation which could therefore suggest a biased, unbalanced and un evidenced  approach to the content.  The article is also quick to conclude that none of their research is actually conclusive. </w:t>
      </w:r>
    </w:p>
    <w:p w14:paraId="4970CB39" w14:textId="77777777" w:rsidR="00A9278F" w:rsidRDefault="00A9278F" w:rsidP="00A9278F">
      <w:pPr>
        <w:spacing w:line="360" w:lineRule="auto"/>
        <w:jc w:val="both"/>
        <w:rPr>
          <w:bCs/>
          <w:sz w:val="24"/>
          <w:szCs w:val="24"/>
        </w:rPr>
      </w:pPr>
    </w:p>
    <w:p w14:paraId="073135FB" w14:textId="77777777" w:rsidR="00A9278F" w:rsidRDefault="00A9278F" w:rsidP="00A9278F">
      <w:pPr>
        <w:spacing w:line="360" w:lineRule="auto"/>
        <w:jc w:val="both"/>
        <w:rPr>
          <w:bCs/>
          <w:sz w:val="24"/>
          <w:szCs w:val="24"/>
        </w:rPr>
      </w:pPr>
      <w:r w:rsidRPr="007B7A5B">
        <w:rPr>
          <w:bCs/>
          <w:sz w:val="24"/>
          <w:szCs w:val="24"/>
        </w:rPr>
        <w:t xml:space="preserve">The study </w:t>
      </w:r>
      <w:r>
        <w:rPr>
          <w:bCs/>
          <w:sz w:val="24"/>
          <w:szCs w:val="24"/>
        </w:rPr>
        <w:t xml:space="preserve">focusses on </w:t>
      </w:r>
      <w:r w:rsidRPr="007B7A5B">
        <w:rPr>
          <w:bCs/>
          <w:sz w:val="24"/>
          <w:szCs w:val="24"/>
        </w:rPr>
        <w:t xml:space="preserve">the, ‘experience of bilingual learners as they undertake learning activities </w:t>
      </w:r>
      <w:r w:rsidRPr="007B7A5B">
        <w:rPr>
          <w:bCs/>
          <w:i/>
          <w:sz w:val="24"/>
          <w:szCs w:val="24"/>
        </w:rPr>
        <w:t>in</w:t>
      </w:r>
      <w:r w:rsidRPr="007B7A5B">
        <w:rPr>
          <w:bCs/>
          <w:sz w:val="24"/>
          <w:szCs w:val="24"/>
        </w:rPr>
        <w:t xml:space="preserve"> English</w:t>
      </w:r>
      <w:r>
        <w:rPr>
          <w:bCs/>
          <w:sz w:val="24"/>
          <w:szCs w:val="24"/>
        </w:rPr>
        <w:t xml:space="preserve">; a </w:t>
      </w:r>
      <w:r w:rsidRPr="007B7A5B">
        <w:rPr>
          <w:bCs/>
          <w:sz w:val="24"/>
          <w:szCs w:val="24"/>
        </w:rPr>
        <w:t>second language for them…</w:t>
      </w:r>
      <w:r>
        <w:rPr>
          <w:bCs/>
          <w:sz w:val="24"/>
          <w:szCs w:val="24"/>
        </w:rPr>
        <w:t>i</w:t>
      </w:r>
      <w:r w:rsidRPr="007B7A5B">
        <w:rPr>
          <w:bCs/>
          <w:sz w:val="24"/>
          <w:szCs w:val="24"/>
        </w:rPr>
        <w:t xml:space="preserve">n order that they can learn English, </w:t>
      </w:r>
      <w:r>
        <w:rPr>
          <w:bCs/>
          <w:sz w:val="24"/>
          <w:szCs w:val="24"/>
        </w:rPr>
        <w:t>within mathematics lessons</w:t>
      </w:r>
      <w:r w:rsidRPr="007B7A5B">
        <w:rPr>
          <w:bCs/>
          <w:sz w:val="24"/>
          <w:szCs w:val="24"/>
        </w:rPr>
        <w:t xml:space="preserve"> (Bernardo and </w:t>
      </w:r>
      <w:proofErr w:type="spellStart"/>
      <w:r w:rsidRPr="007B7A5B">
        <w:rPr>
          <w:bCs/>
          <w:sz w:val="24"/>
          <w:szCs w:val="24"/>
        </w:rPr>
        <w:t>Gaerlan</w:t>
      </w:r>
      <w:proofErr w:type="spellEnd"/>
      <w:r w:rsidRPr="007B7A5B">
        <w:rPr>
          <w:bCs/>
          <w:sz w:val="24"/>
          <w:szCs w:val="24"/>
        </w:rPr>
        <w:t>, 20</w:t>
      </w:r>
      <w:r>
        <w:rPr>
          <w:bCs/>
          <w:sz w:val="24"/>
          <w:szCs w:val="24"/>
        </w:rPr>
        <w:t>11, p</w:t>
      </w:r>
      <w:r w:rsidRPr="007B7A5B">
        <w:rPr>
          <w:bCs/>
          <w:sz w:val="24"/>
          <w:szCs w:val="24"/>
        </w:rPr>
        <w:t>.2)</w:t>
      </w:r>
      <w:r>
        <w:rPr>
          <w:bCs/>
          <w:sz w:val="24"/>
          <w:szCs w:val="24"/>
        </w:rPr>
        <w:t xml:space="preserve"> and uses two different perspectives to identify impacting factors; Psycholinguistic and Sociolinguistic. </w:t>
      </w:r>
      <w:r w:rsidRPr="007B7A5B">
        <w:rPr>
          <w:bCs/>
          <w:sz w:val="24"/>
          <w:szCs w:val="24"/>
        </w:rPr>
        <w:t xml:space="preserve"> </w:t>
      </w:r>
      <w:r>
        <w:rPr>
          <w:bCs/>
          <w:sz w:val="24"/>
          <w:szCs w:val="24"/>
        </w:rPr>
        <w:t xml:space="preserve">The article, however, does </w:t>
      </w:r>
      <w:r>
        <w:rPr>
          <w:bCs/>
          <w:sz w:val="24"/>
          <w:szCs w:val="24"/>
        </w:rPr>
        <w:lastRenderedPageBreak/>
        <w:t>not establish the sample class size and the length of time of the research. Baker (2011) suggests that as a response to world mobility and employability that CLIL has for the last two decades already been implemented as a form of education.</w:t>
      </w:r>
    </w:p>
    <w:p w14:paraId="05F0A3B9" w14:textId="77777777" w:rsidR="00A9278F" w:rsidRDefault="00A9278F" w:rsidP="00A9278F">
      <w:pPr>
        <w:spacing w:line="360" w:lineRule="auto"/>
        <w:jc w:val="both"/>
        <w:rPr>
          <w:bCs/>
          <w:sz w:val="24"/>
          <w:szCs w:val="24"/>
        </w:rPr>
      </w:pPr>
    </w:p>
    <w:p w14:paraId="7BC592E5" w14:textId="77777777" w:rsidR="00A9278F" w:rsidRPr="00471232" w:rsidRDefault="00A9278F" w:rsidP="00A9278F">
      <w:pPr>
        <w:spacing w:line="360" w:lineRule="auto"/>
        <w:jc w:val="both"/>
        <w:rPr>
          <w:bCs/>
          <w:sz w:val="24"/>
          <w:szCs w:val="24"/>
          <w:u w:val="single"/>
        </w:rPr>
      </w:pPr>
      <w:r w:rsidRPr="00471232">
        <w:rPr>
          <w:bCs/>
          <w:sz w:val="24"/>
          <w:szCs w:val="24"/>
          <w:u w:val="single"/>
        </w:rPr>
        <w:t>Psycholinguistic</w:t>
      </w:r>
    </w:p>
    <w:p w14:paraId="65A15F37" w14:textId="77777777" w:rsidR="00A9278F" w:rsidRDefault="00A9278F" w:rsidP="00A9278F">
      <w:pPr>
        <w:spacing w:line="360" w:lineRule="auto"/>
        <w:jc w:val="both"/>
        <w:rPr>
          <w:bCs/>
          <w:sz w:val="24"/>
          <w:szCs w:val="24"/>
        </w:rPr>
      </w:pPr>
      <w:r w:rsidRPr="00015D18">
        <w:rPr>
          <w:bCs/>
          <w:sz w:val="24"/>
          <w:szCs w:val="24"/>
        </w:rPr>
        <w:t xml:space="preserve">The </w:t>
      </w:r>
      <w:r>
        <w:rPr>
          <w:bCs/>
          <w:sz w:val="24"/>
          <w:szCs w:val="24"/>
        </w:rPr>
        <w:t xml:space="preserve">article identified that non-native English speakers who learnt and performed, ‘mathematical problem-solving tasks and analogical problems in maths </w:t>
      </w:r>
      <w:r w:rsidRPr="00FC0AFB">
        <w:rPr>
          <w:bCs/>
          <w:i/>
          <w:sz w:val="24"/>
          <w:szCs w:val="24"/>
        </w:rPr>
        <w:t>in</w:t>
      </w:r>
      <w:r>
        <w:rPr>
          <w:bCs/>
          <w:sz w:val="24"/>
          <w:szCs w:val="24"/>
        </w:rPr>
        <w:t xml:space="preserve"> English’  (Bernardo and </w:t>
      </w:r>
      <w:proofErr w:type="spellStart"/>
      <w:r>
        <w:rPr>
          <w:bCs/>
          <w:sz w:val="24"/>
          <w:szCs w:val="24"/>
        </w:rPr>
        <w:t>Gaerlan</w:t>
      </w:r>
      <w:proofErr w:type="spellEnd"/>
      <w:r>
        <w:rPr>
          <w:bCs/>
          <w:sz w:val="24"/>
          <w:szCs w:val="24"/>
        </w:rPr>
        <w:t xml:space="preserve">, 2011, p.3) were more successful with their accuracy in using relevant and high frequency vocabulary and retrieving basic arithmetic facts. </w:t>
      </w:r>
      <w:proofErr w:type="spellStart"/>
      <w:r>
        <w:rPr>
          <w:bCs/>
          <w:sz w:val="24"/>
          <w:szCs w:val="24"/>
        </w:rPr>
        <w:t>Lightbrown</w:t>
      </w:r>
      <w:proofErr w:type="spellEnd"/>
      <w:r>
        <w:rPr>
          <w:bCs/>
          <w:sz w:val="24"/>
          <w:szCs w:val="24"/>
        </w:rPr>
        <w:t xml:space="preserve"> and Spada (2006) support these findings, as the process involved memory retrieval; information that was learned in English. Therefore, information retrieved is more successful if it has been acquired in that same language. </w:t>
      </w:r>
    </w:p>
    <w:p w14:paraId="7ACE9CEA" w14:textId="77777777" w:rsidR="00A9278F" w:rsidRDefault="00A9278F" w:rsidP="00A9278F">
      <w:pPr>
        <w:spacing w:line="360" w:lineRule="auto"/>
        <w:jc w:val="both"/>
        <w:rPr>
          <w:bCs/>
          <w:sz w:val="24"/>
          <w:szCs w:val="24"/>
        </w:rPr>
      </w:pPr>
    </w:p>
    <w:p w14:paraId="6366B857" w14:textId="77777777" w:rsidR="00A9278F" w:rsidRPr="000E7F8A" w:rsidRDefault="00A9278F" w:rsidP="00A9278F">
      <w:pPr>
        <w:spacing w:line="360" w:lineRule="auto"/>
        <w:jc w:val="both"/>
        <w:rPr>
          <w:rFonts w:eastAsiaTheme="minorEastAsia"/>
          <w:sz w:val="24"/>
          <w:szCs w:val="24"/>
        </w:rPr>
      </w:pPr>
      <w:r>
        <w:rPr>
          <w:bCs/>
          <w:sz w:val="24"/>
          <w:szCs w:val="24"/>
        </w:rPr>
        <w:t xml:space="preserve">In contrast the article  highlighted that for comprehension and deep understanding to take place, with reference to mathematic word problems, the ‘comprehension, understanding and application of conceptual knowledge’ (Bernardo and </w:t>
      </w:r>
      <w:proofErr w:type="spellStart"/>
      <w:r>
        <w:rPr>
          <w:bCs/>
          <w:sz w:val="24"/>
          <w:szCs w:val="24"/>
        </w:rPr>
        <w:t>Gaerlan</w:t>
      </w:r>
      <w:proofErr w:type="spellEnd"/>
      <w:r>
        <w:rPr>
          <w:bCs/>
          <w:sz w:val="24"/>
          <w:szCs w:val="24"/>
        </w:rPr>
        <w:t xml:space="preserve"> ,2011, p.3) is more successful when learning in the mother tongue, as opposed to learning in the second language. Francis (</w:t>
      </w:r>
      <w:r w:rsidRPr="00DE56E0">
        <w:rPr>
          <w:bCs/>
          <w:sz w:val="24"/>
          <w:szCs w:val="24"/>
        </w:rPr>
        <w:t>1999) would agree that when solving problem</w:t>
      </w:r>
      <w:r>
        <w:rPr>
          <w:bCs/>
          <w:sz w:val="24"/>
          <w:szCs w:val="24"/>
        </w:rPr>
        <w:t>’s</w:t>
      </w:r>
      <w:r w:rsidRPr="00DE56E0">
        <w:rPr>
          <w:bCs/>
          <w:sz w:val="24"/>
          <w:szCs w:val="24"/>
        </w:rPr>
        <w:t xml:space="preserve"> </w:t>
      </w:r>
      <w:r>
        <w:rPr>
          <w:bCs/>
          <w:sz w:val="24"/>
          <w:szCs w:val="24"/>
        </w:rPr>
        <w:t>both the process and answer must both be e</w:t>
      </w:r>
      <w:r w:rsidRPr="00DE56E0">
        <w:rPr>
          <w:bCs/>
          <w:sz w:val="24"/>
          <w:szCs w:val="24"/>
        </w:rPr>
        <w:t xml:space="preserve">xpressed in the target language, Furthermore, Marian and Neisser (2000, p.1) </w:t>
      </w:r>
      <w:r>
        <w:rPr>
          <w:bCs/>
          <w:sz w:val="24"/>
          <w:szCs w:val="24"/>
        </w:rPr>
        <w:t>argued that</w:t>
      </w:r>
      <w:r w:rsidRPr="00DE56E0">
        <w:rPr>
          <w:sz w:val="24"/>
          <w:szCs w:val="24"/>
        </w:rPr>
        <w:t xml:space="preserve">, ‘language at the time of retrieval, like other forms of context, plays a significant role in determining what will be remembered.’ </w:t>
      </w:r>
      <w:r>
        <w:rPr>
          <w:sz w:val="24"/>
          <w:szCs w:val="24"/>
        </w:rPr>
        <w:t xml:space="preserve">An important factor not discussed in the article but highlighted by </w:t>
      </w:r>
      <w:proofErr w:type="spellStart"/>
      <w:r w:rsidRPr="00DE56E0">
        <w:rPr>
          <w:sz w:val="24"/>
          <w:szCs w:val="24"/>
        </w:rPr>
        <w:t>Lightbrown</w:t>
      </w:r>
      <w:proofErr w:type="spellEnd"/>
      <w:r w:rsidRPr="00DE56E0">
        <w:rPr>
          <w:sz w:val="24"/>
          <w:szCs w:val="24"/>
        </w:rPr>
        <w:t xml:space="preserve"> and Spada (20</w:t>
      </w:r>
      <w:r>
        <w:rPr>
          <w:sz w:val="24"/>
          <w:szCs w:val="24"/>
        </w:rPr>
        <w:t>06</w:t>
      </w:r>
      <w:r w:rsidRPr="00DE56E0">
        <w:rPr>
          <w:sz w:val="24"/>
          <w:szCs w:val="24"/>
        </w:rPr>
        <w:t xml:space="preserve">) </w:t>
      </w:r>
      <w:r>
        <w:rPr>
          <w:sz w:val="24"/>
          <w:szCs w:val="24"/>
        </w:rPr>
        <w:t>is that the</w:t>
      </w:r>
      <w:r w:rsidRPr="00DE56E0">
        <w:rPr>
          <w:sz w:val="24"/>
          <w:szCs w:val="24"/>
        </w:rPr>
        <w:t xml:space="preserve"> second language learners need more time to process a text as they</w:t>
      </w:r>
      <w:r>
        <w:rPr>
          <w:sz w:val="24"/>
          <w:szCs w:val="24"/>
        </w:rPr>
        <w:t xml:space="preserve"> take</w:t>
      </w:r>
      <w:r w:rsidRPr="00DE56E0">
        <w:rPr>
          <w:sz w:val="24"/>
          <w:szCs w:val="24"/>
        </w:rPr>
        <w:t xml:space="preserve"> time to process meanings of individual words rather than a whole text</w:t>
      </w:r>
      <w:r>
        <w:rPr>
          <w:sz w:val="24"/>
          <w:szCs w:val="24"/>
        </w:rPr>
        <w:t xml:space="preserve">. This highlights the importance of having clear outcomes of the target language for learners; for Wales </w:t>
      </w:r>
      <w:r w:rsidRPr="00075589">
        <w:rPr>
          <w:sz w:val="24"/>
          <w:szCs w:val="24"/>
        </w:rPr>
        <w:t xml:space="preserve">the </w:t>
      </w:r>
      <w:r w:rsidRPr="00075589">
        <w:rPr>
          <w:rFonts w:eastAsiaTheme="minorEastAsia"/>
          <w:sz w:val="24"/>
          <w:szCs w:val="24"/>
        </w:rPr>
        <w:t xml:space="preserve"> primary emphasis will be to teach Welsh as a means of communication, focussing on </w:t>
      </w:r>
      <w:proofErr w:type="spellStart"/>
      <w:r w:rsidRPr="00075589">
        <w:rPr>
          <w:rFonts w:eastAsiaTheme="minorEastAsia"/>
          <w:sz w:val="24"/>
          <w:szCs w:val="24"/>
        </w:rPr>
        <w:t>oracy</w:t>
      </w:r>
      <w:proofErr w:type="spellEnd"/>
      <w:r w:rsidRPr="00075589">
        <w:rPr>
          <w:rFonts w:eastAsiaTheme="minorEastAsia"/>
          <w:sz w:val="24"/>
          <w:szCs w:val="24"/>
        </w:rPr>
        <w:t>, with technology to support and further develop language acquisition (WAG, 2017</w:t>
      </w:r>
      <w:r>
        <w:rPr>
          <w:rFonts w:eastAsiaTheme="minorEastAsia"/>
          <w:sz w:val="24"/>
          <w:szCs w:val="24"/>
        </w:rPr>
        <w:t>b</w:t>
      </w:r>
      <w:r w:rsidRPr="00075589">
        <w:rPr>
          <w:rFonts w:eastAsiaTheme="minorEastAsia"/>
          <w:sz w:val="24"/>
          <w:szCs w:val="24"/>
        </w:rPr>
        <w:t>)</w:t>
      </w:r>
      <w:r>
        <w:rPr>
          <w:rFonts w:eastAsiaTheme="minorEastAsia"/>
          <w:sz w:val="24"/>
          <w:szCs w:val="24"/>
        </w:rPr>
        <w:t xml:space="preserve">. </w:t>
      </w:r>
    </w:p>
    <w:p w14:paraId="76BABAD8" w14:textId="77777777" w:rsidR="00A9278F" w:rsidRDefault="00A9278F" w:rsidP="00A9278F">
      <w:pPr>
        <w:spacing w:line="360" w:lineRule="auto"/>
        <w:jc w:val="both"/>
        <w:rPr>
          <w:color w:val="333333"/>
          <w:sz w:val="24"/>
          <w:szCs w:val="24"/>
        </w:rPr>
      </w:pPr>
    </w:p>
    <w:p w14:paraId="749ED71E" w14:textId="77777777" w:rsidR="00A9278F" w:rsidRDefault="00A9278F" w:rsidP="00A9278F">
      <w:pPr>
        <w:spacing w:line="360" w:lineRule="auto"/>
        <w:jc w:val="both"/>
        <w:rPr>
          <w:bCs/>
          <w:sz w:val="24"/>
          <w:szCs w:val="24"/>
        </w:rPr>
      </w:pPr>
      <w:r>
        <w:rPr>
          <w:bCs/>
          <w:sz w:val="24"/>
          <w:szCs w:val="24"/>
        </w:rPr>
        <w:t xml:space="preserve">Nevertheless, Francis (1999,) Hawkins and </w:t>
      </w:r>
      <w:proofErr w:type="spellStart"/>
      <w:r>
        <w:rPr>
          <w:bCs/>
          <w:sz w:val="24"/>
          <w:szCs w:val="24"/>
        </w:rPr>
        <w:t>Towell</w:t>
      </w:r>
      <w:proofErr w:type="spellEnd"/>
      <w:r>
        <w:rPr>
          <w:bCs/>
          <w:sz w:val="24"/>
          <w:szCs w:val="24"/>
        </w:rPr>
        <w:t xml:space="preserve"> (1994) argue that the important factor is deciding where the information </w:t>
      </w:r>
      <w:r w:rsidRPr="00FE1627">
        <w:rPr>
          <w:bCs/>
          <w:sz w:val="24"/>
          <w:szCs w:val="24"/>
        </w:rPr>
        <w:t>learned is relevant and</w:t>
      </w:r>
      <w:r>
        <w:rPr>
          <w:bCs/>
          <w:sz w:val="24"/>
          <w:szCs w:val="24"/>
        </w:rPr>
        <w:t xml:space="preserve"> applying it, in contrast to simply being able to recall information. In addition, The Cambridge Educational Team (date unknown) add that the content and vocabulary of the learning through the second language must be meaningful, authentic, allowing for critical thinking and communication. Furthermore, </w:t>
      </w:r>
      <w:proofErr w:type="spellStart"/>
      <w:r>
        <w:rPr>
          <w:bCs/>
          <w:sz w:val="24"/>
          <w:szCs w:val="24"/>
        </w:rPr>
        <w:t>Mererid</w:t>
      </w:r>
      <w:proofErr w:type="spellEnd"/>
      <w:r>
        <w:rPr>
          <w:bCs/>
          <w:sz w:val="24"/>
          <w:szCs w:val="24"/>
        </w:rPr>
        <w:t xml:space="preserve"> et al (2018) found that in </w:t>
      </w:r>
      <w:proofErr w:type="spellStart"/>
      <w:r>
        <w:rPr>
          <w:bCs/>
          <w:sz w:val="24"/>
          <w:szCs w:val="24"/>
        </w:rPr>
        <w:t>Fryslan</w:t>
      </w:r>
      <w:proofErr w:type="spellEnd"/>
      <w:r>
        <w:rPr>
          <w:bCs/>
          <w:sz w:val="24"/>
          <w:szCs w:val="24"/>
        </w:rPr>
        <w:t xml:space="preserve"> and Finland </w:t>
      </w:r>
      <w:r w:rsidRPr="00FE1627">
        <w:rPr>
          <w:bCs/>
          <w:sz w:val="24"/>
          <w:szCs w:val="24"/>
        </w:rPr>
        <w:t>schools the authenticity created</w:t>
      </w:r>
      <w:r>
        <w:rPr>
          <w:bCs/>
          <w:sz w:val="24"/>
          <w:szCs w:val="24"/>
        </w:rPr>
        <w:t xml:space="preserve"> in lessons engaged the learners more and led to more successful learning. It is difficult to ascertain the content and relevance of the lesson in this article as no specific details are given. Within the new curriculum in Wales (Donaldson, 2015) the challenges will be to create opportunities whereby comprehension and deep understanding can take place. On reflection observations within the Foundation Phase noted that this did occur when children’s </w:t>
      </w:r>
      <w:proofErr w:type="spellStart"/>
      <w:r>
        <w:rPr>
          <w:bCs/>
          <w:sz w:val="24"/>
          <w:szCs w:val="24"/>
        </w:rPr>
        <w:t>oracy</w:t>
      </w:r>
      <w:proofErr w:type="spellEnd"/>
      <w:r>
        <w:rPr>
          <w:bCs/>
          <w:sz w:val="24"/>
          <w:szCs w:val="24"/>
        </w:rPr>
        <w:t xml:space="preserve"> skills were fostered and promoted through first-hand sensory experiences (WAG, 2015c). </w:t>
      </w:r>
    </w:p>
    <w:p w14:paraId="0CAF9469" w14:textId="77777777" w:rsidR="00A9278F" w:rsidRDefault="00A9278F" w:rsidP="00A9278F">
      <w:pPr>
        <w:spacing w:line="360" w:lineRule="auto"/>
        <w:jc w:val="both"/>
        <w:rPr>
          <w:bCs/>
          <w:sz w:val="24"/>
          <w:szCs w:val="24"/>
        </w:rPr>
      </w:pPr>
    </w:p>
    <w:p w14:paraId="46DD3305" w14:textId="77777777" w:rsidR="00A9278F" w:rsidRDefault="00A9278F" w:rsidP="00A9278F">
      <w:pPr>
        <w:spacing w:line="360" w:lineRule="auto"/>
        <w:jc w:val="both"/>
        <w:rPr>
          <w:bCs/>
          <w:sz w:val="24"/>
          <w:szCs w:val="24"/>
        </w:rPr>
      </w:pPr>
      <w:r>
        <w:rPr>
          <w:bCs/>
          <w:sz w:val="24"/>
          <w:szCs w:val="24"/>
        </w:rPr>
        <w:t xml:space="preserve">The authors discuss studies that have been undertaken in other bilingual populations and refer to the benefits of code switching, concluding that this form of learning experience, ‘point to how the bilinguals’ ability to use two languages may actually serve as important resources in their learning’ (Bernardo and </w:t>
      </w:r>
      <w:proofErr w:type="spellStart"/>
      <w:r>
        <w:rPr>
          <w:bCs/>
          <w:sz w:val="24"/>
          <w:szCs w:val="24"/>
        </w:rPr>
        <w:t>Gaerlan</w:t>
      </w:r>
      <w:proofErr w:type="spellEnd"/>
      <w:r>
        <w:rPr>
          <w:bCs/>
          <w:sz w:val="24"/>
          <w:szCs w:val="24"/>
        </w:rPr>
        <w:t xml:space="preserve">, 2011, p. 4). Garcia (2009) agrees that this form of learning can help learners achieve a full range of understanding, whilst </w:t>
      </w:r>
      <w:proofErr w:type="spellStart"/>
      <w:r>
        <w:rPr>
          <w:bCs/>
          <w:sz w:val="24"/>
          <w:szCs w:val="24"/>
        </w:rPr>
        <w:t>Gumperz</w:t>
      </w:r>
      <w:proofErr w:type="spellEnd"/>
      <w:r>
        <w:rPr>
          <w:bCs/>
          <w:sz w:val="24"/>
          <w:szCs w:val="24"/>
        </w:rPr>
        <w:t xml:space="preserve"> (1982) adds  that the switching can also be for social reasons to expand and elaborate ideas, used as a scaffolding strategy (Vygotsky, 1978)  leading to motivation and successful </w:t>
      </w:r>
      <w:r w:rsidRPr="00D046E1">
        <w:rPr>
          <w:bCs/>
          <w:sz w:val="24"/>
          <w:szCs w:val="24"/>
        </w:rPr>
        <w:t>learning</w:t>
      </w:r>
      <w:r>
        <w:rPr>
          <w:bCs/>
          <w:sz w:val="24"/>
          <w:szCs w:val="24"/>
        </w:rPr>
        <w:t xml:space="preserve"> (</w:t>
      </w:r>
      <w:r w:rsidRPr="00D046E1">
        <w:rPr>
          <w:bCs/>
          <w:sz w:val="24"/>
          <w:szCs w:val="24"/>
        </w:rPr>
        <w:t>Coyle, 2013</w:t>
      </w:r>
      <w:r>
        <w:rPr>
          <w:bCs/>
          <w:sz w:val="24"/>
          <w:szCs w:val="24"/>
        </w:rPr>
        <w:t xml:space="preserve"> and</w:t>
      </w:r>
      <w:r w:rsidRPr="00D046E1">
        <w:rPr>
          <w:bCs/>
          <w:sz w:val="24"/>
          <w:szCs w:val="24"/>
        </w:rPr>
        <w:t xml:space="preserve"> Lamb, 2017</w:t>
      </w:r>
      <w:r>
        <w:rPr>
          <w:bCs/>
          <w:sz w:val="24"/>
          <w:szCs w:val="24"/>
        </w:rPr>
        <w:t>)</w:t>
      </w:r>
      <w:r w:rsidRPr="00D046E1">
        <w:rPr>
          <w:bCs/>
          <w:sz w:val="24"/>
          <w:szCs w:val="24"/>
        </w:rPr>
        <w:t>.</w:t>
      </w:r>
      <w:r>
        <w:rPr>
          <w:bCs/>
          <w:sz w:val="24"/>
          <w:szCs w:val="24"/>
        </w:rPr>
        <w:t xml:space="preserve"> The </w:t>
      </w:r>
      <w:r w:rsidRPr="000563AA">
        <w:rPr>
          <w:bCs/>
          <w:sz w:val="24"/>
          <w:szCs w:val="24"/>
        </w:rPr>
        <w:t>learners’ use expression, body language; situational cues to aid interaction and understanding</w:t>
      </w:r>
      <w:r>
        <w:rPr>
          <w:bCs/>
          <w:sz w:val="24"/>
          <w:szCs w:val="24"/>
        </w:rPr>
        <w:t xml:space="preserve"> (</w:t>
      </w:r>
      <w:proofErr w:type="spellStart"/>
      <w:r>
        <w:rPr>
          <w:bCs/>
          <w:sz w:val="24"/>
          <w:szCs w:val="24"/>
        </w:rPr>
        <w:t>Beardsmore</w:t>
      </w:r>
      <w:proofErr w:type="spellEnd"/>
      <w:r>
        <w:rPr>
          <w:bCs/>
          <w:sz w:val="24"/>
          <w:szCs w:val="24"/>
        </w:rPr>
        <w:t>, 1986). As a student teacher, this pedagogical tool instils a sense of  motivation  and confidence.</w:t>
      </w:r>
    </w:p>
    <w:p w14:paraId="2EFB2D78" w14:textId="77777777" w:rsidR="00A9278F" w:rsidRDefault="00A9278F" w:rsidP="00A9278F">
      <w:pPr>
        <w:spacing w:line="360" w:lineRule="auto"/>
        <w:jc w:val="both"/>
        <w:rPr>
          <w:bCs/>
          <w:sz w:val="24"/>
          <w:szCs w:val="24"/>
        </w:rPr>
      </w:pPr>
    </w:p>
    <w:p w14:paraId="750C2896" w14:textId="77777777" w:rsidR="00A9278F" w:rsidRDefault="00A9278F" w:rsidP="00A9278F">
      <w:pPr>
        <w:spacing w:line="360" w:lineRule="auto"/>
        <w:jc w:val="both"/>
        <w:rPr>
          <w:bCs/>
          <w:sz w:val="24"/>
          <w:szCs w:val="24"/>
        </w:rPr>
      </w:pPr>
      <w:r w:rsidRPr="00CB4A0F">
        <w:rPr>
          <w:bCs/>
          <w:sz w:val="24"/>
          <w:szCs w:val="24"/>
        </w:rPr>
        <w:t>Cummins and Swain (1986) argue that this code switching produces lower academic results, however, CLIL research suggests that it can enhance cognitive skills, ‘for the content matter of non-language subjects such as mathematics or history (Serra, 2007</w:t>
      </w:r>
      <w:r>
        <w:rPr>
          <w:bCs/>
          <w:sz w:val="24"/>
          <w:szCs w:val="24"/>
        </w:rPr>
        <w:t>, p.35</w:t>
      </w:r>
      <w:r w:rsidRPr="00CB4A0F">
        <w:rPr>
          <w:bCs/>
          <w:sz w:val="24"/>
          <w:szCs w:val="24"/>
        </w:rPr>
        <w:t>)</w:t>
      </w:r>
      <w:r>
        <w:rPr>
          <w:bCs/>
          <w:sz w:val="24"/>
          <w:szCs w:val="24"/>
        </w:rPr>
        <w:t xml:space="preserve">. Furthermore, Peel and Lambert (1962) argue that code-switching enhances mental flexibility compared to non-linguistic peers, a key future skill (The World Economic Forum, 2019). Indeed, </w:t>
      </w:r>
      <w:proofErr w:type="spellStart"/>
      <w:r>
        <w:rPr>
          <w:bCs/>
          <w:sz w:val="24"/>
          <w:szCs w:val="24"/>
        </w:rPr>
        <w:t>Andersona</w:t>
      </w:r>
      <w:proofErr w:type="spellEnd"/>
      <w:r>
        <w:rPr>
          <w:bCs/>
          <w:sz w:val="24"/>
          <w:szCs w:val="24"/>
        </w:rPr>
        <w:t xml:space="preserve"> et al (2018) added that this was particularly enhanced when learners were engaged in non-verbal cognitive tasks. Collaboration, communication and interaction with others is central to the new Curriculum (Donaldson, 2015) but will need highly competent staff who can use strategies across all areas of the curriculum; with Welsh now part of the Languages, Literacy and Communication AOLE. Cummins (2000) emphasises this arguing that both </w:t>
      </w:r>
      <w:r w:rsidRPr="00CB4A0F">
        <w:rPr>
          <w:bCs/>
          <w:sz w:val="24"/>
          <w:szCs w:val="24"/>
        </w:rPr>
        <w:t xml:space="preserve">linguistic enrichment </w:t>
      </w:r>
      <w:r>
        <w:rPr>
          <w:bCs/>
          <w:sz w:val="24"/>
          <w:szCs w:val="24"/>
        </w:rPr>
        <w:t xml:space="preserve">and </w:t>
      </w:r>
      <w:r w:rsidRPr="00CB4A0F">
        <w:rPr>
          <w:bCs/>
          <w:sz w:val="24"/>
          <w:szCs w:val="24"/>
        </w:rPr>
        <w:t xml:space="preserve"> cognitive connections can be made, but only if both language are used together</w:t>
      </w:r>
      <w:r>
        <w:rPr>
          <w:bCs/>
          <w:sz w:val="24"/>
          <w:szCs w:val="24"/>
        </w:rPr>
        <w:t xml:space="preserve">. </w:t>
      </w:r>
      <w:proofErr w:type="spellStart"/>
      <w:r>
        <w:rPr>
          <w:bCs/>
          <w:sz w:val="24"/>
          <w:szCs w:val="24"/>
        </w:rPr>
        <w:t>Bunyi</w:t>
      </w:r>
      <w:proofErr w:type="spellEnd"/>
      <w:r>
        <w:rPr>
          <w:bCs/>
          <w:sz w:val="24"/>
          <w:szCs w:val="24"/>
        </w:rPr>
        <w:t xml:space="preserve"> (1992) also  recognises that code-switching is a good pedagogical tool for teachers to use, to refocus attention and reinforce subject content within lessons. However, in contrast, Garcia (2009) argues that random code-switching can encourage the majority language to take place over the minority language. With staff that are not confident in Welsh, this may occur more readily.</w:t>
      </w:r>
    </w:p>
    <w:p w14:paraId="6E7DF415" w14:textId="77777777" w:rsidR="00A9278F" w:rsidRDefault="00A9278F" w:rsidP="00A9278F">
      <w:pPr>
        <w:spacing w:line="360" w:lineRule="auto"/>
        <w:jc w:val="both"/>
        <w:rPr>
          <w:bCs/>
          <w:sz w:val="24"/>
          <w:szCs w:val="24"/>
        </w:rPr>
      </w:pPr>
    </w:p>
    <w:p w14:paraId="7109B18D" w14:textId="77777777" w:rsidR="00A9278F" w:rsidRDefault="00A9278F" w:rsidP="00A9278F">
      <w:pPr>
        <w:spacing w:line="360" w:lineRule="auto"/>
        <w:jc w:val="both"/>
        <w:rPr>
          <w:bCs/>
          <w:sz w:val="24"/>
          <w:szCs w:val="24"/>
        </w:rPr>
      </w:pPr>
      <w:proofErr w:type="spellStart"/>
      <w:r>
        <w:rPr>
          <w:sz w:val="24"/>
          <w:szCs w:val="24"/>
        </w:rPr>
        <w:t>Guirgis</w:t>
      </w:r>
      <w:proofErr w:type="spellEnd"/>
      <w:r>
        <w:rPr>
          <w:sz w:val="24"/>
          <w:szCs w:val="24"/>
        </w:rPr>
        <w:t xml:space="preserve"> and Olson </w:t>
      </w:r>
      <w:r>
        <w:rPr>
          <w:bCs/>
          <w:sz w:val="24"/>
          <w:szCs w:val="24"/>
        </w:rPr>
        <w:t>(2014) argue that the longer period of time that a learner is bilingual, the more cognitive benefits they enjoy, and the article gives no additional information regarding how long these learners had been experiencing the second language. Estyn (2004) highlighted that there is not the continuum for learners from KS2 to KS3 in Welsh second language learning. This consistency in the language is argued as an important factor as Cummins (1979) suggests that the time period required for second language skills in basic inter personal skills and cognitive academic language proficiency is very different.</w:t>
      </w:r>
    </w:p>
    <w:p w14:paraId="1BED6C08" w14:textId="77777777" w:rsidR="00A9278F" w:rsidRDefault="00A9278F" w:rsidP="00A9278F">
      <w:pPr>
        <w:spacing w:line="360" w:lineRule="auto"/>
        <w:jc w:val="both"/>
        <w:rPr>
          <w:bCs/>
          <w:sz w:val="24"/>
          <w:szCs w:val="24"/>
        </w:rPr>
      </w:pPr>
    </w:p>
    <w:p w14:paraId="7E56217B" w14:textId="77777777" w:rsidR="00A9278F" w:rsidRPr="00A46F17" w:rsidRDefault="00A9278F" w:rsidP="00A9278F">
      <w:pPr>
        <w:spacing w:line="360" w:lineRule="auto"/>
        <w:jc w:val="both"/>
        <w:rPr>
          <w:bCs/>
          <w:sz w:val="24"/>
          <w:szCs w:val="24"/>
        </w:rPr>
      </w:pPr>
      <w:r w:rsidRPr="00CB4A0F">
        <w:rPr>
          <w:bCs/>
          <w:sz w:val="24"/>
          <w:szCs w:val="24"/>
          <w:u w:val="single"/>
        </w:rPr>
        <w:t>Sociolinguistic perspectives</w:t>
      </w:r>
    </w:p>
    <w:p w14:paraId="494F5CD3" w14:textId="77777777" w:rsidR="00A9278F" w:rsidRPr="00CB6D4B" w:rsidRDefault="00A9278F" w:rsidP="00A9278F">
      <w:pPr>
        <w:spacing w:line="360" w:lineRule="auto"/>
        <w:jc w:val="both"/>
        <w:rPr>
          <w:sz w:val="24"/>
          <w:szCs w:val="24"/>
        </w:rPr>
      </w:pPr>
      <w:r>
        <w:rPr>
          <w:bCs/>
          <w:sz w:val="24"/>
          <w:szCs w:val="24"/>
        </w:rPr>
        <w:t xml:space="preserve">The authors of the article suggest that other approaches such as Sociolinguistic approaches provide insight into the learning experiences of bilingual learners. </w:t>
      </w:r>
      <w:proofErr w:type="spellStart"/>
      <w:r w:rsidRPr="00CB6D4B">
        <w:rPr>
          <w:bCs/>
          <w:sz w:val="24"/>
          <w:szCs w:val="24"/>
        </w:rPr>
        <w:t>Bernaldo</w:t>
      </w:r>
      <w:proofErr w:type="spellEnd"/>
      <w:r w:rsidRPr="00CB6D4B">
        <w:rPr>
          <w:bCs/>
          <w:sz w:val="24"/>
          <w:szCs w:val="24"/>
        </w:rPr>
        <w:t xml:space="preserve"> and </w:t>
      </w:r>
      <w:proofErr w:type="spellStart"/>
      <w:r w:rsidRPr="00CB6D4B">
        <w:rPr>
          <w:bCs/>
          <w:sz w:val="24"/>
          <w:szCs w:val="24"/>
        </w:rPr>
        <w:t>Gaerlan</w:t>
      </w:r>
      <w:proofErr w:type="spellEnd"/>
      <w:r>
        <w:rPr>
          <w:bCs/>
          <w:sz w:val="24"/>
          <w:szCs w:val="24"/>
        </w:rPr>
        <w:t xml:space="preserve"> </w:t>
      </w:r>
      <w:r w:rsidRPr="00CB6D4B">
        <w:rPr>
          <w:bCs/>
          <w:sz w:val="24"/>
          <w:szCs w:val="24"/>
        </w:rPr>
        <w:t xml:space="preserve"> highlight that, ‘both extrinsic and intrinsic motivations’(2011, p.5) are key in successful learning in English. </w:t>
      </w:r>
      <w:proofErr w:type="spellStart"/>
      <w:r w:rsidRPr="00CB6D4B">
        <w:rPr>
          <w:bCs/>
          <w:sz w:val="24"/>
          <w:szCs w:val="24"/>
        </w:rPr>
        <w:t>Strubell’s</w:t>
      </w:r>
      <w:proofErr w:type="spellEnd"/>
      <w:r w:rsidRPr="00CB6D4B">
        <w:rPr>
          <w:bCs/>
          <w:sz w:val="24"/>
          <w:szCs w:val="24"/>
        </w:rPr>
        <w:t xml:space="preserve"> ‘Catherine Wheel’ Cycle (2011) </w:t>
      </w:r>
      <w:r>
        <w:rPr>
          <w:bCs/>
          <w:sz w:val="24"/>
          <w:szCs w:val="24"/>
        </w:rPr>
        <w:t xml:space="preserve">also indicates that </w:t>
      </w:r>
      <w:r w:rsidRPr="00CB6D4B">
        <w:rPr>
          <w:bCs/>
          <w:sz w:val="24"/>
          <w:szCs w:val="24"/>
        </w:rPr>
        <w:t xml:space="preserve">economic importance of languages is a factor (Baker, 2011) as increased motivation and a drive to learn the language and use the language </w:t>
      </w:r>
      <w:r>
        <w:rPr>
          <w:bCs/>
          <w:sz w:val="24"/>
          <w:szCs w:val="24"/>
        </w:rPr>
        <w:t xml:space="preserve">is key to its growth </w:t>
      </w:r>
      <w:r w:rsidRPr="00CB6D4B">
        <w:rPr>
          <w:bCs/>
          <w:sz w:val="24"/>
          <w:szCs w:val="24"/>
        </w:rPr>
        <w:t>(Littlewood, 19</w:t>
      </w:r>
      <w:r>
        <w:rPr>
          <w:bCs/>
          <w:sz w:val="24"/>
          <w:szCs w:val="24"/>
        </w:rPr>
        <w:t>84</w:t>
      </w:r>
      <w:r w:rsidRPr="00CB6D4B">
        <w:rPr>
          <w:bCs/>
          <w:sz w:val="24"/>
          <w:szCs w:val="24"/>
        </w:rPr>
        <w:t>)</w:t>
      </w:r>
      <w:r>
        <w:rPr>
          <w:bCs/>
          <w:sz w:val="24"/>
          <w:szCs w:val="24"/>
        </w:rPr>
        <w:t>,  a key factor in the Philippines</w:t>
      </w:r>
      <w:r w:rsidRPr="00CB6D4B">
        <w:rPr>
          <w:bCs/>
          <w:sz w:val="24"/>
          <w:szCs w:val="24"/>
        </w:rPr>
        <w:t xml:space="preserve">. In Wales </w:t>
      </w:r>
      <w:r>
        <w:rPr>
          <w:bCs/>
          <w:sz w:val="24"/>
          <w:szCs w:val="24"/>
        </w:rPr>
        <w:t>it could be argued that with</w:t>
      </w:r>
      <w:r w:rsidRPr="00C600A5">
        <w:rPr>
          <w:bCs/>
          <w:sz w:val="24"/>
          <w:szCs w:val="24"/>
        </w:rPr>
        <w:t xml:space="preserve"> 23 per cen</w:t>
      </w:r>
      <w:r>
        <w:rPr>
          <w:bCs/>
          <w:sz w:val="24"/>
          <w:szCs w:val="24"/>
        </w:rPr>
        <w:t>t of Welsh</w:t>
      </w:r>
      <w:r w:rsidRPr="00DB2106">
        <w:rPr>
          <w:bCs/>
          <w:sz w:val="24"/>
          <w:szCs w:val="24"/>
        </w:rPr>
        <w:t xml:space="preserve"> speakers</w:t>
      </w:r>
      <w:r>
        <w:rPr>
          <w:bCs/>
          <w:sz w:val="24"/>
          <w:szCs w:val="24"/>
        </w:rPr>
        <w:t xml:space="preserve"> (WAG, 2014), </w:t>
      </w:r>
      <w:r w:rsidRPr="00CB6D4B">
        <w:rPr>
          <w:bCs/>
          <w:sz w:val="24"/>
          <w:szCs w:val="24"/>
        </w:rPr>
        <w:t>non-welsh speakers are in the m</w:t>
      </w:r>
      <w:r>
        <w:rPr>
          <w:bCs/>
          <w:sz w:val="24"/>
          <w:szCs w:val="24"/>
        </w:rPr>
        <w:t>ajority, with the language in itself not transferrable outside Wales, offering less motivation to learn the language.</w:t>
      </w:r>
      <w:r w:rsidRPr="00CB6D4B">
        <w:rPr>
          <w:bCs/>
          <w:sz w:val="24"/>
          <w:szCs w:val="24"/>
        </w:rPr>
        <w:t xml:space="preserve"> Hawkins </w:t>
      </w:r>
      <w:r>
        <w:rPr>
          <w:bCs/>
          <w:sz w:val="24"/>
          <w:szCs w:val="24"/>
        </w:rPr>
        <w:t xml:space="preserve">and </w:t>
      </w:r>
      <w:proofErr w:type="spellStart"/>
      <w:r>
        <w:rPr>
          <w:bCs/>
          <w:sz w:val="24"/>
          <w:szCs w:val="24"/>
        </w:rPr>
        <w:t>Towell</w:t>
      </w:r>
      <w:proofErr w:type="spellEnd"/>
      <w:r>
        <w:rPr>
          <w:bCs/>
          <w:sz w:val="24"/>
          <w:szCs w:val="24"/>
        </w:rPr>
        <w:t xml:space="preserve"> </w:t>
      </w:r>
      <w:r w:rsidRPr="00CB6D4B">
        <w:rPr>
          <w:bCs/>
          <w:sz w:val="24"/>
          <w:szCs w:val="24"/>
        </w:rPr>
        <w:t>(1994)</w:t>
      </w:r>
      <w:r>
        <w:rPr>
          <w:bCs/>
          <w:sz w:val="24"/>
          <w:szCs w:val="24"/>
        </w:rPr>
        <w:t xml:space="preserve"> and Schumann (1976) </w:t>
      </w:r>
      <w:r w:rsidRPr="00CB6D4B">
        <w:rPr>
          <w:bCs/>
          <w:sz w:val="24"/>
          <w:szCs w:val="24"/>
        </w:rPr>
        <w:t xml:space="preserve"> argue that if the second language learner is socially distanced from the target language, there will be little language development</w:t>
      </w:r>
      <w:r>
        <w:rPr>
          <w:bCs/>
          <w:sz w:val="24"/>
          <w:szCs w:val="24"/>
        </w:rPr>
        <w:t>.</w:t>
      </w:r>
      <w:r w:rsidRPr="00CB6D4B">
        <w:rPr>
          <w:bCs/>
          <w:sz w:val="24"/>
          <w:szCs w:val="24"/>
        </w:rPr>
        <w:t xml:space="preserve"> However, </w:t>
      </w:r>
      <w:proofErr w:type="spellStart"/>
      <w:r w:rsidRPr="00CB6D4B">
        <w:rPr>
          <w:bCs/>
          <w:sz w:val="24"/>
          <w:szCs w:val="24"/>
        </w:rPr>
        <w:t>Plascrug</w:t>
      </w:r>
      <w:proofErr w:type="spellEnd"/>
      <w:r w:rsidRPr="00CB6D4B">
        <w:rPr>
          <w:bCs/>
          <w:sz w:val="24"/>
          <w:szCs w:val="24"/>
        </w:rPr>
        <w:t xml:space="preserve"> School in Ceredigion have seen progression in Welsh as a second language improve with 40% of the curriculum timetable taught through the medium of Welsh, despite 1% of its learners coming from non-Welsh speaking homes (Estyn, 2012)</w:t>
      </w:r>
      <w:r>
        <w:rPr>
          <w:bCs/>
          <w:sz w:val="24"/>
          <w:szCs w:val="24"/>
        </w:rPr>
        <w:t>.</w:t>
      </w:r>
      <w:r w:rsidRPr="00CB6D4B">
        <w:rPr>
          <w:bCs/>
          <w:sz w:val="24"/>
          <w:szCs w:val="24"/>
        </w:rPr>
        <w:t xml:space="preserve">  </w:t>
      </w:r>
    </w:p>
    <w:p w14:paraId="04A8EF49" w14:textId="77777777" w:rsidR="00A9278F" w:rsidRPr="00CB6D4B" w:rsidRDefault="00A9278F" w:rsidP="00A9278F">
      <w:pPr>
        <w:pStyle w:val="NormalWeb"/>
        <w:spacing w:before="80" w:beforeAutospacing="0" w:after="0" w:afterAutospacing="0"/>
        <w:ind w:left="576" w:hanging="403"/>
        <w:jc w:val="both"/>
      </w:pPr>
      <w:r w:rsidRPr="00CB6D4B">
        <w:rPr>
          <w:rFonts w:eastAsiaTheme="minorEastAsia"/>
          <w:color w:val="000000" w:themeColor="text1"/>
          <w:kern w:val="24"/>
          <w:lang w:val="en-US"/>
        </w:rPr>
        <w:tab/>
      </w:r>
      <w:r w:rsidRPr="00CB6D4B">
        <w:rPr>
          <w:rFonts w:eastAsiaTheme="minorEastAsia"/>
          <w:color w:val="000000" w:themeColor="text1"/>
          <w:kern w:val="24"/>
          <w:lang w:val="en-US"/>
        </w:rPr>
        <w:tab/>
      </w:r>
      <w:r w:rsidRPr="00CB6D4B">
        <w:rPr>
          <w:rFonts w:eastAsiaTheme="minorEastAsia"/>
          <w:color w:val="000000" w:themeColor="text1"/>
          <w:kern w:val="24"/>
          <w:lang w:val="en-US"/>
        </w:rPr>
        <w:tab/>
      </w:r>
      <w:r w:rsidRPr="00CB6D4B">
        <w:rPr>
          <w:rFonts w:eastAsiaTheme="minorEastAsia"/>
          <w:color w:val="000000" w:themeColor="text1"/>
          <w:kern w:val="24"/>
          <w:lang w:val="en-US"/>
        </w:rPr>
        <w:tab/>
      </w:r>
    </w:p>
    <w:p w14:paraId="5FF074D2" w14:textId="77777777" w:rsidR="00A9278F" w:rsidRDefault="00A9278F" w:rsidP="00A9278F">
      <w:pPr>
        <w:spacing w:line="360" w:lineRule="auto"/>
        <w:jc w:val="both"/>
        <w:rPr>
          <w:bCs/>
          <w:sz w:val="24"/>
          <w:szCs w:val="24"/>
        </w:rPr>
      </w:pPr>
      <w:r>
        <w:rPr>
          <w:bCs/>
          <w:sz w:val="24"/>
          <w:szCs w:val="24"/>
        </w:rPr>
        <w:t xml:space="preserve">Bernardo and </w:t>
      </w:r>
      <w:proofErr w:type="spellStart"/>
      <w:r>
        <w:rPr>
          <w:bCs/>
          <w:sz w:val="24"/>
          <w:szCs w:val="24"/>
        </w:rPr>
        <w:t>Gerlan</w:t>
      </w:r>
      <w:proofErr w:type="spellEnd"/>
      <w:r>
        <w:rPr>
          <w:bCs/>
          <w:sz w:val="24"/>
          <w:szCs w:val="24"/>
        </w:rPr>
        <w:t xml:space="preserve"> (2011) </w:t>
      </w:r>
      <w:r w:rsidRPr="00CB6D4B">
        <w:rPr>
          <w:bCs/>
          <w:sz w:val="24"/>
          <w:szCs w:val="24"/>
        </w:rPr>
        <w:t>also highlight, ‘language exposure at home’</w:t>
      </w:r>
      <w:r>
        <w:rPr>
          <w:bCs/>
          <w:sz w:val="24"/>
          <w:szCs w:val="24"/>
        </w:rPr>
        <w:t xml:space="preserve"> </w:t>
      </w:r>
      <w:r w:rsidRPr="00CB6D4B">
        <w:rPr>
          <w:bCs/>
          <w:sz w:val="24"/>
          <w:szCs w:val="24"/>
        </w:rPr>
        <w:t>with families being instrumental in the development of their childrens’ bilingualism. Parental attitude can impact their children’s attitude and motivation to learn a second language (McLaughlin, 1985, Gardner, 19</w:t>
      </w:r>
      <w:r>
        <w:rPr>
          <w:bCs/>
          <w:sz w:val="24"/>
          <w:szCs w:val="24"/>
        </w:rPr>
        <w:t>85</w:t>
      </w:r>
      <w:r w:rsidRPr="00CB6D4B">
        <w:rPr>
          <w:bCs/>
          <w:sz w:val="24"/>
          <w:szCs w:val="24"/>
        </w:rPr>
        <w:t>)</w:t>
      </w:r>
      <w:r>
        <w:rPr>
          <w:bCs/>
          <w:sz w:val="24"/>
          <w:szCs w:val="24"/>
        </w:rPr>
        <w:t xml:space="preserve">.  A theory supported by </w:t>
      </w:r>
      <w:r w:rsidRPr="009C7703">
        <w:rPr>
          <w:bCs/>
          <w:sz w:val="24"/>
          <w:szCs w:val="24"/>
        </w:rPr>
        <w:t>Bronfenbrenner (1979).</w:t>
      </w:r>
      <w:r>
        <w:rPr>
          <w:bCs/>
          <w:sz w:val="24"/>
          <w:szCs w:val="24"/>
        </w:rPr>
        <w:t xml:space="preserve"> </w:t>
      </w:r>
      <w:r w:rsidRPr="00CB6D4B">
        <w:rPr>
          <w:bCs/>
          <w:sz w:val="24"/>
          <w:szCs w:val="24"/>
        </w:rPr>
        <w:t>Furthermore, Baker</w:t>
      </w:r>
      <w:r>
        <w:rPr>
          <w:bCs/>
          <w:sz w:val="24"/>
          <w:szCs w:val="24"/>
        </w:rPr>
        <w:t xml:space="preserve"> (</w:t>
      </w:r>
      <w:r w:rsidRPr="00CB6D4B">
        <w:rPr>
          <w:bCs/>
          <w:sz w:val="24"/>
          <w:szCs w:val="24"/>
        </w:rPr>
        <w:t xml:space="preserve">2011) agrees, that families who speak the minority language, </w:t>
      </w:r>
      <w:r>
        <w:rPr>
          <w:bCs/>
          <w:sz w:val="24"/>
          <w:szCs w:val="24"/>
        </w:rPr>
        <w:t xml:space="preserve">value the </w:t>
      </w:r>
      <w:r w:rsidRPr="00CB6D4B">
        <w:rPr>
          <w:bCs/>
          <w:sz w:val="24"/>
          <w:szCs w:val="24"/>
        </w:rPr>
        <w:t>majority language for the economic and vocational value. In Wales, it could be suggested that chi</w:t>
      </w:r>
      <w:r>
        <w:rPr>
          <w:bCs/>
          <w:sz w:val="24"/>
          <w:szCs w:val="24"/>
        </w:rPr>
        <w:t>l</w:t>
      </w:r>
      <w:r w:rsidRPr="00CB6D4B">
        <w:rPr>
          <w:bCs/>
          <w:sz w:val="24"/>
          <w:szCs w:val="24"/>
        </w:rPr>
        <w:t>dren’s success in the Welsh Language reflects the parents’ personal attitude towards the language (Stern, 1967)</w:t>
      </w:r>
      <w:r>
        <w:rPr>
          <w:bCs/>
          <w:sz w:val="24"/>
          <w:szCs w:val="24"/>
        </w:rPr>
        <w:t>, both positively and negatively, the latter, c</w:t>
      </w:r>
      <w:r w:rsidRPr="00CB6D4B">
        <w:rPr>
          <w:bCs/>
          <w:sz w:val="24"/>
          <w:szCs w:val="24"/>
        </w:rPr>
        <w:t>aus</w:t>
      </w:r>
      <w:r>
        <w:rPr>
          <w:bCs/>
          <w:sz w:val="24"/>
          <w:szCs w:val="24"/>
        </w:rPr>
        <w:t xml:space="preserve">ing </w:t>
      </w:r>
      <w:r w:rsidRPr="00CB6D4B">
        <w:rPr>
          <w:bCs/>
          <w:sz w:val="24"/>
          <w:szCs w:val="24"/>
        </w:rPr>
        <w:t xml:space="preserve"> the child to be disadvantaged</w:t>
      </w:r>
      <w:r>
        <w:rPr>
          <w:bCs/>
          <w:sz w:val="24"/>
          <w:szCs w:val="24"/>
        </w:rPr>
        <w:t xml:space="preserve"> </w:t>
      </w:r>
      <w:r w:rsidRPr="00CB6D4B">
        <w:rPr>
          <w:bCs/>
          <w:sz w:val="24"/>
          <w:szCs w:val="24"/>
        </w:rPr>
        <w:t>(</w:t>
      </w:r>
      <w:r>
        <w:rPr>
          <w:bCs/>
          <w:sz w:val="24"/>
          <w:szCs w:val="24"/>
        </w:rPr>
        <w:t xml:space="preserve">De </w:t>
      </w:r>
      <w:proofErr w:type="spellStart"/>
      <w:r w:rsidRPr="00CB6D4B">
        <w:rPr>
          <w:bCs/>
          <w:sz w:val="24"/>
          <w:szCs w:val="24"/>
        </w:rPr>
        <w:t>Ho</w:t>
      </w:r>
      <w:r>
        <w:rPr>
          <w:bCs/>
          <w:sz w:val="24"/>
          <w:szCs w:val="24"/>
        </w:rPr>
        <w:t>uwer</w:t>
      </w:r>
      <w:proofErr w:type="spellEnd"/>
      <w:r>
        <w:rPr>
          <w:bCs/>
          <w:sz w:val="24"/>
          <w:szCs w:val="24"/>
        </w:rPr>
        <w:t>, 2009</w:t>
      </w:r>
      <w:r w:rsidRPr="00CB6D4B">
        <w:rPr>
          <w:bCs/>
          <w:sz w:val="24"/>
          <w:szCs w:val="24"/>
        </w:rPr>
        <w:t>)</w:t>
      </w:r>
      <w:r>
        <w:rPr>
          <w:bCs/>
          <w:sz w:val="24"/>
          <w:szCs w:val="24"/>
        </w:rPr>
        <w:t xml:space="preserve">. </w:t>
      </w:r>
      <w:r w:rsidRPr="00CB6D4B">
        <w:rPr>
          <w:bCs/>
          <w:sz w:val="24"/>
          <w:szCs w:val="24"/>
        </w:rPr>
        <w:t>This is a deep</w:t>
      </w:r>
      <w:r>
        <w:rPr>
          <w:bCs/>
          <w:sz w:val="24"/>
          <w:szCs w:val="24"/>
        </w:rPr>
        <w:t>-</w:t>
      </w:r>
      <w:r w:rsidRPr="00CB6D4B">
        <w:rPr>
          <w:bCs/>
          <w:sz w:val="24"/>
          <w:szCs w:val="24"/>
        </w:rPr>
        <w:t>rooted issue, however, with the new transformational curriculum, the next generation will have a re</w:t>
      </w:r>
      <w:r>
        <w:rPr>
          <w:bCs/>
          <w:sz w:val="24"/>
          <w:szCs w:val="24"/>
        </w:rPr>
        <w:t>newed</w:t>
      </w:r>
      <w:r w:rsidRPr="00CB6D4B">
        <w:rPr>
          <w:bCs/>
          <w:sz w:val="24"/>
          <w:szCs w:val="24"/>
        </w:rPr>
        <w:t xml:space="preserve"> mindset, with the economy reflecting the need </w:t>
      </w:r>
      <w:r>
        <w:rPr>
          <w:bCs/>
          <w:sz w:val="24"/>
          <w:szCs w:val="24"/>
        </w:rPr>
        <w:t xml:space="preserve">and desire </w:t>
      </w:r>
      <w:r w:rsidRPr="00CB6D4B">
        <w:rPr>
          <w:bCs/>
          <w:sz w:val="24"/>
          <w:szCs w:val="24"/>
        </w:rPr>
        <w:t xml:space="preserve">for this new </w:t>
      </w:r>
      <w:r>
        <w:rPr>
          <w:bCs/>
          <w:sz w:val="24"/>
          <w:szCs w:val="24"/>
        </w:rPr>
        <w:t xml:space="preserve">skilled </w:t>
      </w:r>
      <w:r w:rsidRPr="00CB6D4B">
        <w:rPr>
          <w:bCs/>
          <w:sz w:val="24"/>
          <w:szCs w:val="24"/>
        </w:rPr>
        <w:t>workforce</w:t>
      </w:r>
      <w:r>
        <w:rPr>
          <w:bCs/>
          <w:sz w:val="24"/>
          <w:szCs w:val="24"/>
        </w:rPr>
        <w:t>.</w:t>
      </w:r>
    </w:p>
    <w:p w14:paraId="26BE8A10" w14:textId="77777777" w:rsidR="00A9278F" w:rsidRDefault="00A9278F" w:rsidP="00A9278F">
      <w:pPr>
        <w:spacing w:line="360" w:lineRule="auto"/>
        <w:jc w:val="both"/>
        <w:rPr>
          <w:bCs/>
          <w:sz w:val="24"/>
          <w:szCs w:val="24"/>
        </w:rPr>
      </w:pPr>
      <w:r w:rsidRPr="00CB6D4B">
        <w:rPr>
          <w:bCs/>
          <w:sz w:val="24"/>
          <w:szCs w:val="24"/>
        </w:rPr>
        <w:t>.</w:t>
      </w:r>
    </w:p>
    <w:p w14:paraId="76C33F42" w14:textId="77777777" w:rsidR="00A9278F" w:rsidRPr="00C6546B" w:rsidRDefault="00A9278F" w:rsidP="00A9278F">
      <w:pPr>
        <w:spacing w:line="360" w:lineRule="auto"/>
        <w:jc w:val="both"/>
        <w:rPr>
          <w:sz w:val="24"/>
          <w:szCs w:val="24"/>
        </w:rPr>
      </w:pPr>
      <w:r>
        <w:rPr>
          <w:bCs/>
          <w:sz w:val="24"/>
          <w:szCs w:val="24"/>
        </w:rPr>
        <w:t xml:space="preserve">The article also highlighted that for the majority of Filipino learners, the communities were primarily Filipino and therefore did not influence them (Bernardo and </w:t>
      </w:r>
      <w:proofErr w:type="spellStart"/>
      <w:r>
        <w:rPr>
          <w:bCs/>
          <w:sz w:val="24"/>
          <w:szCs w:val="24"/>
        </w:rPr>
        <w:t>Gaerlan</w:t>
      </w:r>
      <w:proofErr w:type="spellEnd"/>
      <w:r>
        <w:rPr>
          <w:bCs/>
          <w:sz w:val="24"/>
          <w:szCs w:val="24"/>
        </w:rPr>
        <w:t xml:space="preserve">, 2011), as learners engaged in media related resources in English to support them. </w:t>
      </w:r>
      <w:r w:rsidRPr="00CB4A0F">
        <w:rPr>
          <w:bCs/>
          <w:sz w:val="24"/>
          <w:szCs w:val="24"/>
        </w:rPr>
        <w:t>Littlewood (19</w:t>
      </w:r>
      <w:r>
        <w:rPr>
          <w:bCs/>
          <w:sz w:val="24"/>
          <w:szCs w:val="24"/>
        </w:rPr>
        <w:t>84</w:t>
      </w:r>
      <w:r w:rsidRPr="00CB4A0F">
        <w:rPr>
          <w:bCs/>
          <w:sz w:val="24"/>
          <w:szCs w:val="24"/>
        </w:rPr>
        <w:t>)</w:t>
      </w:r>
      <w:r>
        <w:rPr>
          <w:bCs/>
          <w:sz w:val="24"/>
          <w:szCs w:val="24"/>
        </w:rPr>
        <w:t xml:space="preserve"> and </w:t>
      </w:r>
      <w:proofErr w:type="spellStart"/>
      <w:r>
        <w:rPr>
          <w:bCs/>
          <w:sz w:val="24"/>
          <w:szCs w:val="24"/>
        </w:rPr>
        <w:t>Mererid</w:t>
      </w:r>
      <w:proofErr w:type="spellEnd"/>
      <w:r>
        <w:rPr>
          <w:bCs/>
          <w:sz w:val="24"/>
          <w:szCs w:val="24"/>
        </w:rPr>
        <w:t xml:space="preserve"> et al (2018) </w:t>
      </w:r>
      <w:r w:rsidRPr="00CB4A0F">
        <w:rPr>
          <w:bCs/>
          <w:sz w:val="24"/>
          <w:szCs w:val="24"/>
        </w:rPr>
        <w:t xml:space="preserve"> argue that successful language learners take the opportunity to use the language </w:t>
      </w:r>
      <w:r>
        <w:rPr>
          <w:bCs/>
          <w:sz w:val="24"/>
          <w:szCs w:val="24"/>
        </w:rPr>
        <w:t xml:space="preserve">outside the classroom increasing engagement and motivation. This persistence creates resilience and emotional intelligence (Goleman, 2015), a key skill recognised by the WEF (2017)  for future employment in 2020. This method of teaching and learning of Welsh through the curriculum is imperative if learners are to become, ‘healthy, confident individuals ready to lead fulfilling lives as valued members of society’ (WAG, 2015:29). The article makes no mention of extra-curricular activities that are provided to support the second language development, other than the learners themselves motivated to seek resources to aid their understanding. </w:t>
      </w:r>
      <w:r w:rsidRPr="00955C01">
        <w:rPr>
          <w:bCs/>
          <w:sz w:val="24"/>
          <w:szCs w:val="24"/>
        </w:rPr>
        <w:t>Estyn reported that in English medium schools, ‘</w:t>
      </w:r>
      <w:r w:rsidRPr="00955C01">
        <w:rPr>
          <w:rFonts w:eastAsiaTheme="minorEastAsia"/>
          <w:color w:val="000000" w:themeColor="text1"/>
          <w:kern w:val="24"/>
          <w:sz w:val="24"/>
          <w:szCs w:val="24"/>
          <w:lang w:val="en-US"/>
        </w:rPr>
        <w:t>pupils do not practice their Welsh language skills enough outside of lessons or in more social setting</w:t>
      </w:r>
      <w:r>
        <w:rPr>
          <w:rFonts w:eastAsiaTheme="minorEastAsia"/>
          <w:color w:val="000000" w:themeColor="text1"/>
          <w:kern w:val="24"/>
          <w:sz w:val="24"/>
          <w:szCs w:val="24"/>
          <w:lang w:val="en-US"/>
        </w:rPr>
        <w:t>s’</w:t>
      </w:r>
      <w:r w:rsidRPr="00955C01">
        <w:rPr>
          <w:rFonts w:eastAsiaTheme="minorEastAsia"/>
          <w:color w:val="000000" w:themeColor="text1"/>
          <w:kern w:val="24"/>
          <w:sz w:val="24"/>
          <w:szCs w:val="24"/>
          <w:lang w:val="en-US"/>
        </w:rPr>
        <w:t xml:space="preserve"> (201</w:t>
      </w:r>
      <w:r>
        <w:rPr>
          <w:rFonts w:eastAsiaTheme="minorEastAsia"/>
          <w:color w:val="000000" w:themeColor="text1"/>
          <w:kern w:val="24"/>
          <w:sz w:val="24"/>
          <w:szCs w:val="24"/>
          <w:lang w:val="en-US"/>
        </w:rPr>
        <w:t>3</w:t>
      </w:r>
      <w:r w:rsidRPr="00955C01">
        <w:rPr>
          <w:rFonts w:eastAsiaTheme="minorEastAsia"/>
          <w:color w:val="000000" w:themeColor="text1"/>
          <w:kern w:val="24"/>
          <w:sz w:val="24"/>
          <w:szCs w:val="24"/>
          <w:lang w:val="en-US"/>
        </w:rPr>
        <w:t>, p. 38)</w:t>
      </w:r>
      <w:r>
        <w:rPr>
          <w:rFonts w:eastAsiaTheme="minorEastAsia"/>
          <w:color w:val="000000" w:themeColor="text1"/>
          <w:kern w:val="24"/>
          <w:sz w:val="24"/>
          <w:szCs w:val="24"/>
          <w:lang w:val="en-US"/>
        </w:rPr>
        <w:t>.</w:t>
      </w:r>
    </w:p>
    <w:p w14:paraId="3B5EB0B3" w14:textId="77777777" w:rsidR="00A9278F" w:rsidRDefault="00A9278F" w:rsidP="00A9278F">
      <w:pPr>
        <w:spacing w:line="360" w:lineRule="auto"/>
        <w:jc w:val="both"/>
        <w:rPr>
          <w:bCs/>
          <w:sz w:val="24"/>
          <w:szCs w:val="24"/>
        </w:rPr>
      </w:pPr>
      <w:r>
        <w:rPr>
          <w:bCs/>
          <w:sz w:val="24"/>
          <w:szCs w:val="24"/>
        </w:rPr>
        <w:t xml:space="preserve"> </w:t>
      </w:r>
    </w:p>
    <w:p w14:paraId="3AADA842" w14:textId="77777777" w:rsidR="00A9278F" w:rsidRDefault="00A9278F" w:rsidP="00A9278F">
      <w:pPr>
        <w:spacing w:line="360" w:lineRule="auto"/>
        <w:jc w:val="both"/>
        <w:rPr>
          <w:bCs/>
          <w:sz w:val="24"/>
          <w:szCs w:val="24"/>
        </w:rPr>
      </w:pPr>
      <w:r w:rsidRPr="00CB4A0F">
        <w:rPr>
          <w:bCs/>
          <w:sz w:val="24"/>
          <w:szCs w:val="24"/>
        </w:rPr>
        <w:t>The quality of the learning opportunities that the environment offers</w:t>
      </w:r>
      <w:r>
        <w:rPr>
          <w:bCs/>
          <w:sz w:val="24"/>
          <w:szCs w:val="24"/>
        </w:rPr>
        <w:t xml:space="preserve"> to use the language </w:t>
      </w:r>
      <w:r w:rsidRPr="00CB4A0F">
        <w:rPr>
          <w:bCs/>
          <w:sz w:val="24"/>
          <w:szCs w:val="24"/>
        </w:rPr>
        <w:t xml:space="preserve"> is crucial (Littlewood, 19</w:t>
      </w:r>
      <w:r>
        <w:rPr>
          <w:bCs/>
          <w:sz w:val="24"/>
          <w:szCs w:val="24"/>
        </w:rPr>
        <w:t>84</w:t>
      </w:r>
      <w:r w:rsidRPr="00CB4A0F">
        <w:rPr>
          <w:bCs/>
          <w:sz w:val="24"/>
          <w:szCs w:val="24"/>
        </w:rPr>
        <w:t>).</w:t>
      </w:r>
      <w:r>
        <w:rPr>
          <w:bCs/>
          <w:sz w:val="24"/>
          <w:szCs w:val="24"/>
        </w:rPr>
        <w:t xml:space="preserve"> Estyn (2004) highlighted that t</w:t>
      </w:r>
      <w:r w:rsidRPr="004C4727">
        <w:rPr>
          <w:bCs/>
          <w:sz w:val="24"/>
          <w:szCs w:val="24"/>
        </w:rPr>
        <w:t>he experience motivates their learning</w:t>
      </w:r>
      <w:r>
        <w:rPr>
          <w:bCs/>
          <w:sz w:val="24"/>
          <w:szCs w:val="24"/>
        </w:rPr>
        <w:t xml:space="preserve">, they practice and use the language for a purpose, however, they recognise that this works best in subject areas that offer a more practical approach to learning. </w:t>
      </w:r>
      <w:r w:rsidRPr="00861FB3">
        <w:rPr>
          <w:bCs/>
          <w:sz w:val="24"/>
          <w:szCs w:val="24"/>
        </w:rPr>
        <w:t xml:space="preserve">The article also highlights that, ‘teachers were good models of English’ (Bernardo and </w:t>
      </w:r>
      <w:proofErr w:type="spellStart"/>
      <w:r w:rsidRPr="00861FB3">
        <w:rPr>
          <w:bCs/>
          <w:sz w:val="24"/>
          <w:szCs w:val="24"/>
        </w:rPr>
        <w:t>Gaerlan</w:t>
      </w:r>
      <w:proofErr w:type="spellEnd"/>
      <w:r w:rsidRPr="00861FB3">
        <w:rPr>
          <w:bCs/>
          <w:sz w:val="24"/>
          <w:szCs w:val="24"/>
        </w:rPr>
        <w:t>, 2011, p.5) with the relationship between teacher and learner being crucial (Littlewood, 19</w:t>
      </w:r>
      <w:r>
        <w:rPr>
          <w:bCs/>
          <w:sz w:val="24"/>
          <w:szCs w:val="24"/>
        </w:rPr>
        <w:t>84</w:t>
      </w:r>
      <w:r w:rsidRPr="00861FB3">
        <w:rPr>
          <w:bCs/>
          <w:sz w:val="24"/>
          <w:szCs w:val="24"/>
        </w:rPr>
        <w:t xml:space="preserve"> and Mclaughlin, 1985)</w:t>
      </w:r>
      <w:r>
        <w:rPr>
          <w:bCs/>
          <w:sz w:val="24"/>
          <w:szCs w:val="24"/>
        </w:rPr>
        <w:t>.</w:t>
      </w:r>
      <w:r w:rsidRPr="00861FB3">
        <w:rPr>
          <w:bCs/>
          <w:sz w:val="24"/>
          <w:szCs w:val="24"/>
        </w:rPr>
        <w:t xml:space="preserve"> </w:t>
      </w:r>
      <w:r>
        <w:rPr>
          <w:bCs/>
          <w:sz w:val="24"/>
          <w:szCs w:val="24"/>
        </w:rPr>
        <w:t xml:space="preserve">Challenges arise when quality resources are not sufficient to support the teaching and learning. From personal experience it has been challenging to find sufficient quality Welsh  resources readily available. Research into schooling in The Basque Country highlighted that when subjects were taught in the non-native tongue, that a team of dedicated professionals developed resources in order to support teachers in the </w:t>
      </w:r>
      <w:proofErr w:type="spellStart"/>
      <w:r>
        <w:rPr>
          <w:bCs/>
          <w:sz w:val="24"/>
          <w:szCs w:val="24"/>
        </w:rPr>
        <w:t>CLIl</w:t>
      </w:r>
      <w:proofErr w:type="spellEnd"/>
      <w:r>
        <w:rPr>
          <w:bCs/>
          <w:sz w:val="24"/>
          <w:szCs w:val="24"/>
        </w:rPr>
        <w:t xml:space="preserve"> approach, with the individuals interests at the heart of the learning,  (Hopwood et al, 2018) which is at the pinnacle of  the new curriculum.</w:t>
      </w:r>
    </w:p>
    <w:p w14:paraId="331CAEAA" w14:textId="77777777" w:rsidR="00A9278F" w:rsidRDefault="00A9278F" w:rsidP="00A9278F">
      <w:pPr>
        <w:spacing w:line="360" w:lineRule="auto"/>
        <w:jc w:val="both"/>
        <w:rPr>
          <w:bCs/>
          <w:sz w:val="24"/>
          <w:szCs w:val="24"/>
        </w:rPr>
      </w:pPr>
    </w:p>
    <w:p w14:paraId="6E657C8F" w14:textId="77777777" w:rsidR="00A9278F" w:rsidRDefault="00A9278F" w:rsidP="00A9278F">
      <w:pPr>
        <w:spacing w:line="360" w:lineRule="auto"/>
        <w:jc w:val="both"/>
        <w:rPr>
          <w:bCs/>
          <w:sz w:val="24"/>
          <w:szCs w:val="24"/>
        </w:rPr>
      </w:pPr>
      <w:r>
        <w:rPr>
          <w:bCs/>
          <w:sz w:val="24"/>
          <w:szCs w:val="24"/>
        </w:rPr>
        <w:t xml:space="preserve">In conclusion, the article offers some reflective insight into how Welsh and English can be taught alongside one another in the new curriculum. However, the outstanding point remains that the learning needs to be authentic, whereby students can apply language to real life situations and see its relevance and purpose now and for their future.  Baker (1988) echoed this incentive in identifying school childrens attitudes to Welsh which reflected on the need to rethink language planning with learners requiring an engaging and participatory environment. The WAG (2013) suggested that Welsh language learning is very tedious, learners saw no relevance or value to the language for them, and there were limited opportunities to use the language besides in the classroom.  As a parent of children that have journeyed through  English Medium Education in Wales, there has been a sense of teaching to the test with no real  motivation or incentive for them to embrace the language. There will need to be a cultural shift if children are to feel motivated to have the confidence to, ‘develop and apply knowledge and understanding of the cultural, economic and environmental, historical and linguistic nature of Wales (WAG, 2015d, p.9).  Future personal recommendations would be to participate in the Sabbatical scheme to further develop confidence and embrace The WAG curriculum directives whole heartedly. </w:t>
      </w:r>
    </w:p>
    <w:p w14:paraId="4B778481" w14:textId="77777777" w:rsidR="00A9278F" w:rsidRDefault="00A9278F">
      <w:bookmarkStart w:id="0" w:name="_GoBack"/>
      <w:bookmarkEnd w:id="0"/>
    </w:p>
    <w:sectPr w:rsidR="00A927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78F"/>
    <w:rsid w:val="00A927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F37BE"/>
  <w15:chartTrackingRefBased/>
  <w15:docId w15:val="{D1A62F47-3691-41F6-8248-136352189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278F"/>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9278F"/>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2194</Words>
  <Characters>12508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duquemin</dc:creator>
  <cp:keywords/>
  <dc:description/>
  <cp:lastModifiedBy>elizabeth duquemin</cp:lastModifiedBy>
  <cp:revision>1</cp:revision>
  <dcterms:created xsi:type="dcterms:W3CDTF">2019-02-03T23:11:00Z</dcterms:created>
  <dcterms:modified xsi:type="dcterms:W3CDTF">2019-02-03T23:11:00Z</dcterms:modified>
</cp:coreProperties>
</file>