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9855889"/>
        <w:docPartObj>
          <w:docPartGallery w:val="Cover Pages"/>
          <w:docPartUnique/>
        </w:docPartObj>
      </w:sdtPr>
      <w:sdtEndPr>
        <w:rPr>
          <w:rFonts w:eastAsiaTheme="minorHAnsi"/>
          <w:sz w:val="24"/>
          <w:szCs w:val="24"/>
          <w:lang w:eastAsia="en-US"/>
        </w:rPr>
      </w:sdtEndPr>
      <w:sdtContent>
        <w:p w14:paraId="766D3317" w14:textId="210C7BE1" w:rsidR="00AB54AD" w:rsidRDefault="00AB54AD">
          <w:pPr>
            <w:pStyle w:val="NoSpacing"/>
          </w:pPr>
          <w:r>
            <w:rPr>
              <w:noProof/>
            </w:rPr>
            <mc:AlternateContent>
              <mc:Choice Requires="wpg">
                <w:drawing>
                  <wp:anchor distT="0" distB="0" distL="114300" distR="114300" simplePos="0" relativeHeight="251659264" behindDoc="1" locked="0" layoutInCell="1" allowOverlap="1" wp14:anchorId="564DE9D2" wp14:editId="06100FD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EE55594" w14:textId="44503B1F" w:rsidR="00AB54AD" w:rsidRDefault="00AB54A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4DE9D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EE55594" w14:textId="44503B1F" w:rsidR="00AB54AD" w:rsidRDefault="00AB54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5E8E126" w14:textId="1178253C" w:rsidR="00AB54AD" w:rsidRDefault="00AB54AD" w:rsidP="00AB54AD">
          <w:pPr>
            <w:rPr>
              <w:sz w:val="24"/>
              <w:szCs w:val="24"/>
            </w:rPr>
          </w:pPr>
          <w:r>
            <w:rPr>
              <w:noProof/>
            </w:rPr>
            <mc:AlternateContent>
              <mc:Choice Requires="wps">
                <w:drawing>
                  <wp:anchor distT="0" distB="0" distL="114300" distR="114300" simplePos="0" relativeHeight="251660288" behindDoc="0" locked="0" layoutInCell="1" allowOverlap="1" wp14:anchorId="6A213A28" wp14:editId="201E455F">
                    <wp:simplePos x="0" y="0"/>
                    <wp:positionH relativeFrom="margin">
                      <wp:posOffset>1147233</wp:posOffset>
                    </wp:positionH>
                    <wp:positionV relativeFrom="margin">
                      <wp:align>center</wp:align>
                    </wp:positionV>
                    <wp:extent cx="4334934" cy="1069848"/>
                    <wp:effectExtent l="0" t="0" r="8890" b="14605"/>
                    <wp:wrapNone/>
                    <wp:docPr id="1" name="Text Box 3"/>
                    <wp:cNvGraphicFramePr/>
                    <a:graphic xmlns:a="http://schemas.openxmlformats.org/drawingml/2006/main">
                      <a:graphicData uri="http://schemas.microsoft.com/office/word/2010/wordprocessingShape">
                        <wps:wsp>
                          <wps:cNvSpPr txBox="1"/>
                          <wps:spPr>
                            <a:xfrm>
                              <a:off x="0" y="0"/>
                              <a:ext cx="4334934"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CD472" w14:textId="49BDE9CB" w:rsidR="00AB54AD" w:rsidRDefault="00AB54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B54AD">
                                      <w:rPr>
                                        <w:rFonts w:asciiTheme="majorHAnsi" w:eastAsiaTheme="majorEastAsia" w:hAnsiTheme="majorHAnsi" w:cstheme="majorBidi"/>
                                        <w:sz w:val="72"/>
                                        <w:szCs w:val="72"/>
                                      </w:rPr>
                                      <w:t>Consent and its role in cases involving Battery</w:t>
                                    </w:r>
                                  </w:sdtContent>
                                </w:sdt>
                              </w:p>
                              <w:p w14:paraId="4DAECC11" w14:textId="0EE0F946" w:rsidR="00AB54AD" w:rsidRDefault="00AB54A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A213A28" id="_x0000_t202" coordsize="21600,21600" o:spt="202" path="m,l,21600r21600,l21600,xe">
                    <v:stroke joinstyle="miter"/>
                    <v:path gradientshapeok="t" o:connecttype="rect"/>
                  </v:shapetype>
                  <v:shape id="Text Box 3" o:spid="_x0000_s1055" type="#_x0000_t202" style="position:absolute;margin-left:90.35pt;margin-top:0;width:341.35pt;height:84.25pt;z-index:251660288;visibility:visible;mso-wrap-style:square;mso-width-percent:0;mso-height-percent:0;mso-wrap-distance-left:9pt;mso-wrap-distance-top:0;mso-wrap-distance-right:9pt;mso-wrap-distance-bottom:0;mso-position-horizontal:absolute;mso-position-horizontal-relative:margin;mso-position-vertical:center;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" filled="f" stroked="f" strokeweight=".5pt">
                    <v:textbox style="mso-fit-shape-to-text:t" inset="0,0,0,0">
                      <w:txbxContent>
                        <w:p w14:paraId="193CD472" w14:textId="49BDE9CB" w:rsidR="00AB54AD" w:rsidRDefault="00AB54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B54AD">
                                <w:rPr>
                                  <w:rFonts w:asciiTheme="majorHAnsi" w:eastAsiaTheme="majorEastAsia" w:hAnsiTheme="majorHAnsi" w:cstheme="majorBidi"/>
                                  <w:sz w:val="72"/>
                                  <w:szCs w:val="72"/>
                                </w:rPr>
                                <w:t>Consent and its role in cases involving Battery</w:t>
                              </w:r>
                            </w:sdtContent>
                          </w:sdt>
                        </w:p>
                        <w:p w14:paraId="4DAECC11" w14:textId="0EE0F946" w:rsidR="00AB54AD" w:rsidRDefault="00AB54A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margin" anchory="margin"/>
                  </v:shape>
                </w:pict>
              </mc:Fallback>
            </mc:AlternateContent>
          </w:r>
          <w:r>
            <w:rPr>
              <w:noProof/>
            </w:rPr>
            <w:drawing>
              <wp:anchor distT="0" distB="0" distL="114300" distR="114300" simplePos="0" relativeHeight="251662336" behindDoc="0" locked="0" layoutInCell="1" allowOverlap="1" wp14:anchorId="3A702235" wp14:editId="109E53F2">
                <wp:simplePos x="0" y="0"/>
                <wp:positionH relativeFrom="margin">
                  <wp:posOffset>2065020</wp:posOffset>
                </wp:positionH>
                <wp:positionV relativeFrom="paragraph">
                  <wp:posOffset>3810</wp:posOffset>
                </wp:positionV>
                <wp:extent cx="4572000" cy="2038350"/>
                <wp:effectExtent l="0" t="0" r="0" b="0"/>
                <wp:wrapNone/>
                <wp:docPr id="1807058188" name="Picture 1807058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anchor>
            </w:drawing>
          </w:r>
          <w:r>
            <w:rPr>
              <w:noProof/>
            </w:rPr>
            <mc:AlternateContent>
              <mc:Choice Requires="wps">
                <w:drawing>
                  <wp:anchor distT="0" distB="0" distL="114300" distR="114300" simplePos="0" relativeHeight="251661312" behindDoc="0" locked="0" layoutInCell="1" allowOverlap="1" wp14:anchorId="313D13FC" wp14:editId="5352AD3F">
                    <wp:simplePos x="0" y="0"/>
                    <wp:positionH relativeFrom="page">
                      <wp:posOffset>5001895</wp:posOffset>
                    </wp:positionH>
                    <wp:positionV relativeFrom="bottomMargin">
                      <wp:align>top</wp:align>
                    </wp:positionV>
                    <wp:extent cx="24765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24765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DBCB4" w14:textId="374745B5" w:rsidR="00AB54AD" w:rsidRPr="00AB54AD" w:rsidRDefault="00AB54AD">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B54AD">
                                      <w:rPr>
                                        <w:color w:val="4472C4" w:themeColor="accent1"/>
                                        <w:sz w:val="36"/>
                                        <w:szCs w:val="36"/>
                                      </w:rPr>
                                      <w:t>Seren Thomas (2305811)</w:t>
                                    </w:r>
                                  </w:sdtContent>
                                </w:sdt>
                              </w:p>
                              <w:p w14:paraId="31FD120B" w14:textId="09DB8CEA" w:rsidR="00AB54AD" w:rsidRDefault="00AB54A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13D13FC" id="Text Box 2" o:spid="_x0000_s1056" type="#_x0000_t202" style="position:absolute;margin-left:393.85pt;margin-top:0;width:195pt;height:28.8pt;z-index:251661312;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" filled="f" stroked="f" strokeweight=".5pt">
                    <v:textbox style="mso-fit-shape-to-text:t" inset="0,0,0,0">
                      <w:txbxContent>
                        <w:p w14:paraId="48BDBCB4" w14:textId="374745B5" w:rsidR="00AB54AD" w:rsidRPr="00AB54AD" w:rsidRDefault="00AB54AD">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B54AD">
                                <w:rPr>
                                  <w:color w:val="4472C4" w:themeColor="accent1"/>
                                  <w:sz w:val="36"/>
                                  <w:szCs w:val="36"/>
                                </w:rPr>
                                <w:t>Seren Thomas (2305811)</w:t>
                              </w:r>
                            </w:sdtContent>
                          </w:sdt>
                        </w:p>
                        <w:p w14:paraId="31FD120B" w14:textId="09DB8CEA" w:rsidR="00AB54AD" w:rsidRDefault="00AB54A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margin"/>
                  </v:shape>
                </w:pict>
              </mc:Fallback>
            </mc:AlternateContent>
          </w:r>
          <w:r>
            <w:rPr>
              <w:sz w:val="24"/>
              <w:szCs w:val="24"/>
            </w:rPr>
            <w:br w:type="page"/>
          </w:r>
        </w:p>
      </w:sdtContent>
    </w:sdt>
    <w:p w14:paraId="674C6FC6" w14:textId="168EF8BB" w:rsidR="2DE50946" w:rsidRDefault="2DE50946" w:rsidP="00AB54AD">
      <w:pPr>
        <w:rPr>
          <w:sz w:val="24"/>
          <w:szCs w:val="24"/>
        </w:rPr>
      </w:pPr>
      <w:r w:rsidRPr="218CF22F">
        <w:rPr>
          <w:sz w:val="24"/>
          <w:szCs w:val="24"/>
        </w:rPr>
        <w:lastRenderedPageBreak/>
        <w:t>When it comes to negotiating the moral and legal limits of social relationships in the UK, it is important to comprehend consent and battery. Respectful and consensual relationships are built on the foundation of consent, which emphasises the significance of freely and voluntarily deciding to engage in any action, especially one that involves sexual engagement.</w:t>
      </w:r>
      <w:r w:rsidR="7AFA24B3" w:rsidRPr="218CF22F">
        <w:rPr>
          <w:sz w:val="24"/>
          <w:szCs w:val="24"/>
        </w:rPr>
        <w:t xml:space="preserve"> (</w:t>
      </w:r>
      <w:proofErr w:type="spellStart"/>
      <w:r w:rsidR="7AFA24B3" w:rsidRPr="218CF22F">
        <w:rPr>
          <w:sz w:val="24"/>
          <w:szCs w:val="24"/>
        </w:rPr>
        <w:t>Omerod</w:t>
      </w:r>
      <w:proofErr w:type="spellEnd"/>
      <w:r w:rsidR="7AFA24B3" w:rsidRPr="218CF22F">
        <w:rPr>
          <w:sz w:val="24"/>
          <w:szCs w:val="24"/>
        </w:rPr>
        <w:t>, D. C. 2021)</w:t>
      </w:r>
      <w:r w:rsidRPr="218CF22F">
        <w:rPr>
          <w:sz w:val="24"/>
          <w:szCs w:val="24"/>
        </w:rPr>
        <w:t xml:space="preserve"> In this situation, giving consent is required by law in addition to being a matter of personal preference. On the other hand, battery is the illegal, inadvertent use of force on another individual without that person's consent. The purpose of this essay is to critically evaluate the concept of consent in the United Kingdom and its significance in cases involving battery.</w:t>
      </w:r>
      <w:r w:rsidR="3655A7F0" w:rsidRPr="218CF22F">
        <w:rPr>
          <w:sz w:val="24"/>
          <w:szCs w:val="24"/>
        </w:rPr>
        <w:t xml:space="preserve"> </w:t>
      </w:r>
      <w:bookmarkStart w:id="0" w:name="_Int_j4OAUPTv"/>
      <w:r w:rsidR="43A53E8C" w:rsidRPr="218CF22F">
        <w:rPr>
          <w:sz w:val="24"/>
          <w:szCs w:val="24"/>
        </w:rPr>
        <w:t>Ultimately, how</w:t>
      </w:r>
      <w:bookmarkEnd w:id="0"/>
      <w:r w:rsidR="43A53E8C" w:rsidRPr="218CF22F">
        <w:rPr>
          <w:sz w:val="24"/>
          <w:szCs w:val="24"/>
        </w:rPr>
        <w:t xml:space="preserve"> consent is evolving in battery cases affects not only the way cases turn out in court but also the way society is structured to support relationships based on open communication, respect for one another, and an ongoing commitment to everyone's well-being.</w:t>
      </w:r>
    </w:p>
    <w:p w14:paraId="29A1ED91" w14:textId="36D1162F" w:rsidR="218CF22F" w:rsidRDefault="218CF22F" w:rsidP="218CF22F">
      <w:pPr>
        <w:jc w:val="both"/>
        <w:rPr>
          <w:sz w:val="24"/>
          <w:szCs w:val="24"/>
        </w:rPr>
      </w:pPr>
    </w:p>
    <w:p w14:paraId="718FE7C2" w14:textId="3D04CFB4" w:rsidR="218CF22F" w:rsidRDefault="1846ADCF" w:rsidP="218CF22F">
      <w:pPr>
        <w:jc w:val="both"/>
        <w:rPr>
          <w:sz w:val="24"/>
          <w:szCs w:val="24"/>
        </w:rPr>
      </w:pPr>
      <w:r w:rsidRPr="218CF22F">
        <w:rPr>
          <w:sz w:val="24"/>
          <w:szCs w:val="24"/>
        </w:rPr>
        <w:t xml:space="preserve">In the UK, the legal definition of consent is when we consent voluntarily and when the other person has the ability and freedom to do so. (Geary, R 2002). According to UK law, consent typically consists of the following three components: capacity, voluntariness, and informed. Voluntary occurs, free from force or compulsion. Consenting to an action should be done so with knowledge; the person should understand the nature and goal of the activity. Finally, the individual providing permission needs to be able to make that decision, which includes being able to grasp the pertinent facts and consider the implications. Depending on the </w:t>
      </w:r>
      <w:bookmarkStart w:id="1" w:name="_Int_DEUAtfbM"/>
      <w:r w:rsidRPr="218CF22F">
        <w:rPr>
          <w:sz w:val="24"/>
          <w:szCs w:val="24"/>
        </w:rPr>
        <w:t>particular context</w:t>
      </w:r>
      <w:bookmarkEnd w:id="1"/>
      <w:r w:rsidRPr="218CF22F">
        <w:rPr>
          <w:sz w:val="24"/>
          <w:szCs w:val="24"/>
        </w:rPr>
        <w:t xml:space="preserve">—such as medical treatments, contracts, or other circumstances requiring consent—these components may change.  </w:t>
      </w:r>
    </w:p>
    <w:p w14:paraId="493C4E50" w14:textId="77777777" w:rsidR="0022195E" w:rsidRDefault="0022195E" w:rsidP="218CF22F">
      <w:pPr>
        <w:jc w:val="both"/>
        <w:rPr>
          <w:sz w:val="24"/>
          <w:szCs w:val="24"/>
        </w:rPr>
      </w:pPr>
    </w:p>
    <w:p w14:paraId="33097C7B" w14:textId="5931F625" w:rsidR="7C89994A" w:rsidRDefault="7C89994A" w:rsidP="218CF22F">
      <w:pPr>
        <w:jc w:val="both"/>
        <w:rPr>
          <w:sz w:val="24"/>
          <w:szCs w:val="24"/>
        </w:rPr>
      </w:pPr>
      <w:r w:rsidRPr="218CF22F">
        <w:rPr>
          <w:sz w:val="24"/>
          <w:szCs w:val="24"/>
        </w:rPr>
        <w:t xml:space="preserve">The offence of assault and battery is defined under </w:t>
      </w:r>
      <w:r w:rsidR="1AC5226C" w:rsidRPr="218CF22F">
        <w:rPr>
          <w:sz w:val="24"/>
          <w:szCs w:val="24"/>
        </w:rPr>
        <w:t>s.</w:t>
      </w:r>
      <w:r w:rsidRPr="218CF22F">
        <w:rPr>
          <w:sz w:val="24"/>
          <w:szCs w:val="24"/>
        </w:rPr>
        <w:t xml:space="preserve">39 of the </w:t>
      </w:r>
      <w:r w:rsidRPr="218CF22F">
        <w:rPr>
          <w:sz w:val="24"/>
          <w:szCs w:val="24"/>
          <w:u w:val="single"/>
        </w:rPr>
        <w:t>Criminal Justice Act of 1988</w:t>
      </w:r>
      <w:r w:rsidRPr="218CF22F">
        <w:rPr>
          <w:sz w:val="24"/>
          <w:szCs w:val="24"/>
        </w:rPr>
        <w:t xml:space="preserve">. According to </w:t>
      </w:r>
      <w:r w:rsidRPr="218CF22F">
        <w:rPr>
          <w:sz w:val="24"/>
          <w:szCs w:val="24"/>
          <w:u w:val="single"/>
        </w:rPr>
        <w:t>R v</w:t>
      </w:r>
      <w:r w:rsidR="47BBAA79" w:rsidRPr="218CF22F">
        <w:rPr>
          <w:sz w:val="24"/>
          <w:szCs w:val="24"/>
          <w:u w:val="single"/>
        </w:rPr>
        <w:t>.</w:t>
      </w:r>
      <w:r w:rsidRPr="218CF22F">
        <w:rPr>
          <w:sz w:val="24"/>
          <w:szCs w:val="24"/>
          <w:u w:val="single"/>
        </w:rPr>
        <w:t xml:space="preserve"> Venna</w:t>
      </w:r>
      <w:r w:rsidR="319BB973" w:rsidRPr="218CF22F">
        <w:rPr>
          <w:sz w:val="24"/>
          <w:szCs w:val="24"/>
          <w:u w:val="single"/>
        </w:rPr>
        <w:t>,</w:t>
      </w:r>
      <w:r w:rsidRPr="218CF22F">
        <w:rPr>
          <w:sz w:val="24"/>
          <w:szCs w:val="24"/>
          <w:u w:val="single"/>
        </w:rPr>
        <w:t xml:space="preserve"> 1976</w:t>
      </w:r>
      <w:r w:rsidRPr="218CF22F">
        <w:rPr>
          <w:sz w:val="24"/>
          <w:szCs w:val="24"/>
        </w:rPr>
        <w:t xml:space="preserve"> battery needs both men's rea—the intention or subjective carelessness to use unlawful force on another—and actus reus, which is the application of unlawful physical force. Even though assault and battery are two different crimes, they may occasionally be prosecuted as "common assault." Common law offences are those that are not </w:t>
      </w:r>
      <w:r w:rsidRPr="218CF22F">
        <w:rPr>
          <w:sz w:val="24"/>
          <w:szCs w:val="24"/>
        </w:rPr>
        <w:lastRenderedPageBreak/>
        <w:t xml:space="preserve">specifically specified by legislation but have instead grown via the legal system </w:t>
      </w:r>
      <w:bookmarkStart w:id="2" w:name="_Int_gAdnfWZF"/>
      <w:r w:rsidRPr="218CF22F">
        <w:rPr>
          <w:sz w:val="24"/>
          <w:szCs w:val="24"/>
        </w:rPr>
        <w:t>as a result of</w:t>
      </w:r>
      <w:bookmarkEnd w:id="2"/>
      <w:r w:rsidRPr="218CF22F">
        <w:rPr>
          <w:sz w:val="24"/>
          <w:szCs w:val="24"/>
        </w:rPr>
        <w:t xml:space="preserve"> court rulings. The maximum term for these offences is six months in jail, but fines and community service may also be required. The right to defend oneself with reasonable force is recognised by the law.</w:t>
      </w:r>
      <w:r w:rsidR="024CDCAF" w:rsidRPr="218CF22F">
        <w:rPr>
          <w:sz w:val="24"/>
          <w:szCs w:val="24"/>
        </w:rPr>
        <w:t xml:space="preserve"> The right to use reasonable force to defend oneself or others, to deter crime, or to preserve property is guaranteed by </w:t>
      </w:r>
      <w:r w:rsidR="024CDCAF" w:rsidRPr="218CF22F">
        <w:rPr>
          <w:sz w:val="24"/>
          <w:szCs w:val="24"/>
          <w:u w:val="single"/>
        </w:rPr>
        <w:t>Criminal Law Act 1967</w:t>
      </w:r>
      <w:r w:rsidR="024CDCAF" w:rsidRPr="218CF22F">
        <w:rPr>
          <w:sz w:val="24"/>
          <w:szCs w:val="24"/>
        </w:rPr>
        <w:t xml:space="preserve">, s.3. For this reason, it can occasionally be difficult to prove the facts of a case. It was acknowledged in the </w:t>
      </w:r>
      <w:r w:rsidR="024CDCAF" w:rsidRPr="218CF22F">
        <w:rPr>
          <w:sz w:val="24"/>
          <w:szCs w:val="24"/>
          <w:u w:val="single"/>
        </w:rPr>
        <w:t>Collins v. Wilcock</w:t>
      </w:r>
      <w:r w:rsidR="771ABAF6" w:rsidRPr="218CF22F">
        <w:rPr>
          <w:sz w:val="24"/>
          <w:szCs w:val="24"/>
          <w:u w:val="single"/>
        </w:rPr>
        <w:t>,</w:t>
      </w:r>
      <w:r w:rsidR="024CDCAF" w:rsidRPr="218CF22F">
        <w:rPr>
          <w:sz w:val="24"/>
          <w:szCs w:val="24"/>
          <w:u w:val="single"/>
        </w:rPr>
        <w:t xml:space="preserve"> 1984</w:t>
      </w:r>
      <w:r w:rsidR="024CDCAF" w:rsidRPr="218CF22F">
        <w:rPr>
          <w:sz w:val="24"/>
          <w:szCs w:val="24"/>
        </w:rPr>
        <w:t xml:space="preserve"> case that some physical force occurs in everyday life, such as when people run into one other while crossing a busy street.</w:t>
      </w:r>
      <w:r w:rsidR="4194C61A" w:rsidRPr="218CF22F">
        <w:rPr>
          <w:sz w:val="24"/>
          <w:szCs w:val="24"/>
        </w:rPr>
        <w:t xml:space="preserve"> (Digestible Notes. 2019)</w:t>
      </w:r>
    </w:p>
    <w:p w14:paraId="3065DFA8" w14:textId="01B5938C" w:rsidR="3D442F9F" w:rsidRDefault="3D442F9F" w:rsidP="218CF22F">
      <w:pPr>
        <w:jc w:val="both"/>
        <w:rPr>
          <w:sz w:val="24"/>
          <w:szCs w:val="24"/>
        </w:rPr>
      </w:pPr>
      <w:r w:rsidRPr="218CF22F">
        <w:rPr>
          <w:sz w:val="24"/>
          <w:szCs w:val="24"/>
        </w:rPr>
        <w:t xml:space="preserve"> </w:t>
      </w:r>
    </w:p>
    <w:p w14:paraId="237AF3CE" w14:textId="0BF8AE24" w:rsidR="5C203D3A" w:rsidRDefault="5C203D3A" w:rsidP="218CF22F">
      <w:pPr>
        <w:jc w:val="both"/>
        <w:rPr>
          <w:sz w:val="24"/>
          <w:szCs w:val="24"/>
        </w:rPr>
      </w:pPr>
      <w:r w:rsidRPr="218CF22F">
        <w:rPr>
          <w:sz w:val="24"/>
          <w:szCs w:val="24"/>
        </w:rPr>
        <w:t xml:space="preserve">Although the use of force with the intent to cause harm is usually considered battery, permission may be used as a defence in some circumstances. The consent defence is based on the fundamental idea that every person has the right to make decisions regarding their own body. As long as the use of force stays within appropriate limitations, consent allows people to participate in acts that could otherwise be deemed illegal. </w:t>
      </w:r>
      <w:r w:rsidR="3FB7E39F" w:rsidRPr="218CF22F">
        <w:rPr>
          <w:sz w:val="24"/>
          <w:szCs w:val="24"/>
        </w:rPr>
        <w:t>It is</w:t>
      </w:r>
      <w:r w:rsidRPr="218CF22F">
        <w:rPr>
          <w:sz w:val="24"/>
          <w:szCs w:val="24"/>
        </w:rPr>
        <w:t xml:space="preserve"> important to remember that permission is revocable at any point and is not absolute. Furthermore, for consent to be legitimate, it must be given with the ability to assent; permission gained by deceit or fraud may also not be accepted by the law if the consenting party is mentally incapable of understanding the nature of the conduct.</w:t>
      </w:r>
      <w:r w:rsidR="61C92C32" w:rsidRPr="218CF22F">
        <w:rPr>
          <w:sz w:val="24"/>
          <w:szCs w:val="24"/>
        </w:rPr>
        <w:t xml:space="preserve"> (UKCEN. 2012)</w:t>
      </w:r>
      <w:r w:rsidR="7084CFFB" w:rsidRPr="218CF22F">
        <w:rPr>
          <w:sz w:val="24"/>
          <w:szCs w:val="24"/>
        </w:rPr>
        <w:t xml:space="preserve"> </w:t>
      </w:r>
      <w:r w:rsidR="7084CFFB" w:rsidRPr="218CF22F">
        <w:rPr>
          <w:sz w:val="24"/>
          <w:szCs w:val="24"/>
          <w:u w:val="single"/>
        </w:rPr>
        <w:t>R v. Brown, 1993</w:t>
      </w:r>
      <w:r w:rsidR="7084CFFB" w:rsidRPr="218CF22F">
        <w:rPr>
          <w:sz w:val="24"/>
          <w:szCs w:val="24"/>
        </w:rPr>
        <w:t xml:space="preserve"> People who participated in voluntary sadomasochistic behaviours were accused of assault resulting in abuse of animals. Whether the parties could lawfully consent to actions that caused injury was the main point of contention. The House of Lords ruled that permission was not a defence, subsequently established a percentage that limited the amount of assent that people might provide to harmful actions. In conclusion, permission plays an important legal role in battery cases by permitting legitimate physical contact in certain situations. It emphasises the value of each person's autonomy and choice and shows that consent encompasses both agreement and the ability to make an educated choice.</w:t>
      </w:r>
      <w:r w:rsidR="3E28E570" w:rsidRPr="218CF22F">
        <w:rPr>
          <w:sz w:val="24"/>
          <w:szCs w:val="24"/>
        </w:rPr>
        <w:t xml:space="preserve"> Comprehending the subtleties of consent is imperative for both the prosecution and defence in battery trials, as it can profoundly influence the court's decision depending on the particulars and circumstances of the case.</w:t>
      </w:r>
      <w:r w:rsidR="33387381" w:rsidRPr="218CF22F">
        <w:rPr>
          <w:sz w:val="24"/>
          <w:szCs w:val="24"/>
        </w:rPr>
        <w:t xml:space="preserve"> (Law Resources. 2020)</w:t>
      </w:r>
      <w:r w:rsidR="3E28E570" w:rsidRPr="218CF22F">
        <w:rPr>
          <w:sz w:val="24"/>
          <w:szCs w:val="24"/>
        </w:rPr>
        <w:t xml:space="preserve"> The interaction between consent and battery was demonstrated in the UK case </w:t>
      </w:r>
      <w:r w:rsidR="3E28E570" w:rsidRPr="218CF22F">
        <w:rPr>
          <w:sz w:val="24"/>
          <w:szCs w:val="24"/>
          <w:u w:val="single"/>
        </w:rPr>
        <w:t>R v. Anderson, 2021</w:t>
      </w:r>
      <w:r w:rsidR="3E28E570" w:rsidRPr="218CF22F">
        <w:rPr>
          <w:sz w:val="24"/>
          <w:szCs w:val="24"/>
        </w:rPr>
        <w:t xml:space="preserve">. Since the offender was found not guilty, </w:t>
      </w:r>
      <w:r w:rsidR="3E28E570" w:rsidRPr="218CF22F">
        <w:rPr>
          <w:sz w:val="24"/>
          <w:szCs w:val="24"/>
        </w:rPr>
        <w:lastRenderedPageBreak/>
        <w:t>the difficulties in determining consent in social contexts were brought to light, underscoring the importance of consent in UK battery cases.</w:t>
      </w:r>
    </w:p>
    <w:p w14:paraId="1F73C99D" w14:textId="2DCE88E8" w:rsidR="72014F96" w:rsidRDefault="72014F96" w:rsidP="218CF22F">
      <w:pPr>
        <w:jc w:val="both"/>
        <w:rPr>
          <w:sz w:val="24"/>
          <w:szCs w:val="24"/>
        </w:rPr>
      </w:pPr>
      <w:r w:rsidRPr="218CF22F">
        <w:rPr>
          <w:sz w:val="24"/>
          <w:szCs w:val="24"/>
        </w:rPr>
        <w:t xml:space="preserve"> </w:t>
      </w:r>
    </w:p>
    <w:p w14:paraId="2F015BBB" w14:textId="09B7DB2D" w:rsidR="0E062EBE" w:rsidRDefault="0E062EBE" w:rsidP="218CF22F">
      <w:pPr>
        <w:jc w:val="both"/>
        <w:rPr>
          <w:sz w:val="24"/>
          <w:szCs w:val="24"/>
        </w:rPr>
      </w:pPr>
      <w:r w:rsidRPr="218CF22F">
        <w:rPr>
          <w:sz w:val="24"/>
          <w:szCs w:val="24"/>
        </w:rPr>
        <w:t xml:space="preserve">In the UK, determining consent can be fraught with ambiguities and difficulties. Determining whether a person has the mental ability to give valid permission and evaluating circumstances in which consent may be implied rather than expressly stated are some of the </w:t>
      </w:r>
      <w:r w:rsidR="25887A88" w:rsidRPr="218CF22F">
        <w:rPr>
          <w:sz w:val="24"/>
          <w:szCs w:val="24"/>
        </w:rPr>
        <w:t>key issues</w:t>
      </w:r>
      <w:r w:rsidRPr="218CF22F">
        <w:rPr>
          <w:sz w:val="24"/>
          <w:szCs w:val="24"/>
        </w:rPr>
        <w:t xml:space="preserve">. A doctor was accused of sexually abusing female patients while performing medical examinations in the case of </w:t>
      </w:r>
      <w:r w:rsidRPr="218CF22F">
        <w:rPr>
          <w:sz w:val="24"/>
          <w:szCs w:val="24"/>
          <w:u w:val="single"/>
        </w:rPr>
        <w:t>R v. Tabassum, 2000</w:t>
      </w:r>
      <w:r w:rsidRPr="218CF22F">
        <w:rPr>
          <w:sz w:val="24"/>
          <w:szCs w:val="24"/>
        </w:rPr>
        <w:t>. The defence contended that implied permission was necessary for medical reasons, but the court dismissed this argument. This instance underlines how crucial unambiguous permission is, especially in formal or medical settings.</w:t>
      </w:r>
      <w:r w:rsidR="40DF1B0D" w:rsidRPr="218CF22F">
        <w:rPr>
          <w:sz w:val="24"/>
          <w:szCs w:val="24"/>
        </w:rPr>
        <w:t xml:space="preserve"> Assessing the effects of drug or alcohol intoxication can be difficult when deciding consent; in the case </w:t>
      </w:r>
      <w:r w:rsidR="40DF1B0D" w:rsidRPr="218CF22F">
        <w:rPr>
          <w:sz w:val="24"/>
          <w:szCs w:val="24"/>
          <w:u w:val="single"/>
        </w:rPr>
        <w:t>R v. Bree, 2007</w:t>
      </w:r>
      <w:r w:rsidR="40DF1B0D" w:rsidRPr="218CF22F">
        <w:rPr>
          <w:sz w:val="24"/>
          <w:szCs w:val="24"/>
        </w:rPr>
        <w:t>.</w:t>
      </w:r>
      <w:r w:rsidR="061C0F8E" w:rsidRPr="218CF22F">
        <w:rPr>
          <w:sz w:val="24"/>
          <w:szCs w:val="24"/>
        </w:rPr>
        <w:t xml:space="preserve"> (</w:t>
      </w:r>
      <w:r w:rsidR="061C0F8E" w:rsidRPr="218CF22F">
        <w:rPr>
          <w:rFonts w:eastAsiaTheme="minorEastAsia"/>
          <w:color w:val="1A1A1A"/>
          <w:sz w:val="24"/>
          <w:szCs w:val="24"/>
        </w:rPr>
        <w:t>CPS. 2021)</w:t>
      </w:r>
      <w:r w:rsidR="40DF1B0D" w:rsidRPr="218CF22F">
        <w:rPr>
          <w:sz w:val="24"/>
          <w:szCs w:val="24"/>
        </w:rPr>
        <w:t xml:space="preserve"> The court took this into consideration when establishing the complainant's capacity to offer informed consent. When it comes to resolving communication issues, language hurdles often arise. Lastly, addressing consent-related concerns in the context of </w:t>
      </w:r>
      <w:r w:rsidR="489B9228" w:rsidRPr="218CF22F">
        <w:rPr>
          <w:sz w:val="24"/>
          <w:szCs w:val="24"/>
        </w:rPr>
        <w:t>innovative</w:t>
      </w:r>
      <w:r w:rsidR="40DF1B0D" w:rsidRPr="218CF22F">
        <w:rPr>
          <w:sz w:val="24"/>
          <w:szCs w:val="24"/>
        </w:rPr>
        <w:t xml:space="preserve"> technology, such sharing private material or virtual interactions. These difficulties draw attention to how complicated consent-related matters might be and how legal interpretations must take a nuanced, context-specific approach.</w:t>
      </w:r>
    </w:p>
    <w:p w14:paraId="78EDE8C7" w14:textId="345ED8EA" w:rsidR="218CF22F" w:rsidRDefault="218CF22F" w:rsidP="218CF22F">
      <w:pPr>
        <w:jc w:val="both"/>
        <w:rPr>
          <w:sz w:val="24"/>
          <w:szCs w:val="24"/>
        </w:rPr>
      </w:pPr>
    </w:p>
    <w:p w14:paraId="5CE057AC" w14:textId="4A685587" w:rsidR="618CA874" w:rsidRDefault="618CA874" w:rsidP="218CF22F">
      <w:pPr>
        <w:jc w:val="both"/>
        <w:rPr>
          <w:sz w:val="24"/>
          <w:szCs w:val="24"/>
        </w:rPr>
      </w:pPr>
      <w:r w:rsidRPr="218CF22F">
        <w:rPr>
          <w:sz w:val="24"/>
          <w:szCs w:val="24"/>
        </w:rPr>
        <w:t xml:space="preserve">In the UK, the seriousness of the offence, the extent of the injury, and other aggravating circumstances can all affect the punishments and outcomes for battery cases. Consent may have an impact on the case's result in the legal system. When it comes to sentencing, valid permission might operate as a mitigating element that could result in a lower punishment. This, however, is contingent upon the type of consent and whether the law deems it to be legitimate. In situations where the harm done exceeds what is deemed tolerable or where public policy issues are involved, as demonstrated in the </w:t>
      </w:r>
      <w:r w:rsidRPr="218CF22F">
        <w:rPr>
          <w:sz w:val="24"/>
          <w:szCs w:val="24"/>
          <w:u w:val="single"/>
        </w:rPr>
        <w:t>R v. Brown</w:t>
      </w:r>
      <w:r w:rsidRPr="218CF22F">
        <w:rPr>
          <w:sz w:val="24"/>
          <w:szCs w:val="24"/>
        </w:rPr>
        <w:t xml:space="preserve"> case.</w:t>
      </w:r>
      <w:r w:rsidR="081C9A1E" w:rsidRPr="218CF22F">
        <w:rPr>
          <w:sz w:val="24"/>
          <w:szCs w:val="24"/>
        </w:rPr>
        <w:t xml:space="preserve"> </w:t>
      </w:r>
      <w:r w:rsidR="14C419F3" w:rsidRPr="218CF22F">
        <w:rPr>
          <w:sz w:val="24"/>
          <w:szCs w:val="24"/>
        </w:rPr>
        <w:t xml:space="preserve">(Herring, J. 2022) </w:t>
      </w:r>
      <w:r w:rsidR="081C9A1E" w:rsidRPr="218CF22F">
        <w:rPr>
          <w:sz w:val="24"/>
          <w:szCs w:val="24"/>
        </w:rPr>
        <w:t xml:space="preserve">Penalties might be </w:t>
      </w:r>
      <w:r w:rsidR="77F6326C" w:rsidRPr="218CF22F">
        <w:rPr>
          <w:sz w:val="24"/>
          <w:szCs w:val="24"/>
        </w:rPr>
        <w:t>harsher,</w:t>
      </w:r>
      <w:r w:rsidR="081C9A1E" w:rsidRPr="218CF22F">
        <w:rPr>
          <w:sz w:val="24"/>
          <w:szCs w:val="24"/>
        </w:rPr>
        <w:t xml:space="preserve"> and consent could not be a complete defence. In addition to facing criminal consequences, those engaged in battery cases may also be subject to civil liabilities. </w:t>
      </w:r>
      <w:bookmarkStart w:id="3" w:name="_Int_CJBonMXV"/>
      <w:r w:rsidR="081C9A1E" w:rsidRPr="218CF22F">
        <w:rPr>
          <w:sz w:val="24"/>
          <w:szCs w:val="24"/>
        </w:rPr>
        <w:t>In order to</w:t>
      </w:r>
      <w:bookmarkEnd w:id="3"/>
      <w:r w:rsidR="081C9A1E" w:rsidRPr="218CF22F">
        <w:rPr>
          <w:sz w:val="24"/>
          <w:szCs w:val="24"/>
        </w:rPr>
        <w:t xml:space="preserve"> recover costs for lost wages, pain and suffering, and other losses, the victim may file a civil case. It is crucial to </w:t>
      </w:r>
      <w:r w:rsidR="081C9A1E" w:rsidRPr="218CF22F">
        <w:rPr>
          <w:sz w:val="24"/>
          <w:szCs w:val="24"/>
        </w:rPr>
        <w:lastRenderedPageBreak/>
        <w:t xml:space="preserve">remember that the facts above only </w:t>
      </w:r>
      <w:r w:rsidR="7F925F80" w:rsidRPr="218CF22F">
        <w:rPr>
          <w:sz w:val="24"/>
          <w:szCs w:val="24"/>
        </w:rPr>
        <w:t>offer</w:t>
      </w:r>
      <w:r w:rsidR="081C9A1E" w:rsidRPr="218CF22F">
        <w:rPr>
          <w:sz w:val="24"/>
          <w:szCs w:val="24"/>
        </w:rPr>
        <w:t xml:space="preserve"> a broad picture of the potential legal results, which might differ depending on the particulars of each case.</w:t>
      </w:r>
    </w:p>
    <w:p w14:paraId="227342B4" w14:textId="6BB26866" w:rsidR="218CF22F" w:rsidRDefault="218CF22F" w:rsidP="218CF22F">
      <w:pPr>
        <w:jc w:val="both"/>
        <w:rPr>
          <w:sz w:val="24"/>
          <w:szCs w:val="24"/>
        </w:rPr>
      </w:pPr>
    </w:p>
    <w:p w14:paraId="535ADDBE" w14:textId="00415536" w:rsidR="28CA2785" w:rsidRDefault="28CA2785" w:rsidP="218CF22F">
      <w:pPr>
        <w:jc w:val="both"/>
        <w:rPr>
          <w:sz w:val="24"/>
          <w:szCs w:val="24"/>
        </w:rPr>
      </w:pPr>
      <w:r w:rsidRPr="218CF22F">
        <w:rPr>
          <w:sz w:val="24"/>
          <w:szCs w:val="24"/>
        </w:rPr>
        <w:t>Recent years have seen a rise in public awareness of permission and its significance in battery cases in the UK, mostly due to the worldwide #MeToo movement, which underlines the value of consent and the necessity of open communication in all kinds of interactions.</w:t>
      </w:r>
      <w:r w:rsidR="3877FA19" w:rsidRPr="218CF22F">
        <w:rPr>
          <w:sz w:val="24"/>
          <w:szCs w:val="24"/>
        </w:rPr>
        <w:t xml:space="preserve"> (</w:t>
      </w:r>
      <w:r w:rsidR="3877FA19" w:rsidRPr="218CF22F">
        <w:rPr>
          <w:rFonts w:eastAsiaTheme="minorEastAsia"/>
          <w:color w:val="1A1A1A"/>
          <w:sz w:val="24"/>
          <w:szCs w:val="24"/>
        </w:rPr>
        <w:t>Brittain, A. 2017)</w:t>
      </w:r>
      <w:r w:rsidRPr="218CF22F">
        <w:rPr>
          <w:sz w:val="24"/>
          <w:szCs w:val="24"/>
        </w:rPr>
        <w:t xml:space="preserve"> In addition to focusing on fostering a culture of respect and a knowledge of personal limits, educational initiatives in schools and colleges seek to increase public awareness of consent. Prominent incidents like the tattoo artist Brendan McCarthy (Dr Evil) have attracted media attention and public attention, which is crucial in influencing public opinion on </w:t>
      </w:r>
      <w:bookmarkStart w:id="4" w:name="_Int_gaz6OXbD"/>
      <w:r w:rsidRPr="218CF22F">
        <w:rPr>
          <w:sz w:val="24"/>
          <w:szCs w:val="24"/>
        </w:rPr>
        <w:t>particular subjects</w:t>
      </w:r>
      <w:bookmarkEnd w:id="4"/>
      <w:r w:rsidRPr="218CF22F">
        <w:rPr>
          <w:sz w:val="24"/>
          <w:szCs w:val="24"/>
        </w:rPr>
        <w:t>.</w:t>
      </w:r>
      <w:r w:rsidR="684A93A9" w:rsidRPr="218CF22F">
        <w:rPr>
          <w:sz w:val="24"/>
          <w:szCs w:val="24"/>
        </w:rPr>
        <w:t xml:space="preserve"> (Press Association 2019)</w:t>
      </w:r>
      <w:r w:rsidRPr="218CF22F">
        <w:rPr>
          <w:sz w:val="24"/>
          <w:szCs w:val="24"/>
        </w:rPr>
        <w:t xml:space="preserve"> This has advantages as well as disadvantages. Even so, awareness-building has advanced. There are still issues with achieving thorough comprehension and cultural transformation. A more knowledgeable and responsible public is created by ongoing initiatives to improve legal frameworks, encourage candid dialogue, and educate the public on the importance of consent in battery cases</w:t>
      </w:r>
      <w:r w:rsidR="6925A029" w:rsidRPr="218CF22F">
        <w:rPr>
          <w:sz w:val="24"/>
          <w:szCs w:val="24"/>
        </w:rPr>
        <w:t xml:space="preserve">. </w:t>
      </w:r>
    </w:p>
    <w:p w14:paraId="468E1E7B" w14:textId="35B20354" w:rsidR="218CF22F" w:rsidRDefault="218CF22F" w:rsidP="218CF22F">
      <w:pPr>
        <w:jc w:val="both"/>
        <w:rPr>
          <w:sz w:val="24"/>
          <w:szCs w:val="24"/>
        </w:rPr>
      </w:pPr>
    </w:p>
    <w:p w14:paraId="258F7846" w14:textId="77777777" w:rsidR="00A94B88" w:rsidRDefault="04C35F35" w:rsidP="218CF22F">
      <w:pPr>
        <w:jc w:val="both"/>
        <w:rPr>
          <w:sz w:val="24"/>
          <w:szCs w:val="24"/>
        </w:rPr>
      </w:pPr>
      <w:r w:rsidRPr="218CF22F">
        <w:rPr>
          <w:sz w:val="24"/>
          <w:szCs w:val="24"/>
        </w:rPr>
        <w:t xml:space="preserve">In conclusion, the way consent is developing in battery cases in the UK is </w:t>
      </w:r>
      <w:r w:rsidR="598B1D75" w:rsidRPr="218CF22F">
        <w:rPr>
          <w:sz w:val="24"/>
          <w:szCs w:val="24"/>
        </w:rPr>
        <w:t>a change in thinking</w:t>
      </w:r>
      <w:r w:rsidRPr="218CF22F">
        <w:rPr>
          <w:sz w:val="24"/>
          <w:szCs w:val="24"/>
        </w:rPr>
        <w:t xml:space="preserve"> of great significance, highlighting the </w:t>
      </w:r>
      <w:r w:rsidR="3CC701AC" w:rsidRPr="218CF22F">
        <w:rPr>
          <w:sz w:val="24"/>
          <w:szCs w:val="24"/>
        </w:rPr>
        <w:t>importance</w:t>
      </w:r>
      <w:r w:rsidRPr="218CF22F">
        <w:rPr>
          <w:sz w:val="24"/>
          <w:szCs w:val="24"/>
        </w:rPr>
        <w:t xml:space="preserve"> of continuous, affirmative, and subtle agreement in interpersonal relationships. This development </w:t>
      </w:r>
      <w:bookmarkStart w:id="5" w:name="_Int_n4JgLcvl"/>
      <w:r w:rsidRPr="218CF22F">
        <w:rPr>
          <w:sz w:val="24"/>
          <w:szCs w:val="24"/>
        </w:rPr>
        <w:t>is a reflection of</w:t>
      </w:r>
      <w:bookmarkEnd w:id="5"/>
      <w:r w:rsidRPr="218CF22F">
        <w:rPr>
          <w:sz w:val="24"/>
          <w:szCs w:val="24"/>
        </w:rPr>
        <w:t xml:space="preserve"> larger cultural shifts that emphasise the value of open communication, respect for private property, and acknowledgement of human liberty. The law changes to reflect modern society standards as precedents set limits and clarify the legal definition of consent.</w:t>
      </w:r>
      <w:r w:rsidR="23C34A36" w:rsidRPr="218CF22F">
        <w:rPr>
          <w:sz w:val="24"/>
          <w:szCs w:val="24"/>
        </w:rPr>
        <w:t xml:space="preserve"> (</w:t>
      </w:r>
      <w:r w:rsidR="23C34A36" w:rsidRPr="218CF22F">
        <w:rPr>
          <w:rFonts w:eastAsiaTheme="minorEastAsia"/>
          <w:sz w:val="24"/>
          <w:szCs w:val="24"/>
        </w:rPr>
        <w:t>Study Smarter. 2017)</w:t>
      </w:r>
      <w:r w:rsidRPr="218CF22F">
        <w:rPr>
          <w:sz w:val="24"/>
          <w:szCs w:val="24"/>
        </w:rPr>
        <w:t xml:space="preserve"> Beyond changes in the legal system, this evolution has ramifications for public policy, education programmes, and cultural changes. A more inclusive view of consent is facilitated by initiatives that adopt affirmative consent norms, address digital consent challenges, and take intersectionality in power relations into account. Education and prevention initiatives play a crucial role in shaping a culture that values proactive communication and fosters respect for personal autonomy.</w:t>
      </w:r>
    </w:p>
    <w:p w14:paraId="61CE9D95" w14:textId="280366E7" w:rsidR="4E95E5C3" w:rsidRPr="00A94B88" w:rsidRDefault="4E95E5C3" w:rsidP="218CF22F">
      <w:pPr>
        <w:jc w:val="both"/>
        <w:rPr>
          <w:sz w:val="24"/>
          <w:szCs w:val="24"/>
        </w:rPr>
      </w:pPr>
      <w:r w:rsidRPr="218CF22F">
        <w:rPr>
          <w:sz w:val="28"/>
          <w:szCs w:val="28"/>
          <w:u w:val="single"/>
        </w:rPr>
        <w:lastRenderedPageBreak/>
        <w:t>Case List</w:t>
      </w:r>
    </w:p>
    <w:p w14:paraId="3A91DBB7" w14:textId="6B483A1B" w:rsidR="233653BD" w:rsidRDefault="233653BD" w:rsidP="218CF22F">
      <w:pPr>
        <w:jc w:val="both"/>
        <w:rPr>
          <w:sz w:val="24"/>
          <w:szCs w:val="24"/>
        </w:rPr>
      </w:pPr>
      <w:r w:rsidRPr="218CF22F">
        <w:rPr>
          <w:sz w:val="24"/>
          <w:szCs w:val="24"/>
        </w:rPr>
        <w:t xml:space="preserve">Collins v Wilcock, 1984 </w:t>
      </w:r>
    </w:p>
    <w:p w14:paraId="5489BD3E" w14:textId="7CEDAA89" w:rsidR="233653BD" w:rsidRDefault="233653BD" w:rsidP="218CF22F">
      <w:pPr>
        <w:jc w:val="both"/>
        <w:rPr>
          <w:sz w:val="24"/>
          <w:szCs w:val="24"/>
        </w:rPr>
      </w:pPr>
      <w:r w:rsidRPr="218CF22F">
        <w:rPr>
          <w:sz w:val="24"/>
          <w:szCs w:val="24"/>
        </w:rPr>
        <w:t>R v Anderson, 2021 [NICA 208]</w:t>
      </w:r>
    </w:p>
    <w:p w14:paraId="33BCE056" w14:textId="470DFA04" w:rsidR="233653BD" w:rsidRDefault="233653BD" w:rsidP="218CF22F">
      <w:pPr>
        <w:jc w:val="both"/>
        <w:rPr>
          <w:sz w:val="24"/>
          <w:szCs w:val="24"/>
        </w:rPr>
      </w:pPr>
      <w:r w:rsidRPr="218CF22F">
        <w:rPr>
          <w:sz w:val="24"/>
          <w:szCs w:val="24"/>
        </w:rPr>
        <w:t>R v Bree, 2007</w:t>
      </w:r>
    </w:p>
    <w:p w14:paraId="4D4E39E4" w14:textId="40BE93D6" w:rsidR="233653BD" w:rsidRDefault="233653BD" w:rsidP="218CF22F">
      <w:pPr>
        <w:jc w:val="both"/>
        <w:rPr>
          <w:sz w:val="24"/>
          <w:szCs w:val="24"/>
        </w:rPr>
      </w:pPr>
      <w:r w:rsidRPr="218CF22F">
        <w:rPr>
          <w:sz w:val="24"/>
          <w:szCs w:val="24"/>
        </w:rPr>
        <w:t>R v Brown, 1993</w:t>
      </w:r>
    </w:p>
    <w:p w14:paraId="2777407B" w14:textId="350E3679" w:rsidR="233653BD" w:rsidRDefault="233653BD" w:rsidP="218CF22F">
      <w:pPr>
        <w:jc w:val="both"/>
        <w:rPr>
          <w:sz w:val="24"/>
          <w:szCs w:val="24"/>
        </w:rPr>
      </w:pPr>
      <w:r w:rsidRPr="218CF22F">
        <w:rPr>
          <w:sz w:val="24"/>
          <w:szCs w:val="24"/>
        </w:rPr>
        <w:t>R v Tabassum, 2000</w:t>
      </w:r>
    </w:p>
    <w:p w14:paraId="205D11CF" w14:textId="58890518" w:rsidR="5A5AAE47" w:rsidRDefault="5A5AAE47" w:rsidP="218CF22F">
      <w:pPr>
        <w:jc w:val="both"/>
        <w:rPr>
          <w:sz w:val="24"/>
          <w:szCs w:val="24"/>
        </w:rPr>
      </w:pPr>
      <w:r w:rsidRPr="218CF22F">
        <w:rPr>
          <w:sz w:val="24"/>
          <w:szCs w:val="24"/>
        </w:rPr>
        <w:t>R v Venna</w:t>
      </w:r>
      <w:r w:rsidR="3A3B83B0" w:rsidRPr="218CF22F">
        <w:rPr>
          <w:sz w:val="24"/>
          <w:szCs w:val="24"/>
        </w:rPr>
        <w:t>,</w:t>
      </w:r>
      <w:r w:rsidRPr="218CF22F">
        <w:rPr>
          <w:sz w:val="24"/>
          <w:szCs w:val="24"/>
        </w:rPr>
        <w:t xml:space="preserve"> 1976</w:t>
      </w:r>
    </w:p>
    <w:p w14:paraId="3BBCEE2E" w14:textId="4912234F" w:rsidR="218CF22F" w:rsidRDefault="218CF22F" w:rsidP="218CF22F">
      <w:pPr>
        <w:jc w:val="both"/>
        <w:rPr>
          <w:sz w:val="24"/>
          <w:szCs w:val="24"/>
        </w:rPr>
      </w:pPr>
    </w:p>
    <w:p w14:paraId="513E3437" w14:textId="4A08BAAD" w:rsidR="5C2007F2" w:rsidRDefault="5C2007F2" w:rsidP="218CF22F">
      <w:pPr>
        <w:jc w:val="both"/>
        <w:rPr>
          <w:sz w:val="32"/>
          <w:szCs w:val="32"/>
          <w:u w:val="single"/>
        </w:rPr>
      </w:pPr>
      <w:r w:rsidRPr="218CF22F">
        <w:rPr>
          <w:sz w:val="28"/>
          <w:szCs w:val="28"/>
          <w:u w:val="single"/>
        </w:rPr>
        <w:t>Reference List</w:t>
      </w:r>
    </w:p>
    <w:p w14:paraId="5F84D160" w14:textId="0349FFD4" w:rsidR="560F400C" w:rsidRDefault="560F400C" w:rsidP="218CF22F">
      <w:pPr>
        <w:rPr>
          <w:rFonts w:eastAsiaTheme="minorEastAsia"/>
          <w:color w:val="1A1A1A"/>
          <w:sz w:val="24"/>
          <w:szCs w:val="24"/>
        </w:rPr>
      </w:pPr>
      <w:r w:rsidRPr="218CF22F">
        <w:rPr>
          <w:rFonts w:eastAsiaTheme="minorEastAsia"/>
          <w:color w:val="1A1A1A"/>
          <w:sz w:val="24"/>
          <w:szCs w:val="24"/>
        </w:rPr>
        <w:t xml:space="preserve">Brittain, A. (2017) ‘Me Too movement’. </w:t>
      </w:r>
      <w:r w:rsidR="00794D69" w:rsidRPr="218CF22F">
        <w:rPr>
          <w:rFonts w:eastAsiaTheme="minorEastAsia"/>
          <w:i/>
          <w:iCs/>
          <w:color w:val="1A1A1A"/>
          <w:sz w:val="24"/>
          <w:szCs w:val="24"/>
        </w:rPr>
        <w:t>Encyclopaedia</w:t>
      </w:r>
      <w:r w:rsidRPr="218CF22F">
        <w:rPr>
          <w:rFonts w:eastAsiaTheme="minorEastAsia"/>
          <w:i/>
          <w:iCs/>
          <w:color w:val="1A1A1A"/>
          <w:sz w:val="24"/>
          <w:szCs w:val="24"/>
        </w:rPr>
        <w:t xml:space="preserve"> Britannica</w:t>
      </w:r>
      <w:r w:rsidRPr="218CF22F">
        <w:rPr>
          <w:rFonts w:eastAsiaTheme="minorEastAsia"/>
          <w:color w:val="1A1A1A"/>
          <w:sz w:val="24"/>
          <w:szCs w:val="24"/>
        </w:rPr>
        <w:t xml:space="preserve">, 10 Nov. 2023. Available at: </w:t>
      </w:r>
      <w:hyperlink r:id="rId5">
        <w:r w:rsidRPr="218CF22F">
          <w:rPr>
            <w:rStyle w:val="Hyperlink"/>
            <w:rFonts w:eastAsiaTheme="minorEastAsia"/>
            <w:sz w:val="24"/>
            <w:szCs w:val="24"/>
          </w:rPr>
          <w:t>https://www.britannica.com/topic/Me-Too-movement</w:t>
        </w:r>
      </w:hyperlink>
      <w:r w:rsidRPr="218CF22F">
        <w:rPr>
          <w:rFonts w:eastAsiaTheme="minorEastAsia"/>
          <w:color w:val="1A1A1A"/>
          <w:sz w:val="24"/>
          <w:szCs w:val="24"/>
        </w:rPr>
        <w:t xml:space="preserve"> (Accessed: 3rd November 2023).</w:t>
      </w:r>
    </w:p>
    <w:p w14:paraId="5564C70F" w14:textId="6F7FA1BC" w:rsidR="560F400C" w:rsidRDefault="560F400C" w:rsidP="218CF22F">
      <w:pPr>
        <w:rPr>
          <w:rFonts w:eastAsiaTheme="minorEastAsia"/>
          <w:color w:val="1A1A1A"/>
          <w:sz w:val="24"/>
          <w:szCs w:val="24"/>
        </w:rPr>
      </w:pPr>
      <w:r w:rsidRPr="218CF22F">
        <w:rPr>
          <w:rFonts w:eastAsiaTheme="minorEastAsia"/>
          <w:color w:val="1A1A1A"/>
          <w:sz w:val="24"/>
          <w:szCs w:val="24"/>
        </w:rPr>
        <w:t>CPS. (2021) ‘Rape and Sexual Offences – Chapter 6: Consent’, 21</w:t>
      </w:r>
      <w:r w:rsidRPr="218CF22F">
        <w:rPr>
          <w:rFonts w:eastAsiaTheme="minorEastAsia"/>
          <w:color w:val="1A1A1A"/>
          <w:sz w:val="24"/>
          <w:szCs w:val="24"/>
          <w:vertAlign w:val="superscript"/>
        </w:rPr>
        <w:t>st</w:t>
      </w:r>
      <w:r w:rsidRPr="218CF22F">
        <w:rPr>
          <w:rFonts w:eastAsiaTheme="minorEastAsia"/>
          <w:color w:val="1A1A1A"/>
          <w:sz w:val="24"/>
          <w:szCs w:val="24"/>
        </w:rPr>
        <w:t xml:space="preserve"> May. Available at: </w:t>
      </w:r>
      <w:hyperlink r:id="rId6" w:anchor=":~:text=Statutory%20definition%20of%20consent,-Section%2074%20defines&amp;text=in%20two%20stages.-,They%20are%3A,not%20constrained%20in%20any%20way">
        <w:r w:rsidRPr="218CF22F">
          <w:rPr>
            <w:rStyle w:val="Hyperlink"/>
            <w:rFonts w:eastAsiaTheme="minorEastAsia"/>
            <w:sz w:val="24"/>
            <w:szCs w:val="24"/>
          </w:rPr>
          <w:t>https://www.cps.gov.uk/legal-guidance/rape-and-sexual-offences-chapter-6-consent#:~:text=Statutory%20definition%20of%20consent,-Section%2074%20defines&amp;text=in%20two%20stages.-,They%20are%3A,not%20constrained%20in%20any%20way</w:t>
        </w:r>
      </w:hyperlink>
      <w:r w:rsidRPr="218CF22F">
        <w:rPr>
          <w:rFonts w:eastAsiaTheme="minorEastAsia"/>
          <w:sz w:val="24"/>
          <w:szCs w:val="24"/>
        </w:rPr>
        <w:t xml:space="preserve"> (Accessed: 3</w:t>
      </w:r>
      <w:r w:rsidRPr="218CF22F">
        <w:rPr>
          <w:rFonts w:eastAsiaTheme="minorEastAsia"/>
          <w:sz w:val="24"/>
          <w:szCs w:val="24"/>
          <w:vertAlign w:val="superscript"/>
        </w:rPr>
        <w:t>rd</w:t>
      </w:r>
      <w:r w:rsidRPr="218CF22F">
        <w:rPr>
          <w:rFonts w:eastAsiaTheme="minorEastAsia"/>
          <w:sz w:val="24"/>
          <w:szCs w:val="24"/>
        </w:rPr>
        <w:t xml:space="preserve"> November 2023).</w:t>
      </w:r>
    </w:p>
    <w:p w14:paraId="180AFA62" w14:textId="6CA7E08E" w:rsidR="560F400C" w:rsidRDefault="560F400C" w:rsidP="218CF22F">
      <w:pPr>
        <w:rPr>
          <w:sz w:val="24"/>
          <w:szCs w:val="24"/>
        </w:rPr>
      </w:pPr>
      <w:r w:rsidRPr="218CF22F">
        <w:rPr>
          <w:sz w:val="24"/>
          <w:szCs w:val="24"/>
        </w:rPr>
        <w:t xml:space="preserve">Digestible Notes. (2019). ‘Assault and Battery’ Available at: </w:t>
      </w:r>
      <w:hyperlink r:id="rId7">
        <w:r w:rsidRPr="218CF22F">
          <w:rPr>
            <w:rStyle w:val="Hyperlink"/>
            <w:sz w:val="24"/>
            <w:szCs w:val="24"/>
          </w:rPr>
          <w:t>https://digestiblenotes.com/law/criminal/assault_and_battery.php</w:t>
        </w:r>
      </w:hyperlink>
      <w:r w:rsidRPr="218CF22F">
        <w:rPr>
          <w:sz w:val="24"/>
          <w:szCs w:val="24"/>
        </w:rPr>
        <w:t xml:space="preserve"> (Accessed: 6</w:t>
      </w:r>
      <w:r w:rsidRPr="218CF22F">
        <w:rPr>
          <w:sz w:val="24"/>
          <w:szCs w:val="24"/>
          <w:vertAlign w:val="superscript"/>
        </w:rPr>
        <w:t>th</w:t>
      </w:r>
      <w:r w:rsidRPr="218CF22F">
        <w:rPr>
          <w:sz w:val="24"/>
          <w:szCs w:val="24"/>
        </w:rPr>
        <w:t xml:space="preserve"> November 2023).</w:t>
      </w:r>
    </w:p>
    <w:p w14:paraId="58199D9B" w14:textId="525A010B" w:rsidR="547C8837" w:rsidRDefault="547C8837" w:rsidP="218CF22F">
      <w:pPr>
        <w:rPr>
          <w:i/>
          <w:iCs/>
          <w:sz w:val="24"/>
          <w:szCs w:val="24"/>
        </w:rPr>
      </w:pPr>
      <w:r w:rsidRPr="218CF22F">
        <w:rPr>
          <w:sz w:val="24"/>
          <w:szCs w:val="24"/>
        </w:rPr>
        <w:t xml:space="preserve">Geary, R. (2002) </w:t>
      </w:r>
      <w:r w:rsidRPr="218CF22F">
        <w:rPr>
          <w:i/>
          <w:iCs/>
          <w:sz w:val="24"/>
          <w:szCs w:val="24"/>
        </w:rPr>
        <w:t>Understanding Criminal Law</w:t>
      </w:r>
      <w:r w:rsidR="0C155CC8" w:rsidRPr="218CF22F">
        <w:rPr>
          <w:i/>
          <w:iCs/>
          <w:sz w:val="24"/>
          <w:szCs w:val="24"/>
        </w:rPr>
        <w:t xml:space="preserve"> </w:t>
      </w:r>
      <w:r w:rsidR="0C155CC8" w:rsidRPr="218CF22F">
        <w:rPr>
          <w:sz w:val="24"/>
          <w:szCs w:val="24"/>
        </w:rPr>
        <w:t>London: Cavendish Publishing.</w:t>
      </w:r>
    </w:p>
    <w:p w14:paraId="4CB92ED6" w14:textId="5A2C67B5" w:rsidR="20AEBDDF" w:rsidRDefault="20AEBDDF" w:rsidP="218CF22F">
      <w:pPr>
        <w:rPr>
          <w:sz w:val="24"/>
          <w:szCs w:val="24"/>
        </w:rPr>
      </w:pPr>
      <w:r w:rsidRPr="218CF22F">
        <w:rPr>
          <w:sz w:val="24"/>
          <w:szCs w:val="24"/>
        </w:rPr>
        <w:t>Herring, J. (</w:t>
      </w:r>
      <w:r w:rsidR="602C22E0" w:rsidRPr="218CF22F">
        <w:rPr>
          <w:sz w:val="24"/>
          <w:szCs w:val="24"/>
        </w:rPr>
        <w:t xml:space="preserve">2022) </w:t>
      </w:r>
      <w:r w:rsidR="602C22E0" w:rsidRPr="218CF22F">
        <w:rPr>
          <w:i/>
          <w:iCs/>
          <w:sz w:val="24"/>
          <w:szCs w:val="24"/>
        </w:rPr>
        <w:t>Criminal Law</w:t>
      </w:r>
      <w:r w:rsidR="74D3D78B" w:rsidRPr="218CF22F">
        <w:rPr>
          <w:i/>
          <w:iCs/>
          <w:sz w:val="24"/>
          <w:szCs w:val="24"/>
        </w:rPr>
        <w:t xml:space="preserve">: Texts, Cases, and Materials </w:t>
      </w:r>
      <w:r w:rsidR="602C22E0" w:rsidRPr="218CF22F">
        <w:rPr>
          <w:sz w:val="24"/>
          <w:szCs w:val="24"/>
        </w:rPr>
        <w:t>(10</w:t>
      </w:r>
      <w:r w:rsidR="602C22E0" w:rsidRPr="218CF22F">
        <w:rPr>
          <w:sz w:val="24"/>
          <w:szCs w:val="24"/>
          <w:vertAlign w:val="superscript"/>
        </w:rPr>
        <w:t>th</w:t>
      </w:r>
      <w:r w:rsidR="602C22E0" w:rsidRPr="218CF22F">
        <w:rPr>
          <w:sz w:val="24"/>
          <w:szCs w:val="24"/>
        </w:rPr>
        <w:t xml:space="preserve"> </w:t>
      </w:r>
      <w:proofErr w:type="spellStart"/>
      <w:r w:rsidR="602C22E0" w:rsidRPr="218CF22F">
        <w:rPr>
          <w:sz w:val="24"/>
          <w:szCs w:val="24"/>
        </w:rPr>
        <w:t>Edn</w:t>
      </w:r>
      <w:proofErr w:type="spellEnd"/>
      <w:r w:rsidR="602C22E0" w:rsidRPr="218CF22F">
        <w:rPr>
          <w:sz w:val="24"/>
          <w:szCs w:val="24"/>
        </w:rPr>
        <w:t xml:space="preserve">.). </w:t>
      </w:r>
      <w:r w:rsidR="4D5B49BB" w:rsidRPr="218CF22F">
        <w:rPr>
          <w:sz w:val="24"/>
          <w:szCs w:val="24"/>
        </w:rPr>
        <w:t>Oxford: Oxford University Press.</w:t>
      </w:r>
    </w:p>
    <w:p w14:paraId="71F5FE9D" w14:textId="3FA41066" w:rsidR="2C531FBE" w:rsidRDefault="2C531FBE" w:rsidP="218CF22F">
      <w:pPr>
        <w:rPr>
          <w:sz w:val="24"/>
          <w:szCs w:val="24"/>
        </w:rPr>
      </w:pPr>
      <w:r w:rsidRPr="218CF22F">
        <w:rPr>
          <w:sz w:val="24"/>
          <w:szCs w:val="24"/>
        </w:rPr>
        <w:t xml:space="preserve">Law Resources. (2020). ‘The defence of consent in criminal law’ Available at: </w:t>
      </w:r>
      <w:hyperlink r:id="rId8">
        <w:r w:rsidRPr="218CF22F">
          <w:rPr>
            <w:rStyle w:val="Hyperlink"/>
            <w:sz w:val="24"/>
            <w:szCs w:val="24"/>
          </w:rPr>
          <w:t>https://e-lawresources.co.uk/Defence-of-Consent.php</w:t>
        </w:r>
      </w:hyperlink>
      <w:r w:rsidRPr="218CF22F">
        <w:rPr>
          <w:sz w:val="24"/>
          <w:szCs w:val="24"/>
        </w:rPr>
        <w:t xml:space="preserve"> (Accessed: 6</w:t>
      </w:r>
      <w:r w:rsidRPr="218CF22F">
        <w:rPr>
          <w:sz w:val="24"/>
          <w:szCs w:val="24"/>
          <w:vertAlign w:val="superscript"/>
        </w:rPr>
        <w:t>th</w:t>
      </w:r>
      <w:r w:rsidRPr="218CF22F">
        <w:rPr>
          <w:sz w:val="24"/>
          <w:szCs w:val="24"/>
        </w:rPr>
        <w:t xml:space="preserve"> November 2023).</w:t>
      </w:r>
    </w:p>
    <w:p w14:paraId="67501773" w14:textId="5B78D92F" w:rsidR="3378BCBD" w:rsidRDefault="3378BCBD" w:rsidP="218CF22F">
      <w:pPr>
        <w:rPr>
          <w:sz w:val="24"/>
          <w:szCs w:val="24"/>
        </w:rPr>
      </w:pPr>
      <w:proofErr w:type="spellStart"/>
      <w:r w:rsidRPr="218CF22F">
        <w:rPr>
          <w:sz w:val="24"/>
          <w:szCs w:val="24"/>
        </w:rPr>
        <w:lastRenderedPageBreak/>
        <w:t>Omerod</w:t>
      </w:r>
      <w:proofErr w:type="spellEnd"/>
      <w:r w:rsidRPr="218CF22F">
        <w:rPr>
          <w:sz w:val="24"/>
          <w:szCs w:val="24"/>
        </w:rPr>
        <w:t xml:space="preserve">, D. C. (2021) </w:t>
      </w:r>
      <w:r w:rsidR="1B63C935" w:rsidRPr="218CF22F">
        <w:rPr>
          <w:i/>
          <w:iCs/>
          <w:sz w:val="24"/>
          <w:szCs w:val="24"/>
        </w:rPr>
        <w:t xml:space="preserve">Smith, Hogan, and Ormerod’s </w:t>
      </w:r>
      <w:r w:rsidRPr="218CF22F">
        <w:rPr>
          <w:i/>
          <w:iCs/>
          <w:sz w:val="24"/>
          <w:szCs w:val="24"/>
        </w:rPr>
        <w:t xml:space="preserve">Criminal Law </w:t>
      </w:r>
      <w:r w:rsidRPr="218CF22F">
        <w:rPr>
          <w:sz w:val="24"/>
          <w:szCs w:val="24"/>
        </w:rPr>
        <w:t>(16</w:t>
      </w:r>
      <w:r w:rsidRPr="218CF22F">
        <w:rPr>
          <w:sz w:val="24"/>
          <w:szCs w:val="24"/>
          <w:vertAlign w:val="superscript"/>
        </w:rPr>
        <w:t>th</w:t>
      </w:r>
      <w:r w:rsidRPr="218CF22F">
        <w:rPr>
          <w:sz w:val="24"/>
          <w:szCs w:val="24"/>
        </w:rPr>
        <w:t xml:space="preserve"> </w:t>
      </w:r>
      <w:proofErr w:type="spellStart"/>
      <w:r w:rsidR="224E91BB" w:rsidRPr="218CF22F">
        <w:rPr>
          <w:sz w:val="24"/>
          <w:szCs w:val="24"/>
        </w:rPr>
        <w:t>Edn</w:t>
      </w:r>
      <w:proofErr w:type="spellEnd"/>
      <w:r w:rsidR="224E91BB" w:rsidRPr="218CF22F">
        <w:rPr>
          <w:sz w:val="24"/>
          <w:szCs w:val="24"/>
        </w:rPr>
        <w:t>.). Oxford: Oxford University Press.</w:t>
      </w:r>
    </w:p>
    <w:p w14:paraId="577D43CF" w14:textId="4B38DF7C" w:rsidR="3B101499" w:rsidRDefault="679D8551" w:rsidP="218CF22F">
      <w:pPr>
        <w:rPr>
          <w:sz w:val="24"/>
          <w:szCs w:val="24"/>
        </w:rPr>
      </w:pPr>
      <w:r w:rsidRPr="218CF22F">
        <w:rPr>
          <w:sz w:val="24"/>
          <w:szCs w:val="24"/>
        </w:rPr>
        <w:t>Press Association</w:t>
      </w:r>
      <w:r w:rsidR="4D568E4E" w:rsidRPr="218CF22F">
        <w:rPr>
          <w:sz w:val="24"/>
          <w:szCs w:val="24"/>
        </w:rPr>
        <w:t xml:space="preserve"> (2019) ‘Tattooist ‘Dr Evil’ jailed for performing ear </w:t>
      </w:r>
      <w:r w:rsidR="1DA2A046" w:rsidRPr="218CF22F">
        <w:rPr>
          <w:sz w:val="24"/>
          <w:szCs w:val="24"/>
        </w:rPr>
        <w:t>and nipple removals’</w:t>
      </w:r>
      <w:r w:rsidR="401A98DC" w:rsidRPr="218CF22F">
        <w:rPr>
          <w:sz w:val="24"/>
          <w:szCs w:val="24"/>
        </w:rPr>
        <w:t xml:space="preserve">, </w:t>
      </w:r>
      <w:r w:rsidR="401A98DC" w:rsidRPr="218CF22F">
        <w:rPr>
          <w:i/>
          <w:iCs/>
          <w:sz w:val="24"/>
          <w:szCs w:val="24"/>
        </w:rPr>
        <w:t>The Guardian</w:t>
      </w:r>
      <w:r w:rsidR="401A98DC" w:rsidRPr="218CF22F">
        <w:rPr>
          <w:sz w:val="24"/>
          <w:szCs w:val="24"/>
        </w:rPr>
        <w:t>, 21</w:t>
      </w:r>
      <w:r w:rsidR="1CAFA57A" w:rsidRPr="218CF22F">
        <w:rPr>
          <w:sz w:val="24"/>
          <w:szCs w:val="24"/>
          <w:vertAlign w:val="superscript"/>
        </w:rPr>
        <w:t>st</w:t>
      </w:r>
      <w:r w:rsidR="1CAFA57A" w:rsidRPr="218CF22F">
        <w:rPr>
          <w:sz w:val="24"/>
          <w:szCs w:val="24"/>
        </w:rPr>
        <w:t xml:space="preserve"> March. Available at: </w:t>
      </w:r>
      <w:hyperlink r:id="rId9">
        <w:r w:rsidR="1167DEBA" w:rsidRPr="218CF22F">
          <w:rPr>
            <w:rStyle w:val="Hyperlink"/>
            <w:sz w:val="24"/>
            <w:szCs w:val="24"/>
          </w:rPr>
          <w:t>https://www.theguardian.com/uk-news/2019/mar/21/tattooist-dr-evil-jailed-for-performing-ear-and-nipple-removals</w:t>
        </w:r>
      </w:hyperlink>
      <w:r w:rsidR="1167DEBA" w:rsidRPr="218CF22F">
        <w:rPr>
          <w:sz w:val="24"/>
          <w:szCs w:val="24"/>
        </w:rPr>
        <w:t xml:space="preserve"> (Accessed: 3</w:t>
      </w:r>
      <w:r w:rsidR="1167DEBA" w:rsidRPr="218CF22F">
        <w:rPr>
          <w:sz w:val="24"/>
          <w:szCs w:val="24"/>
          <w:vertAlign w:val="superscript"/>
        </w:rPr>
        <w:t>rd</w:t>
      </w:r>
      <w:r w:rsidR="1167DEBA" w:rsidRPr="218CF22F">
        <w:rPr>
          <w:sz w:val="24"/>
          <w:szCs w:val="24"/>
        </w:rPr>
        <w:t xml:space="preserve"> November 2023).</w:t>
      </w:r>
    </w:p>
    <w:p w14:paraId="5222CA53" w14:textId="219854F6" w:rsidR="3B101499" w:rsidRDefault="0E4364FF" w:rsidP="218CF22F">
      <w:pPr>
        <w:rPr>
          <w:sz w:val="24"/>
          <w:szCs w:val="24"/>
        </w:rPr>
      </w:pPr>
      <w:r w:rsidRPr="218CF22F">
        <w:rPr>
          <w:rFonts w:eastAsiaTheme="minorEastAsia"/>
          <w:sz w:val="24"/>
          <w:szCs w:val="24"/>
        </w:rPr>
        <w:t>Study Smarter. (</w:t>
      </w:r>
      <w:r w:rsidR="7E0A6C05" w:rsidRPr="218CF22F">
        <w:rPr>
          <w:rFonts w:eastAsiaTheme="minorEastAsia"/>
          <w:sz w:val="24"/>
          <w:szCs w:val="24"/>
        </w:rPr>
        <w:t xml:space="preserve">2017) ‘Battery Crime’ Available at: </w:t>
      </w:r>
      <w:hyperlink r:id="rId10" w:anchor=":~:text=from%20intentional%20actions.-,Lack%20of%20Consent,for%20it%20to%20be%20valid">
        <w:r w:rsidR="7E0A6C05" w:rsidRPr="218CF22F">
          <w:rPr>
            <w:rStyle w:val="Hyperlink"/>
            <w:rFonts w:eastAsiaTheme="minorEastAsia"/>
            <w:sz w:val="24"/>
            <w:szCs w:val="24"/>
          </w:rPr>
          <w:t>https://www.studysmarter.co.uk/explanations/law/uk-criminal-law/battery-crime/#:~:text=from%20intentional%20actions.-,Lack%20of%20Consent,for%20it%20to%20be%20valid</w:t>
        </w:r>
      </w:hyperlink>
      <w:r w:rsidR="7E0A6C05" w:rsidRPr="218CF22F">
        <w:rPr>
          <w:rFonts w:eastAsiaTheme="minorEastAsia"/>
          <w:sz w:val="24"/>
          <w:szCs w:val="24"/>
        </w:rPr>
        <w:t xml:space="preserve"> (Accessed: 3</w:t>
      </w:r>
      <w:r w:rsidR="7E0A6C05" w:rsidRPr="218CF22F">
        <w:rPr>
          <w:rFonts w:eastAsiaTheme="minorEastAsia"/>
          <w:sz w:val="24"/>
          <w:szCs w:val="24"/>
          <w:vertAlign w:val="superscript"/>
        </w:rPr>
        <w:t>rd</w:t>
      </w:r>
      <w:r w:rsidR="7E0A6C05" w:rsidRPr="218CF22F">
        <w:rPr>
          <w:rFonts w:eastAsiaTheme="minorEastAsia"/>
          <w:sz w:val="24"/>
          <w:szCs w:val="24"/>
        </w:rPr>
        <w:t xml:space="preserve"> November 2023).</w:t>
      </w:r>
    </w:p>
    <w:p w14:paraId="43193733" w14:textId="3A8BE26F" w:rsidR="3B101499" w:rsidRDefault="33DCAFDC" w:rsidP="218CF22F">
      <w:pPr>
        <w:rPr>
          <w:sz w:val="24"/>
          <w:szCs w:val="24"/>
        </w:rPr>
      </w:pPr>
      <w:r w:rsidRPr="218CF22F">
        <w:rPr>
          <w:sz w:val="24"/>
          <w:szCs w:val="24"/>
        </w:rPr>
        <w:t xml:space="preserve">UKCEN. (2012). ‘Ethical Issues – Consent’ Available at: </w:t>
      </w:r>
      <w:hyperlink r:id="rId11">
        <w:r w:rsidR="630C6BC2" w:rsidRPr="218CF22F">
          <w:rPr>
            <w:rStyle w:val="Hyperlink"/>
            <w:sz w:val="24"/>
            <w:szCs w:val="24"/>
          </w:rPr>
          <w:t>https://www.ukcen.net/ethical_issues/consent/legal_considerations1</w:t>
        </w:r>
      </w:hyperlink>
      <w:r w:rsidR="630C6BC2" w:rsidRPr="218CF22F">
        <w:rPr>
          <w:sz w:val="24"/>
          <w:szCs w:val="24"/>
        </w:rPr>
        <w:t xml:space="preserve"> (Accessed 6</w:t>
      </w:r>
      <w:r w:rsidR="630C6BC2" w:rsidRPr="218CF22F">
        <w:rPr>
          <w:sz w:val="24"/>
          <w:szCs w:val="24"/>
          <w:vertAlign w:val="superscript"/>
        </w:rPr>
        <w:t>th</w:t>
      </w:r>
      <w:r w:rsidR="630C6BC2" w:rsidRPr="218CF22F">
        <w:rPr>
          <w:sz w:val="24"/>
          <w:szCs w:val="24"/>
        </w:rPr>
        <w:t xml:space="preserve"> November 2023).</w:t>
      </w:r>
    </w:p>
    <w:sectPr w:rsidR="3B101499" w:rsidSect="00AB54A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4OAUPTv" int2:invalidationBookmarkName="" int2:hashCode="0Zee4ysxs7BD6o" int2:id="RgtkL2vs">
      <int2:state int2:value="Rejected" int2:type="AugLoop_Text_Critique"/>
    </int2:bookmark>
    <int2:bookmark int2:bookmarkName="_Int_DEUAtfbM" int2:invalidationBookmarkName="" int2:hashCode="6QZXwOx8uW2rK9" int2:id="QOcbD7xs">
      <int2:state int2:value="Rejected" int2:type="AugLoop_Text_Critique"/>
    </int2:bookmark>
    <int2:bookmark int2:bookmarkName="_Int_gAdnfWZF" int2:invalidationBookmarkName="" int2:hashCode="VRd/LyDcPFdCnc" int2:id="qwIulJAP">
      <int2:state int2:value="Rejected" int2:type="AugLoop_Text_Critique"/>
    </int2:bookmark>
    <int2:bookmark int2:bookmarkName="_Int_n4JgLcvl" int2:invalidationBookmarkName="" int2:hashCode="DIOaWUOZSj57hA" int2:id="gQXhl2cf">
      <int2:state int2:value="Rejected" int2:type="AugLoop_Text_Critique"/>
    </int2:bookmark>
    <int2:bookmark int2:bookmarkName="_Int_gaz6OXbD" int2:invalidationBookmarkName="" int2:hashCode="ohC8if1tv4uD+w" int2:id="RUAV3xVz">
      <int2:state int2:value="Rejected" int2:type="AugLoop_Text_Critique"/>
    </int2:bookmark>
    <int2:bookmark int2:bookmarkName="_Int_CJBonMXV" int2:invalidationBookmarkName="" int2:hashCode="3KKjJeR/dxf+gy" int2:id="ILYD7sc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F20F12"/>
    <w:rsid w:val="0022195E"/>
    <w:rsid w:val="003C82EE"/>
    <w:rsid w:val="0078B776"/>
    <w:rsid w:val="00794D69"/>
    <w:rsid w:val="00A94B88"/>
    <w:rsid w:val="00AB54AD"/>
    <w:rsid w:val="00B8D0F8"/>
    <w:rsid w:val="00D5B33F"/>
    <w:rsid w:val="00F6A014"/>
    <w:rsid w:val="01C8B6A7"/>
    <w:rsid w:val="021487D7"/>
    <w:rsid w:val="024CDCAF"/>
    <w:rsid w:val="0319ECE9"/>
    <w:rsid w:val="03CABA1D"/>
    <w:rsid w:val="0460532C"/>
    <w:rsid w:val="049173FB"/>
    <w:rsid w:val="04C35F35"/>
    <w:rsid w:val="05005769"/>
    <w:rsid w:val="050FF411"/>
    <w:rsid w:val="0532BFC2"/>
    <w:rsid w:val="05384A82"/>
    <w:rsid w:val="061C0F8E"/>
    <w:rsid w:val="06B17B50"/>
    <w:rsid w:val="06B209DC"/>
    <w:rsid w:val="06D41AE3"/>
    <w:rsid w:val="06E6CFC7"/>
    <w:rsid w:val="07112E42"/>
    <w:rsid w:val="07EE6163"/>
    <w:rsid w:val="081C9A1E"/>
    <w:rsid w:val="08877A38"/>
    <w:rsid w:val="089D5900"/>
    <w:rsid w:val="09F439DC"/>
    <w:rsid w:val="0B1255F8"/>
    <w:rsid w:val="0B24FECE"/>
    <w:rsid w:val="0B6F98ED"/>
    <w:rsid w:val="0B871A29"/>
    <w:rsid w:val="0C155CC8"/>
    <w:rsid w:val="0C3D9D46"/>
    <w:rsid w:val="0C569E65"/>
    <w:rsid w:val="0C60AB67"/>
    <w:rsid w:val="0C9D982A"/>
    <w:rsid w:val="0D189D7E"/>
    <w:rsid w:val="0D22EA8A"/>
    <w:rsid w:val="0D30DC81"/>
    <w:rsid w:val="0DF26EC6"/>
    <w:rsid w:val="0DFB15D0"/>
    <w:rsid w:val="0E062EBE"/>
    <w:rsid w:val="0E1ADB62"/>
    <w:rsid w:val="0E4364FF"/>
    <w:rsid w:val="0EC1C573"/>
    <w:rsid w:val="0FE002CA"/>
    <w:rsid w:val="10005D77"/>
    <w:rsid w:val="10E068E5"/>
    <w:rsid w:val="110DA1DB"/>
    <w:rsid w:val="1167DEBA"/>
    <w:rsid w:val="117B892A"/>
    <w:rsid w:val="1243DE96"/>
    <w:rsid w:val="12737761"/>
    <w:rsid w:val="13011227"/>
    <w:rsid w:val="1302CCC3"/>
    <w:rsid w:val="135F4CCE"/>
    <w:rsid w:val="1360AD96"/>
    <w:rsid w:val="13CEF1B4"/>
    <w:rsid w:val="13DFAEF7"/>
    <w:rsid w:val="13E92722"/>
    <w:rsid w:val="14C419F3"/>
    <w:rsid w:val="151EFF36"/>
    <w:rsid w:val="15247B52"/>
    <w:rsid w:val="15C32FDC"/>
    <w:rsid w:val="15D9DC76"/>
    <w:rsid w:val="15E8B904"/>
    <w:rsid w:val="164B55AC"/>
    <w:rsid w:val="1670713B"/>
    <w:rsid w:val="16AC1C7F"/>
    <w:rsid w:val="170031DD"/>
    <w:rsid w:val="173057EF"/>
    <w:rsid w:val="1767C003"/>
    <w:rsid w:val="17A62DCE"/>
    <w:rsid w:val="1846ADCF"/>
    <w:rsid w:val="18BDD69E"/>
    <w:rsid w:val="18FF8B63"/>
    <w:rsid w:val="19AF7A7F"/>
    <w:rsid w:val="1A93455A"/>
    <w:rsid w:val="1AA587E3"/>
    <w:rsid w:val="1AC5226C"/>
    <w:rsid w:val="1B1EC6CF"/>
    <w:rsid w:val="1B43101E"/>
    <w:rsid w:val="1B63C935"/>
    <w:rsid w:val="1B64EAD8"/>
    <w:rsid w:val="1B65D321"/>
    <w:rsid w:val="1CAFA57A"/>
    <w:rsid w:val="1CF92900"/>
    <w:rsid w:val="1D2A111B"/>
    <w:rsid w:val="1D2F8D37"/>
    <w:rsid w:val="1DA2A046"/>
    <w:rsid w:val="1E302A64"/>
    <w:rsid w:val="1E46F227"/>
    <w:rsid w:val="1EC5E17C"/>
    <w:rsid w:val="1F4CD7D5"/>
    <w:rsid w:val="1F5FD0A9"/>
    <w:rsid w:val="1FFE2B24"/>
    <w:rsid w:val="2016B171"/>
    <w:rsid w:val="209993B7"/>
    <w:rsid w:val="20AEBDDF"/>
    <w:rsid w:val="215E181A"/>
    <w:rsid w:val="216E616A"/>
    <w:rsid w:val="217E92E9"/>
    <w:rsid w:val="218CF22F"/>
    <w:rsid w:val="22017656"/>
    <w:rsid w:val="224E91BB"/>
    <w:rsid w:val="2258D51D"/>
    <w:rsid w:val="225FDDD9"/>
    <w:rsid w:val="2277F2BB"/>
    <w:rsid w:val="233653BD"/>
    <w:rsid w:val="23C34A36"/>
    <w:rsid w:val="24BAFBA9"/>
    <w:rsid w:val="24EA2294"/>
    <w:rsid w:val="25314638"/>
    <w:rsid w:val="25887A88"/>
    <w:rsid w:val="25C48CFA"/>
    <w:rsid w:val="25C55F3A"/>
    <w:rsid w:val="25E1BA93"/>
    <w:rsid w:val="260FE870"/>
    <w:rsid w:val="267EAA60"/>
    <w:rsid w:val="2739594B"/>
    <w:rsid w:val="2756FBBB"/>
    <w:rsid w:val="27605D5B"/>
    <w:rsid w:val="27ABB8D1"/>
    <w:rsid w:val="28180771"/>
    <w:rsid w:val="28420CD3"/>
    <w:rsid w:val="288BB03C"/>
    <w:rsid w:val="28CA2785"/>
    <w:rsid w:val="28D35AFC"/>
    <w:rsid w:val="2933C9BD"/>
    <w:rsid w:val="29B3D7D2"/>
    <w:rsid w:val="29CD5027"/>
    <w:rsid w:val="2A2349BE"/>
    <w:rsid w:val="2A832A60"/>
    <w:rsid w:val="2ABCB264"/>
    <w:rsid w:val="2AE0E5A9"/>
    <w:rsid w:val="2AF5367A"/>
    <w:rsid w:val="2B55ED73"/>
    <w:rsid w:val="2C1A049D"/>
    <w:rsid w:val="2C531FBE"/>
    <w:rsid w:val="2C68544C"/>
    <w:rsid w:val="2C704C02"/>
    <w:rsid w:val="2CACF4E3"/>
    <w:rsid w:val="2DE50946"/>
    <w:rsid w:val="2E0C1C63"/>
    <w:rsid w:val="2E650377"/>
    <w:rsid w:val="2E79FCF4"/>
    <w:rsid w:val="2E8B7A4E"/>
    <w:rsid w:val="2FA94BE4"/>
    <w:rsid w:val="2FAC0920"/>
    <w:rsid w:val="2FB9FABC"/>
    <w:rsid w:val="3015CD55"/>
    <w:rsid w:val="30D380E8"/>
    <w:rsid w:val="30F4E964"/>
    <w:rsid w:val="31546084"/>
    <w:rsid w:val="31580560"/>
    <w:rsid w:val="319BB973"/>
    <w:rsid w:val="31A74492"/>
    <w:rsid w:val="31D4355D"/>
    <w:rsid w:val="33387381"/>
    <w:rsid w:val="3378BCBD"/>
    <w:rsid w:val="33B04353"/>
    <w:rsid w:val="33DCAFDC"/>
    <w:rsid w:val="34EEDB57"/>
    <w:rsid w:val="352D9654"/>
    <w:rsid w:val="356FC29D"/>
    <w:rsid w:val="35B93735"/>
    <w:rsid w:val="35BBEB88"/>
    <w:rsid w:val="35FF9912"/>
    <w:rsid w:val="360EBDBB"/>
    <w:rsid w:val="3631AA32"/>
    <w:rsid w:val="3655A7F0"/>
    <w:rsid w:val="36678637"/>
    <w:rsid w:val="36D00B15"/>
    <w:rsid w:val="375237D6"/>
    <w:rsid w:val="375F0055"/>
    <w:rsid w:val="37973F0E"/>
    <w:rsid w:val="379B6973"/>
    <w:rsid w:val="37C99F47"/>
    <w:rsid w:val="37EA9FD7"/>
    <w:rsid w:val="3877FA19"/>
    <w:rsid w:val="388F1F9D"/>
    <w:rsid w:val="38D81080"/>
    <w:rsid w:val="38DE92CD"/>
    <w:rsid w:val="390EC5B1"/>
    <w:rsid w:val="390F5A88"/>
    <w:rsid w:val="391DDE85"/>
    <w:rsid w:val="396A1FD5"/>
    <w:rsid w:val="39D651CF"/>
    <w:rsid w:val="39D7F29F"/>
    <w:rsid w:val="3A3B83B0"/>
    <w:rsid w:val="3AFB42CA"/>
    <w:rsid w:val="3B0FFA96"/>
    <w:rsid w:val="3B101499"/>
    <w:rsid w:val="3BA0D458"/>
    <w:rsid w:val="3C379C0B"/>
    <w:rsid w:val="3C4A2278"/>
    <w:rsid w:val="3C9916FC"/>
    <w:rsid w:val="3C9D106A"/>
    <w:rsid w:val="3CC701AC"/>
    <w:rsid w:val="3CCD262B"/>
    <w:rsid w:val="3D442F9F"/>
    <w:rsid w:val="3D8B1202"/>
    <w:rsid w:val="3D9577F7"/>
    <w:rsid w:val="3E1C8EA0"/>
    <w:rsid w:val="3E28E570"/>
    <w:rsid w:val="3EE51186"/>
    <w:rsid w:val="3F5EB8B5"/>
    <w:rsid w:val="3FB4F513"/>
    <w:rsid w:val="3FB7E39F"/>
    <w:rsid w:val="401A98DC"/>
    <w:rsid w:val="40DF1B0D"/>
    <w:rsid w:val="40DFF1BF"/>
    <w:rsid w:val="4194C61A"/>
    <w:rsid w:val="41F4DC81"/>
    <w:rsid w:val="421CB248"/>
    <w:rsid w:val="427A7B78"/>
    <w:rsid w:val="42851DA5"/>
    <w:rsid w:val="43986ADB"/>
    <w:rsid w:val="43A53E8C"/>
    <w:rsid w:val="43D04BE6"/>
    <w:rsid w:val="43E671B2"/>
    <w:rsid w:val="444D1F9F"/>
    <w:rsid w:val="44EFC801"/>
    <w:rsid w:val="45D4205C"/>
    <w:rsid w:val="463CD214"/>
    <w:rsid w:val="46496ECC"/>
    <w:rsid w:val="4675AAF7"/>
    <w:rsid w:val="46905DF9"/>
    <w:rsid w:val="47BBAA79"/>
    <w:rsid w:val="4879FE1C"/>
    <w:rsid w:val="487D70E4"/>
    <w:rsid w:val="4899729E"/>
    <w:rsid w:val="489B9228"/>
    <w:rsid w:val="48FCA41D"/>
    <w:rsid w:val="490DF6F3"/>
    <w:rsid w:val="491D79D0"/>
    <w:rsid w:val="49656BA0"/>
    <w:rsid w:val="497D83B9"/>
    <w:rsid w:val="4AF5B773"/>
    <w:rsid w:val="4AF6D2D9"/>
    <w:rsid w:val="4B6CC0B8"/>
    <w:rsid w:val="4BC3948E"/>
    <w:rsid w:val="4BDD23C3"/>
    <w:rsid w:val="4C4D850D"/>
    <w:rsid w:val="4D2624C4"/>
    <w:rsid w:val="4D2A18CC"/>
    <w:rsid w:val="4D568E4E"/>
    <w:rsid w:val="4D5B49BB"/>
    <w:rsid w:val="4DC91FC2"/>
    <w:rsid w:val="4E28BC47"/>
    <w:rsid w:val="4E95E5C3"/>
    <w:rsid w:val="4ECB23B7"/>
    <w:rsid w:val="4EFFB571"/>
    <w:rsid w:val="4F9F1F71"/>
    <w:rsid w:val="4FF2D8DE"/>
    <w:rsid w:val="50284904"/>
    <w:rsid w:val="50C7E93E"/>
    <w:rsid w:val="50F4DEA2"/>
    <w:rsid w:val="5103B2B3"/>
    <w:rsid w:val="516D7CFA"/>
    <w:rsid w:val="5196CA1D"/>
    <w:rsid w:val="51C99ADD"/>
    <w:rsid w:val="523FBBC6"/>
    <w:rsid w:val="525D467F"/>
    <w:rsid w:val="53C248EA"/>
    <w:rsid w:val="54467B0C"/>
    <w:rsid w:val="547C8837"/>
    <w:rsid w:val="55228B88"/>
    <w:rsid w:val="5586D0F7"/>
    <w:rsid w:val="559D90DC"/>
    <w:rsid w:val="55F5BD81"/>
    <w:rsid w:val="5602091C"/>
    <w:rsid w:val="560F400C"/>
    <w:rsid w:val="563D1155"/>
    <w:rsid w:val="571A6BD1"/>
    <w:rsid w:val="577937C5"/>
    <w:rsid w:val="577D01FE"/>
    <w:rsid w:val="58610786"/>
    <w:rsid w:val="588CB010"/>
    <w:rsid w:val="58AED511"/>
    <w:rsid w:val="590EA49A"/>
    <w:rsid w:val="5930619B"/>
    <w:rsid w:val="598B1D75"/>
    <w:rsid w:val="5A288071"/>
    <w:rsid w:val="5A45C195"/>
    <w:rsid w:val="5A5AAE47"/>
    <w:rsid w:val="5AB5A26C"/>
    <w:rsid w:val="5AEE16F2"/>
    <w:rsid w:val="5B108278"/>
    <w:rsid w:val="5B4C7417"/>
    <w:rsid w:val="5BA49B7A"/>
    <w:rsid w:val="5BC450D2"/>
    <w:rsid w:val="5C047D14"/>
    <w:rsid w:val="5C2007F2"/>
    <w:rsid w:val="5C203D3A"/>
    <w:rsid w:val="5CF82DAD"/>
    <w:rsid w:val="5D5DC426"/>
    <w:rsid w:val="5D621ADC"/>
    <w:rsid w:val="5DA96EB0"/>
    <w:rsid w:val="5DD698F2"/>
    <w:rsid w:val="5DDB4F30"/>
    <w:rsid w:val="5EB45E26"/>
    <w:rsid w:val="5ED0490A"/>
    <w:rsid w:val="5F017712"/>
    <w:rsid w:val="5F1946A0"/>
    <w:rsid w:val="5F771F91"/>
    <w:rsid w:val="5FA2F61A"/>
    <w:rsid w:val="5FEFBDE9"/>
    <w:rsid w:val="5FFDF015"/>
    <w:rsid w:val="602C22E0"/>
    <w:rsid w:val="6104C30A"/>
    <w:rsid w:val="6126CE09"/>
    <w:rsid w:val="61830A47"/>
    <w:rsid w:val="618CA874"/>
    <w:rsid w:val="61C92C32"/>
    <w:rsid w:val="626157F0"/>
    <w:rsid w:val="6262EB87"/>
    <w:rsid w:val="627F513D"/>
    <w:rsid w:val="62869E56"/>
    <w:rsid w:val="62C3CF00"/>
    <w:rsid w:val="62EA5447"/>
    <w:rsid w:val="62F20F12"/>
    <w:rsid w:val="630C6BC2"/>
    <w:rsid w:val="639444C3"/>
    <w:rsid w:val="63AEDB1F"/>
    <w:rsid w:val="63ECB7C3"/>
    <w:rsid w:val="648DA495"/>
    <w:rsid w:val="64E0A1F4"/>
    <w:rsid w:val="65450EA1"/>
    <w:rsid w:val="654AAB80"/>
    <w:rsid w:val="65B0F4C0"/>
    <w:rsid w:val="65DE3E7C"/>
    <w:rsid w:val="6604615E"/>
    <w:rsid w:val="662974F6"/>
    <w:rsid w:val="6662709E"/>
    <w:rsid w:val="6671D9F4"/>
    <w:rsid w:val="66E0DF02"/>
    <w:rsid w:val="6728B93B"/>
    <w:rsid w:val="674AD4DA"/>
    <w:rsid w:val="6752C260"/>
    <w:rsid w:val="679D8551"/>
    <w:rsid w:val="67DB1114"/>
    <w:rsid w:val="67E4C407"/>
    <w:rsid w:val="680760F3"/>
    <w:rsid w:val="684347FA"/>
    <w:rsid w:val="684A93A9"/>
    <w:rsid w:val="688C49FD"/>
    <w:rsid w:val="68A3BB39"/>
    <w:rsid w:val="68D44D82"/>
    <w:rsid w:val="68DC8309"/>
    <w:rsid w:val="6925A029"/>
    <w:rsid w:val="696E51DF"/>
    <w:rsid w:val="69B41317"/>
    <w:rsid w:val="6A084E45"/>
    <w:rsid w:val="6A36E850"/>
    <w:rsid w:val="6A5C2D4E"/>
    <w:rsid w:val="6A68B6C2"/>
    <w:rsid w:val="6A701DE3"/>
    <w:rsid w:val="6A829503"/>
    <w:rsid w:val="6ACCC169"/>
    <w:rsid w:val="6AF5662C"/>
    <w:rsid w:val="6AFCE619"/>
    <w:rsid w:val="6AFE3C47"/>
    <w:rsid w:val="6B0D7EE0"/>
    <w:rsid w:val="6B1C64C9"/>
    <w:rsid w:val="6B4AA9B6"/>
    <w:rsid w:val="6BB9ED04"/>
    <w:rsid w:val="6BDE452E"/>
    <w:rsid w:val="6BF7FDAF"/>
    <w:rsid w:val="6C223A15"/>
    <w:rsid w:val="6C263383"/>
    <w:rsid w:val="6C3F201D"/>
    <w:rsid w:val="6CC90702"/>
    <w:rsid w:val="6CCA6429"/>
    <w:rsid w:val="6D005347"/>
    <w:rsid w:val="6D7A71AC"/>
    <w:rsid w:val="6E4A5298"/>
    <w:rsid w:val="6E5BAECB"/>
    <w:rsid w:val="6E66348A"/>
    <w:rsid w:val="6EF85FE6"/>
    <w:rsid w:val="6F3C27E5"/>
    <w:rsid w:val="6F40B27A"/>
    <w:rsid w:val="6F5DD445"/>
    <w:rsid w:val="6F796800"/>
    <w:rsid w:val="6FF535A7"/>
    <w:rsid w:val="7084CFFB"/>
    <w:rsid w:val="708D5E27"/>
    <w:rsid w:val="709D4C77"/>
    <w:rsid w:val="70CFD842"/>
    <w:rsid w:val="70F3FB98"/>
    <w:rsid w:val="71071FD8"/>
    <w:rsid w:val="7110A39A"/>
    <w:rsid w:val="71B9A0B4"/>
    <w:rsid w:val="72014F96"/>
    <w:rsid w:val="72ABBBC0"/>
    <w:rsid w:val="72AC73FB"/>
    <w:rsid w:val="72FC4CCD"/>
    <w:rsid w:val="73153425"/>
    <w:rsid w:val="73694F07"/>
    <w:rsid w:val="73953E7A"/>
    <w:rsid w:val="73C4FEE9"/>
    <w:rsid w:val="740F9908"/>
    <w:rsid w:val="74C44DC6"/>
    <w:rsid w:val="74D3D78B"/>
    <w:rsid w:val="750EB259"/>
    <w:rsid w:val="7552E33B"/>
    <w:rsid w:val="75D291E5"/>
    <w:rsid w:val="76400659"/>
    <w:rsid w:val="76601E27"/>
    <w:rsid w:val="766380F5"/>
    <w:rsid w:val="76794684"/>
    <w:rsid w:val="7698A23D"/>
    <w:rsid w:val="76A1B320"/>
    <w:rsid w:val="76B8EB36"/>
    <w:rsid w:val="77055F71"/>
    <w:rsid w:val="771ABAF6"/>
    <w:rsid w:val="7743B711"/>
    <w:rsid w:val="774739CA"/>
    <w:rsid w:val="7768E62A"/>
    <w:rsid w:val="77F6326C"/>
    <w:rsid w:val="7898A03C"/>
    <w:rsid w:val="7979DCC2"/>
    <w:rsid w:val="79D953E2"/>
    <w:rsid w:val="7A60E23A"/>
    <w:rsid w:val="7A6FDBD7"/>
    <w:rsid w:val="7A99BF64"/>
    <w:rsid w:val="7ADCF163"/>
    <w:rsid w:val="7AEE3655"/>
    <w:rsid w:val="7AFA24B3"/>
    <w:rsid w:val="7B375983"/>
    <w:rsid w:val="7B643FC7"/>
    <w:rsid w:val="7B6C1360"/>
    <w:rsid w:val="7B7050C0"/>
    <w:rsid w:val="7B772814"/>
    <w:rsid w:val="7B78B018"/>
    <w:rsid w:val="7BAD3679"/>
    <w:rsid w:val="7BFCB29B"/>
    <w:rsid w:val="7C264B86"/>
    <w:rsid w:val="7C407A9A"/>
    <w:rsid w:val="7C89994A"/>
    <w:rsid w:val="7D16F1E3"/>
    <w:rsid w:val="7D4660F9"/>
    <w:rsid w:val="7D5B7898"/>
    <w:rsid w:val="7D62557A"/>
    <w:rsid w:val="7DBEFF51"/>
    <w:rsid w:val="7E0A6C05"/>
    <w:rsid w:val="7E2785D3"/>
    <w:rsid w:val="7EAEC8D6"/>
    <w:rsid w:val="7EE4D73B"/>
    <w:rsid w:val="7F925F80"/>
    <w:rsid w:val="7FA34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20F12"/>
  <w15:chartTrackingRefBased/>
  <w15:docId w15:val="{3E426F4B-27C6-40B6-B7F1-5D97861AD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B88"/>
    <w:rPr>
      <w:lang w:val="en-GB"/>
    </w:rPr>
  </w:style>
  <w:style w:type="paragraph" w:styleId="Heading1">
    <w:name w:val="heading 1"/>
    <w:basedOn w:val="Normal"/>
    <w:next w:val="Normal"/>
    <w:link w:val="Heading1Char"/>
    <w:uiPriority w:val="9"/>
    <w:qFormat/>
    <w:rsid w:val="3B1014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B1014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B101499"/>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B10149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B10149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B101499"/>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B101499"/>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B101499"/>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B101499"/>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B101499"/>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B101499"/>
    <w:rPr>
      <w:rFonts w:eastAsiaTheme="minorEastAsia"/>
      <w:color w:val="5A5A5A"/>
    </w:rPr>
  </w:style>
  <w:style w:type="paragraph" w:styleId="Quote">
    <w:name w:val="Quote"/>
    <w:basedOn w:val="Normal"/>
    <w:next w:val="Normal"/>
    <w:link w:val="QuoteChar"/>
    <w:uiPriority w:val="29"/>
    <w:qFormat/>
    <w:rsid w:val="3B10149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B101499"/>
    <w:pPr>
      <w:spacing w:before="360" w:after="360"/>
      <w:ind w:left="864" w:right="864"/>
      <w:jc w:val="center"/>
    </w:pPr>
    <w:rPr>
      <w:i/>
      <w:iCs/>
      <w:color w:val="4472C4" w:themeColor="accent1"/>
    </w:rPr>
  </w:style>
  <w:style w:type="paragraph" w:styleId="ListParagraph">
    <w:name w:val="List Paragraph"/>
    <w:basedOn w:val="Normal"/>
    <w:uiPriority w:val="34"/>
    <w:qFormat/>
    <w:rsid w:val="3B101499"/>
    <w:pPr>
      <w:ind w:left="720"/>
      <w:contextualSpacing/>
    </w:pPr>
  </w:style>
  <w:style w:type="character" w:customStyle="1" w:styleId="Heading1Char">
    <w:name w:val="Heading 1 Char"/>
    <w:basedOn w:val="DefaultParagraphFont"/>
    <w:link w:val="Heading1"/>
    <w:uiPriority w:val="9"/>
    <w:rsid w:val="3B101499"/>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B101499"/>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B101499"/>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B101499"/>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B101499"/>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B101499"/>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B101499"/>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B101499"/>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B101499"/>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B101499"/>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B101499"/>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B101499"/>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B101499"/>
    <w:rPr>
      <w:i/>
      <w:iCs/>
      <w:noProof w:val="0"/>
      <w:color w:val="4472C4" w:themeColor="accent1"/>
      <w:lang w:val="en-GB"/>
    </w:rPr>
  </w:style>
  <w:style w:type="paragraph" w:styleId="TOC1">
    <w:name w:val="toc 1"/>
    <w:basedOn w:val="Normal"/>
    <w:next w:val="Normal"/>
    <w:uiPriority w:val="39"/>
    <w:unhideWhenUsed/>
    <w:rsid w:val="3B101499"/>
    <w:pPr>
      <w:spacing w:after="100"/>
    </w:pPr>
  </w:style>
  <w:style w:type="paragraph" w:styleId="TOC2">
    <w:name w:val="toc 2"/>
    <w:basedOn w:val="Normal"/>
    <w:next w:val="Normal"/>
    <w:uiPriority w:val="39"/>
    <w:unhideWhenUsed/>
    <w:rsid w:val="3B101499"/>
    <w:pPr>
      <w:spacing w:after="100"/>
      <w:ind w:left="220"/>
    </w:pPr>
  </w:style>
  <w:style w:type="paragraph" w:styleId="TOC3">
    <w:name w:val="toc 3"/>
    <w:basedOn w:val="Normal"/>
    <w:next w:val="Normal"/>
    <w:uiPriority w:val="39"/>
    <w:unhideWhenUsed/>
    <w:rsid w:val="3B101499"/>
    <w:pPr>
      <w:spacing w:after="100"/>
      <w:ind w:left="440"/>
    </w:pPr>
  </w:style>
  <w:style w:type="paragraph" w:styleId="TOC4">
    <w:name w:val="toc 4"/>
    <w:basedOn w:val="Normal"/>
    <w:next w:val="Normal"/>
    <w:uiPriority w:val="39"/>
    <w:unhideWhenUsed/>
    <w:rsid w:val="3B101499"/>
    <w:pPr>
      <w:spacing w:after="100"/>
      <w:ind w:left="660"/>
    </w:pPr>
  </w:style>
  <w:style w:type="paragraph" w:styleId="TOC5">
    <w:name w:val="toc 5"/>
    <w:basedOn w:val="Normal"/>
    <w:next w:val="Normal"/>
    <w:uiPriority w:val="39"/>
    <w:unhideWhenUsed/>
    <w:rsid w:val="3B101499"/>
    <w:pPr>
      <w:spacing w:after="100"/>
      <w:ind w:left="880"/>
    </w:pPr>
  </w:style>
  <w:style w:type="paragraph" w:styleId="TOC6">
    <w:name w:val="toc 6"/>
    <w:basedOn w:val="Normal"/>
    <w:next w:val="Normal"/>
    <w:uiPriority w:val="39"/>
    <w:unhideWhenUsed/>
    <w:rsid w:val="3B101499"/>
    <w:pPr>
      <w:spacing w:after="100"/>
      <w:ind w:left="1100"/>
    </w:pPr>
  </w:style>
  <w:style w:type="paragraph" w:styleId="TOC7">
    <w:name w:val="toc 7"/>
    <w:basedOn w:val="Normal"/>
    <w:next w:val="Normal"/>
    <w:uiPriority w:val="39"/>
    <w:unhideWhenUsed/>
    <w:rsid w:val="3B101499"/>
    <w:pPr>
      <w:spacing w:after="100"/>
      <w:ind w:left="1320"/>
    </w:pPr>
  </w:style>
  <w:style w:type="paragraph" w:styleId="TOC8">
    <w:name w:val="toc 8"/>
    <w:basedOn w:val="Normal"/>
    <w:next w:val="Normal"/>
    <w:uiPriority w:val="39"/>
    <w:unhideWhenUsed/>
    <w:rsid w:val="3B101499"/>
    <w:pPr>
      <w:spacing w:after="100"/>
      <w:ind w:left="1540"/>
    </w:pPr>
  </w:style>
  <w:style w:type="paragraph" w:styleId="TOC9">
    <w:name w:val="toc 9"/>
    <w:basedOn w:val="Normal"/>
    <w:next w:val="Normal"/>
    <w:uiPriority w:val="39"/>
    <w:unhideWhenUsed/>
    <w:rsid w:val="3B101499"/>
    <w:pPr>
      <w:spacing w:after="100"/>
      <w:ind w:left="1760"/>
    </w:pPr>
  </w:style>
  <w:style w:type="paragraph" w:styleId="EndnoteText">
    <w:name w:val="endnote text"/>
    <w:basedOn w:val="Normal"/>
    <w:link w:val="EndnoteTextChar"/>
    <w:uiPriority w:val="99"/>
    <w:semiHidden/>
    <w:unhideWhenUsed/>
    <w:rsid w:val="3B101499"/>
    <w:pPr>
      <w:spacing w:after="0"/>
    </w:pPr>
    <w:rPr>
      <w:sz w:val="20"/>
      <w:szCs w:val="20"/>
    </w:rPr>
  </w:style>
  <w:style w:type="character" w:customStyle="1" w:styleId="EndnoteTextChar">
    <w:name w:val="Endnote Text Char"/>
    <w:basedOn w:val="DefaultParagraphFont"/>
    <w:link w:val="EndnoteText"/>
    <w:uiPriority w:val="99"/>
    <w:semiHidden/>
    <w:rsid w:val="3B101499"/>
    <w:rPr>
      <w:noProof w:val="0"/>
      <w:sz w:val="20"/>
      <w:szCs w:val="20"/>
      <w:lang w:val="en-GB"/>
    </w:rPr>
  </w:style>
  <w:style w:type="paragraph" w:styleId="Footer">
    <w:name w:val="footer"/>
    <w:basedOn w:val="Normal"/>
    <w:link w:val="FooterChar"/>
    <w:uiPriority w:val="99"/>
    <w:unhideWhenUsed/>
    <w:rsid w:val="3B101499"/>
    <w:pPr>
      <w:tabs>
        <w:tab w:val="center" w:pos="4680"/>
        <w:tab w:val="right" w:pos="9360"/>
      </w:tabs>
      <w:spacing w:after="0"/>
    </w:pPr>
  </w:style>
  <w:style w:type="character" w:customStyle="1" w:styleId="FooterChar">
    <w:name w:val="Footer Char"/>
    <w:basedOn w:val="DefaultParagraphFont"/>
    <w:link w:val="Footer"/>
    <w:uiPriority w:val="99"/>
    <w:rsid w:val="3B101499"/>
    <w:rPr>
      <w:noProof w:val="0"/>
      <w:lang w:val="en-GB"/>
    </w:rPr>
  </w:style>
  <w:style w:type="paragraph" w:styleId="FootnoteText">
    <w:name w:val="footnote text"/>
    <w:basedOn w:val="Normal"/>
    <w:link w:val="FootnoteTextChar"/>
    <w:uiPriority w:val="99"/>
    <w:semiHidden/>
    <w:unhideWhenUsed/>
    <w:rsid w:val="3B101499"/>
    <w:pPr>
      <w:spacing w:after="0"/>
    </w:pPr>
    <w:rPr>
      <w:sz w:val="20"/>
      <w:szCs w:val="20"/>
    </w:rPr>
  </w:style>
  <w:style w:type="character" w:customStyle="1" w:styleId="FootnoteTextChar">
    <w:name w:val="Footnote Text Char"/>
    <w:basedOn w:val="DefaultParagraphFont"/>
    <w:link w:val="FootnoteText"/>
    <w:uiPriority w:val="99"/>
    <w:semiHidden/>
    <w:rsid w:val="3B101499"/>
    <w:rPr>
      <w:noProof w:val="0"/>
      <w:sz w:val="20"/>
      <w:szCs w:val="20"/>
      <w:lang w:val="en-GB"/>
    </w:rPr>
  </w:style>
  <w:style w:type="paragraph" w:styleId="Header">
    <w:name w:val="header"/>
    <w:basedOn w:val="Normal"/>
    <w:link w:val="HeaderChar"/>
    <w:uiPriority w:val="99"/>
    <w:unhideWhenUsed/>
    <w:rsid w:val="3B101499"/>
    <w:pPr>
      <w:tabs>
        <w:tab w:val="center" w:pos="4680"/>
        <w:tab w:val="right" w:pos="9360"/>
      </w:tabs>
      <w:spacing w:after="0"/>
    </w:pPr>
  </w:style>
  <w:style w:type="character" w:customStyle="1" w:styleId="HeaderChar">
    <w:name w:val="Header Char"/>
    <w:basedOn w:val="DefaultParagraphFont"/>
    <w:link w:val="Header"/>
    <w:uiPriority w:val="99"/>
    <w:rsid w:val="3B101499"/>
    <w:rPr>
      <w:noProof w:val="0"/>
      <w:lang w:val="en-GB"/>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AB54AD"/>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B54AD"/>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awresources.co.uk/Defence-of-Consent.php"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igestiblenotes.com/law/criminal/assault_and_battery.ph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ps.gov.uk/legal-guidance/rape-and-sexual-offences-chapter-6-consent" TargetMode="External"/><Relationship Id="rId11" Type="http://schemas.openxmlformats.org/officeDocument/2006/relationships/hyperlink" Target="https://www.ukcen.net/ethical_issues/consent/legal_considerations1" TargetMode="External"/><Relationship Id="rId5" Type="http://schemas.openxmlformats.org/officeDocument/2006/relationships/hyperlink" Target="https://www.britannica.com/topic/Me-Too-movement" TargetMode="External"/><Relationship Id="rId10" Type="http://schemas.openxmlformats.org/officeDocument/2006/relationships/hyperlink" Target="https://www.studysmarter.co.uk/explanations/law/uk-criminal-law/battery-crime/" TargetMode="External"/><Relationship Id="rId4" Type="http://schemas.openxmlformats.org/officeDocument/2006/relationships/image" Target="media/image1.png"/><Relationship Id="rId9" Type="http://schemas.openxmlformats.org/officeDocument/2006/relationships/hyperlink" Target="https://www.theguardian.com/uk-news/2019/mar/21/tattooist-dr-evil-jailed-for-performing-ear-and-nipple-removal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1838</Words>
  <Characters>10478</Characters>
  <Application>Microsoft Office Word</Application>
  <DocSecurity>0</DocSecurity>
  <Lines>87</Lines>
  <Paragraphs>24</Paragraphs>
  <ScaleCrop>false</ScaleCrop>
  <Company/>
  <LinksUpToDate>false</LinksUpToDate>
  <CharactersWithSpaces>12292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Consent and its role in cases involving Battery</dc:title>
  <dc:subject/>
  <dc:creator>Seren Thomas (2305811)</dc:creator>
  <cp:keywords/>
  <dc:description/>
  <cp:lastModifiedBy>Seren Thomas (2305811)</cp:lastModifiedBy>
  <cp:revision>5</cp:revision>
  <dcterms:created xsi:type="dcterms:W3CDTF">2023-11-08T13:20:00Z</dcterms:created>
  <dcterms:modified xsi:type="dcterms:W3CDTF">2023-11-17T17:28:00Z</dcterms:modified>
</cp:coreProperties>
</file>