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AF595E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33A28">
              <w:rPr>
                <w:b/>
                <w:color w:val="auto"/>
                <w:sz w:val="32"/>
              </w:rPr>
              <w:t>Rebecca Hatter__________</w:t>
            </w:r>
            <w:r w:rsidR="005A1BA3">
              <w:rPr>
                <w:b/>
                <w:color w:val="auto"/>
                <w:sz w:val="32"/>
              </w:rPr>
              <w:t>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9A4187A" w:rsidR="005A1BA3" w:rsidRDefault="00333A28" w:rsidP="00340E9A">
            <w:pPr>
              <w:overflowPunct/>
              <w:autoSpaceDE/>
              <w:autoSpaceDN/>
              <w:adjustRightInd/>
              <w:ind w:right="237"/>
              <w:textAlignment w:val="auto"/>
              <w:rPr>
                <w:b/>
                <w:color w:val="auto"/>
                <w:sz w:val="32"/>
              </w:rPr>
            </w:pPr>
            <w:r>
              <w:rPr>
                <w:b/>
                <w:color w:val="auto"/>
                <w:sz w:val="32"/>
              </w:rPr>
              <w:t>2016382</w:t>
            </w:r>
            <w:bookmarkStart w:id="0" w:name="_GoBack"/>
            <w:bookmarkEnd w:id="0"/>
            <w:r w:rsidR="005A1BA3">
              <w:rPr>
                <w:b/>
                <w:color w:val="auto"/>
                <w:sz w:val="32"/>
              </w:rPr>
              <w:t>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8D0B51"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2ECA3791" w:rsidR="00AA666E" w:rsidRDefault="00025650" w:rsidP="00340E9A">
      <w:pPr>
        <w:ind w:right="237"/>
        <w:jc w:val="both"/>
        <w:rPr>
          <w:b/>
          <w:sz w:val="24"/>
          <w:szCs w:val="24"/>
        </w:rPr>
      </w:pPr>
      <w:r w:rsidRPr="00025650">
        <w:rPr>
          <w:b/>
          <w:sz w:val="24"/>
          <w:szCs w:val="24"/>
        </w:rPr>
        <w:t>ANSWER:</w:t>
      </w:r>
    </w:p>
    <w:p w14:paraId="1EC27451" w14:textId="77777777" w:rsidR="00627FCA" w:rsidRPr="00025650" w:rsidRDefault="00627FCA" w:rsidP="00340E9A">
      <w:pPr>
        <w:ind w:right="237"/>
        <w:jc w:val="both"/>
        <w:rPr>
          <w:b/>
          <w:sz w:val="24"/>
          <w:szCs w:val="24"/>
        </w:rPr>
      </w:pPr>
    </w:p>
    <w:p w14:paraId="5C894FE9" w14:textId="77777777" w:rsidR="00627FCA" w:rsidRPr="003005AC" w:rsidRDefault="00627FCA" w:rsidP="003005AC">
      <w:pPr>
        <w:pStyle w:val="NoSpacing"/>
        <w:jc w:val="both"/>
        <w:rPr>
          <w:rFonts w:eastAsia="Calibri"/>
          <w:sz w:val="22"/>
          <w:szCs w:val="22"/>
          <w:lang w:eastAsia="en-US"/>
        </w:rPr>
      </w:pPr>
      <w:r w:rsidRPr="003005AC">
        <w:rPr>
          <w:rFonts w:eastAsia="Calibri"/>
          <w:sz w:val="22"/>
          <w:szCs w:val="22"/>
          <w:lang w:eastAsia="en-US"/>
        </w:rPr>
        <w:t xml:space="preserve">Wellbeing is synonymous with mental health and work place stress, affecting thinking, behaviours and feelings (Health and Safety Executive, 2022). Resilience is the ability to recover where research has shown the capacity to recover can be influenced by environment and chemical makeup with the body (Horn </w:t>
      </w:r>
      <w:r w:rsidRPr="003005AC">
        <w:rPr>
          <w:rFonts w:eastAsia="Calibri"/>
          <w:i/>
          <w:sz w:val="22"/>
          <w:szCs w:val="22"/>
          <w:lang w:eastAsia="en-US"/>
        </w:rPr>
        <w:t xml:space="preserve">et al., </w:t>
      </w:r>
      <w:r w:rsidRPr="003005AC">
        <w:rPr>
          <w:rFonts w:eastAsia="Calibri"/>
          <w:sz w:val="22"/>
          <w:szCs w:val="22"/>
          <w:lang w:eastAsia="en-US"/>
        </w:rPr>
        <w:t xml:space="preserve">2016). This essay reviews resilience and wellbeing where organisational justice is considered through the perspective of a police officer and the interaction with management to develop as a police officer. Organisational Justice could be measured as work place ethics (Crawshaw </w:t>
      </w:r>
      <w:r w:rsidRPr="003005AC">
        <w:rPr>
          <w:rFonts w:eastAsia="Calibri"/>
          <w:i/>
          <w:sz w:val="22"/>
          <w:szCs w:val="22"/>
          <w:lang w:eastAsia="en-US"/>
        </w:rPr>
        <w:t>et al</w:t>
      </w:r>
      <w:r w:rsidRPr="003005AC">
        <w:rPr>
          <w:rFonts w:eastAsia="Calibri"/>
          <w:sz w:val="22"/>
          <w:szCs w:val="22"/>
          <w:lang w:eastAsia="en-US"/>
        </w:rPr>
        <w:t>, 2013) which in turn creates a more effective police officer (Beckley, 2014).</w:t>
      </w:r>
    </w:p>
    <w:p w14:paraId="1ACB7A1C" w14:textId="77777777" w:rsidR="00627FCA" w:rsidRPr="003005AC" w:rsidRDefault="00627FCA" w:rsidP="003005AC">
      <w:pPr>
        <w:pStyle w:val="NoSpacing"/>
        <w:jc w:val="both"/>
        <w:rPr>
          <w:rFonts w:eastAsia="Calibri"/>
          <w:sz w:val="22"/>
          <w:szCs w:val="22"/>
          <w:lang w:eastAsia="en-US"/>
        </w:rPr>
      </w:pPr>
    </w:p>
    <w:p w14:paraId="0B1848A9" w14:textId="77777777" w:rsidR="00627FCA" w:rsidRPr="003005AC" w:rsidRDefault="00627FCA" w:rsidP="003005AC">
      <w:pPr>
        <w:pStyle w:val="NoSpacing"/>
        <w:jc w:val="both"/>
        <w:rPr>
          <w:rFonts w:eastAsia="Calibri"/>
          <w:sz w:val="22"/>
          <w:szCs w:val="22"/>
          <w:lang w:eastAsia="en-US"/>
        </w:rPr>
      </w:pPr>
      <w:r w:rsidRPr="003005AC">
        <w:rPr>
          <w:rFonts w:eastAsia="Calibri"/>
          <w:sz w:val="22"/>
          <w:szCs w:val="22"/>
          <w:lang w:eastAsia="en-US"/>
        </w:rPr>
        <w:t xml:space="preserve">Manderscheid </w:t>
      </w:r>
      <w:r w:rsidRPr="003005AC">
        <w:rPr>
          <w:rFonts w:eastAsia="Calibri"/>
          <w:i/>
          <w:sz w:val="22"/>
          <w:szCs w:val="22"/>
          <w:lang w:eastAsia="en-US"/>
        </w:rPr>
        <w:t>et al</w:t>
      </w:r>
      <w:r w:rsidRPr="003005AC">
        <w:rPr>
          <w:rFonts w:eastAsia="Calibri"/>
          <w:sz w:val="22"/>
          <w:szCs w:val="22"/>
          <w:lang w:eastAsia="en-US"/>
        </w:rPr>
        <w:t xml:space="preserve"> (2010) describes wellbeing as the thoughts and enthusiasm of an individual when considering their outlook on their lives. Mguni, Bacon and Brown (2022) describe wellbeing as a “</w:t>
      </w:r>
      <w:r w:rsidRPr="003005AC">
        <w:rPr>
          <w:rFonts w:eastAsia="Calibri"/>
          <w:i/>
          <w:sz w:val="22"/>
          <w:szCs w:val="22"/>
          <w:lang w:eastAsia="en-US"/>
        </w:rPr>
        <w:t>psychological state at a point in time”</w:t>
      </w:r>
      <w:r w:rsidRPr="003005AC">
        <w:rPr>
          <w:rFonts w:eastAsia="Calibri"/>
          <w:sz w:val="22"/>
          <w:szCs w:val="22"/>
          <w:lang w:eastAsia="en-US"/>
        </w:rPr>
        <w:t xml:space="preserve"> and that wellbeing is a complex notion that is unique to the individual.  Fenton </w:t>
      </w:r>
      <w:r w:rsidRPr="003005AC">
        <w:rPr>
          <w:rFonts w:eastAsia="Calibri"/>
          <w:i/>
          <w:sz w:val="22"/>
          <w:szCs w:val="22"/>
          <w:lang w:eastAsia="en-US"/>
        </w:rPr>
        <w:t>et al</w:t>
      </w:r>
      <w:r w:rsidRPr="003005AC">
        <w:rPr>
          <w:rFonts w:eastAsia="Calibri"/>
          <w:sz w:val="22"/>
          <w:szCs w:val="22"/>
          <w:lang w:eastAsia="en-US"/>
        </w:rPr>
        <w:t xml:space="preserve"> (2014) infers that good wellbeing can influence ones performance in work life.  McKay (2017) and Mguni, Bacon and Brown (2022) explain wellbeing as a state of mind and is an influential factor in resilience. Fleming and Ledogar (2010) claim resilience is positively adapting when experiencing personal hardship. Moreover, Carlson </w:t>
      </w:r>
      <w:r w:rsidRPr="003005AC">
        <w:rPr>
          <w:rFonts w:eastAsia="Calibri"/>
          <w:i/>
          <w:sz w:val="22"/>
          <w:szCs w:val="22"/>
          <w:lang w:eastAsia="en-US"/>
        </w:rPr>
        <w:t xml:space="preserve">et al </w:t>
      </w:r>
      <w:r w:rsidRPr="003005AC">
        <w:rPr>
          <w:rFonts w:eastAsia="Calibri"/>
          <w:sz w:val="22"/>
          <w:szCs w:val="22"/>
          <w:lang w:eastAsia="en-US"/>
        </w:rPr>
        <w:t xml:space="preserve">(2012) describes resilience as a developmental tool that will contribute to the risk assessment and decision making in future difficulties. Mguni, Bacon and Brown (2022) claim unemployment is a leading factor to low wellbeing and resilience.  Therefore, this suggests wellbeing and resilience are an individual’s frame of mind that can be influenced by good decision-making and taking positive steps. </w:t>
      </w:r>
    </w:p>
    <w:p w14:paraId="3DA82F9F" w14:textId="77777777" w:rsidR="00627FCA" w:rsidRPr="003005AC" w:rsidRDefault="00627FCA" w:rsidP="003005AC">
      <w:pPr>
        <w:pStyle w:val="NoSpacing"/>
        <w:jc w:val="both"/>
        <w:rPr>
          <w:rFonts w:eastAsia="Calibri"/>
          <w:sz w:val="22"/>
          <w:szCs w:val="22"/>
          <w:lang w:eastAsia="en-US"/>
        </w:rPr>
      </w:pPr>
      <w:r w:rsidRPr="003005AC">
        <w:rPr>
          <w:rFonts w:eastAsia="Calibri"/>
          <w:sz w:val="22"/>
          <w:szCs w:val="22"/>
          <w:lang w:eastAsia="en-US"/>
        </w:rPr>
        <w:t>Wilkinson, Armstrong and Lounsbury (2017) describe an organisation as “</w:t>
      </w:r>
      <w:r w:rsidRPr="003005AC">
        <w:rPr>
          <w:rFonts w:eastAsia="Calibri"/>
          <w:i/>
          <w:sz w:val="22"/>
          <w:szCs w:val="22"/>
          <w:lang w:eastAsia="en-US"/>
        </w:rPr>
        <w:t>a number of individuals working towards common goals</w:t>
      </w:r>
      <w:r w:rsidRPr="003005AC">
        <w:rPr>
          <w:rFonts w:eastAsia="Calibri"/>
          <w:sz w:val="22"/>
          <w:szCs w:val="22"/>
          <w:lang w:eastAsia="en-US"/>
        </w:rPr>
        <w:t xml:space="preserve">”. Management Library (2022) explain the function of an organisation is dependent on: management, values and needs. In order for an organisation to be successful, Leary-Joyce (2010) suggests that employers will need to build good relationships with employees and work towards encouraging strengths.  Justice is formed from Greek philosophy (LeBar, 2018) and is a notion of ethical fairness and decision-making (Botes, 2000). Bilal, Muqadas and Khalid (2015) summarise justice within employment as groundwork for: respect, equality, loyalty, commitment, fairness, satisfaction and strong relationship between employer and employees. This suggests an organisation is based on individuals who form a team, where their intention is to work together to achieve goals. </w:t>
      </w:r>
    </w:p>
    <w:p w14:paraId="7837B163" w14:textId="77777777" w:rsidR="00627FCA" w:rsidRPr="003005AC" w:rsidRDefault="00627FCA" w:rsidP="003005AC">
      <w:pPr>
        <w:pStyle w:val="NoSpacing"/>
        <w:jc w:val="both"/>
        <w:rPr>
          <w:rFonts w:eastAsia="Calibri"/>
          <w:sz w:val="22"/>
          <w:szCs w:val="22"/>
          <w:lang w:eastAsia="en-US"/>
        </w:rPr>
      </w:pPr>
      <w:r w:rsidRPr="003005AC">
        <w:rPr>
          <w:rFonts w:eastAsia="Calibri"/>
          <w:sz w:val="22"/>
          <w:szCs w:val="22"/>
          <w:lang w:eastAsia="en-US"/>
        </w:rPr>
        <w:t xml:space="preserve">Greenburg (1987), explains organisational justice as the ethics and behaviour of an employer and in turn, how the employees assess that conduct and behaviour. There are three forms of organisational justice: procedural, distributive and interactional (Malhotra, Sahadev and Sharom, 2022). Procedural refers to the fairness of the decision making process and its </w:t>
      </w:r>
      <w:r w:rsidRPr="003005AC">
        <w:rPr>
          <w:rFonts w:eastAsia="Calibri"/>
          <w:sz w:val="22"/>
          <w:szCs w:val="22"/>
          <w:lang w:eastAsia="en-US"/>
        </w:rPr>
        <w:lastRenderedPageBreak/>
        <w:t>outcomes (Quinton et al., 2015). Distributive refers to the employee opinion of fairness within the organisation (Quinton et al., 2015) and distribution of bonuses rewarded for commitment to the work (Khan and Saqib, 2017). Lastly, Khan and Saqib (2017) explain interactional as an organisations narrative to a decision-making process. DeConinck (2010) suggests organisational justice encourages trust between the employer and employee resulting in satisfaction and commitment. Beckley (2014) explains that organisational justice can be beneficial within policing as it can help promote “</w:t>
      </w:r>
      <w:r w:rsidRPr="003005AC">
        <w:rPr>
          <w:rFonts w:eastAsia="Calibri"/>
          <w:i/>
          <w:sz w:val="22"/>
          <w:szCs w:val="22"/>
          <w:lang w:eastAsia="en-US"/>
        </w:rPr>
        <w:t>wellbeing</w:t>
      </w:r>
      <w:r w:rsidRPr="003005AC">
        <w:rPr>
          <w:rFonts w:eastAsia="Calibri"/>
          <w:sz w:val="22"/>
          <w:szCs w:val="22"/>
          <w:lang w:eastAsia="en-US"/>
        </w:rPr>
        <w:t>” and “</w:t>
      </w:r>
      <w:r w:rsidRPr="003005AC">
        <w:rPr>
          <w:rFonts w:eastAsia="Calibri"/>
          <w:i/>
          <w:sz w:val="22"/>
          <w:szCs w:val="22"/>
          <w:lang w:eastAsia="en-US"/>
        </w:rPr>
        <w:t>occupational commitment and dedication of the workforce</w:t>
      </w:r>
      <w:r w:rsidRPr="003005AC">
        <w:rPr>
          <w:rFonts w:eastAsia="Calibri"/>
          <w:sz w:val="22"/>
          <w:szCs w:val="22"/>
          <w:lang w:eastAsia="en-US"/>
        </w:rPr>
        <w:t>”. However, lack of organisational justice can be detrimental resulting in “</w:t>
      </w:r>
      <w:r w:rsidRPr="003005AC">
        <w:rPr>
          <w:rFonts w:eastAsia="Calibri"/>
          <w:i/>
          <w:sz w:val="22"/>
          <w:szCs w:val="22"/>
          <w:lang w:eastAsia="en-US"/>
        </w:rPr>
        <w:t>poor work relations and lack of work ethic and motivation”</w:t>
      </w:r>
      <w:r w:rsidRPr="003005AC">
        <w:rPr>
          <w:rFonts w:eastAsia="Calibri"/>
          <w:sz w:val="22"/>
          <w:szCs w:val="22"/>
          <w:lang w:eastAsia="en-US"/>
        </w:rPr>
        <w:t xml:space="preserve"> (Beckley, 2014). </w:t>
      </w:r>
    </w:p>
    <w:p w14:paraId="0B9D1FE0" w14:textId="77777777" w:rsidR="00627FCA" w:rsidRPr="003005AC" w:rsidRDefault="00627FCA" w:rsidP="003005AC">
      <w:pPr>
        <w:pStyle w:val="NoSpacing"/>
        <w:jc w:val="both"/>
        <w:rPr>
          <w:rFonts w:eastAsia="Calibri"/>
          <w:sz w:val="22"/>
          <w:szCs w:val="22"/>
          <w:lang w:eastAsia="en-US"/>
        </w:rPr>
      </w:pPr>
      <w:r w:rsidRPr="003005AC">
        <w:rPr>
          <w:rFonts w:eastAsia="Calibri"/>
          <w:sz w:val="22"/>
          <w:szCs w:val="22"/>
          <w:lang w:eastAsia="en-US"/>
        </w:rPr>
        <w:t>Ethical behaviour is based upon a person’s personal values and beliefs (Writer, 2020) and is paramount to public confidence in the police service (Pearce, 2014). It could be suggested that senior members of an organisation could be held accountable for the negative thoughts employees may have in regards to fair treatment and loyalty to the organisation.</w:t>
      </w:r>
    </w:p>
    <w:p w14:paraId="25DC800F" w14:textId="77777777" w:rsidR="00627FCA" w:rsidRPr="003005AC" w:rsidRDefault="00627FCA" w:rsidP="003005AC">
      <w:pPr>
        <w:pStyle w:val="NoSpacing"/>
        <w:jc w:val="both"/>
        <w:rPr>
          <w:rFonts w:eastAsia="Calibri"/>
          <w:sz w:val="22"/>
          <w:szCs w:val="22"/>
          <w:lang w:eastAsia="en-US"/>
        </w:rPr>
      </w:pPr>
      <w:r w:rsidRPr="003005AC">
        <w:rPr>
          <w:rFonts w:eastAsia="Calibri"/>
          <w:sz w:val="22"/>
          <w:szCs w:val="22"/>
          <w:lang w:eastAsia="en-US"/>
        </w:rPr>
        <w:t>The College of Policing (2014) sets out the police Code of Ethics, established by nine principles: accountability, integrity, openness, fairness, leadership, respect, honesty, objectivity and selflessness are at the core of policing. Pearce (2014) suggests the notion of the Code of Ethics is to offer all serving officers support in providing the “</w:t>
      </w:r>
      <w:r w:rsidRPr="003005AC">
        <w:rPr>
          <w:rFonts w:eastAsia="Calibri"/>
          <w:i/>
          <w:sz w:val="22"/>
          <w:szCs w:val="22"/>
          <w:lang w:eastAsia="en-US"/>
        </w:rPr>
        <w:t>highest professional standards in their service to the public</w:t>
      </w:r>
      <w:r w:rsidRPr="003005AC">
        <w:rPr>
          <w:rFonts w:eastAsia="Calibri"/>
          <w:sz w:val="22"/>
          <w:szCs w:val="22"/>
          <w:lang w:eastAsia="en-US"/>
        </w:rPr>
        <w:t xml:space="preserve">”. Bew (2014) infers all serving police officers should hold themselves true to the principles. </w:t>
      </w:r>
    </w:p>
    <w:p w14:paraId="17299552" w14:textId="77777777" w:rsidR="00627FCA" w:rsidRPr="003005AC" w:rsidRDefault="00627FCA" w:rsidP="003005AC">
      <w:pPr>
        <w:pStyle w:val="NoSpacing"/>
        <w:jc w:val="both"/>
        <w:rPr>
          <w:rFonts w:eastAsia="Calibri"/>
          <w:sz w:val="22"/>
          <w:szCs w:val="22"/>
          <w:lang w:eastAsia="en-US"/>
        </w:rPr>
      </w:pPr>
      <w:r w:rsidRPr="003005AC">
        <w:rPr>
          <w:rFonts w:eastAsia="Calibri"/>
          <w:sz w:val="22"/>
          <w:szCs w:val="22"/>
          <w:lang w:eastAsia="en-US"/>
        </w:rPr>
        <w:t xml:space="preserve">Since I have become an independent operational police officer, I have had positive and negative experiences with organisational justice within my force. Regular meetings with my Supervisor allows me to see areas of growth and areas identified as needing progressing. In addition, this also helps to give me direction with my workload as I am able to gain knowledge from more experiences officers. Edwards (2017) explains the benefit of regular meetings with staff as encouragement to engage and remain with the organisation. Regular interaction with my supervisor allows me to identify my strengths and recognise opportunities for growth whilst maintaining an ethical approach to decisions. </w:t>
      </w:r>
    </w:p>
    <w:p w14:paraId="31522469" w14:textId="77777777" w:rsidR="00627FCA" w:rsidRPr="003005AC" w:rsidRDefault="00627FCA" w:rsidP="003005AC">
      <w:pPr>
        <w:pStyle w:val="NoSpacing"/>
        <w:jc w:val="both"/>
        <w:rPr>
          <w:rFonts w:eastAsia="Calibri"/>
          <w:sz w:val="22"/>
          <w:szCs w:val="22"/>
          <w:lang w:eastAsia="en-US"/>
        </w:rPr>
      </w:pPr>
      <w:r w:rsidRPr="003005AC">
        <w:rPr>
          <w:rFonts w:eastAsia="Calibri"/>
          <w:sz w:val="22"/>
          <w:szCs w:val="22"/>
          <w:lang w:eastAsia="en-US"/>
        </w:rPr>
        <w:t>Shaw (2019) explains across the UK, up to 95% of operational police officers are exposed to traumatic incidents whilst at work. In addition to career-based meetings, reflection meetings in regards to wellbeing are also regular in order to discuss any issues around personal wellbeing; this can include immediately after a traumatic incident. For meeting such as these, I use a reflective model to help process an experience. The Gibbs’ Reflective Cycle is designed to “</w:t>
      </w:r>
      <w:r w:rsidRPr="003005AC">
        <w:rPr>
          <w:rFonts w:eastAsia="Calibri"/>
          <w:i/>
          <w:sz w:val="22"/>
          <w:szCs w:val="22"/>
          <w:lang w:eastAsia="en-US"/>
        </w:rPr>
        <w:t>give structure to learning from experiences”</w:t>
      </w:r>
      <w:r w:rsidRPr="003005AC">
        <w:rPr>
          <w:rFonts w:eastAsia="Calibri"/>
          <w:sz w:val="22"/>
          <w:szCs w:val="22"/>
          <w:lang w:eastAsia="en-US"/>
        </w:rPr>
        <w:t xml:space="preserve"> (Gibbs, 1988). Furthermore, it is formed of six stages that allows the user to learn from the process by recognising crucial areas of the experience (University of Edinburgh, 2020). The University of Edinburgh (2020) explain the six stages of reflection as: description of the experience, feelings about the experience, evaluation of positives and negatives of the experience, analysis to understand the experience, conclusion in regards to what has been learnt and what could have been done differently and action plan for similar experiences going forward. This model allows me to process my thoughts and feelings for any incident I attend, furthermore, through the evaluation and action plan stage; I am able to consider the Code of Ethics to ensure that I am maintaining my personal moral standards as well as those expected of a police officer.  </w:t>
      </w:r>
    </w:p>
    <w:p w14:paraId="374B9DC5" w14:textId="77777777" w:rsidR="00627FCA" w:rsidRPr="003005AC" w:rsidRDefault="00627FCA" w:rsidP="003005AC">
      <w:pPr>
        <w:pStyle w:val="NoSpacing"/>
        <w:jc w:val="both"/>
        <w:rPr>
          <w:rFonts w:eastAsia="Calibri"/>
          <w:sz w:val="22"/>
          <w:szCs w:val="22"/>
          <w:lang w:eastAsia="en-US"/>
        </w:rPr>
      </w:pPr>
    </w:p>
    <w:p w14:paraId="6AF06F4C" w14:textId="77777777" w:rsidR="00627FCA" w:rsidRPr="003005AC" w:rsidRDefault="00627FCA" w:rsidP="003005AC">
      <w:pPr>
        <w:pStyle w:val="NoSpacing"/>
        <w:jc w:val="both"/>
        <w:rPr>
          <w:rFonts w:eastAsia="Calibri"/>
          <w:sz w:val="22"/>
          <w:szCs w:val="22"/>
          <w:lang w:eastAsia="en-US"/>
        </w:rPr>
      </w:pPr>
      <w:r w:rsidRPr="003005AC">
        <w:rPr>
          <w:rFonts w:eastAsia="Calibri"/>
          <w:sz w:val="22"/>
          <w:szCs w:val="22"/>
          <w:lang w:eastAsia="en-US"/>
        </w:rPr>
        <w:t>In summary, organisational justice and the ethics from the employer’s perspective affects the employee (Greenburg, 1987), building trust (DeConinck, 2010). Beckley (2014) suggests that organisational justice within policing promotes wellbeing; however, the lack of it can have the opposite effect. I have felt supported by my management, individually and through formal meetings. It has given me the opportunity to grow and maintain my wellbeing when faced with difficult situations. Gibbs (1988) reflective model echoes this approach of engagement with my management, where fair assessment is delivered and reflected upon in order to develop.</w:t>
      </w:r>
    </w:p>
    <w:p w14:paraId="505853FB" w14:textId="77777777" w:rsidR="00627FCA" w:rsidRPr="003005AC" w:rsidRDefault="00627FCA" w:rsidP="003005AC">
      <w:pPr>
        <w:pStyle w:val="NoSpacing"/>
        <w:jc w:val="both"/>
        <w:rPr>
          <w:sz w:val="22"/>
          <w:szCs w:val="22"/>
          <w:u w:val="single"/>
        </w:rPr>
      </w:pPr>
    </w:p>
    <w:p w14:paraId="616003F9" w14:textId="08FC410D" w:rsidR="00FF7784" w:rsidRPr="003005AC" w:rsidRDefault="00627FCA" w:rsidP="003005AC">
      <w:pPr>
        <w:pStyle w:val="NoSpacing"/>
        <w:jc w:val="both"/>
        <w:rPr>
          <w:sz w:val="22"/>
          <w:szCs w:val="22"/>
          <w:u w:val="single"/>
        </w:rPr>
      </w:pPr>
      <w:r w:rsidRPr="003005AC">
        <w:rPr>
          <w:sz w:val="22"/>
          <w:szCs w:val="22"/>
          <w:u w:val="single"/>
        </w:rPr>
        <w:t>Word count 1100</w:t>
      </w:r>
    </w:p>
    <w:p w14:paraId="3B855813" w14:textId="27A3ED63" w:rsidR="00FF7784" w:rsidRPr="003005AC" w:rsidRDefault="00FF7784" w:rsidP="003005AC">
      <w:pPr>
        <w:pStyle w:val="NoSpacing"/>
        <w:jc w:val="both"/>
        <w:rPr>
          <w:sz w:val="22"/>
          <w:szCs w:val="22"/>
        </w:rPr>
      </w:pPr>
    </w:p>
    <w:p w14:paraId="56D6BDB7" w14:textId="41B51499" w:rsidR="00627FCA" w:rsidRPr="003005AC" w:rsidRDefault="00627FCA" w:rsidP="003005AC">
      <w:pPr>
        <w:pStyle w:val="NoSpacing"/>
        <w:jc w:val="both"/>
        <w:rPr>
          <w:sz w:val="22"/>
          <w:szCs w:val="22"/>
        </w:rPr>
      </w:pPr>
    </w:p>
    <w:p w14:paraId="5AE4183C" w14:textId="08C2D9A7" w:rsidR="00627FCA" w:rsidRPr="003005AC" w:rsidRDefault="00627FCA" w:rsidP="00340E9A">
      <w:pPr>
        <w:ind w:right="237"/>
        <w:jc w:val="both"/>
        <w:rPr>
          <w:sz w:val="24"/>
          <w:szCs w:val="24"/>
        </w:rPr>
      </w:pPr>
    </w:p>
    <w:p w14:paraId="3F81803B" w14:textId="77777777" w:rsidR="00627FCA" w:rsidRPr="003005AC" w:rsidRDefault="00627FCA" w:rsidP="003005AC">
      <w:pPr>
        <w:pStyle w:val="NoSpacing"/>
        <w:rPr>
          <w:sz w:val="22"/>
          <w:szCs w:val="22"/>
        </w:rPr>
      </w:pPr>
    </w:p>
    <w:p w14:paraId="76AC3AE8" w14:textId="4964EA68" w:rsidR="00627FCA" w:rsidRPr="003005AC" w:rsidRDefault="00627FCA" w:rsidP="003005AC">
      <w:pPr>
        <w:pStyle w:val="NoSpacing"/>
        <w:rPr>
          <w:rFonts w:eastAsia="Calibri"/>
          <w:color w:val="auto"/>
          <w:sz w:val="22"/>
          <w:szCs w:val="22"/>
          <w:u w:val="single"/>
          <w:lang w:eastAsia="en-US"/>
        </w:rPr>
      </w:pPr>
      <w:r w:rsidRPr="003005AC">
        <w:rPr>
          <w:rFonts w:eastAsia="Calibri"/>
          <w:color w:val="auto"/>
          <w:sz w:val="22"/>
          <w:szCs w:val="22"/>
          <w:u w:val="single"/>
          <w:lang w:eastAsia="en-US"/>
        </w:rPr>
        <w:t xml:space="preserve">References </w:t>
      </w:r>
    </w:p>
    <w:p w14:paraId="5B6F568C" w14:textId="77777777" w:rsidR="00627FCA" w:rsidRPr="003005AC" w:rsidRDefault="00627FCA" w:rsidP="003005AC">
      <w:pPr>
        <w:pStyle w:val="NoSpacing"/>
        <w:rPr>
          <w:rFonts w:eastAsia="Calibri"/>
          <w:sz w:val="22"/>
          <w:szCs w:val="22"/>
          <w:lang w:eastAsia="en-US"/>
        </w:rPr>
      </w:pPr>
    </w:p>
    <w:p w14:paraId="485CC720"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Ahmad Raza Bilal, Farwa Muqadas and Sumaira Khalid (2015) ‘Impact of Organizational Justice on Job Satisfaction with Mediating Role of Psychological Ownership’, </w:t>
      </w:r>
      <w:r w:rsidRPr="003005AC">
        <w:rPr>
          <w:rFonts w:eastAsia="Calibri"/>
          <w:i/>
          <w:iCs/>
          <w:sz w:val="22"/>
          <w:szCs w:val="22"/>
          <w:lang w:eastAsia="en-US"/>
        </w:rPr>
        <w:t>Global management journal for academic &amp; corporate studies</w:t>
      </w:r>
      <w:r w:rsidRPr="003005AC">
        <w:rPr>
          <w:rFonts w:eastAsia="Calibri"/>
          <w:sz w:val="22"/>
          <w:szCs w:val="22"/>
          <w:lang w:eastAsia="en-US"/>
        </w:rPr>
        <w:t>, 5(2), p. 63–.</w:t>
      </w:r>
    </w:p>
    <w:p w14:paraId="2A4FDF62" w14:textId="77777777" w:rsidR="00627FCA" w:rsidRPr="003005AC" w:rsidRDefault="00627FCA" w:rsidP="003005AC">
      <w:pPr>
        <w:pStyle w:val="NoSpacing"/>
        <w:rPr>
          <w:rFonts w:eastAsia="Calibri"/>
          <w:sz w:val="22"/>
          <w:szCs w:val="22"/>
          <w:lang w:eastAsia="en-US"/>
        </w:rPr>
      </w:pPr>
    </w:p>
    <w:p w14:paraId="55397463"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Beckley, A. (2014) ‘Organisational justice: is the police service ready for it?’, </w:t>
      </w:r>
      <w:r w:rsidRPr="003005AC">
        <w:rPr>
          <w:rFonts w:eastAsia="Calibri"/>
          <w:i/>
          <w:iCs/>
          <w:sz w:val="22"/>
          <w:szCs w:val="22"/>
          <w:lang w:eastAsia="en-US"/>
        </w:rPr>
        <w:t>Journal of policing, intelligence and counter terrorism</w:t>
      </w:r>
      <w:r w:rsidRPr="003005AC">
        <w:rPr>
          <w:rFonts w:eastAsia="Calibri"/>
          <w:sz w:val="22"/>
          <w:szCs w:val="22"/>
          <w:lang w:eastAsia="en-US"/>
        </w:rPr>
        <w:t>, 9(2), pp. 176–190. doi:10.1080/18335330.2014.940820.</w:t>
      </w:r>
    </w:p>
    <w:p w14:paraId="1832E63D" w14:textId="77777777" w:rsidR="00627FCA" w:rsidRPr="003005AC" w:rsidRDefault="00627FCA" w:rsidP="003005AC">
      <w:pPr>
        <w:pStyle w:val="NoSpacing"/>
        <w:rPr>
          <w:rFonts w:eastAsia="Calibri"/>
          <w:sz w:val="22"/>
          <w:szCs w:val="22"/>
          <w:lang w:eastAsia="en-US"/>
        </w:rPr>
      </w:pPr>
    </w:p>
    <w:p w14:paraId="73B777B1"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Bew, P. (2014) </w:t>
      </w:r>
      <w:r w:rsidRPr="003005AC">
        <w:rPr>
          <w:rFonts w:eastAsia="Calibri"/>
          <w:i/>
          <w:iCs/>
          <w:sz w:val="22"/>
          <w:szCs w:val="22"/>
          <w:lang w:eastAsia="en-US"/>
        </w:rPr>
        <w:t>Ethical standards for providers of public services</w:t>
      </w:r>
      <w:r w:rsidRPr="003005AC">
        <w:rPr>
          <w:rFonts w:eastAsia="Calibri"/>
          <w:sz w:val="22"/>
          <w:szCs w:val="22"/>
          <w:lang w:eastAsia="en-US"/>
        </w:rPr>
        <w:t xml:space="preserve">. p.3. Available at: </w:t>
      </w:r>
      <w:hyperlink r:id="rId14" w:history="1">
        <w:r w:rsidRPr="003005AC">
          <w:rPr>
            <w:rFonts w:eastAsia="Calibri"/>
            <w:color w:val="0563C1"/>
            <w:sz w:val="22"/>
            <w:szCs w:val="22"/>
            <w:lang w:eastAsia="en-US"/>
          </w:rPr>
          <w:t>https://assets.publishing.service.gov.uk/government/uploads/system/uploads/attachment_data/file/336942/CSPL_EthicalStandards_web.pdf</w:t>
        </w:r>
      </w:hyperlink>
      <w:r w:rsidRPr="003005AC">
        <w:rPr>
          <w:rFonts w:eastAsia="Calibri"/>
          <w:sz w:val="22"/>
          <w:szCs w:val="22"/>
          <w:lang w:eastAsia="en-US"/>
        </w:rPr>
        <w:t xml:space="preserve"> [Accessed 28 May 2022].</w:t>
      </w:r>
    </w:p>
    <w:p w14:paraId="6077B0B8" w14:textId="77777777" w:rsidR="00627FCA" w:rsidRPr="003005AC" w:rsidRDefault="00627FCA" w:rsidP="003005AC">
      <w:pPr>
        <w:pStyle w:val="NoSpacing"/>
        <w:rPr>
          <w:rFonts w:eastAsia="Calibri"/>
          <w:sz w:val="22"/>
          <w:szCs w:val="22"/>
          <w:lang w:eastAsia="en-US"/>
        </w:rPr>
      </w:pPr>
    </w:p>
    <w:p w14:paraId="6AC36094"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Botes, A. (2000) ‘A comparison between the ethics of justice and the ethics of care’, Journal of advanced nursing, 32(5), pp. 1071–1075. doi:10.1046/j.1365-2648.2000.01576.x.</w:t>
      </w:r>
    </w:p>
    <w:p w14:paraId="645CF085" w14:textId="77777777" w:rsidR="00627FCA" w:rsidRPr="003005AC" w:rsidRDefault="00627FCA" w:rsidP="003005AC">
      <w:pPr>
        <w:pStyle w:val="NoSpacing"/>
        <w:rPr>
          <w:rFonts w:eastAsia="Calibri"/>
          <w:sz w:val="22"/>
          <w:szCs w:val="22"/>
          <w:lang w:eastAsia="en-US"/>
        </w:rPr>
      </w:pPr>
    </w:p>
    <w:p w14:paraId="5C840797"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Carlson </w:t>
      </w:r>
      <w:r w:rsidRPr="003005AC">
        <w:rPr>
          <w:rFonts w:eastAsia="Calibri"/>
          <w:i/>
          <w:sz w:val="22"/>
          <w:szCs w:val="22"/>
          <w:lang w:eastAsia="en-US"/>
        </w:rPr>
        <w:t>et al</w:t>
      </w:r>
      <w:r w:rsidRPr="003005AC">
        <w:rPr>
          <w:rFonts w:eastAsia="Calibri"/>
          <w:sz w:val="22"/>
          <w:szCs w:val="22"/>
          <w:lang w:eastAsia="en-US"/>
        </w:rPr>
        <w:t xml:space="preserve"> (2012) </w:t>
      </w:r>
      <w:r w:rsidRPr="003005AC">
        <w:rPr>
          <w:rFonts w:eastAsia="Calibri"/>
          <w:i/>
          <w:iCs/>
          <w:sz w:val="22"/>
          <w:szCs w:val="22"/>
          <w:lang w:eastAsia="en-US"/>
        </w:rPr>
        <w:t>Resilience: Theory and Applications</w:t>
      </w:r>
      <w:r w:rsidRPr="003005AC">
        <w:rPr>
          <w:rFonts w:eastAsia="Calibri"/>
          <w:sz w:val="22"/>
          <w:szCs w:val="22"/>
          <w:lang w:eastAsia="en-US"/>
        </w:rPr>
        <w:t xml:space="preserve">. pp.7-11. Available at: </w:t>
      </w:r>
      <w:hyperlink r:id="rId15" w:history="1">
        <w:r w:rsidRPr="003005AC">
          <w:rPr>
            <w:rFonts w:eastAsia="Calibri"/>
            <w:color w:val="0563C1"/>
            <w:sz w:val="22"/>
            <w:szCs w:val="22"/>
            <w:lang w:eastAsia="en-US"/>
          </w:rPr>
          <w:t>http://file:///C:/Users/407425/Downloads/ResilienceTheoryandApplications.pdf</w:t>
        </w:r>
      </w:hyperlink>
      <w:r w:rsidRPr="003005AC">
        <w:rPr>
          <w:rFonts w:eastAsia="Calibri"/>
          <w:sz w:val="22"/>
          <w:szCs w:val="22"/>
          <w:lang w:eastAsia="en-US"/>
        </w:rPr>
        <w:t xml:space="preserve"> [Accessed 25 May 2022].</w:t>
      </w:r>
    </w:p>
    <w:p w14:paraId="50240D90" w14:textId="77777777" w:rsidR="00627FCA" w:rsidRPr="003005AC" w:rsidRDefault="00627FCA" w:rsidP="003005AC">
      <w:pPr>
        <w:pStyle w:val="NoSpacing"/>
        <w:rPr>
          <w:rFonts w:eastAsia="Calibri"/>
          <w:sz w:val="22"/>
          <w:szCs w:val="22"/>
          <w:lang w:eastAsia="en-US"/>
        </w:rPr>
      </w:pPr>
    </w:p>
    <w:p w14:paraId="122921C3"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College of Policing. (2014), </w:t>
      </w:r>
      <w:r w:rsidRPr="003005AC">
        <w:rPr>
          <w:rFonts w:eastAsia="Calibri"/>
          <w:i/>
          <w:sz w:val="22"/>
          <w:szCs w:val="22"/>
          <w:lang w:eastAsia="en-US"/>
        </w:rPr>
        <w:t>Code of Ethics</w:t>
      </w:r>
      <w:r w:rsidRPr="003005AC">
        <w:rPr>
          <w:rFonts w:eastAsia="Calibri"/>
          <w:sz w:val="22"/>
          <w:szCs w:val="22"/>
          <w:lang w:eastAsia="en-US"/>
        </w:rPr>
        <w:t xml:space="preserve">. Available at: </w:t>
      </w:r>
      <w:hyperlink r:id="rId16" w:history="1">
        <w:r w:rsidRPr="003005AC">
          <w:rPr>
            <w:rFonts w:eastAsia="Calibri"/>
            <w:color w:val="0563C1"/>
            <w:sz w:val="22"/>
            <w:szCs w:val="22"/>
            <w:lang w:eastAsia="en-US"/>
          </w:rPr>
          <w:t>https://assets.college.police.uk/s3fs-public/2021-02/code_of_ethics.pdf</w:t>
        </w:r>
      </w:hyperlink>
      <w:r w:rsidRPr="003005AC">
        <w:rPr>
          <w:rFonts w:eastAsia="Calibri"/>
          <w:sz w:val="22"/>
          <w:szCs w:val="22"/>
          <w:lang w:eastAsia="en-US"/>
        </w:rPr>
        <w:t xml:space="preserve"> [Accessed 24 May 2022].</w:t>
      </w:r>
    </w:p>
    <w:p w14:paraId="4F00DE27" w14:textId="77777777" w:rsidR="00627FCA" w:rsidRPr="003005AC" w:rsidRDefault="00627FCA" w:rsidP="003005AC">
      <w:pPr>
        <w:pStyle w:val="NoSpacing"/>
        <w:rPr>
          <w:rFonts w:eastAsia="Calibri"/>
          <w:sz w:val="22"/>
          <w:szCs w:val="22"/>
          <w:lang w:eastAsia="en-US"/>
        </w:rPr>
      </w:pPr>
    </w:p>
    <w:p w14:paraId="6F574D5D"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Crawshaw, JR, Cropanzano, R, Bell, CM &amp; Nadisic, T (2013) '</w:t>
      </w:r>
      <w:r w:rsidRPr="003005AC">
        <w:rPr>
          <w:rFonts w:eastAsia="Calibri"/>
          <w:i/>
          <w:sz w:val="22"/>
          <w:szCs w:val="22"/>
          <w:lang w:eastAsia="en-US"/>
        </w:rPr>
        <w:t>Organisational justice: new insights from behavioural ethics</w:t>
      </w:r>
      <w:r w:rsidRPr="003005AC">
        <w:rPr>
          <w:rFonts w:eastAsia="Calibri"/>
          <w:sz w:val="22"/>
          <w:szCs w:val="22"/>
          <w:lang w:eastAsia="en-US"/>
        </w:rPr>
        <w:t>', </w:t>
      </w:r>
      <w:r w:rsidRPr="003005AC">
        <w:rPr>
          <w:rFonts w:eastAsia="Calibri"/>
          <w:i/>
          <w:iCs/>
          <w:sz w:val="22"/>
          <w:szCs w:val="22"/>
          <w:lang w:eastAsia="en-US"/>
        </w:rPr>
        <w:t>Human Relations</w:t>
      </w:r>
      <w:r w:rsidRPr="003005AC">
        <w:rPr>
          <w:rFonts w:eastAsia="Calibri"/>
          <w:sz w:val="22"/>
          <w:szCs w:val="22"/>
          <w:lang w:eastAsia="en-US"/>
        </w:rPr>
        <w:t>, vol. 66, no. 7, pp. 885- 904. </w:t>
      </w:r>
      <w:hyperlink r:id="rId17" w:history="1">
        <w:r w:rsidRPr="003005AC">
          <w:rPr>
            <w:rFonts w:eastAsia="Calibri"/>
            <w:color w:val="0563C1"/>
            <w:sz w:val="22"/>
            <w:szCs w:val="22"/>
            <w:lang w:eastAsia="en-US"/>
          </w:rPr>
          <w:t>https://doi.org/10.1177/0018726713485609</w:t>
        </w:r>
      </w:hyperlink>
      <w:r w:rsidRPr="003005AC">
        <w:rPr>
          <w:rFonts w:eastAsia="Calibri"/>
          <w:sz w:val="22"/>
          <w:szCs w:val="22"/>
          <w:lang w:eastAsia="en-US"/>
        </w:rPr>
        <w:t xml:space="preserve"> </w:t>
      </w:r>
    </w:p>
    <w:p w14:paraId="033FE8C4" w14:textId="77777777" w:rsidR="00627FCA" w:rsidRPr="003005AC" w:rsidRDefault="00627FCA" w:rsidP="003005AC">
      <w:pPr>
        <w:pStyle w:val="NoSpacing"/>
        <w:rPr>
          <w:rFonts w:eastAsia="Calibri"/>
          <w:sz w:val="22"/>
          <w:szCs w:val="22"/>
          <w:lang w:eastAsia="en-US"/>
        </w:rPr>
      </w:pPr>
    </w:p>
    <w:p w14:paraId="45D163F8"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DeConinck, J.B. (2010) ‘The effect of organizational justice, perceived organizational support, and perceived supervisor support on marketing employees’ level of trust’, Journal of business research, 63(12), pp. 1349–1355. doi:10.1016/j.jbusres.2010.01.003.</w:t>
      </w:r>
    </w:p>
    <w:p w14:paraId="0CF506DA" w14:textId="77777777" w:rsidR="00627FCA" w:rsidRPr="003005AC" w:rsidRDefault="00627FCA" w:rsidP="003005AC">
      <w:pPr>
        <w:pStyle w:val="NoSpacing"/>
        <w:rPr>
          <w:rFonts w:eastAsia="Calibri"/>
          <w:sz w:val="22"/>
          <w:szCs w:val="22"/>
          <w:lang w:eastAsia="en-US"/>
        </w:rPr>
      </w:pPr>
    </w:p>
    <w:p w14:paraId="2F1496F0"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Edwar</w:t>
      </w:r>
    </w:p>
    <w:p w14:paraId="43EF4270"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ds, J. (2017) </w:t>
      </w:r>
      <w:r w:rsidRPr="003005AC">
        <w:rPr>
          <w:rFonts w:eastAsia="Calibri"/>
          <w:i/>
          <w:iCs/>
          <w:sz w:val="22"/>
          <w:szCs w:val="22"/>
          <w:lang w:eastAsia="en-US"/>
        </w:rPr>
        <w:t>Using one-to-ones to boost employee engagement</w:t>
      </w:r>
      <w:r w:rsidRPr="003005AC">
        <w:rPr>
          <w:rFonts w:eastAsia="Calibri"/>
          <w:sz w:val="22"/>
          <w:szCs w:val="22"/>
          <w:lang w:eastAsia="en-US"/>
        </w:rPr>
        <w:t xml:space="preserve">. Employee Benefits. Available at: </w:t>
      </w:r>
      <w:hyperlink r:id="rId18" w:history="1">
        <w:r w:rsidRPr="003005AC">
          <w:rPr>
            <w:rFonts w:eastAsia="Calibri"/>
            <w:color w:val="0563C1"/>
            <w:sz w:val="22"/>
            <w:szCs w:val="22"/>
            <w:lang w:eastAsia="en-US"/>
          </w:rPr>
          <w:t>https://employeebenefits.co.uk/using-one-ones-boost-employee-engagement/</w:t>
        </w:r>
      </w:hyperlink>
      <w:r w:rsidRPr="003005AC">
        <w:rPr>
          <w:rFonts w:eastAsia="Calibri"/>
          <w:sz w:val="22"/>
          <w:szCs w:val="22"/>
          <w:lang w:eastAsia="en-US"/>
        </w:rPr>
        <w:t xml:space="preserve"> [Accessed 29 May 2022].</w:t>
      </w:r>
    </w:p>
    <w:p w14:paraId="4CD4A6F1" w14:textId="77777777" w:rsidR="00627FCA" w:rsidRPr="003005AC" w:rsidRDefault="00627FCA" w:rsidP="003005AC">
      <w:pPr>
        <w:pStyle w:val="NoSpacing"/>
        <w:rPr>
          <w:rFonts w:eastAsia="Calibri"/>
          <w:sz w:val="22"/>
          <w:szCs w:val="22"/>
          <w:lang w:eastAsia="en-US"/>
        </w:rPr>
      </w:pPr>
    </w:p>
    <w:p w14:paraId="151546BE"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Fenton </w:t>
      </w:r>
      <w:r w:rsidRPr="003005AC">
        <w:rPr>
          <w:rFonts w:eastAsia="Calibri"/>
          <w:i/>
          <w:sz w:val="22"/>
          <w:szCs w:val="22"/>
          <w:lang w:eastAsia="en-US"/>
        </w:rPr>
        <w:t>et al</w:t>
      </w:r>
      <w:r w:rsidRPr="003005AC">
        <w:rPr>
          <w:rFonts w:eastAsia="Calibri"/>
          <w:sz w:val="22"/>
          <w:szCs w:val="22"/>
          <w:lang w:eastAsia="en-US"/>
        </w:rPr>
        <w:t xml:space="preserve"> (2014) </w:t>
      </w:r>
      <w:r w:rsidRPr="003005AC">
        <w:rPr>
          <w:rFonts w:eastAsia="Calibri"/>
          <w:i/>
          <w:iCs/>
          <w:sz w:val="22"/>
          <w:szCs w:val="22"/>
          <w:lang w:eastAsia="en-US"/>
        </w:rPr>
        <w:t>Workplace wellbeing programmes and their impact on employees and their employing organisations: A scoping review of the evidence base</w:t>
      </w:r>
      <w:r w:rsidRPr="003005AC">
        <w:rPr>
          <w:rFonts w:eastAsia="Calibri"/>
          <w:sz w:val="22"/>
          <w:szCs w:val="22"/>
          <w:lang w:eastAsia="en-US"/>
        </w:rPr>
        <w:t xml:space="preserve">. Health Exchange &amp; University of Birmingham, p.4. Available at: </w:t>
      </w:r>
      <w:hyperlink r:id="rId19" w:history="1">
        <w:r w:rsidRPr="003005AC">
          <w:rPr>
            <w:rFonts w:eastAsia="Calibri"/>
            <w:color w:val="0563C1"/>
            <w:sz w:val="22"/>
            <w:szCs w:val="22"/>
            <w:lang w:eastAsia="en-US"/>
          </w:rPr>
          <w:t>https://www.birmingham.ac.uk/Documents/research/ias/Wellbeing-at-work-review-Jan-31.pdf</w:t>
        </w:r>
      </w:hyperlink>
      <w:r w:rsidRPr="003005AC">
        <w:rPr>
          <w:rFonts w:eastAsia="Calibri"/>
          <w:sz w:val="22"/>
          <w:szCs w:val="22"/>
          <w:lang w:eastAsia="en-US"/>
        </w:rPr>
        <w:t xml:space="preserve"> [Accessed 25 May 2022].</w:t>
      </w:r>
    </w:p>
    <w:p w14:paraId="6C479CAB" w14:textId="77777777" w:rsidR="00627FCA" w:rsidRPr="003005AC" w:rsidRDefault="00627FCA" w:rsidP="003005AC">
      <w:pPr>
        <w:pStyle w:val="NoSpacing"/>
        <w:rPr>
          <w:rFonts w:eastAsia="Calibri"/>
          <w:sz w:val="22"/>
          <w:szCs w:val="22"/>
          <w:lang w:eastAsia="en-US"/>
        </w:rPr>
      </w:pPr>
    </w:p>
    <w:p w14:paraId="12524E6D"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Gibbs, G. (1988) </w:t>
      </w:r>
      <w:r w:rsidRPr="003005AC">
        <w:rPr>
          <w:rFonts w:eastAsia="Calibri"/>
          <w:i/>
          <w:iCs/>
          <w:sz w:val="22"/>
          <w:szCs w:val="22"/>
          <w:lang w:eastAsia="en-US"/>
        </w:rPr>
        <w:t>Learning by doing : a guide to teaching and learning methods</w:t>
      </w:r>
      <w:r w:rsidRPr="003005AC">
        <w:rPr>
          <w:rFonts w:eastAsia="Calibri"/>
          <w:sz w:val="22"/>
          <w:szCs w:val="22"/>
          <w:lang w:eastAsia="en-US"/>
        </w:rPr>
        <w:t>. London: FEU.</w:t>
      </w:r>
    </w:p>
    <w:p w14:paraId="7A975A46" w14:textId="77777777" w:rsidR="00627FCA" w:rsidRPr="003005AC" w:rsidRDefault="00627FCA" w:rsidP="003005AC">
      <w:pPr>
        <w:pStyle w:val="NoSpacing"/>
        <w:rPr>
          <w:rFonts w:eastAsia="Calibri"/>
          <w:sz w:val="22"/>
          <w:szCs w:val="22"/>
          <w:lang w:eastAsia="en-US"/>
        </w:rPr>
      </w:pPr>
    </w:p>
    <w:p w14:paraId="1B6F35DB"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Greenberg, J. (1987) ‘A Taxonomy of Organizational Justice Theories’, </w:t>
      </w:r>
      <w:r w:rsidRPr="003005AC">
        <w:rPr>
          <w:rFonts w:eastAsia="Calibri"/>
          <w:i/>
          <w:iCs/>
          <w:sz w:val="22"/>
          <w:szCs w:val="22"/>
          <w:lang w:eastAsia="en-US"/>
        </w:rPr>
        <w:t>The Academy of Management review</w:t>
      </w:r>
      <w:r w:rsidRPr="003005AC">
        <w:rPr>
          <w:rFonts w:eastAsia="Calibri"/>
          <w:sz w:val="22"/>
          <w:szCs w:val="22"/>
          <w:lang w:eastAsia="en-US"/>
        </w:rPr>
        <w:t>, 12(1), pp. 9–22. doi:10.2307/257990</w:t>
      </w:r>
    </w:p>
    <w:p w14:paraId="1471C0F1" w14:textId="77777777" w:rsidR="00627FCA" w:rsidRPr="003005AC" w:rsidRDefault="00627FCA" w:rsidP="003005AC">
      <w:pPr>
        <w:pStyle w:val="NoSpacing"/>
        <w:rPr>
          <w:rFonts w:eastAsia="Calibri"/>
          <w:sz w:val="22"/>
          <w:szCs w:val="22"/>
          <w:lang w:eastAsia="en-US"/>
        </w:rPr>
      </w:pPr>
    </w:p>
    <w:p w14:paraId="6B03A1BC"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Health and Safety Executive (2022) </w:t>
      </w:r>
      <w:r w:rsidRPr="003005AC">
        <w:rPr>
          <w:rFonts w:eastAsia="Calibri"/>
          <w:i/>
          <w:iCs/>
          <w:sz w:val="22"/>
          <w:szCs w:val="22"/>
          <w:lang w:eastAsia="en-US"/>
        </w:rPr>
        <w:t>Mental health conditions, work and the workplace</w:t>
      </w:r>
      <w:r w:rsidRPr="003005AC">
        <w:rPr>
          <w:rFonts w:eastAsia="Calibri"/>
          <w:sz w:val="22"/>
          <w:szCs w:val="22"/>
          <w:lang w:eastAsia="en-US"/>
        </w:rPr>
        <w:t xml:space="preserve">. Hse.gov.uk. Available at: </w:t>
      </w:r>
      <w:hyperlink r:id="rId20" w:history="1">
        <w:r w:rsidRPr="003005AC">
          <w:rPr>
            <w:rFonts w:eastAsia="Calibri"/>
            <w:color w:val="0563C1"/>
            <w:sz w:val="22"/>
            <w:szCs w:val="22"/>
            <w:lang w:eastAsia="en-US"/>
          </w:rPr>
          <w:t>https://www.hse.gov.uk/stress/mental-health.htm</w:t>
        </w:r>
      </w:hyperlink>
      <w:r w:rsidRPr="003005AC">
        <w:rPr>
          <w:rFonts w:eastAsia="Calibri"/>
          <w:sz w:val="22"/>
          <w:szCs w:val="22"/>
          <w:lang w:eastAsia="en-US"/>
        </w:rPr>
        <w:t xml:space="preserve"> [Accessed 7 June 2022].</w:t>
      </w:r>
    </w:p>
    <w:p w14:paraId="05608E61" w14:textId="77777777" w:rsidR="00627FCA" w:rsidRPr="003005AC" w:rsidRDefault="00627FCA" w:rsidP="003005AC">
      <w:pPr>
        <w:pStyle w:val="NoSpacing"/>
        <w:rPr>
          <w:rFonts w:eastAsia="Calibri"/>
          <w:sz w:val="22"/>
          <w:szCs w:val="22"/>
          <w:lang w:eastAsia="en-US"/>
        </w:rPr>
      </w:pPr>
    </w:p>
    <w:p w14:paraId="6442D410"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lastRenderedPageBreak/>
        <w:t xml:space="preserve">Khan, M. and Saqib, M. (2017) </w:t>
      </w:r>
      <w:r w:rsidRPr="003005AC">
        <w:rPr>
          <w:rFonts w:eastAsia="Calibri"/>
          <w:i/>
          <w:iCs/>
          <w:sz w:val="22"/>
          <w:szCs w:val="22"/>
          <w:lang w:eastAsia="en-US"/>
        </w:rPr>
        <w:t>The Impact of Distributive, Procedural and Interactional Justice on Organizational Commitment</w:t>
      </w:r>
      <w:r w:rsidRPr="003005AC">
        <w:rPr>
          <w:rFonts w:eastAsia="Calibri"/>
          <w:sz w:val="22"/>
          <w:szCs w:val="22"/>
          <w:lang w:eastAsia="en-US"/>
        </w:rPr>
        <w:t xml:space="preserve">. p.13. Available at: </w:t>
      </w:r>
      <w:hyperlink r:id="rId21" w:history="1">
        <w:r w:rsidRPr="003005AC">
          <w:rPr>
            <w:rFonts w:eastAsia="Calibri"/>
            <w:color w:val="0563C1"/>
            <w:sz w:val="22"/>
            <w:szCs w:val="22"/>
            <w:lang w:eastAsia="en-US"/>
          </w:rPr>
          <w:t>http://file:///C:/Users/407425/Downloads/36915-39961-1-PB.pdf</w:t>
        </w:r>
      </w:hyperlink>
      <w:r w:rsidRPr="003005AC">
        <w:rPr>
          <w:rFonts w:eastAsia="Calibri"/>
          <w:sz w:val="22"/>
          <w:szCs w:val="22"/>
          <w:lang w:eastAsia="en-US"/>
        </w:rPr>
        <w:t xml:space="preserve"> [Accessed 29 May 2022].</w:t>
      </w:r>
    </w:p>
    <w:p w14:paraId="72CE45D2" w14:textId="77777777" w:rsidR="00627FCA" w:rsidRPr="003005AC" w:rsidRDefault="00627FCA" w:rsidP="003005AC">
      <w:pPr>
        <w:pStyle w:val="NoSpacing"/>
        <w:rPr>
          <w:rFonts w:eastAsia="Calibri"/>
          <w:sz w:val="22"/>
          <w:szCs w:val="22"/>
          <w:lang w:eastAsia="en-US"/>
        </w:rPr>
      </w:pPr>
    </w:p>
    <w:p w14:paraId="6E598B96"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Leary-Joyce, J. (2010) </w:t>
      </w:r>
      <w:r w:rsidRPr="003005AC">
        <w:rPr>
          <w:rFonts w:eastAsia="Calibri"/>
          <w:i/>
          <w:iCs/>
          <w:sz w:val="22"/>
          <w:szCs w:val="22"/>
          <w:lang w:eastAsia="en-US"/>
        </w:rPr>
        <w:t>The successful organisation: keeping the talent that drives your results | Emerald Insight</w:t>
      </w:r>
      <w:r w:rsidRPr="003005AC">
        <w:rPr>
          <w:rFonts w:eastAsia="Calibri"/>
          <w:sz w:val="22"/>
          <w:szCs w:val="22"/>
          <w:lang w:eastAsia="en-US"/>
        </w:rPr>
        <w:t xml:space="preserve">. Emerald.com. Available at: </w:t>
      </w:r>
      <w:hyperlink r:id="rId22" w:history="1">
        <w:r w:rsidRPr="003005AC">
          <w:rPr>
            <w:rFonts w:eastAsia="Calibri"/>
            <w:color w:val="0563C1"/>
            <w:sz w:val="22"/>
            <w:szCs w:val="22"/>
            <w:lang w:eastAsia="en-US"/>
          </w:rPr>
          <w:t>https://www.emerald.com/insight/content/doi/10.1108/00197851011026045/full/html#</w:t>
        </w:r>
      </w:hyperlink>
      <w:r w:rsidRPr="003005AC">
        <w:rPr>
          <w:rFonts w:eastAsia="Calibri"/>
          <w:sz w:val="22"/>
          <w:szCs w:val="22"/>
          <w:lang w:eastAsia="en-US"/>
        </w:rPr>
        <w:t xml:space="preserve"> [Accessed 29 May 2022].</w:t>
      </w:r>
    </w:p>
    <w:p w14:paraId="7C4CF4E5" w14:textId="77777777" w:rsidR="00627FCA" w:rsidRPr="003005AC" w:rsidRDefault="00627FCA" w:rsidP="003005AC">
      <w:pPr>
        <w:pStyle w:val="NoSpacing"/>
        <w:rPr>
          <w:rFonts w:eastAsia="Calibri"/>
          <w:sz w:val="22"/>
          <w:szCs w:val="22"/>
          <w:lang w:eastAsia="en-US"/>
        </w:rPr>
      </w:pPr>
    </w:p>
    <w:p w14:paraId="2F5BFBB0"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LeBar, M. (2018) </w:t>
      </w:r>
      <w:r w:rsidRPr="003005AC">
        <w:rPr>
          <w:rFonts w:eastAsia="Calibri"/>
          <w:i/>
          <w:iCs/>
          <w:sz w:val="22"/>
          <w:szCs w:val="22"/>
          <w:lang w:eastAsia="en-US"/>
        </w:rPr>
        <w:t>Justice</w:t>
      </w:r>
      <w:r w:rsidRPr="003005AC">
        <w:rPr>
          <w:rFonts w:eastAsia="Calibri"/>
          <w:sz w:val="22"/>
          <w:szCs w:val="22"/>
          <w:lang w:eastAsia="en-US"/>
        </w:rPr>
        <w:t>. Edited by M. LeBar. New York, NY: Oxford University Press.</w:t>
      </w:r>
    </w:p>
    <w:p w14:paraId="76D36A92" w14:textId="77777777" w:rsidR="00627FCA" w:rsidRPr="003005AC" w:rsidRDefault="00627FCA" w:rsidP="003005AC">
      <w:pPr>
        <w:pStyle w:val="NoSpacing"/>
        <w:rPr>
          <w:rFonts w:eastAsia="Calibri"/>
          <w:sz w:val="22"/>
          <w:szCs w:val="22"/>
          <w:lang w:eastAsia="en-US"/>
        </w:rPr>
      </w:pPr>
    </w:p>
    <w:p w14:paraId="27AC68DD"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Malhotra, N., Sahadev, S. and Sharom, N.Q. (2022) ‘Organisational justice, organisational identification and job involvement: the mediating role of psychological need satisfaction and the moderating role of person-organisation fit’, International journal of human resource management, 33(8), pp. 1526–1561. doi:10.1080/09585192.2020.1757737.</w:t>
      </w:r>
    </w:p>
    <w:p w14:paraId="1C3FA9A6" w14:textId="77777777" w:rsidR="00627FCA" w:rsidRPr="003005AC" w:rsidRDefault="00627FCA" w:rsidP="003005AC">
      <w:pPr>
        <w:pStyle w:val="NoSpacing"/>
        <w:rPr>
          <w:rFonts w:eastAsia="Calibri"/>
          <w:sz w:val="22"/>
          <w:szCs w:val="22"/>
          <w:lang w:eastAsia="en-US"/>
        </w:rPr>
      </w:pPr>
    </w:p>
    <w:p w14:paraId="515C0418"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Management Library (2022) </w:t>
      </w:r>
      <w:r w:rsidRPr="003005AC">
        <w:rPr>
          <w:rFonts w:eastAsia="Calibri"/>
          <w:i/>
          <w:iCs/>
          <w:sz w:val="22"/>
          <w:szCs w:val="22"/>
          <w:lang w:eastAsia="en-US"/>
        </w:rPr>
        <w:t>What is an Organization? - Free Management Library</w:t>
      </w:r>
      <w:r w:rsidRPr="003005AC">
        <w:rPr>
          <w:rFonts w:eastAsia="Calibri"/>
          <w:sz w:val="22"/>
          <w:szCs w:val="22"/>
          <w:lang w:eastAsia="en-US"/>
        </w:rPr>
        <w:t xml:space="preserve">.  Free Management Library. Available at: </w:t>
      </w:r>
      <w:hyperlink r:id="rId23" w:history="1">
        <w:r w:rsidRPr="003005AC">
          <w:rPr>
            <w:rFonts w:eastAsia="Calibri"/>
            <w:color w:val="0563C1"/>
            <w:sz w:val="22"/>
            <w:szCs w:val="22"/>
            <w:lang w:eastAsia="en-US"/>
          </w:rPr>
          <w:t>https://managementhelp.org/organizations/definition.htm</w:t>
        </w:r>
      </w:hyperlink>
      <w:r w:rsidRPr="003005AC">
        <w:rPr>
          <w:rFonts w:eastAsia="Calibri"/>
          <w:sz w:val="22"/>
          <w:szCs w:val="22"/>
          <w:lang w:eastAsia="en-US"/>
        </w:rPr>
        <w:t xml:space="preserve"> [Accessed 28 May 2022].</w:t>
      </w:r>
    </w:p>
    <w:p w14:paraId="5215EECD" w14:textId="77777777" w:rsidR="00627FCA" w:rsidRPr="003005AC" w:rsidRDefault="00627FCA" w:rsidP="003005AC">
      <w:pPr>
        <w:pStyle w:val="NoSpacing"/>
        <w:rPr>
          <w:rFonts w:eastAsia="Calibri"/>
          <w:sz w:val="22"/>
          <w:szCs w:val="22"/>
          <w:lang w:eastAsia="en-US"/>
        </w:rPr>
      </w:pPr>
    </w:p>
    <w:p w14:paraId="2E76FF66"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Manderscheid </w:t>
      </w:r>
      <w:r w:rsidRPr="003005AC">
        <w:rPr>
          <w:rFonts w:eastAsia="Calibri"/>
          <w:i/>
          <w:sz w:val="22"/>
          <w:szCs w:val="22"/>
          <w:lang w:eastAsia="en-US"/>
        </w:rPr>
        <w:t>et al</w:t>
      </w:r>
      <w:r w:rsidRPr="003005AC">
        <w:rPr>
          <w:rFonts w:eastAsia="Calibri"/>
          <w:sz w:val="22"/>
          <w:szCs w:val="22"/>
          <w:lang w:eastAsia="en-US"/>
        </w:rPr>
        <w:t xml:space="preserve"> (2010) </w:t>
      </w:r>
      <w:r w:rsidRPr="003005AC">
        <w:rPr>
          <w:rFonts w:eastAsia="Calibri"/>
          <w:i/>
          <w:iCs/>
          <w:sz w:val="22"/>
          <w:szCs w:val="22"/>
          <w:lang w:eastAsia="en-US"/>
        </w:rPr>
        <w:t>Evolving Definitions of Mental Illness and Wellness</w:t>
      </w:r>
      <w:r w:rsidRPr="003005AC">
        <w:rPr>
          <w:rFonts w:eastAsia="Calibri"/>
          <w:sz w:val="22"/>
          <w:szCs w:val="22"/>
          <w:lang w:eastAsia="en-US"/>
        </w:rPr>
        <w:t xml:space="preserve">. 7(1). Preventing Chronic Disease, p.1. Available at: </w:t>
      </w:r>
      <w:hyperlink r:id="rId24" w:history="1">
        <w:r w:rsidRPr="003005AC">
          <w:rPr>
            <w:rFonts w:eastAsia="Calibri"/>
            <w:color w:val="0563C1"/>
            <w:sz w:val="22"/>
            <w:szCs w:val="22"/>
            <w:lang w:eastAsia="en-US"/>
          </w:rPr>
          <w:t>https://www.ncbi.nlm.nih.gov/pmc/articles/PMC2811514/pdf/PCD71A19.pdf</w:t>
        </w:r>
      </w:hyperlink>
      <w:r w:rsidRPr="003005AC">
        <w:rPr>
          <w:rFonts w:eastAsia="Calibri"/>
          <w:sz w:val="22"/>
          <w:szCs w:val="22"/>
          <w:lang w:eastAsia="en-US"/>
        </w:rPr>
        <w:t xml:space="preserve"> [Accessed 25 May 2022].</w:t>
      </w:r>
    </w:p>
    <w:p w14:paraId="2630A620" w14:textId="77777777" w:rsidR="00627FCA" w:rsidRPr="003005AC" w:rsidRDefault="00627FCA" w:rsidP="003005AC">
      <w:pPr>
        <w:pStyle w:val="NoSpacing"/>
        <w:rPr>
          <w:rFonts w:eastAsia="Calibri"/>
          <w:sz w:val="22"/>
          <w:szCs w:val="22"/>
          <w:lang w:eastAsia="en-US"/>
        </w:rPr>
      </w:pPr>
    </w:p>
    <w:p w14:paraId="3361EAB3"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McKay, L. (2017) </w:t>
      </w:r>
      <w:r w:rsidRPr="003005AC">
        <w:rPr>
          <w:rFonts w:eastAsia="Calibri"/>
          <w:i/>
          <w:iCs/>
          <w:sz w:val="22"/>
          <w:szCs w:val="22"/>
          <w:lang w:eastAsia="en-US"/>
        </w:rPr>
        <w:t>The link between Wellbeing and Resilience</w:t>
      </w:r>
      <w:r w:rsidRPr="003005AC">
        <w:rPr>
          <w:rFonts w:eastAsia="Calibri"/>
          <w:sz w:val="22"/>
          <w:szCs w:val="22"/>
          <w:lang w:eastAsia="en-US"/>
        </w:rPr>
        <w:t xml:space="preserve">. Linkedin.com. Available at: </w:t>
      </w:r>
      <w:hyperlink r:id="rId25" w:history="1">
        <w:r w:rsidRPr="003005AC">
          <w:rPr>
            <w:rFonts w:eastAsia="Calibri"/>
            <w:color w:val="0563C1"/>
            <w:sz w:val="22"/>
            <w:szCs w:val="22"/>
            <w:lang w:eastAsia="en-US"/>
          </w:rPr>
          <w:t>https://www.linkedin.com/pulse/link-between-wellbeing-resilience-leigh-mckay</w:t>
        </w:r>
      </w:hyperlink>
      <w:r w:rsidRPr="003005AC">
        <w:rPr>
          <w:rFonts w:eastAsia="Calibri"/>
          <w:sz w:val="22"/>
          <w:szCs w:val="22"/>
          <w:lang w:eastAsia="en-US"/>
        </w:rPr>
        <w:t xml:space="preserve"> [Accessed 29 May 2022].</w:t>
      </w:r>
    </w:p>
    <w:p w14:paraId="4E759D08" w14:textId="77777777" w:rsidR="00627FCA" w:rsidRPr="003005AC" w:rsidRDefault="00627FCA" w:rsidP="003005AC">
      <w:pPr>
        <w:pStyle w:val="NoSpacing"/>
        <w:rPr>
          <w:rFonts w:eastAsia="Calibri"/>
          <w:sz w:val="22"/>
          <w:szCs w:val="22"/>
          <w:lang w:eastAsia="en-US"/>
        </w:rPr>
      </w:pPr>
    </w:p>
    <w:p w14:paraId="11162B1A"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Mguni, N., Bacon, N. and Brown, J. (2022) </w:t>
      </w:r>
      <w:r w:rsidRPr="003005AC">
        <w:rPr>
          <w:rFonts w:eastAsia="Calibri"/>
          <w:i/>
          <w:iCs/>
          <w:sz w:val="22"/>
          <w:szCs w:val="22"/>
          <w:lang w:eastAsia="en-US"/>
        </w:rPr>
        <w:t>The wellbeing and resilience paradox</w:t>
      </w:r>
      <w:r w:rsidRPr="003005AC">
        <w:rPr>
          <w:rFonts w:eastAsia="Calibri"/>
          <w:sz w:val="22"/>
          <w:szCs w:val="22"/>
          <w:lang w:eastAsia="en-US"/>
        </w:rPr>
        <w:t xml:space="preserve">. pp.3-23. Available at: </w:t>
      </w:r>
      <w:hyperlink r:id="rId26" w:history="1">
        <w:r w:rsidRPr="003005AC">
          <w:rPr>
            <w:rFonts w:eastAsia="Calibri"/>
            <w:color w:val="0563C1"/>
            <w:sz w:val="22"/>
            <w:szCs w:val="22"/>
            <w:lang w:eastAsia="en-US"/>
          </w:rPr>
          <w:t>https://youngfoundation.org/wp-content/uploads/2012/10/The-Wellbeing-and-Resilience-Paradox.pdf</w:t>
        </w:r>
      </w:hyperlink>
      <w:r w:rsidRPr="003005AC">
        <w:rPr>
          <w:rFonts w:eastAsia="Calibri"/>
          <w:sz w:val="22"/>
          <w:szCs w:val="22"/>
          <w:lang w:eastAsia="en-US"/>
        </w:rPr>
        <w:t xml:space="preserve"> [Accessed 29 May 2022].</w:t>
      </w:r>
    </w:p>
    <w:p w14:paraId="1A804D34" w14:textId="77777777" w:rsidR="00627FCA" w:rsidRPr="003005AC" w:rsidRDefault="00627FCA" w:rsidP="003005AC">
      <w:pPr>
        <w:pStyle w:val="NoSpacing"/>
        <w:rPr>
          <w:rFonts w:eastAsia="Calibri"/>
          <w:sz w:val="22"/>
          <w:szCs w:val="22"/>
          <w:lang w:eastAsia="en-US"/>
        </w:rPr>
      </w:pPr>
    </w:p>
    <w:p w14:paraId="471E85AD"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Pearce, S. (2014) </w:t>
      </w:r>
      <w:r w:rsidRPr="003005AC">
        <w:rPr>
          <w:rFonts w:eastAsia="Calibri"/>
          <w:i/>
          <w:iCs/>
          <w:sz w:val="22"/>
          <w:szCs w:val="22"/>
          <w:lang w:eastAsia="en-US"/>
        </w:rPr>
        <w:t>Code of Ethics</w:t>
      </w:r>
      <w:r w:rsidRPr="003005AC">
        <w:rPr>
          <w:rFonts w:eastAsia="Calibri"/>
          <w:sz w:val="22"/>
          <w:szCs w:val="22"/>
          <w:lang w:eastAsia="en-US"/>
        </w:rPr>
        <w:t xml:space="preserve">. p.4. Available at: </w:t>
      </w:r>
      <w:hyperlink r:id="rId27" w:history="1">
        <w:r w:rsidRPr="003005AC">
          <w:rPr>
            <w:rFonts w:eastAsia="Calibri"/>
            <w:color w:val="0563C1"/>
            <w:sz w:val="22"/>
            <w:szCs w:val="22"/>
            <w:lang w:eastAsia="en-US"/>
          </w:rPr>
          <w:t>https://assets.college.police.uk/s3fs-public/2021-02/code_of_ethics.pdf</w:t>
        </w:r>
      </w:hyperlink>
      <w:r w:rsidRPr="003005AC">
        <w:rPr>
          <w:rFonts w:eastAsia="Calibri"/>
          <w:sz w:val="22"/>
          <w:szCs w:val="22"/>
          <w:lang w:eastAsia="en-US"/>
        </w:rPr>
        <w:t xml:space="preserve"> [Accessed 28 May 2022].</w:t>
      </w:r>
    </w:p>
    <w:p w14:paraId="78FB2A1E" w14:textId="77777777" w:rsidR="00627FCA" w:rsidRPr="003005AC" w:rsidRDefault="00627FCA" w:rsidP="003005AC">
      <w:pPr>
        <w:pStyle w:val="NoSpacing"/>
        <w:rPr>
          <w:rFonts w:eastAsia="Calibri"/>
          <w:sz w:val="22"/>
          <w:szCs w:val="22"/>
          <w:lang w:eastAsia="en-US"/>
        </w:rPr>
      </w:pPr>
    </w:p>
    <w:p w14:paraId="568BACCB"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Quinton, P., Myhill, A., Bradford, B., Fildes, A. and Porter, G., (2015), </w:t>
      </w:r>
      <w:r w:rsidRPr="003005AC">
        <w:rPr>
          <w:rFonts w:eastAsia="Calibri"/>
          <w:i/>
          <w:sz w:val="22"/>
          <w:szCs w:val="22"/>
          <w:lang w:eastAsia="en-US"/>
        </w:rPr>
        <w:t>Fair cop 2: Organisational justice, behaviour and ethical policing</w:t>
      </w:r>
      <w:r w:rsidRPr="003005AC">
        <w:rPr>
          <w:rFonts w:eastAsia="Calibri"/>
          <w:sz w:val="22"/>
          <w:szCs w:val="22"/>
          <w:lang w:eastAsia="en-US"/>
        </w:rPr>
        <w:t xml:space="preserve">. Whatworks.college.police.uk. Available at: </w:t>
      </w:r>
      <w:hyperlink r:id="rId28" w:history="1">
        <w:r w:rsidRPr="003005AC">
          <w:rPr>
            <w:rFonts w:eastAsia="Calibri"/>
            <w:color w:val="0563C1"/>
            <w:sz w:val="22"/>
            <w:szCs w:val="22"/>
            <w:lang w:eastAsia="en-US"/>
          </w:rPr>
          <w:t>https://whatworks.college.police.uk/Research/Documents/150317_Fair_cop%202_FINAL_REPORT</w:t>
        </w:r>
      </w:hyperlink>
      <w:r w:rsidRPr="003005AC">
        <w:rPr>
          <w:rFonts w:eastAsia="Calibri"/>
          <w:sz w:val="22"/>
          <w:szCs w:val="22"/>
          <w:lang w:eastAsia="en-US"/>
        </w:rPr>
        <w:t xml:space="preserve"> [Accessed 25 May 2022].</w:t>
      </w:r>
    </w:p>
    <w:p w14:paraId="4770D72A" w14:textId="77777777" w:rsidR="00627FCA" w:rsidRPr="003005AC" w:rsidRDefault="00627FCA" w:rsidP="003005AC">
      <w:pPr>
        <w:pStyle w:val="NoSpacing"/>
        <w:rPr>
          <w:rFonts w:eastAsia="Calibri"/>
          <w:sz w:val="22"/>
          <w:szCs w:val="22"/>
          <w:lang w:eastAsia="en-US"/>
        </w:rPr>
      </w:pPr>
    </w:p>
    <w:p w14:paraId="4EFB43EB"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Shaw, D. (2019) </w:t>
      </w:r>
      <w:r w:rsidRPr="003005AC">
        <w:rPr>
          <w:rFonts w:eastAsia="Calibri"/>
          <w:i/>
          <w:iCs/>
          <w:sz w:val="22"/>
          <w:szCs w:val="22"/>
          <w:lang w:eastAsia="en-US"/>
        </w:rPr>
        <w:t>PTSD 'at crisis levels' among police officers</w:t>
      </w:r>
      <w:r w:rsidRPr="003005AC">
        <w:rPr>
          <w:rFonts w:eastAsia="Calibri"/>
          <w:sz w:val="22"/>
          <w:szCs w:val="22"/>
          <w:lang w:eastAsia="en-US"/>
        </w:rPr>
        <w:t xml:space="preserve">. BBC News. Available at: </w:t>
      </w:r>
      <w:hyperlink r:id="rId29" w:history="1">
        <w:r w:rsidRPr="003005AC">
          <w:rPr>
            <w:rFonts w:eastAsia="Calibri"/>
            <w:color w:val="0563C1"/>
            <w:sz w:val="22"/>
            <w:szCs w:val="22"/>
            <w:lang w:eastAsia="en-US"/>
          </w:rPr>
          <w:t>https://www.bbc.co.uk/news/uk-48201088</w:t>
        </w:r>
      </w:hyperlink>
      <w:r w:rsidRPr="003005AC">
        <w:rPr>
          <w:rFonts w:eastAsia="Calibri"/>
          <w:sz w:val="22"/>
          <w:szCs w:val="22"/>
          <w:lang w:eastAsia="en-US"/>
        </w:rPr>
        <w:t xml:space="preserve"> [Accessed 29 May 2022].</w:t>
      </w:r>
    </w:p>
    <w:p w14:paraId="18696A29" w14:textId="77777777" w:rsidR="00627FCA" w:rsidRPr="003005AC" w:rsidRDefault="00627FCA" w:rsidP="003005AC">
      <w:pPr>
        <w:pStyle w:val="NoSpacing"/>
        <w:rPr>
          <w:rFonts w:eastAsia="Calibri"/>
          <w:sz w:val="22"/>
          <w:szCs w:val="22"/>
          <w:lang w:eastAsia="en-US"/>
        </w:rPr>
      </w:pPr>
    </w:p>
    <w:p w14:paraId="1F1A6DEE"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University of Edinburgh (2020) </w:t>
      </w:r>
      <w:r w:rsidRPr="003005AC">
        <w:rPr>
          <w:rFonts w:eastAsia="Calibri"/>
          <w:i/>
          <w:iCs/>
          <w:sz w:val="22"/>
          <w:szCs w:val="22"/>
          <w:lang w:eastAsia="en-US"/>
        </w:rPr>
        <w:t>Gibbs' Reflective Cycle</w:t>
      </w:r>
      <w:r w:rsidRPr="003005AC">
        <w:rPr>
          <w:rFonts w:eastAsia="Calibri"/>
          <w:sz w:val="22"/>
          <w:szCs w:val="22"/>
          <w:lang w:eastAsia="en-US"/>
        </w:rPr>
        <w:t xml:space="preserve">.The University of Edinburgh. Available at: </w:t>
      </w:r>
      <w:hyperlink r:id="rId30" w:history="1">
        <w:r w:rsidRPr="003005AC">
          <w:rPr>
            <w:rFonts w:eastAsia="Calibri"/>
            <w:color w:val="0563C1"/>
            <w:sz w:val="22"/>
            <w:szCs w:val="22"/>
            <w:lang w:eastAsia="en-US"/>
          </w:rPr>
          <w:t>https://www.ed.ac.uk/reflection/reflectors-toolkit/reflecting-on-experience/gibbs-reflective-cycle</w:t>
        </w:r>
      </w:hyperlink>
      <w:r w:rsidRPr="003005AC">
        <w:rPr>
          <w:rFonts w:eastAsia="Calibri"/>
          <w:sz w:val="22"/>
          <w:szCs w:val="22"/>
          <w:lang w:eastAsia="en-US"/>
        </w:rPr>
        <w:t xml:space="preserve"> [Accessed 29 May 2022].</w:t>
      </w:r>
    </w:p>
    <w:p w14:paraId="53F7FE6E" w14:textId="77777777" w:rsidR="00627FCA" w:rsidRPr="003005AC" w:rsidRDefault="00627FCA" w:rsidP="003005AC">
      <w:pPr>
        <w:pStyle w:val="NoSpacing"/>
        <w:rPr>
          <w:rFonts w:eastAsia="Calibri"/>
          <w:sz w:val="22"/>
          <w:szCs w:val="22"/>
          <w:lang w:eastAsia="en-US"/>
        </w:rPr>
      </w:pPr>
    </w:p>
    <w:p w14:paraId="6BE899ED" w14:textId="77777777" w:rsidR="00627FCA" w:rsidRPr="003005AC" w:rsidRDefault="00627FCA" w:rsidP="003005AC">
      <w:pPr>
        <w:pStyle w:val="NoSpacing"/>
        <w:rPr>
          <w:rFonts w:eastAsia="Calibri"/>
          <w:sz w:val="22"/>
          <w:szCs w:val="22"/>
          <w:lang w:eastAsia="en-US"/>
        </w:rPr>
      </w:pPr>
      <w:r w:rsidRPr="003005AC">
        <w:rPr>
          <w:rFonts w:eastAsia="Calibri"/>
          <w:sz w:val="22"/>
          <w:szCs w:val="22"/>
          <w:lang w:eastAsia="en-US"/>
        </w:rPr>
        <w:t xml:space="preserve">Wilkinson, A., Armstrong, S.J. and Lounsbury, M. (2017), </w:t>
      </w:r>
      <w:r w:rsidRPr="003005AC">
        <w:rPr>
          <w:rFonts w:eastAsia="Calibri"/>
          <w:i/>
          <w:sz w:val="22"/>
          <w:szCs w:val="22"/>
          <w:lang w:eastAsia="en-US"/>
        </w:rPr>
        <w:t>The Oxford handbook of management</w:t>
      </w:r>
      <w:r w:rsidRPr="003005AC">
        <w:rPr>
          <w:rFonts w:eastAsia="Calibri"/>
          <w:sz w:val="22"/>
          <w:szCs w:val="22"/>
          <w:lang w:eastAsia="en-US"/>
        </w:rPr>
        <w:t xml:space="preserve">. Oxford, England: Oxford University Press. Available at: </w:t>
      </w:r>
      <w:hyperlink r:id="rId31" w:history="1">
        <w:r w:rsidRPr="003005AC">
          <w:rPr>
            <w:rFonts w:eastAsia="Calibri"/>
            <w:color w:val="0563C1"/>
            <w:sz w:val="22"/>
            <w:szCs w:val="22"/>
            <w:lang w:eastAsia="en-US"/>
          </w:rPr>
          <w:t>https://librarysearch.uwtsd.ac.uk/permalink/44WHELF_UWTSD/upgrip/alma99100321046702421</w:t>
        </w:r>
      </w:hyperlink>
      <w:r w:rsidRPr="003005AC">
        <w:rPr>
          <w:rFonts w:eastAsia="Calibri"/>
          <w:sz w:val="22"/>
          <w:szCs w:val="22"/>
          <w:lang w:eastAsia="en-US"/>
        </w:rPr>
        <w:t xml:space="preserve"> </w:t>
      </w:r>
    </w:p>
    <w:p w14:paraId="5565FC60" w14:textId="77777777" w:rsidR="00627FCA" w:rsidRPr="003005AC" w:rsidRDefault="00627FCA" w:rsidP="003005AC">
      <w:pPr>
        <w:pStyle w:val="NoSpacing"/>
        <w:rPr>
          <w:rFonts w:eastAsia="Calibri"/>
          <w:sz w:val="22"/>
          <w:szCs w:val="22"/>
          <w:lang w:eastAsia="en-US"/>
        </w:rPr>
      </w:pPr>
    </w:p>
    <w:p w14:paraId="1E2EB7EF" w14:textId="5633F00C" w:rsidR="00FF7784" w:rsidRPr="00270EEB" w:rsidRDefault="00627FCA" w:rsidP="00CB43F4">
      <w:pPr>
        <w:pStyle w:val="NoSpacing"/>
        <w:rPr>
          <w:sz w:val="24"/>
          <w:szCs w:val="24"/>
        </w:rPr>
      </w:pPr>
      <w:r w:rsidRPr="003005AC">
        <w:rPr>
          <w:rFonts w:eastAsia="Calibri"/>
          <w:sz w:val="22"/>
          <w:szCs w:val="22"/>
          <w:lang w:eastAsia="en-US"/>
        </w:rPr>
        <w:lastRenderedPageBreak/>
        <w:t xml:space="preserve">Writer, S. (2020) </w:t>
      </w:r>
      <w:r w:rsidRPr="003005AC">
        <w:rPr>
          <w:rFonts w:eastAsia="Calibri"/>
          <w:i/>
          <w:iCs/>
          <w:sz w:val="22"/>
          <w:szCs w:val="22"/>
          <w:lang w:eastAsia="en-US"/>
        </w:rPr>
        <w:t>What Is the Meaning of Ethical Standard?</w:t>
      </w:r>
      <w:r w:rsidRPr="003005AC">
        <w:rPr>
          <w:rFonts w:eastAsia="Calibri"/>
          <w:sz w:val="22"/>
          <w:szCs w:val="22"/>
          <w:lang w:eastAsia="en-US"/>
        </w:rPr>
        <w:t xml:space="preserve">. Reference.com. Available at: </w:t>
      </w:r>
      <w:hyperlink r:id="rId32" w:history="1">
        <w:r w:rsidRPr="003005AC">
          <w:rPr>
            <w:rFonts w:eastAsia="Calibri"/>
            <w:color w:val="0563C1"/>
            <w:sz w:val="22"/>
            <w:szCs w:val="22"/>
            <w:lang w:eastAsia="en-US"/>
          </w:rPr>
          <w:t>https://www.reference.com/world-view/meaning-ethical-standard-258ae64fe4c49f0c</w:t>
        </w:r>
      </w:hyperlink>
      <w:r w:rsidRPr="003005AC">
        <w:rPr>
          <w:rFonts w:eastAsia="Calibri"/>
          <w:sz w:val="22"/>
          <w:szCs w:val="22"/>
          <w:lang w:eastAsia="en-US"/>
        </w:rPr>
        <w:t xml:space="preserve"> [Accessed 28 May 2022].</w:t>
      </w: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AFD6E93" w14:textId="77777777" w:rsidR="003005AC" w:rsidRPr="003005AC" w:rsidRDefault="003005AC" w:rsidP="003005AC">
      <w:pPr>
        <w:pStyle w:val="NoSpacing"/>
        <w:jc w:val="both"/>
        <w:rPr>
          <w:rFonts w:eastAsia="Calibri"/>
          <w:sz w:val="22"/>
          <w:szCs w:val="22"/>
          <w:u w:val="single"/>
          <w:lang w:eastAsia="en-US"/>
        </w:rPr>
      </w:pPr>
      <w:r w:rsidRPr="003005AC">
        <w:rPr>
          <w:rFonts w:eastAsia="Calibri"/>
          <w:sz w:val="22"/>
          <w:szCs w:val="22"/>
          <w:lang w:eastAsia="en-US"/>
        </w:rPr>
        <w:t>Multi agency approach is considered to be a principle of collaboration with different organisations that work towards the same end state in response to an event (Social Care Institute for Excellence, 2010).  I was presented with an incident involving violence in a home where the offender was a minor and the family were judged to be at risk. Youth Offender Services and Social Services were identified as two key agencies that could aid and support. Social Services is a public body that should have the welfare of a child as a core principle (Hunt, 2020). I utilisied multi agency intervention, aiming to mitigate further danger, whilst also taking into account the offenders welfare.  Mitigation is designed to reduce the impact of risk through thought and planning (Lutkevich, 2022). This essay portrays an incident detailing the decision-making techniques available to a police officer weighing the risk versus consequence.</w:t>
      </w:r>
      <w:r w:rsidRPr="003005AC">
        <w:rPr>
          <w:rFonts w:eastAsia="Calibri"/>
          <w:sz w:val="22"/>
          <w:szCs w:val="22"/>
          <w:u w:val="single"/>
          <w:lang w:eastAsia="en-US"/>
        </w:rPr>
        <w:t xml:space="preserve"> </w:t>
      </w:r>
    </w:p>
    <w:p w14:paraId="5787BAC4" w14:textId="77777777" w:rsidR="003005AC" w:rsidRPr="003005AC" w:rsidRDefault="003005AC" w:rsidP="003005AC">
      <w:pPr>
        <w:pStyle w:val="NoSpacing"/>
        <w:jc w:val="both"/>
        <w:rPr>
          <w:rFonts w:eastAsia="Calibri"/>
          <w:sz w:val="22"/>
          <w:szCs w:val="22"/>
          <w:u w:val="single"/>
          <w:lang w:eastAsia="en-US"/>
        </w:rPr>
      </w:pPr>
    </w:p>
    <w:p w14:paraId="0D14E858" w14:textId="77777777" w:rsidR="003005AC" w:rsidRPr="003005AC" w:rsidRDefault="003005AC" w:rsidP="003005AC">
      <w:pPr>
        <w:pStyle w:val="NoSpacing"/>
        <w:jc w:val="both"/>
        <w:rPr>
          <w:rFonts w:eastAsia="Calibri"/>
          <w:bCs/>
          <w:sz w:val="22"/>
          <w:szCs w:val="22"/>
          <w:lang w:eastAsia="en-US"/>
        </w:rPr>
      </w:pPr>
      <w:r w:rsidRPr="003005AC">
        <w:rPr>
          <w:rFonts w:eastAsia="Calibri"/>
          <w:sz w:val="22"/>
          <w:szCs w:val="22"/>
          <w:lang w:eastAsia="en-US"/>
        </w:rPr>
        <w:t xml:space="preserve">I recently responded to a domestic emergency whereby the victim (further referred to as victim one) had contacted the police to report that her son (further referred to as the offender) had assaulted her and her other child (further referred to as victim two). Additionally, victim one added that she had been alerted to fire alarm activation in her house, finding the offender in his bedroom using an aerosol and lighter trying to set fire to items in his bedroom. Moreover, the offender had damaged property at the address before leaving on foot with a lighter, bottle of vodka and an aerosol in his possession. I began to consider the National Decision Making Model (NDM) to ascertain what action to take whilst considering the potential risks. The NDM is a decision making model encouraged to use throughout policing (College of Policing, 2013a). Additionally, its cyclic pattern devised of five elements that holds the police Code of Ethics at the centre (College of Policing, 2013a) assisting the user in arriving at an ethical decision whilst considering all options available to implement the best course of action (Lax, 2014). Beginning the NDM process, I requested the Force Control Room (FCR) conduct person and address checks through our local systems called NICHE prior to my arrival. I was </w:t>
      </w:r>
      <w:r w:rsidRPr="003005AC">
        <w:rPr>
          <w:rFonts w:eastAsia="Calibri"/>
          <w:sz w:val="22"/>
          <w:szCs w:val="22"/>
          <w:lang w:eastAsia="en-US"/>
        </w:rPr>
        <w:lastRenderedPageBreak/>
        <w:t>informed that the offender was 13 years of age and had warning markers for violence. The initial call stated that the call was of a domestic violence nature, domestic violence is “</w:t>
      </w:r>
      <w:r w:rsidRPr="003005AC">
        <w:rPr>
          <w:rFonts w:eastAsia="Calibri"/>
          <w:i/>
          <w:sz w:val="22"/>
          <w:szCs w:val="22"/>
          <w:lang w:eastAsia="en-US"/>
        </w:rPr>
        <w:t>any type of controlling, threatening or violent behaviour</w:t>
      </w:r>
      <w:r w:rsidRPr="003005AC">
        <w:rPr>
          <w:rFonts w:eastAsia="Calibri"/>
          <w:sz w:val="22"/>
          <w:szCs w:val="22"/>
          <w:lang w:eastAsia="en-US"/>
        </w:rPr>
        <w:t>” that can be displayed between intimate partners, ex-partners or family members (Family Rights Group, 2022). However, Clegg (2012) and the National Centre for Domestic Violence (2022) agree that domestic violence involves those that are aged 16 years old and over. This meant that although the incident includes family members, any offences disclosed would not have the aggravating factor of being domestic violence related due to the offenders age. As the offender was a child, I felt the risk was high, not only to the offender, but also to both victims. Upon arrival, I spoke with victim one who disclosed that the offender had been living in North Wales with his Grandmother as his behaviour had become increasingly worse over the last two years. Whilst the offender was in North Wales, victim one received information that he told his Grandmother that he wanted to burn down his home whilst his family were inside. As the victim had already told the FCR that she had seen the offender use a lighter and aerosol to try to start a fire in his bedroom, I maintained the opinion that the risk was high. Additionally, victim one stated that when she challenged the offender, he became aggressive and punched her. This was overhead by victim two, who was 14 years old, and he came to help victim one; the offender then turned the violence to victim two resulting in both victims receiving injuries in the form of bruising. Victim one was able to give a description of the offender including his clothing adding that she could no longer cope and that she would not have him back at the address. I passed the description the offender to the FCR and asked that all officers patrolling keep observations for him. Considering the offender was 13 years old, I felt that police custody was my last resort. Children are especially vulnerable when in police custody (Home Office, 2022) and all considerations must be explored with the welfare of the child being a leading factor in the decision made (</w:t>
      </w:r>
      <w:r w:rsidRPr="003005AC">
        <w:rPr>
          <w:rFonts w:eastAsia="Calibri"/>
          <w:bCs/>
          <w:sz w:val="22"/>
          <w:szCs w:val="22"/>
          <w:lang w:eastAsia="en-US"/>
        </w:rPr>
        <w:t>National Police Chiefs' Council, 2016). The offences I had were: two counts of assault under Section 39 of the Criminal Justice Act 1988 and one count of criminal damage under Section 1(1) of the Criminal Damage Act 1971 (</w:t>
      </w:r>
      <w:r w:rsidRPr="003005AC">
        <w:rPr>
          <w:rFonts w:eastAsia="Calibri"/>
          <w:sz w:val="22"/>
          <w:szCs w:val="22"/>
          <w:lang w:eastAsia="en-US"/>
        </w:rPr>
        <w:t>UK Legislation, 2022a)</w:t>
      </w:r>
      <w:r w:rsidRPr="003005AC">
        <w:rPr>
          <w:rFonts w:eastAsia="Calibri"/>
          <w:bCs/>
          <w:sz w:val="22"/>
          <w:szCs w:val="22"/>
          <w:lang w:eastAsia="en-US"/>
        </w:rPr>
        <w:t>. I considered the offence of arson under Section 1(3) Criminal Damage Act 1971</w:t>
      </w:r>
      <w:r w:rsidRPr="003005AC">
        <w:rPr>
          <w:rFonts w:eastAsia="Calibri"/>
          <w:sz w:val="22"/>
          <w:szCs w:val="22"/>
          <w:lang w:eastAsia="en-US"/>
        </w:rPr>
        <w:t xml:space="preserve"> (UK Legislation, 2022b)</w:t>
      </w:r>
      <w:r w:rsidRPr="003005AC">
        <w:rPr>
          <w:rFonts w:eastAsia="Calibri"/>
          <w:bCs/>
          <w:sz w:val="22"/>
          <w:szCs w:val="22"/>
          <w:lang w:eastAsia="en-US"/>
        </w:rPr>
        <w:t xml:space="preserve"> but decided I needed more information around what had transpired and my main concern was finding the offender. Considering my plan for when I found the offender, I felt a custody cell was my last option. I asked victim one two things: if there was any significant place the offender would go and if there was a family member or friend in the area that the offender could stay with to allow some distance between them and to safeguard all involved. Hoping for the latter, I could then conduct a Voluntary Attendance (VA) interview later. College of Policing (2013b) describes a VA as a way to “</w:t>
      </w:r>
      <w:r w:rsidRPr="003005AC">
        <w:rPr>
          <w:rFonts w:eastAsia="Calibri"/>
          <w:bCs/>
          <w:i/>
          <w:sz w:val="22"/>
          <w:szCs w:val="22"/>
          <w:lang w:eastAsia="en-US"/>
        </w:rPr>
        <w:t>interview a suspect who is not under arrest for the commission of a criminal offence</w:t>
      </w:r>
      <w:r w:rsidRPr="003005AC">
        <w:rPr>
          <w:rFonts w:eastAsia="Calibri"/>
          <w:bCs/>
          <w:sz w:val="22"/>
          <w:szCs w:val="22"/>
          <w:lang w:eastAsia="en-US"/>
        </w:rPr>
        <w:t>”. This suggests that as a way to reduce the impact of time spent in custody on a child, a VA could be the better option if the circumstances suit. Victim one stated that they did not have family in the area as they had recently relocated there with the hopes that the move would take the offender away from the influence of the unsuitable friends he had made in their home town of North Wales. Furthermore, victim one stated that the only family member they had was his Grandmother and that option had been exhausted due to the offenders behaviour. Realising my options were limited, I asked victim one if they had a Family Support Worker assigned to them by social services. I was given the contact details of the offender’s social worker; she also informed me that the social worker had a meeting with them that day. I contacted the social worker with the aim of arranging accommodation for the offender. Under Section 20 of the Children Act 1989, local authorities have a duty of care to accommodate a child who has no “</w:t>
      </w:r>
      <w:r w:rsidRPr="003005AC">
        <w:rPr>
          <w:rFonts w:eastAsia="Calibri"/>
          <w:bCs/>
          <w:i/>
          <w:sz w:val="22"/>
          <w:szCs w:val="22"/>
          <w:lang w:eastAsia="en-US"/>
        </w:rPr>
        <w:t>parental responsibility for them, because they are lost or abandoned, or because the person who has been caring for them is prevented from providing them with suitable accommodation or care</w:t>
      </w:r>
      <w:r w:rsidRPr="003005AC">
        <w:rPr>
          <w:rFonts w:eastAsia="Calibri"/>
          <w:bCs/>
          <w:sz w:val="22"/>
          <w:szCs w:val="22"/>
          <w:lang w:eastAsia="en-US"/>
        </w:rPr>
        <w:t>” (HM Government, 2018). The social worker informed me that they were not in a position to find accommodation for the offender, I informed my Sergeant of this update and documented it on NICHE; my only option was police custody. I was informed by the FCR that the offender was at a nearby address at a friend’s house. I made my way immediately as I did not want to offender to leave before I got there. Locating the offender at the address, I arrested and detained him for means of a search under Section 32 Police and Criminal Evidence Act 1984 (</w:t>
      </w:r>
      <w:r w:rsidRPr="003005AC">
        <w:rPr>
          <w:rFonts w:eastAsia="Calibri"/>
          <w:sz w:val="22"/>
          <w:szCs w:val="22"/>
          <w:lang w:eastAsia="en-US"/>
        </w:rPr>
        <w:t>UK Legislation, 2022c)</w:t>
      </w:r>
      <w:r w:rsidRPr="003005AC">
        <w:rPr>
          <w:rFonts w:eastAsia="Calibri"/>
          <w:bCs/>
          <w:sz w:val="22"/>
          <w:szCs w:val="22"/>
          <w:lang w:eastAsia="en-US"/>
        </w:rPr>
        <w:t xml:space="preserve">. This power allows a </w:t>
      </w:r>
      <w:r w:rsidRPr="003005AC">
        <w:rPr>
          <w:rFonts w:eastAsia="Calibri"/>
          <w:bCs/>
          <w:sz w:val="22"/>
          <w:szCs w:val="22"/>
          <w:lang w:eastAsia="en-US"/>
        </w:rPr>
        <w:lastRenderedPageBreak/>
        <w:t>Constable to search a person who has been arrested if they have reasonable grounds to believe the person may be: a danger to themselves or others, have an implement that they may use to escape or which is evidence relating to an offence. With no other option, I took the offender to custody and presented him before the custody Sergeant. Code G of PACE 1984, dictates a Constable must be able to fully justify the reason detention is required before the custody Sergeant will authorise their detention (HM Government, 2012). I explained the incident, my considerations, options and decision-making process to the custody Sergeant, who commended me for fully exploring my options and satisfying the requirements for Code G PACE 1984. I further explained that following interview, I hoped to make a referral to the Youth Offending Service (YOS). YOS is a service that works with young offenders with an aim to prevent and divert children between the ages of 8-17 years old away from criminal behaviour (</w:t>
      </w:r>
      <w:r w:rsidRPr="003005AC">
        <w:rPr>
          <w:rFonts w:eastAsia="Calibri"/>
          <w:sz w:val="22"/>
          <w:szCs w:val="22"/>
          <w:lang w:eastAsia="en-US"/>
        </w:rPr>
        <w:t>Blaenau Gwent CBC</w:t>
      </w:r>
      <w:r w:rsidRPr="003005AC">
        <w:rPr>
          <w:rFonts w:eastAsia="Calibri"/>
          <w:bCs/>
          <w:sz w:val="22"/>
          <w:szCs w:val="22"/>
          <w:lang w:eastAsia="en-US"/>
        </w:rPr>
        <w:t xml:space="preserve">, 2022). The offender’s custody was granted; this allowed me to prepare for his interview, make the relevant referrals for YOS and liaise with his social worker in finding emergency accommodation in time for his release. </w:t>
      </w:r>
    </w:p>
    <w:p w14:paraId="76222419" w14:textId="77777777" w:rsidR="003005AC" w:rsidRPr="003005AC" w:rsidRDefault="003005AC" w:rsidP="003005AC">
      <w:pPr>
        <w:pStyle w:val="NoSpacing"/>
        <w:jc w:val="both"/>
        <w:rPr>
          <w:rFonts w:eastAsia="Calibri"/>
          <w:sz w:val="22"/>
          <w:szCs w:val="22"/>
          <w:u w:val="single"/>
          <w:lang w:eastAsia="en-US"/>
        </w:rPr>
      </w:pPr>
    </w:p>
    <w:p w14:paraId="16CFD2C3" w14:textId="77777777" w:rsidR="003005AC" w:rsidRPr="003005AC" w:rsidRDefault="003005AC" w:rsidP="003005AC">
      <w:pPr>
        <w:pStyle w:val="NoSpacing"/>
        <w:jc w:val="both"/>
        <w:rPr>
          <w:rFonts w:eastAsia="Calibri"/>
          <w:sz w:val="22"/>
          <w:szCs w:val="22"/>
          <w:lang w:eastAsia="en-US"/>
        </w:rPr>
      </w:pPr>
      <w:r w:rsidRPr="003005AC">
        <w:rPr>
          <w:rFonts w:eastAsia="Calibri"/>
          <w:sz w:val="22"/>
          <w:szCs w:val="22"/>
          <w:lang w:eastAsia="en-US"/>
        </w:rPr>
        <w:t>When presented with an incident of domestic violence involving a minor with warning markers for violence who was in possession of tools to conduct arson, I had to balance my intervention with responding to and mitigating further risk and ensure the welfare of the offender was considered. The NDM aids in action versus risk decision making (College of Policing, 2013a) but observing that the offender could not be arrested for a domestic violence crime as a minor (Clegg, 2012; National Centre for Domestic Violence, 2022). In order to further support the offender, I elected for a VA, which has the benefit of not placing the offender under arrest (</w:t>
      </w:r>
      <w:r w:rsidRPr="003005AC">
        <w:rPr>
          <w:rFonts w:eastAsia="Calibri"/>
          <w:bCs/>
          <w:sz w:val="22"/>
          <w:szCs w:val="22"/>
          <w:lang w:eastAsia="en-US"/>
        </w:rPr>
        <w:t>College of Policing, 2013b)</w:t>
      </w:r>
      <w:r w:rsidRPr="003005AC">
        <w:rPr>
          <w:rFonts w:eastAsia="Calibri"/>
          <w:sz w:val="22"/>
          <w:szCs w:val="22"/>
          <w:lang w:eastAsia="en-US"/>
        </w:rPr>
        <w:t xml:space="preserve"> which would remove time spent in custody. The multi-agency approach was deemed appropriate; however, social services were unable to support the offender, which resulted in time spent police custody. To mitigate further distress and with the aspiration of preventing further police intervention, the offender was referred to YOS. </w:t>
      </w:r>
    </w:p>
    <w:p w14:paraId="3DD54A19" w14:textId="77777777" w:rsidR="003005AC" w:rsidRPr="003005AC" w:rsidRDefault="003005AC" w:rsidP="003005AC">
      <w:pPr>
        <w:pStyle w:val="NoSpacing"/>
        <w:jc w:val="both"/>
        <w:rPr>
          <w:rFonts w:eastAsia="Calibri"/>
          <w:sz w:val="22"/>
          <w:szCs w:val="22"/>
          <w:u w:val="single"/>
          <w:lang w:eastAsia="en-US"/>
        </w:rPr>
      </w:pPr>
      <w:r w:rsidRPr="003005AC">
        <w:rPr>
          <w:rFonts w:eastAsia="Calibri"/>
          <w:sz w:val="22"/>
          <w:szCs w:val="22"/>
          <w:u w:val="single"/>
          <w:lang w:eastAsia="en-US"/>
        </w:rPr>
        <w:t>Word count 1606</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1F4905DE"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References </w:t>
      </w:r>
    </w:p>
    <w:p w14:paraId="4F72E020" w14:textId="77777777" w:rsidR="003005AC" w:rsidRPr="003005AC" w:rsidRDefault="003005AC" w:rsidP="003005AC">
      <w:pPr>
        <w:pStyle w:val="NoSpacing"/>
        <w:rPr>
          <w:rFonts w:eastAsia="Calibri"/>
          <w:sz w:val="22"/>
          <w:szCs w:val="22"/>
          <w:lang w:eastAsia="en-US"/>
        </w:rPr>
      </w:pPr>
    </w:p>
    <w:p w14:paraId="050D1A99"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Blaenau Gwent CBC (2022) </w:t>
      </w:r>
      <w:r w:rsidRPr="003005AC">
        <w:rPr>
          <w:rFonts w:eastAsia="Calibri"/>
          <w:i/>
          <w:iCs/>
          <w:sz w:val="22"/>
          <w:szCs w:val="22"/>
          <w:lang w:eastAsia="en-US"/>
        </w:rPr>
        <w:t>Youth Offending Service</w:t>
      </w:r>
      <w:r w:rsidRPr="003005AC">
        <w:rPr>
          <w:rFonts w:eastAsia="Calibri"/>
          <w:sz w:val="22"/>
          <w:szCs w:val="22"/>
          <w:lang w:eastAsia="en-US"/>
        </w:rPr>
        <w:t xml:space="preserve">. Blaenau Gwent CBC. Available at: </w:t>
      </w:r>
      <w:hyperlink r:id="rId39" w:history="1">
        <w:r w:rsidRPr="003005AC">
          <w:rPr>
            <w:rFonts w:eastAsia="Calibri" w:cs="Calibri"/>
            <w:color w:val="0563C1"/>
            <w:sz w:val="22"/>
            <w:szCs w:val="22"/>
            <w:lang w:eastAsia="en-US"/>
          </w:rPr>
          <w:t>https://www.blaenau-gwent.gov.uk/en/resident/health-wellbeing-social-care/support-for-children-families/youth-offending-service</w:t>
        </w:r>
      </w:hyperlink>
      <w:r w:rsidRPr="003005AC">
        <w:rPr>
          <w:rFonts w:eastAsia="Calibri"/>
          <w:sz w:val="22"/>
          <w:szCs w:val="22"/>
          <w:lang w:eastAsia="en-US"/>
        </w:rPr>
        <w:t xml:space="preserve"> [Accessed 6 June 2022].</w:t>
      </w:r>
    </w:p>
    <w:p w14:paraId="62C2136E" w14:textId="77777777" w:rsidR="003005AC" w:rsidRPr="003005AC" w:rsidRDefault="003005AC" w:rsidP="003005AC">
      <w:pPr>
        <w:pStyle w:val="NoSpacing"/>
        <w:rPr>
          <w:rFonts w:eastAsia="Calibri"/>
          <w:sz w:val="22"/>
          <w:szCs w:val="22"/>
          <w:lang w:eastAsia="en-US"/>
        </w:rPr>
      </w:pPr>
    </w:p>
    <w:p w14:paraId="4A705779"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Clegg, N. (2012) </w:t>
      </w:r>
      <w:r w:rsidRPr="003005AC">
        <w:rPr>
          <w:rFonts w:eastAsia="Calibri"/>
          <w:i/>
          <w:iCs/>
          <w:sz w:val="22"/>
          <w:szCs w:val="22"/>
          <w:lang w:eastAsia="en-US"/>
        </w:rPr>
        <w:t>New definition of domestic violence and abuse to include 16 and 17 year olds</w:t>
      </w:r>
      <w:r w:rsidRPr="003005AC">
        <w:rPr>
          <w:rFonts w:eastAsia="Calibri"/>
          <w:sz w:val="22"/>
          <w:szCs w:val="22"/>
          <w:lang w:eastAsia="en-US"/>
        </w:rPr>
        <w:t xml:space="preserve">.  GOV.UK. Available at: </w:t>
      </w:r>
      <w:hyperlink r:id="rId40" w:history="1">
        <w:r w:rsidRPr="003005AC">
          <w:rPr>
            <w:rFonts w:eastAsia="Calibri" w:cs="Calibri"/>
            <w:color w:val="0563C1"/>
            <w:sz w:val="22"/>
            <w:szCs w:val="22"/>
            <w:lang w:eastAsia="en-US"/>
          </w:rPr>
          <w:t>https://www.gov.uk/government/news/new-definition-of-domestic-violence-and-abuse-to-include-16-and-17-year-olds--2</w:t>
        </w:r>
      </w:hyperlink>
      <w:r w:rsidRPr="003005AC">
        <w:rPr>
          <w:rFonts w:eastAsia="Calibri"/>
          <w:sz w:val="22"/>
          <w:szCs w:val="22"/>
          <w:lang w:eastAsia="en-US"/>
        </w:rPr>
        <w:t xml:space="preserve"> [Accessed 1 June 2022].</w:t>
      </w:r>
    </w:p>
    <w:p w14:paraId="52D8A81B" w14:textId="77777777" w:rsidR="003005AC" w:rsidRPr="003005AC" w:rsidRDefault="003005AC" w:rsidP="003005AC">
      <w:pPr>
        <w:pStyle w:val="NoSpacing"/>
        <w:rPr>
          <w:rFonts w:eastAsia="Calibri"/>
          <w:sz w:val="22"/>
          <w:szCs w:val="22"/>
          <w:lang w:eastAsia="en-US"/>
        </w:rPr>
      </w:pPr>
    </w:p>
    <w:p w14:paraId="5CB5E3E8"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College of Policing (2013a) </w:t>
      </w:r>
      <w:r w:rsidRPr="003005AC">
        <w:rPr>
          <w:rFonts w:eastAsia="Calibri"/>
          <w:i/>
          <w:sz w:val="22"/>
          <w:szCs w:val="22"/>
          <w:lang w:eastAsia="en-US"/>
        </w:rPr>
        <w:t>National Decision Model</w:t>
      </w:r>
      <w:r w:rsidRPr="003005AC">
        <w:rPr>
          <w:rFonts w:eastAsia="Calibri"/>
          <w:sz w:val="22"/>
          <w:szCs w:val="22"/>
          <w:lang w:eastAsia="en-US"/>
        </w:rPr>
        <w:t xml:space="preserve">. Available at: </w:t>
      </w:r>
      <w:hyperlink r:id="rId41" w:history="1">
        <w:r w:rsidRPr="003005AC">
          <w:rPr>
            <w:rFonts w:eastAsia="Calibri" w:cs="Calibri"/>
            <w:color w:val="0563C1"/>
            <w:sz w:val="22"/>
            <w:szCs w:val="22"/>
            <w:lang w:eastAsia="en-US"/>
          </w:rPr>
          <w:t>https://www.app.college.police.uk/app-content/national-decision-model/the-national-decision-model/</w:t>
        </w:r>
      </w:hyperlink>
      <w:r w:rsidRPr="003005AC">
        <w:rPr>
          <w:rFonts w:eastAsia="Calibri"/>
          <w:sz w:val="22"/>
          <w:szCs w:val="22"/>
          <w:lang w:eastAsia="en-US"/>
        </w:rPr>
        <w:t xml:space="preserve"> [Accessed 31 May 2022].</w:t>
      </w:r>
    </w:p>
    <w:p w14:paraId="48F51BCA" w14:textId="77777777" w:rsidR="003005AC" w:rsidRPr="003005AC" w:rsidRDefault="003005AC" w:rsidP="003005AC">
      <w:pPr>
        <w:pStyle w:val="NoSpacing"/>
        <w:rPr>
          <w:rFonts w:eastAsia="Calibri"/>
          <w:sz w:val="22"/>
          <w:szCs w:val="22"/>
          <w:lang w:eastAsia="en-US"/>
        </w:rPr>
      </w:pPr>
    </w:p>
    <w:p w14:paraId="7E37EC6C"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College of Policing (2013b) </w:t>
      </w:r>
      <w:r w:rsidRPr="003005AC">
        <w:rPr>
          <w:rFonts w:eastAsia="Calibri"/>
          <w:i/>
          <w:iCs/>
          <w:sz w:val="22"/>
          <w:szCs w:val="22"/>
          <w:lang w:eastAsia="en-US"/>
        </w:rPr>
        <w:t>Investigative interviewing</w:t>
      </w:r>
      <w:r w:rsidRPr="003005AC">
        <w:rPr>
          <w:rFonts w:eastAsia="Calibri"/>
          <w:sz w:val="22"/>
          <w:szCs w:val="22"/>
          <w:lang w:eastAsia="en-US"/>
        </w:rPr>
        <w:t xml:space="preserve">. College of Policing. Available at: </w:t>
      </w:r>
      <w:hyperlink r:id="rId42" w:history="1">
        <w:r w:rsidRPr="003005AC">
          <w:rPr>
            <w:rFonts w:eastAsia="Calibri" w:cs="Calibri"/>
            <w:color w:val="0563C1"/>
            <w:sz w:val="22"/>
            <w:szCs w:val="22"/>
            <w:lang w:eastAsia="en-US"/>
          </w:rPr>
          <w:t>https://www.college.police.uk/app/investigation/investigative-interviewing/investigative-interviewing#</w:t>
        </w:r>
      </w:hyperlink>
      <w:r w:rsidRPr="003005AC">
        <w:rPr>
          <w:rFonts w:eastAsia="Calibri"/>
          <w:sz w:val="22"/>
          <w:szCs w:val="22"/>
          <w:lang w:eastAsia="en-US"/>
        </w:rPr>
        <w:t xml:space="preserve"> [Accessed 2 June 2022].</w:t>
      </w:r>
    </w:p>
    <w:p w14:paraId="4275D57C" w14:textId="77777777" w:rsidR="003005AC" w:rsidRPr="003005AC" w:rsidRDefault="003005AC" w:rsidP="003005AC">
      <w:pPr>
        <w:pStyle w:val="NoSpacing"/>
        <w:rPr>
          <w:rFonts w:eastAsia="Calibri"/>
          <w:sz w:val="22"/>
          <w:szCs w:val="22"/>
          <w:lang w:eastAsia="en-US"/>
        </w:rPr>
      </w:pPr>
    </w:p>
    <w:p w14:paraId="3D8BBF67"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Family Rights Group (2022) </w:t>
      </w:r>
      <w:r w:rsidRPr="003005AC">
        <w:rPr>
          <w:rFonts w:eastAsia="Calibri"/>
          <w:i/>
          <w:iCs/>
          <w:sz w:val="22"/>
          <w:szCs w:val="22"/>
          <w:lang w:eastAsia="en-US"/>
        </w:rPr>
        <w:t>Domestic abuse</w:t>
      </w:r>
      <w:r w:rsidRPr="003005AC">
        <w:rPr>
          <w:rFonts w:eastAsia="Calibri"/>
          <w:sz w:val="22"/>
          <w:szCs w:val="22"/>
          <w:lang w:eastAsia="en-US"/>
        </w:rPr>
        <w:t xml:space="preserve">. Family Rights Group. Available at: </w:t>
      </w:r>
      <w:hyperlink r:id="rId43" w:history="1">
        <w:r w:rsidRPr="003005AC">
          <w:rPr>
            <w:rFonts w:eastAsia="Calibri" w:cs="Calibri"/>
            <w:color w:val="0563C1"/>
            <w:sz w:val="22"/>
            <w:szCs w:val="22"/>
            <w:lang w:eastAsia="en-US"/>
          </w:rPr>
          <w:t>https://frg.org.uk/get-help-and-advice/why/domestic-abuse/</w:t>
        </w:r>
      </w:hyperlink>
      <w:r w:rsidRPr="003005AC">
        <w:rPr>
          <w:rFonts w:eastAsia="Calibri"/>
          <w:sz w:val="22"/>
          <w:szCs w:val="22"/>
          <w:lang w:eastAsia="en-US"/>
        </w:rPr>
        <w:t xml:space="preserve"> [Accessed 1 June 2022].</w:t>
      </w:r>
    </w:p>
    <w:p w14:paraId="353AA597" w14:textId="77777777" w:rsidR="003005AC" w:rsidRPr="003005AC" w:rsidRDefault="003005AC" w:rsidP="003005AC">
      <w:pPr>
        <w:pStyle w:val="NoSpacing"/>
        <w:rPr>
          <w:rFonts w:eastAsia="Calibri"/>
          <w:sz w:val="22"/>
          <w:szCs w:val="22"/>
          <w:lang w:eastAsia="en-US"/>
        </w:rPr>
      </w:pPr>
    </w:p>
    <w:p w14:paraId="25EF5D29" w14:textId="77777777" w:rsidR="003005AC" w:rsidRPr="003005AC" w:rsidRDefault="003005AC" w:rsidP="003005AC">
      <w:pPr>
        <w:pStyle w:val="NoSpacing"/>
        <w:rPr>
          <w:rFonts w:eastAsia="Calibri"/>
          <w:bCs/>
          <w:sz w:val="22"/>
          <w:szCs w:val="22"/>
          <w:lang w:eastAsia="en-US"/>
        </w:rPr>
      </w:pPr>
      <w:r w:rsidRPr="003005AC">
        <w:rPr>
          <w:rFonts w:eastAsia="Calibri"/>
          <w:bCs/>
          <w:sz w:val="22"/>
          <w:szCs w:val="22"/>
          <w:lang w:eastAsia="en-US"/>
        </w:rPr>
        <w:t xml:space="preserve">HM Government (2012) </w:t>
      </w:r>
      <w:r w:rsidRPr="003005AC">
        <w:rPr>
          <w:rFonts w:eastAsia="Calibri"/>
          <w:bCs/>
          <w:i/>
          <w:iCs/>
          <w:sz w:val="22"/>
          <w:szCs w:val="22"/>
          <w:lang w:eastAsia="en-US"/>
        </w:rPr>
        <w:t>Police and Criminal Evidence Act 1984 (PACE) Code G Revised Code of Practice for the Statutory Power of Arrest by Police Officers</w:t>
      </w:r>
      <w:r w:rsidRPr="003005AC">
        <w:rPr>
          <w:rFonts w:eastAsia="Calibri"/>
          <w:bCs/>
          <w:sz w:val="22"/>
          <w:szCs w:val="22"/>
          <w:lang w:eastAsia="en-US"/>
        </w:rPr>
        <w:t xml:space="preserve">. p.3. Available at: </w:t>
      </w:r>
      <w:hyperlink r:id="rId44" w:history="1">
        <w:r w:rsidRPr="003005AC">
          <w:rPr>
            <w:rFonts w:eastAsia="Calibri" w:cs="Calibri"/>
            <w:bCs/>
            <w:color w:val="0563C1"/>
            <w:sz w:val="22"/>
            <w:szCs w:val="22"/>
            <w:lang w:eastAsia="en-US"/>
          </w:rPr>
          <w:t>https://assets.publishing.service.gov.uk/government/uploads/system/uploads/attachment_data/file/903814/pace-code-g-2012.pdf</w:t>
        </w:r>
      </w:hyperlink>
      <w:r w:rsidRPr="003005AC">
        <w:rPr>
          <w:rFonts w:eastAsia="Calibri"/>
          <w:bCs/>
          <w:sz w:val="22"/>
          <w:szCs w:val="22"/>
          <w:lang w:eastAsia="en-US"/>
        </w:rPr>
        <w:t xml:space="preserve"> [Accessed 6 June 2022].</w:t>
      </w:r>
    </w:p>
    <w:p w14:paraId="6AD5B66C" w14:textId="77777777" w:rsidR="003005AC" w:rsidRPr="003005AC" w:rsidRDefault="003005AC" w:rsidP="003005AC">
      <w:pPr>
        <w:pStyle w:val="NoSpacing"/>
        <w:rPr>
          <w:rFonts w:eastAsia="Calibri"/>
          <w:sz w:val="22"/>
          <w:szCs w:val="22"/>
          <w:lang w:eastAsia="en-US"/>
        </w:rPr>
      </w:pPr>
    </w:p>
    <w:p w14:paraId="23C446D8"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HM Government (2018) </w:t>
      </w:r>
      <w:r w:rsidRPr="003005AC">
        <w:rPr>
          <w:rFonts w:eastAsia="Calibri"/>
          <w:i/>
          <w:iCs/>
          <w:sz w:val="22"/>
          <w:szCs w:val="22"/>
          <w:lang w:eastAsia="en-US"/>
        </w:rPr>
        <w:t>Working Together to Safeguard Children</w:t>
      </w:r>
      <w:r w:rsidRPr="003005AC">
        <w:rPr>
          <w:rFonts w:eastAsia="Calibri"/>
          <w:sz w:val="22"/>
          <w:szCs w:val="22"/>
          <w:lang w:eastAsia="en-US"/>
        </w:rPr>
        <w:t xml:space="preserve">. p.22. Available at: </w:t>
      </w:r>
      <w:hyperlink r:id="rId45" w:history="1">
        <w:r w:rsidRPr="003005AC">
          <w:rPr>
            <w:rFonts w:eastAsia="Calibri" w:cs="Calibri"/>
            <w:color w:val="0563C1"/>
            <w:sz w:val="22"/>
            <w:szCs w:val="22"/>
            <w:lang w:eastAsia="en-US"/>
          </w:rPr>
          <w:t>https://assets.publishing.service.gov.uk/government/uploads/system/uploads/attachment_data/file/942454/Working_together_to_safeguard_children_inter_agency_guidance.pdf</w:t>
        </w:r>
      </w:hyperlink>
      <w:r w:rsidRPr="003005AC">
        <w:rPr>
          <w:rFonts w:eastAsia="Calibri"/>
          <w:sz w:val="22"/>
          <w:szCs w:val="22"/>
          <w:lang w:eastAsia="en-US"/>
        </w:rPr>
        <w:t xml:space="preserve"> [Accessed 2 June 2022].</w:t>
      </w:r>
    </w:p>
    <w:p w14:paraId="3BDE9ED1" w14:textId="77777777" w:rsidR="003005AC" w:rsidRPr="003005AC" w:rsidRDefault="003005AC" w:rsidP="003005AC">
      <w:pPr>
        <w:pStyle w:val="NoSpacing"/>
        <w:rPr>
          <w:rFonts w:eastAsia="Calibri"/>
          <w:sz w:val="22"/>
          <w:szCs w:val="22"/>
          <w:lang w:eastAsia="en-US"/>
        </w:rPr>
      </w:pPr>
    </w:p>
    <w:p w14:paraId="667F834D" w14:textId="77777777" w:rsidR="003005AC" w:rsidRPr="003005AC" w:rsidRDefault="003005AC" w:rsidP="003005AC">
      <w:pPr>
        <w:pStyle w:val="NoSpacing"/>
        <w:rPr>
          <w:rFonts w:eastAsia="Calibri"/>
          <w:bCs/>
          <w:sz w:val="22"/>
          <w:szCs w:val="22"/>
          <w:lang w:eastAsia="en-US"/>
        </w:rPr>
      </w:pPr>
      <w:r w:rsidRPr="003005AC">
        <w:rPr>
          <w:rFonts w:eastAsia="Calibri"/>
          <w:bCs/>
          <w:sz w:val="22"/>
          <w:szCs w:val="22"/>
          <w:lang w:eastAsia="en-US"/>
        </w:rPr>
        <w:t xml:space="preserve">Hunt, J. (2020) </w:t>
      </w:r>
      <w:r w:rsidRPr="003005AC">
        <w:rPr>
          <w:rFonts w:eastAsia="Calibri"/>
          <w:bCs/>
          <w:i/>
          <w:iCs/>
          <w:sz w:val="22"/>
          <w:szCs w:val="22"/>
          <w:lang w:eastAsia="en-US"/>
        </w:rPr>
        <w:t>Who Are Social Services and What do They do?</w:t>
      </w:r>
      <w:r w:rsidRPr="003005AC">
        <w:rPr>
          <w:rFonts w:eastAsia="Calibri"/>
          <w:bCs/>
          <w:sz w:val="22"/>
          <w:szCs w:val="22"/>
          <w:lang w:eastAsia="en-US"/>
        </w:rPr>
        <w:t xml:space="preserve">. Howells Legal. Available at: </w:t>
      </w:r>
      <w:hyperlink r:id="rId46" w:history="1">
        <w:r w:rsidRPr="003005AC">
          <w:rPr>
            <w:rFonts w:eastAsia="Calibri" w:cs="Calibri"/>
            <w:bCs/>
            <w:color w:val="0563C1"/>
            <w:sz w:val="22"/>
            <w:szCs w:val="22"/>
            <w:lang w:eastAsia="en-US"/>
          </w:rPr>
          <w:t>https://www.howellslegal.co.uk/news/post/Who-are-Social-Services-and-what-do-they-do</w:t>
        </w:r>
      </w:hyperlink>
      <w:r w:rsidRPr="003005AC">
        <w:rPr>
          <w:rFonts w:eastAsia="Calibri"/>
          <w:bCs/>
          <w:sz w:val="22"/>
          <w:szCs w:val="22"/>
          <w:lang w:eastAsia="en-US"/>
        </w:rPr>
        <w:t xml:space="preserve"> [Accessed 9 June 2022]. </w:t>
      </w:r>
    </w:p>
    <w:p w14:paraId="44DD16D6" w14:textId="77777777" w:rsidR="003005AC" w:rsidRPr="003005AC" w:rsidRDefault="003005AC" w:rsidP="003005AC">
      <w:pPr>
        <w:pStyle w:val="NoSpacing"/>
        <w:rPr>
          <w:rFonts w:eastAsia="Calibri"/>
          <w:sz w:val="22"/>
          <w:szCs w:val="22"/>
          <w:lang w:eastAsia="en-US"/>
        </w:rPr>
      </w:pPr>
    </w:p>
    <w:p w14:paraId="70C1DEDD"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Home Office (2022) </w:t>
      </w:r>
      <w:r w:rsidRPr="003005AC">
        <w:rPr>
          <w:rFonts w:eastAsia="Calibri"/>
          <w:i/>
          <w:iCs/>
          <w:sz w:val="22"/>
          <w:szCs w:val="22"/>
          <w:lang w:eastAsia="en-US"/>
        </w:rPr>
        <w:t>Concordat on Children in Custody</w:t>
      </w:r>
      <w:r w:rsidRPr="003005AC">
        <w:rPr>
          <w:rFonts w:eastAsia="Calibri"/>
          <w:sz w:val="22"/>
          <w:szCs w:val="22"/>
          <w:lang w:eastAsia="en-US"/>
        </w:rPr>
        <w:t xml:space="preserve">. pp.3-5. Available at: </w:t>
      </w:r>
      <w:hyperlink r:id="rId47" w:history="1">
        <w:r w:rsidRPr="003005AC">
          <w:rPr>
            <w:rFonts w:eastAsia="Calibri" w:cs="Calibri"/>
            <w:color w:val="0563C1"/>
            <w:sz w:val="22"/>
            <w:szCs w:val="22"/>
            <w:lang w:eastAsia="en-US"/>
          </w:rPr>
          <w:t>https://assets.publishing.service.gov.uk/government/uploads/system/uploads/attachment_data/file/655222/Concordat_on_Children_in_Custody_ISBN_Accessible.pdf</w:t>
        </w:r>
      </w:hyperlink>
      <w:r w:rsidRPr="003005AC">
        <w:rPr>
          <w:rFonts w:eastAsia="Calibri"/>
          <w:sz w:val="22"/>
          <w:szCs w:val="22"/>
          <w:lang w:eastAsia="en-US"/>
        </w:rPr>
        <w:t xml:space="preserve"> [Accessed 30 May 2022].</w:t>
      </w:r>
    </w:p>
    <w:p w14:paraId="588FBD4B" w14:textId="77777777" w:rsidR="003005AC" w:rsidRPr="003005AC" w:rsidRDefault="003005AC" w:rsidP="003005AC">
      <w:pPr>
        <w:pStyle w:val="NoSpacing"/>
        <w:rPr>
          <w:rFonts w:eastAsia="Calibri"/>
          <w:sz w:val="22"/>
          <w:szCs w:val="22"/>
          <w:lang w:eastAsia="en-US"/>
        </w:rPr>
      </w:pPr>
    </w:p>
    <w:p w14:paraId="1D5DCD93"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Lax, M. (2014) ‘The Affective Domain and Police Values Education: Is the Former Used to Convey the Latter in Support of the National Decision Model?’, </w:t>
      </w:r>
      <w:r w:rsidRPr="003005AC">
        <w:rPr>
          <w:rFonts w:eastAsia="Calibri"/>
          <w:i/>
          <w:iCs/>
          <w:sz w:val="22"/>
          <w:szCs w:val="22"/>
          <w:lang w:eastAsia="en-US"/>
        </w:rPr>
        <w:t>Police journal (Chichester)</w:t>
      </w:r>
      <w:r w:rsidRPr="003005AC">
        <w:rPr>
          <w:rFonts w:eastAsia="Calibri"/>
          <w:sz w:val="22"/>
          <w:szCs w:val="22"/>
          <w:lang w:eastAsia="en-US"/>
        </w:rPr>
        <w:t>, 87(2), pp. 126–138. doi:10.1350/pojo.2014.87.2.639.</w:t>
      </w:r>
    </w:p>
    <w:p w14:paraId="32A44663" w14:textId="77777777" w:rsidR="003005AC" w:rsidRPr="003005AC" w:rsidRDefault="003005AC" w:rsidP="003005AC">
      <w:pPr>
        <w:pStyle w:val="NoSpacing"/>
        <w:rPr>
          <w:rFonts w:eastAsia="Calibri"/>
          <w:sz w:val="22"/>
          <w:szCs w:val="22"/>
          <w:lang w:eastAsia="en-US"/>
        </w:rPr>
      </w:pPr>
    </w:p>
    <w:p w14:paraId="632D1077"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Lutkevich, B. (2022) </w:t>
      </w:r>
      <w:r w:rsidRPr="003005AC">
        <w:rPr>
          <w:rFonts w:eastAsia="Calibri"/>
          <w:i/>
          <w:iCs/>
          <w:sz w:val="22"/>
          <w:szCs w:val="22"/>
          <w:lang w:eastAsia="en-US"/>
        </w:rPr>
        <w:t>What is Risk Mitigation? Definition, Strategies and Planning</w:t>
      </w:r>
      <w:r w:rsidRPr="003005AC">
        <w:rPr>
          <w:rFonts w:eastAsia="Calibri"/>
          <w:sz w:val="22"/>
          <w:szCs w:val="22"/>
          <w:lang w:eastAsia="en-US"/>
        </w:rPr>
        <w:t xml:space="preserve">. SearchDisasterRecovery. Available at: </w:t>
      </w:r>
      <w:hyperlink r:id="rId48" w:history="1">
        <w:r w:rsidRPr="003005AC">
          <w:rPr>
            <w:rFonts w:eastAsia="Calibri" w:cs="Calibri"/>
            <w:color w:val="0563C1"/>
            <w:sz w:val="22"/>
            <w:szCs w:val="22"/>
            <w:lang w:eastAsia="en-US"/>
          </w:rPr>
          <w:t>https://www.techtarget.com/searchdisasterrecovery/definition/risk-mitigation</w:t>
        </w:r>
      </w:hyperlink>
      <w:r w:rsidRPr="003005AC">
        <w:rPr>
          <w:rFonts w:eastAsia="Calibri"/>
          <w:sz w:val="22"/>
          <w:szCs w:val="22"/>
          <w:lang w:eastAsia="en-US"/>
        </w:rPr>
        <w:t xml:space="preserve"> [Accessed 9 June 2022].</w:t>
      </w:r>
    </w:p>
    <w:p w14:paraId="52DD9087" w14:textId="77777777" w:rsidR="003005AC" w:rsidRPr="003005AC" w:rsidRDefault="003005AC" w:rsidP="003005AC">
      <w:pPr>
        <w:pStyle w:val="NoSpacing"/>
        <w:rPr>
          <w:rFonts w:eastAsia="Calibri"/>
          <w:sz w:val="22"/>
          <w:szCs w:val="22"/>
          <w:lang w:eastAsia="en-US"/>
        </w:rPr>
      </w:pPr>
    </w:p>
    <w:p w14:paraId="18FE6915"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National Centre for Domestic Violence (2022) </w:t>
      </w:r>
      <w:r w:rsidRPr="003005AC">
        <w:rPr>
          <w:rFonts w:eastAsia="Calibri"/>
          <w:i/>
          <w:iCs/>
          <w:sz w:val="22"/>
          <w:szCs w:val="22"/>
          <w:lang w:eastAsia="en-US"/>
        </w:rPr>
        <w:t>What is Domestic Violence?</w:t>
      </w:r>
      <w:r w:rsidRPr="003005AC">
        <w:rPr>
          <w:rFonts w:eastAsia="Calibri"/>
          <w:sz w:val="22"/>
          <w:szCs w:val="22"/>
          <w:lang w:eastAsia="en-US"/>
        </w:rPr>
        <w:t xml:space="preserve">. National Centre for Domestic Violence. Available at: </w:t>
      </w:r>
      <w:hyperlink r:id="rId49" w:history="1">
        <w:r w:rsidRPr="003005AC">
          <w:rPr>
            <w:rFonts w:eastAsia="Calibri" w:cs="Calibri"/>
            <w:color w:val="0563C1"/>
            <w:sz w:val="22"/>
            <w:szCs w:val="22"/>
            <w:lang w:eastAsia="en-US"/>
          </w:rPr>
          <w:t>https://www.ncdv.org.uk/what-is-domestic-violence/</w:t>
        </w:r>
      </w:hyperlink>
      <w:r w:rsidRPr="003005AC">
        <w:rPr>
          <w:rFonts w:eastAsia="Calibri"/>
          <w:sz w:val="22"/>
          <w:szCs w:val="22"/>
          <w:lang w:eastAsia="en-US"/>
        </w:rPr>
        <w:t xml:space="preserve"> [Accessed 7 June 2022].</w:t>
      </w:r>
    </w:p>
    <w:p w14:paraId="7311FC87" w14:textId="77777777" w:rsidR="003005AC" w:rsidRPr="003005AC" w:rsidRDefault="003005AC" w:rsidP="003005AC">
      <w:pPr>
        <w:pStyle w:val="NoSpacing"/>
        <w:rPr>
          <w:rFonts w:eastAsia="Calibri"/>
          <w:sz w:val="22"/>
          <w:szCs w:val="22"/>
          <w:lang w:eastAsia="en-US"/>
        </w:rPr>
      </w:pPr>
    </w:p>
    <w:p w14:paraId="1411C633" w14:textId="77777777" w:rsidR="003005AC" w:rsidRPr="003005AC" w:rsidRDefault="003005AC" w:rsidP="003005AC">
      <w:pPr>
        <w:pStyle w:val="NoSpacing"/>
        <w:rPr>
          <w:rFonts w:eastAsia="Calibri"/>
          <w:bCs/>
          <w:sz w:val="22"/>
          <w:szCs w:val="22"/>
          <w:lang w:eastAsia="en-US"/>
        </w:rPr>
      </w:pPr>
      <w:r w:rsidRPr="003005AC">
        <w:rPr>
          <w:rFonts w:eastAsia="Calibri"/>
          <w:bCs/>
          <w:sz w:val="22"/>
          <w:szCs w:val="22"/>
          <w:lang w:eastAsia="en-US"/>
        </w:rPr>
        <w:t xml:space="preserve">National Police Chiefs' Council (2016) </w:t>
      </w:r>
      <w:r w:rsidRPr="003005AC">
        <w:rPr>
          <w:rFonts w:eastAsia="Calibri"/>
          <w:bCs/>
          <w:i/>
          <w:iCs/>
          <w:sz w:val="22"/>
          <w:szCs w:val="22"/>
          <w:lang w:eastAsia="en-US"/>
        </w:rPr>
        <w:t>Young People and Police Custody</w:t>
      </w:r>
      <w:r w:rsidRPr="003005AC">
        <w:rPr>
          <w:rFonts w:eastAsia="Calibri"/>
          <w:bCs/>
          <w:sz w:val="22"/>
          <w:szCs w:val="22"/>
          <w:lang w:eastAsia="en-US"/>
        </w:rPr>
        <w:t xml:space="preserve">. National Police Chiefs' Council (NPCC). Available at: </w:t>
      </w:r>
      <w:hyperlink r:id="rId50" w:history="1">
        <w:r w:rsidRPr="003005AC">
          <w:rPr>
            <w:rFonts w:eastAsia="Calibri" w:cs="Calibri"/>
            <w:bCs/>
            <w:color w:val="0563C1"/>
            <w:sz w:val="22"/>
            <w:szCs w:val="22"/>
            <w:lang w:eastAsia="en-US"/>
          </w:rPr>
          <w:t>https://news.npcc.police.uk/releases/young-people-and-police-custody</w:t>
        </w:r>
      </w:hyperlink>
      <w:r w:rsidRPr="003005AC">
        <w:rPr>
          <w:rFonts w:eastAsia="Calibri"/>
          <w:bCs/>
          <w:sz w:val="22"/>
          <w:szCs w:val="22"/>
          <w:lang w:eastAsia="en-US"/>
        </w:rPr>
        <w:t xml:space="preserve"> [Accessed 30 May 2022].</w:t>
      </w:r>
    </w:p>
    <w:p w14:paraId="08ED4F73" w14:textId="77777777" w:rsidR="003005AC" w:rsidRPr="003005AC" w:rsidRDefault="003005AC" w:rsidP="003005AC">
      <w:pPr>
        <w:pStyle w:val="NoSpacing"/>
        <w:rPr>
          <w:rFonts w:eastAsia="Calibri"/>
          <w:sz w:val="22"/>
          <w:szCs w:val="22"/>
          <w:lang w:eastAsia="en-US"/>
        </w:rPr>
      </w:pPr>
    </w:p>
    <w:p w14:paraId="130D95BE"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Social Care Institute for Excellence (2010) </w:t>
      </w:r>
      <w:r w:rsidRPr="003005AC">
        <w:rPr>
          <w:rFonts w:eastAsia="Calibri"/>
          <w:i/>
          <w:iCs/>
          <w:sz w:val="22"/>
          <w:szCs w:val="22"/>
          <w:lang w:eastAsia="en-US"/>
        </w:rPr>
        <w:t>SCIE: Newly Qualified Social Worker resource</w:t>
      </w:r>
      <w:r w:rsidRPr="003005AC">
        <w:rPr>
          <w:rFonts w:eastAsia="Calibri"/>
          <w:sz w:val="22"/>
          <w:szCs w:val="22"/>
          <w:lang w:eastAsia="en-US"/>
        </w:rPr>
        <w:t xml:space="preserve">. Scie.org.uk. Available at: </w:t>
      </w:r>
      <w:hyperlink r:id="rId51" w:history="1">
        <w:r w:rsidRPr="003005AC">
          <w:rPr>
            <w:rFonts w:eastAsia="Calibri" w:cs="Calibri"/>
            <w:color w:val="0563C1"/>
            <w:sz w:val="22"/>
            <w:szCs w:val="22"/>
            <w:lang w:eastAsia="en-US"/>
          </w:rPr>
          <w:t>https://www.scie.org.uk/publications/nqswtool/multiagencyworking/#</w:t>
        </w:r>
      </w:hyperlink>
      <w:r w:rsidRPr="003005AC">
        <w:rPr>
          <w:rFonts w:eastAsia="Calibri"/>
          <w:sz w:val="22"/>
          <w:szCs w:val="22"/>
          <w:lang w:eastAsia="en-US"/>
        </w:rPr>
        <w:t xml:space="preserve"> [Accessed 9 June 2022].</w:t>
      </w:r>
    </w:p>
    <w:p w14:paraId="0B365EE3" w14:textId="77777777" w:rsidR="003005AC" w:rsidRPr="003005AC" w:rsidRDefault="003005AC" w:rsidP="003005AC">
      <w:pPr>
        <w:pStyle w:val="NoSpacing"/>
        <w:rPr>
          <w:rFonts w:eastAsia="Calibri"/>
          <w:sz w:val="22"/>
          <w:szCs w:val="22"/>
          <w:lang w:eastAsia="en-US"/>
        </w:rPr>
      </w:pPr>
    </w:p>
    <w:p w14:paraId="3FE2DB2B"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UK Legislation (2022a) </w:t>
      </w:r>
      <w:r w:rsidRPr="003005AC">
        <w:rPr>
          <w:rFonts w:eastAsia="Calibri"/>
          <w:i/>
          <w:iCs/>
          <w:sz w:val="22"/>
          <w:szCs w:val="22"/>
          <w:lang w:eastAsia="en-US"/>
        </w:rPr>
        <w:t>Criminal Damage Act 1971</w:t>
      </w:r>
      <w:r w:rsidRPr="003005AC">
        <w:rPr>
          <w:rFonts w:eastAsia="Calibri"/>
          <w:sz w:val="22"/>
          <w:szCs w:val="22"/>
          <w:lang w:eastAsia="en-US"/>
        </w:rPr>
        <w:t xml:space="preserve">. Legislation.gov.uk. Available at: </w:t>
      </w:r>
      <w:hyperlink r:id="rId52" w:history="1">
        <w:r w:rsidRPr="003005AC">
          <w:rPr>
            <w:rFonts w:eastAsia="Calibri" w:cs="Calibri"/>
            <w:color w:val="0563C1"/>
            <w:sz w:val="22"/>
            <w:szCs w:val="22"/>
            <w:lang w:eastAsia="en-US"/>
          </w:rPr>
          <w:t>https://www.legislation.gov.uk/ukpga/1971/48/section/1</w:t>
        </w:r>
      </w:hyperlink>
      <w:r w:rsidRPr="003005AC">
        <w:rPr>
          <w:rFonts w:eastAsia="Calibri"/>
          <w:sz w:val="22"/>
          <w:szCs w:val="22"/>
          <w:lang w:eastAsia="en-US"/>
        </w:rPr>
        <w:t xml:space="preserve"> [Accessed 7 June 2022].</w:t>
      </w:r>
    </w:p>
    <w:p w14:paraId="7CFEDD01" w14:textId="77777777" w:rsidR="003005AC" w:rsidRPr="003005AC" w:rsidRDefault="003005AC" w:rsidP="003005AC">
      <w:pPr>
        <w:pStyle w:val="NoSpacing"/>
        <w:rPr>
          <w:rFonts w:eastAsia="Calibri"/>
          <w:sz w:val="22"/>
          <w:szCs w:val="22"/>
          <w:lang w:eastAsia="en-US"/>
        </w:rPr>
      </w:pPr>
    </w:p>
    <w:p w14:paraId="58716E24"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UK Legislation (2022b) </w:t>
      </w:r>
      <w:r w:rsidRPr="003005AC">
        <w:rPr>
          <w:rFonts w:eastAsia="Calibri"/>
          <w:i/>
          <w:iCs/>
          <w:sz w:val="22"/>
          <w:szCs w:val="22"/>
          <w:lang w:eastAsia="en-US"/>
        </w:rPr>
        <w:t>Criminal Justice Act 1988</w:t>
      </w:r>
      <w:r w:rsidRPr="003005AC">
        <w:rPr>
          <w:rFonts w:eastAsia="Calibri"/>
          <w:sz w:val="22"/>
          <w:szCs w:val="22"/>
          <w:lang w:eastAsia="en-US"/>
        </w:rPr>
        <w:t xml:space="preserve">. Legislation.gov.uk. Available at: </w:t>
      </w:r>
      <w:hyperlink r:id="rId53" w:history="1">
        <w:r w:rsidRPr="003005AC">
          <w:rPr>
            <w:rFonts w:eastAsia="Calibri" w:cs="Calibri"/>
            <w:color w:val="0563C1"/>
            <w:sz w:val="22"/>
            <w:szCs w:val="22"/>
            <w:lang w:eastAsia="en-US"/>
          </w:rPr>
          <w:t>https://www.legislation.gov.uk/ukpga/1988/33/section/39</w:t>
        </w:r>
      </w:hyperlink>
      <w:r w:rsidRPr="003005AC">
        <w:rPr>
          <w:rFonts w:eastAsia="Calibri"/>
          <w:sz w:val="22"/>
          <w:szCs w:val="22"/>
          <w:lang w:eastAsia="en-US"/>
        </w:rPr>
        <w:t xml:space="preserve"> [Accessed 7 June 2022].</w:t>
      </w:r>
    </w:p>
    <w:p w14:paraId="129B41CF" w14:textId="77777777" w:rsidR="003005AC" w:rsidRPr="003005AC" w:rsidRDefault="003005AC" w:rsidP="003005AC">
      <w:pPr>
        <w:pStyle w:val="NoSpacing"/>
        <w:rPr>
          <w:rFonts w:eastAsia="Calibri"/>
          <w:sz w:val="22"/>
          <w:szCs w:val="22"/>
          <w:lang w:eastAsia="en-US"/>
        </w:rPr>
      </w:pPr>
    </w:p>
    <w:p w14:paraId="693856CC" w14:textId="77777777" w:rsidR="003005AC" w:rsidRPr="003005AC" w:rsidRDefault="003005AC" w:rsidP="003005AC">
      <w:pPr>
        <w:pStyle w:val="NoSpacing"/>
        <w:rPr>
          <w:rFonts w:eastAsia="Calibri"/>
          <w:sz w:val="22"/>
          <w:szCs w:val="22"/>
          <w:lang w:eastAsia="en-US"/>
        </w:rPr>
      </w:pPr>
      <w:r w:rsidRPr="003005AC">
        <w:rPr>
          <w:rFonts w:eastAsia="Calibri"/>
          <w:sz w:val="22"/>
          <w:szCs w:val="22"/>
          <w:lang w:eastAsia="en-US"/>
        </w:rPr>
        <w:t xml:space="preserve">UK Legislation (2022c) </w:t>
      </w:r>
      <w:r w:rsidRPr="003005AC">
        <w:rPr>
          <w:rFonts w:eastAsia="Calibri"/>
          <w:i/>
          <w:iCs/>
          <w:sz w:val="22"/>
          <w:szCs w:val="22"/>
          <w:lang w:eastAsia="en-US"/>
        </w:rPr>
        <w:t>Police and Criminal Evidence Act 1984</w:t>
      </w:r>
      <w:r w:rsidRPr="003005AC">
        <w:rPr>
          <w:rFonts w:eastAsia="Calibri"/>
          <w:sz w:val="22"/>
          <w:szCs w:val="22"/>
          <w:lang w:eastAsia="en-US"/>
        </w:rPr>
        <w:t xml:space="preserve">. Legislation.gov.uk. Available at: </w:t>
      </w:r>
      <w:hyperlink r:id="rId54" w:history="1">
        <w:r w:rsidRPr="003005AC">
          <w:rPr>
            <w:rFonts w:eastAsia="Calibri" w:cs="Calibri"/>
            <w:color w:val="0563C1"/>
            <w:sz w:val="22"/>
            <w:szCs w:val="22"/>
            <w:lang w:eastAsia="en-US"/>
          </w:rPr>
          <w:t>https://www.legislation.gov.uk/ukpga/1984/60/section/37</w:t>
        </w:r>
      </w:hyperlink>
      <w:r w:rsidRPr="003005AC">
        <w:rPr>
          <w:rFonts w:eastAsia="Calibri"/>
          <w:sz w:val="22"/>
          <w:szCs w:val="22"/>
          <w:lang w:eastAsia="en-US"/>
        </w:rPr>
        <w:t xml:space="preserve"> [Accessed 3 June 2022].</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4170A218" w14:textId="77777777" w:rsidR="00CB43F4" w:rsidRPr="00CB43F4" w:rsidRDefault="00CB43F4" w:rsidP="00CB43F4">
      <w:pPr>
        <w:overflowPunct/>
        <w:autoSpaceDE/>
        <w:autoSpaceDN/>
        <w:adjustRightInd/>
        <w:jc w:val="both"/>
        <w:textAlignment w:val="auto"/>
        <w:rPr>
          <w:rFonts w:eastAsia="Calibri"/>
          <w:color w:val="auto"/>
          <w:sz w:val="22"/>
          <w:szCs w:val="22"/>
          <w:lang w:eastAsia="en-US"/>
        </w:rPr>
      </w:pPr>
      <w:r w:rsidRPr="00CB43F4">
        <w:rPr>
          <w:rFonts w:eastAsia="Calibri"/>
          <w:color w:val="auto"/>
          <w:sz w:val="22"/>
          <w:szCs w:val="22"/>
          <w:lang w:eastAsia="en-US"/>
        </w:rPr>
        <w:t xml:space="preserve">This essay describes an incident where a vulnerable victim was subject to violence and threats to kill, amplified as the offender was a repeat offender towards the same victim. The victim is a known vulnerable person, and as such, the police are mandated to act and protect (Independent Office for Police Conduct, 2020). It will be seen that the victim is subject to re-victimisation but will not offer support for full police action, lack of support perpetuates repeat offence (Farrell, 1995). Different approaches are used due to the lack of support as the victim is at continued risk of harm. The College of Policing (2021a) infer that perpetrators prey of those most at risk of harm, in this case augmented by the victim’s alcohol dependency. </w:t>
      </w:r>
    </w:p>
    <w:p w14:paraId="1907516E" w14:textId="77777777" w:rsidR="00CB43F4" w:rsidRPr="00CB43F4" w:rsidRDefault="00CB43F4" w:rsidP="00CB43F4">
      <w:pPr>
        <w:overflowPunct/>
        <w:autoSpaceDE/>
        <w:autoSpaceDN/>
        <w:adjustRightInd/>
        <w:jc w:val="both"/>
        <w:textAlignment w:val="auto"/>
        <w:rPr>
          <w:rFonts w:eastAsia="Calibri"/>
          <w:color w:val="auto"/>
          <w:sz w:val="22"/>
          <w:szCs w:val="22"/>
          <w:lang w:eastAsia="en-US"/>
        </w:rPr>
      </w:pPr>
    </w:p>
    <w:p w14:paraId="48CBB337" w14:textId="77777777" w:rsidR="00CB43F4" w:rsidRPr="00CB43F4" w:rsidRDefault="00CB43F4" w:rsidP="00CB43F4">
      <w:pPr>
        <w:overflowPunct/>
        <w:autoSpaceDE/>
        <w:autoSpaceDN/>
        <w:adjustRightInd/>
        <w:jc w:val="both"/>
        <w:textAlignment w:val="auto"/>
        <w:rPr>
          <w:rFonts w:eastAsia="Calibri"/>
          <w:color w:val="auto"/>
          <w:sz w:val="22"/>
          <w:szCs w:val="22"/>
          <w:lang w:eastAsia="en-US"/>
        </w:rPr>
      </w:pPr>
      <w:r w:rsidRPr="00CB43F4">
        <w:rPr>
          <w:rFonts w:eastAsia="Calibri"/>
          <w:color w:val="auto"/>
          <w:sz w:val="22"/>
          <w:szCs w:val="22"/>
          <w:lang w:eastAsia="en-US"/>
        </w:rPr>
        <w:t>I responded to an incident recently after a female (further referred to as the victim) contacted police to say that her partner (further referred to as the offender) had been to her address the previous night, had intercourse with her and before leaving, slapped her across the face and threatened to kill her. As the call was to report something that had happened the previous day and that the offender had left, the Force Control Room (FCR) did not deem it as a Grade 1 Emergency but instead as a Grade 3 Routine Response. Greater Manchester Police (2017) explain a Grade 1 Emergency as a requirement from officers to attend within fifteen minutes whereas a Grade 3 Routine Response as a requirement to respond within four hours. This suggests that although it is not an emergency, it is still deemed necessary for officers to attend as soon as possible. After the FRC had passed me the information regarding the incident, the address and the names of those involved, I realised that I had been to previous calls involving the victim and offender and was aware of the history involving domestic abuse. The Department of Health and Social Care (2000) explain abuse as a “</w:t>
      </w:r>
      <w:r w:rsidRPr="00CB43F4">
        <w:rPr>
          <w:rFonts w:eastAsia="Calibri"/>
          <w:i/>
          <w:color w:val="auto"/>
          <w:sz w:val="22"/>
          <w:szCs w:val="22"/>
          <w:lang w:eastAsia="en-US"/>
        </w:rPr>
        <w:t xml:space="preserve">single act or repeated acts” </w:t>
      </w:r>
      <w:r w:rsidRPr="00CB43F4">
        <w:rPr>
          <w:rFonts w:eastAsia="Calibri"/>
          <w:color w:val="auto"/>
          <w:sz w:val="22"/>
          <w:szCs w:val="22"/>
          <w:lang w:eastAsia="en-US"/>
        </w:rPr>
        <w:t xml:space="preserve">that can be: physical, verbal or psychological. Victim Support (2022) explain that domestic abuse as being committed between family members or a partner or ex-partner when those involved are over 16 years of age. I was also aware of the vulnerabilities to the victim as she was a repeat victim of domestic abuse with the offender being the aggressor and I know she was alcohol dependant. Within twelve months (Dorset Police, 2003) a repeat victim is a person who is a repeated target for an offender(s) behaviour more than once (Bernasco, 2008). Reisig and Kane (2019) infer vulnerability can be deemed: physically ill, elderly, homeless, disabled, or have a mental illness. Police officers across England and Wales are encouraged to use the THRIVE risk assessment in order to gain an understanding of a person’s vulnerability (College </w:t>
      </w:r>
      <w:r w:rsidRPr="00CB43F4">
        <w:rPr>
          <w:rFonts w:eastAsia="Calibri"/>
          <w:color w:val="auto"/>
          <w:sz w:val="22"/>
          <w:szCs w:val="22"/>
          <w:lang w:eastAsia="en-US"/>
        </w:rPr>
        <w:lastRenderedPageBreak/>
        <w:t xml:space="preserve">of Policing, 2021b).  Furthermore, the College of Policing (2021b) explain THRIVE as an assessment of any: Threat, Harm, Risk, Investigation, Vulnerability and Engagement of the individual concerned in order to understand their vulnerability. The Mental Health Foundation (2002) identifies the link between mental health and alcohol addiction. Rehabs UK (2022) describes alcoholism as a disease that can have a detrimental effect on an individual’s brain function. This could suggest that due to the victim being a repeat victim of domestic she was vulnerable and the effects of being alcohol dependant added to her vulnerability. </w:t>
      </w:r>
    </w:p>
    <w:p w14:paraId="49A71F0B" w14:textId="77777777" w:rsidR="00CB43F4" w:rsidRPr="00CB43F4" w:rsidRDefault="00CB43F4" w:rsidP="00CB43F4">
      <w:pPr>
        <w:overflowPunct/>
        <w:autoSpaceDE/>
        <w:autoSpaceDN/>
        <w:adjustRightInd/>
        <w:jc w:val="both"/>
        <w:textAlignment w:val="auto"/>
        <w:rPr>
          <w:rFonts w:eastAsia="Calibri"/>
          <w:color w:val="auto"/>
          <w:sz w:val="22"/>
          <w:szCs w:val="22"/>
          <w:lang w:eastAsia="en-US"/>
        </w:rPr>
      </w:pPr>
      <w:r w:rsidRPr="00CB43F4">
        <w:rPr>
          <w:rFonts w:eastAsia="Calibri"/>
          <w:color w:val="auto"/>
          <w:sz w:val="22"/>
          <w:szCs w:val="22"/>
          <w:lang w:eastAsia="en-US"/>
        </w:rPr>
        <w:t>Based on my knowledge of the victim and the offender, I decided to attend the address immediately in order to ascertain what had happened and to safeguard her. On attendance, the victim was intoxicated but was able to tell me what had happened. Echoing what was stated by the FCR, the victim added that she did not support positive police action and would not make a statement of complaint in regards to the assault and the threats to kill. Furthermore, the victim did not wish to participate in a Domestic Abuse Stalking and Harassment (DASH) risk assessment and stated that she likes the offender to come to her address as he brings wine and friends for sexual intercourse. Turner, Medina and Brown (2019) explain a DASH as a “</w:t>
      </w:r>
      <w:r w:rsidRPr="00CB43F4">
        <w:rPr>
          <w:rFonts w:eastAsia="Calibri"/>
          <w:i/>
          <w:color w:val="auto"/>
          <w:sz w:val="22"/>
          <w:szCs w:val="22"/>
          <w:lang w:eastAsia="en-US"/>
        </w:rPr>
        <w:t>standardised risk assessment implemented across most UK police forces</w:t>
      </w:r>
      <w:r w:rsidRPr="00CB43F4">
        <w:rPr>
          <w:rFonts w:eastAsia="Calibri"/>
          <w:color w:val="auto"/>
          <w:sz w:val="22"/>
          <w:szCs w:val="22"/>
          <w:lang w:eastAsia="en-US"/>
        </w:rPr>
        <w:t xml:space="preserve">” which allows an officer to ask a series of structured questions in order to gain an understanding of the level of risk present. However, as I had completed previous DASH assessments with the victim, I was able to complete the DASH based of my previous knowledge. </w:t>
      </w:r>
    </w:p>
    <w:p w14:paraId="2B5ECF93" w14:textId="77777777" w:rsidR="00CB43F4" w:rsidRPr="00CB43F4" w:rsidRDefault="00CB43F4" w:rsidP="00CB43F4">
      <w:pPr>
        <w:overflowPunct/>
        <w:autoSpaceDE/>
        <w:autoSpaceDN/>
        <w:adjustRightInd/>
        <w:jc w:val="both"/>
        <w:textAlignment w:val="auto"/>
        <w:rPr>
          <w:rFonts w:eastAsia="Calibri"/>
          <w:color w:val="auto"/>
          <w:sz w:val="22"/>
          <w:szCs w:val="22"/>
          <w:lang w:eastAsia="en-US"/>
        </w:rPr>
      </w:pPr>
      <w:r w:rsidRPr="00CB43F4">
        <w:rPr>
          <w:rFonts w:eastAsia="Calibri"/>
          <w:color w:val="auto"/>
          <w:sz w:val="22"/>
          <w:szCs w:val="22"/>
          <w:lang w:eastAsia="en-US"/>
        </w:rPr>
        <w:t>I was concerned the victim was not only at risk of further violence from the offender, I also had concerns the offender and his friends were exploiting the victim.   I discussed the notion of a Domestic Violence Protection Notice (DVPN) with the victim and explained what this meant. The Home Office (2020) describes a DVPN as “</w:t>
      </w:r>
      <w:r w:rsidRPr="00CB43F4">
        <w:rPr>
          <w:rFonts w:eastAsia="Calibri"/>
          <w:i/>
          <w:color w:val="auto"/>
          <w:sz w:val="22"/>
          <w:szCs w:val="22"/>
          <w:lang w:eastAsia="en-US"/>
        </w:rPr>
        <w:t>an emergency non-molestation and eviction notice</w:t>
      </w:r>
      <w:r w:rsidRPr="00CB43F4">
        <w:rPr>
          <w:rFonts w:eastAsia="Calibri"/>
          <w:color w:val="auto"/>
          <w:sz w:val="22"/>
          <w:szCs w:val="22"/>
          <w:lang w:eastAsia="en-US"/>
        </w:rPr>
        <w:t>” designed to allow, “</w:t>
      </w:r>
      <w:r w:rsidRPr="00CB43F4">
        <w:rPr>
          <w:rFonts w:eastAsia="Calibri"/>
          <w:i/>
          <w:color w:val="auto"/>
          <w:sz w:val="22"/>
          <w:szCs w:val="22"/>
          <w:lang w:eastAsia="en-US"/>
        </w:rPr>
        <w:t>breathing space to consider options</w:t>
      </w:r>
      <w:r w:rsidRPr="00CB43F4">
        <w:rPr>
          <w:rFonts w:eastAsia="Calibri"/>
          <w:color w:val="auto"/>
          <w:sz w:val="22"/>
          <w:szCs w:val="22"/>
          <w:lang w:eastAsia="en-US"/>
        </w:rPr>
        <w:t xml:space="preserve">” between the victim and the offender. When dealing with an incident involving domestic abuse, police officers can issue the DVPN immediately (Home Office, 2020). Furthermore, the Home Office (2020) explain within 48 hours of the DNPN being issued, an application will be made to the magistrates to issue a Domestic Violence Protection Order (DVPO) to prevent the offender having any form of contact with the victim for up to 28 days; any breached of the DVPN/DVPO will result in arrest of the offender. In this instance, the magistrates granted the DVPO and conditions were set so that the offender was not able to attend the home address of the victim nor contact her by any means. </w:t>
      </w:r>
    </w:p>
    <w:p w14:paraId="6F4E076D" w14:textId="77777777" w:rsidR="00CB43F4" w:rsidRPr="00CB43F4" w:rsidRDefault="00CB43F4" w:rsidP="00CB43F4">
      <w:pPr>
        <w:overflowPunct/>
        <w:autoSpaceDE/>
        <w:autoSpaceDN/>
        <w:adjustRightInd/>
        <w:jc w:val="both"/>
        <w:textAlignment w:val="auto"/>
        <w:rPr>
          <w:rFonts w:eastAsia="Calibri"/>
          <w:color w:val="auto"/>
          <w:sz w:val="22"/>
          <w:szCs w:val="22"/>
          <w:lang w:eastAsia="en-US"/>
        </w:rPr>
      </w:pPr>
      <w:r w:rsidRPr="00CB43F4">
        <w:rPr>
          <w:rFonts w:eastAsia="Calibri"/>
          <w:color w:val="auto"/>
          <w:sz w:val="22"/>
          <w:szCs w:val="22"/>
          <w:lang w:eastAsia="en-US"/>
        </w:rPr>
        <w:t xml:space="preserve">I also explained that I would be making a referral for a Multi-Agency Risk Assessment Conference (MARAC). (Domestic Abuse Services, 2022) describe MARAC as opportunity for agencies such as: Police, Independent Domestic Violence Advisors, Children’s Social Services, Health Visitors and GPs to come together with a group aim of developing a safety strategy going forwards for the victim and any children involved. In addition to the DVPO and MARAC referrals, I recommended that the victim consider a course from The Freedom Programme with the hope the victim will gain an understating to the behaviour of the offender and process what has happened to her. The Freedom Programme (2018) explains they are a domestic violence programme that provides victims and offenders education around the effects of domestic abuse. This suggests with the DVLN/DVPO in place coupled with a safety plan discussed at MARAC and the potential to engage with The Freedom Programme, the best available help could be offered to the victim including her alcohol dependency, educating her around the risks the offender poses and allow her time to consider stepping away from the relationship permanently. It could also suggest that the offender can benefit from the DVPN/DVPO and The Freedom Programme by allowing distance to understand that the behaviour display is not acceptable, the effects on the victim and the possibility of criminal prosecution in the future. </w:t>
      </w:r>
    </w:p>
    <w:p w14:paraId="1F7FD650" w14:textId="77777777" w:rsidR="00CB43F4" w:rsidRPr="00CB43F4" w:rsidRDefault="00CB43F4" w:rsidP="00CB43F4">
      <w:pPr>
        <w:overflowPunct/>
        <w:autoSpaceDE/>
        <w:autoSpaceDN/>
        <w:adjustRightInd/>
        <w:jc w:val="both"/>
        <w:textAlignment w:val="auto"/>
        <w:rPr>
          <w:rFonts w:eastAsia="Calibri"/>
          <w:color w:val="auto"/>
          <w:sz w:val="22"/>
          <w:szCs w:val="22"/>
          <w:u w:val="single"/>
          <w:lang w:eastAsia="en-US"/>
        </w:rPr>
      </w:pPr>
    </w:p>
    <w:p w14:paraId="064D7C54" w14:textId="77777777" w:rsidR="00CB43F4" w:rsidRPr="00CB43F4" w:rsidRDefault="00CB43F4" w:rsidP="00CB43F4">
      <w:pPr>
        <w:overflowPunct/>
        <w:autoSpaceDE/>
        <w:autoSpaceDN/>
        <w:adjustRightInd/>
        <w:jc w:val="both"/>
        <w:textAlignment w:val="auto"/>
        <w:rPr>
          <w:rFonts w:eastAsia="Calibri"/>
          <w:color w:val="auto"/>
          <w:sz w:val="22"/>
          <w:szCs w:val="22"/>
          <w:lang w:eastAsia="en-US"/>
        </w:rPr>
      </w:pPr>
      <w:r w:rsidRPr="00CB43F4">
        <w:rPr>
          <w:rFonts w:eastAsia="Calibri"/>
          <w:color w:val="auto"/>
          <w:sz w:val="22"/>
          <w:szCs w:val="22"/>
          <w:lang w:eastAsia="en-US"/>
        </w:rPr>
        <w:t>To conclude, a victim was subject to abuse, which can be a “</w:t>
      </w:r>
      <w:r w:rsidRPr="00CB43F4">
        <w:rPr>
          <w:rFonts w:eastAsia="Calibri"/>
          <w:i/>
          <w:color w:val="auto"/>
          <w:sz w:val="22"/>
          <w:szCs w:val="22"/>
          <w:lang w:eastAsia="en-US"/>
        </w:rPr>
        <w:t>single act or repeated acts” (</w:t>
      </w:r>
      <w:r w:rsidRPr="00CB43F4">
        <w:rPr>
          <w:rFonts w:eastAsia="Calibri"/>
          <w:color w:val="auto"/>
          <w:sz w:val="22"/>
          <w:szCs w:val="22"/>
          <w:lang w:eastAsia="en-US"/>
        </w:rPr>
        <w:t xml:space="preserve">The Department of Health and Social Care, 2000) and in this case a repeat offence by a partner which is a form of domestic abuse (Victim Support, 2022). Utilising the THRIVE risk assessment and knowledge of alcohol dependency it was determined that the victim was vulnerable (College of Policing, 2021b). The unwillingness to participate in a DASH made it </w:t>
      </w:r>
      <w:r w:rsidRPr="00CB43F4">
        <w:rPr>
          <w:rFonts w:eastAsia="Calibri"/>
          <w:color w:val="auto"/>
          <w:sz w:val="22"/>
          <w:szCs w:val="22"/>
          <w:lang w:eastAsia="en-US"/>
        </w:rPr>
        <w:lastRenderedPageBreak/>
        <w:t xml:space="preserve">more difficult but previous incidents allowed for non-supported completion. Identifying the victim’s vulnerability and further risk of exploitation, I was able to convince participation with a DVPO in order to protect the victim from further harm. Moreover, I made a referral for a MARAC on the victim’s behalf with the hope that the approaches delivered and offered would aid in tackling repeat victimisation.   </w:t>
      </w:r>
    </w:p>
    <w:p w14:paraId="65A75E02" w14:textId="77777777" w:rsidR="00CB43F4" w:rsidRPr="00CB43F4" w:rsidRDefault="00CB43F4" w:rsidP="00CB43F4">
      <w:pPr>
        <w:overflowPunct/>
        <w:autoSpaceDE/>
        <w:autoSpaceDN/>
        <w:adjustRightInd/>
        <w:jc w:val="both"/>
        <w:textAlignment w:val="auto"/>
        <w:rPr>
          <w:rFonts w:eastAsia="Calibri"/>
          <w:color w:val="auto"/>
          <w:sz w:val="22"/>
          <w:szCs w:val="22"/>
          <w:u w:val="single"/>
          <w:lang w:eastAsia="en-US"/>
        </w:rPr>
      </w:pPr>
      <w:r w:rsidRPr="00CB43F4">
        <w:rPr>
          <w:rFonts w:eastAsia="Calibri"/>
          <w:color w:val="auto"/>
          <w:sz w:val="22"/>
          <w:szCs w:val="22"/>
          <w:u w:val="single"/>
          <w:lang w:eastAsia="en-US"/>
        </w:rPr>
        <w:t>Word count 1298</w:t>
      </w:r>
    </w:p>
    <w:p w14:paraId="3BBDE61A" w14:textId="7AC57B55" w:rsidR="5B63D80E" w:rsidRDefault="5B63D80E" w:rsidP="5B63D80E">
      <w:pPr>
        <w:ind w:right="237"/>
      </w:pPr>
    </w:p>
    <w:p w14:paraId="607D0EE2" w14:textId="77777777" w:rsidR="00CB43F4" w:rsidRDefault="00CB43F4"/>
    <w:p w14:paraId="5071BD9B" w14:textId="77777777" w:rsidR="00CB43F4" w:rsidRPr="00CB43F4" w:rsidRDefault="00CB43F4" w:rsidP="00CB43F4">
      <w:pPr>
        <w:overflowPunct/>
        <w:autoSpaceDE/>
        <w:autoSpaceDN/>
        <w:adjustRightInd/>
        <w:textAlignment w:val="auto"/>
        <w:rPr>
          <w:rFonts w:eastAsia="Calibri"/>
          <w:color w:val="auto"/>
          <w:sz w:val="22"/>
          <w:szCs w:val="22"/>
          <w:u w:val="single"/>
          <w:lang w:eastAsia="en-US"/>
        </w:rPr>
      </w:pPr>
      <w:r w:rsidRPr="00CB43F4">
        <w:rPr>
          <w:rFonts w:eastAsia="Calibri"/>
          <w:color w:val="auto"/>
          <w:sz w:val="22"/>
          <w:szCs w:val="22"/>
          <w:u w:val="single"/>
          <w:lang w:eastAsia="en-US"/>
        </w:rPr>
        <w:t xml:space="preserve">References </w:t>
      </w:r>
    </w:p>
    <w:p w14:paraId="3683C1CB"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77AE6475"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Bernasco, W. (2008) ‘Them Again? Same-Offender Involvement in Repeat and Near Repeat Burglaries’, </w:t>
      </w:r>
      <w:r w:rsidRPr="00CB43F4">
        <w:rPr>
          <w:rFonts w:eastAsia="Calibri"/>
          <w:i/>
          <w:iCs/>
          <w:color w:val="auto"/>
          <w:sz w:val="22"/>
          <w:szCs w:val="22"/>
          <w:lang w:eastAsia="en-US"/>
        </w:rPr>
        <w:t>European journal of criminology</w:t>
      </w:r>
      <w:r w:rsidRPr="00CB43F4">
        <w:rPr>
          <w:rFonts w:eastAsia="Calibri"/>
          <w:color w:val="auto"/>
          <w:sz w:val="22"/>
          <w:szCs w:val="22"/>
          <w:lang w:eastAsia="en-US"/>
        </w:rPr>
        <w:t>, 5(4), pp. 411–431. doi:10.1177/1477370808095124.</w:t>
      </w:r>
    </w:p>
    <w:p w14:paraId="7850C2EE"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4D5309FD"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 xml:space="preserve">College of Policing (2021b) </w:t>
      </w:r>
      <w:r w:rsidRPr="00CB43F4">
        <w:rPr>
          <w:rFonts w:eastAsia="Calibri"/>
          <w:i/>
          <w:iCs/>
          <w:color w:val="auto"/>
          <w:sz w:val="22"/>
          <w:szCs w:val="22"/>
          <w:lang w:eastAsia="en-US"/>
        </w:rPr>
        <w:t>Introduction to vulnerability-related risk</w:t>
      </w:r>
      <w:r w:rsidRPr="00CB43F4">
        <w:rPr>
          <w:rFonts w:eastAsia="Calibri"/>
          <w:color w:val="auto"/>
          <w:sz w:val="22"/>
          <w:szCs w:val="22"/>
          <w:lang w:eastAsia="en-US"/>
        </w:rPr>
        <w:t xml:space="preserve">. College of Policing. Available at: </w:t>
      </w:r>
      <w:hyperlink r:id="rId55" w:history="1">
        <w:r w:rsidRPr="00CB43F4">
          <w:rPr>
            <w:rFonts w:eastAsia="Calibri"/>
            <w:color w:val="0563C1"/>
            <w:sz w:val="22"/>
            <w:szCs w:val="22"/>
            <w:u w:val="single"/>
            <w:lang w:eastAsia="en-US"/>
          </w:rPr>
          <w:t>https://www.college.police.uk/guidance/vulnerability-related-risks/introduction-vulnerability-related-risk</w:t>
        </w:r>
      </w:hyperlink>
      <w:r w:rsidRPr="00CB43F4">
        <w:rPr>
          <w:rFonts w:eastAsia="Calibri"/>
          <w:color w:val="auto"/>
          <w:sz w:val="22"/>
          <w:szCs w:val="22"/>
          <w:lang w:eastAsia="en-US"/>
        </w:rPr>
        <w:t xml:space="preserve"> [Accessed 6 June 2022].</w:t>
      </w:r>
    </w:p>
    <w:p w14:paraId="05B30D8C"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411B7725"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 xml:space="preserve">College of Policing (2021a) </w:t>
      </w:r>
      <w:r w:rsidRPr="00CB43F4">
        <w:rPr>
          <w:rFonts w:eastAsia="Calibri"/>
          <w:i/>
          <w:iCs/>
          <w:color w:val="auto"/>
          <w:sz w:val="22"/>
          <w:szCs w:val="22"/>
          <w:lang w:eastAsia="en-US"/>
        </w:rPr>
        <w:t>Adults at risk</w:t>
      </w:r>
      <w:r w:rsidRPr="00CB43F4">
        <w:rPr>
          <w:rFonts w:eastAsia="Calibri"/>
          <w:color w:val="auto"/>
          <w:sz w:val="22"/>
          <w:szCs w:val="22"/>
          <w:lang w:eastAsia="en-US"/>
        </w:rPr>
        <w:t xml:space="preserve">. College of Policing. Available at: </w:t>
      </w:r>
      <w:hyperlink r:id="rId56" w:history="1">
        <w:r w:rsidRPr="00CB43F4">
          <w:rPr>
            <w:rFonts w:eastAsia="Calibri"/>
            <w:color w:val="0563C1"/>
            <w:sz w:val="22"/>
            <w:szCs w:val="22"/>
            <w:u w:val="single"/>
            <w:lang w:eastAsia="en-US"/>
          </w:rPr>
          <w:t>https://www.college.police.uk/app/major-investigation-and-public-protection/adults-risk</w:t>
        </w:r>
      </w:hyperlink>
      <w:r w:rsidRPr="00CB43F4">
        <w:rPr>
          <w:rFonts w:eastAsia="Calibri"/>
          <w:color w:val="auto"/>
          <w:sz w:val="22"/>
          <w:szCs w:val="22"/>
          <w:lang w:eastAsia="en-US"/>
        </w:rPr>
        <w:t xml:space="preserve"> [Accessed 8 June 2022].</w:t>
      </w:r>
    </w:p>
    <w:p w14:paraId="55B6A4A0"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5AD67453"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 xml:space="preserve">Department of Health and Social Care (2000) </w:t>
      </w:r>
      <w:r w:rsidRPr="00CB43F4">
        <w:rPr>
          <w:rFonts w:eastAsia="Calibri"/>
          <w:i/>
          <w:iCs/>
          <w:color w:val="auto"/>
          <w:sz w:val="22"/>
          <w:szCs w:val="22"/>
          <w:lang w:eastAsia="en-US"/>
        </w:rPr>
        <w:t>No secrets: Guidance on developing and implementing multi-agency policies and procedures to protect vulnerable adults from abuse</w:t>
      </w:r>
      <w:r w:rsidRPr="00CB43F4">
        <w:rPr>
          <w:rFonts w:eastAsia="Calibri"/>
          <w:color w:val="auto"/>
          <w:sz w:val="22"/>
          <w:szCs w:val="22"/>
          <w:lang w:eastAsia="en-US"/>
        </w:rPr>
        <w:t xml:space="preserve">. pp.7-11. Available at: </w:t>
      </w:r>
      <w:hyperlink r:id="rId57" w:history="1">
        <w:r w:rsidRPr="00CB43F4">
          <w:rPr>
            <w:rFonts w:eastAsia="Calibri"/>
            <w:color w:val="0563C1"/>
            <w:sz w:val="22"/>
            <w:szCs w:val="22"/>
            <w:u w:val="single"/>
            <w:lang w:eastAsia="en-US"/>
          </w:rPr>
          <w:t>https://assets.publishing.service.gov.uk/government/uploads/system/uploads/attachment_data/file/194272/No_secrets__guidance_on_developing_and_implementing_multi-agency_policies_and_procedures_to_protect_vulnerable_adults_from_abuse.pdf</w:t>
        </w:r>
      </w:hyperlink>
      <w:r w:rsidRPr="00CB43F4">
        <w:rPr>
          <w:rFonts w:eastAsia="Calibri"/>
          <w:color w:val="auto"/>
          <w:sz w:val="22"/>
          <w:szCs w:val="22"/>
          <w:lang w:eastAsia="en-US"/>
        </w:rPr>
        <w:t xml:space="preserve"> [Accessed 6 June 2022].</w:t>
      </w:r>
    </w:p>
    <w:p w14:paraId="70398B10"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6A98C8C4"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 xml:space="preserve">Domestic Abuse Services (2022) </w:t>
      </w:r>
      <w:r w:rsidRPr="00CB43F4">
        <w:rPr>
          <w:rFonts w:eastAsia="Calibri"/>
          <w:i/>
          <w:iCs/>
          <w:color w:val="auto"/>
          <w:sz w:val="22"/>
          <w:szCs w:val="22"/>
          <w:lang w:eastAsia="en-US"/>
        </w:rPr>
        <w:t>MARAC</w:t>
      </w:r>
      <w:r w:rsidRPr="00CB43F4">
        <w:rPr>
          <w:rFonts w:eastAsia="Calibri"/>
          <w:color w:val="auto"/>
          <w:sz w:val="22"/>
          <w:szCs w:val="22"/>
          <w:lang w:eastAsia="en-US"/>
        </w:rPr>
        <w:t xml:space="preserve">. Domesticabuseservices.org.uk. Available at: </w:t>
      </w:r>
      <w:hyperlink r:id="rId58" w:history="1">
        <w:r w:rsidRPr="00CB43F4">
          <w:rPr>
            <w:rFonts w:eastAsia="Calibri"/>
            <w:color w:val="0563C1"/>
            <w:sz w:val="22"/>
            <w:szCs w:val="22"/>
            <w:u w:val="single"/>
            <w:lang w:eastAsia="en-US"/>
          </w:rPr>
          <w:t>https://www.domesticabuseservices.org.uk/latest-news-articles-advice/marac/</w:t>
        </w:r>
      </w:hyperlink>
      <w:r w:rsidRPr="00CB43F4">
        <w:rPr>
          <w:rFonts w:eastAsia="Calibri"/>
          <w:color w:val="auto"/>
          <w:sz w:val="22"/>
          <w:szCs w:val="22"/>
          <w:lang w:eastAsia="en-US"/>
        </w:rPr>
        <w:t xml:space="preserve"> [Accessed 8 June 2022].</w:t>
      </w:r>
    </w:p>
    <w:p w14:paraId="025AED09"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75441FF9"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 xml:space="preserve">Dorset Police (2003). </w:t>
      </w:r>
      <w:r w:rsidRPr="00CB43F4">
        <w:rPr>
          <w:rFonts w:eastAsia="Calibri"/>
          <w:i/>
          <w:iCs/>
          <w:color w:val="auto"/>
          <w:sz w:val="22"/>
          <w:szCs w:val="22"/>
          <w:lang w:eastAsia="en-US"/>
        </w:rPr>
        <w:t>Repeat Victimisation Policy and Procedure</w:t>
      </w:r>
      <w:r w:rsidRPr="00CB43F4">
        <w:rPr>
          <w:rFonts w:eastAsia="Calibri"/>
          <w:color w:val="auto"/>
          <w:sz w:val="22"/>
          <w:szCs w:val="22"/>
          <w:lang w:eastAsia="en-US"/>
        </w:rPr>
        <w:t xml:space="preserve">. p.8. Available at: </w:t>
      </w:r>
      <w:hyperlink r:id="rId59" w:history="1">
        <w:r w:rsidRPr="00CB43F4">
          <w:rPr>
            <w:rFonts w:eastAsia="Calibri"/>
            <w:color w:val="0563C1"/>
            <w:sz w:val="22"/>
            <w:szCs w:val="22"/>
            <w:u w:val="single"/>
            <w:lang w:eastAsia="en-US"/>
          </w:rPr>
          <w:t>https://www.dorset.police.uk/media/54580/repeat-victimisation-p19-2003-v110-external.pdf#</w:t>
        </w:r>
      </w:hyperlink>
      <w:r w:rsidRPr="00CB43F4">
        <w:rPr>
          <w:rFonts w:eastAsia="Calibri"/>
          <w:color w:val="auto"/>
          <w:sz w:val="22"/>
          <w:szCs w:val="22"/>
          <w:lang w:eastAsia="en-US"/>
        </w:rPr>
        <w:t xml:space="preserve"> [Accessed 6 June 2022].</w:t>
      </w:r>
    </w:p>
    <w:p w14:paraId="518B8C05"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71877042"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Farrell, G. (1995) ‘Preventing Repeat Victimization’, Crime and justice (Chicago, Ill.), 19, pp. 469–534. doi:10.1086/449236.</w:t>
      </w:r>
    </w:p>
    <w:p w14:paraId="73EA8903"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07972DCE"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 xml:space="preserve">Greater Manchester Police (2017) </w:t>
      </w:r>
      <w:r w:rsidRPr="00CB43F4">
        <w:rPr>
          <w:rFonts w:eastAsia="Calibri"/>
          <w:i/>
          <w:iCs/>
          <w:color w:val="auto"/>
          <w:sz w:val="22"/>
          <w:szCs w:val="22"/>
          <w:lang w:eastAsia="en-US"/>
        </w:rPr>
        <w:t>Incident Response Policy</w:t>
      </w:r>
      <w:r w:rsidRPr="00CB43F4">
        <w:rPr>
          <w:rFonts w:eastAsia="Calibri"/>
          <w:color w:val="auto"/>
          <w:sz w:val="22"/>
          <w:szCs w:val="22"/>
          <w:lang w:eastAsia="en-US"/>
        </w:rPr>
        <w:t xml:space="preserve">. p.3. Available at: </w:t>
      </w:r>
      <w:hyperlink r:id="rId60" w:history="1">
        <w:r w:rsidRPr="00CB43F4">
          <w:rPr>
            <w:rFonts w:eastAsia="Calibri"/>
            <w:color w:val="0563C1"/>
            <w:sz w:val="22"/>
            <w:szCs w:val="22"/>
            <w:u w:val="single"/>
            <w:lang w:eastAsia="en-US"/>
          </w:rPr>
          <w:t>https://www.gmp.police.uk/SysSiteAssets/foi-media/greater-manchester/policies/incident-response-policy-v1.3-july-2017-redacted.pdf</w:t>
        </w:r>
      </w:hyperlink>
      <w:r w:rsidRPr="00CB43F4">
        <w:rPr>
          <w:rFonts w:eastAsia="Calibri"/>
          <w:color w:val="auto"/>
          <w:sz w:val="22"/>
          <w:szCs w:val="22"/>
          <w:lang w:eastAsia="en-US"/>
        </w:rPr>
        <w:t xml:space="preserve"> [Accessed 7 June 2022].</w:t>
      </w:r>
    </w:p>
    <w:p w14:paraId="4DC4F919"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189515F1"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 xml:space="preserve">Home Office (2020) </w:t>
      </w:r>
      <w:r w:rsidRPr="00CB43F4">
        <w:rPr>
          <w:rFonts w:eastAsia="Calibri"/>
          <w:i/>
          <w:iCs/>
          <w:color w:val="auto"/>
          <w:sz w:val="22"/>
          <w:szCs w:val="22"/>
          <w:lang w:eastAsia="en-US"/>
        </w:rPr>
        <w:t>Domestic Violence Protection Notices (DVPNs) and Domestic Violence Protection Orders (DVPOs) guidance</w:t>
      </w:r>
      <w:r w:rsidRPr="00CB43F4">
        <w:rPr>
          <w:rFonts w:eastAsia="Calibri"/>
          <w:color w:val="auto"/>
          <w:sz w:val="22"/>
          <w:szCs w:val="22"/>
          <w:lang w:eastAsia="en-US"/>
        </w:rPr>
        <w:t xml:space="preserve">. GOV.UK. Available at: </w:t>
      </w:r>
      <w:hyperlink r:id="rId61" w:history="1">
        <w:r w:rsidRPr="00CB43F4">
          <w:rPr>
            <w:rFonts w:eastAsia="Calibri"/>
            <w:color w:val="0563C1"/>
            <w:sz w:val="22"/>
            <w:szCs w:val="22"/>
            <w:u w:val="single"/>
            <w:lang w:eastAsia="en-US"/>
          </w:rPr>
          <w:t>https://www.gov.uk/government/publications/domestic-violence-protection-orders/domestic-violence-protection-notices-dvpns-and-domestic-violence-protection-orders-dvpos-guidance-sections-24-33-crime-and-security-act-2010</w:t>
        </w:r>
      </w:hyperlink>
      <w:r w:rsidRPr="00CB43F4">
        <w:rPr>
          <w:rFonts w:eastAsia="Calibri"/>
          <w:color w:val="auto"/>
          <w:sz w:val="22"/>
          <w:szCs w:val="22"/>
          <w:lang w:eastAsia="en-US"/>
        </w:rPr>
        <w:t xml:space="preserve"> [Accessed 8 June 2022].</w:t>
      </w:r>
    </w:p>
    <w:p w14:paraId="2A777A92"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44A5F979"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 xml:space="preserve">Independent Office for Police Conduct (2020) </w:t>
      </w:r>
      <w:r w:rsidRPr="00CB43F4">
        <w:rPr>
          <w:rFonts w:eastAsia="Calibri"/>
          <w:i/>
          <w:iCs/>
          <w:color w:val="auto"/>
          <w:sz w:val="22"/>
          <w:szCs w:val="22"/>
          <w:lang w:eastAsia="en-US"/>
        </w:rPr>
        <w:t>Welfare and vulnerable people</w:t>
      </w:r>
      <w:r w:rsidRPr="00CB43F4">
        <w:rPr>
          <w:rFonts w:eastAsia="Calibri"/>
          <w:color w:val="auto"/>
          <w:sz w:val="22"/>
          <w:szCs w:val="22"/>
          <w:lang w:eastAsia="en-US"/>
        </w:rPr>
        <w:t xml:space="preserve">. Policeconduct.gov.uk. Available at: </w:t>
      </w:r>
      <w:hyperlink r:id="rId62" w:history="1">
        <w:r w:rsidRPr="00CB43F4">
          <w:rPr>
            <w:rFonts w:eastAsia="Calibri"/>
            <w:color w:val="0563C1"/>
            <w:sz w:val="22"/>
            <w:szCs w:val="22"/>
            <w:u w:val="single"/>
            <w:lang w:eastAsia="en-US"/>
          </w:rPr>
          <w:t>https://www.policeconduct.gov.uk/research-and-learning/key-areas-work/welfare-and-vulnerable-people</w:t>
        </w:r>
      </w:hyperlink>
      <w:r w:rsidRPr="00CB43F4">
        <w:rPr>
          <w:rFonts w:eastAsia="Calibri"/>
          <w:color w:val="auto"/>
          <w:sz w:val="22"/>
          <w:szCs w:val="22"/>
          <w:lang w:eastAsia="en-US"/>
        </w:rPr>
        <w:t xml:space="preserve"> [Accessed 8 June 2022].</w:t>
      </w:r>
    </w:p>
    <w:p w14:paraId="2E6066E8"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4358A4DA"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lastRenderedPageBreak/>
        <w:t xml:space="preserve">Mental Health Foundation (2022) </w:t>
      </w:r>
      <w:r w:rsidRPr="00CB43F4">
        <w:rPr>
          <w:rFonts w:eastAsia="Calibri"/>
          <w:i/>
          <w:iCs/>
          <w:color w:val="auto"/>
          <w:sz w:val="22"/>
          <w:szCs w:val="22"/>
          <w:lang w:eastAsia="en-US"/>
        </w:rPr>
        <w:t>Alcohol and mental health</w:t>
      </w:r>
      <w:r w:rsidRPr="00CB43F4">
        <w:rPr>
          <w:rFonts w:eastAsia="Calibri"/>
          <w:color w:val="auto"/>
          <w:sz w:val="22"/>
          <w:szCs w:val="22"/>
          <w:lang w:eastAsia="en-US"/>
        </w:rPr>
        <w:t xml:space="preserve">. Mental Health Foundation. Available at: </w:t>
      </w:r>
      <w:hyperlink r:id="rId63" w:history="1">
        <w:r w:rsidRPr="00CB43F4">
          <w:rPr>
            <w:rFonts w:eastAsia="Calibri"/>
            <w:color w:val="0563C1"/>
            <w:sz w:val="22"/>
            <w:szCs w:val="22"/>
            <w:u w:val="single"/>
            <w:lang w:eastAsia="en-US"/>
          </w:rPr>
          <w:t>https://www.mentalhealth.org.uk/a-to-z/a/alcohol-and-mental-health</w:t>
        </w:r>
      </w:hyperlink>
      <w:r w:rsidRPr="00CB43F4">
        <w:rPr>
          <w:rFonts w:eastAsia="Calibri"/>
          <w:color w:val="auto"/>
          <w:sz w:val="22"/>
          <w:szCs w:val="22"/>
          <w:lang w:eastAsia="en-US"/>
        </w:rPr>
        <w:t xml:space="preserve"> [Accessed 7 June 2022].</w:t>
      </w:r>
    </w:p>
    <w:p w14:paraId="3AB91F7B"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6AF974D1"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 xml:space="preserve">Rehabs UK (2022) </w:t>
      </w:r>
      <w:r w:rsidRPr="00CB43F4">
        <w:rPr>
          <w:rFonts w:eastAsia="Calibri"/>
          <w:i/>
          <w:iCs/>
          <w:color w:val="auto"/>
          <w:sz w:val="22"/>
          <w:szCs w:val="22"/>
          <w:lang w:eastAsia="en-US"/>
        </w:rPr>
        <w:t>Addiction Rehab &amp; Recovery Support.</w:t>
      </w:r>
      <w:r w:rsidRPr="00CB43F4">
        <w:rPr>
          <w:rFonts w:eastAsia="Calibri"/>
          <w:color w:val="auto"/>
          <w:sz w:val="22"/>
          <w:szCs w:val="22"/>
          <w:lang w:eastAsia="en-US"/>
        </w:rPr>
        <w:t xml:space="preserve"> Rehabsuk.com. Available at: </w:t>
      </w:r>
      <w:hyperlink r:id="rId64" w:history="1">
        <w:r w:rsidRPr="00CB43F4">
          <w:rPr>
            <w:rFonts w:eastAsia="Calibri"/>
            <w:color w:val="0563C1"/>
            <w:sz w:val="22"/>
            <w:szCs w:val="22"/>
            <w:u w:val="single"/>
            <w:lang w:eastAsia="en-US"/>
          </w:rPr>
          <w:t>https://rehabsuk.com/rehabs/alcohol/</w:t>
        </w:r>
      </w:hyperlink>
      <w:r w:rsidRPr="00CB43F4">
        <w:rPr>
          <w:rFonts w:eastAsia="Calibri"/>
          <w:color w:val="auto"/>
          <w:sz w:val="22"/>
          <w:szCs w:val="22"/>
          <w:lang w:eastAsia="en-US"/>
        </w:rPr>
        <w:t xml:space="preserve">  [Accessed 7 June 2022].</w:t>
      </w:r>
    </w:p>
    <w:p w14:paraId="7F036C89"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4167B24A"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Reisig, M.D. and Kane, R.J. (2019) The Oxford handbook of police and policing. Edited by M.D. Reisig and R.J. Kane. Oxford ;: Oxford University Press</w:t>
      </w:r>
    </w:p>
    <w:p w14:paraId="422F97BA"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36DC820E"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 xml:space="preserve">The Freedom Programme (2018) </w:t>
      </w:r>
      <w:r w:rsidRPr="00CB43F4">
        <w:rPr>
          <w:rFonts w:eastAsia="Calibri"/>
          <w:i/>
          <w:iCs/>
          <w:color w:val="auto"/>
          <w:sz w:val="22"/>
          <w:szCs w:val="22"/>
          <w:lang w:eastAsia="en-US"/>
        </w:rPr>
        <w:t>What is the Freedom Programme?</w:t>
      </w:r>
      <w:r w:rsidRPr="00CB43F4">
        <w:rPr>
          <w:rFonts w:eastAsia="Calibri"/>
          <w:color w:val="auto"/>
          <w:sz w:val="22"/>
          <w:szCs w:val="22"/>
          <w:lang w:eastAsia="en-US"/>
        </w:rPr>
        <w:t xml:space="preserve">. The Freedom Programme. Available at: </w:t>
      </w:r>
      <w:hyperlink r:id="rId65" w:history="1">
        <w:r w:rsidRPr="00CB43F4">
          <w:rPr>
            <w:rFonts w:eastAsia="Calibri"/>
            <w:color w:val="0563C1"/>
            <w:sz w:val="22"/>
            <w:szCs w:val="22"/>
            <w:u w:val="single"/>
            <w:lang w:eastAsia="en-US"/>
          </w:rPr>
          <w:t>https://www.freedomprogramme.co.uk/</w:t>
        </w:r>
      </w:hyperlink>
      <w:r w:rsidRPr="00CB43F4">
        <w:rPr>
          <w:rFonts w:eastAsia="Calibri"/>
          <w:color w:val="auto"/>
          <w:sz w:val="22"/>
          <w:szCs w:val="22"/>
          <w:lang w:eastAsia="en-US"/>
        </w:rPr>
        <w:t xml:space="preserve"> [Accessed 8 June 2022].</w:t>
      </w:r>
    </w:p>
    <w:p w14:paraId="44761180"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008A411B"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Turner, E., Medina, J. and Brown, G. (2019) ‘Dashing Hopes? The Predictive Accuracy of Domestic Abuse Risk Assessment by Police’, </w:t>
      </w:r>
      <w:r w:rsidRPr="00CB43F4">
        <w:rPr>
          <w:rFonts w:eastAsia="Calibri"/>
          <w:i/>
          <w:iCs/>
          <w:color w:val="auto"/>
          <w:sz w:val="22"/>
          <w:szCs w:val="22"/>
          <w:lang w:eastAsia="en-US"/>
        </w:rPr>
        <w:t>British journal of criminology</w:t>
      </w:r>
      <w:r w:rsidRPr="00CB43F4">
        <w:rPr>
          <w:rFonts w:eastAsia="Calibri"/>
          <w:color w:val="auto"/>
          <w:sz w:val="22"/>
          <w:szCs w:val="22"/>
          <w:lang w:eastAsia="en-US"/>
        </w:rPr>
        <w:t>, 59(5), pp. 1013–1034. doi:10.1093/bjc/azy074.</w:t>
      </w:r>
    </w:p>
    <w:p w14:paraId="52F067F9" w14:textId="77777777" w:rsidR="00CB43F4" w:rsidRPr="00CB43F4" w:rsidRDefault="00CB43F4" w:rsidP="00CB43F4">
      <w:pPr>
        <w:overflowPunct/>
        <w:autoSpaceDE/>
        <w:autoSpaceDN/>
        <w:adjustRightInd/>
        <w:textAlignment w:val="auto"/>
        <w:rPr>
          <w:rFonts w:eastAsia="Calibri"/>
          <w:color w:val="auto"/>
          <w:sz w:val="22"/>
          <w:szCs w:val="22"/>
          <w:lang w:eastAsia="en-US"/>
        </w:rPr>
      </w:pPr>
    </w:p>
    <w:p w14:paraId="6BD19A04" w14:textId="77777777" w:rsidR="00CB43F4" w:rsidRPr="00CB43F4" w:rsidRDefault="00CB43F4" w:rsidP="00CB43F4">
      <w:pPr>
        <w:overflowPunct/>
        <w:autoSpaceDE/>
        <w:autoSpaceDN/>
        <w:adjustRightInd/>
        <w:textAlignment w:val="auto"/>
        <w:rPr>
          <w:rFonts w:eastAsia="Calibri"/>
          <w:color w:val="auto"/>
          <w:sz w:val="22"/>
          <w:szCs w:val="22"/>
          <w:lang w:eastAsia="en-US"/>
        </w:rPr>
      </w:pPr>
      <w:r w:rsidRPr="00CB43F4">
        <w:rPr>
          <w:rFonts w:eastAsia="Calibri"/>
          <w:color w:val="auto"/>
          <w:sz w:val="22"/>
          <w:szCs w:val="22"/>
          <w:lang w:eastAsia="en-US"/>
        </w:rPr>
        <w:t xml:space="preserve">Victim Support (2022) </w:t>
      </w:r>
      <w:r w:rsidRPr="00CB43F4">
        <w:rPr>
          <w:rFonts w:eastAsia="Calibri"/>
          <w:i/>
          <w:iCs/>
          <w:color w:val="auto"/>
          <w:sz w:val="22"/>
          <w:szCs w:val="22"/>
          <w:lang w:eastAsia="en-US"/>
        </w:rPr>
        <w:t>Domestic Abuse</w:t>
      </w:r>
      <w:r w:rsidRPr="00CB43F4">
        <w:rPr>
          <w:rFonts w:eastAsia="Calibri"/>
          <w:color w:val="auto"/>
          <w:sz w:val="22"/>
          <w:szCs w:val="22"/>
          <w:lang w:eastAsia="en-US"/>
        </w:rPr>
        <w:t xml:space="preserve">. Victim Support. Available at: </w:t>
      </w:r>
      <w:hyperlink r:id="rId66" w:history="1">
        <w:r w:rsidRPr="00CB43F4">
          <w:rPr>
            <w:rFonts w:eastAsia="Calibri"/>
            <w:color w:val="0563C1"/>
            <w:sz w:val="22"/>
            <w:szCs w:val="22"/>
            <w:u w:val="single"/>
            <w:lang w:eastAsia="en-US"/>
          </w:rPr>
          <w:t>https://www.victimsupport.org.uk/crime-info/types-crime/domestic-abuse/</w:t>
        </w:r>
      </w:hyperlink>
      <w:r w:rsidRPr="00CB43F4">
        <w:rPr>
          <w:rFonts w:eastAsia="Calibri"/>
          <w:color w:val="auto"/>
          <w:sz w:val="22"/>
          <w:szCs w:val="22"/>
          <w:lang w:eastAsia="en-US"/>
        </w:rPr>
        <w:t xml:space="preserve"> [Accessed 7 June 2022].</w:t>
      </w:r>
    </w:p>
    <w:p w14:paraId="6A8AA445" w14:textId="4A6D5C5C"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3DDEFC8"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r w:rsidRPr="00F02827">
        <w:rPr>
          <w:rFonts w:eastAsia="Calibri"/>
          <w:color w:val="auto"/>
          <w:sz w:val="22"/>
          <w:szCs w:val="22"/>
          <w:lang w:eastAsia="en-US"/>
        </w:rPr>
        <w:t>In Britain, intelligence gathering is exactingly well defined that is governmentally approved (Foley, 2009). Bryant and Bryant (2020) consider intelligence gathering as difficult to define but essentially amounts to information that is sourced from a variety of areas and evaluated in the course of an investigation. The incident explored within this essay is related to violence perpetrated by a known sex offender, released on licence and is still under investigation. It is generally considered that sex offenders prey on the vulnerable and are usually male (France, 2020). Throughout the course of the investigation, intelligence is gathered directly from the victim and the community, and electronically via CCTV, doorbell footage and from the victim’s mobile phone. This is balanced through the right of privacy (UK Legislation, 2022b) for the victim but as a means to gather evidence and intelligence about the offender. The risks to both the victim and me were evaluated by conducting a DASH risk assessment and utilising previous investigation intelligence from a police database known as NICHE.</w:t>
      </w:r>
    </w:p>
    <w:p w14:paraId="34449576"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4626A67C"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r w:rsidRPr="00F02827">
        <w:rPr>
          <w:rFonts w:eastAsia="Calibri"/>
          <w:color w:val="auto"/>
          <w:sz w:val="22"/>
          <w:szCs w:val="22"/>
          <w:lang w:eastAsia="en-US"/>
        </w:rPr>
        <w:t xml:space="preserve">I was allocated incident that was graded as a Grade 2 Priority Response after a female (further referred to as the victim) called police to report unwanted contact from her ex-partner (further referred to as the offender). Greater Manchester Police (2017) explain a Grade 2 Priority Response as an incident requiring attendance within one hour of receiving the call. On attendance, the victim stated that she had broken up with the offender in recent months after suffering domestic violence throughout the relationship that resulted in rape. The sexual offences were being investigated at that time and due to previous convictions for domestic violence, there was a restraining order in place that prevented the offender from contacted the victim by any means. The victim disclosed that the offender had been calling her over the last </w:t>
      </w:r>
      <w:r w:rsidRPr="00F02827">
        <w:rPr>
          <w:rFonts w:eastAsia="Calibri"/>
          <w:color w:val="auto"/>
          <w:sz w:val="22"/>
          <w:szCs w:val="22"/>
          <w:lang w:eastAsia="en-US"/>
        </w:rPr>
        <w:lastRenderedPageBreak/>
        <w:t>few nights from withheld numbers, turned up at her place of work on her day off, sent her audio notes asking to see her before threatening her when she did not reply and attending her address. The victim added that she had been staying with a friend as she was in fear of the offender and when she returned home for some belonging, a neighbour had informed her that the offender had been banging on the door the previous night. Due to the disclosure, I reasonably believed the offender had committed breach of restraining order issued under Section 12 of the Domestic Violence, Crime and Victims Act 2004 (Crown Prosecution Service, 2017) and stalking involving fear of violence under Section 4a Protection from Harassment Act 1997 (UK Legislation, 2022a). Safer Futures (2022) defines stalking as a “</w:t>
      </w:r>
      <w:r w:rsidRPr="00F02827">
        <w:rPr>
          <w:rFonts w:eastAsia="Calibri"/>
          <w:i/>
          <w:color w:val="auto"/>
          <w:sz w:val="22"/>
          <w:szCs w:val="22"/>
          <w:lang w:eastAsia="en-US"/>
        </w:rPr>
        <w:t>pattern of fixated and obsessive behaviour which is repeated, persistent, intrusive and causes fear of violence or engenders alarm and distress in the victim</w:t>
      </w:r>
      <w:r w:rsidRPr="00F02827">
        <w:rPr>
          <w:rFonts w:eastAsia="Calibri"/>
          <w:color w:val="auto"/>
          <w:sz w:val="22"/>
          <w:szCs w:val="22"/>
          <w:lang w:eastAsia="en-US"/>
        </w:rPr>
        <w:t>”. Rosenfeld (2004) explains that the most common fear amongst victims of stalking is that of violence. Hadley (2019) links domestic abuse to stalking when the relationship has ended, further linking the likelihood of violence. The Femicide Census (2020) explain the risk of a man killing a female is at its highest point in the months immediately after the breakup of the relationship. This suggests that for the victim, the risk to her safety have increased even more so that when she was in the relationship. The victim informed me that she had a support worker through Women’s Aid and gave me her details. I contacted the support worker and began to arrange to relocate the victim in to emergency refuge that was out of the area in order to safeguard her. I completed at Domestic Abuse Stalking and Harassment (DASH) risk assessment in order to understand the level of risk. Safelives (2022) explain a DASH is a series of questions asked by police officers in order to understand the level of risk to the victim and make the relevant referrals; based on the information I received, I deemed the victim as high risk. Once I had gained further details of the offences involved by means of a victim statement, I identified further lines of enquires. I tasked local Police Community Support Officers (PCSOs) to collect CCTV from the victims place of work whist I conducted door to door enquires and collected statements and ring doorbell footage. The audio notes, phone numbers used to send them and call logs would provide evidence. Usually I would seize their phone in order to download the data required; however, due to the victim being high risk, I wanted her to have her mobile phone on her so that she could call 999 in case of an emergency. I sent a NICE Investigate link to the victims phone so that she could follow a instructions to upload all the information required. This would allow me to obtain data from the mobile phone to provide evidence to the offences. NICE (2022) explain NICE Investigate as a software used by police to obtain data for digital devices in order to progress investigations. Once the data has been obtained, I am able to conduct use phone numbers involved to identify: originating phone numbers that have called, texted or sent audio messages to the victims phone. The College of Policing (2021) explain that officers “</w:t>
      </w:r>
      <w:r w:rsidRPr="00F02827">
        <w:rPr>
          <w:rFonts w:eastAsia="Calibri"/>
          <w:i/>
          <w:color w:val="auto"/>
          <w:sz w:val="22"/>
          <w:szCs w:val="22"/>
          <w:lang w:eastAsia="en-US"/>
        </w:rPr>
        <w:t>obtain material from digital devices that complies with legislation and balances people’s rights to privacy against the absolute right of all individuals to a fair trial</w:t>
      </w:r>
      <w:r w:rsidRPr="00F02827">
        <w:rPr>
          <w:rFonts w:eastAsia="Calibri"/>
          <w:color w:val="auto"/>
          <w:sz w:val="22"/>
          <w:szCs w:val="22"/>
          <w:lang w:eastAsia="en-US"/>
        </w:rPr>
        <w:t>”. This suggests that I may be able to see information that is unrelated to the offence. Article 8 of the Human Rights Act 1998 states that “</w:t>
      </w:r>
      <w:r w:rsidRPr="00F02827">
        <w:rPr>
          <w:rFonts w:eastAsia="Calibri"/>
          <w:i/>
          <w:color w:val="auto"/>
          <w:sz w:val="22"/>
          <w:szCs w:val="22"/>
          <w:lang w:eastAsia="en-US"/>
        </w:rPr>
        <w:t>everyone has the right to respect for his private and family life</w:t>
      </w:r>
      <w:r w:rsidRPr="00F02827">
        <w:rPr>
          <w:rFonts w:eastAsia="Calibri"/>
          <w:color w:val="auto"/>
          <w:sz w:val="22"/>
          <w:szCs w:val="22"/>
          <w:lang w:eastAsia="en-US"/>
        </w:rPr>
        <w:t xml:space="preserve">” (UK Legislation, 2022b). I assured the victim that the information that I would be looking at would be in relation to the offences disclosed and that I would not be looking though any additional data that was not relevant to the investigation.  </w:t>
      </w:r>
    </w:p>
    <w:p w14:paraId="53CDBBFC"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r w:rsidRPr="00F02827">
        <w:rPr>
          <w:rFonts w:eastAsia="Calibri"/>
          <w:color w:val="auto"/>
          <w:sz w:val="22"/>
          <w:szCs w:val="22"/>
          <w:lang w:eastAsia="en-US"/>
        </w:rPr>
        <w:t xml:space="preserve">In order to safeguard the victim, I wanted to detain and arrest the offender as soon as possible. Until the refuge was ready, I took the victim to a friend’s house and gave her and her friend a safety plan should the offender attend the address; I also asked neighbours to call 999 should the offender return to the address before I had located him. I conducted person and address checks through our local systems called NICHE prior to my arrival and the offender was living at a house of multiple occupancy (HMO) nearby. NICHE also informed me the offender was a registered sex offender for sexual offences that were not related to the victim and that his licence conditions meant that he had to live at the designated address which was staffed 24 hours a day. I was also able to obtain further addresses from previous investigations linked to the offender such as: previous addresses, associates addresses and previous places the offender had been arrested. In addition to addresses, I was able to gain information of the offenders warning markers. The offender had markers for high risk for sexual offences, </w:t>
      </w:r>
      <w:r w:rsidRPr="00F02827">
        <w:rPr>
          <w:rFonts w:eastAsia="Calibri"/>
          <w:color w:val="auto"/>
          <w:sz w:val="22"/>
          <w:szCs w:val="22"/>
          <w:lang w:eastAsia="en-US"/>
        </w:rPr>
        <w:lastRenderedPageBreak/>
        <w:t>violence, weapons, drugs and assault police. As I am a petite female officer, the offenders warning markers suggest that he may pose a threat to me so I requested officers from my shift conduct arrest enquires with me. The offender was not located at any of the addresses and the staff HMO stated that the offender had not been at the address for over a week and had been told he was living in tent around the town. Whilst I was researching the offender on NICHE, I noticed information from previous investigations that Violent and Sex Offender Database (ViSOR) team must be notified if the offender was not living at the HMO address, as this would be in breach of his licence conditions. College of policing (2017) infer ViSOR is a “</w:t>
      </w:r>
      <w:r w:rsidRPr="00F02827">
        <w:rPr>
          <w:rFonts w:eastAsia="Calibri"/>
          <w:i/>
          <w:color w:val="auto"/>
          <w:sz w:val="22"/>
          <w:szCs w:val="22"/>
          <w:lang w:eastAsia="en-US"/>
        </w:rPr>
        <w:t>is a national multi-agency database recognised as a key tool in the effective management of offenders and other persons posing a risk of harm to the public</w:t>
      </w:r>
      <w:r w:rsidRPr="00F02827">
        <w:rPr>
          <w:rFonts w:eastAsia="Calibri"/>
          <w:color w:val="auto"/>
          <w:sz w:val="22"/>
          <w:szCs w:val="22"/>
          <w:lang w:eastAsia="en-US"/>
        </w:rPr>
        <w:t xml:space="preserve">”. At this point, I updated ViSOR of his breach of licence and due to there being no trace of the offender, I spent some time looking around the local area where homeless people gather; the offender could not be located and nobody in the homeless community knew the offender. I applied for information around the collection of any benefit money via the Department of Working Pensions under Schedule 2 Para 2(1) of the Data Protection Act 2018 (UK Legislation, 2022c); the results of the request informed me that the offender was not collecting benefits. After conducting multiple address checks, patrols around popular homeless camps and contacting the Department of Working Pensions, I felt like I was exhausting my options to detain and arrest the offender. With the victim safely living in a new location and engaging with partner agencies such as Women’s Aid, I informed her that I was unable to locate the offender and my next move was to put the offender out as wanted. I created a case file for the offences the offender is to be arrested for and gained authorisation from my Inspector to put the male out as wanted; however, up until now the offender has not been located.  </w:t>
      </w:r>
    </w:p>
    <w:p w14:paraId="16B1A3B1"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p>
    <w:p w14:paraId="37E17B6B"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r w:rsidRPr="00F02827">
        <w:rPr>
          <w:rFonts w:eastAsia="Calibri"/>
          <w:color w:val="auto"/>
          <w:sz w:val="22"/>
          <w:szCs w:val="22"/>
          <w:lang w:eastAsia="en-US"/>
        </w:rPr>
        <w:t xml:space="preserve">In conclusion, I attended an incident where a victim was receiving unwanted contact from an ex-partner that had been violent towards her, raped her and was deemed a Grade 2 Priority that required response within one hour (Greater Manchester Police, 2017). I gathered further information, identifying through NICHE that the offender was a registered sex offender, was in breach of a restraining order, had other markers for violence, weapons, police assault and had absconded from his HMO, further breaching his licence. Previous investigations identified that ViSOR, a multi-agency for the management of offenders (College of policing, 2017), must be noted of his disappearance. As part of my investigation, I conducted a DASH to understand the level of risk (Safelives, 2022) and took a victim statement. Furthermore, I took doorbell footage, conducted door-to-door enquires and tasked a PSCO to collect CCTV. I further explored to exploit the evidence from digital resource via NICE software (NICE, 2022) but I provided reassurance that personal information found would not be mishandled and that her right to privacy would be upheld (UK Legislation, 2022b). Despite detailed evidence gathering, investigation of this and previous investigation, and thorough searches, the offender was not found, and the case is still under investigation. </w:t>
      </w:r>
    </w:p>
    <w:p w14:paraId="60488199" w14:textId="77777777" w:rsidR="00F02827" w:rsidRPr="00F02827" w:rsidRDefault="00F02827" w:rsidP="00F02827">
      <w:pPr>
        <w:overflowPunct/>
        <w:autoSpaceDE/>
        <w:autoSpaceDN/>
        <w:adjustRightInd/>
        <w:jc w:val="both"/>
        <w:textAlignment w:val="auto"/>
        <w:rPr>
          <w:rFonts w:eastAsia="Calibri"/>
          <w:color w:val="auto"/>
          <w:sz w:val="22"/>
          <w:szCs w:val="22"/>
          <w:u w:val="single"/>
          <w:lang w:eastAsia="en-US"/>
        </w:rPr>
      </w:pPr>
      <w:r w:rsidRPr="00F02827">
        <w:rPr>
          <w:rFonts w:eastAsia="Calibri"/>
          <w:color w:val="auto"/>
          <w:sz w:val="22"/>
          <w:szCs w:val="22"/>
          <w:u w:val="single"/>
          <w:lang w:eastAsia="en-US"/>
        </w:rPr>
        <w:t>Word count 1731</w:t>
      </w:r>
    </w:p>
    <w:p w14:paraId="58A0C098"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2A096448" w14:textId="77777777" w:rsidR="00F02827" w:rsidRPr="00F02827" w:rsidRDefault="00F02827" w:rsidP="00F02827">
      <w:pPr>
        <w:overflowPunct/>
        <w:autoSpaceDE/>
        <w:autoSpaceDN/>
        <w:adjustRightInd/>
        <w:textAlignment w:val="auto"/>
        <w:rPr>
          <w:rFonts w:eastAsia="Calibri"/>
          <w:color w:val="auto"/>
          <w:sz w:val="22"/>
          <w:szCs w:val="22"/>
          <w:u w:val="single"/>
          <w:lang w:eastAsia="en-US"/>
        </w:rPr>
      </w:pPr>
      <w:r w:rsidRPr="00F02827">
        <w:rPr>
          <w:rFonts w:eastAsia="Calibri"/>
          <w:color w:val="auto"/>
          <w:sz w:val="22"/>
          <w:szCs w:val="22"/>
          <w:u w:val="single"/>
          <w:lang w:eastAsia="en-US"/>
        </w:rPr>
        <w:t xml:space="preserve">References </w:t>
      </w:r>
    </w:p>
    <w:p w14:paraId="4558E88F"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7EDE9DF2"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Bryant, R. and Bryant, S. (2020). Blackstone’s handbook for policing students (Bryant &amp; S. Bryant, Eds.; 15th edition.). Oxford University Press.</w:t>
      </w:r>
    </w:p>
    <w:p w14:paraId="3D5E519D"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w:t>
      </w:r>
    </w:p>
    <w:p w14:paraId="666DC1E2"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College of Policing (2017) </w:t>
      </w:r>
      <w:r w:rsidRPr="00F02827">
        <w:rPr>
          <w:rFonts w:eastAsia="Calibri"/>
          <w:i/>
          <w:iCs/>
          <w:color w:val="auto"/>
          <w:sz w:val="22"/>
          <w:szCs w:val="22"/>
          <w:lang w:eastAsia="en-US"/>
        </w:rPr>
        <w:t>Introduction to managing sexual offenders and violent offenders</w:t>
      </w:r>
      <w:r w:rsidRPr="00F02827">
        <w:rPr>
          <w:rFonts w:eastAsia="Calibri"/>
          <w:color w:val="auto"/>
          <w:sz w:val="22"/>
          <w:szCs w:val="22"/>
          <w:lang w:eastAsia="en-US"/>
        </w:rPr>
        <w:t xml:space="preserve">. College of Policing. Available at: </w:t>
      </w:r>
      <w:hyperlink r:id="rId67" w:history="1">
        <w:r w:rsidRPr="00F02827">
          <w:rPr>
            <w:rFonts w:eastAsia="Calibri"/>
            <w:color w:val="0563C1"/>
            <w:sz w:val="22"/>
            <w:szCs w:val="22"/>
            <w:u w:val="single"/>
            <w:lang w:eastAsia="en-US"/>
          </w:rPr>
          <w:t>https://www.college.police.uk/app/major-investigation-and-public-protection/managing-sexual-offenders-and-violent-offenders/introduction-managing-sexual-offenders-and-violent-offenders</w:t>
        </w:r>
      </w:hyperlink>
      <w:r w:rsidRPr="00F02827">
        <w:rPr>
          <w:rFonts w:eastAsia="Calibri"/>
          <w:color w:val="auto"/>
          <w:sz w:val="22"/>
          <w:szCs w:val="22"/>
          <w:lang w:eastAsia="en-US"/>
        </w:rPr>
        <w:t xml:space="preserve"> [Accessed 9 June 2022].</w:t>
      </w:r>
    </w:p>
    <w:p w14:paraId="1BB3F0BE"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6127633E"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College of Policing (2021) </w:t>
      </w:r>
      <w:r w:rsidRPr="00F02827">
        <w:rPr>
          <w:rFonts w:eastAsia="Calibri"/>
          <w:i/>
          <w:iCs/>
          <w:color w:val="auto"/>
          <w:sz w:val="22"/>
          <w:szCs w:val="22"/>
          <w:lang w:eastAsia="en-US"/>
        </w:rPr>
        <w:t>Obtaining data from digital devices – new guidance released</w:t>
      </w:r>
      <w:r w:rsidRPr="00F02827">
        <w:rPr>
          <w:rFonts w:eastAsia="Calibri"/>
          <w:color w:val="auto"/>
          <w:sz w:val="22"/>
          <w:szCs w:val="22"/>
          <w:lang w:eastAsia="en-US"/>
        </w:rPr>
        <w:t xml:space="preserve">. Available at: </w:t>
      </w:r>
      <w:hyperlink r:id="rId68" w:history="1">
        <w:r w:rsidRPr="00F02827">
          <w:rPr>
            <w:rFonts w:eastAsia="Calibri"/>
            <w:color w:val="0563C1"/>
            <w:sz w:val="22"/>
            <w:szCs w:val="22"/>
            <w:u w:val="single"/>
            <w:lang w:eastAsia="en-US"/>
          </w:rPr>
          <w:t>https://www.college.police.uk/article/extraction-material-digital-devices-app</w:t>
        </w:r>
      </w:hyperlink>
      <w:r w:rsidRPr="00F02827">
        <w:rPr>
          <w:rFonts w:eastAsia="Calibri"/>
          <w:color w:val="auto"/>
          <w:sz w:val="22"/>
          <w:szCs w:val="22"/>
          <w:lang w:eastAsia="en-US"/>
        </w:rPr>
        <w:t xml:space="preserve"> [Accessed 9 June 2022]. </w:t>
      </w:r>
    </w:p>
    <w:p w14:paraId="3F172088"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7547E788"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lastRenderedPageBreak/>
        <w:t xml:space="preserve">Crown Prosecution Service (2017) </w:t>
      </w:r>
      <w:r w:rsidRPr="00F02827">
        <w:rPr>
          <w:rFonts w:eastAsia="Calibri"/>
          <w:i/>
          <w:iCs/>
          <w:color w:val="auto"/>
          <w:sz w:val="22"/>
          <w:szCs w:val="22"/>
          <w:lang w:eastAsia="en-US"/>
        </w:rPr>
        <w:t>Restraining Orders - Section 5, Protection from Harassment Act 1997</w:t>
      </w:r>
      <w:r w:rsidRPr="00F02827">
        <w:rPr>
          <w:rFonts w:eastAsia="Calibri"/>
          <w:color w:val="auto"/>
          <w:sz w:val="22"/>
          <w:szCs w:val="22"/>
          <w:lang w:eastAsia="en-US"/>
        </w:rPr>
        <w:t xml:space="preserve">. Cps.gov.uk. Available at: </w:t>
      </w:r>
      <w:hyperlink r:id="rId69" w:history="1">
        <w:r w:rsidRPr="00F02827">
          <w:rPr>
            <w:rFonts w:eastAsia="Calibri"/>
            <w:color w:val="0563C1"/>
            <w:sz w:val="22"/>
            <w:szCs w:val="22"/>
            <w:u w:val="single"/>
            <w:lang w:eastAsia="en-US"/>
          </w:rPr>
          <w:t>https://www.cps.gov.uk/legal-guidance/restraining-orders-section-5-protection-harassment-act-1997</w:t>
        </w:r>
      </w:hyperlink>
      <w:r w:rsidRPr="00F02827">
        <w:rPr>
          <w:rFonts w:eastAsia="Calibri"/>
          <w:color w:val="auto"/>
          <w:sz w:val="22"/>
          <w:szCs w:val="22"/>
          <w:lang w:eastAsia="en-US"/>
        </w:rPr>
        <w:t xml:space="preserve"> [Accessed 8 June 2022].</w:t>
      </w:r>
    </w:p>
    <w:p w14:paraId="628A3C59"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6C3A0A8E"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Femicide Census (2020) </w:t>
      </w:r>
      <w:r w:rsidRPr="00F02827">
        <w:rPr>
          <w:rFonts w:eastAsia="Calibri"/>
          <w:i/>
          <w:iCs/>
          <w:color w:val="auto"/>
          <w:sz w:val="22"/>
          <w:szCs w:val="22"/>
          <w:lang w:eastAsia="en-US"/>
        </w:rPr>
        <w:t>Femicide Census 2020</w:t>
      </w:r>
      <w:r w:rsidRPr="00F02827">
        <w:rPr>
          <w:rFonts w:eastAsia="Calibri"/>
          <w:color w:val="auto"/>
          <w:sz w:val="22"/>
          <w:szCs w:val="22"/>
          <w:lang w:eastAsia="en-US"/>
        </w:rPr>
        <w:t xml:space="preserve">. pp.1-9. Available at: </w:t>
      </w:r>
      <w:hyperlink r:id="rId70" w:history="1">
        <w:r w:rsidRPr="00F02827">
          <w:rPr>
            <w:rFonts w:eastAsia="Calibri"/>
            <w:color w:val="0563C1"/>
            <w:sz w:val="22"/>
            <w:szCs w:val="22"/>
            <w:u w:val="single"/>
            <w:lang w:eastAsia="en-US"/>
          </w:rPr>
          <w:t>https://www.femicidecensus.org/wp-content/uploads/2022/02/010998-2020-Femicide-Report_V2.pdf</w:t>
        </w:r>
      </w:hyperlink>
      <w:r w:rsidRPr="00F02827">
        <w:rPr>
          <w:rFonts w:eastAsia="Calibri"/>
          <w:color w:val="auto"/>
          <w:sz w:val="22"/>
          <w:szCs w:val="22"/>
          <w:lang w:eastAsia="en-US"/>
        </w:rPr>
        <w:t xml:space="preserve"> [Accessed 8 June 2022].</w:t>
      </w:r>
    </w:p>
    <w:p w14:paraId="09B3DCD4"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542B7294"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Foley, F (2009) The expansion of intelligence agency mandates: British counter-terrorism in comparative perspective. Review of International Studies, 35(4), 983–995. </w:t>
      </w:r>
      <w:hyperlink r:id="rId71" w:history="1">
        <w:r w:rsidRPr="00F02827">
          <w:rPr>
            <w:rFonts w:eastAsia="Calibri"/>
            <w:color w:val="0563C1"/>
            <w:sz w:val="22"/>
            <w:szCs w:val="22"/>
            <w:u w:val="single"/>
            <w:lang w:eastAsia="en-US"/>
          </w:rPr>
          <w:t>https://doi.org/10.1017/S0260210509990404</w:t>
        </w:r>
      </w:hyperlink>
    </w:p>
    <w:p w14:paraId="21D76F22"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60CF3D3F"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France, R (2020) Hartley, M. (ed.); Sampson, F. (Consultant ed.) (2018) Blackstone’s Police Operational Handbook. Policing : a Journal of Policy and Practice, 14(3), 807–808. </w:t>
      </w:r>
      <w:hyperlink r:id="rId72" w:history="1">
        <w:r w:rsidRPr="00F02827">
          <w:rPr>
            <w:rFonts w:eastAsia="Calibri"/>
            <w:color w:val="0563C1"/>
            <w:sz w:val="22"/>
            <w:szCs w:val="22"/>
            <w:u w:val="single"/>
            <w:lang w:eastAsia="en-US"/>
          </w:rPr>
          <w:t>https://doi.org/10.1093/police/pay056</w:t>
        </w:r>
      </w:hyperlink>
    </w:p>
    <w:p w14:paraId="096D882F"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4A0E34F0"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Greater Manchester Police (2017) </w:t>
      </w:r>
      <w:r w:rsidRPr="00F02827">
        <w:rPr>
          <w:rFonts w:eastAsia="Calibri"/>
          <w:i/>
          <w:iCs/>
          <w:color w:val="auto"/>
          <w:sz w:val="22"/>
          <w:szCs w:val="22"/>
          <w:lang w:eastAsia="en-US"/>
        </w:rPr>
        <w:t>Incident Response Policy</w:t>
      </w:r>
      <w:r w:rsidRPr="00F02827">
        <w:rPr>
          <w:rFonts w:eastAsia="Calibri"/>
          <w:color w:val="auto"/>
          <w:sz w:val="22"/>
          <w:szCs w:val="22"/>
          <w:lang w:eastAsia="en-US"/>
        </w:rPr>
        <w:t xml:space="preserve">. p.3. Available at: </w:t>
      </w:r>
      <w:hyperlink r:id="rId73" w:history="1">
        <w:r w:rsidRPr="00F02827">
          <w:rPr>
            <w:rFonts w:eastAsia="Calibri"/>
            <w:color w:val="0563C1"/>
            <w:sz w:val="22"/>
            <w:szCs w:val="22"/>
            <w:u w:val="single"/>
            <w:lang w:eastAsia="en-US"/>
          </w:rPr>
          <w:t>https://www.gmp.police.uk/SysSiteAssets/foi-media/greater-manchester/policies/incident-response-policy-v1.3-july-2017-redacted.pdf</w:t>
        </w:r>
      </w:hyperlink>
      <w:r w:rsidRPr="00F02827">
        <w:rPr>
          <w:rFonts w:eastAsia="Calibri"/>
          <w:color w:val="auto"/>
          <w:sz w:val="22"/>
          <w:szCs w:val="22"/>
          <w:lang w:eastAsia="en-US"/>
        </w:rPr>
        <w:t xml:space="preserve"> [Accessed 7 June 2022].</w:t>
      </w:r>
    </w:p>
    <w:p w14:paraId="1E11A811"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26695597"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Hadley, L. (2019) </w:t>
      </w:r>
      <w:r w:rsidRPr="00F02827">
        <w:rPr>
          <w:rFonts w:eastAsia="Calibri"/>
          <w:i/>
          <w:iCs/>
          <w:color w:val="auto"/>
          <w:sz w:val="22"/>
          <w:szCs w:val="22"/>
          <w:lang w:eastAsia="en-US"/>
        </w:rPr>
        <w:t xml:space="preserve">Women's Aid responds to HMICFRS report on stalking and harassment. </w:t>
      </w:r>
      <w:r w:rsidRPr="00F02827">
        <w:rPr>
          <w:rFonts w:eastAsia="Calibri"/>
          <w:color w:val="auto"/>
          <w:sz w:val="22"/>
          <w:szCs w:val="22"/>
          <w:lang w:eastAsia="en-US"/>
        </w:rPr>
        <w:t xml:space="preserve">Women’s Aid. Available at: </w:t>
      </w:r>
      <w:hyperlink r:id="rId74" w:history="1">
        <w:r w:rsidRPr="00F02827">
          <w:rPr>
            <w:rFonts w:eastAsia="Calibri"/>
            <w:color w:val="0563C1"/>
            <w:sz w:val="22"/>
            <w:szCs w:val="22"/>
            <w:u w:val="single"/>
            <w:lang w:eastAsia="en-US"/>
          </w:rPr>
          <w:t>https://www.womensaid.org.uk/womens-aid-responds-to-hmicfrs-report-on-stalking-and-harassment/</w:t>
        </w:r>
      </w:hyperlink>
      <w:r w:rsidRPr="00F02827">
        <w:rPr>
          <w:rFonts w:eastAsia="Calibri"/>
          <w:color w:val="auto"/>
          <w:sz w:val="22"/>
          <w:szCs w:val="22"/>
          <w:lang w:eastAsia="en-US"/>
        </w:rPr>
        <w:t xml:space="preserve"> [Accessed 8 June 2022].</w:t>
      </w:r>
    </w:p>
    <w:p w14:paraId="32054B49"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102609A9"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NICE (2022) </w:t>
      </w:r>
      <w:r w:rsidRPr="00F02827">
        <w:rPr>
          <w:rFonts w:eastAsia="Calibri"/>
          <w:i/>
          <w:iCs/>
          <w:color w:val="auto"/>
          <w:sz w:val="22"/>
          <w:szCs w:val="22"/>
          <w:lang w:eastAsia="en-US"/>
        </w:rPr>
        <w:t>NICE Investigate The Firth Digital Investigation Solution for Law Enforcement</w:t>
      </w:r>
      <w:r w:rsidRPr="00F02827">
        <w:rPr>
          <w:rFonts w:eastAsia="Calibri"/>
          <w:color w:val="auto"/>
          <w:sz w:val="22"/>
          <w:szCs w:val="22"/>
          <w:lang w:eastAsia="en-US"/>
        </w:rPr>
        <w:t xml:space="preserve">. pp.2-3. Available at: </w:t>
      </w:r>
      <w:hyperlink r:id="rId75" w:history="1">
        <w:r w:rsidRPr="00F02827">
          <w:rPr>
            <w:rFonts w:eastAsia="Calibri"/>
            <w:color w:val="0563C1"/>
            <w:sz w:val="22"/>
            <w:szCs w:val="22"/>
            <w:u w:val="single"/>
            <w:lang w:eastAsia="en-US"/>
          </w:rPr>
          <w:t>http://www.nice-files.com/files/NICE_Investigate_Solution_Overview.pdf</w:t>
        </w:r>
      </w:hyperlink>
      <w:r w:rsidRPr="00F02827">
        <w:rPr>
          <w:rFonts w:eastAsia="Calibri"/>
          <w:color w:val="auto"/>
          <w:sz w:val="22"/>
          <w:szCs w:val="22"/>
          <w:lang w:eastAsia="en-US"/>
        </w:rPr>
        <w:t xml:space="preserve"> [Accessed 9 June 2022].</w:t>
      </w:r>
    </w:p>
    <w:p w14:paraId="1E4D5F94"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195879AC"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Rosenfeld, B. (2004) ‘Violence Risk Factors in Stalking and Obsessional Harassment: A Review and Preliminary Meta-Analysis’, </w:t>
      </w:r>
      <w:r w:rsidRPr="00F02827">
        <w:rPr>
          <w:rFonts w:eastAsia="Calibri"/>
          <w:i/>
          <w:iCs/>
          <w:color w:val="auto"/>
          <w:sz w:val="22"/>
          <w:szCs w:val="22"/>
          <w:lang w:eastAsia="en-US"/>
        </w:rPr>
        <w:t>Criminal justice and behavior</w:t>
      </w:r>
      <w:r w:rsidRPr="00F02827">
        <w:rPr>
          <w:rFonts w:eastAsia="Calibri"/>
          <w:color w:val="auto"/>
          <w:sz w:val="22"/>
          <w:szCs w:val="22"/>
          <w:lang w:eastAsia="en-US"/>
        </w:rPr>
        <w:t>, 31(1), pp. 9–36. doi:10.1177/0093854803259241.</w:t>
      </w:r>
    </w:p>
    <w:p w14:paraId="72408B35"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31295449"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Safe Lives (2022) </w:t>
      </w:r>
      <w:r w:rsidRPr="00F02827">
        <w:rPr>
          <w:rFonts w:eastAsia="Calibri"/>
          <w:i/>
          <w:iCs/>
          <w:color w:val="auto"/>
          <w:sz w:val="22"/>
          <w:szCs w:val="22"/>
          <w:lang w:eastAsia="en-US"/>
        </w:rPr>
        <w:t>SafeLives Dash risk checklist for the identification of high risk cases of domestic abuse, stalking and ‘honour’-based violence</w:t>
      </w:r>
      <w:r w:rsidRPr="00F02827">
        <w:rPr>
          <w:rFonts w:eastAsia="Calibri"/>
          <w:color w:val="auto"/>
          <w:sz w:val="22"/>
          <w:szCs w:val="22"/>
          <w:lang w:eastAsia="en-US"/>
        </w:rPr>
        <w:t xml:space="preserve">. p.2. Available at: </w:t>
      </w:r>
      <w:hyperlink r:id="rId76" w:history="1">
        <w:r w:rsidRPr="00F02827">
          <w:rPr>
            <w:rFonts w:eastAsia="Calibri"/>
            <w:color w:val="0563C1"/>
            <w:sz w:val="22"/>
            <w:szCs w:val="22"/>
            <w:u w:val="single"/>
            <w:lang w:eastAsia="en-US"/>
          </w:rPr>
          <w:t>https://safelives.org.uk/sites/default/files/resources/Dash%20for%20IDVAs%20FINAL_0.pdf</w:t>
        </w:r>
      </w:hyperlink>
      <w:r w:rsidRPr="00F02827">
        <w:rPr>
          <w:rFonts w:eastAsia="Calibri"/>
          <w:color w:val="auto"/>
          <w:sz w:val="22"/>
          <w:szCs w:val="22"/>
          <w:lang w:eastAsia="en-US"/>
        </w:rPr>
        <w:t xml:space="preserve"> [Accessed 9 June 2022].</w:t>
      </w:r>
    </w:p>
    <w:p w14:paraId="19933AE1"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404692B8"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Safer Futures (2022) </w:t>
      </w:r>
      <w:r w:rsidRPr="00F02827">
        <w:rPr>
          <w:rFonts w:eastAsia="Calibri"/>
          <w:i/>
          <w:iCs/>
          <w:color w:val="auto"/>
          <w:sz w:val="22"/>
          <w:szCs w:val="22"/>
          <w:lang w:eastAsia="en-US"/>
        </w:rPr>
        <w:t>Stalking</w:t>
      </w:r>
      <w:r w:rsidRPr="00F02827">
        <w:rPr>
          <w:rFonts w:eastAsia="Calibri"/>
          <w:color w:val="auto"/>
          <w:sz w:val="22"/>
          <w:szCs w:val="22"/>
          <w:lang w:eastAsia="en-US"/>
        </w:rPr>
        <w:t xml:space="preserve">. Safer Futures. Available at: </w:t>
      </w:r>
      <w:hyperlink r:id="rId77" w:history="1">
        <w:r w:rsidRPr="00F02827">
          <w:rPr>
            <w:rFonts w:eastAsia="Calibri"/>
            <w:color w:val="0563C1"/>
            <w:sz w:val="22"/>
            <w:szCs w:val="22"/>
            <w:u w:val="single"/>
            <w:lang w:eastAsia="en-US"/>
          </w:rPr>
          <w:t>https://saferfutures.org.uk/resources/stalking/#</w:t>
        </w:r>
      </w:hyperlink>
      <w:r w:rsidRPr="00F02827">
        <w:rPr>
          <w:rFonts w:eastAsia="Calibri"/>
          <w:color w:val="auto"/>
          <w:sz w:val="22"/>
          <w:szCs w:val="22"/>
          <w:lang w:eastAsia="en-US"/>
        </w:rPr>
        <w:t xml:space="preserve">  [Accessed 8 June 2022].</w:t>
      </w:r>
    </w:p>
    <w:p w14:paraId="6E777389"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77982EAD"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UK Legislation (2022a) </w:t>
      </w:r>
      <w:r w:rsidRPr="00F02827">
        <w:rPr>
          <w:rFonts w:eastAsia="Calibri"/>
          <w:i/>
          <w:iCs/>
          <w:color w:val="auto"/>
          <w:sz w:val="22"/>
          <w:szCs w:val="22"/>
          <w:lang w:eastAsia="en-US"/>
        </w:rPr>
        <w:t>Protection from Harassment Act 1997</w:t>
      </w:r>
      <w:r w:rsidRPr="00F02827">
        <w:rPr>
          <w:rFonts w:eastAsia="Calibri"/>
          <w:color w:val="auto"/>
          <w:sz w:val="22"/>
          <w:szCs w:val="22"/>
          <w:lang w:eastAsia="en-US"/>
        </w:rPr>
        <w:t xml:space="preserve">. Legislation.gov.uk. Available at: </w:t>
      </w:r>
      <w:hyperlink r:id="rId78" w:history="1">
        <w:r w:rsidRPr="00F02827">
          <w:rPr>
            <w:rFonts w:eastAsia="Calibri"/>
            <w:color w:val="0563C1"/>
            <w:sz w:val="22"/>
            <w:szCs w:val="22"/>
            <w:u w:val="single"/>
            <w:lang w:eastAsia="en-US"/>
          </w:rPr>
          <w:t>https://www.legislation.gov.uk/ukpga/1997/40/section/4A</w:t>
        </w:r>
      </w:hyperlink>
      <w:r w:rsidRPr="00F02827">
        <w:rPr>
          <w:rFonts w:eastAsia="Calibri"/>
          <w:color w:val="auto"/>
          <w:sz w:val="22"/>
          <w:szCs w:val="22"/>
          <w:lang w:eastAsia="en-US"/>
        </w:rPr>
        <w:t xml:space="preserve"> [Accessed 8 June 2022].</w:t>
      </w:r>
    </w:p>
    <w:p w14:paraId="24438FDF"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4EF31C94"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UK Legislation (2022b) </w:t>
      </w:r>
      <w:r w:rsidRPr="00F02827">
        <w:rPr>
          <w:rFonts w:eastAsia="Calibri"/>
          <w:i/>
          <w:iCs/>
          <w:color w:val="auto"/>
          <w:sz w:val="22"/>
          <w:szCs w:val="22"/>
          <w:lang w:eastAsia="en-US"/>
        </w:rPr>
        <w:t>Human Rights Act 1998</w:t>
      </w:r>
      <w:r w:rsidRPr="00F02827">
        <w:rPr>
          <w:rFonts w:eastAsia="Calibri"/>
          <w:color w:val="auto"/>
          <w:sz w:val="22"/>
          <w:szCs w:val="22"/>
          <w:lang w:eastAsia="en-US"/>
        </w:rPr>
        <w:t xml:space="preserve">. Legislation.gov.uk. Available at: </w:t>
      </w:r>
      <w:hyperlink r:id="rId79" w:history="1">
        <w:r w:rsidRPr="00F02827">
          <w:rPr>
            <w:rFonts w:eastAsia="Calibri"/>
            <w:color w:val="0563C1"/>
            <w:sz w:val="22"/>
            <w:szCs w:val="22"/>
            <w:u w:val="single"/>
            <w:lang w:eastAsia="en-US"/>
          </w:rPr>
          <w:t>https://www.legislation.gov.uk/ukpga/1998/42/schedule/1/part/I/chapter/7</w:t>
        </w:r>
      </w:hyperlink>
      <w:r w:rsidRPr="00F02827">
        <w:rPr>
          <w:rFonts w:eastAsia="Calibri"/>
          <w:color w:val="auto"/>
          <w:sz w:val="22"/>
          <w:szCs w:val="22"/>
          <w:lang w:eastAsia="en-US"/>
        </w:rPr>
        <w:t xml:space="preserve"> [Accessed 9 June 2022].</w:t>
      </w:r>
    </w:p>
    <w:p w14:paraId="5F9C26F1"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048EC8D7"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UK Legislation (2022c) </w:t>
      </w:r>
      <w:r w:rsidRPr="00F02827">
        <w:rPr>
          <w:rFonts w:eastAsia="Calibri"/>
          <w:i/>
          <w:iCs/>
          <w:color w:val="auto"/>
          <w:sz w:val="22"/>
          <w:szCs w:val="22"/>
          <w:lang w:eastAsia="en-US"/>
        </w:rPr>
        <w:t>Data Protection Act 2018</w:t>
      </w:r>
      <w:r w:rsidRPr="00F02827">
        <w:rPr>
          <w:rFonts w:eastAsia="Calibri"/>
          <w:color w:val="auto"/>
          <w:sz w:val="22"/>
          <w:szCs w:val="22"/>
          <w:lang w:eastAsia="en-US"/>
        </w:rPr>
        <w:t xml:space="preserve">. Legislation.gov.uk. Available at: </w:t>
      </w:r>
      <w:hyperlink r:id="rId80" w:history="1">
        <w:r w:rsidRPr="00F02827">
          <w:rPr>
            <w:rFonts w:eastAsia="Calibri"/>
            <w:color w:val="0563C1"/>
            <w:sz w:val="22"/>
            <w:szCs w:val="22"/>
            <w:u w:val="single"/>
            <w:lang w:eastAsia="en-US"/>
          </w:rPr>
          <w:t>https://www.legislation.gov.uk/ukpga/2018/12/schedule/2/enacted</w:t>
        </w:r>
      </w:hyperlink>
      <w:r w:rsidRPr="00F02827">
        <w:rPr>
          <w:rFonts w:eastAsia="Calibri"/>
          <w:color w:val="auto"/>
          <w:sz w:val="22"/>
          <w:szCs w:val="22"/>
          <w:lang w:eastAsia="en-US"/>
        </w:rPr>
        <w:t xml:space="preserve"> [Accessed 9 June 2022].</w:t>
      </w:r>
    </w:p>
    <w:p w14:paraId="4E9085BF" w14:textId="77777777" w:rsidR="00025650" w:rsidRPr="00F02827" w:rsidRDefault="00025650" w:rsidP="00340E9A">
      <w:pPr>
        <w:ind w:right="237"/>
        <w:jc w:val="both"/>
        <w:rPr>
          <w:sz w:val="24"/>
          <w:szCs w:val="24"/>
        </w:rPr>
      </w:pPr>
    </w:p>
    <w:p w14:paraId="1967E2A8" w14:textId="77777777" w:rsidR="00025650" w:rsidRPr="00F02827"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F02827" w:rsidRDefault="00025650" w:rsidP="00340E9A">
      <w:pPr>
        <w:ind w:right="237"/>
        <w:jc w:val="both"/>
        <w:rPr>
          <w:sz w:val="22"/>
          <w:szCs w:val="22"/>
        </w:rPr>
      </w:pPr>
    </w:p>
    <w:p w14:paraId="388B0F96"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r w:rsidRPr="00F02827">
        <w:rPr>
          <w:rFonts w:eastAsia="Calibri"/>
          <w:color w:val="auto"/>
          <w:sz w:val="22"/>
          <w:szCs w:val="22"/>
          <w:lang w:eastAsia="en-US"/>
        </w:rPr>
        <w:t>Berman (2021) describes digital technology as system of tools that transmits and stores data, it is changing the world we live in and found in nearly every part of life. Risk of harm could be considered the negative result of an effect or incident (Hussey (2020). Police respond to incidents, both emergency and non-emergency, taking action as deemed appropriate (College of Policing, 2022). This essay involves an offender and victim that are both under 18 and used to be in a consensual relationship. They had shared explicit texts, images and videos of each other and the offender had insinuated that they would be made public due to his disappointment at their relationship coming to an end. Appropriate options and actions are taken to resolve this incident, noting that both are considered vulnerable due to being under 18 (The National Crime Agency, 2016) but I was conscious that vulnerability is also considered an individual feature (College of Policing, 2021); therefore, both are judged individually vulnerable.</w:t>
      </w:r>
    </w:p>
    <w:p w14:paraId="49E1BE31"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p>
    <w:p w14:paraId="744A2953"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r w:rsidRPr="00F02827">
        <w:rPr>
          <w:rFonts w:eastAsia="Calibri"/>
          <w:color w:val="auto"/>
          <w:sz w:val="22"/>
          <w:szCs w:val="22"/>
          <w:lang w:eastAsia="en-US"/>
        </w:rPr>
        <w:t>Bell (2015) explains that in recent years, there has been a dramatic increase in revenge porn. Revenge porn has been described as “</w:t>
      </w:r>
      <w:r w:rsidRPr="00F02827">
        <w:rPr>
          <w:rFonts w:eastAsia="Calibri"/>
          <w:i/>
          <w:color w:val="auto"/>
          <w:sz w:val="22"/>
          <w:szCs w:val="22"/>
          <w:lang w:eastAsia="en-US"/>
        </w:rPr>
        <w:t>the distribution of a private sexual image of someone without their consent and with the intention of causing them distress</w:t>
      </w:r>
      <w:r w:rsidRPr="00F02827">
        <w:rPr>
          <w:rFonts w:eastAsia="Calibri"/>
          <w:color w:val="auto"/>
          <w:sz w:val="22"/>
          <w:szCs w:val="22"/>
          <w:lang w:eastAsia="en-US"/>
        </w:rPr>
        <w:t xml:space="preserve">” (HM Government, 2014). </w:t>
      </w:r>
    </w:p>
    <w:p w14:paraId="5C2058F3"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r w:rsidRPr="00F02827">
        <w:rPr>
          <w:rFonts w:eastAsia="Calibri"/>
          <w:color w:val="auto"/>
          <w:sz w:val="22"/>
          <w:szCs w:val="22"/>
          <w:lang w:eastAsia="en-US"/>
        </w:rPr>
        <w:t>I was allocated an incident after a victim of revenge porn contacted police to report her ex-partner was threatening to send intimate images of her to her family and friends and on his social media platforms. On attendance, the victim stated that she and the offender were 17 years old and had been in a relationship for one year. During this time, they had both communicated digitally expressing intimate details of sexual desires and preferences and intimate images and videos. Johnson (2021) explains digital technology as devises to “</w:t>
      </w:r>
      <w:r w:rsidRPr="00F02827">
        <w:rPr>
          <w:rFonts w:eastAsia="Calibri"/>
          <w:i/>
          <w:color w:val="auto"/>
          <w:sz w:val="22"/>
          <w:szCs w:val="22"/>
          <w:lang w:eastAsia="en-US"/>
        </w:rPr>
        <w:t>generate, process or store</w:t>
      </w:r>
      <w:r w:rsidRPr="00F02827">
        <w:rPr>
          <w:rFonts w:eastAsia="Calibri"/>
          <w:color w:val="auto"/>
          <w:sz w:val="22"/>
          <w:szCs w:val="22"/>
          <w:lang w:eastAsia="en-US"/>
        </w:rPr>
        <w:t xml:space="preserve"> information” and aid communication. Digital communications can be described as an international resource for communication via “</w:t>
      </w:r>
      <w:r w:rsidRPr="00F02827">
        <w:rPr>
          <w:rFonts w:eastAsia="Calibri"/>
          <w:i/>
          <w:color w:val="auto"/>
          <w:sz w:val="22"/>
          <w:szCs w:val="22"/>
          <w:lang w:eastAsia="en-US"/>
        </w:rPr>
        <w:t>email, social media websites, smart phones (texting), applications or known as "apps", and so forth”</w:t>
      </w:r>
      <w:r w:rsidRPr="00F02827">
        <w:rPr>
          <w:rFonts w:eastAsia="Calibri"/>
          <w:color w:val="auto"/>
          <w:sz w:val="22"/>
          <w:szCs w:val="22"/>
          <w:lang w:eastAsia="en-US"/>
        </w:rPr>
        <w:t xml:space="preserve"> (Digital communication, 2022). </w:t>
      </w:r>
    </w:p>
    <w:p w14:paraId="60014F99"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r w:rsidRPr="00F02827">
        <w:rPr>
          <w:rFonts w:eastAsia="Calibri"/>
          <w:color w:val="auto"/>
          <w:sz w:val="22"/>
          <w:szCs w:val="22"/>
          <w:lang w:eastAsia="en-US"/>
        </w:rPr>
        <w:t>I asked the victim if she had consented to taking the images and videos and the victim confirmed that she had. The victim also confirmed that the threat expressed by her ex-partner had not been followed through but also articulated her concerns that the offender would; stating the embarrassment it would cause her and the fear her parents would find out. Revenge porn can cause the victim mental health issues as well as causing problems with future relationships and embarrassment resulting in feelings of isolation (Kamal and Newman, 2016; Bond and Tyrrell, 2021). Legislation introduced in 2014 made revenge pornography a crime (Bond and Tyrrell, 2021). Section 33 of the Criminal Justice and Courts Act 2015 states “</w:t>
      </w:r>
      <w:r w:rsidRPr="00F02827">
        <w:rPr>
          <w:rFonts w:eastAsia="Calibri"/>
          <w:i/>
          <w:color w:val="auto"/>
          <w:sz w:val="22"/>
          <w:szCs w:val="22"/>
          <w:lang w:eastAsia="en-US"/>
        </w:rPr>
        <w:t>disclosing private sexual photographs or films without the consent of an individual who appears in them and with intent to cause that individual distress</w:t>
      </w:r>
      <w:r w:rsidRPr="00F02827">
        <w:rPr>
          <w:rFonts w:eastAsia="Calibri"/>
          <w:color w:val="auto"/>
          <w:sz w:val="22"/>
          <w:szCs w:val="22"/>
          <w:lang w:eastAsia="en-US"/>
        </w:rPr>
        <w:t>” (</w:t>
      </w:r>
      <w:r w:rsidRPr="00F02827">
        <w:rPr>
          <w:rFonts w:eastAsia="Calibri"/>
          <w:color w:val="auto"/>
          <w:sz w:val="22"/>
          <w:szCs w:val="22"/>
          <w:lang w:val="en" w:eastAsia="en-US"/>
        </w:rPr>
        <w:t xml:space="preserve">Crown Prosecution Service, </w:t>
      </w:r>
      <w:r w:rsidRPr="00F02827">
        <w:rPr>
          <w:rFonts w:eastAsia="Calibri"/>
          <w:color w:val="auto"/>
          <w:sz w:val="22"/>
          <w:szCs w:val="22"/>
          <w:lang w:val="en" w:eastAsia="en-US"/>
        </w:rPr>
        <w:lastRenderedPageBreak/>
        <w:t>2017)</w:t>
      </w:r>
      <w:r w:rsidRPr="00F02827">
        <w:rPr>
          <w:rFonts w:eastAsia="Calibri"/>
          <w:color w:val="auto"/>
          <w:sz w:val="22"/>
          <w:szCs w:val="22"/>
          <w:lang w:eastAsia="en-US"/>
        </w:rPr>
        <w:t xml:space="preserve">. However, (Bond and Tyrrell, 2021) infer police are failing at offering appropriate support to victims of revenge pornography. </w:t>
      </w:r>
    </w:p>
    <w:p w14:paraId="2D577AF2" w14:textId="77777777" w:rsidR="00F02827" w:rsidRPr="00F02827" w:rsidRDefault="00F02827" w:rsidP="00F02827">
      <w:pPr>
        <w:overflowPunct/>
        <w:autoSpaceDE/>
        <w:autoSpaceDN/>
        <w:adjustRightInd/>
        <w:jc w:val="both"/>
        <w:textAlignment w:val="auto"/>
        <w:rPr>
          <w:rFonts w:eastAsia="Calibri"/>
          <w:b/>
          <w:color w:val="auto"/>
          <w:sz w:val="22"/>
          <w:szCs w:val="22"/>
          <w:lang w:eastAsia="en-US"/>
        </w:rPr>
      </w:pPr>
      <w:r w:rsidRPr="00F02827">
        <w:rPr>
          <w:rFonts w:eastAsia="Calibri"/>
          <w:color w:val="auto"/>
          <w:sz w:val="22"/>
          <w:szCs w:val="22"/>
          <w:lang w:eastAsia="en-US"/>
        </w:rPr>
        <w:t xml:space="preserve">I recognised the vulnerability of the victim as well as the offender due to their age. The National Crime agency (2016) explain that a person under the age of 18 years is viewed as vulnerable regardless of any other additional factors such as mental health, illness, disability or ability to safeguard themselves against potential harm. I asked the victim what she would like me to do for her and I wanted to ensure that the victim felt supported by police. As the victim had not showed me the content of the messages she had received, I asked to see the messages in order to understand the level of threat. The victim stated that she was happy for me to see the text messages where the threat was made; however, she refused to allow me or any other officer to see the images and videos that she had exchanged with her ex-partner. The message exchanged showed that the offender had sent text message the previous day to say that he was devastated that the relationship had ended, reminded her that he had the footage mentioned still stored on his mobile phone and could do what he wanted with them; the victim interpreted the message as the offender would publish them. Although no direct threat had been made to publish them, I felt there was an unhealthy underlining tone to the message. I explained there were two options available to deal with the incident; option one was arrest her ex-partner and option two was arrange a voluntary interview with the aim of referring the offender to </w:t>
      </w:r>
      <w:r w:rsidRPr="00F02827">
        <w:rPr>
          <w:rFonts w:eastAsia="Calibri"/>
          <w:bCs/>
          <w:color w:val="auto"/>
          <w:sz w:val="22"/>
          <w:szCs w:val="22"/>
          <w:lang w:eastAsia="en-US"/>
        </w:rPr>
        <w:t xml:space="preserve">Youth Offending Service (YOS). I further explained that arrest would involve making a statement and seizing of the offender’s mobile phone and any other devices in order to </w:t>
      </w:r>
      <w:r w:rsidRPr="00F02827">
        <w:rPr>
          <w:rFonts w:eastAsia="Calibri"/>
          <w:color w:val="auto"/>
          <w:sz w:val="22"/>
          <w:szCs w:val="22"/>
          <w:lang w:eastAsia="en-US"/>
        </w:rPr>
        <w:t>obtain evidence to present as evidence. Ajaz (2019) describes to either prove or disprove a person’s involvement in criminal activity, police will often seize devises in order to forensically examine and gather evidence for the investigation.  A voluntary attendance interview is conducted when a person is not under arrest for the criminal offences they are in attendance to discuss at that time (College of Policing, 2013). YOS is described as a service organised by multi-agency partnerships to deter children away from criminal behaviour or avoid re-offending (</w:t>
      </w:r>
      <w:r w:rsidRPr="00F02827">
        <w:rPr>
          <w:rFonts w:eastAsia="Calibri"/>
          <w:color w:val="auto"/>
          <w:sz w:val="22"/>
          <w:szCs w:val="22"/>
          <w:lang w:val="en" w:eastAsia="en-US"/>
        </w:rPr>
        <w:t xml:space="preserve">Northampton Youth Offending Service, 2022). Both options would involve making a statement and providing police with the contents of the messages. </w:t>
      </w:r>
      <w:r w:rsidRPr="00F02827">
        <w:rPr>
          <w:rFonts w:eastAsia="Calibri"/>
          <w:color w:val="auto"/>
          <w:sz w:val="22"/>
          <w:szCs w:val="22"/>
          <w:lang w:eastAsia="en-US"/>
        </w:rPr>
        <w:t xml:space="preserve">Initially, the victim stated that she did not want to make a formal complaint but would like me to speak with her ex-partner, as she did not want officers to see the intimate images and videos that she had created or any family members to find out what had happened. I explained that in this incident, there did not appear to be a direct threat of distributing the footage and that a voluntary interview could be the better option as it does not involve arrest or time spent in a custody cell. The victim agreed and provided me with a statement that included the history of the relationship, behaviour of the offender during the relationship, reasons the relationship broke down and ultimately the behaviour since the break up and the text message. The victim also agreed to send a screen shot the text message via NICE. NICE is a software used by police officers to obtain evidence from digital devices in order to progress investigations (NICE, 2022). </w:t>
      </w:r>
      <w:r w:rsidRPr="00F02827">
        <w:rPr>
          <w:rFonts w:eastAsia="Calibri"/>
          <w:b/>
          <w:color w:val="auto"/>
          <w:sz w:val="22"/>
          <w:szCs w:val="22"/>
          <w:lang w:eastAsia="en-US"/>
        </w:rPr>
        <w:t xml:space="preserve"> </w:t>
      </w:r>
    </w:p>
    <w:p w14:paraId="10147201"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r w:rsidRPr="00F02827">
        <w:rPr>
          <w:rFonts w:eastAsia="Calibri"/>
          <w:color w:val="auto"/>
          <w:sz w:val="22"/>
          <w:szCs w:val="22"/>
          <w:lang w:eastAsia="en-US"/>
        </w:rPr>
        <w:t>I attended the offenders address in order to explain why I needed to speak with him, the process of a voluntary attendance interview and arrange to arrange a suitable time for the interview. I explained that for the interview, he could have a solicitor present and would need an appropriate adult present. An appropriate adult must be present for an interview for anyone under the age of 18 years old (Home Office, 2011) and can be “</w:t>
      </w:r>
      <w:r w:rsidRPr="00F02827">
        <w:rPr>
          <w:rFonts w:eastAsia="Calibri"/>
          <w:i/>
          <w:color w:val="auto"/>
          <w:sz w:val="22"/>
          <w:szCs w:val="22"/>
          <w:lang w:eastAsia="en-US"/>
        </w:rPr>
        <w:t>their parent, relative or social worker</w:t>
      </w:r>
      <w:r w:rsidRPr="00F02827">
        <w:rPr>
          <w:rFonts w:eastAsia="Calibri"/>
          <w:color w:val="auto"/>
          <w:sz w:val="22"/>
          <w:szCs w:val="22"/>
          <w:lang w:eastAsia="en-US"/>
        </w:rPr>
        <w:t>” (National Appropriate Adult Network, 2022). Furthermore, the Home Office (2011) explain the role of an appropriate adult is “</w:t>
      </w:r>
      <w:r w:rsidRPr="00F02827">
        <w:rPr>
          <w:rFonts w:eastAsia="Calibri"/>
          <w:i/>
          <w:color w:val="auto"/>
          <w:sz w:val="22"/>
          <w:szCs w:val="22"/>
          <w:lang w:eastAsia="en-US"/>
        </w:rPr>
        <w:t>to assist the detainee to ensure that they understand what is happening at the police station during the interview</w:t>
      </w:r>
      <w:r w:rsidRPr="00F02827">
        <w:rPr>
          <w:rFonts w:eastAsia="Calibri"/>
          <w:color w:val="auto"/>
          <w:sz w:val="22"/>
          <w:szCs w:val="22"/>
          <w:lang w:eastAsia="en-US"/>
        </w:rPr>
        <w:t xml:space="preserve">”. Initially, the offender and his mother were shocked that I was there to speak with him but agreed to attend. Due the offender’s age, I hoped that educating him around the potential offences he could be committing and the consequences of those offences for himself. I explained that should the offender distribute any images he would be committing the offence of distributing indecent images of a child under section 1(b) Protection of Children act 1978 (UK Legislation, 2022). I hoped it would deter him from commenting any offences in the future and help him recognise the effect his behaviour has on the victim. The offender confirmed that he understood and deleted the images in front of me expressing he was sorry for what he has said in the text </w:t>
      </w:r>
      <w:r w:rsidRPr="00F02827">
        <w:rPr>
          <w:rFonts w:eastAsia="Calibri"/>
          <w:color w:val="auto"/>
          <w:sz w:val="22"/>
          <w:szCs w:val="22"/>
          <w:lang w:eastAsia="en-US"/>
        </w:rPr>
        <w:lastRenderedPageBreak/>
        <w:t xml:space="preserve">message. The offender attended the voluntary interview and stated that although he could see why the victim thought the text may have sounded like a threat to send the footage to others, that was not the case and he meant that he would use the footage for person use. The offender was referred to YOS and is awaiting further instruction. </w:t>
      </w:r>
    </w:p>
    <w:p w14:paraId="7B664CE7"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p>
    <w:p w14:paraId="1EA13122"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r w:rsidRPr="00F02827">
        <w:rPr>
          <w:rFonts w:eastAsia="Calibri"/>
          <w:color w:val="auto"/>
          <w:sz w:val="22"/>
          <w:szCs w:val="22"/>
          <w:lang w:eastAsia="en-US"/>
        </w:rPr>
        <w:t xml:space="preserve">In conclusion, I was presented with a non-emergency incident that required an appropriate police response (College of Policing, 2022). An indication to distribute private explicit messages was received by the victim, which could be classed as revenge porn (Bond and Tyrrell, 2021). Revenge porn is the act of distributing digital private media without consent (HM Government, 2014). Digital media can be disseminated electronically (Johnson, 2021) as a means of communication via smart phones (Digital Communication, 2022). As a direct threat had not been received and the media had not been distributed, the option of arrest or voluntary interview was presented to the victim. The latter was deemed more appropriate as both were under 18 and considered vulnerable (The National Crime Agency, 2016). My response was balanced with giving the victim full support but also offering the offender the opportunity to benefit from education of the consequences his actions could have. Therefore, resolving the fear felt by the victim and reduced the risk of future criminalisation of the offender.    </w:t>
      </w:r>
    </w:p>
    <w:p w14:paraId="28E69888" w14:textId="77777777" w:rsidR="00F02827" w:rsidRPr="00F02827" w:rsidRDefault="00F02827" w:rsidP="00F02827">
      <w:pPr>
        <w:overflowPunct/>
        <w:autoSpaceDE/>
        <w:autoSpaceDN/>
        <w:adjustRightInd/>
        <w:jc w:val="both"/>
        <w:textAlignment w:val="auto"/>
        <w:rPr>
          <w:rFonts w:eastAsia="Calibri"/>
          <w:color w:val="auto"/>
          <w:sz w:val="22"/>
          <w:szCs w:val="22"/>
          <w:u w:val="single"/>
          <w:lang w:eastAsia="en-US"/>
        </w:rPr>
      </w:pPr>
      <w:r w:rsidRPr="00F02827">
        <w:rPr>
          <w:rFonts w:eastAsia="Calibri"/>
          <w:color w:val="auto"/>
          <w:sz w:val="22"/>
          <w:szCs w:val="22"/>
          <w:u w:val="single"/>
          <w:lang w:eastAsia="en-US"/>
        </w:rPr>
        <w:t>Word count 1540</w:t>
      </w:r>
    </w:p>
    <w:p w14:paraId="31764F35"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p>
    <w:p w14:paraId="22C967C4"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p>
    <w:p w14:paraId="239E96EF"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p>
    <w:p w14:paraId="1611024E" w14:textId="77777777" w:rsidR="00F02827" w:rsidRPr="00F02827" w:rsidRDefault="00F02827" w:rsidP="00F02827">
      <w:pPr>
        <w:overflowPunct/>
        <w:autoSpaceDE/>
        <w:autoSpaceDN/>
        <w:adjustRightInd/>
        <w:textAlignment w:val="auto"/>
        <w:rPr>
          <w:rFonts w:eastAsia="Calibri"/>
          <w:color w:val="auto"/>
          <w:sz w:val="22"/>
          <w:szCs w:val="22"/>
          <w:u w:val="single"/>
          <w:lang w:eastAsia="en-US"/>
        </w:rPr>
      </w:pPr>
      <w:r w:rsidRPr="00F02827">
        <w:rPr>
          <w:rFonts w:eastAsia="Calibri"/>
          <w:color w:val="auto"/>
          <w:sz w:val="22"/>
          <w:szCs w:val="22"/>
          <w:u w:val="single"/>
          <w:lang w:eastAsia="en-US"/>
        </w:rPr>
        <w:t xml:space="preserve">References </w:t>
      </w:r>
    </w:p>
    <w:p w14:paraId="259215A5" w14:textId="77777777" w:rsidR="00F02827" w:rsidRPr="00F02827" w:rsidRDefault="00F02827" w:rsidP="00F02827">
      <w:pPr>
        <w:overflowPunct/>
        <w:autoSpaceDE/>
        <w:autoSpaceDN/>
        <w:adjustRightInd/>
        <w:textAlignment w:val="auto"/>
        <w:rPr>
          <w:rFonts w:eastAsia="Calibri"/>
          <w:color w:val="auto"/>
          <w:sz w:val="22"/>
          <w:szCs w:val="22"/>
          <w:lang w:val="en" w:eastAsia="en-US"/>
        </w:rPr>
      </w:pPr>
    </w:p>
    <w:p w14:paraId="70553454" w14:textId="77777777" w:rsidR="00F02827" w:rsidRPr="00F02827" w:rsidRDefault="00F02827" w:rsidP="00F02827">
      <w:pPr>
        <w:overflowPunct/>
        <w:autoSpaceDE/>
        <w:autoSpaceDN/>
        <w:adjustRightInd/>
        <w:textAlignment w:val="auto"/>
        <w:rPr>
          <w:rFonts w:eastAsia="Calibri"/>
          <w:color w:val="auto"/>
          <w:sz w:val="22"/>
          <w:szCs w:val="22"/>
          <w:lang w:val="en" w:eastAsia="en-US"/>
        </w:rPr>
      </w:pPr>
      <w:r w:rsidRPr="00F02827">
        <w:rPr>
          <w:rFonts w:eastAsia="Calibri"/>
          <w:color w:val="auto"/>
          <w:sz w:val="22"/>
          <w:szCs w:val="22"/>
          <w:lang w:val="en" w:eastAsia="en-US"/>
        </w:rPr>
        <w:t xml:space="preserve">Ajaz, A. (2019) </w:t>
      </w:r>
      <w:r w:rsidRPr="00F02827">
        <w:rPr>
          <w:rFonts w:eastAsia="Calibri"/>
          <w:i/>
          <w:iCs/>
          <w:color w:val="auto"/>
          <w:sz w:val="22"/>
          <w:szCs w:val="22"/>
          <w:lang w:val="en" w:eastAsia="en-US"/>
        </w:rPr>
        <w:t>Powers of the Police: When to provide your mobile phone PIN or Password – ABV Solicitors</w:t>
      </w:r>
      <w:r w:rsidRPr="00F02827">
        <w:rPr>
          <w:rFonts w:eastAsia="Calibri"/>
          <w:color w:val="auto"/>
          <w:sz w:val="22"/>
          <w:szCs w:val="22"/>
          <w:lang w:val="en" w:eastAsia="en-US"/>
        </w:rPr>
        <w:t xml:space="preserve">. ABV Solicitors. Available at: </w:t>
      </w:r>
      <w:hyperlink r:id="rId81" w:history="1">
        <w:r w:rsidRPr="00F02827">
          <w:rPr>
            <w:rFonts w:eastAsia="Calibri"/>
            <w:color w:val="0563C1"/>
            <w:sz w:val="22"/>
            <w:szCs w:val="22"/>
            <w:u w:val="single"/>
            <w:lang w:val="en" w:eastAsia="en-US"/>
          </w:rPr>
          <w:t>https://www.abvsolicitors.co.uk/articles/powers-of-the-police-when-to-provide-your-mobile-phone-pin-or-password/</w:t>
        </w:r>
      </w:hyperlink>
      <w:r w:rsidRPr="00F02827">
        <w:rPr>
          <w:rFonts w:eastAsia="Calibri"/>
          <w:color w:val="auto"/>
          <w:sz w:val="22"/>
          <w:szCs w:val="22"/>
          <w:lang w:val="en" w:eastAsia="en-US"/>
        </w:rPr>
        <w:t xml:space="preserve"> [Accessed 12 June 2022].</w:t>
      </w:r>
    </w:p>
    <w:p w14:paraId="0FC56F1B"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24442A90"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Bell, N. (2015) </w:t>
      </w:r>
      <w:r w:rsidRPr="00F02827">
        <w:rPr>
          <w:rFonts w:eastAsia="Calibri"/>
          <w:i/>
          <w:iCs/>
          <w:color w:val="auto"/>
          <w:sz w:val="22"/>
          <w:szCs w:val="22"/>
          <w:lang w:eastAsia="en-US"/>
        </w:rPr>
        <w:t>How to deal with revenge porn if you have been a victim</w:t>
      </w:r>
      <w:r w:rsidRPr="00F02827">
        <w:rPr>
          <w:rFonts w:eastAsia="Calibri"/>
          <w:color w:val="auto"/>
          <w:sz w:val="22"/>
          <w:szCs w:val="22"/>
          <w:lang w:eastAsia="en-US"/>
        </w:rPr>
        <w:t xml:space="preserve">. Counselling-directory.org.uk. Available at: </w:t>
      </w:r>
      <w:hyperlink r:id="rId82" w:history="1">
        <w:r w:rsidRPr="00F02827">
          <w:rPr>
            <w:rFonts w:eastAsia="Calibri"/>
            <w:color w:val="0563C1"/>
            <w:sz w:val="22"/>
            <w:szCs w:val="22"/>
            <w:u w:val="single"/>
            <w:lang w:eastAsia="en-US"/>
          </w:rPr>
          <w:t>https://www.counselling-directory.org.uk/memberarticles/how-to-deal-with-revenge-porn-if-you-have-been-a-victim</w:t>
        </w:r>
      </w:hyperlink>
      <w:r w:rsidRPr="00F02827">
        <w:rPr>
          <w:rFonts w:eastAsia="Calibri"/>
          <w:color w:val="auto"/>
          <w:sz w:val="22"/>
          <w:szCs w:val="22"/>
          <w:lang w:eastAsia="en-US"/>
        </w:rPr>
        <w:t xml:space="preserve"> [Accessed 11 June 2022].</w:t>
      </w:r>
    </w:p>
    <w:p w14:paraId="6621A24A" w14:textId="77777777" w:rsidR="00F02827" w:rsidRPr="00F02827" w:rsidRDefault="00F02827" w:rsidP="00F02827">
      <w:pPr>
        <w:overflowPunct/>
        <w:autoSpaceDE/>
        <w:autoSpaceDN/>
        <w:adjustRightInd/>
        <w:textAlignment w:val="auto"/>
        <w:rPr>
          <w:rFonts w:eastAsia="Calibri"/>
          <w:color w:val="auto"/>
          <w:sz w:val="22"/>
          <w:szCs w:val="22"/>
          <w:lang w:val="en" w:eastAsia="en-US"/>
        </w:rPr>
      </w:pPr>
    </w:p>
    <w:p w14:paraId="335BD1C4"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val="en" w:eastAsia="en-US"/>
        </w:rPr>
        <w:t xml:space="preserve">Berman, M. (2021) </w:t>
      </w:r>
      <w:r w:rsidRPr="00F02827">
        <w:rPr>
          <w:rFonts w:eastAsia="Calibri"/>
          <w:i/>
          <w:iCs/>
          <w:color w:val="auto"/>
          <w:sz w:val="22"/>
          <w:szCs w:val="22"/>
          <w:lang w:val="en" w:eastAsia="en-US"/>
        </w:rPr>
        <w:t>What is Digital Technology?</w:t>
      </w:r>
      <w:r w:rsidRPr="00F02827">
        <w:rPr>
          <w:rFonts w:eastAsia="Calibri"/>
          <w:color w:val="auto"/>
          <w:sz w:val="22"/>
          <w:szCs w:val="22"/>
          <w:lang w:val="en" w:eastAsia="en-US"/>
        </w:rPr>
        <w:t xml:space="preserve">.  Programming Insider. Available at: </w:t>
      </w:r>
      <w:hyperlink r:id="rId83" w:history="1">
        <w:r w:rsidRPr="00F02827">
          <w:rPr>
            <w:rFonts w:eastAsia="Calibri"/>
            <w:color w:val="0563C1"/>
            <w:sz w:val="22"/>
            <w:szCs w:val="22"/>
            <w:u w:val="single"/>
            <w:lang w:val="en" w:eastAsia="en-US"/>
          </w:rPr>
          <w:t>https://programminginsider.com/what-is-digital-technology/</w:t>
        </w:r>
      </w:hyperlink>
      <w:r w:rsidRPr="00F02827">
        <w:rPr>
          <w:rFonts w:eastAsia="Calibri"/>
          <w:color w:val="auto"/>
          <w:sz w:val="22"/>
          <w:szCs w:val="22"/>
          <w:lang w:val="en" w:eastAsia="en-US"/>
        </w:rPr>
        <w:t xml:space="preserve"> [Accessed 13 June 2022].</w:t>
      </w:r>
    </w:p>
    <w:p w14:paraId="648B20B8"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48732EDA" w14:textId="77777777" w:rsidR="00F02827" w:rsidRPr="00F02827" w:rsidRDefault="00F02827" w:rsidP="00F02827">
      <w:pPr>
        <w:overflowPunct/>
        <w:autoSpaceDE/>
        <w:autoSpaceDN/>
        <w:adjustRightInd/>
        <w:jc w:val="both"/>
        <w:textAlignment w:val="auto"/>
        <w:rPr>
          <w:rFonts w:eastAsia="Calibri"/>
          <w:color w:val="auto"/>
          <w:sz w:val="22"/>
          <w:szCs w:val="22"/>
          <w:lang w:eastAsia="en-US"/>
        </w:rPr>
      </w:pPr>
      <w:r w:rsidRPr="00F02827">
        <w:rPr>
          <w:rFonts w:eastAsia="Calibri"/>
          <w:color w:val="auto"/>
          <w:sz w:val="22"/>
          <w:szCs w:val="22"/>
          <w:lang w:eastAsia="en-US"/>
        </w:rPr>
        <w:t>Bond, E. and Tyrrell, K. (2021) ‘Understanding Revenge Pornography: A National Survey of Police Officers and Staff in England and Wales’, </w:t>
      </w:r>
      <w:r w:rsidRPr="00F02827">
        <w:rPr>
          <w:rFonts w:eastAsia="Calibri"/>
          <w:i/>
          <w:iCs/>
          <w:color w:val="auto"/>
          <w:sz w:val="22"/>
          <w:szCs w:val="22"/>
          <w:lang w:eastAsia="en-US"/>
        </w:rPr>
        <w:t>Journal of interpersonal violence</w:t>
      </w:r>
      <w:r w:rsidRPr="00F02827">
        <w:rPr>
          <w:rFonts w:eastAsia="Calibri"/>
          <w:color w:val="auto"/>
          <w:sz w:val="22"/>
          <w:szCs w:val="22"/>
          <w:lang w:eastAsia="en-US"/>
        </w:rPr>
        <w:t>, 36(5-6), pp. 2166–2181. doi:10.1177/0886260518760011.</w:t>
      </w:r>
    </w:p>
    <w:p w14:paraId="05D92C47"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7784536A"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College of Policing (2013) </w:t>
      </w:r>
      <w:r w:rsidRPr="00F02827">
        <w:rPr>
          <w:rFonts w:eastAsia="Calibri"/>
          <w:i/>
          <w:iCs/>
          <w:color w:val="auto"/>
          <w:sz w:val="22"/>
          <w:szCs w:val="22"/>
          <w:lang w:eastAsia="en-US"/>
        </w:rPr>
        <w:t>Investigative interviewing</w:t>
      </w:r>
      <w:r w:rsidRPr="00F02827">
        <w:rPr>
          <w:rFonts w:eastAsia="Calibri"/>
          <w:color w:val="auto"/>
          <w:sz w:val="22"/>
          <w:szCs w:val="22"/>
          <w:lang w:eastAsia="en-US"/>
        </w:rPr>
        <w:t xml:space="preserve">. College of Policing. Available at: </w:t>
      </w:r>
      <w:hyperlink r:id="rId84" w:history="1">
        <w:r w:rsidRPr="00F02827">
          <w:rPr>
            <w:rFonts w:eastAsia="Calibri"/>
            <w:color w:val="0563C1"/>
            <w:sz w:val="22"/>
            <w:szCs w:val="22"/>
            <w:u w:val="single"/>
            <w:lang w:eastAsia="en-US"/>
          </w:rPr>
          <w:t>https://www.college.police.uk/app/investigation/investigative-interviewing/investigative-interviewing#</w:t>
        </w:r>
      </w:hyperlink>
      <w:r w:rsidRPr="00F02827">
        <w:rPr>
          <w:rFonts w:eastAsia="Calibri"/>
          <w:color w:val="auto"/>
          <w:sz w:val="22"/>
          <w:szCs w:val="22"/>
          <w:lang w:eastAsia="en-US"/>
        </w:rPr>
        <w:t xml:space="preserve"> [Accessed 2 June 2022].</w:t>
      </w:r>
    </w:p>
    <w:p w14:paraId="2A810F7B"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343BB2D5"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College of Policing (2021) </w:t>
      </w:r>
      <w:r w:rsidRPr="00F02827">
        <w:rPr>
          <w:rFonts w:eastAsia="Calibri"/>
          <w:i/>
          <w:iCs/>
          <w:color w:val="auto"/>
          <w:sz w:val="22"/>
          <w:szCs w:val="22"/>
          <w:lang w:eastAsia="en-US"/>
        </w:rPr>
        <w:t>Adults at risk</w:t>
      </w:r>
      <w:r w:rsidRPr="00F02827">
        <w:rPr>
          <w:rFonts w:eastAsia="Calibri"/>
          <w:color w:val="auto"/>
          <w:sz w:val="22"/>
          <w:szCs w:val="22"/>
          <w:lang w:eastAsia="en-US"/>
        </w:rPr>
        <w:t xml:space="preserve">. College of Policing. Available at: </w:t>
      </w:r>
      <w:hyperlink r:id="rId85" w:history="1">
        <w:r w:rsidRPr="00F02827">
          <w:rPr>
            <w:rFonts w:eastAsia="Calibri"/>
            <w:color w:val="0563C1"/>
            <w:sz w:val="22"/>
            <w:szCs w:val="22"/>
            <w:u w:val="single"/>
            <w:lang w:eastAsia="en-US"/>
          </w:rPr>
          <w:t>https://www.college.police.uk/app/major-investigation-and-public-protection/adults-risk</w:t>
        </w:r>
      </w:hyperlink>
      <w:r w:rsidRPr="00F02827">
        <w:rPr>
          <w:rFonts w:eastAsia="Calibri"/>
          <w:color w:val="auto"/>
          <w:sz w:val="22"/>
          <w:szCs w:val="22"/>
          <w:lang w:eastAsia="en-US"/>
        </w:rPr>
        <w:t xml:space="preserve"> [Accessed 8 June 2022].</w:t>
      </w:r>
    </w:p>
    <w:p w14:paraId="7148645A"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013EBBC6"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val="en" w:eastAsia="en-US"/>
        </w:rPr>
        <w:t xml:space="preserve">Crown Prosecution Service (2017) </w:t>
      </w:r>
      <w:r w:rsidRPr="00F02827">
        <w:rPr>
          <w:rFonts w:eastAsia="Calibri"/>
          <w:i/>
          <w:iCs/>
          <w:color w:val="auto"/>
          <w:sz w:val="22"/>
          <w:szCs w:val="22"/>
          <w:lang w:val="en" w:eastAsia="en-US"/>
        </w:rPr>
        <w:t>Revenge Pornography - Guidelines on prosecuting the offence of disclosing private sexual photographs and films | The Crown Prosecution Service</w:t>
      </w:r>
      <w:r w:rsidRPr="00F02827">
        <w:rPr>
          <w:rFonts w:eastAsia="Calibri"/>
          <w:color w:val="auto"/>
          <w:sz w:val="22"/>
          <w:szCs w:val="22"/>
          <w:lang w:val="en" w:eastAsia="en-US"/>
        </w:rPr>
        <w:t xml:space="preserve">. Cps.gov.uk. Available at: </w:t>
      </w:r>
      <w:hyperlink r:id="rId86" w:history="1">
        <w:r w:rsidRPr="00F02827">
          <w:rPr>
            <w:rFonts w:eastAsia="Calibri"/>
            <w:color w:val="0563C1"/>
            <w:sz w:val="22"/>
            <w:szCs w:val="22"/>
            <w:u w:val="single"/>
            <w:lang w:val="en" w:eastAsia="en-US"/>
          </w:rPr>
          <w:t>https://www.cps.gov.uk/legal-guidance/revenge-pornography-guidelines-prosecuting-offence-disclosing-private-sexual</w:t>
        </w:r>
      </w:hyperlink>
      <w:r w:rsidRPr="00F02827">
        <w:rPr>
          <w:rFonts w:eastAsia="Calibri"/>
          <w:color w:val="auto"/>
          <w:sz w:val="22"/>
          <w:szCs w:val="22"/>
          <w:lang w:val="en" w:eastAsia="en-US"/>
        </w:rPr>
        <w:t xml:space="preserve"> [Accessed 11 June 2022].</w:t>
      </w:r>
    </w:p>
    <w:p w14:paraId="5EB63DC5"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106C9A2B"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Digital communication (2022) </w:t>
      </w:r>
      <w:r w:rsidRPr="00F02827">
        <w:rPr>
          <w:rFonts w:eastAsia="Calibri"/>
          <w:i/>
          <w:iCs/>
          <w:color w:val="auto"/>
          <w:sz w:val="22"/>
          <w:szCs w:val="22"/>
          <w:lang w:eastAsia="en-US"/>
        </w:rPr>
        <w:t>What Is Digital Communication?</w:t>
      </w:r>
      <w:r w:rsidRPr="00F02827">
        <w:rPr>
          <w:rFonts w:eastAsia="Calibri"/>
          <w:color w:val="auto"/>
          <w:sz w:val="22"/>
          <w:szCs w:val="22"/>
          <w:lang w:eastAsia="en-US"/>
        </w:rPr>
        <w:t xml:space="preserve">. Digital communication. Available at: </w:t>
      </w:r>
      <w:hyperlink r:id="rId87" w:history="1">
        <w:r w:rsidRPr="00F02827">
          <w:rPr>
            <w:rFonts w:eastAsia="Calibri"/>
            <w:color w:val="0563C1"/>
            <w:sz w:val="22"/>
            <w:szCs w:val="22"/>
            <w:u w:val="single"/>
            <w:lang w:eastAsia="en-US"/>
          </w:rPr>
          <w:t>https://digital-communication.weebly.com/what-is-digital-communication.html</w:t>
        </w:r>
      </w:hyperlink>
      <w:r w:rsidRPr="00F02827">
        <w:rPr>
          <w:rFonts w:eastAsia="Calibri"/>
          <w:color w:val="auto"/>
          <w:sz w:val="22"/>
          <w:szCs w:val="22"/>
          <w:lang w:eastAsia="en-US"/>
        </w:rPr>
        <w:t xml:space="preserve"> [Accessed 11 June 2022].</w:t>
      </w:r>
    </w:p>
    <w:p w14:paraId="31631C45"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424042D5"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HM Government (2014) </w:t>
      </w:r>
      <w:r w:rsidRPr="00F02827">
        <w:rPr>
          <w:rFonts w:eastAsia="Calibri"/>
          <w:i/>
          <w:iCs/>
          <w:color w:val="auto"/>
          <w:sz w:val="22"/>
          <w:szCs w:val="22"/>
          <w:lang w:eastAsia="en-US"/>
        </w:rPr>
        <w:t>New law to tackle revenge porn</w:t>
      </w:r>
      <w:r w:rsidRPr="00F02827">
        <w:rPr>
          <w:rFonts w:eastAsia="Calibri"/>
          <w:color w:val="auto"/>
          <w:sz w:val="22"/>
          <w:szCs w:val="22"/>
          <w:lang w:eastAsia="en-US"/>
        </w:rPr>
        <w:t xml:space="preserve">. GOV.UK. Available at: </w:t>
      </w:r>
      <w:hyperlink r:id="rId88" w:history="1">
        <w:r w:rsidRPr="00F02827">
          <w:rPr>
            <w:rFonts w:eastAsia="Calibri"/>
            <w:color w:val="0563C1"/>
            <w:sz w:val="22"/>
            <w:szCs w:val="22"/>
            <w:u w:val="single"/>
            <w:lang w:eastAsia="en-US"/>
          </w:rPr>
          <w:t>https://www.gov.uk/government/news/new-law-to-tackle-revenge-porn</w:t>
        </w:r>
      </w:hyperlink>
      <w:r w:rsidRPr="00F02827">
        <w:rPr>
          <w:rFonts w:eastAsia="Calibri"/>
          <w:color w:val="auto"/>
          <w:sz w:val="22"/>
          <w:szCs w:val="22"/>
          <w:lang w:eastAsia="en-US"/>
        </w:rPr>
        <w:t xml:space="preserve"> [Accessed 12 June 2022].</w:t>
      </w:r>
    </w:p>
    <w:p w14:paraId="3650AEF6"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5054D514"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val="en" w:eastAsia="en-US"/>
        </w:rPr>
        <w:t xml:space="preserve">Home Office (2011) </w:t>
      </w:r>
      <w:r w:rsidRPr="00F02827">
        <w:rPr>
          <w:rFonts w:eastAsia="Calibri"/>
          <w:i/>
          <w:iCs/>
          <w:color w:val="auto"/>
          <w:sz w:val="22"/>
          <w:szCs w:val="22"/>
          <w:lang w:val="en" w:eastAsia="en-US"/>
        </w:rPr>
        <w:t>Guide for Appropriate Adults</w:t>
      </w:r>
      <w:r w:rsidRPr="00F02827">
        <w:rPr>
          <w:rFonts w:eastAsia="Calibri"/>
          <w:color w:val="auto"/>
          <w:sz w:val="22"/>
          <w:szCs w:val="22"/>
          <w:lang w:val="en" w:eastAsia="en-US"/>
        </w:rPr>
        <w:t xml:space="preserve">. pp.1-2. Available at: </w:t>
      </w:r>
      <w:hyperlink r:id="rId89" w:history="1">
        <w:r w:rsidRPr="00F02827">
          <w:rPr>
            <w:rFonts w:eastAsia="Calibri"/>
            <w:color w:val="0563C1"/>
            <w:sz w:val="22"/>
            <w:szCs w:val="22"/>
            <w:u w:val="single"/>
            <w:lang w:val="en" w:eastAsia="en-US"/>
          </w:rPr>
          <w:t>https://assets.publishing.service.gov.uk/government/uploads/system/uploads/attachment_data/file/117682/appropriate-adults-guide.pdf</w:t>
        </w:r>
      </w:hyperlink>
      <w:r w:rsidRPr="00F02827">
        <w:rPr>
          <w:rFonts w:eastAsia="Calibri"/>
          <w:color w:val="auto"/>
          <w:sz w:val="22"/>
          <w:szCs w:val="22"/>
          <w:lang w:val="en" w:eastAsia="en-US"/>
        </w:rPr>
        <w:t xml:space="preserve"> [Accessed 9 June 2022].</w:t>
      </w:r>
    </w:p>
    <w:p w14:paraId="617F4591" w14:textId="77777777" w:rsidR="00F02827" w:rsidRPr="00F02827" w:rsidRDefault="00F02827" w:rsidP="00F02827">
      <w:pPr>
        <w:overflowPunct/>
        <w:autoSpaceDE/>
        <w:autoSpaceDN/>
        <w:adjustRightInd/>
        <w:textAlignment w:val="auto"/>
        <w:rPr>
          <w:rFonts w:eastAsia="Calibri"/>
          <w:color w:val="auto"/>
          <w:sz w:val="22"/>
          <w:szCs w:val="22"/>
          <w:lang w:val="en" w:eastAsia="en-US"/>
        </w:rPr>
      </w:pPr>
    </w:p>
    <w:p w14:paraId="6A9CBBB1"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val="en" w:eastAsia="en-US"/>
        </w:rPr>
        <w:t xml:space="preserve">Hussey, J. (2020) </w:t>
      </w:r>
      <w:r w:rsidRPr="00F02827">
        <w:rPr>
          <w:rFonts w:eastAsia="Calibri"/>
          <w:i/>
          <w:iCs/>
          <w:color w:val="auto"/>
          <w:sz w:val="22"/>
          <w:szCs w:val="22"/>
          <w:lang w:val="en" w:eastAsia="en-US"/>
        </w:rPr>
        <w:t>What is Risk and Risk of Harm? - Intervention Hub</w:t>
      </w:r>
      <w:r w:rsidRPr="00F02827">
        <w:rPr>
          <w:rFonts w:eastAsia="Calibri"/>
          <w:color w:val="auto"/>
          <w:sz w:val="22"/>
          <w:szCs w:val="22"/>
          <w:lang w:val="en" w:eastAsia="en-US"/>
        </w:rPr>
        <w:t xml:space="preserve">.  Intervention Hub. Available at: </w:t>
      </w:r>
      <w:hyperlink r:id="rId90" w:history="1">
        <w:r w:rsidRPr="00F02827">
          <w:rPr>
            <w:rFonts w:eastAsia="Calibri"/>
            <w:color w:val="0563C1"/>
            <w:sz w:val="22"/>
            <w:szCs w:val="22"/>
            <w:u w:val="single"/>
            <w:lang w:val="en" w:eastAsia="en-US"/>
          </w:rPr>
          <w:t>https://www.intervention-hub.com/lessons/risk-of-harm/</w:t>
        </w:r>
      </w:hyperlink>
      <w:r w:rsidRPr="00F02827">
        <w:rPr>
          <w:rFonts w:eastAsia="Calibri"/>
          <w:color w:val="auto"/>
          <w:sz w:val="22"/>
          <w:szCs w:val="22"/>
          <w:lang w:val="en" w:eastAsia="en-US"/>
        </w:rPr>
        <w:t xml:space="preserve"> [Accessed 13 June 2022].</w:t>
      </w:r>
    </w:p>
    <w:p w14:paraId="19D96459" w14:textId="77777777" w:rsidR="00F02827" w:rsidRPr="00F02827" w:rsidRDefault="00F02827" w:rsidP="00F02827">
      <w:pPr>
        <w:overflowPunct/>
        <w:autoSpaceDE/>
        <w:autoSpaceDN/>
        <w:adjustRightInd/>
        <w:textAlignment w:val="auto"/>
        <w:rPr>
          <w:rFonts w:eastAsia="Calibri"/>
          <w:color w:val="auto"/>
          <w:sz w:val="22"/>
          <w:szCs w:val="22"/>
          <w:lang w:val="en" w:eastAsia="en-US"/>
        </w:rPr>
      </w:pPr>
    </w:p>
    <w:p w14:paraId="43EB6527"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val="en" w:eastAsia="en-US"/>
        </w:rPr>
        <w:t xml:space="preserve">Johnson, K. (2021) </w:t>
      </w:r>
      <w:r w:rsidRPr="00F02827">
        <w:rPr>
          <w:rFonts w:eastAsia="Calibri"/>
          <w:i/>
          <w:iCs/>
          <w:color w:val="auto"/>
          <w:sz w:val="22"/>
          <w:szCs w:val="22"/>
          <w:lang w:val="en" w:eastAsia="en-US"/>
        </w:rPr>
        <w:t>What Is Digital Technology? 25 Best Examples</w:t>
      </w:r>
      <w:r w:rsidRPr="00F02827">
        <w:rPr>
          <w:rFonts w:eastAsia="Calibri"/>
          <w:color w:val="auto"/>
          <w:sz w:val="22"/>
          <w:szCs w:val="22"/>
          <w:lang w:val="en" w:eastAsia="en-US"/>
        </w:rPr>
        <w:t xml:space="preserve">. Honest pro and cons. Available at: </w:t>
      </w:r>
      <w:hyperlink r:id="rId91" w:history="1">
        <w:r w:rsidRPr="00F02827">
          <w:rPr>
            <w:rFonts w:eastAsia="Calibri"/>
            <w:color w:val="0563C1"/>
            <w:sz w:val="22"/>
            <w:szCs w:val="22"/>
            <w:u w:val="single"/>
            <w:lang w:val="en" w:eastAsia="en-US"/>
          </w:rPr>
          <w:t>https://honestproscons.com/what-is-digital-technology-25-best-examples/</w:t>
        </w:r>
      </w:hyperlink>
      <w:r w:rsidRPr="00F02827">
        <w:rPr>
          <w:rFonts w:eastAsia="Calibri"/>
          <w:color w:val="auto"/>
          <w:sz w:val="22"/>
          <w:szCs w:val="22"/>
          <w:lang w:val="en" w:eastAsia="en-US"/>
        </w:rPr>
        <w:t xml:space="preserve"> [Accessed 11 June 2022].</w:t>
      </w:r>
    </w:p>
    <w:p w14:paraId="38945333"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2D4890B0"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Kamal, M. and Newman, W.J. (2016) ‘Revenge Pornography: Mental Health Implications and Related Legislation’, </w:t>
      </w:r>
      <w:r w:rsidRPr="00F02827">
        <w:rPr>
          <w:rFonts w:eastAsia="Calibri"/>
          <w:i/>
          <w:iCs/>
          <w:color w:val="auto"/>
          <w:sz w:val="22"/>
          <w:szCs w:val="22"/>
          <w:lang w:eastAsia="en-US"/>
        </w:rPr>
        <w:t>The journal of the American Academy of Psychiatry and the Law</w:t>
      </w:r>
      <w:r w:rsidRPr="00F02827">
        <w:rPr>
          <w:rFonts w:eastAsia="Calibri"/>
          <w:color w:val="auto"/>
          <w:sz w:val="22"/>
          <w:szCs w:val="22"/>
          <w:lang w:eastAsia="en-US"/>
        </w:rPr>
        <w:t>, 44(3), pp. 359–367.</w:t>
      </w:r>
    </w:p>
    <w:p w14:paraId="53E37C83"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592C9FDB" w14:textId="77777777" w:rsidR="00F02827" w:rsidRPr="00F02827" w:rsidRDefault="00F02827" w:rsidP="00F02827">
      <w:pPr>
        <w:overflowPunct/>
        <w:autoSpaceDE/>
        <w:autoSpaceDN/>
        <w:adjustRightInd/>
        <w:textAlignment w:val="auto"/>
        <w:rPr>
          <w:rFonts w:eastAsia="Calibri"/>
          <w:color w:val="auto"/>
          <w:sz w:val="22"/>
          <w:szCs w:val="22"/>
          <w:lang w:val="en" w:eastAsia="en-US"/>
        </w:rPr>
      </w:pPr>
      <w:r w:rsidRPr="00F02827">
        <w:rPr>
          <w:rFonts w:eastAsia="Calibri"/>
          <w:color w:val="auto"/>
          <w:sz w:val="22"/>
          <w:szCs w:val="22"/>
          <w:lang w:val="en" w:eastAsia="en-US"/>
        </w:rPr>
        <w:t xml:space="preserve">National Appropriate Adult Network (2022) </w:t>
      </w:r>
      <w:r w:rsidRPr="00F02827">
        <w:rPr>
          <w:rFonts w:eastAsia="Calibri"/>
          <w:i/>
          <w:iCs/>
          <w:color w:val="auto"/>
          <w:sz w:val="22"/>
          <w:szCs w:val="22"/>
          <w:lang w:val="en" w:eastAsia="en-US"/>
        </w:rPr>
        <w:t>About appropriate adults</w:t>
      </w:r>
      <w:r w:rsidRPr="00F02827">
        <w:rPr>
          <w:rFonts w:eastAsia="Calibri"/>
          <w:color w:val="auto"/>
          <w:sz w:val="22"/>
          <w:szCs w:val="22"/>
          <w:lang w:val="en" w:eastAsia="en-US"/>
        </w:rPr>
        <w:t xml:space="preserve">. Appropriateadult.org.uk. Available at: </w:t>
      </w:r>
      <w:hyperlink r:id="rId92" w:history="1">
        <w:r w:rsidRPr="00F02827">
          <w:rPr>
            <w:rFonts w:eastAsia="Calibri"/>
            <w:color w:val="0563C1"/>
            <w:sz w:val="22"/>
            <w:szCs w:val="22"/>
            <w:u w:val="single"/>
            <w:lang w:val="en" w:eastAsia="en-US"/>
          </w:rPr>
          <w:t>https://appropriateadult.org.uk/information/what-is-an-appropriate-adult</w:t>
        </w:r>
      </w:hyperlink>
      <w:r w:rsidRPr="00F02827">
        <w:rPr>
          <w:rFonts w:eastAsia="Calibri"/>
          <w:color w:val="auto"/>
          <w:sz w:val="22"/>
          <w:szCs w:val="22"/>
          <w:lang w:val="en" w:eastAsia="en-US"/>
        </w:rPr>
        <w:t xml:space="preserve"> [Accessed 13 June 2022].</w:t>
      </w:r>
    </w:p>
    <w:p w14:paraId="1FFD6E7A"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5883F099"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val="en" w:eastAsia="en-US"/>
        </w:rPr>
        <w:t xml:space="preserve">National Crime Agency (2016) </w:t>
      </w:r>
      <w:r w:rsidRPr="00F02827">
        <w:rPr>
          <w:rFonts w:eastAsia="Calibri"/>
          <w:i/>
          <w:iCs/>
          <w:color w:val="auto"/>
          <w:sz w:val="22"/>
          <w:szCs w:val="22"/>
          <w:lang w:val="en" w:eastAsia="en-US"/>
        </w:rPr>
        <w:t>Guidance on reporting routes relating to vulnerable persons</w:t>
      </w:r>
      <w:r w:rsidRPr="00F02827">
        <w:rPr>
          <w:rFonts w:eastAsia="Calibri"/>
          <w:color w:val="auto"/>
          <w:sz w:val="22"/>
          <w:szCs w:val="22"/>
          <w:lang w:val="en" w:eastAsia="en-US"/>
        </w:rPr>
        <w:t xml:space="preserve">. p.2. Available at: </w:t>
      </w:r>
      <w:hyperlink r:id="rId93" w:history="1">
        <w:r w:rsidRPr="00F02827">
          <w:rPr>
            <w:rFonts w:eastAsia="Calibri"/>
            <w:color w:val="0563C1"/>
            <w:sz w:val="22"/>
            <w:szCs w:val="22"/>
            <w:u w:val="single"/>
            <w:lang w:val="en" w:eastAsia="en-US"/>
          </w:rPr>
          <w:t>https://nationalcrimeagency.gov.uk/who-we-are/publications/45-guidance-on-sars-reporting-routes-relating-to-vulnerable-persons/file</w:t>
        </w:r>
      </w:hyperlink>
      <w:r w:rsidRPr="00F02827">
        <w:rPr>
          <w:rFonts w:eastAsia="Calibri"/>
          <w:color w:val="auto"/>
          <w:sz w:val="22"/>
          <w:szCs w:val="22"/>
          <w:lang w:val="en" w:eastAsia="en-US"/>
        </w:rPr>
        <w:t xml:space="preserve"> [Accessed 12 June 2022].</w:t>
      </w:r>
    </w:p>
    <w:p w14:paraId="58B1F2D9"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3DBE63CC"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eastAsia="en-US"/>
        </w:rPr>
        <w:t xml:space="preserve">NICE (2022) </w:t>
      </w:r>
      <w:r w:rsidRPr="00F02827">
        <w:rPr>
          <w:rFonts w:eastAsia="Calibri"/>
          <w:i/>
          <w:iCs/>
          <w:color w:val="auto"/>
          <w:sz w:val="22"/>
          <w:szCs w:val="22"/>
          <w:lang w:eastAsia="en-US"/>
        </w:rPr>
        <w:t>NICE Investigate The Firth Digital Investigation Solution for Law Enforcement</w:t>
      </w:r>
      <w:r w:rsidRPr="00F02827">
        <w:rPr>
          <w:rFonts w:eastAsia="Calibri"/>
          <w:color w:val="auto"/>
          <w:sz w:val="22"/>
          <w:szCs w:val="22"/>
          <w:lang w:eastAsia="en-US"/>
        </w:rPr>
        <w:t xml:space="preserve">. pp.2-3. Available at: </w:t>
      </w:r>
      <w:hyperlink r:id="rId94" w:history="1">
        <w:r w:rsidRPr="00F02827">
          <w:rPr>
            <w:rFonts w:eastAsia="Calibri"/>
            <w:color w:val="0563C1"/>
            <w:sz w:val="22"/>
            <w:szCs w:val="22"/>
            <w:u w:val="single"/>
            <w:lang w:eastAsia="en-US"/>
          </w:rPr>
          <w:t>http://www.nice-files.com/files/NICE_Investigate_Solution_Overview.pdf</w:t>
        </w:r>
      </w:hyperlink>
      <w:r w:rsidRPr="00F02827">
        <w:rPr>
          <w:rFonts w:eastAsia="Calibri"/>
          <w:color w:val="auto"/>
          <w:sz w:val="22"/>
          <w:szCs w:val="22"/>
          <w:lang w:eastAsia="en-US"/>
        </w:rPr>
        <w:t xml:space="preserve"> [Accessed 9 June 2022].</w:t>
      </w:r>
    </w:p>
    <w:p w14:paraId="4C075157" w14:textId="77777777" w:rsidR="00F02827" w:rsidRPr="00F02827" w:rsidRDefault="00F02827" w:rsidP="00F02827">
      <w:pPr>
        <w:overflowPunct/>
        <w:autoSpaceDE/>
        <w:autoSpaceDN/>
        <w:adjustRightInd/>
        <w:textAlignment w:val="auto"/>
        <w:rPr>
          <w:rFonts w:eastAsia="Calibri"/>
          <w:color w:val="auto"/>
          <w:sz w:val="22"/>
          <w:szCs w:val="22"/>
          <w:lang w:eastAsia="en-US"/>
        </w:rPr>
      </w:pPr>
    </w:p>
    <w:p w14:paraId="4FC85457" w14:textId="77777777" w:rsidR="00F02827" w:rsidRPr="00F02827" w:rsidRDefault="00F02827" w:rsidP="00F02827">
      <w:pPr>
        <w:overflowPunct/>
        <w:autoSpaceDE/>
        <w:autoSpaceDN/>
        <w:adjustRightInd/>
        <w:textAlignment w:val="auto"/>
        <w:rPr>
          <w:rFonts w:eastAsia="Calibri"/>
          <w:color w:val="auto"/>
          <w:sz w:val="22"/>
          <w:szCs w:val="22"/>
          <w:lang w:val="en" w:eastAsia="en-US"/>
        </w:rPr>
      </w:pPr>
      <w:r w:rsidRPr="00F02827">
        <w:rPr>
          <w:rFonts w:eastAsia="Calibri"/>
          <w:color w:val="auto"/>
          <w:sz w:val="22"/>
          <w:szCs w:val="22"/>
          <w:lang w:val="en" w:eastAsia="en-US"/>
        </w:rPr>
        <w:t xml:space="preserve">Northampton Youth Offending Service (2022) </w:t>
      </w:r>
      <w:r w:rsidRPr="00F02827">
        <w:rPr>
          <w:rFonts w:eastAsia="Calibri"/>
          <w:i/>
          <w:iCs/>
          <w:color w:val="auto"/>
          <w:sz w:val="22"/>
          <w:szCs w:val="22"/>
          <w:lang w:val="en" w:eastAsia="en-US"/>
        </w:rPr>
        <w:t>What is a YOS?</w:t>
      </w:r>
      <w:r w:rsidRPr="00F02827">
        <w:rPr>
          <w:rFonts w:eastAsia="Calibri"/>
          <w:color w:val="auto"/>
          <w:sz w:val="22"/>
          <w:szCs w:val="22"/>
          <w:lang w:val="en" w:eastAsia="en-US"/>
        </w:rPr>
        <w:t xml:space="preserve">. N-yos.org.uk. Available at: </w:t>
      </w:r>
      <w:hyperlink r:id="rId95" w:history="1">
        <w:r w:rsidRPr="00F02827">
          <w:rPr>
            <w:rFonts w:eastAsia="Calibri"/>
            <w:color w:val="0563C1"/>
            <w:sz w:val="22"/>
            <w:szCs w:val="22"/>
            <w:u w:val="single"/>
            <w:lang w:val="en" w:eastAsia="en-US"/>
          </w:rPr>
          <w:t>http://www.n-yos.org.uk/what-is-a-yos</w:t>
        </w:r>
      </w:hyperlink>
      <w:r w:rsidRPr="00F02827">
        <w:rPr>
          <w:rFonts w:eastAsia="Calibri"/>
          <w:color w:val="auto"/>
          <w:sz w:val="22"/>
          <w:szCs w:val="22"/>
          <w:lang w:val="en" w:eastAsia="en-US"/>
        </w:rPr>
        <w:t xml:space="preserve"> [Accessed 12 June 2022].</w:t>
      </w:r>
    </w:p>
    <w:p w14:paraId="5358705C" w14:textId="77777777" w:rsidR="00F02827" w:rsidRPr="00F02827" w:rsidRDefault="00F02827" w:rsidP="00F02827">
      <w:pPr>
        <w:overflowPunct/>
        <w:autoSpaceDE/>
        <w:autoSpaceDN/>
        <w:adjustRightInd/>
        <w:textAlignment w:val="auto"/>
        <w:rPr>
          <w:rFonts w:eastAsia="Calibri"/>
          <w:color w:val="auto"/>
          <w:sz w:val="22"/>
          <w:szCs w:val="22"/>
          <w:lang w:val="en" w:eastAsia="en-US"/>
        </w:rPr>
      </w:pPr>
    </w:p>
    <w:p w14:paraId="02DB62B3" w14:textId="77777777" w:rsidR="00F02827" w:rsidRPr="00F02827" w:rsidRDefault="00F02827" w:rsidP="00F02827">
      <w:pPr>
        <w:overflowPunct/>
        <w:autoSpaceDE/>
        <w:autoSpaceDN/>
        <w:adjustRightInd/>
        <w:textAlignment w:val="auto"/>
        <w:rPr>
          <w:rFonts w:eastAsia="Calibri"/>
          <w:color w:val="auto"/>
          <w:sz w:val="22"/>
          <w:szCs w:val="22"/>
          <w:lang w:eastAsia="en-US"/>
        </w:rPr>
      </w:pPr>
      <w:r w:rsidRPr="00F02827">
        <w:rPr>
          <w:rFonts w:eastAsia="Calibri"/>
          <w:color w:val="auto"/>
          <w:sz w:val="22"/>
          <w:szCs w:val="22"/>
          <w:lang w:val="en" w:eastAsia="en-US"/>
        </w:rPr>
        <w:t xml:space="preserve">UK Legislation (2022) </w:t>
      </w:r>
      <w:r w:rsidRPr="00F02827">
        <w:rPr>
          <w:rFonts w:eastAsia="Calibri"/>
          <w:i/>
          <w:iCs/>
          <w:color w:val="auto"/>
          <w:sz w:val="22"/>
          <w:szCs w:val="22"/>
          <w:lang w:val="en" w:eastAsia="en-US"/>
        </w:rPr>
        <w:t>Protection of Children Act 1978</w:t>
      </w:r>
      <w:r w:rsidRPr="00F02827">
        <w:rPr>
          <w:rFonts w:eastAsia="Calibri"/>
          <w:color w:val="auto"/>
          <w:sz w:val="22"/>
          <w:szCs w:val="22"/>
          <w:lang w:val="en" w:eastAsia="en-US"/>
        </w:rPr>
        <w:t xml:space="preserve">. Legislation.gov.uk. Available at: </w:t>
      </w:r>
      <w:hyperlink r:id="rId96" w:history="1">
        <w:r w:rsidRPr="00F02827">
          <w:rPr>
            <w:rFonts w:eastAsia="Calibri"/>
            <w:color w:val="0563C1"/>
            <w:sz w:val="22"/>
            <w:szCs w:val="22"/>
            <w:u w:val="single"/>
            <w:lang w:val="en" w:eastAsia="en-US"/>
          </w:rPr>
          <w:t>https://www.legislation.gov.uk/ukpga/1978/37/section/1</w:t>
        </w:r>
      </w:hyperlink>
      <w:r w:rsidRPr="00F02827">
        <w:rPr>
          <w:rFonts w:eastAsia="Calibri"/>
          <w:color w:val="auto"/>
          <w:sz w:val="22"/>
          <w:szCs w:val="22"/>
          <w:lang w:val="en" w:eastAsia="en-US"/>
        </w:rPr>
        <w:t xml:space="preserve"> [Accessed 13 June 2022].</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43B52C51"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  _ _</w:t>
      </w:r>
      <w:r w:rsidR="00F02827">
        <w:rPr>
          <w:rStyle w:val="normaltextrun"/>
          <w:rFonts w:eastAsia="Arial"/>
          <w:color w:val="000000" w:themeColor="text1"/>
          <w:sz w:val="24"/>
          <w:szCs w:val="24"/>
        </w:rPr>
        <w:t>R.Hatter</w:t>
      </w:r>
      <w:r w:rsidRPr="4C3E8AB8">
        <w:rPr>
          <w:rStyle w:val="normaltextrun"/>
          <w:rFonts w:eastAsia="Arial"/>
          <w:color w:val="000000" w:themeColor="text1"/>
          <w:sz w:val="24"/>
          <w:szCs w:val="24"/>
        </w:rPr>
        <w:t>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0321052B"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Date: _ _</w:t>
      </w:r>
      <w:r w:rsidR="00F02827">
        <w:rPr>
          <w:rStyle w:val="normaltextrun"/>
          <w:rFonts w:eastAsia="Arial"/>
          <w:color w:val="000000" w:themeColor="text1"/>
          <w:sz w:val="24"/>
          <w:szCs w:val="24"/>
        </w:rPr>
        <w:t>13/06/2022</w:t>
      </w:r>
      <w:r w:rsidRPr="4C3E8AB8">
        <w:rPr>
          <w:rStyle w:val="normaltextrun"/>
          <w:rFonts w:eastAsia="Arial"/>
          <w:color w:val="000000" w:themeColor="text1"/>
          <w:sz w:val="24"/>
          <w:szCs w:val="24"/>
        </w:rPr>
        <w:t xml:space="preserve"> _ _ _ _ _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AECD2B" w14:textId="77777777" w:rsidR="008D0B51" w:rsidRDefault="008D0B51">
      <w:r>
        <w:separator/>
      </w:r>
    </w:p>
  </w:endnote>
  <w:endnote w:type="continuationSeparator" w:id="0">
    <w:p w14:paraId="4ADAB48A" w14:textId="77777777" w:rsidR="008D0B51" w:rsidRDefault="008D0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2FAD3" w14:textId="77777777" w:rsidR="00F6664B" w:rsidRDefault="00F666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3F07424" w:rsidR="00F6513F" w:rsidRDefault="00F6513F">
    <w:pPr>
      <w:pStyle w:val="Footer"/>
      <w:jc w:val="right"/>
    </w:pPr>
    <w:r>
      <w:fldChar w:fldCharType="begin"/>
    </w:r>
    <w:r>
      <w:instrText xml:space="preserve"> PAGE   \* MERGEFORMAT </w:instrText>
    </w:r>
    <w:r>
      <w:fldChar w:fldCharType="separate"/>
    </w:r>
    <w:r w:rsidR="00333A28">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AEB04" w14:textId="77777777" w:rsidR="00F6664B" w:rsidRDefault="00F66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BDFCE" w14:textId="77777777" w:rsidR="008D0B51" w:rsidRDefault="008D0B51">
      <w:r>
        <w:separator/>
      </w:r>
    </w:p>
  </w:footnote>
  <w:footnote w:type="continuationSeparator" w:id="0">
    <w:p w14:paraId="10522E0A" w14:textId="77777777" w:rsidR="008D0B51" w:rsidRDefault="008D0B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48B1F" w14:textId="77777777" w:rsidR="00F6664B" w:rsidRDefault="00F666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1978F" w14:textId="77777777" w:rsidR="00F6664B" w:rsidRDefault="00F666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08833" w14:textId="77777777" w:rsidR="00F6664B" w:rsidRDefault="00F666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B72"/>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5775"/>
    <w:rsid w:val="002E3F6C"/>
    <w:rsid w:val="002E7017"/>
    <w:rsid w:val="002F4F6E"/>
    <w:rsid w:val="003005AC"/>
    <w:rsid w:val="003015C3"/>
    <w:rsid w:val="0030698D"/>
    <w:rsid w:val="0031350A"/>
    <w:rsid w:val="0031569E"/>
    <w:rsid w:val="00316815"/>
    <w:rsid w:val="003168CA"/>
    <w:rsid w:val="00321255"/>
    <w:rsid w:val="0032230D"/>
    <w:rsid w:val="00322A0B"/>
    <w:rsid w:val="00333A28"/>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27FCA"/>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0B51"/>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290"/>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43F4"/>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02827"/>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6664B"/>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Spacing">
    <w:name w:val="No Spacing"/>
    <w:uiPriority w:val="1"/>
    <w:qFormat/>
    <w:rsid w:val="003005AC"/>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youngfoundation.org/wp-content/uploads/2012/10/The-Wellbeing-and-Resilience-Paradox.pdf" TargetMode="External"/><Relationship Id="rId21" Type="http://schemas.openxmlformats.org/officeDocument/2006/relationships/hyperlink" Target="http://file:///C:/Users/407425/Downloads/36915-39961-1-PB.pdf" TargetMode="External"/><Relationship Id="rId34" Type="http://schemas.openxmlformats.org/officeDocument/2006/relationships/header" Target="header2.xml"/><Relationship Id="rId42" Type="http://schemas.openxmlformats.org/officeDocument/2006/relationships/hyperlink" Target="https://www.college.police.uk/app/investigation/investigative-interviewing/investigative-interviewing" TargetMode="External"/><Relationship Id="rId47" Type="http://schemas.openxmlformats.org/officeDocument/2006/relationships/hyperlink" Target="https://assets.publishing.service.gov.uk/government/uploads/system/uploads/attachment_data/file/655222/Concordat_on_Children_in_Custody_ISBN_Accessible.pdf" TargetMode="External"/><Relationship Id="rId50" Type="http://schemas.openxmlformats.org/officeDocument/2006/relationships/hyperlink" Target="https://news.npcc.police.uk/releases/young-people-and-police-custody" TargetMode="External"/><Relationship Id="rId55" Type="http://schemas.openxmlformats.org/officeDocument/2006/relationships/hyperlink" Target="https://www.college.police.uk/guidance/vulnerability-related-risks/introduction-vulnerability-related-risk" TargetMode="External"/><Relationship Id="rId63" Type="http://schemas.openxmlformats.org/officeDocument/2006/relationships/hyperlink" Target="https://www.mentalhealth.org.uk/a-to-z/a/alcohol-and-mental-health" TargetMode="External"/><Relationship Id="rId68" Type="http://schemas.openxmlformats.org/officeDocument/2006/relationships/hyperlink" Target="https://www.college.police.uk/article/extraction-material-digital-devices-app" TargetMode="External"/><Relationship Id="rId76" Type="http://schemas.openxmlformats.org/officeDocument/2006/relationships/hyperlink" Target="https://safelives.org.uk/sites/default/files/resources/Dash%20for%20IDVAs%20FINAL_0.pdf" TargetMode="External"/><Relationship Id="rId84" Type="http://schemas.openxmlformats.org/officeDocument/2006/relationships/hyperlink" Target="https://www.college.police.uk/app/investigation/investigative-interviewing/investigative-interviewing" TargetMode="External"/><Relationship Id="rId89" Type="http://schemas.openxmlformats.org/officeDocument/2006/relationships/hyperlink" Target="https://assets.publishing.service.gov.uk/government/uploads/system/uploads/attachment_data/file/117682/appropriate-adults-guide.pdf" TargetMode="External"/><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gbr01.safelinks.protection.outlook.com/?url=https%3A%2F%2Fdoi.org%2F10.1017%2FS0260210509990404&amp;data=05%7C01%7CRebecca.Hatter%40gwent.police.uk%7C47e34f2b44dd4b02c7f008da4c5fe911%7Ce46c8472ef5d4b63bc744a60db42c371%7C0%7C0%7C637906274592614299%7CUnknown%7CTWFpbGZsb3d8eyJWIjoiMC4wLjAwMDAiLCJQIjoiV2luMzIiLCJBTiI6Ik1haWwiLCJXVCI6Mn0%3D%7C3000%7C%7C%7C&amp;sdata=iffW6aG8OKczHvCZrTdMCWa8qJpMwLtGOeTxDmnU56Q%3D&amp;reserved=0" TargetMode="External"/><Relationship Id="rId92" Type="http://schemas.openxmlformats.org/officeDocument/2006/relationships/hyperlink" Target="https://appropriateadult.org.uk/information/what-is-an-appropriate-adult" TargetMode="External"/><Relationship Id="rId2" Type="http://schemas.openxmlformats.org/officeDocument/2006/relationships/customXml" Target="../customXml/item2.xml"/><Relationship Id="rId16" Type="http://schemas.openxmlformats.org/officeDocument/2006/relationships/hyperlink" Target="https://assets.college.police.uk/s3fs-public/2021-02/code_of_ethics.pdf" TargetMode="External"/><Relationship Id="rId29" Type="http://schemas.openxmlformats.org/officeDocument/2006/relationships/hyperlink" Target="https://www.bbc.co.uk/news/uk-48201088" TargetMode="External"/><Relationship Id="rId11" Type="http://schemas.openxmlformats.org/officeDocument/2006/relationships/image" Target="media/image1.png"/><Relationship Id="rId24" Type="http://schemas.openxmlformats.org/officeDocument/2006/relationships/hyperlink" Target="https://www.ncbi.nlm.nih.gov/pmc/articles/PMC2811514/pdf/PCD71A19.pdf" TargetMode="External"/><Relationship Id="rId32" Type="http://schemas.openxmlformats.org/officeDocument/2006/relationships/hyperlink" Target="https://www.reference.com/world-view/meaning-ethical-standard-258ae64fe4c49f0c" TargetMode="External"/><Relationship Id="rId37" Type="http://schemas.openxmlformats.org/officeDocument/2006/relationships/header" Target="header3.xml"/><Relationship Id="rId40" Type="http://schemas.openxmlformats.org/officeDocument/2006/relationships/hyperlink" Target="https://www.gov.uk/government/news/new-definition-of-domestic-violence-and-abuse-to-include-16-and-17-year-olds--2" TargetMode="External"/><Relationship Id="rId45" Type="http://schemas.openxmlformats.org/officeDocument/2006/relationships/hyperlink" Target="https://assets.publishing.service.gov.uk/government/uploads/system/uploads/attachment_data/file/942454/Working_together_to_safeguard_children_inter_agency_guidance.pdf" TargetMode="External"/><Relationship Id="rId53" Type="http://schemas.openxmlformats.org/officeDocument/2006/relationships/hyperlink" Target="https://www.legislation.gov.uk/ukpga/1988/33/section/39" TargetMode="External"/><Relationship Id="rId58" Type="http://schemas.openxmlformats.org/officeDocument/2006/relationships/hyperlink" Target="https://www.domesticabuseservices.org.uk/latest-news-articles-advice/marac/" TargetMode="External"/><Relationship Id="rId66" Type="http://schemas.openxmlformats.org/officeDocument/2006/relationships/hyperlink" Target="https://www.victimsupport.org.uk/crime-info/types-crime/domestic-abuse/" TargetMode="External"/><Relationship Id="rId74" Type="http://schemas.openxmlformats.org/officeDocument/2006/relationships/hyperlink" Target="https://www.womensaid.org.uk/womens-aid-responds-to-hmicfrs-report-on-stalking-and-harassment/" TargetMode="External"/><Relationship Id="rId79" Type="http://schemas.openxmlformats.org/officeDocument/2006/relationships/hyperlink" Target="https://www.legislation.gov.uk/ukpga/1998/42/schedule/1/part/I/chapter/7" TargetMode="External"/><Relationship Id="rId87" Type="http://schemas.openxmlformats.org/officeDocument/2006/relationships/hyperlink" Target="https://digital-communication.weebly.com/what-is-digital-communication.html" TargetMode="External"/><Relationship Id="rId5" Type="http://schemas.openxmlformats.org/officeDocument/2006/relationships/numbering" Target="numbering.xml"/><Relationship Id="rId61"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82" Type="http://schemas.openxmlformats.org/officeDocument/2006/relationships/hyperlink" Target="https://www.counselling-directory.org.uk/memberarticles/how-to-deal-with-revenge-porn-if-you-have-been-a-victim" TargetMode="External"/><Relationship Id="rId90" Type="http://schemas.openxmlformats.org/officeDocument/2006/relationships/hyperlink" Target="https://www.intervention-hub.com/lessons/risk-of-harm/" TargetMode="External"/><Relationship Id="rId95" Type="http://schemas.openxmlformats.org/officeDocument/2006/relationships/hyperlink" Target="http://www.n-yos.org.uk/what-is-a-yos" TargetMode="External"/><Relationship Id="rId19" Type="http://schemas.openxmlformats.org/officeDocument/2006/relationships/hyperlink" Target="https://www.birmingham.ac.uk/Documents/research/ias/Wellbeing-at-work-review-Jan-31.pdf" TargetMode="External"/><Relationship Id="rId14" Type="http://schemas.openxmlformats.org/officeDocument/2006/relationships/hyperlink" Target="https://assets.publishing.service.gov.uk/government/uploads/system/uploads/attachment_data/file/336942/CSPL_EthicalStandards_web.pdf" TargetMode="External"/><Relationship Id="rId22" Type="http://schemas.openxmlformats.org/officeDocument/2006/relationships/hyperlink" Target="https://www.emerald.com/insight/content/doi/10.1108/00197851011026045/full/html" TargetMode="External"/><Relationship Id="rId27" Type="http://schemas.openxmlformats.org/officeDocument/2006/relationships/hyperlink" Target="https://assets.college.police.uk/s3fs-public/2021-02/code_of_ethics.pdf" TargetMode="External"/><Relationship Id="rId30" Type="http://schemas.openxmlformats.org/officeDocument/2006/relationships/hyperlink" Target="https://www.ed.ac.uk/reflection/reflectors-toolkit/reflecting-on-experience/gibbs-reflective-cycle" TargetMode="External"/><Relationship Id="rId35" Type="http://schemas.openxmlformats.org/officeDocument/2006/relationships/footer" Target="footer1.xml"/><Relationship Id="rId43" Type="http://schemas.openxmlformats.org/officeDocument/2006/relationships/hyperlink" Target="https://frg.org.uk/get-help-and-advice/why/domestic-abuse/" TargetMode="External"/><Relationship Id="rId48" Type="http://schemas.openxmlformats.org/officeDocument/2006/relationships/hyperlink" Target="https://www.techtarget.com/searchdisasterrecovery/definition/risk-mitigation" TargetMode="External"/><Relationship Id="rId56" Type="http://schemas.openxmlformats.org/officeDocument/2006/relationships/hyperlink" Target="https://www.college.police.uk/app/major-investigation-and-public-protection/adults-risk" TargetMode="External"/><Relationship Id="rId64" Type="http://schemas.openxmlformats.org/officeDocument/2006/relationships/hyperlink" Target="https://rehabsuk.com/rehabs/alcohol/" TargetMode="External"/><Relationship Id="rId69" Type="http://schemas.openxmlformats.org/officeDocument/2006/relationships/hyperlink" Target="https://www.cps.gov.uk/legal-guidance/restraining-orders-section-5-protection-harassment-act-1997" TargetMode="External"/><Relationship Id="rId77" Type="http://schemas.openxmlformats.org/officeDocument/2006/relationships/hyperlink" Target="https://saferfutures.org.uk/resources/stalking/" TargetMode="External"/><Relationship Id="rId8" Type="http://schemas.openxmlformats.org/officeDocument/2006/relationships/webSettings" Target="webSettings.xml"/><Relationship Id="rId51" Type="http://schemas.openxmlformats.org/officeDocument/2006/relationships/hyperlink" Target="https://www.scie.org.uk/publications/nqswtool/multiagencyworking/" TargetMode="External"/><Relationship Id="rId72" Type="http://schemas.openxmlformats.org/officeDocument/2006/relationships/hyperlink" Target="https://gbr01.safelinks.protection.outlook.com/?url=https%3A%2F%2Fdoi.org%2F10.1093%2Fpolice%2Fpay056&amp;data=05%7C01%7CRebecca.Hatter%40gwent.police.uk%7C47e34f2b44dd4b02c7f008da4c5fe911%7Ce46c8472ef5d4b63bc744a60db42c371%7C0%7C0%7C637906274592614299%7CUnknown%7CTWFpbGZsb3d8eyJWIjoiMC4wLjAwMDAiLCJQIjoiV2luMzIiLCJBTiI6Ik1haWwiLCJXVCI6Mn0%3D%7C3000%7C%7C%7C&amp;sdata=7%2B8QLmmIQ7yNaC32t0lpiqUXHDxeaok%2FTcKQl3w8Ml4%3D&amp;reserved=0" TargetMode="External"/><Relationship Id="rId80" Type="http://schemas.openxmlformats.org/officeDocument/2006/relationships/hyperlink" Target="https://www.legislation.gov.uk/ukpga/2018/12/schedule/2/enacted" TargetMode="External"/><Relationship Id="rId85" Type="http://schemas.openxmlformats.org/officeDocument/2006/relationships/hyperlink" Target="https://www.college.police.uk/app/major-investigation-and-public-protection/adults-risk" TargetMode="External"/><Relationship Id="rId93" Type="http://schemas.openxmlformats.org/officeDocument/2006/relationships/hyperlink" Target="https://nationalcrimeagency.gov.uk/who-we-are/publications/45-guidance-on-sars-reporting-routes-relating-to-vulnerable-persons/file" TargetMode="Externa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177/0018726713485609" TargetMode="External"/><Relationship Id="rId25" Type="http://schemas.openxmlformats.org/officeDocument/2006/relationships/hyperlink" Target="https://www.linkedin.com/pulse/link-between-wellbeing-resilience-leigh-mckay" TargetMode="External"/><Relationship Id="rId33" Type="http://schemas.openxmlformats.org/officeDocument/2006/relationships/header" Target="header1.xml"/><Relationship Id="rId38" Type="http://schemas.openxmlformats.org/officeDocument/2006/relationships/footer" Target="footer3.xml"/><Relationship Id="rId46" Type="http://schemas.openxmlformats.org/officeDocument/2006/relationships/hyperlink" Target="https://www.howellslegal.co.uk/news/post/Who-are-Social-Services-and-what-do-they-do" TargetMode="External"/><Relationship Id="rId59" Type="http://schemas.openxmlformats.org/officeDocument/2006/relationships/hyperlink" Target="https://www.dorset.police.uk/media/54580/repeat-victimisation-p19-2003-v110-external.pdf" TargetMode="External"/><Relationship Id="rId67" Type="http://schemas.openxmlformats.org/officeDocument/2006/relationships/hyperlink" Target="https://www.college.police.uk/app/major-investigation-and-public-protection/managing-sexual-offenders-and-violent-offenders/introduction-managing-sexual-offenders-and-violent-offenders" TargetMode="External"/><Relationship Id="rId20" Type="http://schemas.openxmlformats.org/officeDocument/2006/relationships/hyperlink" Target="https://www.hse.gov.uk/stress/mental-health.htm" TargetMode="External"/><Relationship Id="rId41" Type="http://schemas.openxmlformats.org/officeDocument/2006/relationships/hyperlink" Target="https://www.app.college.police.uk/app-content/national-decision-model/the-national-decision-model/" TargetMode="External"/><Relationship Id="rId54" Type="http://schemas.openxmlformats.org/officeDocument/2006/relationships/hyperlink" Target="https://www.legislation.gov.uk/ukpga/1984/60/section/37" TargetMode="External"/><Relationship Id="rId62" Type="http://schemas.openxmlformats.org/officeDocument/2006/relationships/hyperlink" Target="https://www.policeconduct.gov.uk/research-and-learning/key-areas-work/welfare-and-vulnerable-people" TargetMode="External"/><Relationship Id="rId70" Type="http://schemas.openxmlformats.org/officeDocument/2006/relationships/hyperlink" Target="https://www.femicidecensus.org/wp-content/uploads/2022/02/010998-2020-Femicide-Report_V2.pdf" TargetMode="External"/><Relationship Id="rId75" Type="http://schemas.openxmlformats.org/officeDocument/2006/relationships/hyperlink" Target="http://www.nice-files.com/files/NICE_Investigate_Solution_Overview.pdf" TargetMode="External"/><Relationship Id="rId83" Type="http://schemas.openxmlformats.org/officeDocument/2006/relationships/hyperlink" Target="https://programminginsider.com/what-is-digital-technology/" TargetMode="External"/><Relationship Id="rId88" Type="http://schemas.openxmlformats.org/officeDocument/2006/relationships/hyperlink" Target="https://www.gov.uk/government/news/new-law-to-tackle-revenge-porn" TargetMode="External"/><Relationship Id="rId91" Type="http://schemas.openxmlformats.org/officeDocument/2006/relationships/hyperlink" Target="https://honestproscons.com/what-is-digital-technology-25-best-examples/" TargetMode="External"/><Relationship Id="rId96" Type="http://schemas.openxmlformats.org/officeDocument/2006/relationships/hyperlink" Target="https://www.legislation.gov.uk/ukpga/1978/37/section/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file:///C:/Users/407425/Downloads/ResilienceTheoryandApplications.pdf" TargetMode="External"/><Relationship Id="rId23" Type="http://schemas.openxmlformats.org/officeDocument/2006/relationships/hyperlink" Target="https://managementhelp.org/organizations/definition.htm" TargetMode="External"/><Relationship Id="rId28" Type="http://schemas.openxmlformats.org/officeDocument/2006/relationships/hyperlink" Target="https://whatworks.college.police.uk/Research/Documents/150317_Fair_cop%202_FINAL_REPORT" TargetMode="External"/><Relationship Id="rId36" Type="http://schemas.openxmlformats.org/officeDocument/2006/relationships/footer" Target="footer2.xml"/><Relationship Id="rId49" Type="http://schemas.openxmlformats.org/officeDocument/2006/relationships/hyperlink" Target="https://www.ncdv.org.uk/what-is-domestic-violence/" TargetMode="External"/><Relationship Id="rId57" Type="http://schemas.openxmlformats.org/officeDocument/2006/relationships/hyperlink" Target="https://assets.publishing.service.gov.uk/government/uploads/system/uploads/attachment_data/file/194272/No_secrets__guidance_on_developing_and_implementing_multi-agency_policies_and_procedures_to_protect_vulnerable_adults_from_abuse.pdf" TargetMode="External"/><Relationship Id="rId10" Type="http://schemas.openxmlformats.org/officeDocument/2006/relationships/endnotes" Target="endnotes.xml"/><Relationship Id="rId31" Type="http://schemas.openxmlformats.org/officeDocument/2006/relationships/hyperlink" Target="https://librarysearch.uwtsd.ac.uk/permalink/44WHELF_UWTSD/upgrip/alma99100321046702421" TargetMode="External"/><Relationship Id="rId44" Type="http://schemas.openxmlformats.org/officeDocument/2006/relationships/hyperlink" Target="https://assets.publishing.service.gov.uk/government/uploads/system/uploads/attachment_data/file/903814/pace-code-g-2012.pdf" TargetMode="External"/><Relationship Id="rId52" Type="http://schemas.openxmlformats.org/officeDocument/2006/relationships/hyperlink" Target="https://www.legislation.gov.uk/ukpga/1971/48/section/1" TargetMode="External"/><Relationship Id="rId60" Type="http://schemas.openxmlformats.org/officeDocument/2006/relationships/hyperlink" Target="https://www.gmp.police.uk/SysSiteAssets/foi-media/greater-manchester/policies/incident-response-policy-v1.3-july-2017-redacted.pdf" TargetMode="External"/><Relationship Id="rId65" Type="http://schemas.openxmlformats.org/officeDocument/2006/relationships/hyperlink" Target="https://www.freedomprogramme.co.uk/" TargetMode="External"/><Relationship Id="rId73" Type="http://schemas.openxmlformats.org/officeDocument/2006/relationships/hyperlink" Target="https://www.gmp.police.uk/SysSiteAssets/foi-media/greater-manchester/policies/incident-response-policy-v1.3-july-2017-redacted.pdf" TargetMode="External"/><Relationship Id="rId78" Type="http://schemas.openxmlformats.org/officeDocument/2006/relationships/hyperlink" Target="https://www.legislation.gov.uk/ukpga/1997/40/section/4A" TargetMode="External"/><Relationship Id="rId81" Type="http://schemas.openxmlformats.org/officeDocument/2006/relationships/hyperlink" Target="https://www.abvsolicitors.co.uk/articles/powers-of-the-police-when-to-provide-your-mobile-phone-pin-or-password/" TargetMode="External"/><Relationship Id="rId86" Type="http://schemas.openxmlformats.org/officeDocument/2006/relationships/hyperlink" Target="https://www.cps.gov.uk/legal-guidance/revenge-pornography-guidelines-prosecuting-offence-disclosing-private-sexual" TargetMode="External"/><Relationship Id="rId94" Type="http://schemas.openxmlformats.org/officeDocument/2006/relationships/hyperlink" Target="http://www.nice-files.com/files/NICE_Investigate_Solution_Overview.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employeebenefits.co.uk/using-one-ones-boost-employee-engagement/" TargetMode="External"/><Relationship Id="rId39" Type="http://schemas.openxmlformats.org/officeDocument/2006/relationships/hyperlink" Target="https://www.blaenau-gwent.gov.uk/en/resident/health-wellbeing-social-care/support-for-children-families/youth-offending-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5414A7EF-6591-4633-A1AE-C9DE9A0E1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12602</Words>
  <Characters>71836</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Hatter, Rebecca</cp:lastModifiedBy>
  <cp:revision>8</cp:revision>
  <cp:lastPrinted>2014-08-26T08:55:00Z</cp:lastPrinted>
  <dcterms:created xsi:type="dcterms:W3CDTF">2021-10-05T16:36:00Z</dcterms:created>
  <dcterms:modified xsi:type="dcterms:W3CDTF">2022-06-13T12:16:00Z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2021-10-05T16:36:13Z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a74fcb23-d902-4118-82c7-16e4da5ba64e</vt:lpwstr>
  </property>
  <property fmtid="{D5CDD505-2E9C-101B-9397-08002B2CF9AE}" pid="9" name="MSIP_Label_f2acd28b-79a3-4a0f-b0ff-4b75658b1549_ContentBits">
    <vt:lpwstr>0</vt:lpwstr>
  </property>
  <property fmtid="{D5CDD505-2E9C-101B-9397-08002B2CF9AE}" pid="10" name="Protective Marking Classification">
    <vt:lpwstr>OFFICIAL - NO MARKING SWYDDOGOL-DIM ANGEN MARC</vt:lpwstr>
  </property>
  <property fmtid="{D5CDD505-2E9C-101B-9397-08002B2CF9AE}" pid="11" name="Additional Descriptor">
    <vt:lpwstr/>
  </property>
  <property fmtid="{D5CDD505-2E9C-101B-9397-08002B2CF9AE}" pid="12" name="Impact Level">
    <vt:i4>0</vt:i4>
  </property>
</Properties>
</file>