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892617" w14:textId="77777777" w:rsidR="00F97748" w:rsidRDefault="00F97748" w:rsidP="00F97748">
      <w:r>
        <w:rPr>
          <w:noProof/>
        </w:rPr>
        <w:drawing>
          <wp:inline distT="0" distB="0" distL="0" distR="0" wp14:anchorId="42292C8A" wp14:editId="409E7031">
            <wp:extent cx="4655820" cy="1920240"/>
            <wp:effectExtent l="0" t="0" r="0" b="381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4655820" cy="1920240"/>
                    </a:xfrm>
                    <a:prstGeom prst="rect">
                      <a:avLst/>
                    </a:prstGeom>
                  </pic:spPr>
                </pic:pic>
              </a:graphicData>
            </a:graphic>
          </wp:inline>
        </w:drawing>
      </w:r>
    </w:p>
    <w:p w14:paraId="2D871D7E" w14:textId="77777777" w:rsidR="00F97748" w:rsidRDefault="00F97748" w:rsidP="00F97748"/>
    <w:p w14:paraId="33833C26" w14:textId="77777777" w:rsidR="00F97748" w:rsidRDefault="00F97748" w:rsidP="00F97748">
      <w:r>
        <w:t xml:space="preserve"> </w:t>
      </w:r>
    </w:p>
    <w:p w14:paraId="4CA73B52" w14:textId="77777777" w:rsidR="00F97748" w:rsidRDefault="00F97748" w:rsidP="00F97748"/>
    <w:p w14:paraId="469B9780" w14:textId="77777777" w:rsidR="00F97748" w:rsidRDefault="00F97748" w:rsidP="00F97748"/>
    <w:p w14:paraId="5A0FD3C1" w14:textId="77777777" w:rsidR="00F97748" w:rsidRDefault="00F97748" w:rsidP="00F97748"/>
    <w:p w14:paraId="2C3B6D2E" w14:textId="77777777" w:rsidR="00F97748" w:rsidRDefault="00F97748" w:rsidP="00F97748"/>
    <w:p w14:paraId="7ED83DEC" w14:textId="77777777" w:rsidR="00F97748" w:rsidRPr="00013C5D" w:rsidRDefault="00F97748" w:rsidP="00F97748">
      <w:pPr>
        <w:rPr>
          <w:sz w:val="32"/>
          <w:szCs w:val="32"/>
        </w:rPr>
      </w:pPr>
    </w:p>
    <w:p w14:paraId="48CC7A20" w14:textId="77777777" w:rsidR="00F97748" w:rsidRPr="00013C5D" w:rsidRDefault="00F97748" w:rsidP="00F97748">
      <w:pPr>
        <w:spacing w:line="360" w:lineRule="auto"/>
        <w:jc w:val="both"/>
        <w:rPr>
          <w:rFonts w:ascii="Arial" w:hAnsi="Arial" w:cs="Arial"/>
          <w:sz w:val="32"/>
          <w:szCs w:val="32"/>
        </w:rPr>
      </w:pPr>
      <w:r w:rsidRPr="00013C5D">
        <w:rPr>
          <w:rFonts w:ascii="Arial" w:hAnsi="Arial" w:cs="Arial"/>
          <w:sz w:val="32"/>
          <w:szCs w:val="32"/>
        </w:rPr>
        <w:t>Module name:</w:t>
      </w:r>
      <w:r w:rsidRPr="00013C5D">
        <w:rPr>
          <w:rFonts w:ascii="Arial" w:eastAsia="Times New Roman" w:hAnsi="Arial" w:cs="Arial"/>
          <w:b/>
          <w:bCs/>
          <w:kern w:val="36"/>
          <w:sz w:val="32"/>
          <w:szCs w:val="32"/>
          <w:lang w:eastAsia="en-GB"/>
          <w14:ligatures w14:val="none"/>
        </w:rPr>
        <w:t xml:space="preserve"> </w:t>
      </w:r>
      <w:r w:rsidRPr="00013C5D">
        <w:rPr>
          <w:rFonts w:ascii="Arial" w:hAnsi="Arial" w:cs="Arial"/>
          <w:sz w:val="32"/>
          <w:szCs w:val="32"/>
        </w:rPr>
        <w:t>Changemakers: Creativity &amp; Value Creation Module number: (BMHP5014_BIRM)</w:t>
      </w:r>
    </w:p>
    <w:p w14:paraId="6775ECF9" w14:textId="77777777" w:rsidR="00F97748" w:rsidRPr="00013C5D" w:rsidRDefault="00F97748" w:rsidP="00F97748">
      <w:pPr>
        <w:spacing w:line="360" w:lineRule="auto"/>
        <w:jc w:val="both"/>
        <w:rPr>
          <w:rFonts w:ascii="Arial" w:hAnsi="Arial" w:cs="Arial"/>
          <w:sz w:val="32"/>
          <w:szCs w:val="32"/>
        </w:rPr>
      </w:pPr>
      <w:r w:rsidRPr="00013C5D">
        <w:rPr>
          <w:rFonts w:ascii="Arial" w:hAnsi="Arial" w:cs="Arial"/>
          <w:sz w:val="32"/>
          <w:szCs w:val="32"/>
        </w:rPr>
        <w:t>Student name: Melania Ciornei</w:t>
      </w:r>
    </w:p>
    <w:p w14:paraId="3210F402" w14:textId="77777777" w:rsidR="00F97748" w:rsidRPr="00013C5D" w:rsidRDefault="00F97748" w:rsidP="00F97748">
      <w:pPr>
        <w:spacing w:line="360" w:lineRule="auto"/>
        <w:jc w:val="both"/>
        <w:rPr>
          <w:rFonts w:ascii="Arial" w:hAnsi="Arial" w:cs="Arial"/>
          <w:sz w:val="32"/>
          <w:szCs w:val="32"/>
        </w:rPr>
      </w:pPr>
      <w:r w:rsidRPr="00013C5D">
        <w:rPr>
          <w:rFonts w:ascii="Arial" w:hAnsi="Arial" w:cs="Arial"/>
          <w:sz w:val="32"/>
          <w:szCs w:val="32"/>
        </w:rPr>
        <w:t>Student number: 2329516</w:t>
      </w:r>
    </w:p>
    <w:p w14:paraId="4F6DCB9D" w14:textId="77777777" w:rsidR="00F97748" w:rsidRDefault="00F97748" w:rsidP="00F97748">
      <w:pPr>
        <w:spacing w:line="360" w:lineRule="auto"/>
        <w:jc w:val="both"/>
        <w:rPr>
          <w:rFonts w:ascii="Arial" w:hAnsi="Arial" w:cs="Arial"/>
          <w:sz w:val="32"/>
          <w:szCs w:val="32"/>
        </w:rPr>
      </w:pPr>
      <w:r w:rsidRPr="00013C5D">
        <w:rPr>
          <w:rFonts w:ascii="Arial" w:hAnsi="Arial" w:cs="Arial"/>
          <w:sz w:val="32"/>
          <w:szCs w:val="32"/>
        </w:rPr>
        <w:t>Lecturer name: Tsiwani Khumalo</w:t>
      </w:r>
    </w:p>
    <w:p w14:paraId="44696488" w14:textId="77777777" w:rsidR="00021F40" w:rsidRDefault="00021F40" w:rsidP="00F97748">
      <w:pPr>
        <w:spacing w:line="360" w:lineRule="auto"/>
        <w:jc w:val="both"/>
        <w:rPr>
          <w:rFonts w:ascii="Arial" w:hAnsi="Arial" w:cs="Arial"/>
          <w:sz w:val="32"/>
          <w:szCs w:val="32"/>
        </w:rPr>
      </w:pPr>
    </w:p>
    <w:p w14:paraId="52CB9907" w14:textId="77777777" w:rsidR="00021F40" w:rsidRDefault="00021F40" w:rsidP="00F97748">
      <w:pPr>
        <w:spacing w:line="360" w:lineRule="auto"/>
        <w:jc w:val="both"/>
        <w:rPr>
          <w:rFonts w:ascii="Arial" w:hAnsi="Arial" w:cs="Arial"/>
          <w:sz w:val="32"/>
          <w:szCs w:val="32"/>
        </w:rPr>
      </w:pPr>
    </w:p>
    <w:p w14:paraId="7C0D22E0" w14:textId="79AB1030" w:rsidR="00021F40" w:rsidRPr="00021F40" w:rsidRDefault="00021F40" w:rsidP="00F97748">
      <w:pPr>
        <w:spacing w:line="360" w:lineRule="auto"/>
        <w:jc w:val="both"/>
        <w:rPr>
          <w:rFonts w:ascii="Arial" w:hAnsi="Arial" w:cs="Arial"/>
          <w:sz w:val="72"/>
          <w:szCs w:val="72"/>
        </w:rPr>
      </w:pPr>
      <w:r w:rsidRPr="00021F40">
        <w:rPr>
          <w:rFonts w:ascii="Arial" w:hAnsi="Arial" w:cs="Arial"/>
          <w:sz w:val="72"/>
          <w:szCs w:val="72"/>
        </w:rPr>
        <w:t xml:space="preserve">                 Poster</w:t>
      </w:r>
    </w:p>
    <w:p w14:paraId="5B3A610B" w14:textId="38E2FB17" w:rsidR="00A72056" w:rsidRDefault="00A72056">
      <w:pPr>
        <w:rPr>
          <w:rFonts w:ascii="Arial" w:hAnsi="Arial" w:cs="Arial"/>
        </w:rPr>
      </w:pPr>
    </w:p>
    <w:p w14:paraId="76C7854F" w14:textId="14275087" w:rsidR="00A72056" w:rsidRDefault="00A72056">
      <w:pPr>
        <w:rPr>
          <w:rFonts w:ascii="Arial" w:hAnsi="Arial" w:cs="Arial"/>
        </w:rPr>
      </w:pPr>
      <w:r>
        <w:rPr>
          <w:rFonts w:ascii="Arial" w:hAnsi="Arial" w:cs="Arial"/>
        </w:rPr>
        <w:br w:type="page"/>
      </w:r>
      <w:r w:rsidR="00021F40">
        <w:rPr>
          <w:noProof/>
        </w:rPr>
        <w:lastRenderedPageBreak/>
        <w:drawing>
          <wp:inline distT="0" distB="0" distL="0" distR="0" wp14:anchorId="43491572" wp14:editId="0FCABBA7">
            <wp:extent cx="5405120" cy="8863330"/>
            <wp:effectExtent l="0" t="0" r="5080" b="0"/>
            <wp:docPr id="3588480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848040" name=""/>
                    <pic:cNvPicPr/>
                  </pic:nvPicPr>
                  <pic:blipFill>
                    <a:blip r:embed="rId5">
                      <a:extLst>
                        <a:ext uri="{96DAC541-7B7A-43D3-8B79-37D633B846F1}">
                          <asvg:svgBlip xmlns:asvg="http://schemas.microsoft.com/office/drawing/2016/SVG/main" r:embed="rId6"/>
                        </a:ext>
                      </a:extLst>
                    </a:blip>
                    <a:stretch>
                      <a:fillRect/>
                    </a:stretch>
                  </pic:blipFill>
                  <pic:spPr>
                    <a:xfrm>
                      <a:off x="0" y="0"/>
                      <a:ext cx="5405120" cy="8863330"/>
                    </a:xfrm>
                    <a:prstGeom prst="rect">
                      <a:avLst/>
                    </a:prstGeom>
                  </pic:spPr>
                </pic:pic>
              </a:graphicData>
            </a:graphic>
          </wp:inline>
        </w:drawing>
      </w:r>
    </w:p>
    <w:p w14:paraId="4578BA8E"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lastRenderedPageBreak/>
        <w:t>Smile4Life is an innovative digital oral-health initiative designed to help children and families develop strong, lifelong brushing habits through accessible behaviour-change technology. While the accompanying poster outlines the core components of the app, this pitch provides a deeper exploration of the problem it addresses, its theoretical foundations, policy alignment and the value it offers to children, families, professionals and communities. The purpose is to persuade decision-makers, educators and the wider public to support the adoption of Smile4Life across schools, NHS community programmes and local health networks. The initiative directly supports national NHS priorities around prevention and early intervention outlined by NHS England (2022).</w:t>
      </w:r>
    </w:p>
    <w:p w14:paraId="4399BD3E"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Tooth decay remains one of the most common yet preventable childhood health conditions in the UK, despite being largely avoidable through twice-daily brushing and routine dental visits. Thousands of children experience decay each year, making it one of the leading causes of hospital admissions among young children (Public Health England, 2024). National epidemiological evidence shows that one in four five-year-olds is affected, with significantly higher rates in disadvantaged communities, demonstrating the persistence of stark health inequalities (OHID, 2022). These inequalities can have long-term consequences. Poor oral health can affect speech development, nutrition, sleep, concentration and school readiness, contributing to wider educational disadvantage and reduced overall wellbeing (NHS England, 2022). At system level, the financial burden of dental extractions under general anaesthesia continues to place pressure on already overstretched NHS services (British Dental Association, 2023). This context highlights the urgent need for scalable, cost-effective and family-centred oral-health prevention strategies.</w:t>
      </w:r>
    </w:p>
    <w:p w14:paraId="7BFDBD53"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Children from socio-economically disadvantaged backgrounds are disproportionately affected by poor oral health due to financial pressures, limited NHS dental access, cultural differences in health beliefs and low oral-health literacy (Marmot, 2020). Many families struggle to navigate complex health information or remain unaware of recommended brushing guidelines. Digital tools such as Smile4Life offer a practical, accessible and non-stigmatising method of addressing these challenges by providing simple, clear information that supports families with diverse literacy levels (Public Health England, 2020). Through guided routines, rewards and visual prompts, the app supports behaviour change and aligns with the NHS Long Term Plan (2019), which emphasises reducing health inequalities through early intervention.</w:t>
      </w:r>
    </w:p>
    <w:p w14:paraId="50551622"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 xml:space="preserve">Smile4Life specifically targets children aged 4–10 and their parents or carers—an essential developmental window in which lifelong habits are formed (WHO, 2022). The app includes interactive brushing tutorials, animations, two-minute timers and reward-based gamification </w:t>
      </w:r>
      <w:r w:rsidRPr="005E2328">
        <w:rPr>
          <w:rFonts w:ascii="Arial" w:hAnsi="Arial" w:cs="Arial"/>
          <w:sz w:val="22"/>
          <w:szCs w:val="22"/>
        </w:rPr>
        <w:lastRenderedPageBreak/>
        <w:t>designed to motivate children and sustain their engagement. These features are underpinned by social learning theory, which highlights how children learn behaviours through imitation, modelling and reinforcement (Bandura, 1997). For parents, the app provides accessible oral-health guidance and supports confidence in leading daily routines. This approach strengthens family health literacy and encourages shared responsibility for oral hygiene, reflecting research which shows that parent–child interaction is vital for establishing long-term healthy behaviours (Brookman et al., 2022).</w:t>
      </w:r>
    </w:p>
    <w:p w14:paraId="6B3EEF4A" w14:textId="5A5619E8"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The successful implementation of Smile4Life relies on coordinated, cross-sector collaboration. Schools and nurseries can embed the app into PSHE and healthy-schools frameworks, supporting curriculum expectations for wellbeing, health education and daily routine reinforcement (Department for Education, 2021). Health visitors, school nurses and community dental teams can use the app during early-years checks, home visits and school outreach sessions, delivering consistent oral-health messages and supporting early-intervention models recommended by NICE (2019). This multi-agency approach aligns with the World Health Organization’s emphasis on community empowerment and cross-sector partnership working in public-health initiatives (WHO, 2021). Through these partnerships, Smile4Life becomes more than a digital product</w:t>
      </w:r>
      <w:r w:rsidR="0028448C">
        <w:rPr>
          <w:rFonts w:ascii="Arial" w:hAnsi="Arial" w:cs="Arial"/>
          <w:sz w:val="22"/>
          <w:szCs w:val="22"/>
        </w:rPr>
        <w:t>,</w:t>
      </w:r>
      <w:r w:rsidRPr="005E2328">
        <w:rPr>
          <w:rFonts w:ascii="Arial" w:hAnsi="Arial" w:cs="Arial"/>
          <w:sz w:val="22"/>
          <w:szCs w:val="22"/>
        </w:rPr>
        <w:t xml:space="preserve"> it becomes a coordinated community resource promoting oral-health equity.</w:t>
      </w:r>
    </w:p>
    <w:p w14:paraId="686EDB06"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The theoretical grounding for Smile4Life is further strengthened by evidence on digital behaviour-change tools. Research demonstrates that interventions combining rewards, reminders, timers and personalised content are particularly effective in promoting sustained behaviour change among families with young children (Michie et al., 2014). Smile4Life’s routine-building features are designed to harness these mechanisms, helping children remain motivated over extended periods. Future development may include integration with smart-toothbrush technology, offering real-time feedback and personalised brushing plans based on age, risk factors or family context. These innovations reflect emerging developments in digital health education and support more targeted early-intervention strategies (Health Education England, 2023).</w:t>
      </w:r>
    </w:p>
    <w:p w14:paraId="7FD559CE"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 xml:space="preserve">Smile4Life aligns closely with UK legislation and policy frameworks. The app complies with UK GDPR and the Data Protection Act 2018, ensuring that children’s personal data is collected, stored and used securely (NHS Digital, 2023). Safeguarding guidance from UKCIS (2022) informs its child-safe design, including parental consent requirements and age-appropriate content. The initiative also reflects the duties set out in the Health and Social Care Act 2012, which emphasises prevention, service integration and community engagement. By </w:t>
      </w:r>
      <w:r w:rsidRPr="005E2328">
        <w:rPr>
          <w:rFonts w:ascii="Arial" w:hAnsi="Arial" w:cs="Arial"/>
          <w:sz w:val="22"/>
          <w:szCs w:val="22"/>
        </w:rPr>
        <w:lastRenderedPageBreak/>
        <w:t>supporting equitable access to health information and embedding oral-health education in everyday settings, Smile4Life aligns with wider NHS strategies prioritising digital innovation and health improvement.</w:t>
      </w:r>
    </w:p>
    <w:p w14:paraId="36E331DE"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Implementation will be supported through coordinated outreach strategies, including QR-code posters in schools, parent newsletters, social-media campaigns, information sessions, classroom demonstrations and presentations delivered by NHS oral-health teams. These strategies ensure inclusive engagement and help reach families who may otherwise struggle to access health information (Public Health England, 2020). Community participation is central to the programme’s long-term success. Parents are encouraged to join brushing challenges, track daily routines and provide feedback, supporting co-production principles where service users play an active role in shaping and refining health innovations (Batalden, 2018). Schools and community partners can further embed the resource through assemblies, workshops and oral-health events, strengthening a shared oral-health culture.</w:t>
      </w:r>
    </w:p>
    <w:p w14:paraId="44FCD934" w14:textId="77777777" w:rsidR="000648B6" w:rsidRPr="005E2328" w:rsidRDefault="000648B6" w:rsidP="000648B6">
      <w:pPr>
        <w:pStyle w:val="NormalWeb"/>
        <w:spacing w:line="360" w:lineRule="auto"/>
        <w:jc w:val="both"/>
        <w:rPr>
          <w:rFonts w:ascii="Arial" w:hAnsi="Arial" w:cs="Arial"/>
          <w:sz w:val="22"/>
          <w:szCs w:val="22"/>
        </w:rPr>
      </w:pPr>
      <w:r w:rsidRPr="005E2328">
        <w:rPr>
          <w:rFonts w:ascii="Arial" w:hAnsi="Arial" w:cs="Arial"/>
          <w:sz w:val="22"/>
          <w:szCs w:val="22"/>
        </w:rPr>
        <w:t>Evaluation and monitoring are essential components of Smile4Life’s implementation. Engagement analytics, brushing-routine data, school feedback, surveys and qualitative parent interviews can be used to assess behaviour change, user experience and equity of access. This evidence will support continuous improvement, inform future development and ensure accountability to NHS prevention goals. By reducing preventable dental disease and lowering demand for hospital-based dental extractions, Smile4Life offers a cost-effective contribution to early-intervention and prevention strategies across the NHS.</w:t>
      </w:r>
    </w:p>
    <w:p w14:paraId="03B82DD0" w14:textId="5BBAA81B" w:rsidR="000648B6" w:rsidRDefault="000648B6" w:rsidP="003A5949">
      <w:pPr>
        <w:pStyle w:val="NormalWeb"/>
        <w:spacing w:line="360" w:lineRule="auto"/>
        <w:jc w:val="both"/>
        <w:rPr>
          <w:rFonts w:ascii="Arial" w:hAnsi="Arial" w:cs="Arial"/>
          <w:sz w:val="22"/>
          <w:szCs w:val="22"/>
        </w:rPr>
      </w:pPr>
      <w:r w:rsidRPr="005E2328">
        <w:rPr>
          <w:rFonts w:ascii="Arial" w:hAnsi="Arial" w:cs="Arial"/>
          <w:sz w:val="22"/>
          <w:szCs w:val="22"/>
        </w:rPr>
        <w:t>In conclusion, Smile4Life represents a modern, evidence-based and policy-aligned solution to childhood oral-health inequalities in the UK. By combining accessible digital design with engaging educational content, strong theoretical foundations and multi-agency collaboration, the initiative empowers families, supports early intervention and strengthens the prevention agenda across schools and health services. Smile4Life reduces inequalities, enhances family wellbeing and promotes healthier futures for children nationwide. Given its alignment with national policy, its robust behavioural framework and its potential for widespread impact, Smile4Life should be adopted across schools, NHS community programmes and local public-health networks. Universal access to oral-health education is crucial for reducing preventable disease, promoting equity and improving long-term health outcomes (British Dental Association, 2023).</w:t>
      </w:r>
    </w:p>
    <w:p w14:paraId="228E54EC" w14:textId="77777777" w:rsidR="0006655B" w:rsidRPr="0006655B" w:rsidRDefault="0006655B" w:rsidP="003A5949">
      <w:pPr>
        <w:pStyle w:val="NormalWeb"/>
        <w:spacing w:line="360" w:lineRule="auto"/>
        <w:jc w:val="both"/>
        <w:rPr>
          <w:rFonts w:ascii="Arial" w:hAnsi="Arial" w:cs="Arial"/>
          <w:sz w:val="22"/>
          <w:szCs w:val="22"/>
        </w:rPr>
      </w:pPr>
    </w:p>
    <w:p w14:paraId="094314C1" w14:textId="77777777" w:rsidR="00CD6F66" w:rsidRDefault="00CD6F66" w:rsidP="000373D8">
      <w:pPr>
        <w:spacing w:line="360" w:lineRule="auto"/>
        <w:jc w:val="both"/>
        <w:rPr>
          <w:rFonts w:ascii="Arial" w:hAnsi="Arial" w:cs="Arial"/>
        </w:rPr>
      </w:pPr>
    </w:p>
    <w:p w14:paraId="716A79BA" w14:textId="61B21E59" w:rsidR="000373D8" w:rsidRPr="005E2328" w:rsidRDefault="000373D8" w:rsidP="000373D8">
      <w:pPr>
        <w:spacing w:line="360" w:lineRule="auto"/>
        <w:jc w:val="both"/>
        <w:rPr>
          <w:rFonts w:ascii="Arial" w:hAnsi="Arial" w:cs="Arial"/>
        </w:rPr>
      </w:pPr>
      <w:r w:rsidRPr="005E2328">
        <w:rPr>
          <w:rFonts w:ascii="Arial" w:hAnsi="Arial" w:cs="Arial"/>
        </w:rPr>
        <w:lastRenderedPageBreak/>
        <w:t>Reference List</w:t>
      </w:r>
    </w:p>
    <w:p w14:paraId="5D5593A5" w14:textId="77777777" w:rsidR="00B241BA" w:rsidRPr="005E2328" w:rsidRDefault="00B241BA" w:rsidP="000373D8">
      <w:pPr>
        <w:spacing w:line="360" w:lineRule="auto"/>
        <w:jc w:val="both"/>
        <w:rPr>
          <w:rFonts w:ascii="Arial" w:hAnsi="Arial" w:cs="Arial"/>
        </w:rPr>
      </w:pPr>
    </w:p>
    <w:p w14:paraId="72DDE7A4"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Bandura, A. (1997) </w:t>
      </w:r>
      <w:r w:rsidRPr="005E2328">
        <w:rPr>
          <w:rFonts w:ascii="Arial" w:hAnsi="Arial" w:cs="Arial"/>
          <w:i/>
          <w:iCs/>
        </w:rPr>
        <w:t>Self-efficacy: The exercise of control</w:t>
      </w:r>
      <w:r w:rsidRPr="005E2328">
        <w:rPr>
          <w:rFonts w:ascii="Arial" w:hAnsi="Arial" w:cs="Arial"/>
        </w:rPr>
        <w:t>. New York: Freeman.</w:t>
      </w:r>
    </w:p>
    <w:p w14:paraId="460C65C1"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Batalden, P. (2018) ‘Co-production of healthcare service’, </w:t>
      </w:r>
      <w:r w:rsidRPr="005E2328">
        <w:rPr>
          <w:rFonts w:ascii="Arial" w:hAnsi="Arial" w:cs="Arial"/>
          <w:i/>
          <w:iCs/>
        </w:rPr>
        <w:t>BMJ Quality and Safety</w:t>
      </w:r>
      <w:r w:rsidRPr="005E2328">
        <w:rPr>
          <w:rFonts w:ascii="Arial" w:hAnsi="Arial" w:cs="Arial"/>
        </w:rPr>
        <w:t>, 27(9), pp.747–752.</w:t>
      </w:r>
    </w:p>
    <w:p w14:paraId="64A87B99"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British Dental Association (2023) </w:t>
      </w:r>
      <w:r w:rsidRPr="005E2328">
        <w:rPr>
          <w:rFonts w:ascii="Arial" w:hAnsi="Arial" w:cs="Arial"/>
          <w:i/>
          <w:iCs/>
        </w:rPr>
        <w:t>Tooth decay statistics and NHS costs</w:t>
      </w:r>
      <w:r w:rsidRPr="005E2328">
        <w:rPr>
          <w:rFonts w:ascii="Arial" w:hAnsi="Arial" w:cs="Arial"/>
        </w:rPr>
        <w:t>. London: British Dental Association.</w:t>
      </w:r>
    </w:p>
    <w:p w14:paraId="2E9A784C"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Brookman, A., Harper, H. and Newton, T. (2022) ‘Parental engagement in children’s oral-health behaviours’, </w:t>
      </w:r>
      <w:r w:rsidRPr="005E2328">
        <w:rPr>
          <w:rFonts w:ascii="Arial" w:hAnsi="Arial" w:cs="Arial"/>
          <w:i/>
          <w:iCs/>
        </w:rPr>
        <w:t>Community Dental Health</w:t>
      </w:r>
      <w:r w:rsidRPr="005E2328">
        <w:rPr>
          <w:rFonts w:ascii="Arial" w:hAnsi="Arial" w:cs="Arial"/>
        </w:rPr>
        <w:t>, 39(2), pp.112–118.</w:t>
      </w:r>
    </w:p>
    <w:p w14:paraId="7705BBAC"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Department for Education (2021) </w:t>
      </w:r>
      <w:r w:rsidRPr="005E2328">
        <w:rPr>
          <w:rFonts w:ascii="Arial" w:hAnsi="Arial" w:cs="Arial"/>
          <w:i/>
          <w:iCs/>
        </w:rPr>
        <w:t>Statutory guidance for Personal, Social, Health and Economic (PSHE) education</w:t>
      </w:r>
      <w:r w:rsidRPr="005E2328">
        <w:rPr>
          <w:rFonts w:ascii="Arial" w:hAnsi="Arial" w:cs="Arial"/>
        </w:rPr>
        <w:t>. London: Department for Education.</w:t>
      </w:r>
    </w:p>
    <w:p w14:paraId="31FD9AF0"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Foster, C., Gibson, A. and Wade, M. (2021) ‘Hospital experiences of children undergoing dental extraction under general anaesthesia’, </w:t>
      </w:r>
      <w:r w:rsidRPr="005E2328">
        <w:rPr>
          <w:rFonts w:ascii="Arial" w:hAnsi="Arial" w:cs="Arial"/>
          <w:i/>
          <w:iCs/>
        </w:rPr>
        <w:t>International Journal of Paediatric Dentistry</w:t>
      </w:r>
      <w:r w:rsidRPr="005E2328">
        <w:rPr>
          <w:rFonts w:ascii="Arial" w:hAnsi="Arial" w:cs="Arial"/>
        </w:rPr>
        <w:t>, 31(3), pp.350–358.</w:t>
      </w:r>
    </w:p>
    <w:p w14:paraId="692DC0ED"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Health Education England (2023) </w:t>
      </w:r>
      <w:r w:rsidRPr="005E2328">
        <w:rPr>
          <w:rFonts w:ascii="Arial" w:hAnsi="Arial" w:cs="Arial"/>
          <w:i/>
          <w:iCs/>
        </w:rPr>
        <w:t>Digital education for improving child and family health</w:t>
      </w:r>
      <w:r w:rsidRPr="005E2328">
        <w:rPr>
          <w:rFonts w:ascii="Arial" w:hAnsi="Arial" w:cs="Arial"/>
        </w:rPr>
        <w:t>. London: Health Education England.</w:t>
      </w:r>
    </w:p>
    <w:p w14:paraId="1B4F38D7"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Information Commissioner’s Office (2021) </w:t>
      </w:r>
      <w:r w:rsidRPr="005E2328">
        <w:rPr>
          <w:rFonts w:ascii="Arial" w:hAnsi="Arial" w:cs="Arial"/>
          <w:i/>
          <w:iCs/>
        </w:rPr>
        <w:t>Children and the UK GDPR: Guidance for online services</w:t>
      </w:r>
      <w:r w:rsidRPr="005E2328">
        <w:rPr>
          <w:rFonts w:ascii="Arial" w:hAnsi="Arial" w:cs="Arial"/>
        </w:rPr>
        <w:t>. London: ICO.</w:t>
      </w:r>
    </w:p>
    <w:p w14:paraId="4944436E"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Marmot, M. (2020) </w:t>
      </w:r>
      <w:r w:rsidRPr="005E2328">
        <w:rPr>
          <w:rFonts w:ascii="Arial" w:hAnsi="Arial" w:cs="Arial"/>
          <w:i/>
          <w:iCs/>
        </w:rPr>
        <w:t>Health Equity in England: The Marmot Review 10 Years On</w:t>
      </w:r>
      <w:r w:rsidRPr="005E2328">
        <w:rPr>
          <w:rFonts w:ascii="Arial" w:hAnsi="Arial" w:cs="Arial"/>
        </w:rPr>
        <w:t>. London: Institute of Health Equity.</w:t>
      </w:r>
    </w:p>
    <w:p w14:paraId="5ADBBD0F"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Michie, S., Atkins, L. and West, R. (2014) </w:t>
      </w:r>
      <w:r w:rsidRPr="005E2328">
        <w:rPr>
          <w:rFonts w:ascii="Arial" w:hAnsi="Arial" w:cs="Arial"/>
          <w:i/>
          <w:iCs/>
        </w:rPr>
        <w:t>The Behaviour Change Wheel: A guide to designing interventions</w:t>
      </w:r>
      <w:r w:rsidRPr="005E2328">
        <w:rPr>
          <w:rFonts w:ascii="Arial" w:hAnsi="Arial" w:cs="Arial"/>
        </w:rPr>
        <w:t>. London: Silverback Publishing.</w:t>
      </w:r>
    </w:p>
    <w:p w14:paraId="3AF0CA15" w14:textId="03AF9559" w:rsidR="00B241BA" w:rsidRPr="005E2328" w:rsidRDefault="00B241BA" w:rsidP="00B241BA">
      <w:pPr>
        <w:spacing w:line="360" w:lineRule="auto"/>
        <w:jc w:val="both"/>
        <w:rPr>
          <w:rFonts w:ascii="Arial" w:hAnsi="Arial" w:cs="Arial"/>
        </w:rPr>
      </w:pPr>
      <w:r w:rsidRPr="005E2328">
        <w:rPr>
          <w:rFonts w:ascii="Arial" w:hAnsi="Arial" w:cs="Arial"/>
        </w:rPr>
        <w:t xml:space="preserve">NHS Digital (2023) </w:t>
      </w:r>
      <w:r w:rsidRPr="005E2328">
        <w:rPr>
          <w:rFonts w:ascii="Arial" w:hAnsi="Arial" w:cs="Arial"/>
          <w:i/>
          <w:iCs/>
        </w:rPr>
        <w:t>Data Security and Protection Toolkit</w:t>
      </w:r>
      <w:r w:rsidRPr="005E2328">
        <w:rPr>
          <w:rFonts w:ascii="Arial" w:hAnsi="Arial" w:cs="Arial"/>
        </w:rPr>
        <w:t xml:space="preserve">. Available at: </w:t>
      </w:r>
      <w:hyperlink r:id="rId7" w:tgtFrame="_new" w:history="1">
        <w:r w:rsidRPr="005E2328">
          <w:rPr>
            <w:rStyle w:val="Hyperlink"/>
            <w:rFonts w:ascii="Arial" w:hAnsi="Arial" w:cs="Arial"/>
            <w:color w:val="auto"/>
            <w:u w:val="none"/>
          </w:rPr>
          <w:t>https://www.dsptoolkit.nhs.uk</w:t>
        </w:r>
      </w:hyperlink>
      <w:r w:rsidRPr="005E2328">
        <w:rPr>
          <w:rFonts w:ascii="Arial" w:hAnsi="Arial" w:cs="Arial"/>
        </w:rPr>
        <w:t xml:space="preserve"> (Accessed: 2</w:t>
      </w:r>
      <w:r w:rsidR="00007076" w:rsidRPr="005E2328">
        <w:rPr>
          <w:rFonts w:ascii="Arial" w:hAnsi="Arial" w:cs="Arial"/>
        </w:rPr>
        <w:t>9</w:t>
      </w:r>
      <w:r w:rsidRPr="005E2328">
        <w:rPr>
          <w:rFonts w:ascii="Arial" w:hAnsi="Arial" w:cs="Arial"/>
        </w:rPr>
        <w:t xml:space="preserve"> October 2025).</w:t>
      </w:r>
    </w:p>
    <w:p w14:paraId="4285551B"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NHS England (2019) </w:t>
      </w:r>
      <w:r w:rsidRPr="005E2328">
        <w:rPr>
          <w:rFonts w:ascii="Arial" w:hAnsi="Arial" w:cs="Arial"/>
          <w:i/>
          <w:iCs/>
        </w:rPr>
        <w:t>The NHS Long Term Plan</w:t>
      </w:r>
      <w:r w:rsidRPr="005E2328">
        <w:rPr>
          <w:rFonts w:ascii="Arial" w:hAnsi="Arial" w:cs="Arial"/>
        </w:rPr>
        <w:t>. London: NHS England.</w:t>
      </w:r>
    </w:p>
    <w:p w14:paraId="101EBF9C"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NHS England (2022) </w:t>
      </w:r>
      <w:r w:rsidRPr="005E2328">
        <w:rPr>
          <w:rFonts w:ascii="Arial" w:hAnsi="Arial" w:cs="Arial"/>
          <w:i/>
          <w:iCs/>
        </w:rPr>
        <w:t>Child Oral Health Improvement and Early Years Prevention Framework</w:t>
      </w:r>
      <w:r w:rsidRPr="005E2328">
        <w:rPr>
          <w:rFonts w:ascii="Arial" w:hAnsi="Arial" w:cs="Arial"/>
        </w:rPr>
        <w:t>. London: NHS England.</w:t>
      </w:r>
    </w:p>
    <w:p w14:paraId="06A96C23"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NICE (2019) </w:t>
      </w:r>
      <w:r w:rsidRPr="005E2328">
        <w:rPr>
          <w:rFonts w:ascii="Arial" w:hAnsi="Arial" w:cs="Arial"/>
          <w:i/>
          <w:iCs/>
        </w:rPr>
        <w:t>Oral health promotion: General guidance</w:t>
      </w:r>
      <w:r w:rsidRPr="005E2328">
        <w:rPr>
          <w:rFonts w:ascii="Arial" w:hAnsi="Arial" w:cs="Arial"/>
        </w:rPr>
        <w:t>. London: National Institute for Health and Care Excellence.</w:t>
      </w:r>
    </w:p>
    <w:p w14:paraId="2CA6317D" w14:textId="77777777" w:rsidR="00B241BA" w:rsidRPr="005E2328" w:rsidRDefault="00B241BA" w:rsidP="00B241BA">
      <w:pPr>
        <w:spacing w:line="360" w:lineRule="auto"/>
        <w:jc w:val="both"/>
        <w:rPr>
          <w:rFonts w:ascii="Arial" w:hAnsi="Arial" w:cs="Arial"/>
        </w:rPr>
      </w:pPr>
      <w:r w:rsidRPr="005E2328">
        <w:rPr>
          <w:rFonts w:ascii="Arial" w:hAnsi="Arial" w:cs="Arial"/>
        </w:rPr>
        <w:lastRenderedPageBreak/>
        <w:t xml:space="preserve">Office for Health Improvement and Disparities (2022) </w:t>
      </w:r>
      <w:r w:rsidRPr="005E2328">
        <w:rPr>
          <w:rFonts w:ascii="Arial" w:hAnsi="Arial" w:cs="Arial"/>
          <w:i/>
          <w:iCs/>
        </w:rPr>
        <w:t>National Dental Epidemiology Programme: Survey of Five-Year-Olds</w:t>
      </w:r>
      <w:r w:rsidRPr="005E2328">
        <w:rPr>
          <w:rFonts w:ascii="Arial" w:hAnsi="Arial" w:cs="Arial"/>
        </w:rPr>
        <w:t>. London: OHID.</w:t>
      </w:r>
    </w:p>
    <w:p w14:paraId="7EC559C7"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Public Health England (2020) </w:t>
      </w:r>
      <w:r w:rsidRPr="005E2328">
        <w:rPr>
          <w:rFonts w:ascii="Arial" w:hAnsi="Arial" w:cs="Arial"/>
          <w:i/>
          <w:iCs/>
        </w:rPr>
        <w:t>Improving oral health: A community-led toolkit</w:t>
      </w:r>
      <w:r w:rsidRPr="005E2328">
        <w:rPr>
          <w:rFonts w:ascii="Arial" w:hAnsi="Arial" w:cs="Arial"/>
        </w:rPr>
        <w:t>. London: Public Health England.</w:t>
      </w:r>
    </w:p>
    <w:p w14:paraId="74123188"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Public Health England (2024) </w:t>
      </w:r>
      <w:r w:rsidRPr="005E2328">
        <w:rPr>
          <w:rFonts w:ascii="Arial" w:hAnsi="Arial" w:cs="Arial"/>
          <w:i/>
          <w:iCs/>
        </w:rPr>
        <w:t>Childhood Oral Health Statistics in England</w:t>
      </w:r>
      <w:r w:rsidRPr="005E2328">
        <w:rPr>
          <w:rFonts w:ascii="Arial" w:hAnsi="Arial" w:cs="Arial"/>
        </w:rPr>
        <w:t>. London: Public Health England.</w:t>
      </w:r>
    </w:p>
    <w:p w14:paraId="7903338D"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UK Council for Internet Safety (2022) </w:t>
      </w:r>
      <w:r w:rsidRPr="005E2328">
        <w:rPr>
          <w:rFonts w:ascii="Arial" w:hAnsi="Arial" w:cs="Arial"/>
          <w:i/>
          <w:iCs/>
        </w:rPr>
        <w:t>A guide to child online safety for app developers</w:t>
      </w:r>
      <w:r w:rsidRPr="005E2328">
        <w:rPr>
          <w:rFonts w:ascii="Arial" w:hAnsi="Arial" w:cs="Arial"/>
        </w:rPr>
        <w:t>. London: UKCIS.</w:t>
      </w:r>
    </w:p>
    <w:p w14:paraId="0ADD9FE3" w14:textId="77777777" w:rsidR="00B241BA" w:rsidRPr="005E2328" w:rsidRDefault="00B241BA" w:rsidP="00B241BA">
      <w:pPr>
        <w:spacing w:line="360" w:lineRule="auto"/>
        <w:jc w:val="both"/>
        <w:rPr>
          <w:rFonts w:ascii="Arial" w:hAnsi="Arial" w:cs="Arial"/>
        </w:rPr>
      </w:pPr>
      <w:r w:rsidRPr="005E2328">
        <w:rPr>
          <w:rFonts w:ascii="Arial" w:hAnsi="Arial" w:cs="Arial"/>
        </w:rPr>
        <w:t xml:space="preserve">World Health Organization (2021) </w:t>
      </w:r>
      <w:r w:rsidRPr="005E2328">
        <w:rPr>
          <w:rFonts w:ascii="Arial" w:hAnsi="Arial" w:cs="Arial"/>
          <w:i/>
          <w:iCs/>
        </w:rPr>
        <w:t>Community empowerment and public health improvement</w:t>
      </w:r>
      <w:r w:rsidRPr="005E2328">
        <w:rPr>
          <w:rFonts w:ascii="Arial" w:hAnsi="Arial" w:cs="Arial"/>
        </w:rPr>
        <w:t>. Geneva: World Health Organization.</w:t>
      </w:r>
    </w:p>
    <w:p w14:paraId="734B7E16" w14:textId="77777777" w:rsidR="00B241BA" w:rsidRPr="005E2328" w:rsidRDefault="00B241BA" w:rsidP="00B241BA">
      <w:pPr>
        <w:spacing w:line="360" w:lineRule="auto"/>
        <w:jc w:val="both"/>
        <w:rPr>
          <w:rFonts w:ascii="Arial" w:hAnsi="Arial" w:cs="Arial"/>
        </w:rPr>
      </w:pPr>
      <w:r w:rsidRPr="005E2328">
        <w:rPr>
          <w:rFonts w:ascii="Arial" w:hAnsi="Arial" w:cs="Arial"/>
        </w:rPr>
        <w:t>World Health</w:t>
      </w:r>
      <w:r w:rsidRPr="005E2328">
        <w:rPr>
          <w:rFonts w:ascii="Arial" w:hAnsi="Arial" w:cs="Arial"/>
          <w:b/>
          <w:bCs/>
        </w:rPr>
        <w:t xml:space="preserve"> </w:t>
      </w:r>
      <w:r w:rsidRPr="005E2328">
        <w:rPr>
          <w:rFonts w:ascii="Arial" w:hAnsi="Arial" w:cs="Arial"/>
        </w:rPr>
        <w:t xml:space="preserve">Organization (2022) </w:t>
      </w:r>
      <w:r w:rsidRPr="005E2328">
        <w:rPr>
          <w:rFonts w:ascii="Arial" w:hAnsi="Arial" w:cs="Arial"/>
          <w:i/>
          <w:iCs/>
        </w:rPr>
        <w:t>Oral health: Key facts</w:t>
      </w:r>
      <w:r w:rsidRPr="005E2328">
        <w:rPr>
          <w:rFonts w:ascii="Arial" w:hAnsi="Arial" w:cs="Arial"/>
        </w:rPr>
        <w:t>. Geneva: World Health Organization.</w:t>
      </w:r>
    </w:p>
    <w:p w14:paraId="308E02FB" w14:textId="77777777" w:rsidR="00B241BA" w:rsidRPr="00DB72F4" w:rsidRDefault="00B241BA" w:rsidP="000373D8">
      <w:pPr>
        <w:spacing w:line="360" w:lineRule="auto"/>
        <w:jc w:val="both"/>
        <w:rPr>
          <w:rFonts w:ascii="Arial" w:hAnsi="Arial" w:cs="Arial"/>
        </w:rPr>
      </w:pPr>
    </w:p>
    <w:p w14:paraId="547D5CE0" w14:textId="77777777" w:rsidR="000373D8" w:rsidRDefault="000373D8">
      <w:pPr>
        <w:rPr>
          <w:rFonts w:ascii="Arial" w:hAnsi="Arial" w:cs="Arial"/>
        </w:rPr>
      </w:pPr>
    </w:p>
    <w:sectPr w:rsidR="00037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F39"/>
    <w:rsid w:val="00007076"/>
    <w:rsid w:val="00021F40"/>
    <w:rsid w:val="000373D8"/>
    <w:rsid w:val="000648B6"/>
    <w:rsid w:val="0006655B"/>
    <w:rsid w:val="0009757F"/>
    <w:rsid w:val="00136B00"/>
    <w:rsid w:val="0016651B"/>
    <w:rsid w:val="001A6C6D"/>
    <w:rsid w:val="001C163C"/>
    <w:rsid w:val="001F4C41"/>
    <w:rsid w:val="001F6606"/>
    <w:rsid w:val="0028448C"/>
    <w:rsid w:val="002F0D56"/>
    <w:rsid w:val="00387CAD"/>
    <w:rsid w:val="003A5949"/>
    <w:rsid w:val="004C5D57"/>
    <w:rsid w:val="005C09D1"/>
    <w:rsid w:val="005E2328"/>
    <w:rsid w:val="00635B5E"/>
    <w:rsid w:val="00645F91"/>
    <w:rsid w:val="006A5D43"/>
    <w:rsid w:val="006C0D2E"/>
    <w:rsid w:val="006D5DDF"/>
    <w:rsid w:val="00742F7C"/>
    <w:rsid w:val="00811905"/>
    <w:rsid w:val="008616B0"/>
    <w:rsid w:val="00955502"/>
    <w:rsid w:val="009743BA"/>
    <w:rsid w:val="00994B34"/>
    <w:rsid w:val="009F3EAD"/>
    <w:rsid w:val="009F5C07"/>
    <w:rsid w:val="00A72056"/>
    <w:rsid w:val="00A82F39"/>
    <w:rsid w:val="00B241BA"/>
    <w:rsid w:val="00C12E74"/>
    <w:rsid w:val="00C625AA"/>
    <w:rsid w:val="00C93F40"/>
    <w:rsid w:val="00CC3C81"/>
    <w:rsid w:val="00CD6F66"/>
    <w:rsid w:val="00D25934"/>
    <w:rsid w:val="00D301AD"/>
    <w:rsid w:val="00D31850"/>
    <w:rsid w:val="00D50951"/>
    <w:rsid w:val="00E1190E"/>
    <w:rsid w:val="00F359B3"/>
    <w:rsid w:val="00F94CFE"/>
    <w:rsid w:val="00F97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AE070"/>
  <w15:chartTrackingRefBased/>
  <w15:docId w15:val="{3E8FBE06-571C-4FFC-A4F9-72C226410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748"/>
  </w:style>
  <w:style w:type="paragraph" w:styleId="Heading1">
    <w:name w:val="heading 1"/>
    <w:basedOn w:val="Normal"/>
    <w:next w:val="Normal"/>
    <w:link w:val="Heading1Char"/>
    <w:uiPriority w:val="9"/>
    <w:qFormat/>
    <w:rsid w:val="00A82F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2F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F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F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F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F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F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F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F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F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2F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F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F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F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F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F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F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F39"/>
    <w:rPr>
      <w:rFonts w:eastAsiaTheme="majorEastAsia" w:cstheme="majorBidi"/>
      <w:color w:val="272727" w:themeColor="text1" w:themeTint="D8"/>
    </w:rPr>
  </w:style>
  <w:style w:type="paragraph" w:styleId="Title">
    <w:name w:val="Title"/>
    <w:basedOn w:val="Normal"/>
    <w:next w:val="Normal"/>
    <w:link w:val="TitleChar"/>
    <w:uiPriority w:val="10"/>
    <w:qFormat/>
    <w:rsid w:val="00A82F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F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F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F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F39"/>
    <w:pPr>
      <w:spacing w:before="160"/>
      <w:jc w:val="center"/>
    </w:pPr>
    <w:rPr>
      <w:i/>
      <w:iCs/>
      <w:color w:val="404040" w:themeColor="text1" w:themeTint="BF"/>
    </w:rPr>
  </w:style>
  <w:style w:type="character" w:customStyle="1" w:styleId="QuoteChar">
    <w:name w:val="Quote Char"/>
    <w:basedOn w:val="DefaultParagraphFont"/>
    <w:link w:val="Quote"/>
    <w:uiPriority w:val="29"/>
    <w:rsid w:val="00A82F39"/>
    <w:rPr>
      <w:i/>
      <w:iCs/>
      <w:color w:val="404040" w:themeColor="text1" w:themeTint="BF"/>
    </w:rPr>
  </w:style>
  <w:style w:type="paragraph" w:styleId="ListParagraph">
    <w:name w:val="List Paragraph"/>
    <w:basedOn w:val="Normal"/>
    <w:uiPriority w:val="34"/>
    <w:qFormat/>
    <w:rsid w:val="00A82F39"/>
    <w:pPr>
      <w:ind w:left="720"/>
      <w:contextualSpacing/>
    </w:pPr>
  </w:style>
  <w:style w:type="character" w:styleId="IntenseEmphasis">
    <w:name w:val="Intense Emphasis"/>
    <w:basedOn w:val="DefaultParagraphFont"/>
    <w:uiPriority w:val="21"/>
    <w:qFormat/>
    <w:rsid w:val="00A82F39"/>
    <w:rPr>
      <w:i/>
      <w:iCs/>
      <w:color w:val="0F4761" w:themeColor="accent1" w:themeShade="BF"/>
    </w:rPr>
  </w:style>
  <w:style w:type="paragraph" w:styleId="IntenseQuote">
    <w:name w:val="Intense Quote"/>
    <w:basedOn w:val="Normal"/>
    <w:next w:val="Normal"/>
    <w:link w:val="IntenseQuoteChar"/>
    <w:uiPriority w:val="30"/>
    <w:qFormat/>
    <w:rsid w:val="00A82F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F39"/>
    <w:rPr>
      <w:i/>
      <w:iCs/>
      <w:color w:val="0F4761" w:themeColor="accent1" w:themeShade="BF"/>
    </w:rPr>
  </w:style>
  <w:style w:type="character" w:styleId="IntenseReference">
    <w:name w:val="Intense Reference"/>
    <w:basedOn w:val="DefaultParagraphFont"/>
    <w:uiPriority w:val="32"/>
    <w:qFormat/>
    <w:rsid w:val="00A82F39"/>
    <w:rPr>
      <w:b/>
      <w:bCs/>
      <w:smallCaps/>
      <w:color w:val="0F4761" w:themeColor="accent1" w:themeShade="BF"/>
      <w:spacing w:val="5"/>
    </w:rPr>
  </w:style>
  <w:style w:type="character" w:styleId="Hyperlink">
    <w:name w:val="Hyperlink"/>
    <w:basedOn w:val="DefaultParagraphFont"/>
    <w:uiPriority w:val="99"/>
    <w:unhideWhenUsed/>
    <w:rsid w:val="000373D8"/>
    <w:rPr>
      <w:color w:val="467886" w:themeColor="hyperlink"/>
      <w:u w:val="single"/>
    </w:rPr>
  </w:style>
  <w:style w:type="paragraph" w:styleId="NormalWeb">
    <w:name w:val="Normal (Web)"/>
    <w:basedOn w:val="Normal"/>
    <w:uiPriority w:val="99"/>
    <w:semiHidden/>
    <w:unhideWhenUsed/>
    <w:rsid w:val="003A594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9757F"/>
    <w:rPr>
      <w:b/>
      <w:bCs/>
    </w:rPr>
  </w:style>
  <w:style w:type="character" w:styleId="UnresolvedMention">
    <w:name w:val="Unresolved Mention"/>
    <w:basedOn w:val="DefaultParagraphFont"/>
    <w:uiPriority w:val="99"/>
    <w:semiHidden/>
    <w:unhideWhenUsed/>
    <w:rsid w:val="00B241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dsptoolkit.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sv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1653</Words>
  <Characters>9426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 (2329516)</dc:creator>
  <cp:keywords/>
  <dc:description/>
  <cp:lastModifiedBy>Melania Ciornei (2329516)</cp:lastModifiedBy>
  <cp:revision>28</cp:revision>
  <dcterms:created xsi:type="dcterms:W3CDTF">2025-11-12T16:46:00Z</dcterms:created>
  <dcterms:modified xsi:type="dcterms:W3CDTF">2025-11-16T20:16:00Z</dcterms:modified>
</cp:coreProperties>
</file>