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85B45" w14:textId="77777777" w:rsidR="00133730" w:rsidRDefault="00541060"/>
    <w:p w14:paraId="0C823E7C" w14:textId="77777777" w:rsidR="00960A9D" w:rsidRDefault="00960A9D"/>
    <w:p w14:paraId="7BA3DB68" w14:textId="56AB10AF" w:rsidR="00F413D3" w:rsidRDefault="00F413D3" w:rsidP="00EC2510">
      <w:pPr>
        <w:spacing w:line="360" w:lineRule="auto"/>
        <w:rPr>
          <w:rFonts w:ascii="Arial" w:hAnsi="Arial" w:cs="Arial"/>
        </w:rPr>
      </w:pPr>
      <w:r>
        <w:rPr>
          <w:rFonts w:ascii="Arial" w:hAnsi="Arial" w:cs="Arial"/>
        </w:rPr>
        <w:t xml:space="preserve">Inclusivity </w:t>
      </w:r>
      <w:r w:rsidR="00D82CE6">
        <w:rPr>
          <w:rFonts w:ascii="Arial" w:hAnsi="Arial" w:cs="Arial"/>
        </w:rPr>
        <w:t>surrounds lots of different terms which may be more familiar to</w:t>
      </w:r>
      <w:r w:rsidR="00FD4DB3">
        <w:rPr>
          <w:rFonts w:ascii="Arial" w:hAnsi="Arial" w:cs="Arial"/>
        </w:rPr>
        <w:t xml:space="preserve"> </w:t>
      </w:r>
      <w:r w:rsidR="004D4696">
        <w:rPr>
          <w:rFonts w:ascii="Arial" w:hAnsi="Arial" w:cs="Arial"/>
        </w:rPr>
        <w:t>practitioners and learners</w:t>
      </w:r>
      <w:r w:rsidR="00D82CE6">
        <w:rPr>
          <w:rFonts w:ascii="Arial" w:hAnsi="Arial" w:cs="Arial"/>
        </w:rPr>
        <w:t xml:space="preserve"> as diversity or equal opportunities. It is used to </w:t>
      </w:r>
      <w:r w:rsidR="001675AB">
        <w:rPr>
          <w:rFonts w:ascii="Arial" w:hAnsi="Arial" w:cs="Arial"/>
        </w:rPr>
        <w:t xml:space="preserve">express an approach where diversity is respected, equality of opportunity is valued and </w:t>
      </w:r>
      <w:r w:rsidR="00DF13F5">
        <w:rPr>
          <w:rFonts w:ascii="Arial" w:hAnsi="Arial" w:cs="Arial"/>
        </w:rPr>
        <w:t xml:space="preserve">there is no hostility between groups </w:t>
      </w:r>
      <w:r w:rsidR="004D4696">
        <w:rPr>
          <w:rFonts w:ascii="Arial" w:hAnsi="Arial" w:cs="Arial"/>
        </w:rPr>
        <w:t xml:space="preserve">(Croucher and Romer, 2007). </w:t>
      </w:r>
      <w:r w:rsidR="00FD4DB3">
        <w:rPr>
          <w:rFonts w:ascii="Arial" w:hAnsi="Arial" w:cs="Arial"/>
        </w:rPr>
        <w:t xml:space="preserve">This assignment critically analyses the strategies for promoting inclusivity in degree programmes (higher education). </w:t>
      </w:r>
      <w:r w:rsidR="00494A82">
        <w:rPr>
          <w:rFonts w:ascii="Arial" w:hAnsi="Arial" w:cs="Arial"/>
        </w:rPr>
        <w:t xml:space="preserve">As </w:t>
      </w:r>
      <w:r w:rsidR="0051258F" w:rsidRPr="0051258F">
        <w:rPr>
          <w:rFonts w:ascii="Arial" w:hAnsi="Arial" w:cs="Arial"/>
        </w:rPr>
        <w:t>Moriña</w:t>
      </w:r>
      <w:r w:rsidR="0051258F">
        <w:rPr>
          <w:rFonts w:ascii="Arial" w:hAnsi="Arial" w:cs="Arial"/>
        </w:rPr>
        <w:t xml:space="preserve"> </w:t>
      </w:r>
      <w:r w:rsidR="00494A82">
        <w:rPr>
          <w:rFonts w:ascii="Arial" w:hAnsi="Arial" w:cs="Arial"/>
        </w:rPr>
        <w:t>(</w:t>
      </w:r>
      <w:r w:rsidR="00C76B8E">
        <w:rPr>
          <w:rFonts w:ascii="Arial" w:hAnsi="Arial" w:cs="Arial"/>
        </w:rPr>
        <w:t>2017</w:t>
      </w:r>
      <w:r w:rsidR="00494A82">
        <w:rPr>
          <w:rFonts w:ascii="Arial" w:hAnsi="Arial" w:cs="Arial"/>
        </w:rPr>
        <w:t xml:space="preserve">) states higher education has needed to </w:t>
      </w:r>
      <w:r w:rsidR="00845E75">
        <w:rPr>
          <w:rFonts w:ascii="Arial" w:hAnsi="Arial" w:cs="Arial"/>
        </w:rPr>
        <w:t xml:space="preserve">advance in inclusive practices </w:t>
      </w:r>
      <w:r w:rsidR="00760146">
        <w:rPr>
          <w:rFonts w:ascii="Arial" w:hAnsi="Arial" w:cs="Arial"/>
        </w:rPr>
        <w:t xml:space="preserve">as more </w:t>
      </w:r>
      <w:r w:rsidR="00BA7FD8">
        <w:rPr>
          <w:rFonts w:ascii="Arial" w:hAnsi="Arial" w:cs="Arial"/>
        </w:rPr>
        <w:t xml:space="preserve">diverse students, including children with disabilities are completing their early schooling and moving on to higher education. </w:t>
      </w:r>
    </w:p>
    <w:p w14:paraId="36F3C988" w14:textId="7708A03E" w:rsidR="00E90404" w:rsidRPr="00EC2510" w:rsidRDefault="00E90404" w:rsidP="00EC2510">
      <w:pPr>
        <w:spacing w:line="360" w:lineRule="auto"/>
        <w:rPr>
          <w:rFonts w:ascii="Arial" w:hAnsi="Arial" w:cs="Arial"/>
        </w:rPr>
      </w:pPr>
      <w:r>
        <w:rPr>
          <w:rFonts w:ascii="Arial" w:hAnsi="Arial" w:cs="Arial"/>
        </w:rPr>
        <w:tab/>
        <w:t xml:space="preserve">This assignment will look at a variety of different strategies and ways of incorporating diversity into the higher education curriculum. The widening participation higher education strategy will be explored, looking at differentiation in higher education, the curriculum design and development, an accessible curriculum that is responsive to a child’s needs, </w:t>
      </w:r>
      <w:r w:rsidR="005A6CA9">
        <w:rPr>
          <w:rFonts w:ascii="Arial" w:hAnsi="Arial" w:cs="Arial"/>
        </w:rPr>
        <w:t xml:space="preserve">learning styles </w:t>
      </w:r>
      <w:r w:rsidR="007D5A3A">
        <w:rPr>
          <w:rFonts w:ascii="Arial" w:hAnsi="Arial" w:cs="Arial"/>
        </w:rPr>
        <w:t xml:space="preserve">as a strategy </w:t>
      </w:r>
      <w:r>
        <w:rPr>
          <w:rFonts w:ascii="Arial" w:hAnsi="Arial" w:cs="Arial"/>
        </w:rPr>
        <w:t xml:space="preserve">and lastly as shown below in this assignment, what do the universities do to </w:t>
      </w:r>
      <w:r w:rsidR="005D7331">
        <w:rPr>
          <w:rFonts w:ascii="Arial" w:hAnsi="Arial" w:cs="Arial"/>
        </w:rPr>
        <w:t>promote equality and diversity? This assignment will discover how the strategies incorporate inclusivity and if they work within the higher education sector or if there need</w:t>
      </w:r>
      <w:r w:rsidR="003919D9">
        <w:rPr>
          <w:rFonts w:ascii="Arial" w:hAnsi="Arial" w:cs="Arial"/>
        </w:rPr>
        <w:t>s</w:t>
      </w:r>
      <w:r w:rsidR="005D7331">
        <w:rPr>
          <w:rFonts w:ascii="Arial" w:hAnsi="Arial" w:cs="Arial"/>
        </w:rPr>
        <w:t xml:space="preserve"> to be any changes that would </w:t>
      </w:r>
      <w:r w:rsidR="003919D9">
        <w:rPr>
          <w:rFonts w:ascii="Arial" w:hAnsi="Arial" w:cs="Arial"/>
        </w:rPr>
        <w:t xml:space="preserve">improve the curriculums inclusivity. </w:t>
      </w:r>
    </w:p>
    <w:p w14:paraId="72F412BC" w14:textId="27A01F68" w:rsidR="0030320E" w:rsidRPr="00DE5021" w:rsidRDefault="007959B5" w:rsidP="00DE5021">
      <w:pPr>
        <w:spacing w:line="360" w:lineRule="auto"/>
      </w:pPr>
      <w:r>
        <w:tab/>
      </w:r>
      <w:r w:rsidR="00C41150" w:rsidRPr="0025145D">
        <w:rPr>
          <w:rFonts w:ascii="Arial" w:hAnsi="Arial" w:cs="Arial"/>
        </w:rPr>
        <w:t>The first strategies that are looked at in this assignment are the strategies for widening participation at degree program level.  Widening participation has been a policy issue in higher education in the UK for 50 years according to Younger et al, (2018). Over the years the higher education sector has been developing with more people going to university at a younger age. However, even though there is the increase in people participating in degree programmes,</w:t>
      </w:r>
      <w:r w:rsidR="00074AC4">
        <w:rPr>
          <w:rFonts w:ascii="Arial" w:hAnsi="Arial" w:cs="Arial"/>
        </w:rPr>
        <w:t xml:space="preserve"> it is not easily access</w:t>
      </w:r>
      <w:r w:rsidR="000F2CE1">
        <w:rPr>
          <w:rFonts w:ascii="Arial" w:hAnsi="Arial" w:cs="Arial"/>
        </w:rPr>
        <w:t>ed by all</w:t>
      </w:r>
      <w:r w:rsidR="00074AC4">
        <w:rPr>
          <w:rFonts w:ascii="Arial" w:hAnsi="Arial" w:cs="Arial"/>
        </w:rPr>
        <w:t xml:space="preserve"> and</w:t>
      </w:r>
      <w:r w:rsidR="00C41150" w:rsidRPr="0025145D">
        <w:rPr>
          <w:rFonts w:ascii="Arial" w:hAnsi="Arial" w:cs="Arial"/>
        </w:rPr>
        <w:t xml:space="preserve"> the idea of widening participation is to make sure places in university are available </w:t>
      </w:r>
      <w:r w:rsidR="0062291E" w:rsidRPr="0025145D">
        <w:rPr>
          <w:rFonts w:ascii="Arial" w:hAnsi="Arial" w:cs="Arial"/>
        </w:rPr>
        <w:t>fairly for all no matter what social group you come from (</w:t>
      </w:r>
      <w:r w:rsidR="00300145" w:rsidRPr="0025145D">
        <w:rPr>
          <w:rFonts w:ascii="Arial" w:hAnsi="Arial" w:cs="Arial"/>
        </w:rPr>
        <w:t xml:space="preserve">HEFCE, 2012 </w:t>
      </w:r>
      <w:r w:rsidR="00300145" w:rsidRPr="0025145D">
        <w:rPr>
          <w:rFonts w:ascii="Arial" w:hAnsi="Arial" w:cs="Arial"/>
          <w:i/>
        </w:rPr>
        <w:t>cited in</w:t>
      </w:r>
      <w:r w:rsidR="00300145" w:rsidRPr="0025145D">
        <w:rPr>
          <w:rFonts w:ascii="Arial" w:hAnsi="Arial" w:cs="Arial"/>
        </w:rPr>
        <w:t xml:space="preserve"> Younger et al, 2018). </w:t>
      </w:r>
    </w:p>
    <w:p w14:paraId="7D9809E2" w14:textId="0B324C5D" w:rsidR="00380BD6" w:rsidRDefault="00380BD6" w:rsidP="00E1371B">
      <w:pPr>
        <w:spacing w:line="360" w:lineRule="auto"/>
        <w:rPr>
          <w:rFonts w:ascii="Arial" w:hAnsi="Arial" w:cs="Arial"/>
        </w:rPr>
      </w:pPr>
      <w:r w:rsidRPr="0025145D">
        <w:rPr>
          <w:rFonts w:ascii="Arial" w:hAnsi="Arial" w:cs="Arial"/>
        </w:rPr>
        <w:tab/>
      </w:r>
      <w:r w:rsidR="00744DCE" w:rsidRPr="0025145D">
        <w:rPr>
          <w:rFonts w:ascii="Arial" w:hAnsi="Arial" w:cs="Arial"/>
        </w:rPr>
        <w:t xml:space="preserve">Universities </w:t>
      </w:r>
      <w:r w:rsidR="006A344B" w:rsidRPr="0025145D">
        <w:rPr>
          <w:rFonts w:ascii="Arial" w:hAnsi="Arial" w:cs="Arial"/>
        </w:rPr>
        <w:t>are advocated to develop their own ways of widening participation. As Hoare and Johnson (2011) states there are 4 key areas in widening pa</w:t>
      </w:r>
      <w:r w:rsidR="00560370" w:rsidRPr="0025145D">
        <w:rPr>
          <w:rFonts w:ascii="Arial" w:hAnsi="Arial" w:cs="Arial"/>
        </w:rPr>
        <w:t>rticipation. These include</w:t>
      </w:r>
      <w:r w:rsidR="006A344B" w:rsidRPr="0025145D">
        <w:rPr>
          <w:rFonts w:ascii="Arial" w:hAnsi="Arial" w:cs="Arial"/>
        </w:rPr>
        <w:t xml:space="preserve"> using promotional a</w:t>
      </w:r>
      <w:r w:rsidR="00E1371B" w:rsidRPr="0025145D">
        <w:rPr>
          <w:rFonts w:ascii="Arial" w:hAnsi="Arial" w:cs="Arial"/>
        </w:rPr>
        <w:t>ctivities to boost awareness of higher education to minority groups, the university would need to have their own interpretation on what a widening participation student is, the university can develop incentive</w:t>
      </w:r>
      <w:r w:rsidR="00CB2ADA">
        <w:rPr>
          <w:rFonts w:ascii="Arial" w:hAnsi="Arial" w:cs="Arial"/>
        </w:rPr>
        <w:t>s</w:t>
      </w:r>
      <w:r w:rsidR="00E1371B" w:rsidRPr="0025145D">
        <w:rPr>
          <w:rFonts w:ascii="Arial" w:hAnsi="Arial" w:cs="Arial"/>
        </w:rPr>
        <w:t xml:space="preserve"> such as bursaries to support the students w</w:t>
      </w:r>
      <w:r w:rsidR="00F054B3">
        <w:rPr>
          <w:rFonts w:ascii="Arial" w:hAnsi="Arial" w:cs="Arial"/>
        </w:rPr>
        <w:t>ho need it when already in higher education</w:t>
      </w:r>
      <w:r w:rsidR="00E1371B" w:rsidRPr="0025145D">
        <w:rPr>
          <w:rFonts w:ascii="Arial" w:hAnsi="Arial" w:cs="Arial"/>
        </w:rPr>
        <w:t xml:space="preserve"> and also ‘rather than being an entitlement based on prior school attainments, a place in a UK university has to be earned through open competition’ (Hoare and Johnson, 2011, p.23), for example this could be through the university admission service UCAS. </w:t>
      </w:r>
      <w:r w:rsidR="00560370" w:rsidRPr="0025145D">
        <w:rPr>
          <w:rFonts w:ascii="Arial" w:hAnsi="Arial" w:cs="Arial"/>
        </w:rPr>
        <w:lastRenderedPageBreak/>
        <w:t>T</w:t>
      </w:r>
      <w:r w:rsidR="00685319" w:rsidRPr="0025145D">
        <w:rPr>
          <w:rFonts w:ascii="Arial" w:hAnsi="Arial" w:cs="Arial"/>
        </w:rPr>
        <w:t>he universities ca</w:t>
      </w:r>
      <w:r w:rsidR="00560370" w:rsidRPr="0025145D">
        <w:rPr>
          <w:rFonts w:ascii="Arial" w:hAnsi="Arial" w:cs="Arial"/>
        </w:rPr>
        <w:t xml:space="preserve">n use this strategy to </w:t>
      </w:r>
      <w:r w:rsidR="00685319" w:rsidRPr="0025145D">
        <w:rPr>
          <w:rFonts w:ascii="Arial" w:hAnsi="Arial" w:cs="Arial"/>
        </w:rPr>
        <w:t>select student</w:t>
      </w:r>
      <w:r w:rsidR="00560370" w:rsidRPr="0025145D">
        <w:rPr>
          <w:rFonts w:ascii="Arial" w:hAnsi="Arial" w:cs="Arial"/>
        </w:rPr>
        <w:t>s</w:t>
      </w:r>
      <w:r w:rsidR="00685319" w:rsidRPr="0025145D">
        <w:rPr>
          <w:rFonts w:ascii="Arial" w:hAnsi="Arial" w:cs="Arial"/>
        </w:rPr>
        <w:t xml:space="preserve"> with their widening-participation criteria in mind. </w:t>
      </w:r>
    </w:p>
    <w:p w14:paraId="0625F2B1" w14:textId="4124BD5C" w:rsidR="00742CE8" w:rsidRDefault="004725BF" w:rsidP="00E1371B">
      <w:pPr>
        <w:spacing w:line="360" w:lineRule="auto"/>
        <w:rPr>
          <w:rFonts w:ascii="Arial" w:hAnsi="Arial" w:cs="Arial"/>
        </w:rPr>
      </w:pPr>
      <w:r>
        <w:rPr>
          <w:rFonts w:ascii="Arial" w:hAnsi="Arial" w:cs="Arial"/>
        </w:rPr>
        <w:tab/>
        <w:t xml:space="preserve">One of the challenges with widening participation is that it </w:t>
      </w:r>
      <w:r w:rsidR="005D4B8B">
        <w:rPr>
          <w:rFonts w:ascii="Arial" w:hAnsi="Arial" w:cs="Arial"/>
        </w:rPr>
        <w:t>can be costly to carry out. According to Taylor, Mellor and Walton (</w:t>
      </w:r>
      <w:r w:rsidR="00DB71F9">
        <w:rPr>
          <w:rFonts w:ascii="Arial" w:hAnsi="Arial" w:cs="Arial"/>
        </w:rPr>
        <w:t>2009</w:t>
      </w:r>
      <w:r w:rsidR="005D4B8B">
        <w:rPr>
          <w:rFonts w:ascii="Arial" w:hAnsi="Arial" w:cs="Arial"/>
        </w:rPr>
        <w:t xml:space="preserve">) dropout rates are very high when students study at university without having traditional qualifications such as a- levels first. </w:t>
      </w:r>
      <w:r w:rsidR="00C27B0C">
        <w:rPr>
          <w:rFonts w:ascii="Arial" w:hAnsi="Arial" w:cs="Arial"/>
        </w:rPr>
        <w:t>If universities are allowing more of an open access approach to higher education, there are challenges with non-completion rates. However, it could be argued that the policy</w:t>
      </w:r>
      <w:r w:rsidR="00CD6994">
        <w:rPr>
          <w:rFonts w:ascii="Arial" w:hAnsi="Arial" w:cs="Arial"/>
        </w:rPr>
        <w:t xml:space="preserve"> set</w:t>
      </w:r>
      <w:r w:rsidR="00C27B0C">
        <w:rPr>
          <w:rFonts w:ascii="Arial" w:hAnsi="Arial" w:cs="Arial"/>
        </w:rPr>
        <w:t xml:space="preserve"> by the government on widening participation for universities should provide the necessary tools and resources to support the students during their studies (Curtis, 2005, </w:t>
      </w:r>
      <w:r w:rsidR="00C27B0C">
        <w:rPr>
          <w:rFonts w:ascii="Arial" w:hAnsi="Arial" w:cs="Arial"/>
          <w:i/>
        </w:rPr>
        <w:t>cited in</w:t>
      </w:r>
      <w:r w:rsidR="00C27B0C">
        <w:rPr>
          <w:rFonts w:ascii="Arial" w:hAnsi="Arial" w:cs="Arial"/>
        </w:rPr>
        <w:t xml:space="preserve"> Taylor, Mellor and Walton, </w:t>
      </w:r>
      <w:r w:rsidR="002A397B">
        <w:rPr>
          <w:rFonts w:ascii="Arial" w:hAnsi="Arial" w:cs="Arial"/>
        </w:rPr>
        <w:t xml:space="preserve">2009). There </w:t>
      </w:r>
      <w:r w:rsidR="00967B56">
        <w:rPr>
          <w:rFonts w:ascii="Arial" w:hAnsi="Arial" w:cs="Arial"/>
        </w:rPr>
        <w:t xml:space="preserve">is also an issue </w:t>
      </w:r>
      <w:r w:rsidR="00742CE8">
        <w:rPr>
          <w:rFonts w:ascii="Arial" w:hAnsi="Arial" w:cs="Arial"/>
        </w:rPr>
        <w:t>with the idea of raising aspirations. Raising aspirations is one of the key fo</w:t>
      </w:r>
      <w:r w:rsidR="000F4116">
        <w:rPr>
          <w:rFonts w:ascii="Arial" w:hAnsi="Arial" w:cs="Arial"/>
        </w:rPr>
        <w:t>cuses of widening participation because</w:t>
      </w:r>
      <w:r w:rsidR="005221E1">
        <w:rPr>
          <w:rFonts w:ascii="Arial" w:hAnsi="Arial" w:cs="Arial"/>
        </w:rPr>
        <w:t xml:space="preserve"> it can display impro</w:t>
      </w:r>
      <w:r w:rsidR="000F4116">
        <w:rPr>
          <w:rFonts w:ascii="Arial" w:hAnsi="Arial" w:cs="Arial"/>
        </w:rPr>
        <w:t xml:space="preserve">ved confidence in young people (Doyle and Griffin, 2012). However, </w:t>
      </w:r>
      <w:r w:rsidR="00CC4AA0">
        <w:rPr>
          <w:rFonts w:ascii="Arial" w:hAnsi="Arial" w:cs="Arial"/>
        </w:rPr>
        <w:t xml:space="preserve">Burke (2016) states that the way aspirations are formed is ignored. The people who widening participation strategies target the most do not lack aspiration, they are not able to get access whether that is in the form of resources in education, social networking, pedagogical opportunities etc. </w:t>
      </w:r>
      <w:r w:rsidR="00A607FC">
        <w:rPr>
          <w:rFonts w:ascii="Arial" w:hAnsi="Arial" w:cs="Arial"/>
        </w:rPr>
        <w:t xml:space="preserve">The idea is that people do not have a lack of aspiration to go to higher university, they </w:t>
      </w:r>
      <w:r w:rsidR="00967B56">
        <w:rPr>
          <w:rFonts w:ascii="Arial" w:hAnsi="Arial" w:cs="Arial"/>
        </w:rPr>
        <w:t xml:space="preserve">just do not have the access. </w:t>
      </w:r>
    </w:p>
    <w:p w14:paraId="3CF7C56D" w14:textId="42B5349E" w:rsidR="00242013" w:rsidRDefault="008E0D97" w:rsidP="00E901BC">
      <w:pPr>
        <w:spacing w:line="360" w:lineRule="auto"/>
        <w:rPr>
          <w:rFonts w:ascii="Arial" w:hAnsi="Arial" w:cs="Arial"/>
        </w:rPr>
      </w:pPr>
      <w:r>
        <w:tab/>
      </w:r>
      <w:r w:rsidR="0025464B">
        <w:rPr>
          <w:rFonts w:ascii="Arial" w:hAnsi="Arial" w:cs="Arial"/>
        </w:rPr>
        <w:t xml:space="preserve">Differentiation </w:t>
      </w:r>
      <w:r w:rsidR="00E901BC">
        <w:rPr>
          <w:rFonts w:ascii="Arial" w:hAnsi="Arial" w:cs="Arial"/>
        </w:rPr>
        <w:t>strategies are also involved in higher education to promote inclusivity. There are different types and concepts of differentiation. As</w:t>
      </w:r>
      <w:r w:rsidR="00744866">
        <w:rPr>
          <w:rFonts w:ascii="Arial" w:hAnsi="Arial" w:cs="Arial"/>
        </w:rPr>
        <w:t xml:space="preserve"> Berggren </w:t>
      </w:r>
      <w:r w:rsidR="00E901BC">
        <w:rPr>
          <w:rFonts w:ascii="Arial" w:hAnsi="Arial" w:cs="Arial"/>
        </w:rPr>
        <w:t>(</w:t>
      </w:r>
      <w:r w:rsidR="00744866">
        <w:rPr>
          <w:rFonts w:ascii="Arial" w:hAnsi="Arial" w:cs="Arial"/>
        </w:rPr>
        <w:t>2016</w:t>
      </w:r>
      <w:r w:rsidR="00E901BC">
        <w:rPr>
          <w:rFonts w:ascii="Arial" w:hAnsi="Arial" w:cs="Arial"/>
        </w:rPr>
        <w:t xml:space="preserve">) states vertical differentiation can include divisions in the time a person has spent in formal education, their age or how appealing the course or university is. Also, horizontal differentiation includes the different specialised subjects and university disciplines. </w:t>
      </w:r>
      <w:r w:rsidR="00B8720D">
        <w:rPr>
          <w:rFonts w:ascii="Arial" w:hAnsi="Arial" w:cs="Arial"/>
        </w:rPr>
        <w:t>The increased need for differentiation</w:t>
      </w:r>
      <w:r w:rsidR="00F07C8E">
        <w:rPr>
          <w:rFonts w:ascii="Arial" w:hAnsi="Arial" w:cs="Arial"/>
        </w:rPr>
        <w:t xml:space="preserve"> comes </w:t>
      </w:r>
      <w:r w:rsidR="00B8720D">
        <w:rPr>
          <w:rFonts w:ascii="Arial" w:hAnsi="Arial" w:cs="Arial"/>
        </w:rPr>
        <w:t xml:space="preserve">from the new diversified population, which quality, efficiency and </w:t>
      </w:r>
      <w:r w:rsidR="00E607DD">
        <w:rPr>
          <w:rFonts w:ascii="Arial" w:hAnsi="Arial" w:cs="Arial"/>
        </w:rPr>
        <w:t>a need for higher education must</w:t>
      </w:r>
      <w:r w:rsidR="00B8720D">
        <w:rPr>
          <w:rFonts w:ascii="Arial" w:hAnsi="Arial" w:cs="Arial"/>
        </w:rPr>
        <w:t xml:space="preserve"> acknowledge (Teichler, 2008 </w:t>
      </w:r>
      <w:r w:rsidR="00B8720D">
        <w:rPr>
          <w:rFonts w:ascii="Arial" w:hAnsi="Arial" w:cs="Arial"/>
          <w:i/>
        </w:rPr>
        <w:t xml:space="preserve">cited in </w:t>
      </w:r>
      <w:r w:rsidR="00B8720D">
        <w:rPr>
          <w:rFonts w:ascii="Arial" w:hAnsi="Arial" w:cs="Arial"/>
        </w:rPr>
        <w:t xml:space="preserve">Berggren, 2016). </w:t>
      </w:r>
    </w:p>
    <w:p w14:paraId="5B4B8C9D" w14:textId="509871F9" w:rsidR="003569BD" w:rsidRPr="00B8720D" w:rsidRDefault="00E2478E" w:rsidP="00E901BC">
      <w:pPr>
        <w:spacing w:line="360" w:lineRule="auto"/>
        <w:rPr>
          <w:rFonts w:ascii="Arial" w:hAnsi="Arial" w:cs="Arial"/>
        </w:rPr>
      </w:pPr>
      <w:r>
        <w:rPr>
          <w:rFonts w:ascii="Arial" w:hAnsi="Arial" w:cs="Arial"/>
        </w:rPr>
        <w:tab/>
        <w:t xml:space="preserve">An example of a differentiation strategy is differentiating instruction. </w:t>
      </w:r>
      <w:r w:rsidR="00CC73C2">
        <w:rPr>
          <w:rFonts w:ascii="Arial" w:hAnsi="Arial" w:cs="Arial"/>
        </w:rPr>
        <w:t xml:space="preserve"> Differentiated instruction is the ability to adapt to students different l</w:t>
      </w:r>
      <w:r w:rsidR="007906A7">
        <w:rPr>
          <w:rFonts w:ascii="Arial" w:hAnsi="Arial" w:cs="Arial"/>
        </w:rPr>
        <w:t>earning styles and interests. However,</w:t>
      </w:r>
      <w:r w:rsidR="00CC73C2">
        <w:rPr>
          <w:rFonts w:ascii="Arial" w:hAnsi="Arial" w:cs="Arial"/>
        </w:rPr>
        <w:t xml:space="preserve"> Turner, Solis and Kincade (2017) suggest this strategy for inclusivity has been successful in primary and secondary school but the application in higher education has been documented much less. </w:t>
      </w:r>
      <w:r w:rsidR="000C1958">
        <w:rPr>
          <w:rFonts w:ascii="Arial" w:hAnsi="Arial" w:cs="Arial"/>
        </w:rPr>
        <w:t xml:space="preserve">The principles that can guide lecturers </w:t>
      </w:r>
      <w:r w:rsidR="001061E0">
        <w:rPr>
          <w:rFonts w:ascii="Arial" w:hAnsi="Arial" w:cs="Arial"/>
        </w:rPr>
        <w:t>with differentiated</w:t>
      </w:r>
      <w:r w:rsidR="000C1958">
        <w:rPr>
          <w:rFonts w:ascii="Arial" w:hAnsi="Arial" w:cs="Arial"/>
        </w:rPr>
        <w:t xml:space="preserve"> instruction can include </w:t>
      </w:r>
      <w:r w:rsidR="001061E0">
        <w:rPr>
          <w:rFonts w:ascii="Arial" w:hAnsi="Arial" w:cs="Arial"/>
        </w:rPr>
        <w:t xml:space="preserve">being responsive to </w:t>
      </w:r>
      <w:r w:rsidR="007E43DD">
        <w:rPr>
          <w:rFonts w:ascii="Arial" w:hAnsi="Arial" w:cs="Arial"/>
        </w:rPr>
        <w:t>student’s</w:t>
      </w:r>
      <w:r w:rsidR="00BA0345">
        <w:rPr>
          <w:rFonts w:ascii="Arial" w:hAnsi="Arial" w:cs="Arial"/>
        </w:rPr>
        <w:t xml:space="preserve"> differences, challenging</w:t>
      </w:r>
      <w:r w:rsidR="001061E0">
        <w:rPr>
          <w:rFonts w:ascii="Arial" w:hAnsi="Arial" w:cs="Arial"/>
        </w:rPr>
        <w:t xml:space="preserve"> students in an achievable way to encourage individual growth, be flexible with discussions and be proactive not reactive in the lessons (Chamberlin and Powers, 2010). </w:t>
      </w:r>
      <w:r w:rsidR="003569BD">
        <w:rPr>
          <w:rFonts w:ascii="Arial" w:hAnsi="Arial" w:cs="Arial"/>
        </w:rPr>
        <w:t xml:space="preserve"> A challenge with implementing this strategy is when the degree program has large classes. In research carried out by Turner, Solis and Kincade (2017) they found that lecturers had to deal with resource and time constraints with larger classes and they also had other academic pressures coming from the university to meet. </w:t>
      </w:r>
    </w:p>
    <w:p w14:paraId="6D855B58" w14:textId="1DDEA21E" w:rsidR="007C40BA" w:rsidRDefault="004E01A4" w:rsidP="009A65D4">
      <w:pPr>
        <w:spacing w:line="360" w:lineRule="auto"/>
        <w:rPr>
          <w:rFonts w:ascii="Arial" w:hAnsi="Arial" w:cs="Arial"/>
        </w:rPr>
      </w:pPr>
      <w:r>
        <w:tab/>
      </w:r>
      <w:r w:rsidR="006B732C" w:rsidRPr="006B732C">
        <w:rPr>
          <w:rFonts w:ascii="Arial" w:hAnsi="Arial" w:cs="Arial"/>
        </w:rPr>
        <w:t xml:space="preserve">Another example </w:t>
      </w:r>
      <w:r w:rsidR="006B732C">
        <w:rPr>
          <w:rFonts w:ascii="Arial" w:hAnsi="Arial" w:cs="Arial"/>
        </w:rPr>
        <w:t>of a differentiation strategy i</w:t>
      </w:r>
      <w:r w:rsidR="009A65D4">
        <w:rPr>
          <w:rFonts w:ascii="Arial" w:hAnsi="Arial" w:cs="Arial"/>
        </w:rPr>
        <w:t xml:space="preserve">s looking at student readiness. To provide inclusion for all students, teachers should intentionally plan their curriculum and instructions around the student’s readiness (Joseph, 2013). </w:t>
      </w:r>
      <w:r w:rsidR="00DB2AFB">
        <w:rPr>
          <w:rFonts w:ascii="Arial" w:hAnsi="Arial" w:cs="Arial"/>
        </w:rPr>
        <w:t>This idea links with Vygotsky’s (1978) theory o</w:t>
      </w:r>
      <w:r w:rsidR="00A72C9D">
        <w:rPr>
          <w:rFonts w:ascii="Arial" w:hAnsi="Arial" w:cs="Arial"/>
        </w:rPr>
        <w:t>f readiness and how the teacher should teach within the child’s zone of proximal development. This can link to higher education because it shows that new skills can be learned independently when the st</w:t>
      </w:r>
      <w:r w:rsidR="00205E60">
        <w:rPr>
          <w:rFonts w:ascii="Arial" w:hAnsi="Arial" w:cs="Arial"/>
        </w:rPr>
        <w:t xml:space="preserve">udent is challenged by the task. </w:t>
      </w:r>
      <w:r w:rsidR="00DC43B6">
        <w:rPr>
          <w:rFonts w:ascii="Arial" w:hAnsi="Arial" w:cs="Arial"/>
        </w:rPr>
        <w:t>Teacher</w:t>
      </w:r>
      <w:r w:rsidR="00700B51">
        <w:rPr>
          <w:rFonts w:ascii="Arial" w:hAnsi="Arial" w:cs="Arial"/>
        </w:rPr>
        <w:t>s</w:t>
      </w:r>
      <w:r w:rsidR="00DC43B6">
        <w:rPr>
          <w:rFonts w:ascii="Arial" w:hAnsi="Arial" w:cs="Arial"/>
        </w:rPr>
        <w:t xml:space="preserve"> must be aware of the </w:t>
      </w:r>
      <w:r w:rsidR="00B94EDD">
        <w:rPr>
          <w:rFonts w:ascii="Arial" w:hAnsi="Arial" w:cs="Arial"/>
        </w:rPr>
        <w:t>studen</w:t>
      </w:r>
      <w:r w:rsidR="00700B51">
        <w:rPr>
          <w:rFonts w:ascii="Arial" w:hAnsi="Arial" w:cs="Arial"/>
        </w:rPr>
        <w:t>t’s</w:t>
      </w:r>
      <w:r w:rsidR="00DC43B6">
        <w:rPr>
          <w:rFonts w:ascii="Arial" w:hAnsi="Arial" w:cs="Arial"/>
        </w:rPr>
        <w:t xml:space="preserve"> readiness as it also links into differentiated instruction as discussed above and if a student is being taught information that is below</w:t>
      </w:r>
      <w:r w:rsidR="00DB04A1">
        <w:rPr>
          <w:rFonts w:ascii="Arial" w:hAnsi="Arial" w:cs="Arial"/>
        </w:rPr>
        <w:t xml:space="preserve"> their</w:t>
      </w:r>
      <w:r w:rsidR="00DC43B6">
        <w:rPr>
          <w:rFonts w:ascii="Arial" w:hAnsi="Arial" w:cs="Arial"/>
        </w:rPr>
        <w:t xml:space="preserve"> capability, </w:t>
      </w:r>
      <w:r w:rsidR="00DB04A1">
        <w:rPr>
          <w:rFonts w:ascii="Arial" w:hAnsi="Arial" w:cs="Arial"/>
        </w:rPr>
        <w:t xml:space="preserve">no learning </w:t>
      </w:r>
      <w:r w:rsidR="00DC43B6">
        <w:rPr>
          <w:rFonts w:ascii="Arial" w:hAnsi="Arial" w:cs="Arial"/>
        </w:rPr>
        <w:t xml:space="preserve">growth will take place (Byrnes, 1996). </w:t>
      </w:r>
    </w:p>
    <w:p w14:paraId="6A06A489" w14:textId="1C65E3DB" w:rsidR="00744395" w:rsidRDefault="00744395" w:rsidP="009A65D4">
      <w:pPr>
        <w:spacing w:line="360" w:lineRule="auto"/>
        <w:rPr>
          <w:rFonts w:ascii="Arial" w:hAnsi="Arial" w:cs="Arial"/>
        </w:rPr>
      </w:pPr>
      <w:r>
        <w:rPr>
          <w:rFonts w:ascii="Arial" w:hAnsi="Arial" w:cs="Arial"/>
        </w:rPr>
        <w:tab/>
        <w:t>The impact of differentiated strategies can show challenges and successes</w:t>
      </w:r>
      <w:r w:rsidR="004D5B05">
        <w:rPr>
          <w:rFonts w:ascii="Arial" w:hAnsi="Arial" w:cs="Arial"/>
        </w:rPr>
        <w:t xml:space="preserve"> in higher education</w:t>
      </w:r>
      <w:r>
        <w:rPr>
          <w:rFonts w:ascii="Arial" w:hAnsi="Arial" w:cs="Arial"/>
        </w:rPr>
        <w:t>. In a study by Joseph et al (2013</w:t>
      </w:r>
      <w:r w:rsidR="004D5B05">
        <w:rPr>
          <w:rFonts w:ascii="Arial" w:hAnsi="Arial" w:cs="Arial"/>
        </w:rPr>
        <w:t>) the views from the teachers on this type if inclusivity was looked at</w:t>
      </w:r>
      <w:r>
        <w:rPr>
          <w:rFonts w:ascii="Arial" w:hAnsi="Arial" w:cs="Arial"/>
        </w:rPr>
        <w:t xml:space="preserve">. The practice of differentiation was shown to be a high-quality strategy, however the actual process of it was considered time consuming and needed careful planning. This type of </w:t>
      </w:r>
      <w:r w:rsidR="00C91679">
        <w:rPr>
          <w:rFonts w:ascii="Arial" w:hAnsi="Arial" w:cs="Arial"/>
        </w:rPr>
        <w:t>careful</w:t>
      </w:r>
      <w:r>
        <w:rPr>
          <w:rFonts w:ascii="Arial" w:hAnsi="Arial" w:cs="Arial"/>
        </w:rPr>
        <w:t xml:space="preserve"> planning </w:t>
      </w:r>
      <w:r w:rsidR="00C91679">
        <w:rPr>
          <w:rFonts w:ascii="Arial" w:hAnsi="Arial" w:cs="Arial"/>
        </w:rPr>
        <w:t xml:space="preserve">could involve creating criteria to assess the different learning and interest preferences. </w:t>
      </w:r>
      <w:r w:rsidR="004D5B05">
        <w:rPr>
          <w:rFonts w:ascii="Arial" w:hAnsi="Arial" w:cs="Arial"/>
        </w:rPr>
        <w:t xml:space="preserve">Overall, the strategies would prove successful if done correctly and teachers did not have other pressures from the university to take care of. </w:t>
      </w:r>
    </w:p>
    <w:p w14:paraId="300E2373" w14:textId="2DF51766" w:rsidR="007C40BA" w:rsidRPr="00D9511D" w:rsidRDefault="00D9511D" w:rsidP="00E70442">
      <w:pPr>
        <w:spacing w:line="360" w:lineRule="auto"/>
        <w:rPr>
          <w:rFonts w:ascii="Arial" w:hAnsi="Arial" w:cs="Arial"/>
        </w:rPr>
      </w:pPr>
      <w:r>
        <w:rPr>
          <w:rFonts w:ascii="Arial" w:hAnsi="Arial" w:cs="Arial"/>
        </w:rPr>
        <w:tab/>
      </w:r>
      <w:r w:rsidR="00472AB6" w:rsidRPr="00D9511D">
        <w:rPr>
          <w:rFonts w:ascii="Arial" w:hAnsi="Arial" w:cs="Arial"/>
        </w:rPr>
        <w:t>The c</w:t>
      </w:r>
      <w:r w:rsidR="00573BBB" w:rsidRPr="00D9511D">
        <w:rPr>
          <w:rFonts w:ascii="Arial" w:hAnsi="Arial" w:cs="Arial"/>
        </w:rPr>
        <w:t>urriculum design and delivery</w:t>
      </w:r>
      <w:r w:rsidR="00472AB6" w:rsidRPr="00D9511D">
        <w:rPr>
          <w:rFonts w:ascii="Arial" w:hAnsi="Arial" w:cs="Arial"/>
        </w:rPr>
        <w:t xml:space="preserve"> </w:t>
      </w:r>
      <w:r w:rsidR="00293EC7" w:rsidRPr="00D9511D">
        <w:rPr>
          <w:rFonts w:ascii="Arial" w:hAnsi="Arial" w:cs="Arial"/>
        </w:rPr>
        <w:t xml:space="preserve">can promote inclusivity in higher education. There are different considerations that universities should examine when being inclusive.  As stated by </w:t>
      </w:r>
      <w:r w:rsidR="00E70442" w:rsidRPr="00D9511D">
        <w:rPr>
          <w:rFonts w:ascii="Arial" w:hAnsi="Arial" w:cs="Arial"/>
        </w:rPr>
        <w:t>Morgan (2011) designing a curriculum should promote success between every student, the curriculum should</w:t>
      </w:r>
      <w:r w:rsidR="00425986" w:rsidRPr="00D9511D">
        <w:rPr>
          <w:rFonts w:ascii="Arial" w:hAnsi="Arial" w:cs="Arial"/>
        </w:rPr>
        <w:t xml:space="preserve"> look at the students cultural </w:t>
      </w:r>
      <w:r w:rsidR="00E70442" w:rsidRPr="00D9511D">
        <w:rPr>
          <w:rFonts w:ascii="Arial" w:hAnsi="Arial" w:cs="Arial"/>
        </w:rPr>
        <w:t xml:space="preserve">and social background, education experiences and any other impairments they may face. </w:t>
      </w:r>
      <w:r w:rsidR="00795FA0" w:rsidRPr="00D9511D">
        <w:rPr>
          <w:rFonts w:ascii="Arial" w:hAnsi="Arial" w:cs="Arial"/>
        </w:rPr>
        <w:t xml:space="preserve">Some examples of the benefits from having an inclusive curriculum are that it will enhance student achievement because there is more understanding of the students, student satisfaction surveys would be higher, an inclusive curriculum would support higher education </w:t>
      </w:r>
      <w:r w:rsidR="00850DF4" w:rsidRPr="00D9511D">
        <w:rPr>
          <w:rFonts w:ascii="Arial" w:hAnsi="Arial" w:cs="Arial"/>
        </w:rPr>
        <w:t>institutions</w:t>
      </w:r>
      <w:r w:rsidR="00795FA0" w:rsidRPr="00D9511D">
        <w:rPr>
          <w:rFonts w:ascii="Arial" w:hAnsi="Arial" w:cs="Arial"/>
        </w:rPr>
        <w:t xml:space="preserve"> to meet equality legislation and the university would be valued as an open and responsive university (</w:t>
      </w:r>
      <w:r w:rsidR="00F30EA4" w:rsidRPr="00D9511D">
        <w:rPr>
          <w:rFonts w:ascii="Arial" w:hAnsi="Arial" w:cs="Arial"/>
        </w:rPr>
        <w:t xml:space="preserve">May and Felsinger, 2010). </w:t>
      </w:r>
    </w:p>
    <w:p w14:paraId="330D5654" w14:textId="169B41DC" w:rsidR="007C40BA" w:rsidRDefault="006473C1" w:rsidP="00176E9C">
      <w:pPr>
        <w:spacing w:line="360" w:lineRule="auto"/>
        <w:rPr>
          <w:rFonts w:ascii="Arial" w:hAnsi="Arial" w:cs="Arial"/>
        </w:rPr>
      </w:pPr>
      <w:r w:rsidRPr="00D9511D">
        <w:rPr>
          <w:rFonts w:ascii="Arial" w:hAnsi="Arial" w:cs="Arial"/>
        </w:rPr>
        <w:tab/>
        <w:t xml:space="preserve"> </w:t>
      </w:r>
      <w:r w:rsidR="00136875" w:rsidRPr="00D9511D">
        <w:rPr>
          <w:rFonts w:ascii="Arial" w:hAnsi="Arial" w:cs="Arial"/>
        </w:rPr>
        <w:t xml:space="preserve">The delivery of the curriculum </w:t>
      </w:r>
      <w:r w:rsidR="00DF32D7" w:rsidRPr="00D9511D">
        <w:rPr>
          <w:rFonts w:ascii="Arial" w:hAnsi="Arial" w:cs="Arial"/>
        </w:rPr>
        <w:t>is important when promoting inclusivity and teaching strategies must include all students. O’Carroll et al (2017) carried out research on mature student’s experiences in highe</w:t>
      </w:r>
      <w:r w:rsidR="00916DFE" w:rsidRPr="00D9511D">
        <w:rPr>
          <w:rFonts w:ascii="Arial" w:hAnsi="Arial" w:cs="Arial"/>
        </w:rPr>
        <w:t>r education and stated</w:t>
      </w:r>
      <w:r w:rsidR="00DF32D7" w:rsidRPr="00D9511D">
        <w:rPr>
          <w:rFonts w:ascii="Arial" w:hAnsi="Arial" w:cs="Arial"/>
        </w:rPr>
        <w:t xml:space="preserve"> that the learning environment should be collaborative and interactive with an approach centred around the students so the knowledge can be constructed by the student themselves. There is also problem based learning that using the </w:t>
      </w:r>
      <w:r w:rsidR="00D16C56" w:rsidRPr="00D9511D">
        <w:rPr>
          <w:rFonts w:ascii="Arial" w:hAnsi="Arial" w:cs="Arial"/>
        </w:rPr>
        <w:t>example of mature students can allow the students to</w:t>
      </w:r>
      <w:r w:rsidR="00DF32D7" w:rsidRPr="00D9511D">
        <w:rPr>
          <w:rFonts w:ascii="Arial" w:hAnsi="Arial" w:cs="Arial"/>
        </w:rPr>
        <w:t xml:space="preserve"> use the academic knowledge they have gained in lecture</w:t>
      </w:r>
      <w:r w:rsidR="00D16C56" w:rsidRPr="00D9511D">
        <w:rPr>
          <w:rFonts w:ascii="Arial" w:hAnsi="Arial" w:cs="Arial"/>
        </w:rPr>
        <w:t>s</w:t>
      </w:r>
      <w:r w:rsidR="00DF32D7" w:rsidRPr="00D9511D">
        <w:rPr>
          <w:rFonts w:ascii="Arial" w:hAnsi="Arial" w:cs="Arial"/>
        </w:rPr>
        <w:t xml:space="preserve"> to increase their understanding using problem solving, gr</w:t>
      </w:r>
      <w:r w:rsidR="00D16C56" w:rsidRPr="00D9511D">
        <w:rPr>
          <w:rFonts w:ascii="Arial" w:hAnsi="Arial" w:cs="Arial"/>
        </w:rPr>
        <w:t>oup work and group interac</w:t>
      </w:r>
      <w:r w:rsidR="00D16C56" w:rsidRPr="00176E9C">
        <w:rPr>
          <w:rFonts w:ascii="Arial" w:hAnsi="Arial" w:cs="Arial"/>
        </w:rPr>
        <w:t>tion</w:t>
      </w:r>
      <w:r w:rsidR="00316A89">
        <w:rPr>
          <w:rFonts w:ascii="Arial" w:hAnsi="Arial" w:cs="Arial"/>
        </w:rPr>
        <w:t xml:space="preserve"> (O’Neill and McMahon, 2005). A</w:t>
      </w:r>
      <w:r w:rsidR="00A54280" w:rsidRPr="00176E9C">
        <w:rPr>
          <w:rFonts w:ascii="Arial" w:hAnsi="Arial" w:cs="Arial"/>
        </w:rPr>
        <w:t xml:space="preserve">ccessibility </w:t>
      </w:r>
      <w:r w:rsidR="00497E4D" w:rsidRPr="00176E9C">
        <w:rPr>
          <w:rFonts w:ascii="Arial" w:hAnsi="Arial" w:cs="Arial"/>
        </w:rPr>
        <w:t xml:space="preserve">is important when </w:t>
      </w:r>
      <w:r w:rsidR="00517BC2" w:rsidRPr="00176E9C">
        <w:rPr>
          <w:rFonts w:ascii="Arial" w:hAnsi="Arial" w:cs="Arial"/>
        </w:rPr>
        <w:t>pr</w:t>
      </w:r>
      <w:r w:rsidR="00AF272E">
        <w:rPr>
          <w:rFonts w:ascii="Arial" w:hAnsi="Arial" w:cs="Arial"/>
        </w:rPr>
        <w:t>oviding an inclusive curriculum. This will be discussed in more detail below, but t</w:t>
      </w:r>
      <w:r w:rsidR="00176E9C" w:rsidRPr="00176E9C">
        <w:rPr>
          <w:rFonts w:ascii="Arial" w:hAnsi="Arial" w:cs="Arial"/>
        </w:rPr>
        <w:t>he delivery of degree programmes should consider t</w:t>
      </w:r>
      <w:r w:rsidR="00CF4587">
        <w:rPr>
          <w:rFonts w:ascii="Arial" w:hAnsi="Arial" w:cs="Arial"/>
        </w:rPr>
        <w:t>he needs of any students</w:t>
      </w:r>
      <w:r w:rsidR="00AF272E">
        <w:rPr>
          <w:rFonts w:ascii="Arial" w:hAnsi="Arial" w:cs="Arial"/>
        </w:rPr>
        <w:t xml:space="preserve">, with </w:t>
      </w:r>
      <w:r w:rsidR="00176E9C">
        <w:rPr>
          <w:rFonts w:ascii="Arial" w:hAnsi="Arial" w:cs="Arial"/>
        </w:rPr>
        <w:t xml:space="preserve">lecturers </w:t>
      </w:r>
      <w:r w:rsidR="00AF272E">
        <w:rPr>
          <w:rFonts w:ascii="Arial" w:hAnsi="Arial" w:cs="Arial"/>
        </w:rPr>
        <w:t xml:space="preserve">adapting </w:t>
      </w:r>
      <w:r w:rsidR="00176E9C" w:rsidRPr="00176E9C">
        <w:rPr>
          <w:rFonts w:ascii="Arial" w:hAnsi="Arial" w:cs="Arial"/>
        </w:rPr>
        <w:t>their method of teaching to suit any special requirements students</w:t>
      </w:r>
      <w:r w:rsidR="00316A89">
        <w:rPr>
          <w:rFonts w:ascii="Arial" w:hAnsi="Arial" w:cs="Arial"/>
        </w:rPr>
        <w:t xml:space="preserve"> may have (Fletcher, </w:t>
      </w:r>
      <w:r w:rsidR="00176E9C" w:rsidRPr="00176E9C">
        <w:rPr>
          <w:rFonts w:ascii="Arial" w:hAnsi="Arial" w:cs="Arial"/>
        </w:rPr>
        <w:t>2002</w:t>
      </w:r>
      <w:r w:rsidR="00316A89">
        <w:rPr>
          <w:rFonts w:ascii="Arial" w:hAnsi="Arial" w:cs="Arial"/>
          <w:i/>
        </w:rPr>
        <w:t xml:space="preserve"> cited in </w:t>
      </w:r>
      <w:r w:rsidR="00316A89" w:rsidRPr="00316A89">
        <w:rPr>
          <w:rFonts w:ascii="Arial" w:hAnsi="Arial" w:cs="Arial"/>
        </w:rPr>
        <w:t>Ramakris</w:t>
      </w:r>
      <w:r w:rsidR="00316A89">
        <w:rPr>
          <w:rFonts w:ascii="Arial" w:hAnsi="Arial" w:cs="Arial"/>
        </w:rPr>
        <w:t>hna and Nembiakkim, 2010</w:t>
      </w:r>
      <w:r w:rsidR="00316A89">
        <w:rPr>
          <w:rFonts w:ascii="Arial" w:hAnsi="Arial" w:cs="Arial"/>
          <w:i/>
        </w:rPr>
        <w:t>)</w:t>
      </w:r>
      <w:r w:rsidR="00176E9C" w:rsidRPr="00176E9C">
        <w:rPr>
          <w:rFonts w:ascii="Arial" w:hAnsi="Arial" w:cs="Arial"/>
        </w:rPr>
        <w:t xml:space="preserve">. </w:t>
      </w:r>
      <w:r w:rsidR="00176E9C">
        <w:rPr>
          <w:rFonts w:ascii="Arial" w:hAnsi="Arial" w:cs="Arial"/>
        </w:rPr>
        <w:t>Universities should try and limit the barrier</w:t>
      </w:r>
      <w:r w:rsidR="00AF272E">
        <w:rPr>
          <w:rFonts w:ascii="Arial" w:hAnsi="Arial" w:cs="Arial"/>
        </w:rPr>
        <w:t>s</w:t>
      </w:r>
      <w:r w:rsidR="00176E9C">
        <w:rPr>
          <w:rFonts w:ascii="Arial" w:hAnsi="Arial" w:cs="Arial"/>
        </w:rPr>
        <w:t xml:space="preserve"> in the way of learning and participating for all students. </w:t>
      </w:r>
    </w:p>
    <w:p w14:paraId="0C16E7FF" w14:textId="463BB51E" w:rsidR="005A350B" w:rsidRDefault="00AD40BA" w:rsidP="005A350B">
      <w:pPr>
        <w:spacing w:line="360" w:lineRule="auto"/>
        <w:rPr>
          <w:rFonts w:ascii="Arial" w:hAnsi="Arial" w:cs="Arial"/>
        </w:rPr>
      </w:pPr>
      <w:r>
        <w:rPr>
          <w:rFonts w:ascii="Arial" w:hAnsi="Arial" w:cs="Arial"/>
        </w:rPr>
        <w:tab/>
        <w:t xml:space="preserve">Curriculum design </w:t>
      </w:r>
      <w:r w:rsidR="003B6F07">
        <w:rPr>
          <w:rFonts w:ascii="Arial" w:hAnsi="Arial" w:cs="Arial"/>
        </w:rPr>
        <w:t xml:space="preserve">is an important part of promoting inclusivity, however there are some challenges that higher education institutions face when trying to carry out more inclusive practices. In a report carried out by Williams et al (2017) </w:t>
      </w:r>
      <w:r w:rsidR="00102D8B">
        <w:rPr>
          <w:rFonts w:ascii="Arial" w:hAnsi="Arial" w:cs="Arial"/>
        </w:rPr>
        <w:t xml:space="preserve">these challenges are highlighted. </w:t>
      </w:r>
      <w:r w:rsidR="001277DC">
        <w:rPr>
          <w:rFonts w:ascii="Arial" w:hAnsi="Arial" w:cs="Arial"/>
        </w:rPr>
        <w:t xml:space="preserve">Firstly, over the last couple of years the demand for </w:t>
      </w:r>
      <w:r w:rsidR="00136552">
        <w:rPr>
          <w:rFonts w:ascii="Arial" w:hAnsi="Arial" w:cs="Arial"/>
        </w:rPr>
        <w:t>supporting the needs of disabled</w:t>
      </w:r>
      <w:r w:rsidR="001277DC">
        <w:rPr>
          <w:rFonts w:ascii="Arial" w:hAnsi="Arial" w:cs="Arial"/>
        </w:rPr>
        <w:t xml:space="preserve"> student</w:t>
      </w:r>
      <w:r w:rsidR="00136552">
        <w:rPr>
          <w:rFonts w:ascii="Arial" w:hAnsi="Arial" w:cs="Arial"/>
        </w:rPr>
        <w:t>s</w:t>
      </w:r>
      <w:r w:rsidR="001277DC">
        <w:rPr>
          <w:rFonts w:ascii="Arial" w:hAnsi="Arial" w:cs="Arial"/>
        </w:rPr>
        <w:t xml:space="preserve"> has increased considerably and it is a challenge to support such a high volume.</w:t>
      </w:r>
      <w:r w:rsidR="005A350B" w:rsidRPr="005A350B">
        <w:rPr>
          <w:rFonts w:ascii="Arial" w:hAnsi="Arial" w:cs="Arial"/>
        </w:rPr>
        <w:t xml:space="preserve"> </w:t>
      </w:r>
      <w:r w:rsidR="005A350B">
        <w:rPr>
          <w:rFonts w:ascii="Arial" w:hAnsi="Arial" w:cs="Arial"/>
        </w:rPr>
        <w:t>As HEFCE (2017</w:t>
      </w:r>
      <w:r w:rsidR="005F42F4">
        <w:rPr>
          <w:rFonts w:ascii="Arial" w:hAnsi="Arial" w:cs="Arial"/>
        </w:rPr>
        <w:t>, para.1</w:t>
      </w:r>
      <w:r w:rsidR="005A350B">
        <w:rPr>
          <w:rFonts w:ascii="Arial" w:hAnsi="Arial" w:cs="Arial"/>
        </w:rPr>
        <w:t>) states:</w:t>
      </w:r>
    </w:p>
    <w:p w14:paraId="65CED543" w14:textId="77777777" w:rsidR="005A350B" w:rsidRDefault="005A350B" w:rsidP="005A350B">
      <w:pPr>
        <w:rPr>
          <w:rFonts w:ascii="Arial" w:hAnsi="Arial" w:cs="Arial"/>
        </w:rPr>
      </w:pPr>
    </w:p>
    <w:p w14:paraId="4AD84AF3" w14:textId="77777777" w:rsidR="005A350B" w:rsidRDefault="005A350B" w:rsidP="005A350B">
      <w:pPr>
        <w:rPr>
          <w:rFonts w:ascii="Arial" w:hAnsi="Arial" w:cs="Arial"/>
        </w:rPr>
      </w:pPr>
      <w:r>
        <w:rPr>
          <w:rFonts w:ascii="Arial" w:hAnsi="Arial" w:cs="Arial"/>
        </w:rPr>
        <w:tab/>
      </w:r>
      <w:r w:rsidRPr="005A350B">
        <w:rPr>
          <w:rFonts w:ascii="Arial" w:hAnsi="Arial" w:cs="Arial"/>
        </w:rPr>
        <w:t xml:space="preserve">The number of UK-domiciled entrants to full-time first degree courses with a known </w:t>
      </w:r>
      <w:r>
        <w:rPr>
          <w:rFonts w:ascii="Arial" w:hAnsi="Arial" w:cs="Arial"/>
        </w:rPr>
        <w:tab/>
      </w:r>
      <w:r>
        <w:rPr>
          <w:rFonts w:ascii="Arial" w:hAnsi="Arial" w:cs="Arial"/>
        </w:rPr>
        <w:tab/>
      </w:r>
      <w:r w:rsidRPr="005A350B">
        <w:rPr>
          <w:rFonts w:ascii="Arial" w:hAnsi="Arial" w:cs="Arial"/>
        </w:rPr>
        <w:t>disability was 44,250 in 2015-16, which was an increase of 56 per cent since 2010-11.</w:t>
      </w:r>
      <w:r>
        <w:rPr>
          <w:rFonts w:ascii="Arial" w:hAnsi="Arial" w:cs="Arial"/>
        </w:rPr>
        <w:tab/>
      </w:r>
    </w:p>
    <w:p w14:paraId="66C01D6C" w14:textId="77777777" w:rsidR="005A350B" w:rsidRPr="00176E9C" w:rsidRDefault="005A350B" w:rsidP="005A350B">
      <w:pPr>
        <w:spacing w:line="360" w:lineRule="auto"/>
        <w:rPr>
          <w:rFonts w:ascii="Arial" w:hAnsi="Arial" w:cs="Arial"/>
        </w:rPr>
      </w:pPr>
    </w:p>
    <w:p w14:paraId="7335AD92" w14:textId="77777777" w:rsidR="005A350B" w:rsidRDefault="005A350B" w:rsidP="005A350B"/>
    <w:p w14:paraId="21B59F4C" w14:textId="3F943F65" w:rsidR="007C40BA" w:rsidRDefault="001277DC" w:rsidP="00BF62DF">
      <w:pPr>
        <w:spacing w:line="360" w:lineRule="auto"/>
      </w:pPr>
      <w:r>
        <w:rPr>
          <w:rFonts w:ascii="Arial" w:hAnsi="Arial" w:cs="Arial"/>
        </w:rPr>
        <w:t xml:space="preserve"> This </w:t>
      </w:r>
      <w:r w:rsidR="00081079">
        <w:rPr>
          <w:rFonts w:ascii="Arial" w:hAnsi="Arial" w:cs="Arial"/>
        </w:rPr>
        <w:t>high-volume</w:t>
      </w:r>
      <w:r>
        <w:rPr>
          <w:rFonts w:ascii="Arial" w:hAnsi="Arial" w:cs="Arial"/>
        </w:rPr>
        <w:t xml:space="preserve"> links into lots of different challenges such as </w:t>
      </w:r>
      <w:r w:rsidR="00081079">
        <w:rPr>
          <w:rFonts w:ascii="Arial" w:hAnsi="Arial" w:cs="Arial"/>
        </w:rPr>
        <w:t>changes to funding for disabled students causing confusion across universities, a lack of consistence in how university wide inclusive policies are implemented and having the staff that are willing to adapt their curriculum design to students with physical problems that may affect their attendance or psychological conditions that affect their ab</w:t>
      </w:r>
      <w:r w:rsidR="005A350B">
        <w:rPr>
          <w:rFonts w:ascii="Arial" w:hAnsi="Arial" w:cs="Arial"/>
        </w:rPr>
        <w:t xml:space="preserve">ility to engage with the course (Williams et al, 2017). </w:t>
      </w:r>
    </w:p>
    <w:p w14:paraId="4FACE4B9" w14:textId="274E550C" w:rsidR="007C40BA" w:rsidRPr="00BF62DF" w:rsidRDefault="00634F70" w:rsidP="00BF62DF">
      <w:pPr>
        <w:spacing w:line="360" w:lineRule="auto"/>
      </w:pPr>
      <w:r>
        <w:tab/>
      </w:r>
      <w:r w:rsidRPr="00967993">
        <w:rPr>
          <w:rFonts w:ascii="Arial" w:hAnsi="Arial" w:cs="Arial"/>
        </w:rPr>
        <w:t>As briefly discussed above</w:t>
      </w:r>
      <w:r w:rsidR="00967993" w:rsidRPr="00967993">
        <w:rPr>
          <w:rFonts w:ascii="Arial" w:hAnsi="Arial" w:cs="Arial"/>
        </w:rPr>
        <w:t xml:space="preserve">, making a curriculum accessible is a strategy that can help promote inclusivity in higher education. </w:t>
      </w:r>
      <w:r w:rsidR="000734F5">
        <w:rPr>
          <w:rFonts w:ascii="Arial" w:hAnsi="Arial" w:cs="Arial"/>
        </w:rPr>
        <w:t>There are lots of things universities and staff can do make sure they are responsive to student’s needs. As the National Autistic Society (2018) states meeting the stud</w:t>
      </w:r>
      <w:r w:rsidR="00994DEE">
        <w:rPr>
          <w:rFonts w:ascii="Arial" w:hAnsi="Arial" w:cs="Arial"/>
        </w:rPr>
        <w:t>ent’s needs can be shown as</w:t>
      </w:r>
      <w:r w:rsidR="000734F5">
        <w:rPr>
          <w:rFonts w:ascii="Arial" w:hAnsi="Arial" w:cs="Arial"/>
        </w:rPr>
        <w:t xml:space="preserve"> practical support or learning support. The practical support can be in the form of a staff member that the student can go to when they</w:t>
      </w:r>
      <w:r w:rsidR="009F4D35">
        <w:rPr>
          <w:rFonts w:ascii="Arial" w:hAnsi="Arial" w:cs="Arial"/>
        </w:rPr>
        <w:t xml:space="preserve"> are struggling or</w:t>
      </w:r>
      <w:r w:rsidR="000734F5">
        <w:rPr>
          <w:rFonts w:ascii="Arial" w:hAnsi="Arial" w:cs="Arial"/>
        </w:rPr>
        <w:t xml:space="preserve"> </w:t>
      </w:r>
      <w:r w:rsidR="009F4D35">
        <w:rPr>
          <w:rFonts w:ascii="Arial" w:hAnsi="Arial" w:cs="Arial"/>
        </w:rPr>
        <w:t xml:space="preserve">universities being flexible with students gaining qualifications </w:t>
      </w:r>
      <w:r w:rsidR="000734F5">
        <w:rPr>
          <w:rFonts w:ascii="Arial" w:hAnsi="Arial" w:cs="Arial"/>
        </w:rPr>
        <w:t xml:space="preserve">in the time and settings that are best for them. The learning support strategies provide extra tuition and follow ups allowing extra time either to complete the course or to check the student understood everything taught in group or taught sessions. </w:t>
      </w:r>
      <w:r w:rsidR="00531DED">
        <w:rPr>
          <w:rFonts w:ascii="Arial" w:hAnsi="Arial" w:cs="Arial"/>
        </w:rPr>
        <w:t>A strategy by HEFCE (2014) developed an approach that hopes to improve access to higher education so that student success can thrive. This strategy works with the government to provide information and guidance to higher education</w:t>
      </w:r>
      <w:r w:rsidR="00732C82">
        <w:rPr>
          <w:rFonts w:ascii="Arial" w:hAnsi="Arial" w:cs="Arial"/>
        </w:rPr>
        <w:t xml:space="preserve"> institutions</w:t>
      </w:r>
      <w:r w:rsidR="00531DED">
        <w:rPr>
          <w:rFonts w:ascii="Arial" w:hAnsi="Arial" w:cs="Arial"/>
        </w:rPr>
        <w:t xml:space="preserve"> so that they can make informed choices over inclusivity and they are also providing a national evaluation framework to help universities to evaluate student success and their own access which can provide data that can be compared with other universities. </w:t>
      </w:r>
    </w:p>
    <w:p w14:paraId="0A56299A" w14:textId="077841F5" w:rsidR="00080B99" w:rsidRPr="00967993" w:rsidRDefault="00080B99" w:rsidP="00967993">
      <w:pPr>
        <w:spacing w:line="360" w:lineRule="auto"/>
        <w:rPr>
          <w:rFonts w:ascii="Arial" w:hAnsi="Arial" w:cs="Arial"/>
        </w:rPr>
      </w:pPr>
      <w:r>
        <w:rPr>
          <w:rFonts w:ascii="Arial" w:hAnsi="Arial" w:cs="Arial"/>
        </w:rPr>
        <w:tab/>
      </w:r>
      <w:r w:rsidR="00B546D3">
        <w:rPr>
          <w:rFonts w:ascii="Arial" w:hAnsi="Arial" w:cs="Arial"/>
        </w:rPr>
        <w:t>A</w:t>
      </w:r>
      <w:r w:rsidR="00667D50">
        <w:rPr>
          <w:rFonts w:ascii="Arial" w:hAnsi="Arial" w:cs="Arial"/>
        </w:rPr>
        <w:t xml:space="preserve"> good example of how the higher education curriculum is made accessible is through schemes for financial aid. </w:t>
      </w:r>
      <w:r w:rsidR="00CE036E">
        <w:rPr>
          <w:rFonts w:ascii="Arial" w:hAnsi="Arial" w:cs="Arial"/>
        </w:rPr>
        <w:t xml:space="preserve">In countries like England and Scandinavia 50% to 100% of students get financial support (Galindo and Rodriguez, 2015). This could be in the form of student loans, scholarships or tax benefits which give families the encouragement to participate in higher education. </w:t>
      </w:r>
      <w:r w:rsidR="001D484B">
        <w:rPr>
          <w:rFonts w:ascii="Arial" w:hAnsi="Arial" w:cs="Arial"/>
        </w:rPr>
        <w:t xml:space="preserve">However, </w:t>
      </w:r>
      <w:r w:rsidR="00A65D87">
        <w:rPr>
          <w:rFonts w:ascii="Arial" w:hAnsi="Arial" w:cs="Arial"/>
        </w:rPr>
        <w:t>the idea of financial</w:t>
      </w:r>
      <w:r w:rsidR="00FC3BA1">
        <w:rPr>
          <w:rFonts w:ascii="Arial" w:hAnsi="Arial" w:cs="Arial"/>
        </w:rPr>
        <w:t xml:space="preserve"> schemes </w:t>
      </w:r>
      <w:r w:rsidR="008B4B74">
        <w:rPr>
          <w:rFonts w:ascii="Arial" w:hAnsi="Arial" w:cs="Arial"/>
        </w:rPr>
        <w:t>is</w:t>
      </w:r>
      <w:r w:rsidR="00A65D87">
        <w:rPr>
          <w:rFonts w:ascii="Arial" w:hAnsi="Arial" w:cs="Arial"/>
        </w:rPr>
        <w:t xml:space="preserve"> to provide support for </w:t>
      </w:r>
      <w:r w:rsidR="00FC3BA1">
        <w:rPr>
          <w:rFonts w:ascii="Arial" w:hAnsi="Arial" w:cs="Arial"/>
        </w:rPr>
        <w:t>those who would find it difficult to afford higher education, but this system can be abused and the idea of borrowing money can mean different things to different peo</w:t>
      </w:r>
      <w:r w:rsidR="008B4B74">
        <w:rPr>
          <w:rFonts w:ascii="Arial" w:hAnsi="Arial" w:cs="Arial"/>
        </w:rPr>
        <w:t>ple. T</w:t>
      </w:r>
      <w:r w:rsidR="00FC3BA1">
        <w:rPr>
          <w:rFonts w:ascii="Arial" w:hAnsi="Arial" w:cs="Arial"/>
        </w:rPr>
        <w:t xml:space="preserve">he Department for Education (2018) </w:t>
      </w:r>
      <w:r w:rsidR="008B4B74">
        <w:rPr>
          <w:rFonts w:ascii="Arial" w:hAnsi="Arial" w:cs="Arial"/>
        </w:rPr>
        <w:t xml:space="preserve">states that attitudes towards debt have changed over the years and the population of mature students and those from minority groups or disadvantaged backgrounds are more likely to avoid getting into debt. However, there is support </w:t>
      </w:r>
      <w:r w:rsidR="00420DA7">
        <w:rPr>
          <w:rFonts w:ascii="Arial" w:hAnsi="Arial" w:cs="Arial"/>
        </w:rPr>
        <w:t xml:space="preserve">for </w:t>
      </w:r>
      <w:r w:rsidR="00A65D87">
        <w:rPr>
          <w:rFonts w:ascii="Arial" w:hAnsi="Arial" w:cs="Arial"/>
        </w:rPr>
        <w:t>those who find themselves in</w:t>
      </w:r>
      <w:r w:rsidR="008B4B74">
        <w:rPr>
          <w:rFonts w:ascii="Arial" w:hAnsi="Arial" w:cs="Arial"/>
        </w:rPr>
        <w:t xml:space="preserve"> debt because the repayment of student loan disappears after the income threshold is not reached. </w:t>
      </w:r>
    </w:p>
    <w:p w14:paraId="36CF7D4D" w14:textId="1CEC003F" w:rsidR="007C40BA" w:rsidRDefault="00EA36EE" w:rsidP="00C82173">
      <w:pPr>
        <w:spacing w:line="360" w:lineRule="auto"/>
        <w:rPr>
          <w:rFonts w:ascii="Arial" w:eastAsia="Times New Roman" w:hAnsi="Arial" w:cs="Arial"/>
          <w:lang w:val="en-US"/>
        </w:rPr>
      </w:pPr>
      <w:r>
        <w:tab/>
      </w:r>
      <w:r w:rsidR="00C0663B">
        <w:rPr>
          <w:rFonts w:ascii="Arial" w:hAnsi="Arial" w:cs="Arial"/>
        </w:rPr>
        <w:t>Access to</w:t>
      </w:r>
      <w:r w:rsidR="00C82173" w:rsidRPr="00C82173">
        <w:rPr>
          <w:rFonts w:ascii="Arial" w:hAnsi="Arial" w:cs="Arial"/>
        </w:rPr>
        <w:t xml:space="preserve"> higher education in modern education is not limited. Students with disabilities or any impairments can get into university however enhancing the learner experience while they ar</w:t>
      </w:r>
      <w:r w:rsidR="00C82173">
        <w:rPr>
          <w:rFonts w:ascii="Arial" w:hAnsi="Arial" w:cs="Arial"/>
        </w:rPr>
        <w:t>e there still needs to improve so they can succeed with their studies. There are still universities where learning spaces and resources for disabled student</w:t>
      </w:r>
      <w:r w:rsidR="00C0663B">
        <w:rPr>
          <w:rFonts w:ascii="Arial" w:hAnsi="Arial" w:cs="Arial"/>
        </w:rPr>
        <w:t>s</w:t>
      </w:r>
      <w:r w:rsidR="00C82173">
        <w:rPr>
          <w:rFonts w:ascii="Arial" w:hAnsi="Arial" w:cs="Arial"/>
        </w:rPr>
        <w:t xml:space="preserve"> are not provided and support for students with visual impa</w:t>
      </w:r>
      <w:r w:rsidR="00C0663B">
        <w:rPr>
          <w:rFonts w:ascii="Arial" w:hAnsi="Arial" w:cs="Arial"/>
        </w:rPr>
        <w:t>irments is at a low level and due to this s</w:t>
      </w:r>
      <w:r w:rsidR="00C82173">
        <w:rPr>
          <w:rFonts w:ascii="Arial" w:hAnsi="Arial" w:cs="Arial"/>
        </w:rPr>
        <w:t>ome students are still carrying out their studies on degree programmes when</w:t>
      </w:r>
      <w:r w:rsidR="000F5D82">
        <w:rPr>
          <w:rFonts w:ascii="Arial" w:hAnsi="Arial" w:cs="Arial"/>
        </w:rPr>
        <w:t xml:space="preserve"> their needs are being ignored (</w:t>
      </w:r>
      <w:r w:rsidR="000F5D82">
        <w:rPr>
          <w:rFonts w:ascii="Arial" w:eastAsia="Times New Roman" w:hAnsi="Arial" w:cs="Arial"/>
          <w:lang w:val="en-US"/>
        </w:rPr>
        <w:t xml:space="preserve">Mosia and Phasha, 2017). </w:t>
      </w:r>
    </w:p>
    <w:p w14:paraId="23B888E3" w14:textId="023A2741" w:rsidR="005808B6" w:rsidRDefault="004D4287" w:rsidP="00395F15">
      <w:pPr>
        <w:spacing w:line="360" w:lineRule="auto"/>
        <w:rPr>
          <w:rFonts w:ascii="Arial" w:eastAsia="Times New Roman" w:hAnsi="Arial" w:cs="Arial"/>
          <w:lang w:val="en-US"/>
        </w:rPr>
      </w:pPr>
      <w:r>
        <w:rPr>
          <w:rFonts w:ascii="Arial" w:eastAsia="Times New Roman" w:hAnsi="Arial" w:cs="Arial"/>
          <w:lang w:val="en-US"/>
        </w:rPr>
        <w:tab/>
      </w:r>
      <w:r w:rsidR="00004174">
        <w:rPr>
          <w:rFonts w:ascii="Arial" w:eastAsia="Times New Roman" w:hAnsi="Arial" w:cs="Arial"/>
          <w:lang w:val="en-US"/>
        </w:rPr>
        <w:t>The next section of thi</w:t>
      </w:r>
      <w:r w:rsidR="00CC543A">
        <w:rPr>
          <w:rFonts w:ascii="Arial" w:eastAsia="Times New Roman" w:hAnsi="Arial" w:cs="Arial"/>
          <w:lang w:val="en-US"/>
        </w:rPr>
        <w:t xml:space="preserve">s assignment will look at </w:t>
      </w:r>
      <w:r w:rsidR="00004174">
        <w:rPr>
          <w:rFonts w:ascii="Arial" w:eastAsia="Times New Roman" w:hAnsi="Arial" w:cs="Arial"/>
          <w:lang w:val="en-US"/>
        </w:rPr>
        <w:t>stu</w:t>
      </w:r>
      <w:r w:rsidR="00CC543A">
        <w:rPr>
          <w:rFonts w:ascii="Arial" w:eastAsia="Times New Roman" w:hAnsi="Arial" w:cs="Arial"/>
          <w:lang w:val="en-US"/>
        </w:rPr>
        <w:t>dents different learning styles and how strategies to utilize a student’s learning style preference can promote inclusivity in higher education.</w:t>
      </w:r>
      <w:r w:rsidR="00395F15">
        <w:rPr>
          <w:rFonts w:ascii="Arial" w:eastAsia="Times New Roman" w:hAnsi="Arial" w:cs="Arial"/>
          <w:lang w:val="en-US"/>
        </w:rPr>
        <w:t xml:space="preserve"> Tulbure </w:t>
      </w:r>
      <w:r w:rsidR="001078D5">
        <w:rPr>
          <w:rFonts w:ascii="Arial" w:eastAsia="Times New Roman" w:hAnsi="Arial" w:cs="Arial"/>
          <w:lang w:val="en-US"/>
        </w:rPr>
        <w:t>(</w:t>
      </w:r>
      <w:r w:rsidR="00087D83">
        <w:rPr>
          <w:rFonts w:ascii="Arial" w:eastAsia="Times New Roman" w:hAnsi="Arial" w:cs="Arial"/>
          <w:lang w:val="en-US"/>
        </w:rPr>
        <w:t>2012</w:t>
      </w:r>
      <w:r w:rsidR="001078D5">
        <w:rPr>
          <w:rFonts w:ascii="Arial" w:eastAsia="Times New Roman" w:hAnsi="Arial" w:cs="Arial"/>
          <w:lang w:val="en-US"/>
        </w:rPr>
        <w:t xml:space="preserve">) carried out research on the link between teaching strategies and learning styles. Some of the teaching strategies in this research included cooperative learning, the use of concept maps, debating and problem solving. </w:t>
      </w:r>
      <w:r w:rsidR="009C51C6">
        <w:rPr>
          <w:rFonts w:ascii="Arial" w:eastAsia="Times New Roman" w:hAnsi="Arial" w:cs="Arial"/>
          <w:lang w:val="en-US"/>
        </w:rPr>
        <w:t xml:space="preserve">The findings of the research concluded that matching learning styles and teaching strategies is a research issue that is controversial as some teaching strategies worked with the learning styles and some did not. </w:t>
      </w:r>
      <w:r w:rsidR="002C509D">
        <w:rPr>
          <w:rFonts w:ascii="Arial" w:eastAsia="Times New Roman" w:hAnsi="Arial" w:cs="Arial"/>
          <w:lang w:val="en-US"/>
        </w:rPr>
        <w:t xml:space="preserve">Inclusivity contains many factors that challenge universities to provide what works best for each individual learner and in higher education </w:t>
      </w:r>
      <w:r w:rsidR="00395F15">
        <w:rPr>
          <w:rFonts w:ascii="Arial" w:eastAsia="Times New Roman" w:hAnsi="Arial" w:cs="Arial"/>
          <w:lang w:val="en-US"/>
        </w:rPr>
        <w:t>‘</w:t>
      </w:r>
      <w:r w:rsidR="00395F15" w:rsidRPr="00395F15">
        <w:rPr>
          <w:rFonts w:ascii="Arial" w:eastAsia="Times New Roman" w:hAnsi="Arial" w:cs="Arial"/>
          <w:lang w:val="en-US"/>
        </w:rPr>
        <w:t>challenges the university teachers are facing is related to matching the teaching strategies with</w:t>
      </w:r>
      <w:r w:rsidR="002C509D">
        <w:rPr>
          <w:rFonts w:ascii="Arial" w:eastAsia="Times New Roman" w:hAnsi="Arial" w:cs="Arial"/>
          <w:lang w:val="en-US"/>
        </w:rPr>
        <w:t xml:space="preserve"> </w:t>
      </w:r>
      <w:r w:rsidR="00395F15" w:rsidRPr="00395F15">
        <w:rPr>
          <w:rFonts w:ascii="Arial" w:eastAsia="Times New Roman" w:hAnsi="Arial" w:cs="Arial"/>
          <w:lang w:val="en-US"/>
        </w:rPr>
        <w:t>the students’ learning styles in order to i</w:t>
      </w:r>
      <w:r w:rsidR="00395F15">
        <w:rPr>
          <w:rFonts w:ascii="Arial" w:eastAsia="Times New Roman" w:hAnsi="Arial" w:cs="Arial"/>
          <w:lang w:val="en-US"/>
        </w:rPr>
        <w:t>mprove the academic achievement’ (Thomlinson, 2001</w:t>
      </w:r>
      <w:r w:rsidR="008F5422">
        <w:rPr>
          <w:rFonts w:ascii="Arial" w:eastAsia="Times New Roman" w:hAnsi="Arial" w:cs="Arial"/>
          <w:lang w:val="en-US"/>
        </w:rPr>
        <w:t xml:space="preserve"> </w:t>
      </w:r>
      <w:r w:rsidR="008F5422">
        <w:rPr>
          <w:rFonts w:ascii="Arial" w:eastAsia="Times New Roman" w:hAnsi="Arial" w:cs="Arial"/>
          <w:i/>
          <w:lang w:val="en-US"/>
        </w:rPr>
        <w:t xml:space="preserve">cited in </w:t>
      </w:r>
      <w:r w:rsidR="00087D83">
        <w:rPr>
          <w:rFonts w:ascii="Arial" w:eastAsia="Times New Roman" w:hAnsi="Arial" w:cs="Arial"/>
          <w:lang w:val="en-US"/>
        </w:rPr>
        <w:t>Tulbure, 2012</w:t>
      </w:r>
      <w:r w:rsidR="008F5422">
        <w:rPr>
          <w:rFonts w:ascii="Arial" w:eastAsia="Times New Roman" w:hAnsi="Arial" w:cs="Arial"/>
          <w:lang w:val="en-US"/>
        </w:rPr>
        <w:t>, p.398</w:t>
      </w:r>
      <w:r w:rsidR="00395F15">
        <w:rPr>
          <w:rFonts w:ascii="Arial" w:eastAsia="Times New Roman" w:hAnsi="Arial" w:cs="Arial"/>
          <w:lang w:val="en-US"/>
        </w:rPr>
        <w:t xml:space="preserve">). </w:t>
      </w:r>
    </w:p>
    <w:p w14:paraId="3D5236B7" w14:textId="77893C05" w:rsidR="00CE6FE0" w:rsidRPr="009667C5" w:rsidRDefault="00CE6FE0" w:rsidP="00395F15">
      <w:pPr>
        <w:spacing w:line="360" w:lineRule="auto"/>
        <w:rPr>
          <w:rFonts w:ascii="Arial" w:eastAsia="Times New Roman" w:hAnsi="Arial" w:cs="Arial"/>
        </w:rPr>
      </w:pPr>
      <w:r>
        <w:rPr>
          <w:rFonts w:ascii="Arial" w:eastAsia="Times New Roman" w:hAnsi="Arial" w:cs="Arial"/>
          <w:lang w:val="en-US"/>
        </w:rPr>
        <w:tab/>
      </w:r>
      <w:r w:rsidR="00362787">
        <w:rPr>
          <w:rFonts w:ascii="Arial" w:eastAsia="Times New Roman" w:hAnsi="Arial" w:cs="Arial"/>
          <w:lang w:val="en-US"/>
        </w:rPr>
        <w:t xml:space="preserve">The quality of the teaching is a major factor to </w:t>
      </w:r>
      <w:r w:rsidR="00943B59">
        <w:rPr>
          <w:rFonts w:ascii="Arial" w:eastAsia="Times New Roman" w:hAnsi="Arial" w:cs="Arial"/>
          <w:lang w:val="en-US"/>
        </w:rPr>
        <w:t>quality learning. As Amir</w:t>
      </w:r>
      <w:r w:rsidR="005B73F3">
        <w:rPr>
          <w:rFonts w:ascii="Arial" w:eastAsia="Times New Roman" w:hAnsi="Arial" w:cs="Arial"/>
          <w:lang w:val="en-US"/>
        </w:rPr>
        <w:t xml:space="preserve"> </w:t>
      </w:r>
      <w:r w:rsidR="00362787">
        <w:rPr>
          <w:rFonts w:ascii="Arial" w:eastAsia="Times New Roman" w:hAnsi="Arial" w:cs="Arial"/>
          <w:lang w:val="en-US"/>
        </w:rPr>
        <w:t xml:space="preserve">and Jelas (2010) state the learner needs to be motivated, active in the learning and be given the right knowledge they need. Adapting to different learning styles </w:t>
      </w:r>
      <w:r w:rsidR="000819CA">
        <w:rPr>
          <w:rFonts w:ascii="Arial" w:eastAsia="Times New Roman" w:hAnsi="Arial" w:cs="Arial"/>
          <w:lang w:val="en-US"/>
        </w:rPr>
        <w:t>can therefor</w:t>
      </w:r>
      <w:r w:rsidR="00FE4ABE">
        <w:rPr>
          <w:rFonts w:ascii="Arial" w:eastAsia="Times New Roman" w:hAnsi="Arial" w:cs="Arial"/>
          <w:lang w:val="en-US"/>
        </w:rPr>
        <w:t>e</w:t>
      </w:r>
      <w:r w:rsidR="000819CA">
        <w:rPr>
          <w:rFonts w:ascii="Arial" w:eastAsia="Times New Roman" w:hAnsi="Arial" w:cs="Arial"/>
          <w:lang w:val="en-US"/>
        </w:rPr>
        <w:t xml:space="preserve"> make learning more effective and many different tools have been developed to establish students learning styles in</w:t>
      </w:r>
      <w:r w:rsidR="00FE4ABE">
        <w:rPr>
          <w:rFonts w:ascii="Arial" w:eastAsia="Times New Roman" w:hAnsi="Arial" w:cs="Arial"/>
          <w:lang w:val="en-US"/>
        </w:rPr>
        <w:t xml:space="preserve"> higher education </w:t>
      </w:r>
      <w:r w:rsidR="00FE4ABE" w:rsidRPr="009667C5">
        <w:rPr>
          <w:rFonts w:ascii="Arial" w:eastAsia="Times New Roman" w:hAnsi="Arial" w:cs="Arial"/>
        </w:rPr>
        <w:t>such as sensory models, Jungian models and Biggs’ study process (Amir</w:t>
      </w:r>
      <w:r w:rsidR="00943B59" w:rsidRPr="009667C5">
        <w:rPr>
          <w:rFonts w:ascii="Arial" w:eastAsia="Times New Roman" w:hAnsi="Arial" w:cs="Arial"/>
        </w:rPr>
        <w:t xml:space="preserve"> </w:t>
      </w:r>
      <w:r w:rsidR="00FE4ABE" w:rsidRPr="009667C5">
        <w:rPr>
          <w:rFonts w:ascii="Arial" w:eastAsia="Times New Roman" w:hAnsi="Arial" w:cs="Arial"/>
        </w:rPr>
        <w:t>and Jelas, 2010).</w:t>
      </w:r>
      <w:r w:rsidR="00453DA6" w:rsidRPr="009667C5">
        <w:rPr>
          <w:rFonts w:ascii="Arial" w:eastAsia="Times New Roman" w:hAnsi="Arial" w:cs="Arial"/>
        </w:rPr>
        <w:t xml:space="preserve"> Despite this</w:t>
      </w:r>
      <w:r w:rsidR="00172A74" w:rsidRPr="009667C5">
        <w:rPr>
          <w:rFonts w:ascii="Arial" w:eastAsia="Times New Roman" w:hAnsi="Arial" w:cs="Arial"/>
        </w:rPr>
        <w:t>, there is a lack of evidence supporting the use of learning styles in higher education as Coffield et al (2004) looked at 71 different learning styles and it was concluded in the research that they should n</w:t>
      </w:r>
      <w:r w:rsidR="000438FD" w:rsidRPr="009667C5">
        <w:rPr>
          <w:rFonts w:ascii="Arial" w:eastAsia="Times New Roman" w:hAnsi="Arial" w:cs="Arial"/>
        </w:rPr>
        <w:t>ot be used in higher education. H</w:t>
      </w:r>
      <w:r w:rsidR="00172A74" w:rsidRPr="009667C5">
        <w:rPr>
          <w:rFonts w:ascii="Arial" w:eastAsia="Times New Roman" w:hAnsi="Arial" w:cs="Arial"/>
        </w:rPr>
        <w:t xml:space="preserve">ow are teachers going to be able to form a teaching strategy that includes all 71 styles? If students are aware of their learning style it could restrict them into learning in a certain way when other learning styles are effective too but one is just more dominant (Newton, 2015). </w:t>
      </w:r>
    </w:p>
    <w:p w14:paraId="618B6ADC" w14:textId="11FCF58E" w:rsidR="00A93ECC" w:rsidRPr="009667C5" w:rsidRDefault="00A93ECC" w:rsidP="00395F15">
      <w:pPr>
        <w:spacing w:line="360" w:lineRule="auto"/>
        <w:rPr>
          <w:rFonts w:ascii="Arial" w:eastAsia="Times New Roman" w:hAnsi="Arial" w:cs="Arial"/>
        </w:rPr>
      </w:pPr>
      <w:r w:rsidRPr="009667C5">
        <w:rPr>
          <w:rFonts w:ascii="Arial" w:eastAsia="Times New Roman" w:hAnsi="Arial" w:cs="Arial"/>
        </w:rPr>
        <w:tab/>
      </w:r>
      <w:r w:rsidR="00024F1F" w:rsidRPr="009667C5">
        <w:rPr>
          <w:rFonts w:ascii="Arial" w:eastAsia="Times New Roman" w:hAnsi="Arial" w:cs="Arial"/>
        </w:rPr>
        <w:t>Promoting inclusivity in a degree program using students learning styles can be done using many different strategies. As stated by Willis (2007) in terms of the physical environment, students learning styles may benefit from using their laptop in lectures,</w:t>
      </w:r>
      <w:r w:rsidR="00933609" w:rsidRPr="009667C5">
        <w:rPr>
          <w:rFonts w:ascii="Arial" w:eastAsia="Times New Roman" w:hAnsi="Arial" w:cs="Arial"/>
        </w:rPr>
        <w:t xml:space="preserve"> so they would need</w:t>
      </w:r>
      <w:r w:rsidR="00024F1F" w:rsidRPr="009667C5">
        <w:rPr>
          <w:rFonts w:ascii="Arial" w:eastAsia="Times New Roman" w:hAnsi="Arial" w:cs="Arial"/>
        </w:rPr>
        <w:t xml:space="preserve"> larger workspaces </w:t>
      </w:r>
      <w:r w:rsidR="00933609" w:rsidRPr="009667C5">
        <w:rPr>
          <w:rFonts w:ascii="Arial" w:eastAsia="Times New Roman" w:hAnsi="Arial" w:cs="Arial"/>
        </w:rPr>
        <w:t xml:space="preserve">and electric plug sockets for their needs. </w:t>
      </w:r>
      <w:r w:rsidR="00025678" w:rsidRPr="009667C5">
        <w:rPr>
          <w:rFonts w:ascii="Arial" w:eastAsia="Times New Roman" w:hAnsi="Arial" w:cs="Arial"/>
        </w:rPr>
        <w:t>Collaborative learning styles prefer task</w:t>
      </w:r>
      <w:r w:rsidR="001002E4" w:rsidRPr="009667C5">
        <w:rPr>
          <w:rFonts w:ascii="Arial" w:eastAsia="Times New Roman" w:hAnsi="Arial" w:cs="Arial"/>
        </w:rPr>
        <w:t>s</w:t>
      </w:r>
      <w:r w:rsidR="00025678" w:rsidRPr="009667C5">
        <w:rPr>
          <w:rFonts w:ascii="Arial" w:eastAsia="Times New Roman" w:hAnsi="Arial" w:cs="Arial"/>
        </w:rPr>
        <w:t xml:space="preserve"> that involve group discussions, but then there are some learners</w:t>
      </w:r>
      <w:r w:rsidR="001002E4" w:rsidRPr="009667C5">
        <w:rPr>
          <w:rFonts w:ascii="Arial" w:eastAsia="Times New Roman" w:hAnsi="Arial" w:cs="Arial"/>
        </w:rPr>
        <w:t xml:space="preserve"> who</w:t>
      </w:r>
      <w:r w:rsidR="00025678" w:rsidRPr="009667C5">
        <w:rPr>
          <w:rFonts w:ascii="Arial" w:eastAsia="Times New Roman" w:hAnsi="Arial" w:cs="Arial"/>
        </w:rPr>
        <w:t xml:space="preserve"> prefer not to participate</w:t>
      </w:r>
      <w:r w:rsidR="001002E4" w:rsidRPr="009667C5">
        <w:rPr>
          <w:rFonts w:ascii="Arial" w:eastAsia="Times New Roman" w:hAnsi="Arial" w:cs="Arial"/>
        </w:rPr>
        <w:t xml:space="preserve"> </w:t>
      </w:r>
      <w:r w:rsidR="000A31EE" w:rsidRPr="009667C5">
        <w:rPr>
          <w:rFonts w:ascii="Arial" w:eastAsia="Times New Roman" w:hAnsi="Arial" w:cs="Arial"/>
        </w:rPr>
        <w:t>and others</w:t>
      </w:r>
      <w:r w:rsidR="00025678" w:rsidRPr="009667C5">
        <w:rPr>
          <w:rFonts w:ascii="Arial" w:eastAsia="Times New Roman" w:hAnsi="Arial" w:cs="Arial"/>
        </w:rPr>
        <w:t xml:space="preserve"> with a more dependent learning style</w:t>
      </w:r>
      <w:r w:rsidR="001002E4" w:rsidRPr="009667C5">
        <w:rPr>
          <w:rFonts w:ascii="Arial" w:eastAsia="Times New Roman" w:hAnsi="Arial" w:cs="Arial"/>
        </w:rPr>
        <w:t xml:space="preserve"> who</w:t>
      </w:r>
      <w:r w:rsidR="00025678" w:rsidRPr="009667C5">
        <w:rPr>
          <w:rFonts w:ascii="Arial" w:eastAsia="Times New Roman" w:hAnsi="Arial" w:cs="Arial"/>
        </w:rPr>
        <w:t xml:space="preserve"> like clear instructions for assignments (</w:t>
      </w:r>
      <w:r w:rsidR="00522479" w:rsidRPr="009667C5">
        <w:rPr>
          <w:rFonts w:ascii="Arial" w:eastAsia="Times New Roman" w:hAnsi="Arial" w:cs="Arial"/>
        </w:rPr>
        <w:t>Amir, Jelas and Rahman, 2011</w:t>
      </w:r>
      <w:r w:rsidR="00025678" w:rsidRPr="009667C5">
        <w:rPr>
          <w:rFonts w:ascii="Arial" w:eastAsia="Times New Roman" w:hAnsi="Arial" w:cs="Arial"/>
        </w:rPr>
        <w:t>)</w:t>
      </w:r>
      <w:r w:rsidR="00522479" w:rsidRPr="009667C5">
        <w:rPr>
          <w:rFonts w:ascii="Arial" w:eastAsia="Times New Roman" w:hAnsi="Arial" w:cs="Arial"/>
        </w:rPr>
        <w:t>.</w:t>
      </w:r>
      <w:r w:rsidR="00025678" w:rsidRPr="009667C5">
        <w:rPr>
          <w:rFonts w:ascii="Arial" w:eastAsia="Times New Roman" w:hAnsi="Arial" w:cs="Arial"/>
        </w:rPr>
        <w:t xml:space="preserve"> The</w:t>
      </w:r>
      <w:r w:rsidR="00933609" w:rsidRPr="009667C5">
        <w:rPr>
          <w:rFonts w:ascii="Arial" w:eastAsia="Times New Roman" w:hAnsi="Arial" w:cs="Arial"/>
        </w:rPr>
        <w:t xml:space="preserve"> students will have more confidence in their learning if they know they have </w:t>
      </w:r>
      <w:r w:rsidR="000A21E8" w:rsidRPr="009667C5">
        <w:rPr>
          <w:rFonts w:ascii="Arial" w:eastAsia="Times New Roman" w:hAnsi="Arial" w:cs="Arial"/>
        </w:rPr>
        <w:t>access</w:t>
      </w:r>
      <w:r w:rsidR="001002E4" w:rsidRPr="009667C5">
        <w:rPr>
          <w:rFonts w:ascii="Arial" w:eastAsia="Times New Roman" w:hAnsi="Arial" w:cs="Arial"/>
        </w:rPr>
        <w:t xml:space="preserve"> to everything they need. Teachers can get to know their students preferred learning styles and incorporate different strategies in each lecture to suit a range of different learning styles. </w:t>
      </w:r>
    </w:p>
    <w:p w14:paraId="5EA456BC" w14:textId="15AE5440" w:rsidR="00805890" w:rsidRPr="009667C5" w:rsidRDefault="00DB1D26" w:rsidP="00395F15">
      <w:pPr>
        <w:spacing w:line="360" w:lineRule="auto"/>
        <w:rPr>
          <w:rFonts w:ascii="Arial" w:eastAsia="Times New Roman" w:hAnsi="Arial" w:cs="Arial"/>
        </w:rPr>
      </w:pPr>
      <w:r w:rsidRPr="009667C5">
        <w:rPr>
          <w:rFonts w:ascii="Arial" w:eastAsia="Times New Roman" w:hAnsi="Arial" w:cs="Arial"/>
        </w:rPr>
        <w:tab/>
        <w:t xml:space="preserve">Lastly this assignment will look at strategies to promote equality and diversity </w:t>
      </w:r>
      <w:r w:rsidR="002B5530" w:rsidRPr="009667C5">
        <w:rPr>
          <w:rFonts w:ascii="Arial" w:eastAsia="Times New Roman" w:hAnsi="Arial" w:cs="Arial"/>
        </w:rPr>
        <w:t xml:space="preserve">in higher education. </w:t>
      </w:r>
      <w:r w:rsidR="00233337" w:rsidRPr="009667C5">
        <w:rPr>
          <w:rFonts w:ascii="Arial" w:eastAsia="Times New Roman" w:hAnsi="Arial" w:cs="Arial"/>
        </w:rPr>
        <w:t xml:space="preserve">In higher education, it is expected that the universities curriculum is adapted to the students’ needs and not the students adapting to the university. The Equality Act (2010) states that support for students from different backgrounds should be anticipated so that it is already in place with </w:t>
      </w:r>
      <w:r w:rsidR="00805890" w:rsidRPr="009667C5">
        <w:rPr>
          <w:rFonts w:ascii="Arial" w:eastAsia="Times New Roman" w:hAnsi="Arial" w:cs="Arial"/>
        </w:rPr>
        <w:t>a curriculum and t</w:t>
      </w:r>
      <w:r w:rsidR="00233337" w:rsidRPr="009667C5">
        <w:rPr>
          <w:rFonts w:ascii="Arial" w:eastAsia="Times New Roman" w:hAnsi="Arial" w:cs="Arial"/>
        </w:rPr>
        <w:t xml:space="preserve">hat Is relevant </w:t>
      </w:r>
      <w:r w:rsidR="00FA6D30" w:rsidRPr="009667C5">
        <w:rPr>
          <w:rFonts w:ascii="Arial" w:eastAsia="Times New Roman" w:hAnsi="Arial" w:cs="Arial"/>
        </w:rPr>
        <w:t>to the interests of the students</w:t>
      </w:r>
      <w:r w:rsidR="00233337" w:rsidRPr="009667C5">
        <w:rPr>
          <w:rFonts w:ascii="Arial" w:eastAsia="Times New Roman" w:hAnsi="Arial" w:cs="Arial"/>
        </w:rPr>
        <w:t xml:space="preserve">. </w:t>
      </w:r>
      <w:r w:rsidR="00805890" w:rsidRPr="009667C5">
        <w:rPr>
          <w:rFonts w:ascii="Arial" w:eastAsia="Times New Roman" w:hAnsi="Arial" w:cs="Arial"/>
        </w:rPr>
        <w:t xml:space="preserve">The inclusion of equality and diversity into a curriculum cannot be used as an extra to the curriculum just to tick a box, the idea of promoting equality and diversity should be to modify student’s engagement with their own personal and cultural values using in-depth study (Deacy, 2015). </w:t>
      </w:r>
    </w:p>
    <w:p w14:paraId="41454824" w14:textId="7A33D936" w:rsidR="00E01E79" w:rsidRPr="009667C5" w:rsidRDefault="00E44F64" w:rsidP="00395F15">
      <w:pPr>
        <w:spacing w:line="360" w:lineRule="auto"/>
        <w:rPr>
          <w:rFonts w:ascii="Arial" w:eastAsia="Times New Roman" w:hAnsi="Arial" w:cs="Arial"/>
        </w:rPr>
      </w:pPr>
      <w:r w:rsidRPr="009667C5">
        <w:rPr>
          <w:rFonts w:ascii="Arial" w:eastAsia="Times New Roman" w:hAnsi="Arial" w:cs="Arial"/>
        </w:rPr>
        <w:tab/>
        <w:t>Higher education institutions can use many strategies to engage with equality and diversity. As stated by Gunn, Morrison and Hanesworth (2015) universities can make training focused on equality and diversity compulsory for all staff, encourage the use of co-creation in the curriculum around equality and diversity, have a relationship between staff and students with professional equality and diversity specialists and developers and includ</w:t>
      </w:r>
      <w:r w:rsidR="00E6181B" w:rsidRPr="009667C5">
        <w:rPr>
          <w:rFonts w:ascii="Arial" w:eastAsia="Times New Roman" w:hAnsi="Arial" w:cs="Arial"/>
        </w:rPr>
        <w:t>e</w:t>
      </w:r>
      <w:r w:rsidRPr="009667C5">
        <w:rPr>
          <w:rFonts w:ascii="Arial" w:eastAsia="Times New Roman" w:hAnsi="Arial" w:cs="Arial"/>
        </w:rPr>
        <w:t xml:space="preserve"> teaching projects that are focused on equality and diversity</w:t>
      </w:r>
      <w:r w:rsidR="00E6181B" w:rsidRPr="009667C5">
        <w:rPr>
          <w:rFonts w:ascii="Arial" w:eastAsia="Times New Roman" w:hAnsi="Arial" w:cs="Arial"/>
        </w:rPr>
        <w:t xml:space="preserve"> into the curriculum</w:t>
      </w:r>
      <w:r w:rsidRPr="009667C5">
        <w:rPr>
          <w:rFonts w:ascii="Arial" w:eastAsia="Times New Roman" w:hAnsi="Arial" w:cs="Arial"/>
        </w:rPr>
        <w:t xml:space="preserve">. </w:t>
      </w:r>
      <w:r w:rsidR="00DE2C41" w:rsidRPr="009667C5">
        <w:rPr>
          <w:rFonts w:ascii="Arial" w:eastAsia="Times New Roman" w:hAnsi="Arial" w:cs="Arial"/>
        </w:rPr>
        <w:t xml:space="preserve">The public sector </w:t>
      </w:r>
      <w:r w:rsidR="00C70A3F" w:rsidRPr="009667C5">
        <w:rPr>
          <w:rFonts w:ascii="Arial" w:eastAsia="Times New Roman" w:hAnsi="Arial" w:cs="Arial"/>
        </w:rPr>
        <w:t>has been placed with the commitment to engage with the issue</w:t>
      </w:r>
      <w:r w:rsidR="00E6181B" w:rsidRPr="009667C5">
        <w:rPr>
          <w:rFonts w:ascii="Arial" w:eastAsia="Times New Roman" w:hAnsi="Arial" w:cs="Arial"/>
        </w:rPr>
        <w:t>s of discrimination and allow</w:t>
      </w:r>
      <w:r w:rsidR="00C70A3F" w:rsidRPr="009667C5">
        <w:rPr>
          <w:rFonts w:ascii="Arial" w:eastAsia="Times New Roman" w:hAnsi="Arial" w:cs="Arial"/>
        </w:rPr>
        <w:t xml:space="preserve"> equal opportunity (Equality Act, 2010). </w:t>
      </w:r>
      <w:r w:rsidR="00E6181B" w:rsidRPr="009667C5">
        <w:rPr>
          <w:rFonts w:ascii="Arial" w:eastAsia="Times New Roman" w:hAnsi="Arial" w:cs="Arial"/>
        </w:rPr>
        <w:t>This gives</w:t>
      </w:r>
      <w:r w:rsidR="00C70A3F" w:rsidRPr="009667C5">
        <w:rPr>
          <w:rFonts w:ascii="Arial" w:eastAsia="Times New Roman" w:hAnsi="Arial" w:cs="Arial"/>
        </w:rPr>
        <w:t xml:space="preserve"> higher education institutions the ch</w:t>
      </w:r>
      <w:r w:rsidR="00E6181B" w:rsidRPr="009667C5">
        <w:rPr>
          <w:rFonts w:ascii="Arial" w:eastAsia="Times New Roman" w:hAnsi="Arial" w:cs="Arial"/>
        </w:rPr>
        <w:t>ance to engage proactively and develop</w:t>
      </w:r>
      <w:r w:rsidR="00C70A3F" w:rsidRPr="009667C5">
        <w:rPr>
          <w:rFonts w:ascii="Arial" w:eastAsia="Times New Roman" w:hAnsi="Arial" w:cs="Arial"/>
        </w:rPr>
        <w:t xml:space="preserve"> positive relationships with the nine protected characteristics, including, age, race and religion. </w:t>
      </w:r>
    </w:p>
    <w:p w14:paraId="2CB7BA0A" w14:textId="44AA65DE" w:rsidR="005808B6" w:rsidRPr="009667C5" w:rsidRDefault="00FC15CC" w:rsidP="00C82173">
      <w:pPr>
        <w:spacing w:line="360" w:lineRule="auto"/>
        <w:rPr>
          <w:rFonts w:ascii="Arial" w:eastAsia="Times New Roman" w:hAnsi="Arial" w:cs="Arial"/>
        </w:rPr>
      </w:pPr>
      <w:r w:rsidRPr="009667C5">
        <w:rPr>
          <w:rFonts w:ascii="Arial" w:eastAsia="Times New Roman" w:hAnsi="Arial" w:cs="Arial"/>
        </w:rPr>
        <w:tab/>
        <w:t xml:space="preserve">There are some barriers with including equality and diversity into the higher education curriculum. For example, </w:t>
      </w:r>
      <w:r w:rsidR="00A945F5" w:rsidRPr="009667C5">
        <w:rPr>
          <w:rFonts w:ascii="Arial" w:hAnsi="Arial" w:cs="Arial"/>
        </w:rPr>
        <w:t xml:space="preserve">Florian and Pratt (2015) </w:t>
      </w:r>
      <w:r w:rsidR="00A945F5" w:rsidRPr="009667C5">
        <w:rPr>
          <w:rFonts w:ascii="Arial" w:eastAsia="Times New Roman" w:hAnsi="Arial" w:cs="Arial"/>
        </w:rPr>
        <w:t>state</w:t>
      </w:r>
      <w:r w:rsidR="00DF608E" w:rsidRPr="009667C5">
        <w:rPr>
          <w:rFonts w:ascii="Arial" w:eastAsia="Times New Roman" w:hAnsi="Arial" w:cs="Arial"/>
        </w:rPr>
        <w:t xml:space="preserve"> that staff attitudes could contribute to the challenge of promoting equality and diversity</w:t>
      </w:r>
      <w:r w:rsidR="00E6181B" w:rsidRPr="009667C5">
        <w:rPr>
          <w:rFonts w:ascii="Arial" w:eastAsia="Times New Roman" w:hAnsi="Arial" w:cs="Arial"/>
        </w:rPr>
        <w:t>.</w:t>
      </w:r>
      <w:r w:rsidR="00DF608E" w:rsidRPr="009667C5">
        <w:rPr>
          <w:rFonts w:ascii="Arial" w:eastAsia="Times New Roman" w:hAnsi="Arial" w:cs="Arial"/>
        </w:rPr>
        <w:t xml:space="preserve"> </w:t>
      </w:r>
      <w:r w:rsidR="00E6181B" w:rsidRPr="009667C5">
        <w:rPr>
          <w:rFonts w:ascii="Arial" w:eastAsia="Times New Roman" w:hAnsi="Arial" w:cs="Arial"/>
        </w:rPr>
        <w:t xml:space="preserve">Staff </w:t>
      </w:r>
      <w:r w:rsidR="00DF608E" w:rsidRPr="009667C5">
        <w:rPr>
          <w:rFonts w:ascii="Arial" w:eastAsia="Times New Roman" w:hAnsi="Arial" w:cs="Arial"/>
        </w:rPr>
        <w:t>may not think it should be an important part of the curriculum because it is not a compulsory part of the course content.</w:t>
      </w:r>
      <w:r w:rsidR="00D00D4A" w:rsidRPr="009667C5">
        <w:rPr>
          <w:rFonts w:ascii="Arial" w:eastAsia="Times New Roman" w:hAnsi="Arial" w:cs="Arial"/>
        </w:rPr>
        <w:t xml:space="preserve"> Research</w:t>
      </w:r>
      <w:r w:rsidR="000B7B7B" w:rsidRPr="009667C5">
        <w:rPr>
          <w:rFonts w:ascii="Arial" w:eastAsia="Times New Roman" w:hAnsi="Arial" w:cs="Arial"/>
        </w:rPr>
        <w:t xml:space="preserve"> by Freewood</w:t>
      </w:r>
      <w:r w:rsidR="00D00D4A" w:rsidRPr="009667C5">
        <w:rPr>
          <w:rFonts w:ascii="Arial" w:eastAsia="Times New Roman" w:hAnsi="Arial" w:cs="Arial"/>
        </w:rPr>
        <w:t xml:space="preserve"> (2006) suggested that the teachers understanding of disabilities was the main influence on any changes to the curriculum design and assessment. This can be a problem because there are so many different subjective opinions on</w:t>
      </w:r>
      <w:r w:rsidR="00E6181B" w:rsidRPr="009667C5">
        <w:rPr>
          <w:rFonts w:ascii="Arial" w:eastAsia="Times New Roman" w:hAnsi="Arial" w:cs="Arial"/>
        </w:rPr>
        <w:t xml:space="preserve"> what equal</w:t>
      </w:r>
      <w:r w:rsidR="00D00D4A" w:rsidRPr="009667C5">
        <w:rPr>
          <w:rFonts w:ascii="Arial" w:eastAsia="Times New Roman" w:hAnsi="Arial" w:cs="Arial"/>
        </w:rPr>
        <w:t xml:space="preserve"> opportunities </w:t>
      </w:r>
      <w:r w:rsidR="00E6181B" w:rsidRPr="009667C5">
        <w:rPr>
          <w:rFonts w:ascii="Arial" w:eastAsia="Times New Roman" w:hAnsi="Arial" w:cs="Arial"/>
        </w:rPr>
        <w:t xml:space="preserve">are </w:t>
      </w:r>
      <w:r w:rsidR="00D00D4A" w:rsidRPr="009667C5">
        <w:rPr>
          <w:rFonts w:ascii="Arial" w:eastAsia="Times New Roman" w:hAnsi="Arial" w:cs="Arial"/>
        </w:rPr>
        <w:t>in education.</w:t>
      </w:r>
      <w:r w:rsidR="00DF608E" w:rsidRPr="009667C5">
        <w:rPr>
          <w:rFonts w:ascii="Arial" w:eastAsia="Times New Roman" w:hAnsi="Arial" w:cs="Arial"/>
        </w:rPr>
        <w:t xml:space="preserve"> Also, </w:t>
      </w:r>
      <w:r w:rsidR="00B40E67" w:rsidRPr="009667C5">
        <w:rPr>
          <w:rFonts w:ascii="Arial" w:eastAsia="Times New Roman" w:hAnsi="Arial" w:cs="Arial"/>
        </w:rPr>
        <w:t xml:space="preserve">some universities develop equality programs that just require staff to tick a box meaning that equality and diversity does not become part of the teaching and learning. </w:t>
      </w:r>
      <w:r w:rsidR="003F7538" w:rsidRPr="009667C5">
        <w:rPr>
          <w:rFonts w:ascii="Arial" w:eastAsia="Times New Roman" w:hAnsi="Arial" w:cs="Arial"/>
        </w:rPr>
        <w:t>In research carried out by Bowl (2005)</w:t>
      </w:r>
      <w:r w:rsidR="00D00D4A" w:rsidRPr="009667C5">
        <w:rPr>
          <w:rFonts w:ascii="Arial" w:eastAsia="Times New Roman" w:hAnsi="Arial" w:cs="Arial"/>
        </w:rPr>
        <w:t xml:space="preserve"> it was shown that students from poorer backgrounds and minority groups were treated differently to the rest of the students and</w:t>
      </w:r>
      <w:r w:rsidR="000B7B7B" w:rsidRPr="009667C5">
        <w:rPr>
          <w:rFonts w:ascii="Arial" w:eastAsia="Times New Roman" w:hAnsi="Arial" w:cs="Arial"/>
        </w:rPr>
        <w:t xml:space="preserve"> their views were not understood. </w:t>
      </w:r>
      <w:r w:rsidR="00E6181B" w:rsidRPr="009667C5">
        <w:rPr>
          <w:rFonts w:ascii="Arial" w:eastAsia="Times New Roman" w:hAnsi="Arial" w:cs="Arial"/>
        </w:rPr>
        <w:t xml:space="preserve">The strategies to promote inclusivity in higher education in regards to equality and diversity are important because everyone should have an opportunity for a quality education, however the barriers that higher education institutions face can make the strategies more difficult to carry out.  </w:t>
      </w:r>
    </w:p>
    <w:p w14:paraId="5BA0B730" w14:textId="3577E319" w:rsidR="009667C5" w:rsidRPr="009667C5" w:rsidRDefault="009667C5" w:rsidP="00C82173">
      <w:pPr>
        <w:spacing w:line="360" w:lineRule="auto"/>
        <w:rPr>
          <w:rFonts w:ascii="Arial" w:eastAsia="Times New Roman" w:hAnsi="Arial" w:cs="Arial"/>
        </w:rPr>
      </w:pPr>
      <w:r w:rsidRPr="009667C5">
        <w:rPr>
          <w:rFonts w:ascii="Arial" w:eastAsia="Times New Roman" w:hAnsi="Arial" w:cs="Arial"/>
        </w:rPr>
        <w:tab/>
        <w:t xml:space="preserve">In conclusion, this assignment looked at critically analysing the strategies for promoting inclusivity in the higher education curriculum. </w:t>
      </w:r>
      <w:r>
        <w:rPr>
          <w:rFonts w:ascii="Arial" w:eastAsia="Times New Roman" w:hAnsi="Arial" w:cs="Arial"/>
        </w:rPr>
        <w:t>Widening participation addresses the need for all students to have access to higher education, differentiation can provide experiences that are diverse for each student, the design and delivery of the curriculum is important to provide some structure to inclusivity allowing universities to provide a curriculum that is accessible for all including strategies to focu</w:t>
      </w:r>
      <w:r w:rsidR="00730F1F">
        <w:rPr>
          <w:rFonts w:ascii="Arial" w:eastAsia="Times New Roman" w:hAnsi="Arial" w:cs="Arial"/>
        </w:rPr>
        <w:t xml:space="preserve">s on individual learning styles. Incorporating equality and diversity on a degree program is not easy but universities being aware of inclusivity and developing strategies is a step in the right direction. </w:t>
      </w:r>
    </w:p>
    <w:p w14:paraId="1F68E7BA" w14:textId="77777777" w:rsidR="005808B6" w:rsidRDefault="005808B6" w:rsidP="00C82173">
      <w:pPr>
        <w:spacing w:line="360" w:lineRule="auto"/>
        <w:rPr>
          <w:rFonts w:ascii="Arial" w:eastAsia="Times New Roman" w:hAnsi="Arial" w:cs="Arial"/>
          <w:lang w:val="en-US"/>
        </w:rPr>
      </w:pPr>
    </w:p>
    <w:p w14:paraId="168E9919" w14:textId="77777777" w:rsidR="005808B6" w:rsidRDefault="005808B6" w:rsidP="00C82173">
      <w:pPr>
        <w:spacing w:line="360" w:lineRule="auto"/>
        <w:rPr>
          <w:rFonts w:ascii="Arial" w:eastAsia="Times New Roman" w:hAnsi="Arial" w:cs="Arial"/>
          <w:lang w:val="en-US"/>
        </w:rPr>
      </w:pPr>
    </w:p>
    <w:p w14:paraId="77941557" w14:textId="77777777" w:rsidR="005808B6" w:rsidRDefault="005808B6" w:rsidP="00C82173">
      <w:pPr>
        <w:spacing w:line="360" w:lineRule="auto"/>
        <w:rPr>
          <w:rFonts w:ascii="Arial" w:eastAsia="Times New Roman" w:hAnsi="Arial" w:cs="Arial"/>
          <w:lang w:val="en-US"/>
        </w:rPr>
      </w:pPr>
    </w:p>
    <w:p w14:paraId="0703B2D4" w14:textId="77777777" w:rsidR="005808B6" w:rsidRDefault="005808B6" w:rsidP="00C82173">
      <w:pPr>
        <w:spacing w:line="360" w:lineRule="auto"/>
        <w:rPr>
          <w:rFonts w:ascii="Arial" w:eastAsia="Times New Roman" w:hAnsi="Arial" w:cs="Arial"/>
          <w:lang w:val="en-US"/>
        </w:rPr>
      </w:pPr>
    </w:p>
    <w:p w14:paraId="33F02B2F" w14:textId="77777777" w:rsidR="005808B6" w:rsidRDefault="005808B6" w:rsidP="00C82173">
      <w:pPr>
        <w:spacing w:line="360" w:lineRule="auto"/>
        <w:rPr>
          <w:rFonts w:ascii="Arial" w:eastAsia="Times New Roman" w:hAnsi="Arial" w:cs="Arial"/>
          <w:lang w:val="en-US"/>
        </w:rPr>
      </w:pPr>
    </w:p>
    <w:p w14:paraId="1FB57E72" w14:textId="77777777" w:rsidR="005808B6" w:rsidRDefault="005808B6" w:rsidP="00C82173">
      <w:pPr>
        <w:spacing w:line="360" w:lineRule="auto"/>
        <w:rPr>
          <w:rFonts w:ascii="Arial" w:eastAsia="Times New Roman" w:hAnsi="Arial" w:cs="Arial"/>
          <w:lang w:val="en-US"/>
        </w:rPr>
      </w:pPr>
    </w:p>
    <w:p w14:paraId="10C0A320" w14:textId="77777777" w:rsidR="005808B6" w:rsidRDefault="005808B6" w:rsidP="00C82173">
      <w:pPr>
        <w:spacing w:line="360" w:lineRule="auto"/>
        <w:rPr>
          <w:rFonts w:ascii="Arial" w:eastAsia="Times New Roman" w:hAnsi="Arial" w:cs="Arial"/>
          <w:lang w:val="en-US"/>
        </w:rPr>
      </w:pPr>
    </w:p>
    <w:p w14:paraId="493EAF95" w14:textId="77777777" w:rsidR="005808B6" w:rsidRDefault="005808B6" w:rsidP="00C82173">
      <w:pPr>
        <w:spacing w:line="360" w:lineRule="auto"/>
        <w:rPr>
          <w:rFonts w:ascii="Arial" w:eastAsia="Times New Roman" w:hAnsi="Arial" w:cs="Arial"/>
          <w:lang w:val="en-US"/>
        </w:rPr>
      </w:pPr>
    </w:p>
    <w:p w14:paraId="04E2C05F" w14:textId="77777777" w:rsidR="005808B6" w:rsidRDefault="005808B6" w:rsidP="00C82173">
      <w:pPr>
        <w:spacing w:line="360" w:lineRule="auto"/>
        <w:rPr>
          <w:rFonts w:ascii="Arial" w:eastAsia="Times New Roman" w:hAnsi="Arial" w:cs="Arial"/>
          <w:lang w:val="en-US"/>
        </w:rPr>
      </w:pPr>
    </w:p>
    <w:p w14:paraId="024FB9FF" w14:textId="7CAFC8AD" w:rsidR="00851D15" w:rsidRDefault="00960A9D" w:rsidP="00851D15">
      <w:pPr>
        <w:rPr>
          <w:rFonts w:ascii="Arial" w:hAnsi="Arial" w:cs="Arial"/>
          <w:color w:val="F6842C"/>
          <w:u w:val="single"/>
        </w:rPr>
      </w:pPr>
      <w:r w:rsidRPr="00C93142">
        <w:rPr>
          <w:rFonts w:ascii="Arial" w:hAnsi="Arial" w:cs="Arial"/>
          <w:u w:val="single"/>
        </w:rPr>
        <w:t>References</w:t>
      </w:r>
    </w:p>
    <w:p w14:paraId="7EB29246" w14:textId="77777777" w:rsidR="00851D15" w:rsidRPr="00851D15" w:rsidRDefault="00851D15" w:rsidP="00851D15">
      <w:pPr>
        <w:rPr>
          <w:rFonts w:ascii="Arial" w:hAnsi="Arial" w:cs="Arial"/>
          <w:color w:val="F6842C"/>
          <w:u w:val="single"/>
        </w:rPr>
      </w:pPr>
    </w:p>
    <w:p w14:paraId="479F2568" w14:textId="77777777" w:rsidR="00851D15" w:rsidRDefault="00851D15" w:rsidP="007A4FA9">
      <w:pPr>
        <w:spacing w:line="360" w:lineRule="auto"/>
        <w:rPr>
          <w:rFonts w:ascii="Arial" w:hAnsi="Arial" w:cs="Arial"/>
        </w:rPr>
      </w:pPr>
      <w:r>
        <w:rPr>
          <w:rFonts w:ascii="Arial" w:hAnsi="Arial" w:cs="Arial"/>
        </w:rPr>
        <w:t>Amir</w:t>
      </w:r>
      <w:r w:rsidRPr="005B73F3">
        <w:rPr>
          <w:rFonts w:ascii="Arial" w:hAnsi="Arial" w:cs="Arial"/>
        </w:rPr>
        <w:t>, R. and Jelas, Z. (20</w:t>
      </w:r>
      <w:r>
        <w:rPr>
          <w:rFonts w:ascii="Arial" w:hAnsi="Arial" w:cs="Arial"/>
        </w:rPr>
        <w:t>10) ‘</w:t>
      </w:r>
      <w:r w:rsidRPr="005B73F3">
        <w:rPr>
          <w:rFonts w:ascii="Arial" w:hAnsi="Arial" w:cs="Arial"/>
        </w:rPr>
        <w:t>Teaching and Learning Styles in Higher Educatio</w:t>
      </w:r>
      <w:r>
        <w:rPr>
          <w:rFonts w:ascii="Arial" w:hAnsi="Arial" w:cs="Arial"/>
        </w:rPr>
        <w:t xml:space="preserve">n Institutions: Do They Match?’, </w:t>
      </w:r>
      <w:r w:rsidRPr="005B73F3">
        <w:rPr>
          <w:rFonts w:ascii="Arial" w:hAnsi="Arial" w:cs="Arial"/>
          <w:i/>
        </w:rPr>
        <w:t>Procedia - Social and Behavioral Sciences,</w:t>
      </w:r>
      <w:r w:rsidRPr="005B73F3">
        <w:rPr>
          <w:rFonts w:ascii="Arial" w:hAnsi="Arial" w:cs="Arial"/>
        </w:rPr>
        <w:t xml:space="preserve"> 7, pp.680-684.</w:t>
      </w:r>
    </w:p>
    <w:p w14:paraId="23A28A55" w14:textId="77777777" w:rsidR="00851D15" w:rsidRDefault="00851D15" w:rsidP="00522479">
      <w:pPr>
        <w:spacing w:line="360" w:lineRule="auto"/>
        <w:rPr>
          <w:rFonts w:ascii="Arial" w:hAnsi="Arial" w:cs="Arial"/>
        </w:rPr>
      </w:pPr>
    </w:p>
    <w:p w14:paraId="3F6AE259" w14:textId="51A69A57" w:rsidR="00851D15" w:rsidRPr="00522479" w:rsidRDefault="00851D15" w:rsidP="00522479">
      <w:pPr>
        <w:spacing w:line="360" w:lineRule="auto"/>
        <w:rPr>
          <w:rFonts w:ascii="Arial" w:hAnsi="Arial" w:cs="Arial"/>
        </w:rPr>
      </w:pPr>
      <w:r w:rsidRPr="00522479">
        <w:rPr>
          <w:rFonts w:ascii="Arial" w:hAnsi="Arial" w:cs="Arial"/>
        </w:rPr>
        <w:t>Amir, R.,</w:t>
      </w:r>
      <w:r>
        <w:rPr>
          <w:rFonts w:ascii="Arial" w:hAnsi="Arial" w:cs="Arial"/>
        </w:rPr>
        <w:t xml:space="preserve"> Jelas, M. &amp; Rahman, S. (2011) ‘</w:t>
      </w:r>
      <w:r w:rsidRPr="00522479">
        <w:rPr>
          <w:rFonts w:ascii="Arial" w:hAnsi="Arial" w:cs="Arial"/>
        </w:rPr>
        <w:t>Learning styles of university students: Implications for</w:t>
      </w:r>
      <w:r w:rsidR="005B3297">
        <w:rPr>
          <w:rFonts w:ascii="Arial" w:hAnsi="Arial" w:cs="Arial"/>
        </w:rPr>
        <w:t xml:space="preserve"> </w:t>
      </w:r>
      <w:r w:rsidR="005B3297" w:rsidRPr="005B3297">
        <w:rPr>
          <w:rFonts w:ascii="Arial" w:hAnsi="Arial" w:cs="Arial"/>
        </w:rPr>
        <w:t>teaching and learning’, World Applied Sciences Journal, 14, pp. 22-26.</w:t>
      </w:r>
    </w:p>
    <w:p w14:paraId="2DA19EF2" w14:textId="77777777" w:rsidR="00851D15" w:rsidRPr="00851D15" w:rsidRDefault="00851D15" w:rsidP="00780434">
      <w:pPr>
        <w:spacing w:line="360" w:lineRule="auto"/>
        <w:rPr>
          <w:rFonts w:ascii="Arial" w:hAnsi="Arial" w:cs="Arial"/>
          <w:i/>
          <w:color w:val="FF0000"/>
        </w:rPr>
      </w:pPr>
    </w:p>
    <w:p w14:paraId="341907CE" w14:textId="77777777" w:rsidR="00851D15" w:rsidRPr="005A3BEB" w:rsidRDefault="00851D15" w:rsidP="008D7289">
      <w:pPr>
        <w:spacing w:line="360" w:lineRule="auto"/>
        <w:rPr>
          <w:rFonts w:ascii="Arial" w:eastAsia="Times New Roman" w:hAnsi="Arial" w:cs="Arial"/>
          <w:lang w:val="en-US"/>
        </w:rPr>
      </w:pPr>
      <w:r>
        <w:rPr>
          <w:rFonts w:ascii="Arial" w:eastAsia="Times New Roman" w:hAnsi="Arial" w:cs="Arial"/>
          <w:lang w:val="en-US"/>
        </w:rPr>
        <w:t xml:space="preserve">Berggren, C. (2016) ‘Differentiation in higher education’, in Cote, J. and Furlong, A. (eds.) </w:t>
      </w:r>
      <w:r w:rsidRPr="005A3BEB">
        <w:rPr>
          <w:rFonts w:ascii="Arial" w:eastAsia="Times New Roman" w:hAnsi="Arial" w:cs="Arial"/>
          <w:i/>
          <w:lang w:val="en-US"/>
        </w:rPr>
        <w:t>Routledge Handbook of the Sociology of Higher Education</w:t>
      </w:r>
      <w:r>
        <w:rPr>
          <w:rFonts w:ascii="Arial" w:eastAsia="Times New Roman" w:hAnsi="Arial" w:cs="Arial"/>
          <w:i/>
          <w:lang w:val="en-US"/>
        </w:rPr>
        <w:t xml:space="preserve">. </w:t>
      </w:r>
      <w:r>
        <w:rPr>
          <w:rFonts w:ascii="Arial" w:eastAsia="Times New Roman" w:hAnsi="Arial" w:cs="Arial"/>
          <w:lang w:val="en-US"/>
        </w:rPr>
        <w:t xml:space="preserve">Oxon: Routledge, chpt:17. </w:t>
      </w:r>
    </w:p>
    <w:p w14:paraId="49D822F4" w14:textId="77777777" w:rsidR="00851D15" w:rsidRDefault="00851D15" w:rsidP="000B7B7B">
      <w:pPr>
        <w:spacing w:line="360" w:lineRule="auto"/>
        <w:rPr>
          <w:rFonts w:ascii="Arial" w:hAnsi="Arial" w:cs="Arial"/>
        </w:rPr>
      </w:pPr>
    </w:p>
    <w:p w14:paraId="3F4D483F" w14:textId="77777777" w:rsidR="00851D15" w:rsidRPr="000B7B7B" w:rsidRDefault="00851D15" w:rsidP="000B7B7B">
      <w:pPr>
        <w:spacing w:line="360" w:lineRule="auto"/>
        <w:rPr>
          <w:rFonts w:ascii="Arial" w:hAnsi="Arial" w:cs="Arial"/>
        </w:rPr>
      </w:pPr>
      <w:r>
        <w:rPr>
          <w:rFonts w:ascii="Arial" w:hAnsi="Arial" w:cs="Arial"/>
        </w:rPr>
        <w:t>Bowl, M. (2005) ‘</w:t>
      </w:r>
      <w:r w:rsidRPr="00A87DC3">
        <w:rPr>
          <w:rFonts w:ascii="Arial" w:hAnsi="Arial" w:cs="Arial"/>
        </w:rPr>
        <w:t>Valuing diversity i</w:t>
      </w:r>
      <w:r>
        <w:rPr>
          <w:rFonts w:ascii="Arial" w:hAnsi="Arial" w:cs="Arial"/>
        </w:rPr>
        <w:t>n the social science curriculum’</w:t>
      </w:r>
      <w:r w:rsidRPr="00A87DC3">
        <w:rPr>
          <w:rFonts w:ascii="Arial" w:hAnsi="Arial" w:cs="Arial"/>
          <w:i/>
        </w:rPr>
        <w:t>, LATISS – Learning and Teaching in the Social Sciences</w:t>
      </w:r>
      <w:r>
        <w:rPr>
          <w:rFonts w:ascii="Arial" w:hAnsi="Arial" w:cs="Arial"/>
        </w:rPr>
        <w:t xml:space="preserve">, 2(2), pp. </w:t>
      </w:r>
      <w:r w:rsidRPr="00A87DC3">
        <w:rPr>
          <w:rFonts w:ascii="Arial" w:hAnsi="Arial" w:cs="Arial"/>
        </w:rPr>
        <w:t>21-136.</w:t>
      </w:r>
    </w:p>
    <w:p w14:paraId="03C1D172" w14:textId="77777777" w:rsidR="00851D15" w:rsidRDefault="00851D15" w:rsidP="00803755">
      <w:pPr>
        <w:spacing w:line="360" w:lineRule="auto"/>
        <w:rPr>
          <w:rFonts w:ascii="Arial" w:eastAsia="Times New Roman" w:hAnsi="Arial" w:cs="Arial"/>
          <w:lang w:val="en-US"/>
        </w:rPr>
      </w:pPr>
    </w:p>
    <w:p w14:paraId="12D96DA2" w14:textId="77777777" w:rsidR="00851D15" w:rsidRPr="00803755" w:rsidRDefault="00851D15" w:rsidP="00803755">
      <w:pPr>
        <w:spacing w:line="360" w:lineRule="auto"/>
        <w:rPr>
          <w:rFonts w:ascii="Arial" w:eastAsia="Times New Roman" w:hAnsi="Arial" w:cs="Arial"/>
          <w:i/>
          <w:lang w:val="en-US"/>
        </w:rPr>
      </w:pPr>
      <w:r>
        <w:rPr>
          <w:rFonts w:ascii="Arial" w:eastAsia="Times New Roman" w:hAnsi="Arial" w:cs="Arial"/>
          <w:lang w:val="en-US"/>
        </w:rPr>
        <w:t>Burke, P.J. (2016) ‘</w:t>
      </w:r>
      <w:r w:rsidRPr="00803755">
        <w:rPr>
          <w:rFonts w:ascii="Arial" w:eastAsia="Times New Roman" w:hAnsi="Arial" w:cs="Arial"/>
          <w:lang w:val="en-US"/>
        </w:rPr>
        <w:t>Access to and Widening Participation in Higher Education</w:t>
      </w:r>
      <w:r>
        <w:rPr>
          <w:rFonts w:ascii="Arial" w:eastAsia="Times New Roman" w:hAnsi="Arial" w:cs="Arial"/>
          <w:lang w:val="en-US"/>
        </w:rPr>
        <w:t>’</w:t>
      </w:r>
      <w:r w:rsidRPr="00803755">
        <w:rPr>
          <w:rFonts w:ascii="Arial" w:eastAsia="Times New Roman" w:hAnsi="Arial" w:cs="Arial"/>
          <w:lang w:val="en-US"/>
        </w:rPr>
        <w:t xml:space="preserve">, </w:t>
      </w:r>
      <w:r w:rsidRPr="00803755">
        <w:rPr>
          <w:rFonts w:ascii="Arial" w:eastAsia="Times New Roman" w:hAnsi="Arial" w:cs="Arial"/>
          <w:i/>
          <w:lang w:val="en-US"/>
        </w:rPr>
        <w:t>Encyclopedia of International Higher Education Systems and Institutions, Springer Sci</w:t>
      </w:r>
      <w:r>
        <w:rPr>
          <w:rFonts w:ascii="Arial" w:eastAsia="Times New Roman" w:hAnsi="Arial" w:cs="Arial"/>
          <w:i/>
          <w:lang w:val="en-US"/>
        </w:rPr>
        <w:t xml:space="preserve">ence- Business Media, Dordrecht, pp.2-7. </w:t>
      </w:r>
      <w:hyperlink r:id="rId6" w:history="1">
        <w:r w:rsidRPr="004F5C15">
          <w:rPr>
            <w:rStyle w:val="Hyperlink"/>
            <w:rFonts w:ascii="Arial" w:eastAsia="Times New Roman" w:hAnsi="Arial" w:cs="Arial"/>
            <w:lang w:val="en-US"/>
          </w:rPr>
          <w:t>https://doi.org/10.1007/978-94-017-9553-1_47-1</w:t>
        </w:r>
      </w:hyperlink>
      <w:r>
        <w:rPr>
          <w:rFonts w:ascii="Arial" w:eastAsia="Times New Roman" w:hAnsi="Arial" w:cs="Arial"/>
          <w:lang w:val="en-US"/>
        </w:rPr>
        <w:t xml:space="preserve"> </w:t>
      </w:r>
    </w:p>
    <w:p w14:paraId="3D8CBDFC" w14:textId="77777777" w:rsidR="00851D15" w:rsidRDefault="00851D15" w:rsidP="007E43DD">
      <w:pPr>
        <w:spacing w:line="360" w:lineRule="auto"/>
        <w:rPr>
          <w:rFonts w:ascii="Arial" w:hAnsi="Arial" w:cs="Arial"/>
        </w:rPr>
      </w:pPr>
    </w:p>
    <w:p w14:paraId="3A4FA409" w14:textId="77777777" w:rsidR="00851D15" w:rsidRDefault="00851D15" w:rsidP="007E43DD">
      <w:pPr>
        <w:spacing w:line="360" w:lineRule="auto"/>
        <w:rPr>
          <w:rFonts w:ascii="Arial" w:hAnsi="Arial" w:cs="Arial"/>
        </w:rPr>
      </w:pPr>
      <w:r>
        <w:rPr>
          <w:rFonts w:ascii="Arial" w:hAnsi="Arial" w:cs="Arial"/>
        </w:rPr>
        <w:t xml:space="preserve">Byrnes, J. (1996) </w:t>
      </w:r>
      <w:r w:rsidRPr="00B94EDD">
        <w:rPr>
          <w:rFonts w:ascii="Arial" w:hAnsi="Arial" w:cs="Arial"/>
          <w:i/>
        </w:rPr>
        <w:t>Cognitive development and learning in instructional contexts</w:t>
      </w:r>
      <w:r w:rsidRPr="00B94EDD">
        <w:rPr>
          <w:rFonts w:ascii="Arial" w:hAnsi="Arial" w:cs="Arial"/>
        </w:rPr>
        <w:t>. Boston: Allyn &amp; Bacon.</w:t>
      </w:r>
    </w:p>
    <w:p w14:paraId="5B612F88" w14:textId="77777777" w:rsidR="00851D15" w:rsidRDefault="00851D15" w:rsidP="007E43DD">
      <w:pPr>
        <w:spacing w:line="360" w:lineRule="auto"/>
        <w:rPr>
          <w:rFonts w:ascii="Arial" w:hAnsi="Arial" w:cs="Arial"/>
        </w:rPr>
      </w:pPr>
    </w:p>
    <w:p w14:paraId="1C54D25A" w14:textId="77777777" w:rsidR="00851D15" w:rsidRDefault="00851D15" w:rsidP="007E43DD">
      <w:pPr>
        <w:spacing w:line="360" w:lineRule="auto"/>
        <w:rPr>
          <w:rFonts w:ascii="Arial" w:hAnsi="Arial" w:cs="Arial"/>
        </w:rPr>
      </w:pPr>
      <w:r w:rsidRPr="007E43DD">
        <w:rPr>
          <w:rFonts w:ascii="Arial" w:hAnsi="Arial" w:cs="Arial"/>
        </w:rPr>
        <w:t xml:space="preserve">Chamberlin, M., </w:t>
      </w:r>
      <w:r>
        <w:rPr>
          <w:rFonts w:ascii="Arial" w:hAnsi="Arial" w:cs="Arial"/>
        </w:rPr>
        <w:t>&amp; Powers, R. (2010)</w:t>
      </w:r>
      <w:r w:rsidRPr="007E43DD">
        <w:rPr>
          <w:rFonts w:ascii="Arial" w:hAnsi="Arial" w:cs="Arial"/>
        </w:rPr>
        <w:t xml:space="preserve"> </w:t>
      </w:r>
      <w:r>
        <w:rPr>
          <w:rFonts w:ascii="Arial" w:hAnsi="Arial" w:cs="Arial"/>
        </w:rPr>
        <w:t>‘</w:t>
      </w:r>
      <w:r w:rsidRPr="007E43DD">
        <w:rPr>
          <w:rFonts w:ascii="Arial" w:hAnsi="Arial" w:cs="Arial"/>
        </w:rPr>
        <w:t>The promise of differentiated instruction</w:t>
      </w:r>
      <w:r>
        <w:rPr>
          <w:rFonts w:ascii="Arial" w:hAnsi="Arial" w:cs="Arial"/>
        </w:rPr>
        <w:t xml:space="preserve"> for enhancing the </w:t>
      </w:r>
      <w:r w:rsidRPr="007E43DD">
        <w:rPr>
          <w:rFonts w:ascii="Arial" w:hAnsi="Arial" w:cs="Arial"/>
        </w:rPr>
        <w:t>mathematical und</w:t>
      </w:r>
      <w:r>
        <w:rPr>
          <w:rFonts w:ascii="Arial" w:hAnsi="Arial" w:cs="Arial"/>
        </w:rPr>
        <w:t xml:space="preserve">erstandings of college students’, </w:t>
      </w:r>
      <w:r w:rsidRPr="007E43DD">
        <w:rPr>
          <w:rFonts w:ascii="Arial" w:hAnsi="Arial" w:cs="Arial"/>
          <w:i/>
        </w:rPr>
        <w:t>Teaching Mathematics and Its Applications,</w:t>
      </w:r>
      <w:r>
        <w:rPr>
          <w:rFonts w:ascii="Arial" w:hAnsi="Arial" w:cs="Arial"/>
        </w:rPr>
        <w:t xml:space="preserve"> 29, pp.</w:t>
      </w:r>
      <w:r w:rsidRPr="007E43DD">
        <w:rPr>
          <w:rFonts w:ascii="Arial" w:hAnsi="Arial" w:cs="Arial"/>
        </w:rPr>
        <w:t>113–139.</w:t>
      </w:r>
    </w:p>
    <w:p w14:paraId="3A695D15" w14:textId="77777777" w:rsidR="00851D15" w:rsidRPr="00223C84" w:rsidRDefault="00851D15" w:rsidP="00780434">
      <w:pPr>
        <w:spacing w:line="360" w:lineRule="auto"/>
        <w:rPr>
          <w:rFonts w:ascii="Arial" w:hAnsi="Arial" w:cs="Arial"/>
        </w:rPr>
      </w:pPr>
    </w:p>
    <w:p w14:paraId="1499B812" w14:textId="3E7FDCE0" w:rsidR="00223C84" w:rsidRPr="00223C84" w:rsidRDefault="00851D15" w:rsidP="00223C84">
      <w:pPr>
        <w:spacing w:line="360" w:lineRule="auto"/>
        <w:rPr>
          <w:rFonts w:ascii="Arial" w:hAnsi="Arial" w:cs="Arial"/>
        </w:rPr>
      </w:pPr>
      <w:r w:rsidRPr="00223C84">
        <w:rPr>
          <w:rFonts w:ascii="Arial" w:hAnsi="Arial" w:cs="Arial"/>
        </w:rPr>
        <w:t>Coffield, F., Moseley, D., Hall, E., and Ecclestone, K. (2004</w:t>
      </w:r>
      <w:r w:rsidRPr="00223C84">
        <w:rPr>
          <w:rFonts w:ascii="Arial" w:hAnsi="Arial" w:cs="Arial"/>
          <w:i/>
        </w:rPr>
        <w:t>). Learning Styles</w:t>
      </w:r>
      <w:r w:rsidR="00223C84" w:rsidRPr="00223C84">
        <w:rPr>
          <w:rFonts w:ascii="Arial" w:hAnsi="Arial" w:cs="Arial"/>
          <w:i/>
        </w:rPr>
        <w:t xml:space="preserve"> </w:t>
      </w:r>
      <w:r w:rsidR="00223C84" w:rsidRPr="00223C84">
        <w:rPr>
          <w:rFonts w:ascii="Arial" w:hAnsi="Arial" w:cs="Arial"/>
          <w:i/>
        </w:rPr>
        <w:t>and Pedagogy in Post 16 Learning: A Systematic and Critical Review</w:t>
      </w:r>
      <w:r w:rsidR="00223C84" w:rsidRPr="00223C84">
        <w:rPr>
          <w:rFonts w:ascii="Arial" w:hAnsi="Arial" w:cs="Arial"/>
        </w:rPr>
        <w:t>. London:</w:t>
      </w:r>
      <w:r w:rsidR="00223C84" w:rsidRPr="00223C84">
        <w:t xml:space="preserve"> </w:t>
      </w:r>
      <w:r w:rsidR="00223C84" w:rsidRPr="00223C84">
        <w:rPr>
          <w:rFonts w:ascii="Arial" w:hAnsi="Arial" w:cs="Arial"/>
        </w:rPr>
        <w:t>Learning and Skills Research Centre.</w:t>
      </w:r>
    </w:p>
    <w:p w14:paraId="7D167B71" w14:textId="6B4A1879" w:rsidR="00851D15" w:rsidRPr="00851D15" w:rsidRDefault="00851D15" w:rsidP="00780434">
      <w:pPr>
        <w:spacing w:line="360" w:lineRule="auto"/>
        <w:rPr>
          <w:rFonts w:ascii="Arial" w:hAnsi="Arial" w:cs="Arial"/>
          <w:i/>
          <w:color w:val="FF0000"/>
        </w:rPr>
      </w:pPr>
    </w:p>
    <w:p w14:paraId="628A9975" w14:textId="77777777" w:rsidR="00851D15" w:rsidRPr="002D1698" w:rsidRDefault="00851D15" w:rsidP="00C76B8E">
      <w:pPr>
        <w:spacing w:line="360" w:lineRule="auto"/>
        <w:rPr>
          <w:rFonts w:ascii="Arial" w:eastAsia="Times New Roman" w:hAnsi="Arial" w:cs="Arial"/>
          <w:lang w:val="en-US"/>
        </w:rPr>
      </w:pPr>
      <w:r w:rsidRPr="002D1698">
        <w:rPr>
          <w:rFonts w:ascii="Arial" w:eastAsia="Times New Roman" w:hAnsi="Arial" w:cs="Arial"/>
          <w:lang w:val="en-US"/>
        </w:rPr>
        <w:t xml:space="preserve">Croucher, K. and Romer, W. (2007) </w:t>
      </w:r>
      <w:r w:rsidRPr="002D1698">
        <w:rPr>
          <w:rFonts w:ascii="Arial" w:eastAsia="Times New Roman" w:hAnsi="Arial" w:cs="Arial"/>
          <w:i/>
          <w:lang w:val="en-US"/>
        </w:rPr>
        <w:t>Inclusivity in Teaching Practice and the Curriculum. Guides for Teaching and Learning in Archaeology: Number 6</w:t>
      </w:r>
      <w:r w:rsidRPr="002D1698">
        <w:rPr>
          <w:rFonts w:ascii="Arial" w:eastAsia="Times New Roman" w:hAnsi="Arial" w:cs="Arial"/>
          <w:lang w:val="en-US"/>
        </w:rPr>
        <w:t xml:space="preserve">. Liverpool: Higher Education Academy. </w:t>
      </w:r>
    </w:p>
    <w:p w14:paraId="57BE65B0" w14:textId="77777777" w:rsidR="00851D15" w:rsidRDefault="00851D15" w:rsidP="00805890">
      <w:pPr>
        <w:spacing w:line="360" w:lineRule="auto"/>
        <w:rPr>
          <w:rFonts w:ascii="Arial" w:hAnsi="Arial" w:cs="Arial"/>
        </w:rPr>
      </w:pPr>
      <w:r w:rsidRPr="00805890">
        <w:rPr>
          <w:rFonts w:ascii="Arial" w:hAnsi="Arial" w:cs="Arial"/>
        </w:rPr>
        <w:t xml:space="preserve"> </w:t>
      </w:r>
    </w:p>
    <w:p w14:paraId="1096B430" w14:textId="77777777" w:rsidR="00223C84" w:rsidRPr="00223C84" w:rsidRDefault="00851D15" w:rsidP="00223C84">
      <w:pPr>
        <w:spacing w:line="360" w:lineRule="auto"/>
        <w:rPr>
          <w:rFonts w:ascii="Arial" w:hAnsi="Arial" w:cs="Arial"/>
          <w:i/>
        </w:rPr>
      </w:pPr>
      <w:r w:rsidRPr="00223C84">
        <w:rPr>
          <w:rFonts w:ascii="Arial" w:hAnsi="Arial" w:cs="Arial"/>
        </w:rPr>
        <w:t>Deacy, S. (2015</w:t>
      </w:r>
      <w:r w:rsidRPr="00223C84">
        <w:rPr>
          <w:rFonts w:ascii="Arial" w:hAnsi="Arial" w:cs="Arial"/>
          <w:i/>
        </w:rPr>
        <w:t>) Embedding Equality and Diversity in the Curriculum: A Classics Practitioner’s</w:t>
      </w:r>
      <w:r w:rsidR="00223C84" w:rsidRPr="00223C84">
        <w:rPr>
          <w:rFonts w:ascii="Arial" w:hAnsi="Arial" w:cs="Arial"/>
          <w:i/>
        </w:rPr>
        <w:t xml:space="preserve"> </w:t>
      </w:r>
    </w:p>
    <w:p w14:paraId="008B5295" w14:textId="77777777" w:rsidR="00223C84" w:rsidRPr="00223C84" w:rsidRDefault="00223C84" w:rsidP="00223C84">
      <w:pPr>
        <w:spacing w:line="360" w:lineRule="auto"/>
        <w:rPr>
          <w:rFonts w:ascii="Arial" w:hAnsi="Arial" w:cs="Arial"/>
          <w:i/>
        </w:rPr>
      </w:pPr>
      <w:r w:rsidRPr="00223C84">
        <w:rPr>
          <w:rFonts w:ascii="Arial" w:hAnsi="Arial" w:cs="Arial"/>
          <w:i/>
        </w:rPr>
        <w:t>Guide. York: Higher Education Academy.</w:t>
      </w:r>
    </w:p>
    <w:p w14:paraId="7BEBD9FE" w14:textId="77777777" w:rsidR="00223C84" w:rsidRDefault="00223C84" w:rsidP="007A4FA9">
      <w:pPr>
        <w:spacing w:line="360" w:lineRule="auto"/>
        <w:rPr>
          <w:rFonts w:ascii="Arial" w:hAnsi="Arial" w:cs="Arial"/>
          <w:i/>
          <w:color w:val="FF0000"/>
        </w:rPr>
      </w:pPr>
    </w:p>
    <w:p w14:paraId="516831C7" w14:textId="77777777" w:rsidR="00851D15" w:rsidRDefault="00851D15" w:rsidP="007A4FA9">
      <w:pPr>
        <w:spacing w:line="360" w:lineRule="auto"/>
        <w:rPr>
          <w:rFonts w:ascii="Arial" w:hAnsi="Arial" w:cs="Arial"/>
        </w:rPr>
      </w:pPr>
      <w:r>
        <w:rPr>
          <w:rFonts w:ascii="Arial" w:hAnsi="Arial" w:cs="Arial"/>
        </w:rPr>
        <w:t xml:space="preserve">Department for Education (2018) </w:t>
      </w:r>
      <w:r w:rsidRPr="007A4FA9">
        <w:rPr>
          <w:rFonts w:ascii="Arial" w:hAnsi="Arial" w:cs="Arial"/>
          <w:i/>
        </w:rPr>
        <w:t>Equality Analysis:</w:t>
      </w:r>
      <w:r>
        <w:rPr>
          <w:rFonts w:ascii="Arial" w:hAnsi="Arial" w:cs="Arial"/>
          <w:i/>
        </w:rPr>
        <w:t xml:space="preserve"> </w:t>
      </w:r>
      <w:r w:rsidRPr="007A4FA9">
        <w:rPr>
          <w:rFonts w:ascii="Arial" w:hAnsi="Arial" w:cs="Arial"/>
          <w:i/>
        </w:rPr>
        <w:t>Higher Education</w:t>
      </w:r>
      <w:r>
        <w:rPr>
          <w:rFonts w:ascii="Arial" w:hAnsi="Arial" w:cs="Arial"/>
          <w:i/>
        </w:rPr>
        <w:t xml:space="preserve"> </w:t>
      </w:r>
      <w:r w:rsidRPr="007A4FA9">
        <w:rPr>
          <w:rFonts w:ascii="Arial" w:hAnsi="Arial" w:cs="Arial"/>
          <w:i/>
        </w:rPr>
        <w:t>Student Finance for</w:t>
      </w:r>
      <w:r>
        <w:rPr>
          <w:rFonts w:ascii="Arial" w:hAnsi="Arial" w:cs="Arial"/>
          <w:i/>
        </w:rPr>
        <w:t xml:space="preserve"> </w:t>
      </w:r>
      <w:r w:rsidRPr="007A4FA9">
        <w:rPr>
          <w:rFonts w:ascii="Arial" w:hAnsi="Arial" w:cs="Arial"/>
          <w:i/>
        </w:rPr>
        <w:t>the 2018 to 2019</w:t>
      </w:r>
      <w:r>
        <w:rPr>
          <w:rFonts w:ascii="Arial" w:hAnsi="Arial" w:cs="Arial"/>
          <w:i/>
        </w:rPr>
        <w:t xml:space="preserve"> </w:t>
      </w:r>
      <w:r w:rsidRPr="007A4FA9">
        <w:rPr>
          <w:rFonts w:ascii="Arial" w:hAnsi="Arial" w:cs="Arial"/>
          <w:i/>
        </w:rPr>
        <w:t>Academic Year</w:t>
      </w:r>
      <w:r>
        <w:rPr>
          <w:rFonts w:ascii="Arial" w:hAnsi="Arial" w:cs="Arial"/>
          <w:i/>
        </w:rPr>
        <w:t xml:space="preserve">. </w:t>
      </w:r>
      <w:r>
        <w:rPr>
          <w:rFonts w:ascii="Arial" w:hAnsi="Arial" w:cs="Arial"/>
        </w:rPr>
        <w:t xml:space="preserve">Available at: </w:t>
      </w:r>
      <w:hyperlink r:id="rId7" w:history="1">
        <w:r w:rsidRPr="003C2AD5">
          <w:rPr>
            <w:rStyle w:val="Hyperlink"/>
            <w:rFonts w:ascii="Arial" w:hAnsi="Arial" w:cs="Arial"/>
          </w:rPr>
          <w:t>https://assets.publishing.service.gov.uk/government/uploads/system/uploads/attachment_data/file/680707/Equality_Analysis_Higher_Education_Student_Finance_for_the_2018_to_2019_Academic_Year_.pdf</w:t>
        </w:r>
      </w:hyperlink>
      <w:r>
        <w:rPr>
          <w:rFonts w:ascii="Arial" w:hAnsi="Arial" w:cs="Arial"/>
        </w:rPr>
        <w:t xml:space="preserve"> (Accessed: 29th November 2018). </w:t>
      </w:r>
    </w:p>
    <w:p w14:paraId="617FD2B1" w14:textId="77777777" w:rsidR="00851D15" w:rsidRDefault="00851D15" w:rsidP="008D7289">
      <w:pPr>
        <w:spacing w:line="360" w:lineRule="auto"/>
        <w:rPr>
          <w:rFonts w:ascii="Arial" w:eastAsia="Times New Roman" w:hAnsi="Arial" w:cs="Arial"/>
          <w:lang w:val="en-US"/>
        </w:rPr>
      </w:pPr>
    </w:p>
    <w:p w14:paraId="254A77EF" w14:textId="77777777" w:rsidR="00851D15" w:rsidRDefault="00851D15" w:rsidP="008D7289">
      <w:pPr>
        <w:spacing w:line="360" w:lineRule="auto"/>
        <w:rPr>
          <w:rFonts w:ascii="Arial" w:eastAsia="Times New Roman" w:hAnsi="Arial" w:cs="Arial"/>
          <w:lang w:val="en-US"/>
        </w:rPr>
      </w:pPr>
      <w:r w:rsidRPr="00CC4AA0">
        <w:rPr>
          <w:rFonts w:ascii="Arial" w:eastAsia="Times New Roman" w:hAnsi="Arial" w:cs="Arial"/>
          <w:lang w:val="en-US"/>
        </w:rPr>
        <w:t>Do</w:t>
      </w:r>
      <w:r>
        <w:rPr>
          <w:rFonts w:ascii="Arial" w:eastAsia="Times New Roman" w:hAnsi="Arial" w:cs="Arial"/>
          <w:lang w:val="en-US"/>
        </w:rPr>
        <w:t>yle, M. and Griffin, M. (2012) ‘</w:t>
      </w:r>
      <w:r w:rsidRPr="00CC4AA0">
        <w:rPr>
          <w:rFonts w:ascii="Arial" w:eastAsia="Times New Roman" w:hAnsi="Arial" w:cs="Arial"/>
          <w:lang w:val="en-US"/>
        </w:rPr>
        <w:t xml:space="preserve">Raised aspirations and attainment? A review of the impact of Aimhigher (2004–2011) on widening participation </w:t>
      </w:r>
      <w:r>
        <w:rPr>
          <w:rFonts w:ascii="Arial" w:eastAsia="Times New Roman" w:hAnsi="Arial" w:cs="Arial"/>
          <w:lang w:val="en-US"/>
        </w:rPr>
        <w:t>in higher education in England’</w:t>
      </w:r>
      <w:r w:rsidRPr="00CC4AA0">
        <w:rPr>
          <w:rFonts w:ascii="Arial" w:eastAsia="Times New Roman" w:hAnsi="Arial" w:cs="Arial"/>
          <w:i/>
          <w:lang w:val="en-US"/>
        </w:rPr>
        <w:t>, London Review of Education,</w:t>
      </w:r>
      <w:r w:rsidRPr="00CC4AA0">
        <w:rPr>
          <w:rFonts w:ascii="Arial" w:eastAsia="Times New Roman" w:hAnsi="Arial" w:cs="Arial"/>
          <w:lang w:val="en-US"/>
        </w:rPr>
        <w:t xml:space="preserve"> 10(1), pp.75-88.</w:t>
      </w:r>
    </w:p>
    <w:p w14:paraId="6EF99FB7" w14:textId="77777777" w:rsidR="00851D15" w:rsidRDefault="00851D15" w:rsidP="00522479">
      <w:pPr>
        <w:spacing w:line="360" w:lineRule="auto"/>
        <w:rPr>
          <w:rFonts w:ascii="Arial" w:hAnsi="Arial" w:cs="Arial"/>
        </w:rPr>
      </w:pPr>
    </w:p>
    <w:p w14:paraId="3EB32452" w14:textId="77777777" w:rsidR="00851D15" w:rsidRDefault="00851D15" w:rsidP="00522479">
      <w:pPr>
        <w:spacing w:line="360" w:lineRule="auto"/>
        <w:rPr>
          <w:rFonts w:ascii="Arial" w:hAnsi="Arial" w:cs="Arial"/>
        </w:rPr>
      </w:pPr>
      <w:r>
        <w:rPr>
          <w:rFonts w:ascii="Arial" w:hAnsi="Arial" w:cs="Arial"/>
        </w:rPr>
        <w:t xml:space="preserve">Equality Act (2010) </w:t>
      </w:r>
      <w:r w:rsidRPr="00855D9A">
        <w:rPr>
          <w:rFonts w:ascii="Arial" w:hAnsi="Arial" w:cs="Arial"/>
          <w:i/>
        </w:rPr>
        <w:t>Equality Act 2010 (c. 15)</w:t>
      </w:r>
      <w:r>
        <w:rPr>
          <w:rFonts w:ascii="Arial" w:hAnsi="Arial" w:cs="Arial"/>
          <w:i/>
        </w:rPr>
        <w:t xml:space="preserve">. </w:t>
      </w:r>
      <w:r w:rsidRPr="00855D9A">
        <w:rPr>
          <w:rFonts w:ascii="Arial" w:hAnsi="Arial" w:cs="Arial"/>
        </w:rPr>
        <w:t>Available at</w:t>
      </w:r>
      <w:r>
        <w:rPr>
          <w:rFonts w:ascii="Arial" w:hAnsi="Arial" w:cs="Arial"/>
          <w:i/>
        </w:rPr>
        <w:t xml:space="preserve"> </w:t>
      </w:r>
      <w:hyperlink r:id="rId8" w:history="1">
        <w:r w:rsidRPr="00040ECA">
          <w:rPr>
            <w:rStyle w:val="Hyperlink"/>
            <w:rFonts w:ascii="Arial" w:hAnsi="Arial" w:cs="Arial"/>
          </w:rPr>
          <w:t>http://www.legislation.gov.uk/ukpga/2010/15/pdfs/ukpga_20100015_en.pdf</w:t>
        </w:r>
      </w:hyperlink>
      <w:r>
        <w:rPr>
          <w:rFonts w:ascii="Arial" w:hAnsi="Arial" w:cs="Arial"/>
          <w:u w:val="single"/>
        </w:rPr>
        <w:t xml:space="preserve"> </w:t>
      </w:r>
      <w:r w:rsidRPr="00855D9A">
        <w:rPr>
          <w:rFonts w:ascii="Arial" w:hAnsi="Arial" w:cs="Arial"/>
        </w:rPr>
        <w:t>(Accessed: 1st December 2018).</w:t>
      </w:r>
    </w:p>
    <w:p w14:paraId="040BB7AC" w14:textId="77777777" w:rsidR="00851D15" w:rsidRDefault="00851D15" w:rsidP="00A945F5">
      <w:pPr>
        <w:spacing w:line="360" w:lineRule="auto"/>
        <w:rPr>
          <w:rFonts w:ascii="Arial" w:hAnsi="Arial" w:cs="Arial"/>
        </w:rPr>
      </w:pPr>
    </w:p>
    <w:p w14:paraId="417006C4" w14:textId="4BC5539C" w:rsidR="005B3297" w:rsidRPr="005B3297" w:rsidRDefault="00851D15" w:rsidP="005B3297">
      <w:pPr>
        <w:spacing w:line="360" w:lineRule="auto"/>
        <w:rPr>
          <w:rFonts w:ascii="Arial" w:hAnsi="Arial" w:cs="Arial"/>
        </w:rPr>
      </w:pPr>
      <w:r w:rsidRPr="00A945F5">
        <w:rPr>
          <w:rFonts w:ascii="Arial" w:hAnsi="Arial" w:cs="Arial"/>
        </w:rPr>
        <w:t>Florian, L. and Pratt, L. (2015) Embedding Equality and Diversity in the Curriculum: An</w:t>
      </w:r>
      <w:r w:rsidR="005B3297" w:rsidRPr="005B3297">
        <w:t xml:space="preserve"> </w:t>
      </w:r>
    </w:p>
    <w:p w14:paraId="01C05D3B" w14:textId="77777777" w:rsidR="005B3297" w:rsidRPr="005B3297" w:rsidRDefault="005B3297" w:rsidP="005B3297">
      <w:pPr>
        <w:spacing w:line="360" w:lineRule="auto"/>
        <w:rPr>
          <w:rFonts w:ascii="Arial" w:hAnsi="Arial" w:cs="Arial"/>
        </w:rPr>
      </w:pPr>
      <w:r w:rsidRPr="005B3297">
        <w:rPr>
          <w:rFonts w:ascii="Arial" w:hAnsi="Arial" w:cs="Arial"/>
        </w:rPr>
        <w:t>Education Practitioner’s Guide. York: Higher Education Academy.</w:t>
      </w:r>
    </w:p>
    <w:p w14:paraId="45AA1E12" w14:textId="77777777" w:rsidR="005B3297" w:rsidRDefault="005B3297" w:rsidP="000B7B7B">
      <w:pPr>
        <w:spacing w:line="360" w:lineRule="auto"/>
        <w:rPr>
          <w:rFonts w:ascii="Arial" w:hAnsi="Arial" w:cs="Arial"/>
        </w:rPr>
      </w:pPr>
    </w:p>
    <w:p w14:paraId="27E559F8" w14:textId="77777777" w:rsidR="00851D15" w:rsidRDefault="00851D15" w:rsidP="000B7B7B">
      <w:pPr>
        <w:spacing w:line="360" w:lineRule="auto"/>
        <w:rPr>
          <w:rFonts w:ascii="Arial" w:hAnsi="Arial" w:cs="Arial"/>
        </w:rPr>
      </w:pPr>
      <w:r w:rsidRPr="000B7B7B">
        <w:rPr>
          <w:rFonts w:ascii="Arial" w:hAnsi="Arial" w:cs="Arial"/>
        </w:rPr>
        <w:t>Freewood, M. (2006) Responding to the Disability Discrimination Act Part 4: reasonable adjustments or re-imagining the curriculum?  In: D. Jary and R. Jones (Eds), Perspectives and Practice in Widening Participation in the Social Sciences. Birmingham: CSAP (The HE Academy Network), University of Birmingham.</w:t>
      </w:r>
    </w:p>
    <w:p w14:paraId="0BBCC40A" w14:textId="77777777" w:rsidR="00851D15" w:rsidRDefault="00851D15" w:rsidP="0052442C">
      <w:pPr>
        <w:spacing w:line="360" w:lineRule="auto"/>
        <w:rPr>
          <w:rFonts w:ascii="Arial" w:hAnsi="Arial" w:cs="Arial"/>
        </w:rPr>
      </w:pPr>
    </w:p>
    <w:p w14:paraId="24B93651" w14:textId="77777777" w:rsidR="00851D15" w:rsidRDefault="00851D15" w:rsidP="0052442C">
      <w:pPr>
        <w:spacing w:line="360" w:lineRule="auto"/>
        <w:rPr>
          <w:rFonts w:ascii="Arial" w:hAnsi="Arial" w:cs="Arial"/>
        </w:rPr>
      </w:pPr>
      <w:r w:rsidRPr="00C7726C">
        <w:rPr>
          <w:rFonts w:ascii="Arial" w:hAnsi="Arial" w:cs="Arial"/>
        </w:rPr>
        <w:t xml:space="preserve">Galindo, M. and Rodriguez, R. (2015) ‘POLICIES FOR SOCIAL INCLUSION AND EQUITY IN HIGHER EDUCATION IN EUROPE’, </w:t>
      </w:r>
      <w:r w:rsidRPr="00C7726C">
        <w:rPr>
          <w:rFonts w:ascii="Arial" w:hAnsi="Arial" w:cs="Arial"/>
          <w:i/>
        </w:rPr>
        <w:t xml:space="preserve">Mitigating Inequality: Higher Education Research, Policy, and Practice in an Era of Massification and Stratification, </w:t>
      </w:r>
      <w:r w:rsidRPr="00C7726C">
        <w:rPr>
          <w:rFonts w:ascii="Arial" w:hAnsi="Arial" w:cs="Arial"/>
        </w:rPr>
        <w:t>11, pp.311-336.</w:t>
      </w:r>
    </w:p>
    <w:p w14:paraId="5DBD8BED" w14:textId="77777777" w:rsidR="00851D15" w:rsidRDefault="00851D15" w:rsidP="00E44F64">
      <w:pPr>
        <w:spacing w:line="360" w:lineRule="auto"/>
        <w:rPr>
          <w:rFonts w:ascii="Arial" w:hAnsi="Arial" w:cs="Arial"/>
        </w:rPr>
      </w:pPr>
    </w:p>
    <w:p w14:paraId="0441BA0B" w14:textId="77777777" w:rsidR="00851D15" w:rsidRDefault="00851D15" w:rsidP="00E44F64">
      <w:pPr>
        <w:spacing w:line="360" w:lineRule="auto"/>
        <w:rPr>
          <w:rFonts w:ascii="Arial" w:hAnsi="Arial" w:cs="Arial"/>
        </w:rPr>
      </w:pPr>
      <w:r>
        <w:rPr>
          <w:rFonts w:ascii="Arial" w:hAnsi="Arial" w:cs="Arial"/>
        </w:rPr>
        <w:t xml:space="preserve">Gunn, V., Morrison, J., and Hanesworth, P. (2015) </w:t>
      </w:r>
      <w:r w:rsidRPr="00E44F64">
        <w:rPr>
          <w:rFonts w:ascii="Arial" w:hAnsi="Arial" w:cs="Arial"/>
          <w:i/>
        </w:rPr>
        <w:t>Equality and diversity in learning</w:t>
      </w:r>
      <w:r>
        <w:rPr>
          <w:rFonts w:ascii="Arial" w:hAnsi="Arial" w:cs="Arial"/>
          <w:i/>
        </w:rPr>
        <w:t xml:space="preserve"> </w:t>
      </w:r>
      <w:r w:rsidRPr="00E44F64">
        <w:rPr>
          <w:rFonts w:ascii="Arial" w:hAnsi="Arial" w:cs="Arial"/>
          <w:i/>
        </w:rPr>
        <w:t>and teaching at Scotland’s</w:t>
      </w:r>
      <w:r>
        <w:rPr>
          <w:rFonts w:ascii="Arial" w:hAnsi="Arial" w:cs="Arial"/>
          <w:i/>
        </w:rPr>
        <w:t xml:space="preserve"> </w:t>
      </w:r>
      <w:r w:rsidRPr="00E44F64">
        <w:rPr>
          <w:rFonts w:ascii="Arial" w:hAnsi="Arial" w:cs="Arial"/>
          <w:i/>
        </w:rPr>
        <w:t>universities</w:t>
      </w:r>
      <w:r>
        <w:rPr>
          <w:rFonts w:ascii="Arial" w:hAnsi="Arial" w:cs="Arial"/>
          <w:i/>
        </w:rPr>
        <w:t xml:space="preserve">. </w:t>
      </w:r>
      <w:r>
        <w:rPr>
          <w:rFonts w:ascii="Arial" w:hAnsi="Arial" w:cs="Arial"/>
        </w:rPr>
        <w:t xml:space="preserve">York: Higher Education Academy. </w:t>
      </w:r>
    </w:p>
    <w:p w14:paraId="4BADDC56" w14:textId="77777777" w:rsidR="00851D15" w:rsidRDefault="00851D15" w:rsidP="0052442C">
      <w:pPr>
        <w:spacing w:line="360" w:lineRule="auto"/>
        <w:rPr>
          <w:rFonts w:ascii="Arial" w:hAnsi="Arial" w:cs="Arial"/>
        </w:rPr>
      </w:pPr>
    </w:p>
    <w:p w14:paraId="688AF2AA" w14:textId="77777777" w:rsidR="00851D15" w:rsidRDefault="00851D15" w:rsidP="0052442C">
      <w:pPr>
        <w:spacing w:line="360" w:lineRule="auto"/>
        <w:rPr>
          <w:rFonts w:ascii="Arial" w:hAnsi="Arial" w:cs="Arial"/>
        </w:rPr>
      </w:pPr>
      <w:r>
        <w:rPr>
          <w:rFonts w:ascii="Arial" w:hAnsi="Arial" w:cs="Arial"/>
        </w:rPr>
        <w:t xml:space="preserve">HEFCE (2014) </w:t>
      </w:r>
      <w:r w:rsidRPr="0052442C">
        <w:rPr>
          <w:rFonts w:ascii="Arial" w:hAnsi="Arial" w:cs="Arial"/>
          <w:i/>
        </w:rPr>
        <w:t>National strategy for</w:t>
      </w:r>
      <w:r>
        <w:rPr>
          <w:rFonts w:ascii="Arial" w:hAnsi="Arial" w:cs="Arial"/>
          <w:i/>
        </w:rPr>
        <w:t xml:space="preserve"> </w:t>
      </w:r>
      <w:r w:rsidRPr="0052442C">
        <w:rPr>
          <w:rFonts w:ascii="Arial" w:hAnsi="Arial" w:cs="Arial"/>
          <w:i/>
        </w:rPr>
        <w:t>access and student success</w:t>
      </w:r>
      <w:r>
        <w:rPr>
          <w:rFonts w:ascii="Arial" w:hAnsi="Arial" w:cs="Arial"/>
          <w:i/>
        </w:rPr>
        <w:t xml:space="preserve"> </w:t>
      </w:r>
      <w:r w:rsidRPr="0052442C">
        <w:rPr>
          <w:rFonts w:ascii="Arial" w:hAnsi="Arial" w:cs="Arial"/>
          <w:i/>
        </w:rPr>
        <w:t>in higher education</w:t>
      </w:r>
      <w:r>
        <w:rPr>
          <w:rFonts w:ascii="Arial" w:hAnsi="Arial" w:cs="Arial"/>
          <w:i/>
        </w:rPr>
        <w:t xml:space="preserve">. </w:t>
      </w:r>
      <w:hyperlink r:id="rId9" w:history="1">
        <w:r w:rsidRPr="00B2728F">
          <w:rPr>
            <w:rStyle w:val="Hyperlink"/>
            <w:rFonts w:ascii="Arial" w:hAnsi="Arial" w:cs="Arial"/>
          </w:rPr>
          <w:t>https://assets.publishing.service.gov.uk/government/uploads/system/uploads/attachment_data/file/299689/bis-14-516-national-strategy-for-access-and-student-success.pdf</w:t>
        </w:r>
      </w:hyperlink>
      <w:r>
        <w:rPr>
          <w:rFonts w:ascii="Arial" w:hAnsi="Arial" w:cs="Arial"/>
          <w:u w:val="single"/>
        </w:rPr>
        <w:t xml:space="preserve"> </w:t>
      </w:r>
      <w:r>
        <w:rPr>
          <w:rFonts w:ascii="Arial" w:hAnsi="Arial" w:cs="Arial"/>
        </w:rPr>
        <w:t xml:space="preserve">(Accessed: 29th November 2018). </w:t>
      </w:r>
    </w:p>
    <w:p w14:paraId="67EAB5E4" w14:textId="77777777" w:rsidR="00851D15" w:rsidRDefault="00851D15" w:rsidP="00081079">
      <w:pPr>
        <w:spacing w:line="360" w:lineRule="auto"/>
        <w:rPr>
          <w:rFonts w:ascii="Arial" w:hAnsi="Arial" w:cs="Arial"/>
        </w:rPr>
      </w:pPr>
    </w:p>
    <w:p w14:paraId="358C4637" w14:textId="77777777" w:rsidR="00851D15" w:rsidRDefault="00851D15" w:rsidP="00081079">
      <w:pPr>
        <w:spacing w:line="360" w:lineRule="auto"/>
        <w:rPr>
          <w:rFonts w:ascii="Arial" w:hAnsi="Arial" w:cs="Arial"/>
        </w:rPr>
      </w:pPr>
      <w:r>
        <w:rPr>
          <w:rFonts w:ascii="Arial" w:hAnsi="Arial" w:cs="Arial"/>
        </w:rPr>
        <w:t xml:space="preserve">HEFCE (2017) </w:t>
      </w:r>
      <w:r>
        <w:rPr>
          <w:rFonts w:ascii="Arial" w:hAnsi="Arial" w:cs="Arial"/>
          <w:i/>
        </w:rPr>
        <w:t xml:space="preserve">Disability. </w:t>
      </w:r>
      <w:hyperlink r:id="rId10" w:history="1">
        <w:r w:rsidRPr="00B2728F">
          <w:rPr>
            <w:rStyle w:val="Hyperlink"/>
            <w:rFonts w:ascii="Arial" w:hAnsi="Arial" w:cs="Arial"/>
          </w:rPr>
          <w:t>https://webarchive.nationalarchives.gov.uk/20180319122232/http://www.hefce.ac.uk/analysis/HEinEngland/students/disability/</w:t>
        </w:r>
      </w:hyperlink>
      <w:r>
        <w:rPr>
          <w:rFonts w:ascii="Arial" w:hAnsi="Arial" w:cs="Arial"/>
          <w:u w:val="single"/>
        </w:rPr>
        <w:t xml:space="preserve"> </w:t>
      </w:r>
      <w:r>
        <w:rPr>
          <w:rFonts w:ascii="Arial" w:hAnsi="Arial" w:cs="Arial"/>
        </w:rPr>
        <w:t>(Accessed: 29</w:t>
      </w:r>
      <w:r w:rsidRPr="00685C3E">
        <w:rPr>
          <w:rFonts w:ascii="Arial" w:hAnsi="Arial" w:cs="Arial"/>
          <w:vertAlign w:val="superscript"/>
        </w:rPr>
        <w:t>th</w:t>
      </w:r>
      <w:r>
        <w:rPr>
          <w:rFonts w:ascii="Arial" w:hAnsi="Arial" w:cs="Arial"/>
        </w:rPr>
        <w:t xml:space="preserve"> November 2018).</w:t>
      </w:r>
    </w:p>
    <w:p w14:paraId="3250E630" w14:textId="77777777" w:rsidR="00851D15" w:rsidRDefault="00851D15" w:rsidP="00C76B8E">
      <w:pPr>
        <w:spacing w:line="360" w:lineRule="auto"/>
        <w:rPr>
          <w:rFonts w:ascii="Arial" w:hAnsi="Arial" w:cs="Arial"/>
        </w:rPr>
      </w:pPr>
    </w:p>
    <w:p w14:paraId="616E7961" w14:textId="77777777" w:rsidR="00851D15" w:rsidRDefault="00851D15" w:rsidP="00C76B8E">
      <w:pPr>
        <w:spacing w:line="360" w:lineRule="auto"/>
        <w:rPr>
          <w:rFonts w:ascii="Arial" w:hAnsi="Arial" w:cs="Arial"/>
        </w:rPr>
      </w:pPr>
      <w:r w:rsidRPr="003C1EBC">
        <w:rPr>
          <w:rFonts w:ascii="Arial" w:hAnsi="Arial" w:cs="Arial"/>
        </w:rPr>
        <w:t>Hoa</w:t>
      </w:r>
      <w:r>
        <w:rPr>
          <w:rFonts w:ascii="Arial" w:hAnsi="Arial" w:cs="Arial"/>
        </w:rPr>
        <w:t>re, A. and Johnston, R. (2011) ‘</w:t>
      </w:r>
      <w:r w:rsidRPr="003C1EBC">
        <w:rPr>
          <w:rFonts w:ascii="Arial" w:hAnsi="Arial" w:cs="Arial"/>
        </w:rPr>
        <w:t>Widening participation through admissions policy – a British case study of sch</w:t>
      </w:r>
      <w:r>
        <w:rPr>
          <w:rFonts w:ascii="Arial" w:hAnsi="Arial" w:cs="Arial"/>
        </w:rPr>
        <w:t xml:space="preserve">ool and university performance’, </w:t>
      </w:r>
      <w:r w:rsidRPr="003C1EBC">
        <w:rPr>
          <w:rFonts w:ascii="Arial" w:hAnsi="Arial" w:cs="Arial"/>
          <w:i/>
        </w:rPr>
        <w:t>Studies in Higher Education,</w:t>
      </w:r>
      <w:r w:rsidRPr="003C1EBC">
        <w:rPr>
          <w:rFonts w:ascii="Arial" w:hAnsi="Arial" w:cs="Arial"/>
        </w:rPr>
        <w:t xml:space="preserve"> 36(1), pp.21-41.</w:t>
      </w:r>
    </w:p>
    <w:p w14:paraId="649B8AAA" w14:textId="77777777" w:rsidR="00851D15" w:rsidRDefault="00851D15" w:rsidP="007E43DD">
      <w:pPr>
        <w:spacing w:line="360" w:lineRule="auto"/>
        <w:rPr>
          <w:rFonts w:ascii="Arial" w:hAnsi="Arial" w:cs="Arial"/>
        </w:rPr>
      </w:pPr>
    </w:p>
    <w:p w14:paraId="6633706D" w14:textId="77777777" w:rsidR="00851D15" w:rsidRDefault="00851D15" w:rsidP="007E43DD">
      <w:pPr>
        <w:spacing w:line="360" w:lineRule="auto"/>
        <w:rPr>
          <w:rFonts w:ascii="Arial" w:hAnsi="Arial" w:cs="Arial"/>
        </w:rPr>
      </w:pPr>
      <w:r>
        <w:rPr>
          <w:rFonts w:ascii="Arial" w:hAnsi="Arial" w:cs="Arial"/>
        </w:rPr>
        <w:t>Joseph, S. (2018) ‘</w:t>
      </w:r>
      <w:r w:rsidRPr="00421759">
        <w:rPr>
          <w:rFonts w:ascii="Arial" w:hAnsi="Arial" w:cs="Arial"/>
        </w:rPr>
        <w:t xml:space="preserve">Strategies for enhancing student learning </w:t>
      </w:r>
      <w:r>
        <w:rPr>
          <w:rFonts w:ascii="Arial" w:hAnsi="Arial" w:cs="Arial"/>
        </w:rPr>
        <w:t xml:space="preserve">experiences in higher education’, </w:t>
      </w:r>
      <w:r w:rsidRPr="00421759">
        <w:rPr>
          <w:rFonts w:ascii="Arial" w:hAnsi="Arial" w:cs="Arial"/>
        </w:rPr>
        <w:t>Caribbean</w:t>
      </w:r>
      <w:r w:rsidRPr="00421759">
        <w:rPr>
          <w:rFonts w:ascii="Arial" w:hAnsi="Arial" w:cs="Arial"/>
          <w:i/>
        </w:rPr>
        <w:t xml:space="preserve"> Teaching Scholar</w:t>
      </w:r>
      <w:r w:rsidRPr="00421759">
        <w:rPr>
          <w:rFonts w:ascii="Arial" w:hAnsi="Arial" w:cs="Arial"/>
        </w:rPr>
        <w:t>, 3(2), pp.97-109.</w:t>
      </w:r>
    </w:p>
    <w:p w14:paraId="3E2383AF" w14:textId="77777777" w:rsidR="00851D15" w:rsidRDefault="00851D15" w:rsidP="007E43DD">
      <w:pPr>
        <w:spacing w:line="360" w:lineRule="auto"/>
        <w:rPr>
          <w:rFonts w:ascii="Arial" w:hAnsi="Arial" w:cs="Arial"/>
        </w:rPr>
      </w:pPr>
    </w:p>
    <w:p w14:paraId="5E6CFEE8" w14:textId="77777777" w:rsidR="00851D15" w:rsidRDefault="00851D15" w:rsidP="007E43DD">
      <w:pPr>
        <w:spacing w:line="360" w:lineRule="auto"/>
        <w:rPr>
          <w:rFonts w:ascii="Arial" w:hAnsi="Arial" w:cs="Arial"/>
        </w:rPr>
      </w:pPr>
      <w:r w:rsidRPr="00970F60">
        <w:rPr>
          <w:rFonts w:ascii="Arial" w:hAnsi="Arial" w:cs="Arial"/>
        </w:rPr>
        <w:t>Joseph, S., Thomas, M., Simone</w:t>
      </w:r>
      <w:r>
        <w:rPr>
          <w:rFonts w:ascii="Arial" w:hAnsi="Arial" w:cs="Arial"/>
        </w:rPr>
        <w:t>tte, G. and Ramsook, L. (2013) ‘</w:t>
      </w:r>
      <w:r w:rsidRPr="00970F60">
        <w:rPr>
          <w:rFonts w:ascii="Arial" w:hAnsi="Arial" w:cs="Arial"/>
        </w:rPr>
        <w:t>The Impact of Differentiated Instruction in a Teacher Education Set</w:t>
      </w:r>
      <w:r>
        <w:rPr>
          <w:rFonts w:ascii="Arial" w:hAnsi="Arial" w:cs="Arial"/>
        </w:rPr>
        <w:t>ting: Successes and Challenges’</w:t>
      </w:r>
      <w:r w:rsidRPr="00970F60">
        <w:rPr>
          <w:rFonts w:ascii="Arial" w:hAnsi="Arial" w:cs="Arial"/>
          <w:i/>
        </w:rPr>
        <w:t>, International Journal of Higher Education,</w:t>
      </w:r>
      <w:r>
        <w:rPr>
          <w:rFonts w:ascii="Arial" w:hAnsi="Arial" w:cs="Arial"/>
        </w:rPr>
        <w:t xml:space="preserve"> 2(3),pp 28-40. </w:t>
      </w:r>
    </w:p>
    <w:p w14:paraId="2A507F7E" w14:textId="77777777" w:rsidR="005B3297" w:rsidRDefault="005B3297" w:rsidP="00205507">
      <w:pPr>
        <w:spacing w:line="360" w:lineRule="auto"/>
        <w:rPr>
          <w:rFonts w:ascii="Arial" w:hAnsi="Arial" w:cs="Arial"/>
          <w:color w:val="FF0000"/>
        </w:rPr>
      </w:pPr>
    </w:p>
    <w:p w14:paraId="0F60ADF4" w14:textId="77777777" w:rsidR="00851D15" w:rsidRDefault="00851D15" w:rsidP="00205507">
      <w:pPr>
        <w:spacing w:line="360" w:lineRule="auto"/>
        <w:rPr>
          <w:rFonts w:ascii="Arial" w:hAnsi="Arial" w:cs="Arial"/>
        </w:rPr>
      </w:pPr>
      <w:r w:rsidRPr="00205507">
        <w:rPr>
          <w:rFonts w:ascii="Arial" w:hAnsi="Arial" w:cs="Arial"/>
        </w:rPr>
        <w:t xml:space="preserve">May, H. and Felsinger, A. (2010) </w:t>
      </w:r>
      <w:r w:rsidRPr="00205507">
        <w:rPr>
          <w:rFonts w:ascii="Arial" w:hAnsi="Arial" w:cs="Arial"/>
          <w:i/>
        </w:rPr>
        <w:t>Strategic approaches to disabled student engagement</w:t>
      </w:r>
      <w:r w:rsidRPr="00205507">
        <w:rPr>
          <w:rFonts w:ascii="Arial" w:hAnsi="Arial" w:cs="Arial"/>
        </w:rPr>
        <w:t>. London: Equality Challenge Unit</w:t>
      </w:r>
      <w:r>
        <w:rPr>
          <w:rFonts w:ascii="Arial" w:hAnsi="Arial" w:cs="Arial"/>
        </w:rPr>
        <w:t xml:space="preserve"> a</w:t>
      </w:r>
      <w:r w:rsidRPr="00205507">
        <w:rPr>
          <w:rFonts w:ascii="Arial" w:hAnsi="Arial" w:cs="Arial"/>
        </w:rPr>
        <w:t>nd Higher Education Academy</w:t>
      </w:r>
      <w:r>
        <w:rPr>
          <w:rFonts w:ascii="Arial" w:hAnsi="Arial" w:cs="Arial"/>
        </w:rPr>
        <w:t xml:space="preserve">. </w:t>
      </w:r>
    </w:p>
    <w:p w14:paraId="5558E8D9" w14:textId="77777777" w:rsidR="00851D15" w:rsidRDefault="00851D15" w:rsidP="007E43DD">
      <w:pPr>
        <w:spacing w:line="360" w:lineRule="auto"/>
        <w:rPr>
          <w:rFonts w:ascii="Arial" w:hAnsi="Arial" w:cs="Arial"/>
        </w:rPr>
      </w:pPr>
    </w:p>
    <w:p w14:paraId="0AFE201E" w14:textId="77777777" w:rsidR="00851D15" w:rsidRDefault="00851D15" w:rsidP="007E43DD">
      <w:pPr>
        <w:spacing w:line="360" w:lineRule="auto"/>
        <w:rPr>
          <w:rFonts w:ascii="Arial" w:hAnsi="Arial" w:cs="Arial"/>
        </w:rPr>
      </w:pPr>
      <w:r w:rsidRPr="00722D45">
        <w:rPr>
          <w:rFonts w:ascii="Arial" w:hAnsi="Arial" w:cs="Arial"/>
        </w:rPr>
        <w:t>Mo</w:t>
      </w:r>
      <w:r>
        <w:rPr>
          <w:rFonts w:ascii="Arial" w:hAnsi="Arial" w:cs="Arial"/>
        </w:rPr>
        <w:t>rgan, H., and A. Houghton. (2011)</w:t>
      </w:r>
      <w:r w:rsidRPr="00722D45">
        <w:rPr>
          <w:rFonts w:ascii="Arial" w:hAnsi="Arial" w:cs="Arial"/>
        </w:rPr>
        <w:t xml:space="preserve"> </w:t>
      </w:r>
      <w:r w:rsidRPr="00722D45">
        <w:rPr>
          <w:rFonts w:ascii="Arial" w:hAnsi="Arial" w:cs="Arial"/>
          <w:i/>
        </w:rPr>
        <w:t>Inclusive Curriculum Design in Higher Education: Considerations for Effective Practice across and within Subject Areas</w:t>
      </w:r>
      <w:r w:rsidRPr="00722D45">
        <w:rPr>
          <w:rFonts w:ascii="Arial" w:hAnsi="Arial" w:cs="Arial"/>
        </w:rPr>
        <w:t>. Lancaster: The Higher Education Academy, Lancaster University.</w:t>
      </w:r>
    </w:p>
    <w:p w14:paraId="6D37CE47" w14:textId="77777777" w:rsidR="005B3297" w:rsidRDefault="005B3297" w:rsidP="006B2621">
      <w:pPr>
        <w:spacing w:line="360" w:lineRule="auto"/>
        <w:rPr>
          <w:rFonts w:ascii="Arial" w:hAnsi="Arial" w:cs="Arial"/>
          <w:color w:val="FF0000"/>
        </w:rPr>
      </w:pPr>
    </w:p>
    <w:p w14:paraId="1D3B1B0F" w14:textId="77777777" w:rsidR="00851D15" w:rsidRDefault="00851D15" w:rsidP="006B2621">
      <w:pPr>
        <w:spacing w:line="360" w:lineRule="auto"/>
        <w:rPr>
          <w:rFonts w:ascii="Arial" w:eastAsia="Times New Roman" w:hAnsi="Arial" w:cs="Arial"/>
          <w:lang w:val="en-US"/>
        </w:rPr>
      </w:pPr>
      <w:r>
        <w:rPr>
          <w:rFonts w:ascii="Arial" w:eastAsia="Times New Roman" w:hAnsi="Arial" w:cs="Arial"/>
          <w:lang w:val="en-US"/>
        </w:rPr>
        <w:t>Mosia, P.A. and Phasha, N. (2017)</w:t>
      </w:r>
      <w:r w:rsidRPr="006B2621">
        <w:rPr>
          <w:rFonts w:ascii="Arial" w:eastAsia="Times New Roman" w:hAnsi="Arial" w:cs="Arial"/>
          <w:lang w:val="en-US"/>
        </w:rPr>
        <w:t xml:space="preserve"> ‘Access to curriculum for students with disabilities at higher education institutions: How does the National University of Lesotho fare?’, </w:t>
      </w:r>
      <w:r w:rsidRPr="006B2621">
        <w:rPr>
          <w:rFonts w:ascii="Arial" w:eastAsia="Times New Roman" w:hAnsi="Arial" w:cs="Arial"/>
          <w:i/>
          <w:lang w:val="en-US"/>
        </w:rPr>
        <w:t>African Journal of</w:t>
      </w:r>
      <w:r>
        <w:rPr>
          <w:rFonts w:ascii="Arial" w:eastAsia="Times New Roman" w:hAnsi="Arial" w:cs="Arial"/>
          <w:lang w:val="en-US"/>
        </w:rPr>
        <w:t xml:space="preserve"> Disability 6, pp.1-13</w:t>
      </w:r>
      <w:r w:rsidRPr="006B2621">
        <w:rPr>
          <w:rFonts w:ascii="Arial" w:eastAsia="Times New Roman" w:hAnsi="Arial" w:cs="Arial"/>
          <w:lang w:val="en-US"/>
        </w:rPr>
        <w:t>.</w:t>
      </w:r>
    </w:p>
    <w:p w14:paraId="57C6DEDE" w14:textId="77777777" w:rsidR="00851D15" w:rsidRDefault="00851D15" w:rsidP="0052442C">
      <w:pPr>
        <w:spacing w:line="360" w:lineRule="auto"/>
        <w:rPr>
          <w:rFonts w:ascii="Arial" w:hAnsi="Arial" w:cs="Arial"/>
        </w:rPr>
      </w:pPr>
    </w:p>
    <w:p w14:paraId="7F89C54B" w14:textId="77777777" w:rsidR="00851D15" w:rsidRDefault="00851D15" w:rsidP="0052442C">
      <w:pPr>
        <w:spacing w:line="360" w:lineRule="auto"/>
        <w:rPr>
          <w:rFonts w:ascii="Arial" w:hAnsi="Arial" w:cs="Arial"/>
        </w:rPr>
      </w:pPr>
      <w:r>
        <w:rPr>
          <w:rFonts w:ascii="Arial" w:hAnsi="Arial" w:cs="Arial"/>
        </w:rPr>
        <w:t xml:space="preserve">National Autistic Society (2018) </w:t>
      </w:r>
      <w:r w:rsidRPr="0052442C">
        <w:rPr>
          <w:rFonts w:ascii="Arial" w:hAnsi="Arial" w:cs="Arial"/>
          <w:i/>
        </w:rPr>
        <w:t>Supporting autistic s</w:t>
      </w:r>
      <w:r>
        <w:rPr>
          <w:rFonts w:ascii="Arial" w:hAnsi="Arial" w:cs="Arial"/>
          <w:i/>
        </w:rPr>
        <w:t xml:space="preserve">tudents in college or university. </w:t>
      </w:r>
      <w:hyperlink r:id="rId11" w:history="1">
        <w:r w:rsidRPr="00B2728F">
          <w:rPr>
            <w:rStyle w:val="Hyperlink"/>
            <w:rFonts w:ascii="Arial" w:hAnsi="Arial" w:cs="Arial"/>
          </w:rPr>
          <w:t>https://www.autism.org.uk/18333</w:t>
        </w:r>
      </w:hyperlink>
      <w:r>
        <w:rPr>
          <w:rFonts w:ascii="Arial" w:hAnsi="Arial" w:cs="Arial"/>
        </w:rPr>
        <w:t xml:space="preserve"> (Accessed: 29th November 2018). </w:t>
      </w:r>
    </w:p>
    <w:p w14:paraId="0360D6A0" w14:textId="77777777" w:rsidR="00851D15" w:rsidRDefault="00851D15" w:rsidP="007A4FA9">
      <w:pPr>
        <w:spacing w:line="360" w:lineRule="auto"/>
        <w:rPr>
          <w:rFonts w:ascii="Arial" w:hAnsi="Arial" w:cs="Arial"/>
        </w:rPr>
      </w:pPr>
    </w:p>
    <w:p w14:paraId="6362CCF3" w14:textId="77777777" w:rsidR="00851D15" w:rsidRDefault="00851D15" w:rsidP="007A4FA9">
      <w:pPr>
        <w:spacing w:line="360" w:lineRule="auto"/>
        <w:rPr>
          <w:rFonts w:ascii="Arial" w:hAnsi="Arial" w:cs="Arial"/>
        </w:rPr>
      </w:pPr>
      <w:r>
        <w:rPr>
          <w:rFonts w:ascii="Arial" w:hAnsi="Arial" w:cs="Arial"/>
        </w:rPr>
        <w:t>Newton, P. M. (2015) ‘T</w:t>
      </w:r>
      <w:r w:rsidRPr="0057066F">
        <w:rPr>
          <w:rFonts w:ascii="Arial" w:hAnsi="Arial" w:cs="Arial"/>
        </w:rPr>
        <w:t>he learning styles myth i</w:t>
      </w:r>
      <w:r>
        <w:rPr>
          <w:rFonts w:ascii="Arial" w:hAnsi="Arial" w:cs="Arial"/>
        </w:rPr>
        <w:t xml:space="preserve">s thriving in higher education’, </w:t>
      </w:r>
      <w:r w:rsidRPr="0057066F">
        <w:rPr>
          <w:rFonts w:ascii="Arial" w:hAnsi="Arial" w:cs="Arial"/>
          <w:i/>
        </w:rPr>
        <w:t>Frontiers in Psychology,</w:t>
      </w:r>
      <w:r>
        <w:rPr>
          <w:rFonts w:ascii="Arial" w:hAnsi="Arial" w:cs="Arial"/>
        </w:rPr>
        <w:t xml:space="preserve"> 6, pp. 1-5. </w:t>
      </w:r>
    </w:p>
    <w:p w14:paraId="351661C9" w14:textId="77777777" w:rsidR="00851D15" w:rsidRDefault="00851D15" w:rsidP="00DF32D7">
      <w:pPr>
        <w:spacing w:line="360" w:lineRule="auto"/>
        <w:rPr>
          <w:rFonts w:ascii="Arial" w:hAnsi="Arial" w:cs="Arial"/>
        </w:rPr>
      </w:pPr>
    </w:p>
    <w:p w14:paraId="605D661C" w14:textId="77777777" w:rsidR="00851D15" w:rsidRDefault="00851D15" w:rsidP="00DF32D7">
      <w:pPr>
        <w:spacing w:line="360" w:lineRule="auto"/>
        <w:rPr>
          <w:rFonts w:ascii="Arial" w:hAnsi="Arial" w:cs="Arial"/>
        </w:rPr>
      </w:pPr>
      <w:r w:rsidRPr="00DF32D7">
        <w:rPr>
          <w:rFonts w:ascii="Arial" w:hAnsi="Arial" w:cs="Arial"/>
        </w:rPr>
        <w:t xml:space="preserve">O'Carroll, J., Ennis, C., Loscher, K., Ryan, D. and Dixon, N. (2017) </w:t>
      </w:r>
      <w:r w:rsidRPr="00DF32D7">
        <w:rPr>
          <w:rFonts w:ascii="Arial" w:hAnsi="Arial" w:cs="Arial"/>
          <w:i/>
        </w:rPr>
        <w:t>Strategies for Enhancing the Mature Student Experience in Higher</w:t>
      </w:r>
      <w:r>
        <w:rPr>
          <w:rFonts w:ascii="Arial" w:hAnsi="Arial" w:cs="Arial"/>
          <w:i/>
        </w:rPr>
        <w:t xml:space="preserve"> </w:t>
      </w:r>
      <w:r w:rsidRPr="00DF32D7">
        <w:rPr>
          <w:rFonts w:ascii="Arial" w:hAnsi="Arial" w:cs="Arial"/>
          <w:i/>
        </w:rPr>
        <w:t>Education</w:t>
      </w:r>
      <w:r>
        <w:rPr>
          <w:rFonts w:ascii="Arial" w:hAnsi="Arial" w:cs="Arial"/>
        </w:rPr>
        <w:t xml:space="preserve">, </w:t>
      </w:r>
      <w:r w:rsidRPr="00DF32D7">
        <w:rPr>
          <w:rFonts w:ascii="Arial" w:hAnsi="Arial" w:cs="Arial"/>
        </w:rPr>
        <w:t>Dublin Institute of Technology</w:t>
      </w:r>
      <w:r>
        <w:rPr>
          <w:rFonts w:ascii="Arial" w:hAnsi="Arial" w:cs="Arial"/>
        </w:rPr>
        <w:t xml:space="preserve">. </w:t>
      </w:r>
    </w:p>
    <w:p w14:paraId="36B2358F" w14:textId="77777777" w:rsidR="00851D15" w:rsidRPr="005B3297" w:rsidRDefault="00851D15" w:rsidP="003D72DF">
      <w:pPr>
        <w:spacing w:line="360" w:lineRule="auto"/>
        <w:rPr>
          <w:rFonts w:ascii="Arial" w:hAnsi="Arial" w:cs="Arial"/>
        </w:rPr>
      </w:pPr>
    </w:p>
    <w:p w14:paraId="1585DB20" w14:textId="27CB8495" w:rsidR="005B3297" w:rsidRPr="005B3297" w:rsidRDefault="00851D15" w:rsidP="005B3297">
      <w:pPr>
        <w:spacing w:line="360" w:lineRule="auto"/>
        <w:rPr>
          <w:rFonts w:ascii="Arial" w:hAnsi="Arial" w:cs="Arial"/>
          <w:i/>
        </w:rPr>
      </w:pPr>
      <w:r w:rsidRPr="005B3297">
        <w:rPr>
          <w:rFonts w:ascii="Arial" w:hAnsi="Arial" w:cs="Arial"/>
        </w:rPr>
        <w:t xml:space="preserve">O’Neill, G., &amp; McMahon, T. (2005). </w:t>
      </w:r>
      <w:r w:rsidRPr="005B3297">
        <w:rPr>
          <w:rFonts w:ascii="Arial" w:hAnsi="Arial" w:cs="Arial"/>
          <w:i/>
        </w:rPr>
        <w:t>Student-centred learning: What does it mean for students and</w:t>
      </w:r>
      <w:r w:rsidR="005B3297" w:rsidRPr="005B3297">
        <w:t xml:space="preserve"> </w:t>
      </w:r>
    </w:p>
    <w:p w14:paraId="4B34130C" w14:textId="77777777" w:rsidR="005B3297" w:rsidRPr="005B3297" w:rsidRDefault="005B3297" w:rsidP="005B3297">
      <w:pPr>
        <w:spacing w:line="360" w:lineRule="auto"/>
        <w:rPr>
          <w:rFonts w:ascii="Arial" w:hAnsi="Arial" w:cs="Arial"/>
          <w:i/>
        </w:rPr>
      </w:pPr>
      <w:r w:rsidRPr="005B3297">
        <w:rPr>
          <w:rFonts w:ascii="Arial" w:hAnsi="Arial" w:cs="Arial"/>
          <w:i/>
        </w:rPr>
        <w:t xml:space="preserve">lecturers. </w:t>
      </w:r>
      <w:r w:rsidRPr="005B3297">
        <w:rPr>
          <w:rFonts w:ascii="Arial" w:hAnsi="Arial" w:cs="Arial"/>
        </w:rPr>
        <w:t>Dublin: AISHE.</w:t>
      </w:r>
      <w:r w:rsidRPr="005B3297">
        <w:rPr>
          <w:rFonts w:ascii="Arial" w:hAnsi="Arial" w:cs="Arial"/>
          <w:i/>
        </w:rPr>
        <w:t xml:space="preserve"> </w:t>
      </w:r>
    </w:p>
    <w:p w14:paraId="7A232639" w14:textId="77777777" w:rsidR="00851D15" w:rsidRPr="005B3297" w:rsidRDefault="00851D15" w:rsidP="003D72DF">
      <w:pPr>
        <w:spacing w:line="360" w:lineRule="auto"/>
        <w:rPr>
          <w:rFonts w:ascii="Arial" w:hAnsi="Arial" w:cs="Arial"/>
          <w:i/>
        </w:rPr>
      </w:pPr>
    </w:p>
    <w:p w14:paraId="163912FB" w14:textId="2699F077" w:rsidR="005B3297" w:rsidRPr="005B3297" w:rsidRDefault="00851D15" w:rsidP="005B3297">
      <w:pPr>
        <w:spacing w:line="360" w:lineRule="auto"/>
        <w:rPr>
          <w:rFonts w:ascii="Arial" w:hAnsi="Arial" w:cs="Arial"/>
        </w:rPr>
      </w:pPr>
      <w:r w:rsidRPr="005B3297">
        <w:rPr>
          <w:rFonts w:ascii="Arial" w:hAnsi="Arial" w:cs="Arial"/>
        </w:rPr>
        <w:t xml:space="preserve">Ramakrishna, T. &amp; Nembiakkim, R (2010) </w:t>
      </w:r>
      <w:r w:rsidRPr="005B3297">
        <w:rPr>
          <w:rFonts w:ascii="Arial" w:hAnsi="Arial" w:cs="Arial"/>
          <w:i/>
        </w:rPr>
        <w:t>Inclusive curriculum development: opportunities</w:t>
      </w:r>
      <w:r w:rsidR="005B3297" w:rsidRPr="005B3297">
        <w:rPr>
          <w:rFonts w:ascii="Arial" w:hAnsi="Arial" w:cs="Arial"/>
          <w:i/>
        </w:rPr>
        <w:t xml:space="preserve"> </w:t>
      </w:r>
      <w:r w:rsidR="005B3297" w:rsidRPr="005B3297">
        <w:rPr>
          <w:rFonts w:ascii="Arial" w:hAnsi="Arial" w:cs="Arial"/>
          <w:i/>
        </w:rPr>
        <w:t>and challenges in open &amp; distance education.</w:t>
      </w:r>
      <w:r w:rsidR="005B3297" w:rsidRPr="005B3297">
        <w:rPr>
          <w:rFonts w:ascii="Arial" w:hAnsi="Arial" w:cs="Arial"/>
        </w:rPr>
        <w:t xml:space="preserve"> New Delhi: Stride, Ignou.</w:t>
      </w:r>
    </w:p>
    <w:p w14:paraId="317E41AF" w14:textId="77777777" w:rsidR="00851D15" w:rsidRPr="00851D15" w:rsidRDefault="00851D15" w:rsidP="00316A89">
      <w:pPr>
        <w:spacing w:line="360" w:lineRule="auto"/>
        <w:rPr>
          <w:rFonts w:ascii="Arial" w:hAnsi="Arial" w:cs="Arial"/>
          <w:i/>
          <w:color w:val="FF0000"/>
        </w:rPr>
      </w:pPr>
    </w:p>
    <w:p w14:paraId="53AA9C7B" w14:textId="77777777" w:rsidR="00851D15" w:rsidRDefault="00851D15" w:rsidP="008D7289">
      <w:pPr>
        <w:spacing w:line="360" w:lineRule="auto"/>
        <w:rPr>
          <w:rFonts w:ascii="Arial" w:eastAsia="Times New Roman" w:hAnsi="Arial" w:cs="Arial"/>
          <w:color w:val="202020"/>
          <w:shd w:val="clear" w:color="auto" w:fill="F5F5F5"/>
          <w:lang w:val="en-US"/>
        </w:rPr>
      </w:pPr>
      <w:r w:rsidRPr="008D7289">
        <w:rPr>
          <w:rFonts w:ascii="Arial" w:hAnsi="Arial" w:cs="Arial"/>
        </w:rPr>
        <w:t>Taylor, G., Mellor, L., &amp; Walton, L. (2009</w:t>
      </w:r>
      <w:r w:rsidRPr="008D7289">
        <w:rPr>
          <w:rFonts w:ascii="Arial" w:hAnsi="Arial" w:cs="Arial"/>
          <w:i/>
        </w:rPr>
        <w:t>) The Politics of Widening Participation: A review of the literature.</w:t>
      </w:r>
      <w:r>
        <w:rPr>
          <w:rFonts w:ascii="Arial" w:hAnsi="Arial" w:cs="Arial"/>
          <w:i/>
        </w:rPr>
        <w:t xml:space="preserve"> Online at</w:t>
      </w:r>
      <w:r w:rsidRPr="008D7289">
        <w:rPr>
          <w:rFonts w:ascii="Arial" w:hAnsi="Arial" w:cs="Arial"/>
        </w:rPr>
        <w:t>:</w:t>
      </w:r>
      <w:r>
        <w:rPr>
          <w:rFonts w:ascii="Arial" w:hAnsi="Arial" w:cs="Arial"/>
        </w:rPr>
        <w:t xml:space="preserve"> </w:t>
      </w:r>
      <w:hyperlink r:id="rId12" w:history="1">
        <w:r w:rsidRPr="008D7289">
          <w:rPr>
            <w:rFonts w:ascii="Arial" w:eastAsia="Times New Roman" w:hAnsi="Arial" w:cs="Arial"/>
            <w:color w:val="660099"/>
            <w:u w:val="single"/>
            <w:bdr w:val="none" w:sz="0" w:space="0" w:color="auto" w:frame="1"/>
            <w:shd w:val="clear" w:color="auto" w:fill="F5F5F5"/>
            <w:lang w:val="en-US"/>
          </w:rPr>
          <w:t>https://extra.shu.ac.uk/alac/text/Article%20The%20Politics%20of%20Widening%20Participation.doc</w:t>
        </w:r>
      </w:hyperlink>
      <w:r>
        <w:rPr>
          <w:rFonts w:ascii="Arial" w:eastAsia="Times New Roman" w:hAnsi="Arial" w:cs="Arial"/>
          <w:color w:val="202020"/>
          <w:shd w:val="clear" w:color="auto" w:fill="F5F5F5"/>
          <w:lang w:val="en-US"/>
        </w:rPr>
        <w:t>. (Accessed: 27</w:t>
      </w:r>
      <w:r w:rsidRPr="008D7289">
        <w:rPr>
          <w:rFonts w:ascii="Arial" w:eastAsia="Times New Roman" w:hAnsi="Arial" w:cs="Arial"/>
          <w:color w:val="202020"/>
          <w:shd w:val="clear" w:color="auto" w:fill="F5F5F5"/>
          <w:vertAlign w:val="superscript"/>
          <w:lang w:val="en-US"/>
        </w:rPr>
        <w:t>th</w:t>
      </w:r>
      <w:r>
        <w:rPr>
          <w:rFonts w:ascii="Arial" w:eastAsia="Times New Roman" w:hAnsi="Arial" w:cs="Arial"/>
          <w:color w:val="202020"/>
          <w:shd w:val="clear" w:color="auto" w:fill="F5F5F5"/>
          <w:lang w:val="en-US"/>
        </w:rPr>
        <w:t xml:space="preserve"> November 2018). </w:t>
      </w:r>
    </w:p>
    <w:p w14:paraId="0C62076C" w14:textId="77777777" w:rsidR="00BB3F45" w:rsidRDefault="00BB3F45" w:rsidP="007A4FA9">
      <w:pPr>
        <w:spacing w:line="360" w:lineRule="auto"/>
        <w:rPr>
          <w:rFonts w:ascii="Arial" w:hAnsi="Arial" w:cs="Arial"/>
        </w:rPr>
      </w:pPr>
    </w:p>
    <w:p w14:paraId="27034B30" w14:textId="77777777" w:rsidR="00851D15" w:rsidRDefault="00851D15" w:rsidP="007A4FA9">
      <w:pPr>
        <w:spacing w:line="360" w:lineRule="auto"/>
        <w:rPr>
          <w:rFonts w:ascii="Arial" w:eastAsia="Times New Roman" w:hAnsi="Arial" w:cs="Arial"/>
          <w:lang w:val="en-US"/>
        </w:rPr>
      </w:pPr>
      <w:r>
        <w:rPr>
          <w:rFonts w:ascii="Arial" w:eastAsia="Times New Roman" w:hAnsi="Arial" w:cs="Arial"/>
          <w:lang w:val="en-US"/>
        </w:rPr>
        <w:t>Tulbure, C. (2012) ‘</w:t>
      </w:r>
      <w:r w:rsidRPr="00087D83">
        <w:rPr>
          <w:rFonts w:ascii="Arial" w:eastAsia="Times New Roman" w:hAnsi="Arial" w:cs="Arial"/>
          <w:lang w:val="en-US"/>
        </w:rPr>
        <w:t xml:space="preserve">Learning styles, teaching strategies and academic achievement in higher education: </w:t>
      </w:r>
      <w:r>
        <w:rPr>
          <w:rFonts w:ascii="Arial" w:eastAsia="Times New Roman" w:hAnsi="Arial" w:cs="Arial"/>
          <w:lang w:val="en-US"/>
        </w:rPr>
        <w:t>A cross-sectional investigation’,</w:t>
      </w:r>
      <w:r w:rsidRPr="00087D83">
        <w:rPr>
          <w:rFonts w:ascii="Arial" w:eastAsia="Times New Roman" w:hAnsi="Arial" w:cs="Arial"/>
          <w:lang w:val="en-US"/>
        </w:rPr>
        <w:t xml:space="preserve"> </w:t>
      </w:r>
      <w:r w:rsidRPr="00087D83">
        <w:rPr>
          <w:rFonts w:ascii="Arial" w:eastAsia="Times New Roman" w:hAnsi="Arial" w:cs="Arial"/>
          <w:i/>
          <w:lang w:val="en-US"/>
        </w:rPr>
        <w:t>Procedia - Social and Behavioral Sciences</w:t>
      </w:r>
      <w:r w:rsidRPr="00087D83">
        <w:rPr>
          <w:rFonts w:ascii="Arial" w:eastAsia="Times New Roman" w:hAnsi="Arial" w:cs="Arial"/>
          <w:lang w:val="en-US"/>
        </w:rPr>
        <w:t>, 33, pp.398-402.</w:t>
      </w:r>
    </w:p>
    <w:p w14:paraId="27C36E63" w14:textId="77777777" w:rsidR="00BB3F45" w:rsidRDefault="00BB3F45" w:rsidP="00C76B8E">
      <w:pPr>
        <w:spacing w:line="360" w:lineRule="auto"/>
        <w:rPr>
          <w:rFonts w:ascii="Arial" w:hAnsi="Arial" w:cs="Arial"/>
        </w:rPr>
      </w:pPr>
    </w:p>
    <w:p w14:paraId="446827BC" w14:textId="77777777" w:rsidR="00851D15" w:rsidRDefault="00851D15" w:rsidP="00C76B8E">
      <w:pPr>
        <w:spacing w:line="360" w:lineRule="auto"/>
        <w:rPr>
          <w:rFonts w:ascii="Arial" w:hAnsi="Arial" w:cs="Arial"/>
        </w:rPr>
      </w:pPr>
      <w:r w:rsidRPr="004240B7">
        <w:rPr>
          <w:rFonts w:ascii="Arial" w:hAnsi="Arial" w:cs="Arial"/>
        </w:rPr>
        <w:t>Turner, W., S</w:t>
      </w:r>
      <w:r>
        <w:rPr>
          <w:rFonts w:ascii="Arial" w:hAnsi="Arial" w:cs="Arial"/>
        </w:rPr>
        <w:t>olis, O. and Kincade, D. (2017)</w:t>
      </w:r>
      <w:r w:rsidRPr="004240B7">
        <w:rPr>
          <w:rFonts w:ascii="Arial" w:hAnsi="Arial" w:cs="Arial"/>
        </w:rPr>
        <w:t xml:space="preserve"> </w:t>
      </w:r>
      <w:r>
        <w:rPr>
          <w:rFonts w:ascii="Arial" w:hAnsi="Arial" w:cs="Arial"/>
        </w:rPr>
        <w:t>‘</w:t>
      </w:r>
      <w:r w:rsidRPr="004240B7">
        <w:rPr>
          <w:rFonts w:ascii="Arial" w:hAnsi="Arial" w:cs="Arial"/>
        </w:rPr>
        <w:t>Differentiating Instruction for Lar</w:t>
      </w:r>
      <w:r>
        <w:rPr>
          <w:rFonts w:ascii="Arial" w:hAnsi="Arial" w:cs="Arial"/>
        </w:rPr>
        <w:t xml:space="preserve">ge Classes in Higher Education’, </w:t>
      </w:r>
      <w:r w:rsidRPr="004240B7">
        <w:rPr>
          <w:rFonts w:ascii="Arial" w:hAnsi="Arial" w:cs="Arial"/>
          <w:i/>
        </w:rPr>
        <w:t>International Journal of Teaching and Learning in Higher Education</w:t>
      </w:r>
      <w:r>
        <w:rPr>
          <w:rFonts w:ascii="Arial" w:hAnsi="Arial" w:cs="Arial"/>
        </w:rPr>
        <w:t xml:space="preserve">, 29(3), </w:t>
      </w:r>
      <w:r w:rsidRPr="004240B7">
        <w:rPr>
          <w:rFonts w:ascii="Arial" w:hAnsi="Arial" w:cs="Arial"/>
        </w:rPr>
        <w:t>pp.490-500.</w:t>
      </w:r>
    </w:p>
    <w:p w14:paraId="0F6E8FA1" w14:textId="77777777" w:rsidR="00BB3F45" w:rsidRDefault="00BB3F45" w:rsidP="00F44C67">
      <w:pPr>
        <w:spacing w:line="360" w:lineRule="auto"/>
        <w:rPr>
          <w:rFonts w:ascii="Arial" w:hAnsi="Arial" w:cs="Arial"/>
        </w:rPr>
      </w:pPr>
    </w:p>
    <w:p w14:paraId="6AC93315" w14:textId="77777777" w:rsidR="00851D15" w:rsidRDefault="00851D15" w:rsidP="00F44C67">
      <w:pPr>
        <w:spacing w:line="360" w:lineRule="auto"/>
        <w:rPr>
          <w:rFonts w:ascii="Arial" w:hAnsi="Arial" w:cs="Arial"/>
        </w:rPr>
      </w:pPr>
      <w:bookmarkStart w:id="0" w:name="_GoBack"/>
      <w:bookmarkEnd w:id="0"/>
      <w:r>
        <w:rPr>
          <w:rFonts w:ascii="Arial" w:hAnsi="Arial" w:cs="Arial"/>
        </w:rPr>
        <w:t xml:space="preserve">Vygotsky, L.S. (1978) </w:t>
      </w:r>
      <w:r w:rsidRPr="00F44C67">
        <w:rPr>
          <w:rFonts w:ascii="Arial" w:hAnsi="Arial" w:cs="Arial"/>
          <w:i/>
        </w:rPr>
        <w:t>Mind in society: The development of higher psychological processes.</w:t>
      </w:r>
      <w:r w:rsidRPr="00F44C67">
        <w:rPr>
          <w:rFonts w:ascii="Arial" w:hAnsi="Arial" w:cs="Arial"/>
        </w:rPr>
        <w:t xml:space="preserve"> Cambridge,MA: Harvard University Press.</w:t>
      </w:r>
    </w:p>
    <w:p w14:paraId="31425A51" w14:textId="77777777" w:rsidR="00851D15" w:rsidRPr="005B3297" w:rsidRDefault="00851D15" w:rsidP="00081079">
      <w:pPr>
        <w:spacing w:line="360" w:lineRule="auto"/>
        <w:rPr>
          <w:rFonts w:ascii="Arial" w:hAnsi="Arial" w:cs="Arial"/>
        </w:rPr>
      </w:pPr>
    </w:p>
    <w:p w14:paraId="43B99A06" w14:textId="6534CF61" w:rsidR="00851D15" w:rsidRPr="005B3297" w:rsidRDefault="00851D15" w:rsidP="00081079">
      <w:pPr>
        <w:spacing w:line="360" w:lineRule="auto"/>
        <w:rPr>
          <w:rFonts w:ascii="Arial" w:hAnsi="Arial" w:cs="Arial"/>
          <w:i/>
        </w:rPr>
      </w:pPr>
      <w:r w:rsidRPr="005B3297">
        <w:rPr>
          <w:rFonts w:ascii="Arial" w:hAnsi="Arial" w:cs="Arial"/>
        </w:rPr>
        <w:t xml:space="preserve">Williams, M., Pollard, E., Langey, J., Houghton, A. and Zozimo, J. (2017) </w:t>
      </w:r>
      <w:r w:rsidRPr="005B3297">
        <w:rPr>
          <w:rFonts w:ascii="Arial" w:hAnsi="Arial" w:cs="Arial"/>
          <w:i/>
        </w:rPr>
        <w:t>Models of support</w:t>
      </w:r>
      <w:r w:rsidR="005B3297" w:rsidRPr="005B3297">
        <w:rPr>
          <w:rFonts w:ascii="Arial" w:hAnsi="Arial" w:cs="Arial"/>
          <w:i/>
        </w:rPr>
        <w:t xml:space="preserve"> </w:t>
      </w:r>
      <w:r w:rsidR="005B3297" w:rsidRPr="005B3297">
        <w:rPr>
          <w:rFonts w:ascii="Arial" w:hAnsi="Arial" w:cs="Arial"/>
          <w:i/>
        </w:rPr>
        <w:t xml:space="preserve">for students with disabilities. </w:t>
      </w:r>
      <w:r w:rsidR="005B3297" w:rsidRPr="005B3297">
        <w:rPr>
          <w:rFonts w:ascii="Arial" w:hAnsi="Arial" w:cs="Arial"/>
        </w:rPr>
        <w:t>Brighton: Institute for Employment Studies.</w:t>
      </w:r>
    </w:p>
    <w:p w14:paraId="598FA021" w14:textId="77777777" w:rsidR="00851D15" w:rsidRDefault="00851D15" w:rsidP="00780434">
      <w:pPr>
        <w:spacing w:line="360" w:lineRule="auto"/>
        <w:rPr>
          <w:rFonts w:ascii="Arial" w:hAnsi="Arial" w:cs="Arial"/>
        </w:rPr>
      </w:pPr>
    </w:p>
    <w:p w14:paraId="4256B983" w14:textId="77777777" w:rsidR="00851D15" w:rsidRDefault="00851D15" w:rsidP="00780434">
      <w:pPr>
        <w:spacing w:line="360" w:lineRule="auto"/>
        <w:rPr>
          <w:rFonts w:ascii="Arial" w:hAnsi="Arial" w:cs="Arial"/>
        </w:rPr>
      </w:pPr>
      <w:r>
        <w:rPr>
          <w:rFonts w:ascii="Arial" w:hAnsi="Arial" w:cs="Arial"/>
        </w:rPr>
        <w:t xml:space="preserve">Willis, J. (2007) </w:t>
      </w:r>
      <w:r w:rsidRPr="000A21E8">
        <w:rPr>
          <w:rFonts w:ascii="Arial" w:hAnsi="Arial" w:cs="Arial"/>
          <w:i/>
        </w:rPr>
        <w:t>Brain-Friendly Strategies for the Inclusion Classroom</w:t>
      </w:r>
      <w:r>
        <w:rPr>
          <w:rFonts w:ascii="Arial" w:hAnsi="Arial" w:cs="Arial"/>
          <w:i/>
        </w:rPr>
        <w:t xml:space="preserve">. </w:t>
      </w:r>
      <w:r>
        <w:rPr>
          <w:rFonts w:ascii="Arial" w:hAnsi="Arial" w:cs="Arial"/>
        </w:rPr>
        <w:t xml:space="preserve">Alexandria: </w:t>
      </w:r>
      <w:r w:rsidRPr="00D47AD3">
        <w:rPr>
          <w:rFonts w:ascii="Arial" w:hAnsi="Arial" w:cs="Arial"/>
        </w:rPr>
        <w:t>Association for Supervision and Curriculum Development</w:t>
      </w:r>
      <w:r>
        <w:rPr>
          <w:rFonts w:ascii="Arial" w:hAnsi="Arial" w:cs="Arial"/>
        </w:rPr>
        <w:t xml:space="preserve">. </w:t>
      </w:r>
    </w:p>
    <w:p w14:paraId="75FEEF7F" w14:textId="77777777" w:rsidR="00851D15" w:rsidRDefault="00851D15" w:rsidP="00C76B8E">
      <w:pPr>
        <w:spacing w:line="360" w:lineRule="auto"/>
        <w:rPr>
          <w:rFonts w:ascii="Arial" w:hAnsi="Arial" w:cs="Arial"/>
        </w:rPr>
      </w:pPr>
    </w:p>
    <w:p w14:paraId="1417AE8F" w14:textId="77777777" w:rsidR="00851D15" w:rsidRDefault="00851D15" w:rsidP="00C76B8E">
      <w:pPr>
        <w:spacing w:line="360" w:lineRule="auto"/>
        <w:rPr>
          <w:rFonts w:ascii="Arial" w:hAnsi="Arial" w:cs="Arial"/>
        </w:rPr>
      </w:pPr>
      <w:r w:rsidRPr="00EE6E5F">
        <w:rPr>
          <w:rFonts w:ascii="Arial" w:hAnsi="Arial" w:cs="Arial"/>
        </w:rPr>
        <w:t>Younger, K., Gascoine, L., Menzie</w:t>
      </w:r>
      <w:r>
        <w:rPr>
          <w:rFonts w:ascii="Arial" w:hAnsi="Arial" w:cs="Arial"/>
        </w:rPr>
        <w:t>s, V. and Torgerson, C. (2018) ‘</w:t>
      </w:r>
      <w:r w:rsidRPr="00EE6E5F">
        <w:rPr>
          <w:rFonts w:ascii="Arial" w:hAnsi="Arial" w:cs="Arial"/>
        </w:rPr>
        <w:t>A systematic review of evidence on the effectiveness of interventions and strategies for widening par</w:t>
      </w:r>
      <w:r>
        <w:rPr>
          <w:rFonts w:ascii="Arial" w:hAnsi="Arial" w:cs="Arial"/>
        </w:rPr>
        <w:t xml:space="preserve">ticipation in higher education’, </w:t>
      </w:r>
      <w:r w:rsidRPr="00EE6E5F">
        <w:rPr>
          <w:rFonts w:ascii="Arial" w:hAnsi="Arial" w:cs="Arial"/>
          <w:i/>
        </w:rPr>
        <w:t>Journal of Further and Higher Education</w:t>
      </w:r>
      <w:r w:rsidRPr="00EE6E5F">
        <w:rPr>
          <w:rFonts w:ascii="Arial" w:hAnsi="Arial" w:cs="Arial"/>
        </w:rPr>
        <w:t>, pp.1-32.</w:t>
      </w:r>
    </w:p>
    <w:sectPr w:rsidR="00851D15" w:rsidSect="00FD4DB3">
      <w:headerReference w:type="default" r:id="rId13"/>
      <w:footerReference w:type="default" r:id="rId14"/>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762E37" w14:textId="77777777" w:rsidR="00541060" w:rsidRDefault="00541060" w:rsidP="00BB436F">
      <w:r>
        <w:separator/>
      </w:r>
    </w:p>
  </w:endnote>
  <w:endnote w:type="continuationSeparator" w:id="0">
    <w:p w14:paraId="59CF67B0" w14:textId="77777777" w:rsidR="00541060" w:rsidRDefault="00541060" w:rsidP="00BB4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top w:w="144" w:type="dxa"/>
        <w:left w:w="115" w:type="dxa"/>
        <w:bottom w:w="144" w:type="dxa"/>
        <w:right w:w="115" w:type="dxa"/>
      </w:tblCellMar>
      <w:tblLook w:val="04A0" w:firstRow="1" w:lastRow="0" w:firstColumn="1" w:lastColumn="0" w:noHBand="0" w:noVBand="1"/>
    </w:tblPr>
    <w:tblGrid>
      <w:gridCol w:w="5237"/>
      <w:gridCol w:w="5223"/>
    </w:tblGrid>
    <w:tr w:rsidR="002421A5" w14:paraId="0921441A" w14:textId="77777777">
      <w:trPr>
        <w:trHeight w:hRule="exact" w:val="115"/>
        <w:jc w:val="center"/>
      </w:trPr>
      <w:tc>
        <w:tcPr>
          <w:tcW w:w="4686" w:type="dxa"/>
          <w:shd w:val="clear" w:color="auto" w:fill="4472C4" w:themeFill="accent1"/>
          <w:tcMar>
            <w:top w:w="0" w:type="dxa"/>
            <w:bottom w:w="0" w:type="dxa"/>
          </w:tcMar>
        </w:tcPr>
        <w:p w14:paraId="26E69722" w14:textId="77777777" w:rsidR="002421A5" w:rsidRDefault="002421A5">
          <w:pPr>
            <w:pStyle w:val="Header"/>
            <w:rPr>
              <w:caps/>
              <w:sz w:val="18"/>
            </w:rPr>
          </w:pPr>
        </w:p>
      </w:tc>
      <w:tc>
        <w:tcPr>
          <w:tcW w:w="4674" w:type="dxa"/>
          <w:shd w:val="clear" w:color="auto" w:fill="4472C4" w:themeFill="accent1"/>
          <w:tcMar>
            <w:top w:w="0" w:type="dxa"/>
            <w:bottom w:w="0" w:type="dxa"/>
          </w:tcMar>
        </w:tcPr>
        <w:p w14:paraId="7740B9B5" w14:textId="77777777" w:rsidR="002421A5" w:rsidRDefault="002421A5">
          <w:pPr>
            <w:pStyle w:val="Header"/>
            <w:jc w:val="right"/>
            <w:rPr>
              <w:caps/>
              <w:sz w:val="18"/>
            </w:rPr>
          </w:pPr>
        </w:p>
      </w:tc>
    </w:tr>
    <w:tr w:rsidR="002421A5" w14:paraId="069CA28C" w14:textId="77777777">
      <w:trPr>
        <w:jc w:val="center"/>
      </w:trPr>
      <w:sdt>
        <w:sdtPr>
          <w:rPr>
            <w:caps/>
            <w:color w:val="808080" w:themeColor="background1" w:themeShade="80"/>
            <w:sz w:val="18"/>
            <w:szCs w:val="18"/>
          </w:rPr>
          <w:alias w:val="Author"/>
          <w:tag w:val=""/>
          <w:id w:val="1534151868"/>
          <w:placeholder>
            <w:docPart w:val="16AB56BFB1564D40A9C7379FCF261FE5"/>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5C3E49EC" w14:textId="10DC00C6" w:rsidR="002421A5" w:rsidRDefault="002421A5">
              <w:pPr>
                <w:pStyle w:val="Footer"/>
                <w:rPr>
                  <w:caps/>
                  <w:color w:val="808080" w:themeColor="background1" w:themeShade="80"/>
                  <w:sz w:val="18"/>
                  <w:szCs w:val="18"/>
                </w:rPr>
              </w:pPr>
              <w:r>
                <w:rPr>
                  <w:caps/>
                  <w:color w:val="808080" w:themeColor="background1" w:themeShade="80"/>
                  <w:sz w:val="18"/>
                  <w:szCs w:val="18"/>
                  <w:lang w:val="en-US"/>
                </w:rPr>
                <w:t>Jessica Williams</w:t>
              </w:r>
            </w:p>
          </w:tc>
        </w:sdtContent>
      </w:sdt>
      <w:tc>
        <w:tcPr>
          <w:tcW w:w="4674" w:type="dxa"/>
          <w:shd w:val="clear" w:color="auto" w:fill="auto"/>
          <w:vAlign w:val="center"/>
        </w:tcPr>
        <w:p w14:paraId="5CA6D094" w14:textId="77777777" w:rsidR="002421A5" w:rsidRDefault="002421A5">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541060">
            <w:rPr>
              <w:caps/>
              <w:noProof/>
              <w:color w:val="808080" w:themeColor="background1" w:themeShade="80"/>
              <w:sz w:val="18"/>
              <w:szCs w:val="18"/>
            </w:rPr>
            <w:t>1</w:t>
          </w:r>
          <w:r>
            <w:rPr>
              <w:caps/>
              <w:noProof/>
              <w:color w:val="808080" w:themeColor="background1" w:themeShade="80"/>
              <w:sz w:val="18"/>
              <w:szCs w:val="18"/>
            </w:rPr>
            <w:fldChar w:fldCharType="end"/>
          </w:r>
        </w:p>
      </w:tc>
    </w:tr>
  </w:tbl>
  <w:p w14:paraId="5B496190" w14:textId="77777777" w:rsidR="002421A5" w:rsidRDefault="002421A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0E6810" w14:textId="77777777" w:rsidR="00541060" w:rsidRDefault="00541060" w:rsidP="00BB436F">
      <w:r>
        <w:separator/>
      </w:r>
    </w:p>
  </w:footnote>
  <w:footnote w:type="continuationSeparator" w:id="0">
    <w:p w14:paraId="4BCD2D8A" w14:textId="77777777" w:rsidR="00541060" w:rsidRDefault="00541060" w:rsidP="00BB436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07206" w14:textId="5325F0B2" w:rsidR="00BB436F" w:rsidRDefault="00BB436F">
    <w:pPr>
      <w:pStyle w:val="Header"/>
    </w:pPr>
    <w:r>
      <w:t>P149177</w:t>
    </w:r>
  </w:p>
  <w:p w14:paraId="75DA757D" w14:textId="77777777" w:rsidR="00BB436F" w:rsidRDefault="00BB43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A9D"/>
    <w:rsid w:val="00004174"/>
    <w:rsid w:val="00024F1F"/>
    <w:rsid w:val="00025678"/>
    <w:rsid w:val="000438FD"/>
    <w:rsid w:val="000512D2"/>
    <w:rsid w:val="000734F5"/>
    <w:rsid w:val="00074AC4"/>
    <w:rsid w:val="00080B99"/>
    <w:rsid w:val="00081079"/>
    <w:rsid w:val="000819CA"/>
    <w:rsid w:val="00083E5D"/>
    <w:rsid w:val="000862F6"/>
    <w:rsid w:val="00087D83"/>
    <w:rsid w:val="0009196A"/>
    <w:rsid w:val="000A21E8"/>
    <w:rsid w:val="000A31EE"/>
    <w:rsid w:val="000B7B7B"/>
    <w:rsid w:val="000C1958"/>
    <w:rsid w:val="000E1AE3"/>
    <w:rsid w:val="000F2CE1"/>
    <w:rsid w:val="000F4116"/>
    <w:rsid w:val="000F5D82"/>
    <w:rsid w:val="000F6466"/>
    <w:rsid w:val="001002E4"/>
    <w:rsid w:val="00102D8B"/>
    <w:rsid w:val="001061E0"/>
    <w:rsid w:val="001078D5"/>
    <w:rsid w:val="001277DC"/>
    <w:rsid w:val="00136552"/>
    <w:rsid w:val="00136875"/>
    <w:rsid w:val="001675AB"/>
    <w:rsid w:val="00172A74"/>
    <w:rsid w:val="00176E9C"/>
    <w:rsid w:val="001D484B"/>
    <w:rsid w:val="002023DE"/>
    <w:rsid w:val="00205507"/>
    <w:rsid w:val="00205E60"/>
    <w:rsid w:val="00223C84"/>
    <w:rsid w:val="00233337"/>
    <w:rsid w:val="00242013"/>
    <w:rsid w:val="002421A5"/>
    <w:rsid w:val="0025145D"/>
    <w:rsid w:val="0025464B"/>
    <w:rsid w:val="00293EC7"/>
    <w:rsid w:val="002A397B"/>
    <w:rsid w:val="002B5530"/>
    <w:rsid w:val="002C509D"/>
    <w:rsid w:val="002D1698"/>
    <w:rsid w:val="00300145"/>
    <w:rsid w:val="0030320E"/>
    <w:rsid w:val="00316A89"/>
    <w:rsid w:val="00333E6D"/>
    <w:rsid w:val="003569BD"/>
    <w:rsid w:val="00362787"/>
    <w:rsid w:val="00380BD6"/>
    <w:rsid w:val="003837D6"/>
    <w:rsid w:val="003919D9"/>
    <w:rsid w:val="00395F15"/>
    <w:rsid w:val="003B6F07"/>
    <w:rsid w:val="003C1EBC"/>
    <w:rsid w:val="003C2AD5"/>
    <w:rsid w:val="003D72DF"/>
    <w:rsid w:val="003F7538"/>
    <w:rsid w:val="00420DA7"/>
    <w:rsid w:val="00421759"/>
    <w:rsid w:val="004240B7"/>
    <w:rsid w:val="00425986"/>
    <w:rsid w:val="00442FAD"/>
    <w:rsid w:val="00453DA6"/>
    <w:rsid w:val="004725BF"/>
    <w:rsid w:val="00472AB6"/>
    <w:rsid w:val="00491942"/>
    <w:rsid w:val="00494A82"/>
    <w:rsid w:val="00497E4D"/>
    <w:rsid w:val="004A69EA"/>
    <w:rsid w:val="004D4287"/>
    <w:rsid w:val="004D4696"/>
    <w:rsid w:val="004D5B05"/>
    <w:rsid w:val="004E01A4"/>
    <w:rsid w:val="004F2885"/>
    <w:rsid w:val="0051258F"/>
    <w:rsid w:val="00517BC2"/>
    <w:rsid w:val="005221E1"/>
    <w:rsid w:val="00522479"/>
    <w:rsid w:val="0052442C"/>
    <w:rsid w:val="00531DED"/>
    <w:rsid w:val="00541060"/>
    <w:rsid w:val="00560370"/>
    <w:rsid w:val="0057066F"/>
    <w:rsid w:val="0057365C"/>
    <w:rsid w:val="00573BBB"/>
    <w:rsid w:val="005808B6"/>
    <w:rsid w:val="005A350B"/>
    <w:rsid w:val="005A3BEB"/>
    <w:rsid w:val="005A6CA9"/>
    <w:rsid w:val="005B3297"/>
    <w:rsid w:val="005B73F3"/>
    <w:rsid w:val="005C1E19"/>
    <w:rsid w:val="005D4B8B"/>
    <w:rsid w:val="005D7331"/>
    <w:rsid w:val="005F42F4"/>
    <w:rsid w:val="0062291E"/>
    <w:rsid w:val="00634F70"/>
    <w:rsid w:val="00636D2E"/>
    <w:rsid w:val="006473C1"/>
    <w:rsid w:val="0064745C"/>
    <w:rsid w:val="006671F4"/>
    <w:rsid w:val="00667D50"/>
    <w:rsid w:val="00685319"/>
    <w:rsid w:val="00685C3E"/>
    <w:rsid w:val="006A0A4D"/>
    <w:rsid w:val="006A17F4"/>
    <w:rsid w:val="006A344B"/>
    <w:rsid w:val="006B2621"/>
    <w:rsid w:val="006B732C"/>
    <w:rsid w:val="00700B51"/>
    <w:rsid w:val="00720530"/>
    <w:rsid w:val="007206C5"/>
    <w:rsid w:val="00722D45"/>
    <w:rsid w:val="00730F1F"/>
    <w:rsid w:val="00732C82"/>
    <w:rsid w:val="00742CE8"/>
    <w:rsid w:val="00744395"/>
    <w:rsid w:val="00744866"/>
    <w:rsid w:val="00744DCE"/>
    <w:rsid w:val="00760146"/>
    <w:rsid w:val="00780434"/>
    <w:rsid w:val="00781660"/>
    <w:rsid w:val="00785AA0"/>
    <w:rsid w:val="007906A7"/>
    <w:rsid w:val="007959B5"/>
    <w:rsid w:val="00795FA0"/>
    <w:rsid w:val="007A4FA9"/>
    <w:rsid w:val="007C40BA"/>
    <w:rsid w:val="007D5A3A"/>
    <w:rsid w:val="007E43DD"/>
    <w:rsid w:val="007E5D58"/>
    <w:rsid w:val="007F156A"/>
    <w:rsid w:val="00803755"/>
    <w:rsid w:val="00805890"/>
    <w:rsid w:val="00845E75"/>
    <w:rsid w:val="00850DF4"/>
    <w:rsid w:val="00851D15"/>
    <w:rsid w:val="00855D9A"/>
    <w:rsid w:val="00861F9E"/>
    <w:rsid w:val="0086758B"/>
    <w:rsid w:val="008A21AE"/>
    <w:rsid w:val="008B4B74"/>
    <w:rsid w:val="008B764C"/>
    <w:rsid w:val="008D7289"/>
    <w:rsid w:val="008E0D97"/>
    <w:rsid w:val="008F1427"/>
    <w:rsid w:val="008F5422"/>
    <w:rsid w:val="00907C5F"/>
    <w:rsid w:val="00916DFE"/>
    <w:rsid w:val="0092600D"/>
    <w:rsid w:val="00933609"/>
    <w:rsid w:val="00943B59"/>
    <w:rsid w:val="00960A9D"/>
    <w:rsid w:val="009667C5"/>
    <w:rsid w:val="00967993"/>
    <w:rsid w:val="00967B56"/>
    <w:rsid w:val="00970F60"/>
    <w:rsid w:val="00973A90"/>
    <w:rsid w:val="00977134"/>
    <w:rsid w:val="00982B30"/>
    <w:rsid w:val="009916CC"/>
    <w:rsid w:val="00994DEE"/>
    <w:rsid w:val="009A65D4"/>
    <w:rsid w:val="009C38AF"/>
    <w:rsid w:val="009C51C6"/>
    <w:rsid w:val="009F4D35"/>
    <w:rsid w:val="00A21058"/>
    <w:rsid w:val="00A27FF6"/>
    <w:rsid w:val="00A54280"/>
    <w:rsid w:val="00A607FC"/>
    <w:rsid w:val="00A65D87"/>
    <w:rsid w:val="00A72C9D"/>
    <w:rsid w:val="00A87DC3"/>
    <w:rsid w:val="00A90218"/>
    <w:rsid w:val="00A93ECC"/>
    <w:rsid w:val="00A945F5"/>
    <w:rsid w:val="00AB174F"/>
    <w:rsid w:val="00AD40BA"/>
    <w:rsid w:val="00AD7535"/>
    <w:rsid w:val="00AF272E"/>
    <w:rsid w:val="00B01AF7"/>
    <w:rsid w:val="00B0408F"/>
    <w:rsid w:val="00B40E67"/>
    <w:rsid w:val="00B546D3"/>
    <w:rsid w:val="00B830AB"/>
    <w:rsid w:val="00B8720D"/>
    <w:rsid w:val="00B94EDD"/>
    <w:rsid w:val="00B9612E"/>
    <w:rsid w:val="00BA0345"/>
    <w:rsid w:val="00BA7FD8"/>
    <w:rsid w:val="00BB3C6B"/>
    <w:rsid w:val="00BB3F45"/>
    <w:rsid w:val="00BB436F"/>
    <w:rsid w:val="00BF62DF"/>
    <w:rsid w:val="00C0663B"/>
    <w:rsid w:val="00C2373E"/>
    <w:rsid w:val="00C23DA5"/>
    <w:rsid w:val="00C27B0C"/>
    <w:rsid w:val="00C41150"/>
    <w:rsid w:val="00C41364"/>
    <w:rsid w:val="00C42364"/>
    <w:rsid w:val="00C57B28"/>
    <w:rsid w:val="00C70A3F"/>
    <w:rsid w:val="00C76B8E"/>
    <w:rsid w:val="00C7726C"/>
    <w:rsid w:val="00C82173"/>
    <w:rsid w:val="00C91679"/>
    <w:rsid w:val="00C93142"/>
    <w:rsid w:val="00CB2ADA"/>
    <w:rsid w:val="00CC40D8"/>
    <w:rsid w:val="00CC4AA0"/>
    <w:rsid w:val="00CC543A"/>
    <w:rsid w:val="00CC73C2"/>
    <w:rsid w:val="00CD6994"/>
    <w:rsid w:val="00CE036E"/>
    <w:rsid w:val="00CE6FE0"/>
    <w:rsid w:val="00CF044A"/>
    <w:rsid w:val="00CF0538"/>
    <w:rsid w:val="00CF4297"/>
    <w:rsid w:val="00CF4587"/>
    <w:rsid w:val="00D00D4A"/>
    <w:rsid w:val="00D16C56"/>
    <w:rsid w:val="00D47AD3"/>
    <w:rsid w:val="00D82CE6"/>
    <w:rsid w:val="00D9511D"/>
    <w:rsid w:val="00DA30A9"/>
    <w:rsid w:val="00DB04A1"/>
    <w:rsid w:val="00DB1D26"/>
    <w:rsid w:val="00DB2AFB"/>
    <w:rsid w:val="00DB71F9"/>
    <w:rsid w:val="00DC43B6"/>
    <w:rsid w:val="00DE2C41"/>
    <w:rsid w:val="00DE5021"/>
    <w:rsid w:val="00DF13F5"/>
    <w:rsid w:val="00DF32D7"/>
    <w:rsid w:val="00DF608E"/>
    <w:rsid w:val="00E01E79"/>
    <w:rsid w:val="00E1371B"/>
    <w:rsid w:val="00E2478E"/>
    <w:rsid w:val="00E25723"/>
    <w:rsid w:val="00E44F64"/>
    <w:rsid w:val="00E607DD"/>
    <w:rsid w:val="00E6181B"/>
    <w:rsid w:val="00E70442"/>
    <w:rsid w:val="00E901BC"/>
    <w:rsid w:val="00E90404"/>
    <w:rsid w:val="00EA36EE"/>
    <w:rsid w:val="00EB6D0D"/>
    <w:rsid w:val="00EC2510"/>
    <w:rsid w:val="00EE6E5F"/>
    <w:rsid w:val="00F054B3"/>
    <w:rsid w:val="00F07C8E"/>
    <w:rsid w:val="00F10906"/>
    <w:rsid w:val="00F277C7"/>
    <w:rsid w:val="00F30EA4"/>
    <w:rsid w:val="00F34865"/>
    <w:rsid w:val="00F413D3"/>
    <w:rsid w:val="00F44C67"/>
    <w:rsid w:val="00FA5E97"/>
    <w:rsid w:val="00FA6D30"/>
    <w:rsid w:val="00FC15CC"/>
    <w:rsid w:val="00FC3BA1"/>
    <w:rsid w:val="00FD4DB3"/>
    <w:rsid w:val="00FE4ABE"/>
    <w:rsid w:val="00FE793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CACD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7289"/>
    <w:rPr>
      <w:color w:val="0000FF"/>
      <w:u w:val="single"/>
    </w:rPr>
  </w:style>
  <w:style w:type="character" w:styleId="FollowedHyperlink">
    <w:name w:val="FollowedHyperlink"/>
    <w:basedOn w:val="DefaultParagraphFont"/>
    <w:uiPriority w:val="99"/>
    <w:semiHidden/>
    <w:unhideWhenUsed/>
    <w:rsid w:val="00803755"/>
    <w:rPr>
      <w:color w:val="954F72" w:themeColor="followedHyperlink"/>
      <w:u w:val="single"/>
    </w:rPr>
  </w:style>
  <w:style w:type="paragraph" w:styleId="Header">
    <w:name w:val="header"/>
    <w:basedOn w:val="Normal"/>
    <w:link w:val="HeaderChar"/>
    <w:uiPriority w:val="99"/>
    <w:unhideWhenUsed/>
    <w:rsid w:val="00BB436F"/>
    <w:pPr>
      <w:tabs>
        <w:tab w:val="center" w:pos="4513"/>
        <w:tab w:val="right" w:pos="9026"/>
      </w:tabs>
    </w:pPr>
  </w:style>
  <w:style w:type="character" w:customStyle="1" w:styleId="HeaderChar">
    <w:name w:val="Header Char"/>
    <w:basedOn w:val="DefaultParagraphFont"/>
    <w:link w:val="Header"/>
    <w:uiPriority w:val="99"/>
    <w:rsid w:val="00BB436F"/>
    <w:rPr>
      <w:lang w:val="en-GB"/>
    </w:rPr>
  </w:style>
  <w:style w:type="paragraph" w:styleId="Footer">
    <w:name w:val="footer"/>
    <w:basedOn w:val="Normal"/>
    <w:link w:val="FooterChar"/>
    <w:uiPriority w:val="99"/>
    <w:unhideWhenUsed/>
    <w:rsid w:val="00BB436F"/>
    <w:pPr>
      <w:tabs>
        <w:tab w:val="center" w:pos="4513"/>
        <w:tab w:val="right" w:pos="9026"/>
      </w:tabs>
    </w:pPr>
  </w:style>
  <w:style w:type="character" w:customStyle="1" w:styleId="FooterChar">
    <w:name w:val="Footer Char"/>
    <w:basedOn w:val="DefaultParagraphFont"/>
    <w:link w:val="Footer"/>
    <w:uiPriority w:val="99"/>
    <w:rsid w:val="00BB436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15693">
      <w:bodyDiv w:val="1"/>
      <w:marLeft w:val="0"/>
      <w:marRight w:val="0"/>
      <w:marTop w:val="0"/>
      <w:marBottom w:val="0"/>
      <w:divBdr>
        <w:top w:val="none" w:sz="0" w:space="0" w:color="auto"/>
        <w:left w:val="none" w:sz="0" w:space="0" w:color="auto"/>
        <w:bottom w:val="none" w:sz="0" w:space="0" w:color="auto"/>
        <w:right w:val="none" w:sz="0" w:space="0" w:color="auto"/>
      </w:divBdr>
    </w:div>
    <w:div w:id="101188568">
      <w:bodyDiv w:val="1"/>
      <w:marLeft w:val="0"/>
      <w:marRight w:val="0"/>
      <w:marTop w:val="0"/>
      <w:marBottom w:val="0"/>
      <w:divBdr>
        <w:top w:val="none" w:sz="0" w:space="0" w:color="auto"/>
        <w:left w:val="none" w:sz="0" w:space="0" w:color="auto"/>
        <w:bottom w:val="none" w:sz="0" w:space="0" w:color="auto"/>
        <w:right w:val="none" w:sz="0" w:space="0" w:color="auto"/>
      </w:divBdr>
    </w:div>
    <w:div w:id="128516745">
      <w:bodyDiv w:val="1"/>
      <w:marLeft w:val="0"/>
      <w:marRight w:val="0"/>
      <w:marTop w:val="0"/>
      <w:marBottom w:val="0"/>
      <w:divBdr>
        <w:top w:val="none" w:sz="0" w:space="0" w:color="auto"/>
        <w:left w:val="none" w:sz="0" w:space="0" w:color="auto"/>
        <w:bottom w:val="none" w:sz="0" w:space="0" w:color="auto"/>
        <w:right w:val="none" w:sz="0" w:space="0" w:color="auto"/>
      </w:divBdr>
    </w:div>
    <w:div w:id="157620217">
      <w:bodyDiv w:val="1"/>
      <w:marLeft w:val="0"/>
      <w:marRight w:val="0"/>
      <w:marTop w:val="0"/>
      <w:marBottom w:val="0"/>
      <w:divBdr>
        <w:top w:val="none" w:sz="0" w:space="0" w:color="auto"/>
        <w:left w:val="none" w:sz="0" w:space="0" w:color="auto"/>
        <w:bottom w:val="none" w:sz="0" w:space="0" w:color="auto"/>
        <w:right w:val="none" w:sz="0" w:space="0" w:color="auto"/>
      </w:divBdr>
    </w:div>
    <w:div w:id="214200983">
      <w:bodyDiv w:val="1"/>
      <w:marLeft w:val="0"/>
      <w:marRight w:val="0"/>
      <w:marTop w:val="0"/>
      <w:marBottom w:val="0"/>
      <w:divBdr>
        <w:top w:val="none" w:sz="0" w:space="0" w:color="auto"/>
        <w:left w:val="none" w:sz="0" w:space="0" w:color="auto"/>
        <w:bottom w:val="none" w:sz="0" w:space="0" w:color="auto"/>
        <w:right w:val="none" w:sz="0" w:space="0" w:color="auto"/>
      </w:divBdr>
    </w:div>
    <w:div w:id="271209586">
      <w:bodyDiv w:val="1"/>
      <w:marLeft w:val="0"/>
      <w:marRight w:val="0"/>
      <w:marTop w:val="0"/>
      <w:marBottom w:val="0"/>
      <w:divBdr>
        <w:top w:val="none" w:sz="0" w:space="0" w:color="auto"/>
        <w:left w:val="none" w:sz="0" w:space="0" w:color="auto"/>
        <w:bottom w:val="none" w:sz="0" w:space="0" w:color="auto"/>
        <w:right w:val="none" w:sz="0" w:space="0" w:color="auto"/>
      </w:divBdr>
    </w:div>
    <w:div w:id="275720996">
      <w:bodyDiv w:val="1"/>
      <w:marLeft w:val="0"/>
      <w:marRight w:val="0"/>
      <w:marTop w:val="0"/>
      <w:marBottom w:val="0"/>
      <w:divBdr>
        <w:top w:val="none" w:sz="0" w:space="0" w:color="auto"/>
        <w:left w:val="none" w:sz="0" w:space="0" w:color="auto"/>
        <w:bottom w:val="none" w:sz="0" w:space="0" w:color="auto"/>
        <w:right w:val="none" w:sz="0" w:space="0" w:color="auto"/>
      </w:divBdr>
    </w:div>
    <w:div w:id="346712414">
      <w:bodyDiv w:val="1"/>
      <w:marLeft w:val="0"/>
      <w:marRight w:val="0"/>
      <w:marTop w:val="0"/>
      <w:marBottom w:val="0"/>
      <w:divBdr>
        <w:top w:val="none" w:sz="0" w:space="0" w:color="auto"/>
        <w:left w:val="none" w:sz="0" w:space="0" w:color="auto"/>
        <w:bottom w:val="none" w:sz="0" w:space="0" w:color="auto"/>
        <w:right w:val="none" w:sz="0" w:space="0" w:color="auto"/>
      </w:divBdr>
    </w:div>
    <w:div w:id="393361481">
      <w:bodyDiv w:val="1"/>
      <w:marLeft w:val="0"/>
      <w:marRight w:val="0"/>
      <w:marTop w:val="0"/>
      <w:marBottom w:val="0"/>
      <w:divBdr>
        <w:top w:val="none" w:sz="0" w:space="0" w:color="auto"/>
        <w:left w:val="none" w:sz="0" w:space="0" w:color="auto"/>
        <w:bottom w:val="none" w:sz="0" w:space="0" w:color="auto"/>
        <w:right w:val="none" w:sz="0" w:space="0" w:color="auto"/>
      </w:divBdr>
    </w:div>
    <w:div w:id="405999926">
      <w:bodyDiv w:val="1"/>
      <w:marLeft w:val="0"/>
      <w:marRight w:val="0"/>
      <w:marTop w:val="0"/>
      <w:marBottom w:val="0"/>
      <w:divBdr>
        <w:top w:val="none" w:sz="0" w:space="0" w:color="auto"/>
        <w:left w:val="none" w:sz="0" w:space="0" w:color="auto"/>
        <w:bottom w:val="none" w:sz="0" w:space="0" w:color="auto"/>
        <w:right w:val="none" w:sz="0" w:space="0" w:color="auto"/>
      </w:divBdr>
    </w:div>
    <w:div w:id="476070200">
      <w:bodyDiv w:val="1"/>
      <w:marLeft w:val="0"/>
      <w:marRight w:val="0"/>
      <w:marTop w:val="0"/>
      <w:marBottom w:val="0"/>
      <w:divBdr>
        <w:top w:val="none" w:sz="0" w:space="0" w:color="auto"/>
        <w:left w:val="none" w:sz="0" w:space="0" w:color="auto"/>
        <w:bottom w:val="none" w:sz="0" w:space="0" w:color="auto"/>
        <w:right w:val="none" w:sz="0" w:space="0" w:color="auto"/>
      </w:divBdr>
    </w:div>
    <w:div w:id="649871804">
      <w:bodyDiv w:val="1"/>
      <w:marLeft w:val="0"/>
      <w:marRight w:val="0"/>
      <w:marTop w:val="0"/>
      <w:marBottom w:val="0"/>
      <w:divBdr>
        <w:top w:val="none" w:sz="0" w:space="0" w:color="auto"/>
        <w:left w:val="none" w:sz="0" w:space="0" w:color="auto"/>
        <w:bottom w:val="none" w:sz="0" w:space="0" w:color="auto"/>
        <w:right w:val="none" w:sz="0" w:space="0" w:color="auto"/>
      </w:divBdr>
    </w:div>
    <w:div w:id="666134214">
      <w:bodyDiv w:val="1"/>
      <w:marLeft w:val="0"/>
      <w:marRight w:val="0"/>
      <w:marTop w:val="0"/>
      <w:marBottom w:val="0"/>
      <w:divBdr>
        <w:top w:val="none" w:sz="0" w:space="0" w:color="auto"/>
        <w:left w:val="none" w:sz="0" w:space="0" w:color="auto"/>
        <w:bottom w:val="none" w:sz="0" w:space="0" w:color="auto"/>
        <w:right w:val="none" w:sz="0" w:space="0" w:color="auto"/>
      </w:divBdr>
    </w:div>
    <w:div w:id="718213443">
      <w:bodyDiv w:val="1"/>
      <w:marLeft w:val="0"/>
      <w:marRight w:val="0"/>
      <w:marTop w:val="0"/>
      <w:marBottom w:val="0"/>
      <w:divBdr>
        <w:top w:val="none" w:sz="0" w:space="0" w:color="auto"/>
        <w:left w:val="none" w:sz="0" w:space="0" w:color="auto"/>
        <w:bottom w:val="none" w:sz="0" w:space="0" w:color="auto"/>
        <w:right w:val="none" w:sz="0" w:space="0" w:color="auto"/>
      </w:divBdr>
    </w:div>
    <w:div w:id="753936090">
      <w:bodyDiv w:val="1"/>
      <w:marLeft w:val="0"/>
      <w:marRight w:val="0"/>
      <w:marTop w:val="0"/>
      <w:marBottom w:val="0"/>
      <w:divBdr>
        <w:top w:val="none" w:sz="0" w:space="0" w:color="auto"/>
        <w:left w:val="none" w:sz="0" w:space="0" w:color="auto"/>
        <w:bottom w:val="none" w:sz="0" w:space="0" w:color="auto"/>
        <w:right w:val="none" w:sz="0" w:space="0" w:color="auto"/>
      </w:divBdr>
    </w:div>
    <w:div w:id="794756492">
      <w:bodyDiv w:val="1"/>
      <w:marLeft w:val="0"/>
      <w:marRight w:val="0"/>
      <w:marTop w:val="0"/>
      <w:marBottom w:val="0"/>
      <w:divBdr>
        <w:top w:val="none" w:sz="0" w:space="0" w:color="auto"/>
        <w:left w:val="none" w:sz="0" w:space="0" w:color="auto"/>
        <w:bottom w:val="none" w:sz="0" w:space="0" w:color="auto"/>
        <w:right w:val="none" w:sz="0" w:space="0" w:color="auto"/>
      </w:divBdr>
    </w:div>
    <w:div w:id="807017258">
      <w:bodyDiv w:val="1"/>
      <w:marLeft w:val="0"/>
      <w:marRight w:val="0"/>
      <w:marTop w:val="0"/>
      <w:marBottom w:val="0"/>
      <w:divBdr>
        <w:top w:val="none" w:sz="0" w:space="0" w:color="auto"/>
        <w:left w:val="none" w:sz="0" w:space="0" w:color="auto"/>
        <w:bottom w:val="none" w:sz="0" w:space="0" w:color="auto"/>
        <w:right w:val="none" w:sz="0" w:space="0" w:color="auto"/>
      </w:divBdr>
    </w:div>
    <w:div w:id="876772492">
      <w:bodyDiv w:val="1"/>
      <w:marLeft w:val="0"/>
      <w:marRight w:val="0"/>
      <w:marTop w:val="0"/>
      <w:marBottom w:val="0"/>
      <w:divBdr>
        <w:top w:val="none" w:sz="0" w:space="0" w:color="auto"/>
        <w:left w:val="none" w:sz="0" w:space="0" w:color="auto"/>
        <w:bottom w:val="none" w:sz="0" w:space="0" w:color="auto"/>
        <w:right w:val="none" w:sz="0" w:space="0" w:color="auto"/>
      </w:divBdr>
    </w:div>
    <w:div w:id="880870122">
      <w:bodyDiv w:val="1"/>
      <w:marLeft w:val="0"/>
      <w:marRight w:val="0"/>
      <w:marTop w:val="0"/>
      <w:marBottom w:val="0"/>
      <w:divBdr>
        <w:top w:val="none" w:sz="0" w:space="0" w:color="auto"/>
        <w:left w:val="none" w:sz="0" w:space="0" w:color="auto"/>
        <w:bottom w:val="none" w:sz="0" w:space="0" w:color="auto"/>
        <w:right w:val="none" w:sz="0" w:space="0" w:color="auto"/>
      </w:divBdr>
    </w:div>
    <w:div w:id="919752945">
      <w:bodyDiv w:val="1"/>
      <w:marLeft w:val="0"/>
      <w:marRight w:val="0"/>
      <w:marTop w:val="0"/>
      <w:marBottom w:val="0"/>
      <w:divBdr>
        <w:top w:val="none" w:sz="0" w:space="0" w:color="auto"/>
        <w:left w:val="none" w:sz="0" w:space="0" w:color="auto"/>
        <w:bottom w:val="none" w:sz="0" w:space="0" w:color="auto"/>
        <w:right w:val="none" w:sz="0" w:space="0" w:color="auto"/>
      </w:divBdr>
    </w:div>
    <w:div w:id="929463677">
      <w:bodyDiv w:val="1"/>
      <w:marLeft w:val="0"/>
      <w:marRight w:val="0"/>
      <w:marTop w:val="0"/>
      <w:marBottom w:val="0"/>
      <w:divBdr>
        <w:top w:val="none" w:sz="0" w:space="0" w:color="auto"/>
        <w:left w:val="none" w:sz="0" w:space="0" w:color="auto"/>
        <w:bottom w:val="none" w:sz="0" w:space="0" w:color="auto"/>
        <w:right w:val="none" w:sz="0" w:space="0" w:color="auto"/>
      </w:divBdr>
    </w:div>
    <w:div w:id="955990033">
      <w:bodyDiv w:val="1"/>
      <w:marLeft w:val="0"/>
      <w:marRight w:val="0"/>
      <w:marTop w:val="0"/>
      <w:marBottom w:val="0"/>
      <w:divBdr>
        <w:top w:val="none" w:sz="0" w:space="0" w:color="auto"/>
        <w:left w:val="none" w:sz="0" w:space="0" w:color="auto"/>
        <w:bottom w:val="none" w:sz="0" w:space="0" w:color="auto"/>
        <w:right w:val="none" w:sz="0" w:space="0" w:color="auto"/>
      </w:divBdr>
    </w:div>
    <w:div w:id="1174805940">
      <w:bodyDiv w:val="1"/>
      <w:marLeft w:val="0"/>
      <w:marRight w:val="0"/>
      <w:marTop w:val="0"/>
      <w:marBottom w:val="0"/>
      <w:divBdr>
        <w:top w:val="none" w:sz="0" w:space="0" w:color="auto"/>
        <w:left w:val="none" w:sz="0" w:space="0" w:color="auto"/>
        <w:bottom w:val="none" w:sz="0" w:space="0" w:color="auto"/>
        <w:right w:val="none" w:sz="0" w:space="0" w:color="auto"/>
      </w:divBdr>
    </w:div>
    <w:div w:id="1244685880">
      <w:bodyDiv w:val="1"/>
      <w:marLeft w:val="0"/>
      <w:marRight w:val="0"/>
      <w:marTop w:val="0"/>
      <w:marBottom w:val="0"/>
      <w:divBdr>
        <w:top w:val="none" w:sz="0" w:space="0" w:color="auto"/>
        <w:left w:val="none" w:sz="0" w:space="0" w:color="auto"/>
        <w:bottom w:val="none" w:sz="0" w:space="0" w:color="auto"/>
        <w:right w:val="none" w:sz="0" w:space="0" w:color="auto"/>
      </w:divBdr>
    </w:div>
    <w:div w:id="1287808232">
      <w:bodyDiv w:val="1"/>
      <w:marLeft w:val="0"/>
      <w:marRight w:val="0"/>
      <w:marTop w:val="0"/>
      <w:marBottom w:val="0"/>
      <w:divBdr>
        <w:top w:val="none" w:sz="0" w:space="0" w:color="auto"/>
        <w:left w:val="none" w:sz="0" w:space="0" w:color="auto"/>
        <w:bottom w:val="none" w:sz="0" w:space="0" w:color="auto"/>
        <w:right w:val="none" w:sz="0" w:space="0" w:color="auto"/>
      </w:divBdr>
    </w:div>
    <w:div w:id="1310741631">
      <w:bodyDiv w:val="1"/>
      <w:marLeft w:val="0"/>
      <w:marRight w:val="0"/>
      <w:marTop w:val="0"/>
      <w:marBottom w:val="0"/>
      <w:divBdr>
        <w:top w:val="none" w:sz="0" w:space="0" w:color="auto"/>
        <w:left w:val="none" w:sz="0" w:space="0" w:color="auto"/>
        <w:bottom w:val="none" w:sz="0" w:space="0" w:color="auto"/>
        <w:right w:val="none" w:sz="0" w:space="0" w:color="auto"/>
      </w:divBdr>
    </w:div>
    <w:div w:id="1369649236">
      <w:bodyDiv w:val="1"/>
      <w:marLeft w:val="0"/>
      <w:marRight w:val="0"/>
      <w:marTop w:val="0"/>
      <w:marBottom w:val="0"/>
      <w:divBdr>
        <w:top w:val="none" w:sz="0" w:space="0" w:color="auto"/>
        <w:left w:val="none" w:sz="0" w:space="0" w:color="auto"/>
        <w:bottom w:val="none" w:sz="0" w:space="0" w:color="auto"/>
        <w:right w:val="none" w:sz="0" w:space="0" w:color="auto"/>
      </w:divBdr>
    </w:div>
    <w:div w:id="1373532682">
      <w:bodyDiv w:val="1"/>
      <w:marLeft w:val="0"/>
      <w:marRight w:val="0"/>
      <w:marTop w:val="0"/>
      <w:marBottom w:val="0"/>
      <w:divBdr>
        <w:top w:val="none" w:sz="0" w:space="0" w:color="auto"/>
        <w:left w:val="none" w:sz="0" w:space="0" w:color="auto"/>
        <w:bottom w:val="none" w:sz="0" w:space="0" w:color="auto"/>
        <w:right w:val="none" w:sz="0" w:space="0" w:color="auto"/>
      </w:divBdr>
    </w:div>
    <w:div w:id="1461878148">
      <w:bodyDiv w:val="1"/>
      <w:marLeft w:val="0"/>
      <w:marRight w:val="0"/>
      <w:marTop w:val="0"/>
      <w:marBottom w:val="0"/>
      <w:divBdr>
        <w:top w:val="none" w:sz="0" w:space="0" w:color="auto"/>
        <w:left w:val="none" w:sz="0" w:space="0" w:color="auto"/>
        <w:bottom w:val="none" w:sz="0" w:space="0" w:color="auto"/>
        <w:right w:val="none" w:sz="0" w:space="0" w:color="auto"/>
      </w:divBdr>
    </w:div>
    <w:div w:id="1475485177">
      <w:bodyDiv w:val="1"/>
      <w:marLeft w:val="0"/>
      <w:marRight w:val="0"/>
      <w:marTop w:val="0"/>
      <w:marBottom w:val="0"/>
      <w:divBdr>
        <w:top w:val="none" w:sz="0" w:space="0" w:color="auto"/>
        <w:left w:val="none" w:sz="0" w:space="0" w:color="auto"/>
        <w:bottom w:val="none" w:sz="0" w:space="0" w:color="auto"/>
        <w:right w:val="none" w:sz="0" w:space="0" w:color="auto"/>
      </w:divBdr>
    </w:div>
    <w:div w:id="1532456251">
      <w:bodyDiv w:val="1"/>
      <w:marLeft w:val="0"/>
      <w:marRight w:val="0"/>
      <w:marTop w:val="0"/>
      <w:marBottom w:val="0"/>
      <w:divBdr>
        <w:top w:val="none" w:sz="0" w:space="0" w:color="auto"/>
        <w:left w:val="none" w:sz="0" w:space="0" w:color="auto"/>
        <w:bottom w:val="none" w:sz="0" w:space="0" w:color="auto"/>
        <w:right w:val="none" w:sz="0" w:space="0" w:color="auto"/>
      </w:divBdr>
    </w:div>
    <w:div w:id="1557157065">
      <w:bodyDiv w:val="1"/>
      <w:marLeft w:val="0"/>
      <w:marRight w:val="0"/>
      <w:marTop w:val="0"/>
      <w:marBottom w:val="0"/>
      <w:divBdr>
        <w:top w:val="none" w:sz="0" w:space="0" w:color="auto"/>
        <w:left w:val="none" w:sz="0" w:space="0" w:color="auto"/>
        <w:bottom w:val="none" w:sz="0" w:space="0" w:color="auto"/>
        <w:right w:val="none" w:sz="0" w:space="0" w:color="auto"/>
      </w:divBdr>
    </w:div>
    <w:div w:id="1578398253">
      <w:bodyDiv w:val="1"/>
      <w:marLeft w:val="0"/>
      <w:marRight w:val="0"/>
      <w:marTop w:val="0"/>
      <w:marBottom w:val="0"/>
      <w:divBdr>
        <w:top w:val="none" w:sz="0" w:space="0" w:color="auto"/>
        <w:left w:val="none" w:sz="0" w:space="0" w:color="auto"/>
        <w:bottom w:val="none" w:sz="0" w:space="0" w:color="auto"/>
        <w:right w:val="none" w:sz="0" w:space="0" w:color="auto"/>
      </w:divBdr>
    </w:div>
    <w:div w:id="1589928407">
      <w:bodyDiv w:val="1"/>
      <w:marLeft w:val="0"/>
      <w:marRight w:val="0"/>
      <w:marTop w:val="0"/>
      <w:marBottom w:val="0"/>
      <w:divBdr>
        <w:top w:val="none" w:sz="0" w:space="0" w:color="auto"/>
        <w:left w:val="none" w:sz="0" w:space="0" w:color="auto"/>
        <w:bottom w:val="none" w:sz="0" w:space="0" w:color="auto"/>
        <w:right w:val="none" w:sz="0" w:space="0" w:color="auto"/>
      </w:divBdr>
    </w:div>
    <w:div w:id="1623266767">
      <w:bodyDiv w:val="1"/>
      <w:marLeft w:val="0"/>
      <w:marRight w:val="0"/>
      <w:marTop w:val="0"/>
      <w:marBottom w:val="0"/>
      <w:divBdr>
        <w:top w:val="none" w:sz="0" w:space="0" w:color="auto"/>
        <w:left w:val="none" w:sz="0" w:space="0" w:color="auto"/>
        <w:bottom w:val="none" w:sz="0" w:space="0" w:color="auto"/>
        <w:right w:val="none" w:sz="0" w:space="0" w:color="auto"/>
      </w:divBdr>
    </w:div>
    <w:div w:id="1687252241">
      <w:bodyDiv w:val="1"/>
      <w:marLeft w:val="0"/>
      <w:marRight w:val="0"/>
      <w:marTop w:val="0"/>
      <w:marBottom w:val="0"/>
      <w:divBdr>
        <w:top w:val="none" w:sz="0" w:space="0" w:color="auto"/>
        <w:left w:val="none" w:sz="0" w:space="0" w:color="auto"/>
        <w:bottom w:val="none" w:sz="0" w:space="0" w:color="auto"/>
        <w:right w:val="none" w:sz="0" w:space="0" w:color="auto"/>
      </w:divBdr>
    </w:div>
    <w:div w:id="1738819089">
      <w:bodyDiv w:val="1"/>
      <w:marLeft w:val="0"/>
      <w:marRight w:val="0"/>
      <w:marTop w:val="0"/>
      <w:marBottom w:val="0"/>
      <w:divBdr>
        <w:top w:val="none" w:sz="0" w:space="0" w:color="auto"/>
        <w:left w:val="none" w:sz="0" w:space="0" w:color="auto"/>
        <w:bottom w:val="none" w:sz="0" w:space="0" w:color="auto"/>
        <w:right w:val="none" w:sz="0" w:space="0" w:color="auto"/>
      </w:divBdr>
    </w:div>
    <w:div w:id="1740663959">
      <w:bodyDiv w:val="1"/>
      <w:marLeft w:val="0"/>
      <w:marRight w:val="0"/>
      <w:marTop w:val="0"/>
      <w:marBottom w:val="0"/>
      <w:divBdr>
        <w:top w:val="none" w:sz="0" w:space="0" w:color="auto"/>
        <w:left w:val="none" w:sz="0" w:space="0" w:color="auto"/>
        <w:bottom w:val="none" w:sz="0" w:space="0" w:color="auto"/>
        <w:right w:val="none" w:sz="0" w:space="0" w:color="auto"/>
      </w:divBdr>
    </w:div>
    <w:div w:id="1770276376">
      <w:bodyDiv w:val="1"/>
      <w:marLeft w:val="0"/>
      <w:marRight w:val="0"/>
      <w:marTop w:val="0"/>
      <w:marBottom w:val="0"/>
      <w:divBdr>
        <w:top w:val="none" w:sz="0" w:space="0" w:color="auto"/>
        <w:left w:val="none" w:sz="0" w:space="0" w:color="auto"/>
        <w:bottom w:val="none" w:sz="0" w:space="0" w:color="auto"/>
        <w:right w:val="none" w:sz="0" w:space="0" w:color="auto"/>
      </w:divBdr>
    </w:div>
    <w:div w:id="1859810084">
      <w:bodyDiv w:val="1"/>
      <w:marLeft w:val="0"/>
      <w:marRight w:val="0"/>
      <w:marTop w:val="0"/>
      <w:marBottom w:val="0"/>
      <w:divBdr>
        <w:top w:val="none" w:sz="0" w:space="0" w:color="auto"/>
        <w:left w:val="none" w:sz="0" w:space="0" w:color="auto"/>
        <w:bottom w:val="none" w:sz="0" w:space="0" w:color="auto"/>
        <w:right w:val="none" w:sz="0" w:space="0" w:color="auto"/>
      </w:divBdr>
    </w:div>
    <w:div w:id="1928611053">
      <w:bodyDiv w:val="1"/>
      <w:marLeft w:val="0"/>
      <w:marRight w:val="0"/>
      <w:marTop w:val="0"/>
      <w:marBottom w:val="0"/>
      <w:divBdr>
        <w:top w:val="none" w:sz="0" w:space="0" w:color="auto"/>
        <w:left w:val="none" w:sz="0" w:space="0" w:color="auto"/>
        <w:bottom w:val="none" w:sz="0" w:space="0" w:color="auto"/>
        <w:right w:val="none" w:sz="0" w:space="0" w:color="auto"/>
      </w:divBdr>
    </w:div>
    <w:div w:id="1970626443">
      <w:bodyDiv w:val="1"/>
      <w:marLeft w:val="0"/>
      <w:marRight w:val="0"/>
      <w:marTop w:val="0"/>
      <w:marBottom w:val="0"/>
      <w:divBdr>
        <w:top w:val="none" w:sz="0" w:space="0" w:color="auto"/>
        <w:left w:val="none" w:sz="0" w:space="0" w:color="auto"/>
        <w:bottom w:val="none" w:sz="0" w:space="0" w:color="auto"/>
        <w:right w:val="none" w:sz="0" w:space="0" w:color="auto"/>
      </w:divBdr>
    </w:div>
    <w:div w:id="2009408117">
      <w:bodyDiv w:val="1"/>
      <w:marLeft w:val="0"/>
      <w:marRight w:val="0"/>
      <w:marTop w:val="0"/>
      <w:marBottom w:val="0"/>
      <w:divBdr>
        <w:top w:val="none" w:sz="0" w:space="0" w:color="auto"/>
        <w:left w:val="none" w:sz="0" w:space="0" w:color="auto"/>
        <w:bottom w:val="none" w:sz="0" w:space="0" w:color="auto"/>
        <w:right w:val="none" w:sz="0" w:space="0" w:color="auto"/>
      </w:divBdr>
    </w:div>
    <w:div w:id="2014525129">
      <w:bodyDiv w:val="1"/>
      <w:marLeft w:val="0"/>
      <w:marRight w:val="0"/>
      <w:marTop w:val="0"/>
      <w:marBottom w:val="0"/>
      <w:divBdr>
        <w:top w:val="none" w:sz="0" w:space="0" w:color="auto"/>
        <w:left w:val="none" w:sz="0" w:space="0" w:color="auto"/>
        <w:bottom w:val="none" w:sz="0" w:space="0" w:color="auto"/>
        <w:right w:val="none" w:sz="0" w:space="0" w:color="auto"/>
      </w:divBdr>
    </w:div>
    <w:div w:id="2078043649">
      <w:bodyDiv w:val="1"/>
      <w:marLeft w:val="0"/>
      <w:marRight w:val="0"/>
      <w:marTop w:val="0"/>
      <w:marBottom w:val="0"/>
      <w:divBdr>
        <w:top w:val="none" w:sz="0" w:space="0" w:color="auto"/>
        <w:left w:val="none" w:sz="0" w:space="0" w:color="auto"/>
        <w:bottom w:val="none" w:sz="0" w:space="0" w:color="auto"/>
        <w:right w:val="none" w:sz="0" w:space="0" w:color="auto"/>
      </w:divBdr>
    </w:div>
    <w:div w:id="21421834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autism.org.uk/18333" TargetMode="External"/><Relationship Id="rId12" Type="http://schemas.openxmlformats.org/officeDocument/2006/relationships/hyperlink" Target="https://extra.shu.ac.uk/alac/text/Article%20The%20Politics%20of%20Widening%20Participation.doc"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doi.org/10.1007/978-94-017-9553-1_47-1" TargetMode="External"/><Relationship Id="rId7" Type="http://schemas.openxmlformats.org/officeDocument/2006/relationships/hyperlink" Target="https://assets.publishing.service.gov.uk/government/uploads/system/uploads/attachment_data/file/680707/Equality_Analysis_Higher_Education_Student_Finance_for_the_2018_to_2019_Academic_Year_.pdf" TargetMode="External"/><Relationship Id="rId8" Type="http://schemas.openxmlformats.org/officeDocument/2006/relationships/hyperlink" Target="http://www.legislation.gov.uk/ukpga/2010/15/pdfs/ukpga_20100015_en.pdf" TargetMode="External"/><Relationship Id="rId9" Type="http://schemas.openxmlformats.org/officeDocument/2006/relationships/hyperlink" Target="https://assets.publishing.service.gov.uk/government/uploads/system/uploads/attachment_data/file/299689/bis-14-516-national-strategy-for-access-and-student-success.pdf" TargetMode="External"/><Relationship Id="rId10" Type="http://schemas.openxmlformats.org/officeDocument/2006/relationships/hyperlink" Target="https://webarchive.nationalarchives.gov.uk/20180319122232/http://www.hefce.ac.uk/analysis/HEinEngland/students/disabil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6AB56BFB1564D40A9C7379FCF261FE5"/>
        <w:category>
          <w:name w:val="General"/>
          <w:gallery w:val="placeholder"/>
        </w:category>
        <w:types>
          <w:type w:val="bbPlcHdr"/>
        </w:types>
        <w:behaviors>
          <w:behavior w:val="content"/>
        </w:behaviors>
        <w:guid w:val="{9D22B0F8-F529-F746-9B20-CAC2E07F8280}"/>
      </w:docPartPr>
      <w:docPartBody>
        <w:p w:rsidR="00000000" w:rsidRDefault="007F72DF" w:rsidP="007F72DF">
          <w:pPr>
            <w:pStyle w:val="16AB56BFB1564D40A9C7379FCF261FE5"/>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2DF"/>
    <w:rsid w:val="007F72DF"/>
    <w:rsid w:val="00C9499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6A98424F0E5A498517B24F00CF5840">
    <w:name w:val="B46A98424F0E5A498517B24F00CF5840"/>
    <w:rsid w:val="007F72DF"/>
  </w:style>
  <w:style w:type="character" w:styleId="PlaceholderText">
    <w:name w:val="Placeholder Text"/>
    <w:basedOn w:val="DefaultParagraphFont"/>
    <w:uiPriority w:val="99"/>
    <w:semiHidden/>
    <w:rsid w:val="007F72DF"/>
    <w:rPr>
      <w:color w:val="808080"/>
    </w:rPr>
  </w:style>
  <w:style w:type="paragraph" w:customStyle="1" w:styleId="16AB56BFB1564D40A9C7379FCF261FE5">
    <w:name w:val="16AB56BFB1564D40A9C7379FCF261FE5"/>
    <w:rsid w:val="007F72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505</TotalTime>
  <Pages>12</Pages>
  <Words>4131</Words>
  <Characters>23548</Characters>
  <Application>Microsoft Macintosh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Williams</dc:creator>
  <cp:keywords/>
  <dc:description/>
  <cp:lastModifiedBy>Jessica Williams</cp:lastModifiedBy>
  <cp:revision>136</cp:revision>
  <dcterms:created xsi:type="dcterms:W3CDTF">2018-11-25T16:56:00Z</dcterms:created>
  <dcterms:modified xsi:type="dcterms:W3CDTF">2018-12-02T17:59:00Z</dcterms:modified>
</cp:coreProperties>
</file>