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A9A3B" w14:textId="1A8DFABE" w:rsidR="00CC001F" w:rsidRDefault="00DE4C97" w:rsidP="000B337A">
      <w:pPr>
        <w:jc w:val="center"/>
        <w:rPr>
          <w:sz w:val="32"/>
          <w:szCs w:val="36"/>
        </w:rPr>
      </w:pPr>
      <w:r w:rsidRPr="00DE4C97">
        <w:rPr>
          <w:sz w:val="32"/>
          <w:szCs w:val="36"/>
        </w:rPr>
        <w:t>Aseiniad ECAD 7005C- Rhan B</w:t>
      </w:r>
    </w:p>
    <w:tbl>
      <w:tblPr>
        <w:tblStyle w:val="TableGrid"/>
        <w:tblpPr w:leftFromText="180" w:rightFromText="180" w:vertAnchor="text" w:horzAnchor="margin" w:tblpY="351"/>
        <w:tblW w:w="0" w:type="auto"/>
        <w:tblLook w:val="04A0" w:firstRow="1" w:lastRow="0" w:firstColumn="1" w:lastColumn="0" w:noHBand="0" w:noVBand="1"/>
      </w:tblPr>
      <w:tblGrid>
        <w:gridCol w:w="1722"/>
        <w:gridCol w:w="3644"/>
        <w:gridCol w:w="3644"/>
      </w:tblGrid>
      <w:tr w:rsidR="009815E6" w14:paraId="66985AD6" w14:textId="77777777" w:rsidTr="009815E6">
        <w:tc>
          <w:tcPr>
            <w:tcW w:w="1722" w:type="dxa"/>
          </w:tcPr>
          <w:p w14:paraId="2668BE87" w14:textId="77777777" w:rsidR="009815E6" w:rsidRDefault="009815E6" w:rsidP="009815E6">
            <w:pPr>
              <w:pStyle w:val="AssignBody"/>
            </w:pPr>
          </w:p>
        </w:tc>
        <w:tc>
          <w:tcPr>
            <w:tcW w:w="3644" w:type="dxa"/>
          </w:tcPr>
          <w:p w14:paraId="1B620681" w14:textId="77777777" w:rsidR="009815E6" w:rsidRDefault="009815E6" w:rsidP="009815E6">
            <w:pPr>
              <w:pStyle w:val="AssignBody"/>
            </w:pPr>
            <w:proofErr w:type="spellStart"/>
            <w:r>
              <w:t>Targed</w:t>
            </w:r>
            <w:proofErr w:type="spellEnd"/>
            <w:r>
              <w:t>/target</w:t>
            </w:r>
          </w:p>
        </w:tc>
        <w:tc>
          <w:tcPr>
            <w:tcW w:w="3644" w:type="dxa"/>
          </w:tcPr>
          <w:p w14:paraId="1AA044F4" w14:textId="77777777" w:rsidR="009815E6" w:rsidRDefault="009815E6" w:rsidP="009815E6">
            <w:pPr>
              <w:pStyle w:val="NormalWeb"/>
              <w:spacing w:before="0" w:beforeAutospacing="0" w:after="0" w:afterAutospacing="0"/>
              <w:rPr>
                <w:rFonts w:ascii="Arial" w:hAnsi="Arial" w:cs="Arial"/>
                <w:color w:val="222222"/>
                <w:sz w:val="22"/>
                <w:szCs w:val="22"/>
                <w:lang w:val="en-US"/>
              </w:rPr>
            </w:pPr>
            <w:r>
              <w:rPr>
                <w:rFonts w:ascii="Arial" w:hAnsi="Arial" w:cs="Arial"/>
                <w:color w:val="222222"/>
                <w:sz w:val="22"/>
                <w:szCs w:val="22"/>
                <w:shd w:val="clear" w:color="auto" w:fill="F8F9FA"/>
                <w:lang w:val="en-US"/>
              </w:rPr>
              <w:t xml:space="preserve">Yr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yr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11820010" w14:textId="77777777" w:rsidR="009815E6" w:rsidRDefault="009815E6" w:rsidP="009815E6">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43491ADD" w14:textId="77777777" w:rsidR="009815E6" w:rsidRDefault="009815E6" w:rsidP="009815E6">
            <w:pPr>
              <w:pStyle w:val="AssignBody"/>
            </w:pPr>
          </w:p>
        </w:tc>
      </w:tr>
      <w:tr w:rsidR="009815E6" w14:paraId="414D136B" w14:textId="77777777" w:rsidTr="009815E6">
        <w:tc>
          <w:tcPr>
            <w:tcW w:w="1722" w:type="dxa"/>
          </w:tcPr>
          <w:p w14:paraId="7DE1B9AD" w14:textId="77777777" w:rsidR="009815E6" w:rsidRDefault="009815E6" w:rsidP="009815E6">
            <w:pPr>
              <w:pStyle w:val="AssignBody"/>
            </w:pPr>
            <w:proofErr w:type="spellStart"/>
            <w:r>
              <w:t>T</w:t>
            </w:r>
            <w:bookmarkStart w:id="0" w:name="cysill"/>
            <w:bookmarkEnd w:id="0"/>
            <w:r>
              <w:t>arged</w:t>
            </w:r>
            <w:proofErr w:type="spellEnd"/>
            <w:r>
              <w:t>/Target 1</w:t>
            </w:r>
          </w:p>
        </w:tc>
        <w:tc>
          <w:tcPr>
            <w:tcW w:w="3644" w:type="dxa"/>
          </w:tcPr>
          <w:p w14:paraId="5A155181" w14:textId="4E41578D" w:rsidR="00F55B67" w:rsidRPr="00F55B67" w:rsidRDefault="00F55B67" w:rsidP="00F55B67">
            <w:pPr>
              <w:pStyle w:val="AssignBody"/>
            </w:pPr>
            <w:proofErr w:type="spellStart"/>
            <w:r w:rsidRPr="00F55B67">
              <w:t>Datblygu</w:t>
            </w:r>
            <w:proofErr w:type="spellEnd"/>
            <w:r w:rsidRPr="00F55B67">
              <w:t xml:space="preserve"> </w:t>
            </w:r>
            <w:proofErr w:type="spellStart"/>
            <w:r w:rsidRPr="00F55B67">
              <w:t>ysgrifennu</w:t>
            </w:r>
            <w:proofErr w:type="spellEnd"/>
            <w:r w:rsidRPr="00F55B67">
              <w:t xml:space="preserve"> </w:t>
            </w:r>
            <w:proofErr w:type="spellStart"/>
            <w:r w:rsidRPr="00F55B67">
              <w:t>beirniadol</w:t>
            </w:r>
            <w:proofErr w:type="spellEnd"/>
            <w:r w:rsidRPr="00F55B67">
              <w:t xml:space="preserve"> </w:t>
            </w:r>
            <w:proofErr w:type="spellStart"/>
            <w:r w:rsidRPr="00F55B67">
              <w:t>drwy</w:t>
            </w:r>
            <w:proofErr w:type="spellEnd"/>
            <w:r w:rsidRPr="00F55B67">
              <w:t xml:space="preserve"> </w:t>
            </w:r>
            <w:proofErr w:type="spellStart"/>
            <w:r w:rsidRPr="00F55B67">
              <w:t>archwilio</w:t>
            </w:r>
            <w:proofErr w:type="spellEnd"/>
            <w:r w:rsidRPr="00F55B67">
              <w:t xml:space="preserve"> </w:t>
            </w:r>
            <w:proofErr w:type="spellStart"/>
            <w:r w:rsidRPr="00F55B67">
              <w:t>dwy</w:t>
            </w:r>
            <w:proofErr w:type="spellEnd"/>
            <w:r w:rsidRPr="00F55B67">
              <w:t xml:space="preserve"> </w:t>
            </w:r>
            <w:proofErr w:type="spellStart"/>
            <w:r w:rsidRPr="00F55B67">
              <w:t>ochr</w:t>
            </w:r>
            <w:proofErr w:type="spellEnd"/>
            <w:r w:rsidRPr="00F55B67">
              <w:t xml:space="preserve"> y </w:t>
            </w:r>
            <w:proofErr w:type="spellStart"/>
            <w:r w:rsidRPr="00F55B67">
              <w:t>ddadl</w:t>
            </w:r>
            <w:proofErr w:type="spellEnd"/>
            <w:r w:rsidRPr="00F55B67">
              <w:t xml:space="preserve">, </w:t>
            </w:r>
            <w:proofErr w:type="spellStart"/>
            <w:r w:rsidRPr="00F55B67">
              <w:t>gan</w:t>
            </w:r>
            <w:proofErr w:type="spellEnd"/>
            <w:r w:rsidRPr="00F55B67">
              <w:t xml:space="preserve"> </w:t>
            </w:r>
            <w:proofErr w:type="spellStart"/>
            <w:r w:rsidRPr="00F55B67">
              <w:t>gasglu</w:t>
            </w:r>
            <w:proofErr w:type="spellEnd"/>
            <w:r w:rsidRPr="00F55B67">
              <w:t xml:space="preserve"> </w:t>
            </w:r>
            <w:proofErr w:type="spellStart"/>
            <w:r w:rsidRPr="00F55B67">
              <w:t>tystiolaeth</w:t>
            </w:r>
            <w:proofErr w:type="spellEnd"/>
            <w:r w:rsidRPr="00F55B67">
              <w:t xml:space="preserve"> a barn o </w:t>
            </w:r>
            <w:proofErr w:type="spellStart"/>
            <w:r w:rsidRPr="00F55B67">
              <w:t>blaid</w:t>
            </w:r>
            <w:proofErr w:type="spellEnd"/>
            <w:r w:rsidRPr="00F55B67">
              <w:t xml:space="preserve"> ac </w:t>
            </w:r>
            <w:proofErr w:type="spellStart"/>
            <w:r w:rsidRPr="00F55B67">
              <w:t>yn</w:t>
            </w:r>
            <w:proofErr w:type="spellEnd"/>
            <w:r w:rsidRPr="00F55B67">
              <w:t xml:space="preserve"> </w:t>
            </w:r>
            <w:proofErr w:type="spellStart"/>
            <w:r w:rsidRPr="00F55B67">
              <w:t>erbyn</w:t>
            </w:r>
            <w:proofErr w:type="spellEnd"/>
            <w:r w:rsidRPr="00F55B67">
              <w:t xml:space="preserve"> y </w:t>
            </w:r>
            <w:proofErr w:type="spellStart"/>
            <w:r w:rsidRPr="00F55B67">
              <w:t>testun</w:t>
            </w:r>
            <w:proofErr w:type="spellEnd"/>
            <w:r w:rsidRPr="00F55B67">
              <w:t xml:space="preserve">, a </w:t>
            </w:r>
            <w:proofErr w:type="spellStart"/>
            <w:r w:rsidRPr="00F55B67">
              <w:t>chymharu’r</w:t>
            </w:r>
            <w:proofErr w:type="spellEnd"/>
            <w:r w:rsidRPr="00F55B67">
              <w:t xml:space="preserve"> </w:t>
            </w:r>
            <w:proofErr w:type="spellStart"/>
            <w:r w:rsidRPr="00F55B67">
              <w:t>safbwyntiau’n</w:t>
            </w:r>
            <w:proofErr w:type="spellEnd"/>
            <w:r w:rsidRPr="00F55B67">
              <w:t xml:space="preserve"> </w:t>
            </w:r>
            <w:proofErr w:type="spellStart"/>
            <w:r w:rsidRPr="00F55B67">
              <w:t>groes</w:t>
            </w:r>
            <w:proofErr w:type="spellEnd"/>
            <w:r w:rsidRPr="00F55B67">
              <w:t>. </w:t>
            </w:r>
          </w:p>
          <w:p w14:paraId="579D1E4D" w14:textId="77777777" w:rsidR="009815E6" w:rsidRPr="00F55B67" w:rsidRDefault="009815E6" w:rsidP="009815E6">
            <w:pPr>
              <w:pStyle w:val="AssignBody"/>
            </w:pPr>
          </w:p>
        </w:tc>
        <w:tc>
          <w:tcPr>
            <w:tcW w:w="3644" w:type="dxa"/>
          </w:tcPr>
          <w:p w14:paraId="41A064F0" w14:textId="1DB8EBDF" w:rsidR="009815E6" w:rsidRDefault="00F55B67" w:rsidP="009815E6">
            <w:pPr>
              <w:pStyle w:val="AssignBody"/>
            </w:pPr>
            <w:proofErr w:type="spellStart"/>
            <w:r>
              <w:t>Edrych</w:t>
            </w:r>
            <w:proofErr w:type="spellEnd"/>
            <w:r>
              <w:t xml:space="preserve"> </w:t>
            </w:r>
            <w:proofErr w:type="spellStart"/>
            <w:r>
              <w:t>ar</w:t>
            </w:r>
            <w:proofErr w:type="spellEnd"/>
            <w:r>
              <w:t xml:space="preserve"> </w:t>
            </w:r>
            <w:proofErr w:type="spellStart"/>
            <w:r>
              <w:t>manteision</w:t>
            </w:r>
            <w:proofErr w:type="spellEnd"/>
            <w:r>
              <w:t xml:space="preserve"> ac </w:t>
            </w:r>
            <w:proofErr w:type="spellStart"/>
            <w:r>
              <w:t>anfanteision</w:t>
            </w:r>
            <w:proofErr w:type="spellEnd"/>
            <w:r>
              <w:t xml:space="preserve"> o </w:t>
            </w:r>
            <w:proofErr w:type="spellStart"/>
            <w:r>
              <w:t>ddefnyddio’r</w:t>
            </w:r>
            <w:proofErr w:type="spellEnd"/>
            <w:r>
              <w:t xml:space="preserve"> </w:t>
            </w:r>
            <w:proofErr w:type="spellStart"/>
            <w:r>
              <w:t>ardal</w:t>
            </w:r>
            <w:proofErr w:type="spellEnd"/>
            <w:r>
              <w:t xml:space="preserve"> </w:t>
            </w:r>
            <w:proofErr w:type="spellStart"/>
            <w:r>
              <w:t>awyr</w:t>
            </w:r>
            <w:proofErr w:type="spellEnd"/>
            <w:r>
              <w:t xml:space="preserve"> </w:t>
            </w:r>
            <w:proofErr w:type="spellStart"/>
            <w:r>
              <w:t>agored</w:t>
            </w:r>
            <w:proofErr w:type="spellEnd"/>
            <w:r>
              <w:t xml:space="preserve"> </w:t>
            </w:r>
            <w:proofErr w:type="spellStart"/>
            <w:r>
              <w:t>mewn</w:t>
            </w:r>
            <w:proofErr w:type="spellEnd"/>
            <w:r>
              <w:t xml:space="preserve"> </w:t>
            </w:r>
            <w:proofErr w:type="spellStart"/>
            <w:r>
              <w:t>gwersi</w:t>
            </w:r>
            <w:proofErr w:type="spellEnd"/>
            <w:r>
              <w:t xml:space="preserve"> </w:t>
            </w:r>
            <w:proofErr w:type="spellStart"/>
            <w:r>
              <w:t>wrth</w:t>
            </w:r>
            <w:proofErr w:type="spellEnd"/>
            <w:r>
              <w:t xml:space="preserve"> </w:t>
            </w:r>
            <w:proofErr w:type="spellStart"/>
            <w:r>
              <w:t>ddod</w:t>
            </w:r>
            <w:proofErr w:type="spellEnd"/>
            <w:r>
              <w:t xml:space="preserve"> </w:t>
            </w:r>
            <w:proofErr w:type="spellStart"/>
            <w:r>
              <w:t>i</w:t>
            </w:r>
            <w:proofErr w:type="spellEnd"/>
            <w:r>
              <w:t xml:space="preserve"> </w:t>
            </w:r>
            <w:proofErr w:type="spellStart"/>
            <w:r>
              <w:t>gasgliad</w:t>
            </w:r>
            <w:proofErr w:type="spellEnd"/>
            <w:r>
              <w:t>.</w:t>
            </w:r>
          </w:p>
        </w:tc>
      </w:tr>
      <w:tr w:rsidR="009815E6" w14:paraId="30EFA6B3" w14:textId="77777777" w:rsidTr="009815E6">
        <w:tc>
          <w:tcPr>
            <w:tcW w:w="1722" w:type="dxa"/>
          </w:tcPr>
          <w:p w14:paraId="44EECD9B" w14:textId="77777777" w:rsidR="009815E6" w:rsidRDefault="009815E6" w:rsidP="009815E6">
            <w:pPr>
              <w:pStyle w:val="AssignBody"/>
            </w:pPr>
            <w:proofErr w:type="spellStart"/>
            <w:r>
              <w:t>Targed</w:t>
            </w:r>
            <w:proofErr w:type="spellEnd"/>
            <w:r>
              <w:t>/Target 2</w:t>
            </w:r>
          </w:p>
        </w:tc>
        <w:tc>
          <w:tcPr>
            <w:tcW w:w="3644" w:type="dxa"/>
          </w:tcPr>
          <w:p w14:paraId="22F0C991" w14:textId="57947448" w:rsidR="00F55B67" w:rsidRPr="00F55B67" w:rsidRDefault="00F55B67" w:rsidP="00F55B67">
            <w:pPr>
              <w:pStyle w:val="AssignBody"/>
            </w:pPr>
            <w:proofErr w:type="spellStart"/>
            <w:r w:rsidRPr="00F55B67">
              <w:t>Datblygu</w:t>
            </w:r>
            <w:proofErr w:type="spellEnd"/>
            <w:r w:rsidRPr="00F55B67">
              <w:t xml:space="preserve"> </w:t>
            </w:r>
            <w:proofErr w:type="spellStart"/>
            <w:r w:rsidRPr="00F55B67">
              <w:t>syniadau</w:t>
            </w:r>
            <w:proofErr w:type="spellEnd"/>
            <w:r w:rsidRPr="00F55B67">
              <w:t xml:space="preserve"> </w:t>
            </w:r>
            <w:proofErr w:type="spellStart"/>
            <w:r w:rsidRPr="00F55B67">
              <w:t>i</w:t>
            </w:r>
            <w:proofErr w:type="spellEnd"/>
            <w:r w:rsidRPr="00F55B67">
              <w:t xml:space="preserve"> </w:t>
            </w:r>
            <w:proofErr w:type="spellStart"/>
            <w:r w:rsidRPr="00F55B67">
              <w:t>gynnwys</w:t>
            </w:r>
            <w:proofErr w:type="spellEnd"/>
            <w:r w:rsidRPr="00F55B67">
              <w:t xml:space="preserve"> </w:t>
            </w:r>
            <w:proofErr w:type="spellStart"/>
            <w:r w:rsidRPr="00F55B67">
              <w:t>elfennau</w:t>
            </w:r>
            <w:proofErr w:type="spellEnd"/>
            <w:r w:rsidRPr="00F55B67">
              <w:t xml:space="preserve"> o </w:t>
            </w:r>
            <w:proofErr w:type="spellStart"/>
            <w:r w:rsidRPr="00F55B67">
              <w:t>theori</w:t>
            </w:r>
            <w:proofErr w:type="spellEnd"/>
            <w:r w:rsidRPr="00F55B67">
              <w:t xml:space="preserve"> </w:t>
            </w:r>
            <w:proofErr w:type="spellStart"/>
            <w:r w:rsidRPr="00F55B67">
              <w:t>i</w:t>
            </w:r>
            <w:proofErr w:type="spellEnd"/>
            <w:r w:rsidRPr="00F55B67">
              <w:t xml:space="preserve"> </w:t>
            </w:r>
            <w:proofErr w:type="spellStart"/>
            <w:r w:rsidRPr="00F55B67">
              <w:t>ymarfer</w:t>
            </w:r>
            <w:proofErr w:type="spellEnd"/>
          </w:p>
          <w:p w14:paraId="18529611" w14:textId="77777777" w:rsidR="009815E6" w:rsidRPr="00F55B67" w:rsidRDefault="009815E6" w:rsidP="009815E6">
            <w:pPr>
              <w:pStyle w:val="AssignBody"/>
            </w:pPr>
          </w:p>
        </w:tc>
        <w:tc>
          <w:tcPr>
            <w:tcW w:w="3644" w:type="dxa"/>
          </w:tcPr>
          <w:p w14:paraId="3353CD16" w14:textId="6D7B1053" w:rsidR="009815E6" w:rsidRDefault="00F55B67" w:rsidP="009815E6">
            <w:pPr>
              <w:pStyle w:val="AssignBody"/>
            </w:pPr>
            <w:proofErr w:type="spellStart"/>
            <w:r>
              <w:t>Edrych</w:t>
            </w:r>
            <w:proofErr w:type="spellEnd"/>
            <w:r>
              <w:t xml:space="preserve"> </w:t>
            </w:r>
            <w:proofErr w:type="spellStart"/>
            <w:r>
              <w:t>ar</w:t>
            </w:r>
            <w:proofErr w:type="spellEnd"/>
            <w:r>
              <w:t xml:space="preserve"> theory </w:t>
            </w:r>
            <w:proofErr w:type="spellStart"/>
            <w:r>
              <w:t>wahanol</w:t>
            </w:r>
            <w:proofErr w:type="spellEnd"/>
            <w:r>
              <w:t xml:space="preserve"> </w:t>
            </w:r>
            <w:proofErr w:type="spellStart"/>
            <w:r>
              <w:t>e.e.</w:t>
            </w:r>
            <w:proofErr w:type="spellEnd"/>
            <w:r>
              <w:t xml:space="preserve"> Piaget (1952)</w:t>
            </w:r>
          </w:p>
        </w:tc>
      </w:tr>
      <w:tr w:rsidR="009815E6" w14:paraId="71F50356" w14:textId="77777777" w:rsidTr="009815E6">
        <w:tc>
          <w:tcPr>
            <w:tcW w:w="1722" w:type="dxa"/>
          </w:tcPr>
          <w:p w14:paraId="74DAF578" w14:textId="77777777" w:rsidR="009815E6" w:rsidRDefault="009815E6" w:rsidP="009815E6">
            <w:pPr>
              <w:pStyle w:val="AssignBody"/>
            </w:pPr>
            <w:proofErr w:type="spellStart"/>
            <w:r>
              <w:t>Targed</w:t>
            </w:r>
            <w:proofErr w:type="spellEnd"/>
            <w:r>
              <w:t>/Target 3</w:t>
            </w:r>
          </w:p>
        </w:tc>
        <w:tc>
          <w:tcPr>
            <w:tcW w:w="3644" w:type="dxa"/>
          </w:tcPr>
          <w:p w14:paraId="0F07F1A3" w14:textId="77777777" w:rsidR="009815E6" w:rsidRDefault="009815E6" w:rsidP="009815E6">
            <w:pPr>
              <w:pStyle w:val="AssignBody"/>
            </w:pPr>
          </w:p>
        </w:tc>
        <w:tc>
          <w:tcPr>
            <w:tcW w:w="3644" w:type="dxa"/>
          </w:tcPr>
          <w:p w14:paraId="3ECDA30D" w14:textId="77777777" w:rsidR="009815E6" w:rsidRDefault="009815E6" w:rsidP="009815E6">
            <w:pPr>
              <w:pStyle w:val="AssignBody"/>
            </w:pPr>
          </w:p>
        </w:tc>
      </w:tr>
    </w:tbl>
    <w:p w14:paraId="29D9F7B6" w14:textId="77777777" w:rsidR="009815E6" w:rsidRDefault="009815E6" w:rsidP="009815E6">
      <w:pPr>
        <w:rPr>
          <w:sz w:val="32"/>
          <w:szCs w:val="36"/>
        </w:rPr>
      </w:pPr>
    </w:p>
    <w:p w14:paraId="4460AE88" w14:textId="77777777" w:rsidR="00F55B67" w:rsidRPr="000B337A" w:rsidRDefault="00F55B67" w:rsidP="009815E6">
      <w:pPr>
        <w:rPr>
          <w:sz w:val="32"/>
          <w:szCs w:val="36"/>
        </w:rPr>
      </w:pPr>
    </w:p>
    <w:p w14:paraId="2C8D9A2C" w14:textId="4E15C82A" w:rsidR="00317CDD" w:rsidRDefault="00702C72" w:rsidP="0078639F">
      <w:r w:rsidRPr="0078639F">
        <w:rPr>
          <w:sz w:val="28"/>
          <w:szCs w:val="32"/>
        </w:rPr>
        <w:t>Cyflwyniad</w:t>
      </w:r>
      <w:r>
        <w:tab/>
      </w:r>
    </w:p>
    <w:p w14:paraId="3749DD5F" w14:textId="77777777" w:rsidR="00D76874" w:rsidRDefault="00D76874">
      <w:pPr>
        <w:rPr>
          <w:sz w:val="24"/>
          <w:szCs w:val="24"/>
        </w:rPr>
      </w:pPr>
      <w:r w:rsidRPr="00D76874">
        <w:rPr>
          <w:sz w:val="24"/>
          <w:szCs w:val="24"/>
        </w:rPr>
        <w:t xml:space="preserve">Yn yr aseiniad yma, byddaf yn edrych i werthuso’n feirniadol un o dargedau strategol fy ysgol PAP 1 yn ei Chynllun Datblygu Ysgol. Byddaf am gyflwyno’r ysgol a rhoi cefndir o’r ysgol lle byddaf wedyn yn edrych i adolygu a gwerthuso llenyddiaeth wrth ddatblygu a thrafod pwyntiau gweithredu. Ar ddiwedd yr aseiniad byddaf am adfyfyrio a gwerthuso'r hyn a drafodwyd a dod i gasgliad. O achos canllawiau BERA (2018), byddaf am gadw enw'r ysgol yn ddienw a byddaf yn ei chyfeirio fel Ysgol A yn yr aseiniad. </w:t>
      </w:r>
    </w:p>
    <w:p w14:paraId="40B99116" w14:textId="3BFD40E4" w:rsidR="00D76874" w:rsidRPr="00D76874" w:rsidRDefault="00D76874">
      <w:pPr>
        <w:rPr>
          <w:sz w:val="24"/>
          <w:szCs w:val="24"/>
        </w:rPr>
      </w:pPr>
      <w:r w:rsidRPr="00D76874">
        <w:rPr>
          <w:sz w:val="24"/>
          <w:szCs w:val="24"/>
        </w:rPr>
        <w:t>Mae Ysgol A yn ysgol wledig ac yn ysgol sydd gyda 166 disgyblion 4-11 mlwydd oed. Daw tua 52% o ddisgyblion o gartrefi lle siaradir Cymraeg gydag ychydig iawn o ddisgyblion sydd o gefndiroedd ethnig. Dros gyfnod o dair blynedd, mae tua 8% o</w:t>
      </w:r>
      <w:r>
        <w:rPr>
          <w:sz w:val="24"/>
          <w:szCs w:val="24"/>
        </w:rPr>
        <w:t xml:space="preserve"> </w:t>
      </w:r>
      <w:r w:rsidRPr="00D76874">
        <w:rPr>
          <w:sz w:val="24"/>
          <w:szCs w:val="24"/>
        </w:rPr>
        <w:t>ddisgyblion wedi bod yn gymwys i gael prydau ysgol am ddim ac mae’r ysgol wedi adnabod tua 19% o’i ddisgyblion fel rhai sydd ag anghenion dysgu ychwanegol (Estyn, 2018). Y targed strategol rwyf wedi dewis o Ysgol A yw ‘Cynnig profiadau eang a chytbwys i hwyluso datblygiad sgiliau a gwybodaeth dysgwyr drwy ddarparu cwricwlwm diddorol, pwrpasol ac ysgogol’ a byddaf yn edrych yn bennaf ar ‘datblygu defnydd pwrpasol ardal allanol y sector cynradd’ sydd yn flaenoriaeth am y flwyddyn academaidd.</w:t>
      </w:r>
    </w:p>
    <w:p w14:paraId="34B67BBA" w14:textId="03D21EFD" w:rsidR="00702C72" w:rsidRPr="005B4629" w:rsidRDefault="00702C72">
      <w:pPr>
        <w:rPr>
          <w:rFonts w:ascii="Calibri" w:eastAsia="Times New Roman" w:hAnsi="Calibri" w:cs="Calibri"/>
          <w:kern w:val="0"/>
          <w:sz w:val="28"/>
          <w:szCs w:val="28"/>
          <w14:ligatures w14:val="none"/>
        </w:rPr>
      </w:pPr>
      <w:r w:rsidRPr="005B4629">
        <w:rPr>
          <w:rFonts w:ascii="Calibri" w:eastAsia="Times New Roman" w:hAnsi="Calibri" w:cs="Calibri"/>
          <w:kern w:val="0"/>
          <w:sz w:val="28"/>
          <w:szCs w:val="28"/>
          <w14:ligatures w14:val="none"/>
        </w:rPr>
        <w:lastRenderedPageBreak/>
        <w:t>Adolygiad o’r Llenyddiaeth</w:t>
      </w:r>
    </w:p>
    <w:p w14:paraId="520F10C6" w14:textId="77777777" w:rsidR="00D76874" w:rsidRDefault="00D76874">
      <w:pPr>
        <w:rPr>
          <w:sz w:val="24"/>
          <w:szCs w:val="28"/>
        </w:rPr>
      </w:pPr>
      <w:r w:rsidRPr="00D76874">
        <w:rPr>
          <w:sz w:val="24"/>
          <w:szCs w:val="28"/>
        </w:rPr>
        <w:t xml:space="preserve">Yn y rhan yma o’r aseiniad byddaf am drafod beth yw Cynllun Datblygu Ysgol (CDY) wrth edrych ar lenyddiaeth a deddfau gan Lywodraeth Cymru. Byddaf hefyd am drafod fy mlaenoriaeth i sef datblygu defnydd pwrpasol o’r ardal allanol yn y sector cynradd wrth edrych ar lenyddiaeth sydd yn edrych ar gryfderau a gwendidau dysgu awyr agored a'i  effaith ar ddysgwyr. </w:t>
      </w:r>
    </w:p>
    <w:p w14:paraId="42E2E9B5" w14:textId="77777777" w:rsidR="00D76874" w:rsidRDefault="00D76874">
      <w:pPr>
        <w:rPr>
          <w:sz w:val="24"/>
          <w:szCs w:val="28"/>
        </w:rPr>
      </w:pPr>
      <w:r w:rsidRPr="00D76874">
        <w:rPr>
          <w:sz w:val="24"/>
          <w:szCs w:val="28"/>
        </w:rPr>
        <w:t>Ar ôl adroddiad blynyddol Estyn yn 2012-13, daethom i’r casgliad gallai hunanwerthuso a chynllunio ar gyfer gwelliant cael i wella mewn ychydig dros chwarter o ysgolion yng Nghymru (Estyn 2013) a dyma pam yn 2014 cyflwynodd Gweinidogion Cymru Rheoliadau Addysg 2014 (Cynllun Datblygu Ysgolion) (Llywodraeth Cymru, 2014). Erbyn yr 1af o Fedi ymlaen, roedd hi’n ofynnol i bob ysgol yng Nghymru i gael CDY a oedd a hyd o dair blynedd a bydda hyn yn cael i gynllunio gan bennaeth yr ysgol, disgyblion sydd wedi’u cofrestru yn yr ysgol, rhieni’r disgyblion, staff yr ysgol a cyfryw o bobl eraill ag sy’n briodol ym marn y corff llywodraethu (Llywodraeth Cymru, 2014).</w:t>
      </w:r>
    </w:p>
    <w:p w14:paraId="4B52731B" w14:textId="77777777" w:rsidR="00D76874" w:rsidRDefault="00D76874">
      <w:pPr>
        <w:rPr>
          <w:sz w:val="24"/>
          <w:szCs w:val="28"/>
        </w:rPr>
      </w:pPr>
      <w:r w:rsidRPr="00D76874">
        <w:rPr>
          <w:sz w:val="24"/>
          <w:szCs w:val="28"/>
        </w:rPr>
        <w:t xml:space="preserve">Dogfen strategol yw Cynllun Datblygu Ysgol sydd yn nodi’r cynllun gweithredu a’r nodau hirdymor i wella addysg, lles, a gweithgareddau mewn ysgol (Llywodraeth Cymru, 2014). Mae’r cynllun yn aml yn cynnwys dadansoddiad o gryfderau a gwendidau’r ysgol, asesiad o anghenion dysgu a seiliedig ar ddata, a phrosiectau neu feysydd y mae angen buddsoddiad neu ddadansoddiad pellach ynddynt (Llywodraeth Cymru, 2014). Mae’r Cynllun Datblygu Ysgol hefyd yn egluro strategaeth ar gyfer hyfforddiant staff, newidiadau cwricwlwm, ac arwain at wella perthnasoedd rhwng yr ysgol, rhieni a’r gymuned leol (Llywodraeth Cymru, 2014). </w:t>
      </w:r>
    </w:p>
    <w:p w14:paraId="1F5E40D8" w14:textId="6E44AD1B" w:rsidR="0078639F" w:rsidRDefault="0078639F">
      <w:pPr>
        <w:rPr>
          <w:sz w:val="24"/>
          <w:szCs w:val="28"/>
        </w:rPr>
      </w:pPr>
      <w:r>
        <w:rPr>
          <w:sz w:val="24"/>
          <w:szCs w:val="28"/>
        </w:rPr>
        <w:t>U</w:t>
      </w:r>
      <w:r w:rsidR="00BB2069">
        <w:rPr>
          <w:sz w:val="24"/>
          <w:szCs w:val="28"/>
        </w:rPr>
        <w:t>n</w:t>
      </w:r>
      <w:r w:rsidR="00D76874" w:rsidRPr="00D76874">
        <w:rPr>
          <w:sz w:val="24"/>
          <w:szCs w:val="28"/>
        </w:rPr>
        <w:t xml:space="preserve"> gair sydd yn dod i fyny yn aml wrth edrych ar CDY yw ‘hunanwerthuso’ ac yn syml dyna beth yw CDY. Mae gofyn i ysgolion i werthuso ar berfformiad eu hun yn flynyddol wrth gynllunio’r CDY er mwyn gweld meysydd sydd o gryfder a meysydd sydd angen wella yn yr ysgol. Yn ôl (Boud &amp; Falchikov, 2007) mae hunanwerthuso wedi disgrifio fel proses lle mae myfyrwyr neu unigolyn yn adolygu ac yn gwerthuso eu perfformiad, eu dysgu neu eu gwaith eu hun, gan ddefnyddio beirniadaeth a barn eu hun fel adnodd dysgu allweddol. Yn yr achos yma'r unigolion bydda’r athrawon a fydd yn rheolaidd yn gwerthuso yn flynyddol y CDY yn ogystal byddant yn monitro a gwerthuso'r blaenoriaethau pob tymor i sicrhau eu bod nhw ar y trywydd cywir neu fod angen bach o waith ar y flaenoriaeth yma (Llywodraeth Cymru, 2014).</w:t>
      </w:r>
    </w:p>
    <w:p w14:paraId="22AC9333" w14:textId="736772F7" w:rsidR="0078639F" w:rsidRDefault="0078639F">
      <w:pPr>
        <w:rPr>
          <w:sz w:val="24"/>
          <w:szCs w:val="28"/>
        </w:rPr>
      </w:pPr>
    </w:p>
    <w:p w14:paraId="46B80D54" w14:textId="616439F9" w:rsidR="0078639F" w:rsidRDefault="0078639F">
      <w:pPr>
        <w:rPr>
          <w:sz w:val="24"/>
          <w:szCs w:val="28"/>
        </w:rPr>
      </w:pPr>
    </w:p>
    <w:p w14:paraId="21B01B5D" w14:textId="77777777" w:rsidR="0078639F" w:rsidRDefault="0078639F">
      <w:pPr>
        <w:rPr>
          <w:sz w:val="24"/>
          <w:szCs w:val="28"/>
        </w:rPr>
      </w:pPr>
    </w:p>
    <w:p w14:paraId="5DA680E1" w14:textId="77777777" w:rsidR="0078639F" w:rsidRDefault="0078639F">
      <w:pPr>
        <w:rPr>
          <w:sz w:val="24"/>
          <w:szCs w:val="28"/>
        </w:rPr>
      </w:pPr>
    </w:p>
    <w:p w14:paraId="59AE6259" w14:textId="5BB1C457" w:rsidR="0078639F" w:rsidRDefault="00F55B67">
      <w:pPr>
        <w:rPr>
          <w:sz w:val="24"/>
          <w:szCs w:val="28"/>
        </w:rPr>
      </w:pPr>
      <w:r>
        <w:rPr>
          <w:noProof/>
          <w:sz w:val="24"/>
          <w:szCs w:val="28"/>
        </w:rPr>
        <w:lastRenderedPageBreak/>
        <w:drawing>
          <wp:anchor distT="0" distB="0" distL="114300" distR="114300" simplePos="0" relativeHeight="251658240" behindDoc="1" locked="0" layoutInCell="1" allowOverlap="1" wp14:anchorId="67E55AFE" wp14:editId="22FE179F">
            <wp:simplePos x="0" y="0"/>
            <wp:positionH relativeFrom="column">
              <wp:posOffset>1209823</wp:posOffset>
            </wp:positionH>
            <wp:positionV relativeFrom="paragraph">
              <wp:posOffset>130</wp:posOffset>
            </wp:positionV>
            <wp:extent cx="2995490" cy="3117086"/>
            <wp:effectExtent l="0" t="0" r="1905" b="0"/>
            <wp:wrapTight wrapText="bothSides">
              <wp:wrapPolygon edited="0">
                <wp:start x="0" y="0"/>
                <wp:lineTo x="0" y="21477"/>
                <wp:lineTo x="21522" y="21477"/>
                <wp:lineTo x="21522" y="0"/>
                <wp:lineTo x="0" y="0"/>
              </wp:wrapPolygon>
            </wp:wrapTight>
            <wp:docPr id="1256818821" name="Picture 1" descr="A diagram of a group of green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818821" name="Picture 1" descr="A diagram of a group of green circles with white text&#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005834" cy="3127850"/>
                    </a:xfrm>
                    <a:prstGeom prst="rect">
                      <a:avLst/>
                    </a:prstGeom>
                  </pic:spPr>
                </pic:pic>
              </a:graphicData>
            </a:graphic>
            <wp14:sizeRelH relativeFrom="page">
              <wp14:pctWidth>0</wp14:pctWidth>
            </wp14:sizeRelH>
            <wp14:sizeRelV relativeFrom="page">
              <wp14:pctHeight>0</wp14:pctHeight>
            </wp14:sizeRelV>
          </wp:anchor>
        </w:drawing>
      </w:r>
    </w:p>
    <w:p w14:paraId="207CA34F" w14:textId="77777777" w:rsidR="0078639F" w:rsidRDefault="0078639F">
      <w:pPr>
        <w:rPr>
          <w:sz w:val="24"/>
          <w:szCs w:val="28"/>
        </w:rPr>
      </w:pPr>
    </w:p>
    <w:p w14:paraId="3D644DB9" w14:textId="05EFD1D1" w:rsidR="0078639F" w:rsidRDefault="0078639F">
      <w:pPr>
        <w:rPr>
          <w:sz w:val="24"/>
          <w:szCs w:val="28"/>
        </w:rPr>
      </w:pPr>
    </w:p>
    <w:p w14:paraId="52C8F41D" w14:textId="26B8703F" w:rsidR="0078639F" w:rsidRDefault="0078639F">
      <w:pPr>
        <w:rPr>
          <w:sz w:val="24"/>
          <w:szCs w:val="28"/>
        </w:rPr>
      </w:pPr>
    </w:p>
    <w:p w14:paraId="4B97EC58" w14:textId="22735E7F" w:rsidR="00D76874" w:rsidRDefault="00D76874" w:rsidP="00D76874">
      <w:pPr>
        <w:spacing w:before="100" w:beforeAutospacing="1" w:after="100" w:afterAutospacing="1" w:line="240" w:lineRule="auto"/>
        <w:rPr>
          <w:sz w:val="24"/>
          <w:szCs w:val="28"/>
        </w:rPr>
      </w:pPr>
    </w:p>
    <w:p w14:paraId="46E81AC5" w14:textId="051115A5" w:rsidR="00F55B67" w:rsidRDefault="00F55B67" w:rsidP="00D76874">
      <w:pPr>
        <w:spacing w:before="100" w:beforeAutospacing="1" w:after="100" w:afterAutospacing="1" w:line="240" w:lineRule="auto"/>
        <w:rPr>
          <w:sz w:val="24"/>
          <w:szCs w:val="28"/>
        </w:rPr>
      </w:pPr>
    </w:p>
    <w:p w14:paraId="32F1FE78" w14:textId="638334F0" w:rsidR="00F55B67" w:rsidRDefault="00F55B67" w:rsidP="00D76874">
      <w:pPr>
        <w:spacing w:before="100" w:beforeAutospacing="1" w:after="100" w:afterAutospacing="1" w:line="240" w:lineRule="auto"/>
        <w:rPr>
          <w:sz w:val="24"/>
          <w:szCs w:val="28"/>
        </w:rPr>
      </w:pPr>
    </w:p>
    <w:p w14:paraId="31E2D51A" w14:textId="6322E711" w:rsidR="00F55B67" w:rsidRDefault="00F55B67" w:rsidP="00D76874">
      <w:pPr>
        <w:spacing w:before="100" w:beforeAutospacing="1" w:after="100" w:afterAutospacing="1" w:line="240" w:lineRule="auto"/>
        <w:rPr>
          <w:sz w:val="24"/>
          <w:szCs w:val="28"/>
        </w:rPr>
      </w:pPr>
    </w:p>
    <w:p w14:paraId="7A09A061" w14:textId="3FFEE6A3" w:rsidR="00F55B67" w:rsidRDefault="00F55B67" w:rsidP="00D76874">
      <w:pPr>
        <w:spacing w:before="100" w:beforeAutospacing="1" w:after="100" w:afterAutospacing="1" w:line="240" w:lineRule="auto"/>
        <w:rPr>
          <w:sz w:val="24"/>
          <w:szCs w:val="28"/>
        </w:rPr>
      </w:pPr>
    </w:p>
    <w:p w14:paraId="542C47F0" w14:textId="30E2C086" w:rsidR="00F55B67" w:rsidRDefault="00F55B67" w:rsidP="00D76874">
      <w:pPr>
        <w:spacing w:before="100" w:beforeAutospacing="1" w:after="100" w:afterAutospacing="1" w:line="240" w:lineRule="auto"/>
        <w:rPr>
          <w:sz w:val="24"/>
          <w:szCs w:val="28"/>
        </w:rPr>
      </w:pPr>
      <w:r>
        <w:rPr>
          <w:noProof/>
          <w:sz w:val="24"/>
          <w:szCs w:val="28"/>
        </w:rPr>
        <mc:AlternateContent>
          <mc:Choice Requires="wps">
            <w:drawing>
              <wp:anchor distT="0" distB="0" distL="114300" distR="114300" simplePos="0" relativeHeight="251659264" behindDoc="0" locked="0" layoutInCell="1" allowOverlap="1" wp14:anchorId="43107818" wp14:editId="29150601">
                <wp:simplePos x="0" y="0"/>
                <wp:positionH relativeFrom="column">
                  <wp:posOffset>497938</wp:posOffset>
                </wp:positionH>
                <wp:positionV relativeFrom="paragraph">
                  <wp:posOffset>95153</wp:posOffset>
                </wp:positionV>
                <wp:extent cx="4281055" cy="457200"/>
                <wp:effectExtent l="0" t="0" r="0" b="0"/>
                <wp:wrapNone/>
                <wp:docPr id="1740997081" name="Text Box 2"/>
                <wp:cNvGraphicFramePr/>
                <a:graphic xmlns:a="http://schemas.openxmlformats.org/drawingml/2006/main">
                  <a:graphicData uri="http://schemas.microsoft.com/office/word/2010/wordprocessingShape">
                    <wps:wsp>
                      <wps:cNvSpPr txBox="1"/>
                      <wps:spPr>
                        <a:xfrm>
                          <a:off x="0" y="0"/>
                          <a:ext cx="4281055" cy="457200"/>
                        </a:xfrm>
                        <a:prstGeom prst="rect">
                          <a:avLst/>
                        </a:prstGeom>
                        <a:solidFill>
                          <a:schemeClr val="lt1"/>
                        </a:solidFill>
                        <a:ln w="6350">
                          <a:noFill/>
                        </a:ln>
                      </wps:spPr>
                      <wps:txbx>
                        <w:txbxContent>
                          <w:p w14:paraId="4AEB0A5D" w14:textId="311C0EE4" w:rsidR="0078639F" w:rsidRPr="0078639F" w:rsidRDefault="0078639F">
                            <w:pPr>
                              <w:rPr>
                                <w:sz w:val="24"/>
                                <w:szCs w:val="28"/>
                              </w:rPr>
                            </w:pPr>
                            <w:r w:rsidRPr="0078639F">
                              <w:rPr>
                                <w:sz w:val="24"/>
                                <w:szCs w:val="28"/>
                              </w:rPr>
                              <w:t>Ffigwr 1. Cylch llunio Cynllun Datblygu</w:t>
                            </w:r>
                            <w:r>
                              <w:rPr>
                                <w:sz w:val="24"/>
                                <w:szCs w:val="28"/>
                              </w:rPr>
                              <w:t xml:space="preserve"> (Llywodraeth Cymru,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3107818" id="_x0000_t202" coordsize="21600,21600" o:spt="202" path="m,l,21600r21600,l21600,xe">
                <v:stroke joinstyle="miter"/>
                <v:path gradientshapeok="t" o:connecttype="rect"/>
              </v:shapetype>
              <v:shape id="Text Box 2" o:spid="_x0000_s1026" type="#_x0000_t202" style="position:absolute;margin-left:39.2pt;margin-top:7.5pt;width:337.1pt;height:3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" fillcolor="white [3201]" stroked="f" strokeweight=".5pt">
                <v:textbox>
                  <w:txbxContent>
                    <w:p w14:paraId="4AEB0A5D" w14:textId="311C0EE4" w:rsidR="0078639F" w:rsidRPr="0078639F" w:rsidRDefault="0078639F">
                      <w:pPr>
                        <w:rPr>
                          <w:sz w:val="24"/>
                          <w:szCs w:val="28"/>
                        </w:rPr>
                      </w:pPr>
                      <w:r w:rsidRPr="0078639F">
                        <w:rPr>
                          <w:sz w:val="24"/>
                          <w:szCs w:val="28"/>
                        </w:rPr>
                        <w:t>Ffigwr 1. Cylch llunio Cynllun Datblygu</w:t>
                      </w:r>
                      <w:r>
                        <w:rPr>
                          <w:sz w:val="24"/>
                          <w:szCs w:val="28"/>
                        </w:rPr>
                        <w:t xml:space="preserve"> (Llywodraeth Cymru, 2014)</w:t>
                      </w:r>
                    </w:p>
                  </w:txbxContent>
                </v:textbox>
              </v:shape>
            </w:pict>
          </mc:Fallback>
        </mc:AlternateContent>
      </w:r>
    </w:p>
    <w:p w14:paraId="7E09872A" w14:textId="77777777" w:rsidR="00F55B67" w:rsidRDefault="00F55B67" w:rsidP="00D76874">
      <w:pPr>
        <w:spacing w:before="100" w:beforeAutospacing="1" w:after="100" w:afterAutospacing="1" w:line="240" w:lineRule="auto"/>
        <w:rPr>
          <w:sz w:val="24"/>
          <w:szCs w:val="28"/>
        </w:rPr>
      </w:pPr>
    </w:p>
    <w:p w14:paraId="2610F3BC" w14:textId="41D0B055" w:rsidR="00D76874" w:rsidRDefault="00D76874" w:rsidP="00D76874">
      <w:pPr>
        <w:spacing w:before="100" w:beforeAutospacing="1" w:after="100" w:afterAutospacing="1" w:line="240" w:lineRule="auto"/>
        <w:rPr>
          <w:sz w:val="24"/>
          <w:szCs w:val="28"/>
        </w:rPr>
      </w:pPr>
      <w:r w:rsidRPr="00D76874">
        <w:rPr>
          <w:sz w:val="24"/>
          <w:szCs w:val="28"/>
        </w:rPr>
        <w:t xml:space="preserve">Wrth edrych ar ffigwr 1 sef cylch llunio Cynllun Datblygu Ysgol, rydym yn gallu gweld y camau sydd angen cymryd er mwyn cynllunio CDY. Dyma’r camau holl bwysig wrth gynllunio CDY gyda phwyslais mawr ar bwysigrwydd hunanwerthuso ac adolygu’r effaith. Wrth hunanwerthuso dyma’r broses mae ysgolion yn adolygu eu perfformiad er mwyn cynllunio ar gyfer gwelliant cynaliadwy ac mae'n helpu ysgolion i nodi meysydd cryfder, meysydd i’w ddatblygu, a’r camau i’w cymryd i wella. Wrth hunanwerthuso mae ysgolion yn gweithio drwy dri chwestiwn allweddol: </w:t>
      </w:r>
    </w:p>
    <w:p w14:paraId="150F4933" w14:textId="39257338" w:rsidR="0078639F" w:rsidRPr="00D76874" w:rsidRDefault="0078639F" w:rsidP="00D76874">
      <w:pPr>
        <w:pStyle w:val="ListParagraph"/>
        <w:numPr>
          <w:ilvl w:val="0"/>
          <w:numId w:val="11"/>
        </w:numPr>
        <w:spacing w:before="100" w:beforeAutospacing="1" w:after="100" w:afterAutospacing="1"/>
        <w:rPr>
          <w:rFonts w:eastAsia="Times New Roman" w:cstheme="minorHAnsi"/>
          <w:color w:val="000000"/>
          <w:kern w:val="0"/>
          <w:sz w:val="24"/>
          <w:szCs w:val="24"/>
          <w:lang w:val="en-GB" w:eastAsia="en-GB"/>
          <w14:ligatures w14:val="none"/>
        </w:rPr>
      </w:pPr>
      <w:r w:rsidRPr="00D76874">
        <w:rPr>
          <w:rFonts w:eastAsia="Times New Roman" w:cstheme="minorHAnsi"/>
          <w:color w:val="000000"/>
          <w:kern w:val="0"/>
          <w:sz w:val="24"/>
          <w:szCs w:val="24"/>
          <w:lang w:val="en-GB" w:eastAsia="en-GB"/>
          <w14:ligatures w14:val="none"/>
        </w:rPr>
        <w:t xml:space="preserve">Pa mor </w:t>
      </w:r>
      <w:proofErr w:type="spellStart"/>
      <w:r w:rsidRPr="00D76874">
        <w:rPr>
          <w:rFonts w:eastAsia="Times New Roman" w:cstheme="minorHAnsi"/>
          <w:color w:val="000000"/>
          <w:kern w:val="0"/>
          <w:sz w:val="24"/>
          <w:szCs w:val="24"/>
          <w:lang w:val="en-GB" w:eastAsia="en-GB"/>
          <w14:ligatures w14:val="none"/>
        </w:rPr>
        <w:t>dda</w:t>
      </w:r>
      <w:proofErr w:type="spellEnd"/>
      <w:r w:rsidRPr="00D76874">
        <w:rPr>
          <w:rFonts w:eastAsia="Times New Roman" w:cstheme="minorHAnsi"/>
          <w:color w:val="000000"/>
          <w:kern w:val="0"/>
          <w:sz w:val="24"/>
          <w:szCs w:val="24"/>
          <w:lang w:val="en-GB" w:eastAsia="en-GB"/>
          <w14:ligatures w14:val="none"/>
        </w:rPr>
        <w:t xml:space="preserve"> </w:t>
      </w:r>
      <w:proofErr w:type="spellStart"/>
      <w:r w:rsidRPr="00D76874">
        <w:rPr>
          <w:rFonts w:eastAsia="Times New Roman" w:cstheme="minorHAnsi"/>
          <w:color w:val="000000"/>
          <w:kern w:val="0"/>
          <w:sz w:val="24"/>
          <w:szCs w:val="24"/>
          <w:lang w:val="en-GB" w:eastAsia="en-GB"/>
          <w14:ligatures w14:val="none"/>
        </w:rPr>
        <w:t>ydym</w:t>
      </w:r>
      <w:proofErr w:type="spellEnd"/>
      <w:r w:rsidRPr="00D76874">
        <w:rPr>
          <w:rFonts w:eastAsia="Times New Roman" w:cstheme="minorHAnsi"/>
          <w:color w:val="000000"/>
          <w:kern w:val="0"/>
          <w:sz w:val="24"/>
          <w:szCs w:val="24"/>
          <w:lang w:val="en-GB" w:eastAsia="en-GB"/>
          <w14:ligatures w14:val="none"/>
        </w:rPr>
        <w:t xml:space="preserve"> </w:t>
      </w:r>
      <w:proofErr w:type="spellStart"/>
      <w:r w:rsidRPr="00D76874">
        <w:rPr>
          <w:rFonts w:eastAsia="Times New Roman" w:cstheme="minorHAnsi"/>
          <w:color w:val="000000"/>
          <w:kern w:val="0"/>
          <w:sz w:val="24"/>
          <w:szCs w:val="24"/>
          <w:lang w:val="en-GB" w:eastAsia="en-GB"/>
          <w14:ligatures w14:val="none"/>
        </w:rPr>
        <w:t>yn</w:t>
      </w:r>
      <w:proofErr w:type="spellEnd"/>
      <w:r w:rsidRPr="00D76874">
        <w:rPr>
          <w:rFonts w:eastAsia="Times New Roman" w:cstheme="minorHAnsi"/>
          <w:color w:val="000000"/>
          <w:kern w:val="0"/>
          <w:sz w:val="24"/>
          <w:szCs w:val="24"/>
          <w:lang w:val="en-GB" w:eastAsia="en-GB"/>
          <w14:ligatures w14:val="none"/>
        </w:rPr>
        <w:t xml:space="preserve"> </w:t>
      </w:r>
      <w:proofErr w:type="spellStart"/>
      <w:r w:rsidRPr="00D76874">
        <w:rPr>
          <w:rFonts w:eastAsia="Times New Roman" w:cstheme="minorHAnsi"/>
          <w:color w:val="000000"/>
          <w:kern w:val="0"/>
          <w:sz w:val="24"/>
          <w:szCs w:val="24"/>
          <w:lang w:val="en-GB" w:eastAsia="en-GB"/>
          <w14:ligatures w14:val="none"/>
        </w:rPr>
        <w:t>gwneud</w:t>
      </w:r>
      <w:proofErr w:type="spellEnd"/>
      <w:r w:rsidRPr="00D76874">
        <w:rPr>
          <w:rFonts w:eastAsia="Times New Roman" w:cstheme="minorHAnsi"/>
          <w:color w:val="000000"/>
          <w:kern w:val="0"/>
          <w:sz w:val="24"/>
          <w:szCs w:val="24"/>
          <w:lang w:val="en-GB" w:eastAsia="en-GB"/>
          <w14:ligatures w14:val="none"/>
        </w:rPr>
        <w:t>?</w:t>
      </w:r>
    </w:p>
    <w:p w14:paraId="0677F6DB" w14:textId="77777777" w:rsidR="0078639F" w:rsidRPr="0078639F" w:rsidRDefault="0078639F" w:rsidP="0078639F">
      <w:pPr>
        <w:numPr>
          <w:ilvl w:val="0"/>
          <w:numId w:val="11"/>
        </w:numPr>
        <w:spacing w:before="100" w:beforeAutospacing="1" w:after="100" w:afterAutospacing="1" w:line="240" w:lineRule="auto"/>
        <w:rPr>
          <w:rFonts w:eastAsia="Times New Roman" w:cstheme="minorHAnsi"/>
          <w:color w:val="000000"/>
          <w:kern w:val="0"/>
          <w:sz w:val="24"/>
          <w:szCs w:val="24"/>
          <w:lang w:val="en-GB" w:eastAsia="en-GB"/>
          <w14:ligatures w14:val="none"/>
        </w:rPr>
      </w:pPr>
      <w:r w:rsidRPr="0078639F">
        <w:rPr>
          <w:rFonts w:eastAsia="Times New Roman" w:cstheme="minorHAnsi"/>
          <w:color w:val="000000"/>
          <w:kern w:val="0"/>
          <w:sz w:val="24"/>
          <w:szCs w:val="24"/>
          <w:lang w:val="en-GB" w:eastAsia="en-GB"/>
          <w14:ligatures w14:val="none"/>
        </w:rPr>
        <w:t xml:space="preserve">Sut </w:t>
      </w:r>
      <w:proofErr w:type="spellStart"/>
      <w:r w:rsidRPr="0078639F">
        <w:rPr>
          <w:rFonts w:eastAsia="Times New Roman" w:cstheme="minorHAnsi"/>
          <w:color w:val="000000"/>
          <w:kern w:val="0"/>
          <w:sz w:val="24"/>
          <w:szCs w:val="24"/>
          <w:lang w:val="en-GB" w:eastAsia="en-GB"/>
          <w14:ligatures w14:val="none"/>
        </w:rPr>
        <w:t>ydym</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yn</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gwybod</w:t>
      </w:r>
      <w:proofErr w:type="spellEnd"/>
      <w:r w:rsidRPr="0078639F">
        <w:rPr>
          <w:rFonts w:eastAsia="Times New Roman" w:cstheme="minorHAnsi"/>
          <w:color w:val="000000"/>
          <w:kern w:val="0"/>
          <w:sz w:val="24"/>
          <w:szCs w:val="24"/>
          <w:lang w:val="en-GB" w:eastAsia="en-GB"/>
          <w14:ligatures w14:val="none"/>
        </w:rPr>
        <w:t>?</w:t>
      </w:r>
    </w:p>
    <w:p w14:paraId="4345F46B" w14:textId="77777777" w:rsidR="0078639F" w:rsidRPr="0078639F" w:rsidRDefault="0078639F" w:rsidP="0078639F">
      <w:pPr>
        <w:numPr>
          <w:ilvl w:val="0"/>
          <w:numId w:val="11"/>
        </w:numPr>
        <w:spacing w:before="100" w:beforeAutospacing="1" w:after="100" w:afterAutospacing="1" w:line="240" w:lineRule="auto"/>
        <w:rPr>
          <w:rFonts w:eastAsia="Times New Roman" w:cstheme="minorHAnsi"/>
          <w:color w:val="000000"/>
          <w:kern w:val="0"/>
          <w:sz w:val="24"/>
          <w:szCs w:val="24"/>
          <w:lang w:val="en-GB" w:eastAsia="en-GB"/>
          <w14:ligatures w14:val="none"/>
        </w:rPr>
      </w:pPr>
      <w:r w:rsidRPr="0078639F">
        <w:rPr>
          <w:rFonts w:eastAsia="Times New Roman" w:cstheme="minorHAnsi"/>
          <w:color w:val="000000"/>
          <w:kern w:val="0"/>
          <w:sz w:val="24"/>
          <w:szCs w:val="24"/>
          <w:lang w:val="en-GB" w:eastAsia="en-GB"/>
          <w14:ligatures w14:val="none"/>
        </w:rPr>
        <w:t xml:space="preserve">Sut </w:t>
      </w:r>
      <w:proofErr w:type="spellStart"/>
      <w:r w:rsidRPr="0078639F">
        <w:rPr>
          <w:rFonts w:eastAsia="Times New Roman" w:cstheme="minorHAnsi"/>
          <w:color w:val="000000"/>
          <w:kern w:val="0"/>
          <w:sz w:val="24"/>
          <w:szCs w:val="24"/>
          <w:lang w:val="en-GB" w:eastAsia="en-GB"/>
          <w14:ligatures w14:val="none"/>
        </w:rPr>
        <w:t>gallwn</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ni</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wella</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pethau</w:t>
      </w:r>
      <w:proofErr w:type="spellEnd"/>
      <w:r w:rsidRPr="0078639F">
        <w:rPr>
          <w:rFonts w:eastAsia="Times New Roman" w:cstheme="minorHAnsi"/>
          <w:color w:val="000000"/>
          <w:kern w:val="0"/>
          <w:sz w:val="24"/>
          <w:szCs w:val="24"/>
          <w:lang w:val="en-GB" w:eastAsia="en-GB"/>
          <w14:ligatures w14:val="none"/>
        </w:rPr>
        <w:t xml:space="preserve"> </w:t>
      </w:r>
      <w:proofErr w:type="spellStart"/>
      <w:r w:rsidRPr="0078639F">
        <w:rPr>
          <w:rFonts w:eastAsia="Times New Roman" w:cstheme="minorHAnsi"/>
          <w:color w:val="000000"/>
          <w:kern w:val="0"/>
          <w:sz w:val="24"/>
          <w:szCs w:val="24"/>
          <w:lang w:val="en-GB" w:eastAsia="en-GB"/>
          <w14:ligatures w14:val="none"/>
        </w:rPr>
        <w:t>ymhellach</w:t>
      </w:r>
      <w:proofErr w:type="spellEnd"/>
      <w:r w:rsidRPr="0078639F">
        <w:rPr>
          <w:rFonts w:eastAsia="Times New Roman" w:cstheme="minorHAnsi"/>
          <w:color w:val="000000"/>
          <w:kern w:val="0"/>
          <w:sz w:val="24"/>
          <w:szCs w:val="24"/>
          <w:lang w:val="en-GB" w:eastAsia="en-GB"/>
          <w14:ligatures w14:val="none"/>
        </w:rPr>
        <w:t>?</w:t>
      </w:r>
    </w:p>
    <w:p w14:paraId="355617AB" w14:textId="517040F5" w:rsidR="0078639F" w:rsidRPr="0078639F" w:rsidRDefault="0078639F" w:rsidP="0078639F">
      <w:pPr>
        <w:ind w:left="360"/>
        <w:rPr>
          <w:sz w:val="24"/>
          <w:szCs w:val="28"/>
        </w:rPr>
      </w:pPr>
    </w:p>
    <w:p w14:paraId="4C3821FA" w14:textId="356219E6" w:rsidR="0078639F" w:rsidRPr="00CC001F" w:rsidRDefault="00D76874">
      <w:pPr>
        <w:rPr>
          <w:sz w:val="24"/>
          <w:szCs w:val="28"/>
        </w:rPr>
      </w:pPr>
      <w:r w:rsidRPr="00D76874">
        <w:rPr>
          <w:sz w:val="24"/>
          <w:szCs w:val="28"/>
        </w:rPr>
        <w:t>Mae adolygu effaith ar ddiwedd cylch llunio CDY yn bwysig gan mae dyma le fydd yr ysgol yn adfyfyrio ar eu perfformiad yn ystod y flwyddyn ac maen pwysig fod CDY yn ddogfennau sy’n byw er mwyn bod nhw yn gallu monitro’n rheolaidd a bod nhw’n cael eu hadolygu a’u diwygio o leiaf bob blwyddyn. Mae’n rhaid i’r corff llywodraethu sicrhau bod y cynllun yn cael ei fonitro ac adolygu’n flynyddol neu ar ôl arolygiad Estyn, pa un bynnag sydd gyntaf. Os caiff y cynllun ei ddiwygio ar ôl arolygiad, rhaid gwneud hynny o fewn yr amserlen ofynnol yn unol â Rheoliadau Addysg (Arolygu Ysgolion) (Cymru, 2006).</w:t>
      </w:r>
    </w:p>
    <w:p w14:paraId="04F88EAD" w14:textId="77777777" w:rsidR="00D76874" w:rsidRDefault="00D76874" w:rsidP="0078639F">
      <w:pPr>
        <w:rPr>
          <w:sz w:val="24"/>
          <w:szCs w:val="28"/>
        </w:rPr>
      </w:pPr>
      <w:r w:rsidRPr="00D76874">
        <w:rPr>
          <w:sz w:val="24"/>
          <w:szCs w:val="28"/>
        </w:rPr>
        <w:t xml:space="preserve">Yn Ysgol A, un o’i blaenoriaethau oedd datblygu defnydd pwrpasol yr ardal allanol y sector cynradd. Mae’r ysgol wedi dewis hyn fel un o’i flaenoriaethau oherwydd eu bod nhw eisiau edrych i ddarparu a chynnig profiadau eang a chytbwys i hwyluso datblygiad sgiliau a </w:t>
      </w:r>
      <w:r w:rsidRPr="00D76874">
        <w:rPr>
          <w:sz w:val="24"/>
          <w:szCs w:val="28"/>
        </w:rPr>
        <w:lastRenderedPageBreak/>
        <w:t xml:space="preserve">gwybodaeth dysgwyr drwy ddarparu cwricwlwm diddorol, pwrpasol ac ysgogol. Mae dysgu yn yr awyr agored yn ddull sydd yn wahanol i’r arfer i gymharu gyda dysgu yn yr ystafell ddosbarth. Mae’n ddull sy’n cyfeirio ar addysgu sy’n defnyddio amgylcheddau allanol fel coedwigoedd, gerddi, parciau a mannau naturiol- fel llais dysgu ymarferol a chreadigol, yn lle rheoli fod dysgu yn yr ystafell ddosbarth traddodiadol. </w:t>
      </w:r>
    </w:p>
    <w:p w14:paraId="7CB8481D" w14:textId="49A134DE" w:rsidR="00D76874" w:rsidRDefault="00D76874" w:rsidP="0078639F">
      <w:pPr>
        <w:rPr>
          <w:sz w:val="24"/>
          <w:szCs w:val="28"/>
        </w:rPr>
      </w:pPr>
      <w:r w:rsidRPr="00D76874">
        <w:rPr>
          <w:sz w:val="24"/>
          <w:szCs w:val="28"/>
        </w:rPr>
        <w:t xml:space="preserve">Yn hytrach na chanolbwyntio ar dargedu gwybodaeth mewn cyfyngiadau neu ffiniau ystafell ddosbarth, mae dysgu yn yr awyr agored yn annog myfyrwyr i ddysgu drwy brofi, ymchwilio a rhyngweithio yn uniongyrchol a’r byd naturiol o’u cwmpas (Bilton, 2010). Mae astudiaeth achos gan Ysgol Hiraddug yn trafod eu prosiect ‘Ystafell Ddosbarth Awyr Agored a Gardd”. Mae’r ysgol wedi creu ardal ddysgu awyr agored a gardd i wella profiadau dysgu disgyblion, yn enwedig disgyblion Cyfnod Allweddol 2. Mae'r prosiect yn canolbwyntio ar ddysgu trwy arbrofi  (Piaget, 1952), lle mae disgyblion yn cysylltu pynciau academaidd— fel mathemateg a gwyddoniaeth— â phrofiadau bywyd go iawn mewn amgylchedd naturiol (Waite, 2011). Drwy weithgareddau fel mesur, adnabod patrymau a gweithio mewn grwpiau, mae disgyblion yn datblygu eu hymgysylltiad, sgiliau cydweithredol a dealltwriaeth ddyfnach o'r pynciau a ddysgir (Waite, 2011). </w:t>
      </w:r>
    </w:p>
    <w:p w14:paraId="62DAA952" w14:textId="77777777" w:rsidR="00D76874" w:rsidRDefault="00D76874" w:rsidP="0078639F">
      <w:pPr>
        <w:rPr>
          <w:sz w:val="24"/>
          <w:szCs w:val="28"/>
        </w:rPr>
      </w:pPr>
      <w:r w:rsidRPr="00D76874">
        <w:rPr>
          <w:sz w:val="24"/>
          <w:szCs w:val="28"/>
        </w:rPr>
        <w:t>Er bod heriau fel trefnu, cyllid a hyfforddiant athrawon yn cael eu hwynebu (Waite, 2011), mae manteision y prosiect yn amlwg wrth godi ymwybyddiaeth amgylcheddol a gwella dysgu mewn amgylchedd bywiog. Dywedodd un o’r disgyblion “Rwy’n meddwl bod yr ystafell ddosbarth awyr agored yn anhygoel ac yn hwyl. Rydyn ni’n gwneud llawer o blannu a thyfu blodau. Roedd yn hwyl pan plannon ni datws a’u gwerthu hefyd. Roeddwn i’n dwlu ar yr ystafell ddosbarth awyr agored achos roedd Mrs Currums wedi’i gwneud hi’n hwyl bob tro” (Cadwch Cymru'n Daclus, n.d.). Mae llais y disgybl yn holl bwysig ac maen grêt clywed fod dysgu yn yr awyr agored yn cael effaith positif ar y disgyblion a bod rôl yr athrawon yn chwarae rôl bwysig yn y dysgu hefyd wrth iddi ddweud fod yr athrawes yn gwneud hi’n hwylus. Mae’r amgylchedd awyr agored yn cynnig heriau annisgwyl sy’n annog plant i feddwl yn feirniadol a datblygu sgiliau datrys problemau. Mae hyn yn cyd-fynd a damcaniaethau dysgu adeiladol sy’n pwysleisio dysgu trwy brofiad (Piaget, 1952).</w:t>
      </w:r>
    </w:p>
    <w:p w14:paraId="17FDE50D" w14:textId="77777777" w:rsidR="009815E6" w:rsidRPr="009815E6" w:rsidRDefault="009815E6" w:rsidP="009815E6">
      <w:pPr>
        <w:rPr>
          <w:sz w:val="24"/>
          <w:szCs w:val="28"/>
        </w:rPr>
      </w:pPr>
      <w:r w:rsidRPr="009815E6">
        <w:rPr>
          <w:sz w:val="24"/>
          <w:szCs w:val="28"/>
        </w:rPr>
        <w:t xml:space="preserve">Er bod 'na llawer o fanteision o ddysgu yn yr awyr agored, mae 'na hefyd rhai anfanteision. </w:t>
      </w:r>
    </w:p>
    <w:p w14:paraId="62247D5C" w14:textId="3E2C580C" w:rsidR="0078639F" w:rsidRDefault="009815E6" w:rsidP="009815E6">
      <w:pPr>
        <w:rPr>
          <w:sz w:val="24"/>
          <w:szCs w:val="28"/>
        </w:rPr>
      </w:pPr>
      <w:r w:rsidRPr="009815E6">
        <w:rPr>
          <w:sz w:val="24"/>
          <w:szCs w:val="28"/>
        </w:rPr>
        <w:t xml:space="preserve">Un anfantais o ddysgu yn yr awyr agored yw cyfyngiadau gyda’r tywydd. Mae tywydd garw neu amgylchiadau amgylcheddol anaddas yn gallu cyfyngu ar weithgareddau awyr agored, gan orfodi athrawon i ddychwelyd i’r ystafell ddosbarth. Mae hyn yn gallu arwain at anghysondeb yn y dull addysgu ac yn effeithio ar barhad dysgu (Fjørtoft, 2001). Er bod hyn yn anfantais maen bosib gweithio o amgylch wrth ddefnyddio’r neuadd yr ysgol. Er bod hi ddim yn wers allanol wrth ddefnyddio’r neuadd, o leiaf bod hi tu allan o’r ystafell ddosbarth a bod y wers yn un ymarferol ac mae'n rhoi cyfleoedd i blant i roi theori i sefyllfaoedd go iawn gan wella dealltwriaeth (Kolb, 1984). Anfantais arall o ddysgu yn yr awyr agored yw mai trefnu a gweithredu gwersi yn yr awyr agored yn gallu bod yn heriol. Mae angen amser ac adnoddau ychwanegol i gynllunio, yn ogystal â chaniatâd a mesurau diogelwch (Rickinson et </w:t>
      </w:r>
      <w:r w:rsidRPr="009815E6">
        <w:rPr>
          <w:sz w:val="24"/>
          <w:szCs w:val="28"/>
        </w:rPr>
        <w:lastRenderedPageBreak/>
        <w:t>al., 2004). Mae athrawon yn aml yn teimlo bod pwysau amser yn cyfyngu ar eu gallu i gynnal gwersi awyr agored (Waite, 2011). Dyma un o brif resymau pam nad yw athrawon yn debygol o ddysgu yn yr awyr agored (Rickinson et al., 2004).</w:t>
      </w:r>
    </w:p>
    <w:p w14:paraId="3301EE0D" w14:textId="77777777" w:rsidR="0078639F" w:rsidRDefault="0078639F" w:rsidP="0078639F">
      <w:pPr>
        <w:rPr>
          <w:sz w:val="24"/>
          <w:szCs w:val="28"/>
        </w:rPr>
      </w:pPr>
    </w:p>
    <w:p w14:paraId="0C413191" w14:textId="2D806DD2" w:rsidR="0078639F" w:rsidRDefault="0078639F" w:rsidP="0078639F">
      <w:pPr>
        <w:rPr>
          <w:sz w:val="28"/>
          <w:szCs w:val="32"/>
        </w:rPr>
      </w:pPr>
      <w:r w:rsidRPr="0078639F">
        <w:rPr>
          <w:sz w:val="28"/>
          <w:szCs w:val="32"/>
        </w:rPr>
        <w:t>Datblygu Pwynt Gweithredu</w:t>
      </w:r>
    </w:p>
    <w:p w14:paraId="5A859804" w14:textId="239C8D76" w:rsidR="0078639F" w:rsidRDefault="009815E6" w:rsidP="0078639F">
      <w:pPr>
        <w:rPr>
          <w:sz w:val="24"/>
          <w:szCs w:val="28"/>
        </w:rPr>
      </w:pPr>
      <w:r w:rsidRPr="009815E6">
        <w:rPr>
          <w:sz w:val="24"/>
          <w:szCs w:val="28"/>
        </w:rPr>
        <w:t>Mae Ysgol A wedi dewis datblygu defnydd pwrpasol ardal allanol y sector cynradd fel un o’i blaenoriaethau ar gyfer y CDY oherwydd eu fod nhw eisiau cynnig profiadau eang a chytbwys i hwyluso datblygiad sgiliau a gwybodaeth dysgwyr drwy ddarparu cwricwlwm diddorol, pwrpasol ac ysgogol. Mae Ysgol A wedi gwneud llawer o ymchwil i mewn i hyn ac ar ôl ymchwil dwys fe ddaethom i’r casgliad o roi ar eu CDY.  Mae’r ymchwil mae’r ysgol wedi gwneud yn cefnogi bod disgyblion yn ysgogi fwy yn yr awyr agored ac mae disgyblion yn ymgysylltu eu hun gyda’r wers wrth ddysgu yn yr awyr agored (Waite, 2011). Mae’r flaenoriaeth yn gyd fynd gyda blaenoriaethau Cenhadaeth Genedlaethol Llywodraeth Cymru sef amcan 3: profiad addysg gadarnhaol i bawb (Llywodraeth Cymru, 2023). Mae’r amcan yn sicrhau bod dysgwyr yn cael eu cefnogi i fod yn unigolion iach a hyderus, yn barod i fyw bywydau llawn fel aelodau gwerthfawr o gymdeithas, mewn mannau dysgu sy’n gefnogol, sy’n ddiogel, sy’n gynhwysol ac sy’ rhydd o wahaniaethu a bwlio (Llywodraeth Cymru, 2023). Mae hyn yn gyd fynd gyda’r 4 diben yn gwricwlwm i Gymru (Llywodraeth Cymru, 2020).</w:t>
      </w:r>
    </w:p>
    <w:p w14:paraId="54ECD3D8" w14:textId="24C7FD47" w:rsidR="009815E6" w:rsidRDefault="009815E6" w:rsidP="00DB582D">
      <w:pPr>
        <w:rPr>
          <w:sz w:val="24"/>
          <w:szCs w:val="28"/>
        </w:rPr>
      </w:pPr>
      <w:r w:rsidRPr="009815E6">
        <w:rPr>
          <w:sz w:val="24"/>
          <w:szCs w:val="28"/>
        </w:rPr>
        <w:t>Yn ystod fy PAP 1, roedd hi’n bwysig fy mod i’n dod i adnabod yr ysgol a sut oeddent yn gweithredu. Roedd hi’n bwysig i ddod i adnabod CDY a blaenoriaethau’r ysgol am y flwyddyn ac er mwyn gallu cwrdd â’r flaenoriaeth datblygu defnydd pwrpasol ardal allanol y sector cynradd roedd hi’n hanfodol fy mod i’n trafod gyda fy mentor ar syniadau i gwrdd â’r flaenoriaeth. Mae’r ysgol yn targedu o leiaf un wers allanol yr wythnos gyda phwyslais ar ddatblygu darpariaeth rhifedd yn yr awyr agored. Credaf fod ddarparu gwersi allanol dim ond unwaith yr wythnos yn beth da yn yr ysgol gan fod hyn yn cadw’r syniad o ddysgu yn yr awyr agored yn un cyffrous ac mae gwastad cyffro ar wynebau'r disgyblion pan fod y wers yn un allanol. Os fydd yr ysgol am ddysgu yn allanol yn rheolaidd fydd potensial gall cyffro cael i golli gyda’r cysyniad a fydd disgyblion ddim yn mwynhau gymaint.</w:t>
      </w:r>
      <w:r>
        <w:rPr>
          <w:sz w:val="24"/>
          <w:szCs w:val="28"/>
        </w:rPr>
        <w:t xml:space="preserve"> </w:t>
      </w:r>
      <w:r w:rsidRPr="009815E6">
        <w:rPr>
          <w:sz w:val="24"/>
          <w:szCs w:val="28"/>
        </w:rPr>
        <w:t>Wrth gadw dysgu yn yr awyr agored i unwaith yr wythnos, mae'n sicrhau cyffro yn y gwersi a bod disgyblion yn ymgysylltu gyda’r gwersi yn wythnosol.</w:t>
      </w:r>
    </w:p>
    <w:p w14:paraId="493EF8D0" w14:textId="4F31EAE5" w:rsidR="00DB582D" w:rsidRPr="0078639F" w:rsidRDefault="009815E6" w:rsidP="00DB582D">
      <w:pPr>
        <w:rPr>
          <w:sz w:val="24"/>
          <w:szCs w:val="28"/>
        </w:rPr>
      </w:pPr>
      <w:r w:rsidRPr="009815E6">
        <w:rPr>
          <w:sz w:val="24"/>
          <w:szCs w:val="28"/>
        </w:rPr>
        <w:t xml:space="preserve">Mae dysgu yn yr awyr agored wedi bod o fudd i mi yn bersonol wrth i mi ddysgu gwersi allanol yn fy PAP 1. Yn wythnosol byddaf yn dysgu o leiaf un wers tu allan ac fel arfer bydda hyn yn wers mathemateg. Wrth ddysgu mathemateg tu allan, mae'n atal i ddisgyblion gwneud cysylltiadau bywyd go iawn wrth fesur pellter ar iard ysgol, archwilio siapau byd natur, mesur perimedr adnoddau yn yr iard ac mae'n helpu i ddysgwyr ddatblygu dealltwriaeth ddyfnach o egwyddorion mathemategol (Beames, Higgins &amp; Nicol, 2012). Mae’r amgylchedd awyr agored yn cynnig heriau annisgwyl sy’n annog plant i feddwl yn feirniadol a datblygu sgiliau datrys problemau. Mae hyn yn cyd-fynd a damcaniaethau dysgu adeiladol sy’n pwysleisio dysgu trwy brofiad (Piaget, 1952). Wrth gynllunio gwersi yn yr </w:t>
      </w:r>
      <w:r w:rsidRPr="009815E6">
        <w:rPr>
          <w:sz w:val="24"/>
          <w:szCs w:val="28"/>
        </w:rPr>
        <w:lastRenderedPageBreak/>
        <w:t>ysgol, roedd hi’n bwysig fod fy ngwersi yn adeiladu tuag at y wers allanol er mwyn sicrhau fod gan ddisgyblion dealltwriaeth glir o beth oedd yn angenrheidiol yn y wers allanol. Erbyn i ni gyrraedd y wers allanol bob wythnos, roedd y disgyblion yn gwybod beth oedd yn ofynnol wrthynt, ac roedden yn gallu gadael iddyn nhw barhau yn annibynnol. Teimlaf wrth wneud gwersi yn adeiladol mae'n rhoi llwyfan i ddisgyblion rhagori yn yr awyr agored wrth wneud dysgu yn weledol ac yn adeiladu gwybodaeth yn gyson.</w:t>
      </w:r>
    </w:p>
    <w:p w14:paraId="7A1EEB2A" w14:textId="61452455" w:rsidR="002C254C" w:rsidRDefault="009815E6" w:rsidP="0078639F">
      <w:pPr>
        <w:rPr>
          <w:sz w:val="24"/>
          <w:szCs w:val="28"/>
        </w:rPr>
      </w:pPr>
      <w:r w:rsidRPr="009815E6">
        <w:rPr>
          <w:sz w:val="24"/>
          <w:szCs w:val="28"/>
        </w:rPr>
        <w:t>Er bod 'na llawer o fanteision o ddysgu yn yr awyr agored, mae 'na hefyd rhai anfanteision. Un anfantais a ddaeth i’r sylw pan ddysgais du allan oedd y cyfyngiadau gyda’r tywydd. Ambell ddiwrnod roedd y tywydd yn rhy wael i ni gael mynd tu allan i ddysgu’n allanol ac mae hyn yn gallu arwain at anghysondeb yn y dull addysgu ac yn effeithio ar barhad dysgu (Fjørtoft, 2001). Er digwyddodd hyn cwpwl o weithiau, roedd hi’n dal yn bosib i ni wneud y wers yn un ymarferol wrth ddefnyddio’r neuadd yn yr Ysgol. Er nad oedd hyn yn wers allanol, roedd hi’n wers ymarferol a dyna beth mae’r disgyblion yn mwynhau. Anfantais arall o ddysgu yn yr awyr agored yw materion logistaidd ac ymarferol. Mae trefnu a gweithredu gwersi yn yr awyr agored yn gallu bod yn heriol. Mae angen amser ac adnoddau ychwanegol i gynllunio, yn ogystal â chaniatâd a mesurau diogelwch (Rickinson et al., 2004). Mae athrawon yn aml yn teimlo bod pwysau amser yn cyfyngu ar eu gallu i gynnal gwersi awyr agored (Waite, 2011). Er nad oedd hyn yn broblem yn Ysgol A, mae'n gallu fod yn un o’r rhesymau pam bod athrawon yn gwrthod dysgu yn yr awyr agored</w:t>
      </w:r>
    </w:p>
    <w:p w14:paraId="70E48DED" w14:textId="77777777" w:rsidR="009815E6" w:rsidRDefault="009815E6" w:rsidP="001F24F4">
      <w:pPr>
        <w:rPr>
          <w:sz w:val="24"/>
          <w:szCs w:val="28"/>
        </w:rPr>
      </w:pPr>
    </w:p>
    <w:p w14:paraId="14E97DF4" w14:textId="33A69326" w:rsidR="002C254C" w:rsidRPr="000B337A" w:rsidRDefault="002C254C" w:rsidP="001F24F4">
      <w:pPr>
        <w:rPr>
          <w:sz w:val="28"/>
          <w:szCs w:val="32"/>
        </w:rPr>
      </w:pPr>
      <w:r w:rsidRPr="000B337A">
        <w:rPr>
          <w:sz w:val="28"/>
          <w:szCs w:val="32"/>
        </w:rPr>
        <w:t>Casgliad</w:t>
      </w:r>
    </w:p>
    <w:p w14:paraId="36D1D441" w14:textId="16D171F8" w:rsidR="0024788A" w:rsidRDefault="002C254C" w:rsidP="001F24F4">
      <w:pPr>
        <w:rPr>
          <w:sz w:val="24"/>
          <w:szCs w:val="28"/>
        </w:rPr>
      </w:pPr>
      <w:r>
        <w:rPr>
          <w:sz w:val="24"/>
          <w:szCs w:val="28"/>
        </w:rPr>
        <w:t xml:space="preserve">Pwrpas yr aseiniad hon oedd i werthuso’n feirniadol un o targedau strategol fy Ysgol PAP 1. </w:t>
      </w:r>
    </w:p>
    <w:p w14:paraId="4B5998AE" w14:textId="77777777" w:rsidR="000B337A" w:rsidRPr="000B337A" w:rsidRDefault="000B337A" w:rsidP="000B337A">
      <w:pPr>
        <w:rPr>
          <w:sz w:val="24"/>
          <w:szCs w:val="28"/>
        </w:rPr>
      </w:pPr>
      <w:r w:rsidRPr="000B337A">
        <w:rPr>
          <w:sz w:val="24"/>
          <w:szCs w:val="28"/>
        </w:rPr>
        <w:t>Mae datblygu defnydd pwrpasol o ardaloedd allanol fel rhan o Gynllun Datblygu Ysgol yn ddull strategol allweddol sy’n cyfrannu at wella addysg cynradd. Mae tystiolaeth yn dangos bod ardaloedd naturiol yn gallu gwella canolbwyntio, cynyddu cymhelliant, a datblygu sgiliau cymdeithasol ac emosiynol. Fodd bynnag, mae heriau fel cynnal a chadw, hyfforddiant a rheoli risgiau yn peri'r pwysigrwydd o strategaethau cynaliadwy a systemau monitro effeithiol.</w:t>
      </w:r>
    </w:p>
    <w:p w14:paraId="4743395B" w14:textId="77777777" w:rsidR="000B337A" w:rsidRPr="000B337A" w:rsidRDefault="000B337A" w:rsidP="000B337A">
      <w:pPr>
        <w:rPr>
          <w:sz w:val="24"/>
          <w:szCs w:val="28"/>
        </w:rPr>
      </w:pPr>
      <w:r w:rsidRPr="000B337A">
        <w:rPr>
          <w:sz w:val="24"/>
          <w:szCs w:val="28"/>
        </w:rPr>
        <w:t xml:space="preserve">Mae ymchwil ac adolygiad llenyddol gan awdurdodau fel Bilton (2010), Piaget (1952), Waite (2011) a Rickinson et al. (2004) yn rhoi sylfaen gadarn ar gyfer y farn hon, gan ddangos bod buddsoddiad mewn ardaloedd allanol yn meddu ar fanteision amlwg ar gyfer disgyblion, athrawon a'r gymuned ehangach. </w:t>
      </w:r>
    </w:p>
    <w:p w14:paraId="78FC3258" w14:textId="77777777" w:rsidR="000B337A" w:rsidRPr="000B337A" w:rsidRDefault="000B337A" w:rsidP="000B337A">
      <w:pPr>
        <w:rPr>
          <w:sz w:val="24"/>
          <w:szCs w:val="28"/>
        </w:rPr>
      </w:pPr>
      <w:r w:rsidRPr="000B337A">
        <w:rPr>
          <w:sz w:val="24"/>
          <w:szCs w:val="28"/>
        </w:rPr>
        <w:t>Yn gryno, mae datblygu defnydd pwrpasol o ardaloedd allanol yn cynnig cyfleoedd unigryw i ddysgu sy’n uno addysg ac amgylchedd naturiol mewn ffordd sy'n meithrin cynnydd academaidd a lles corfforol ac emosiynol. Er bod heriau a rhwystrau parhaus, mae strategaethau sy'n seiliedig ar ymchwil, cydweithio cymunedol a hyfforddiant parhaus yn allweddol i sicrhau bod yr effaith gadarnhaol yn parhau dros amser.</w:t>
      </w:r>
    </w:p>
    <w:p w14:paraId="7E245572" w14:textId="77777777" w:rsidR="000B337A" w:rsidRPr="000B337A" w:rsidRDefault="000B337A" w:rsidP="000B337A">
      <w:pPr>
        <w:rPr>
          <w:sz w:val="24"/>
          <w:szCs w:val="28"/>
        </w:rPr>
      </w:pPr>
      <w:r w:rsidRPr="000B337A">
        <w:rPr>
          <w:sz w:val="24"/>
          <w:szCs w:val="28"/>
        </w:rPr>
        <w:lastRenderedPageBreak/>
        <w:t>Felly, er mwyn sicrhau llwyddiant parhaus, dylai ysgolion a sefydliadau addysgol barhau i fuddsoddi mewn dulliau arloesol sy'n hybu defnyddio ardaloedd allanol fel rhan annatod o'r cwricwlwm. Mae hyn yn gofyn am gydweithio rhwng holl randdeiliaid, gweithredu systematig a manteisio ar y tystiolaeth sydd ar gael, fel y nodwyd gan astudiaethau diweddar. Yn y pen draw, bydd hyn yn cyfrannu at greu amgylchedd dysgu sy'n unigolynol ac yn gynhwysol, sy'n meithrin curiad, dysgu bywiog a theimlad o ymrwymiad cymdeithasol mewn ysgolion cynradd.</w:t>
      </w:r>
    </w:p>
    <w:p w14:paraId="3F0C3AA7" w14:textId="77777777" w:rsidR="0024788A" w:rsidRDefault="0024788A" w:rsidP="001F24F4">
      <w:pPr>
        <w:rPr>
          <w:sz w:val="24"/>
          <w:szCs w:val="28"/>
        </w:rPr>
      </w:pPr>
    </w:p>
    <w:p w14:paraId="53E2AB41" w14:textId="77777777" w:rsidR="00317CDD" w:rsidRDefault="00317CDD"/>
    <w:p w14:paraId="0EFD2DC9" w14:textId="40D53146" w:rsidR="00F55B67" w:rsidRPr="00F55B67" w:rsidRDefault="0054618E">
      <w:pPr>
        <w:rPr>
          <w:rFonts w:cstheme="minorHAnsi"/>
          <w:sz w:val="28"/>
          <w:szCs w:val="28"/>
        </w:rPr>
      </w:pPr>
      <w:r w:rsidRPr="0078639F">
        <w:rPr>
          <w:rFonts w:cstheme="minorHAnsi"/>
          <w:sz w:val="28"/>
          <w:szCs w:val="28"/>
        </w:rPr>
        <w:t>Llenyddiaeth</w:t>
      </w:r>
    </w:p>
    <w:p w14:paraId="21D22AAC" w14:textId="77777777" w:rsidR="00F55B67" w:rsidRPr="00F55B67" w:rsidRDefault="00F55B67">
      <w:pPr>
        <w:rPr>
          <w:rFonts w:cstheme="minorHAnsi"/>
          <w:sz w:val="24"/>
          <w:szCs w:val="24"/>
        </w:rPr>
      </w:pPr>
      <w:r w:rsidRPr="00F55B67">
        <w:rPr>
          <w:rFonts w:cstheme="minorHAnsi"/>
          <w:sz w:val="24"/>
          <w:szCs w:val="24"/>
        </w:rPr>
        <w:t>Beames, S., Higgins, P. &amp; Nicol, R. (2012) </w:t>
      </w:r>
      <w:r w:rsidRPr="00F55B67">
        <w:rPr>
          <w:rFonts w:cstheme="minorHAnsi"/>
          <w:i/>
          <w:iCs/>
          <w:sz w:val="24"/>
          <w:szCs w:val="24"/>
        </w:rPr>
        <w:t>Learning Outside the Classroom: Theory and Guidelines for Practice</w:t>
      </w:r>
      <w:r w:rsidRPr="00F55B67">
        <w:rPr>
          <w:rFonts w:cstheme="minorHAnsi"/>
          <w:sz w:val="24"/>
          <w:szCs w:val="24"/>
        </w:rPr>
        <w:t>. Abingdon: Routledge.</w:t>
      </w:r>
    </w:p>
    <w:p w14:paraId="16BBDA3C" w14:textId="77777777" w:rsidR="00F55B67" w:rsidRPr="00F55B67" w:rsidRDefault="00F55B67" w:rsidP="00EB0257">
      <w:pPr>
        <w:rPr>
          <w:rFonts w:cstheme="minorHAnsi"/>
          <w:sz w:val="24"/>
          <w:szCs w:val="24"/>
        </w:rPr>
      </w:pPr>
      <w:r w:rsidRPr="00F55B67">
        <w:rPr>
          <w:rFonts w:cstheme="minorHAnsi"/>
          <w:sz w:val="24"/>
          <w:szCs w:val="24"/>
        </w:rPr>
        <w:t>Boud, D., &amp; Falchikov, N. (2007). </w:t>
      </w:r>
      <w:r w:rsidRPr="00F55B67">
        <w:rPr>
          <w:rFonts w:cstheme="minorHAnsi"/>
          <w:i/>
          <w:iCs/>
          <w:sz w:val="24"/>
          <w:szCs w:val="24"/>
        </w:rPr>
        <w:t>Assessment for Learning: Beyond Tenure and Failure</w:t>
      </w:r>
      <w:r w:rsidRPr="00F55B67">
        <w:rPr>
          <w:rFonts w:cstheme="minorHAnsi"/>
          <w:sz w:val="24"/>
          <w:szCs w:val="24"/>
        </w:rPr>
        <w:t>. London: Routledge.</w:t>
      </w:r>
    </w:p>
    <w:p w14:paraId="3FAFE9CB" w14:textId="77777777" w:rsidR="00F55B67" w:rsidRPr="00F55B67" w:rsidRDefault="00F55B67">
      <w:pPr>
        <w:rPr>
          <w:rFonts w:cstheme="minorHAnsi"/>
          <w:sz w:val="24"/>
          <w:szCs w:val="24"/>
        </w:rPr>
      </w:pPr>
      <w:r w:rsidRPr="00F55B67">
        <w:rPr>
          <w:rFonts w:cstheme="minorHAnsi"/>
          <w:sz w:val="24"/>
          <w:szCs w:val="24"/>
        </w:rPr>
        <w:t>British Educational Research Association (BERA). (2018). </w:t>
      </w:r>
      <w:r w:rsidRPr="00F55B67">
        <w:rPr>
          <w:rFonts w:cstheme="minorHAnsi"/>
          <w:i/>
          <w:iCs/>
          <w:sz w:val="24"/>
          <w:szCs w:val="24"/>
        </w:rPr>
        <w:t>Ethical guidelines for educational research</w:t>
      </w:r>
      <w:r w:rsidRPr="00F55B67">
        <w:rPr>
          <w:rFonts w:cstheme="minorHAnsi"/>
          <w:sz w:val="24"/>
          <w:szCs w:val="24"/>
        </w:rPr>
        <w:t> (4th ed.). British Educational Research Association.</w:t>
      </w:r>
    </w:p>
    <w:p w14:paraId="5AA8DAD9" w14:textId="388E1995" w:rsidR="00F55B67" w:rsidRPr="00F55B67" w:rsidRDefault="00F55B67" w:rsidP="009423A5">
      <w:pPr>
        <w:rPr>
          <w:rFonts w:cstheme="minorHAnsi"/>
          <w:sz w:val="24"/>
          <w:szCs w:val="24"/>
        </w:rPr>
      </w:pPr>
      <w:r w:rsidRPr="00F55B67">
        <w:rPr>
          <w:rFonts w:cstheme="minorHAnsi"/>
          <w:sz w:val="24"/>
          <w:szCs w:val="24"/>
        </w:rPr>
        <w:t>Cadwch Cymru'n Daclus (n.d.) </w:t>
      </w:r>
      <w:r w:rsidRPr="00F55B67">
        <w:rPr>
          <w:rFonts w:cstheme="minorHAnsi"/>
          <w:i/>
          <w:iCs/>
          <w:sz w:val="24"/>
          <w:szCs w:val="24"/>
        </w:rPr>
        <w:t>Ystafell Ddosbarth Awyr Agored a Gardd, Ysgol Hiraddug</w:t>
      </w:r>
      <w:r w:rsidRPr="00F55B67">
        <w:rPr>
          <w:rFonts w:cstheme="minorHAnsi"/>
          <w:sz w:val="24"/>
          <w:szCs w:val="24"/>
        </w:rPr>
        <w:t>. Available at: </w:t>
      </w:r>
      <w:r w:rsidRPr="00F55B67">
        <w:rPr>
          <w:rFonts w:cstheme="minorHAnsi"/>
          <w:sz w:val="24"/>
          <w:szCs w:val="24"/>
        </w:rPr>
        <w:fldChar w:fldCharType="begin"/>
      </w:r>
      <w:r w:rsidRPr="00F55B67">
        <w:rPr>
          <w:rFonts w:cstheme="minorHAnsi"/>
          <w:sz w:val="24"/>
          <w:szCs w:val="24"/>
        </w:rPr>
        <w:instrText>HYPERLINK "https://keepwalestidy.cymru/eco-schools/cy/astudiaeth-achos/outdoor-classroom-and-garden-ysgol-hiraddug/?utm_source=chatgpt.com" \t "_new"</w:instrText>
      </w:r>
      <w:r w:rsidRPr="00F55B67">
        <w:rPr>
          <w:rFonts w:cstheme="minorHAnsi"/>
          <w:sz w:val="24"/>
          <w:szCs w:val="24"/>
        </w:rPr>
      </w:r>
      <w:r w:rsidRPr="00F55B67">
        <w:rPr>
          <w:rFonts w:cstheme="minorHAnsi"/>
          <w:sz w:val="24"/>
          <w:szCs w:val="24"/>
        </w:rPr>
        <w:fldChar w:fldCharType="separate"/>
      </w:r>
      <w:r w:rsidRPr="00F55B67">
        <w:rPr>
          <w:rStyle w:val="Hyperlink"/>
          <w:rFonts w:cstheme="minorHAnsi"/>
          <w:sz w:val="24"/>
          <w:szCs w:val="24"/>
        </w:rPr>
        <w:t>https://keepwalestidy.cymru/eco-schools/cy/astudiaeth-achos/outdoor-classroom-and-garden-ysgol-hiraddug/?utm_source=chatgpt.com</w:t>
      </w:r>
      <w:r w:rsidRPr="00F55B67">
        <w:rPr>
          <w:rFonts w:cstheme="minorHAnsi"/>
          <w:sz w:val="24"/>
          <w:szCs w:val="24"/>
        </w:rPr>
        <w:fldChar w:fldCharType="end"/>
      </w:r>
      <w:r w:rsidRPr="00F55B67">
        <w:rPr>
          <w:rFonts w:cstheme="minorHAnsi"/>
          <w:sz w:val="24"/>
          <w:szCs w:val="24"/>
        </w:rPr>
        <w:t> </w:t>
      </w:r>
    </w:p>
    <w:p w14:paraId="1AE0A953" w14:textId="77777777" w:rsidR="00F55B67" w:rsidRPr="00F55B67" w:rsidRDefault="00F55B67" w:rsidP="0078639F">
      <w:pPr>
        <w:rPr>
          <w:rFonts w:cstheme="minorHAnsi"/>
          <w:color w:val="000000"/>
          <w:sz w:val="24"/>
          <w:szCs w:val="24"/>
        </w:rPr>
      </w:pPr>
      <w:r w:rsidRPr="00F55B67">
        <w:rPr>
          <w:rFonts w:cstheme="minorHAnsi"/>
          <w:color w:val="000000"/>
          <w:sz w:val="24"/>
          <w:szCs w:val="24"/>
        </w:rPr>
        <w:t>Estyn (2013) Adroddiad Blynyddol Estyn: 2012–13. Cardiff: Estyn. Available at: </w:t>
      </w:r>
      <w:r w:rsidRPr="00F55B67">
        <w:rPr>
          <w:rFonts w:cstheme="minorHAnsi"/>
          <w:sz w:val="24"/>
          <w:szCs w:val="24"/>
        </w:rPr>
        <w:fldChar w:fldCharType="begin"/>
      </w:r>
      <w:r w:rsidRPr="00F55B67">
        <w:rPr>
          <w:rFonts w:cstheme="minorHAnsi"/>
          <w:sz w:val="24"/>
          <w:szCs w:val="24"/>
        </w:rPr>
        <w:instrText>HYPERLINK "http://www.estyn.gov.wales/" \t "_new"</w:instrText>
      </w:r>
      <w:r w:rsidRPr="00F55B67">
        <w:rPr>
          <w:rFonts w:cstheme="minorHAnsi"/>
          <w:sz w:val="24"/>
          <w:szCs w:val="24"/>
        </w:rPr>
      </w:r>
      <w:r w:rsidRPr="00F55B67">
        <w:rPr>
          <w:rFonts w:cstheme="minorHAnsi"/>
          <w:sz w:val="24"/>
          <w:szCs w:val="24"/>
        </w:rPr>
        <w:fldChar w:fldCharType="separate"/>
      </w:r>
      <w:r w:rsidRPr="00F55B67">
        <w:rPr>
          <w:rFonts w:cstheme="minorHAnsi"/>
          <w:color w:val="0000FF"/>
          <w:sz w:val="24"/>
          <w:szCs w:val="24"/>
          <w:u w:val="single"/>
        </w:rPr>
        <w:t>http://www.estyn.gov.wales</w:t>
      </w:r>
      <w:r w:rsidRPr="00F55B67">
        <w:rPr>
          <w:rFonts w:cstheme="minorHAnsi"/>
          <w:sz w:val="24"/>
          <w:szCs w:val="24"/>
        </w:rPr>
        <w:fldChar w:fldCharType="end"/>
      </w:r>
      <w:r w:rsidRPr="00F55B67">
        <w:rPr>
          <w:rFonts w:cstheme="minorHAnsi"/>
          <w:color w:val="000000"/>
          <w:sz w:val="24"/>
          <w:szCs w:val="24"/>
        </w:rPr>
        <w:t> </w:t>
      </w:r>
    </w:p>
    <w:p w14:paraId="37CC9D9C" w14:textId="114BF6E8" w:rsidR="00F55B67" w:rsidRPr="00F55B67" w:rsidRDefault="00F55B67" w:rsidP="009423A5">
      <w:pPr>
        <w:rPr>
          <w:rFonts w:cstheme="minorHAnsi"/>
          <w:sz w:val="24"/>
          <w:szCs w:val="24"/>
        </w:rPr>
      </w:pPr>
      <w:r w:rsidRPr="00F55B67">
        <w:rPr>
          <w:rFonts w:cstheme="minorHAnsi"/>
          <w:sz w:val="24"/>
          <w:szCs w:val="24"/>
        </w:rPr>
        <w:t>Estyn (2018) </w:t>
      </w:r>
      <w:r w:rsidRPr="00F55B67">
        <w:rPr>
          <w:rFonts w:cstheme="minorHAnsi"/>
          <w:i/>
          <w:iCs/>
          <w:sz w:val="24"/>
          <w:szCs w:val="24"/>
        </w:rPr>
        <w:t>Inspection report Ysgol Y Frenni 2018 - estyn</w:t>
      </w:r>
      <w:r w:rsidRPr="00F55B67">
        <w:rPr>
          <w:rFonts w:cstheme="minorHAnsi"/>
          <w:sz w:val="24"/>
          <w:szCs w:val="24"/>
        </w:rPr>
        <w:t xml:space="preserve">. Available at: https://www.estyn.gov.wales/system/files/2021-08/Inspection report Ysgol Y Frenni 2018.pdf </w:t>
      </w:r>
    </w:p>
    <w:p w14:paraId="3FC735F3" w14:textId="77777777" w:rsidR="00F55B67" w:rsidRPr="00F55B67" w:rsidRDefault="00F55B67">
      <w:pPr>
        <w:rPr>
          <w:rFonts w:cstheme="minorHAnsi"/>
          <w:sz w:val="24"/>
          <w:szCs w:val="24"/>
        </w:rPr>
      </w:pPr>
      <w:r w:rsidRPr="00F55B67">
        <w:rPr>
          <w:rFonts w:cstheme="minorHAnsi"/>
          <w:sz w:val="24"/>
          <w:szCs w:val="24"/>
        </w:rPr>
        <w:t>Kolb, D.A. (1984) </w:t>
      </w:r>
      <w:r w:rsidRPr="00F55B67">
        <w:rPr>
          <w:rFonts w:cstheme="minorHAnsi"/>
          <w:i/>
          <w:iCs/>
          <w:sz w:val="24"/>
          <w:szCs w:val="24"/>
        </w:rPr>
        <w:t>Experiential learning: Experience as the source of learning and development</w:t>
      </w:r>
      <w:r w:rsidRPr="00F55B67">
        <w:rPr>
          <w:rFonts w:cstheme="minorHAnsi"/>
          <w:sz w:val="24"/>
          <w:szCs w:val="24"/>
        </w:rPr>
        <w:t>. Englewood Cliffs, NJ: Prentice Hall.</w:t>
      </w:r>
    </w:p>
    <w:p w14:paraId="586D81AB" w14:textId="1DBAE8ED" w:rsidR="00F55B67" w:rsidRPr="00F55B67" w:rsidRDefault="00F55B67" w:rsidP="00EB0257">
      <w:pPr>
        <w:rPr>
          <w:rFonts w:cstheme="minorHAnsi"/>
          <w:sz w:val="24"/>
          <w:szCs w:val="24"/>
        </w:rPr>
      </w:pPr>
      <w:r w:rsidRPr="00F55B67">
        <w:rPr>
          <w:rFonts w:cstheme="minorHAnsi"/>
          <w:color w:val="000000"/>
          <w:sz w:val="24"/>
          <w:szCs w:val="24"/>
        </w:rPr>
        <w:t>Llywodraeth Cymru (2014) Cynlluniau Datblygu Ysgol [School Development Plans]. [Online]. Available at: </w:t>
      </w:r>
      <w:r w:rsidRPr="00F55B67">
        <w:rPr>
          <w:rFonts w:cstheme="minorHAnsi"/>
          <w:sz w:val="24"/>
          <w:szCs w:val="24"/>
        </w:rPr>
        <w:fldChar w:fldCharType="begin"/>
      </w:r>
      <w:r w:rsidRPr="00F55B67">
        <w:rPr>
          <w:rFonts w:cstheme="minorHAnsi"/>
          <w:sz w:val="24"/>
          <w:szCs w:val="24"/>
        </w:rPr>
        <w:instrText>HYPERLINK "https://llyw.cymru/topics/educationandskills/schoolshome/school-development-plans/?lang=cy" \t "_new"</w:instrText>
      </w:r>
      <w:r w:rsidRPr="00F55B67">
        <w:rPr>
          <w:rFonts w:cstheme="minorHAnsi"/>
          <w:sz w:val="24"/>
          <w:szCs w:val="24"/>
        </w:rPr>
      </w:r>
      <w:r w:rsidRPr="00F55B67">
        <w:rPr>
          <w:rFonts w:cstheme="minorHAnsi"/>
          <w:sz w:val="24"/>
          <w:szCs w:val="24"/>
        </w:rPr>
        <w:fldChar w:fldCharType="separate"/>
      </w:r>
      <w:r w:rsidRPr="00F55B67">
        <w:rPr>
          <w:rFonts w:cstheme="minorHAnsi"/>
          <w:color w:val="0000FF"/>
          <w:sz w:val="24"/>
          <w:szCs w:val="24"/>
          <w:u w:val="single"/>
        </w:rPr>
        <w:t>https://llyw.cymru/topics/educationandskills/schoolshome/school-development-plans/?lang=cy</w:t>
      </w:r>
      <w:r w:rsidRPr="00F55B67">
        <w:rPr>
          <w:rFonts w:cstheme="minorHAnsi"/>
          <w:sz w:val="24"/>
          <w:szCs w:val="24"/>
        </w:rPr>
        <w:fldChar w:fldCharType="end"/>
      </w:r>
      <w:r w:rsidRPr="00F55B67">
        <w:rPr>
          <w:rFonts w:cstheme="minorHAnsi"/>
          <w:color w:val="000000"/>
          <w:sz w:val="24"/>
          <w:szCs w:val="24"/>
        </w:rPr>
        <w:t> </w:t>
      </w:r>
      <w:r w:rsidRPr="00F55B67">
        <w:rPr>
          <w:rFonts w:cstheme="minorHAnsi"/>
          <w:sz w:val="24"/>
          <w:szCs w:val="24"/>
        </w:rPr>
        <w:t xml:space="preserve"> </w:t>
      </w:r>
    </w:p>
    <w:p w14:paraId="7C146784" w14:textId="19C952BD" w:rsidR="00F55B67" w:rsidRPr="00F55B67" w:rsidRDefault="00F55B67">
      <w:pPr>
        <w:rPr>
          <w:rFonts w:cstheme="minorHAnsi"/>
          <w:sz w:val="24"/>
          <w:szCs w:val="24"/>
        </w:rPr>
      </w:pPr>
      <w:r w:rsidRPr="00F55B67">
        <w:rPr>
          <w:rFonts w:cstheme="minorHAnsi"/>
          <w:sz w:val="24"/>
          <w:szCs w:val="24"/>
        </w:rPr>
        <w:t>Llywodraeth Cymru (2020) </w:t>
      </w:r>
      <w:r w:rsidRPr="00F55B67">
        <w:rPr>
          <w:rFonts w:cstheme="minorHAnsi"/>
          <w:i/>
          <w:iCs/>
          <w:sz w:val="24"/>
          <w:szCs w:val="24"/>
        </w:rPr>
        <w:t>Cwricwlwm i Gymru 2022</w:t>
      </w:r>
      <w:r w:rsidRPr="00F55B67">
        <w:rPr>
          <w:rFonts w:cstheme="minorHAnsi"/>
          <w:sz w:val="24"/>
          <w:szCs w:val="24"/>
        </w:rPr>
        <w:t>. Ar gael yn: https://hwb.gov.wales/curriculum-for-wales </w:t>
      </w:r>
    </w:p>
    <w:p w14:paraId="35D43075" w14:textId="19E3EFCA" w:rsidR="00F55B67" w:rsidRPr="00F55B67" w:rsidRDefault="00F55B67" w:rsidP="0078639F">
      <w:pPr>
        <w:rPr>
          <w:rFonts w:cstheme="minorHAnsi"/>
          <w:sz w:val="24"/>
          <w:szCs w:val="24"/>
          <w:lang w:val="en-GB"/>
        </w:rPr>
      </w:pPr>
      <w:proofErr w:type="spellStart"/>
      <w:r w:rsidRPr="00F55B67">
        <w:rPr>
          <w:rFonts w:cstheme="minorHAnsi"/>
          <w:sz w:val="24"/>
          <w:szCs w:val="24"/>
          <w:lang w:val="en-GB"/>
        </w:rPr>
        <w:t>Llywodraeth</w:t>
      </w:r>
      <w:proofErr w:type="spellEnd"/>
      <w:r w:rsidRPr="00F55B67">
        <w:rPr>
          <w:rFonts w:cstheme="minorHAnsi"/>
          <w:sz w:val="24"/>
          <w:szCs w:val="24"/>
          <w:lang w:val="en-GB"/>
        </w:rPr>
        <w:t xml:space="preserve"> Cymru (2023) </w:t>
      </w:r>
      <w:proofErr w:type="spellStart"/>
      <w:r w:rsidRPr="00F55B67">
        <w:rPr>
          <w:rFonts w:cstheme="minorHAnsi"/>
          <w:i/>
          <w:iCs/>
          <w:sz w:val="24"/>
          <w:szCs w:val="24"/>
          <w:lang w:val="en-GB"/>
        </w:rPr>
        <w:t>Cenhadaeth</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ein</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cenedl</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Safonau</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dyheadau</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uchel</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i</w:t>
      </w:r>
      <w:proofErr w:type="spellEnd"/>
      <w:r w:rsidRPr="00F55B67">
        <w:rPr>
          <w:rFonts w:cstheme="minorHAnsi"/>
          <w:i/>
          <w:iCs/>
          <w:sz w:val="24"/>
          <w:szCs w:val="24"/>
          <w:lang w:val="en-GB"/>
        </w:rPr>
        <w:t xml:space="preserve"> </w:t>
      </w:r>
      <w:proofErr w:type="spellStart"/>
      <w:r w:rsidRPr="00F55B67">
        <w:rPr>
          <w:rFonts w:cstheme="minorHAnsi"/>
          <w:i/>
          <w:iCs/>
          <w:sz w:val="24"/>
          <w:szCs w:val="24"/>
          <w:lang w:val="en-GB"/>
        </w:rPr>
        <w:t>bawb</w:t>
      </w:r>
      <w:proofErr w:type="spellEnd"/>
      <w:r w:rsidRPr="00F55B67">
        <w:rPr>
          <w:rFonts w:cstheme="minorHAnsi"/>
          <w:sz w:val="24"/>
          <w:szCs w:val="24"/>
          <w:lang w:val="en-GB"/>
        </w:rPr>
        <w:t>. Available at: </w:t>
      </w:r>
      <w:hyperlink r:id="rId6" w:anchor="119385" w:tgtFrame="_new" w:history="1">
        <w:r w:rsidRPr="00F55B67">
          <w:rPr>
            <w:rStyle w:val="Hyperlink"/>
            <w:rFonts w:cstheme="minorHAnsi"/>
            <w:sz w:val="24"/>
            <w:szCs w:val="24"/>
            <w:lang w:val="en-GB"/>
          </w:rPr>
          <w:t>https://www.llyw.cymru/cenhadaeth-ein-cenedl-safonau-dyheadau-uchel-i-bawb-html#119385</w:t>
        </w:r>
      </w:hyperlink>
      <w:r w:rsidRPr="00F55B67">
        <w:rPr>
          <w:rFonts w:cstheme="minorHAnsi"/>
          <w:sz w:val="24"/>
          <w:szCs w:val="24"/>
          <w:lang w:val="en-GB"/>
        </w:rPr>
        <w:t> </w:t>
      </w:r>
    </w:p>
    <w:p w14:paraId="2853DBEF" w14:textId="77777777" w:rsidR="00F55B67" w:rsidRPr="00F55B67" w:rsidRDefault="00F55B67" w:rsidP="0078639F">
      <w:pPr>
        <w:rPr>
          <w:rFonts w:cstheme="minorHAnsi"/>
          <w:sz w:val="24"/>
          <w:szCs w:val="24"/>
        </w:rPr>
      </w:pPr>
      <w:r w:rsidRPr="00F55B67">
        <w:rPr>
          <w:rFonts w:cstheme="minorHAnsi"/>
          <w:sz w:val="24"/>
          <w:szCs w:val="24"/>
        </w:rPr>
        <w:lastRenderedPageBreak/>
        <w:t>Piaget, J. (1952) </w:t>
      </w:r>
      <w:r w:rsidRPr="00F55B67">
        <w:rPr>
          <w:rFonts w:cstheme="minorHAnsi"/>
          <w:i/>
          <w:iCs/>
          <w:sz w:val="24"/>
          <w:szCs w:val="24"/>
        </w:rPr>
        <w:t>The Origins of Intelligence in Children</w:t>
      </w:r>
      <w:r w:rsidRPr="00F55B67">
        <w:rPr>
          <w:rFonts w:cstheme="minorHAnsi"/>
          <w:sz w:val="24"/>
          <w:szCs w:val="24"/>
        </w:rPr>
        <w:t>. New York: Norton.Bilton, H. (2010). </w:t>
      </w:r>
      <w:r w:rsidRPr="00F55B67">
        <w:rPr>
          <w:rFonts w:cstheme="minorHAnsi"/>
          <w:i/>
          <w:iCs/>
          <w:sz w:val="24"/>
          <w:szCs w:val="24"/>
        </w:rPr>
        <w:t>Outdoor Learning in the Early Years</w:t>
      </w:r>
      <w:r w:rsidRPr="00F55B67">
        <w:rPr>
          <w:rFonts w:cstheme="minorHAnsi"/>
          <w:sz w:val="24"/>
          <w:szCs w:val="24"/>
        </w:rPr>
        <w:t>. Routledge.</w:t>
      </w:r>
    </w:p>
    <w:p w14:paraId="34293B17" w14:textId="77777777" w:rsidR="00F55B67" w:rsidRPr="00F55B67" w:rsidRDefault="00F55B67" w:rsidP="0078639F">
      <w:pPr>
        <w:rPr>
          <w:rFonts w:cstheme="minorHAnsi"/>
          <w:color w:val="000000"/>
          <w:sz w:val="24"/>
          <w:szCs w:val="24"/>
        </w:rPr>
      </w:pPr>
      <w:r w:rsidRPr="00F55B67">
        <w:rPr>
          <w:rFonts w:cstheme="minorHAnsi"/>
          <w:color w:val="000000"/>
          <w:sz w:val="24"/>
          <w:szCs w:val="24"/>
        </w:rPr>
        <w:t>Rickinson, M., et al. (2004). </w:t>
      </w:r>
      <w:r w:rsidRPr="00F55B67">
        <w:rPr>
          <w:rFonts w:cstheme="minorHAnsi"/>
          <w:i/>
          <w:iCs/>
          <w:color w:val="000000"/>
          <w:sz w:val="24"/>
          <w:szCs w:val="24"/>
        </w:rPr>
        <w:t>A Review of Research on Outdoor Learning</w:t>
      </w:r>
      <w:r w:rsidRPr="00F55B67">
        <w:rPr>
          <w:rFonts w:cstheme="minorHAnsi"/>
          <w:color w:val="000000"/>
          <w:sz w:val="24"/>
          <w:szCs w:val="24"/>
        </w:rPr>
        <w:t>. NFER.</w:t>
      </w:r>
    </w:p>
    <w:p w14:paraId="2CCC9DF9" w14:textId="5D39F3C7" w:rsidR="00F55B67" w:rsidRPr="00F55B67" w:rsidRDefault="00F55B67" w:rsidP="0078639F">
      <w:pPr>
        <w:rPr>
          <w:rFonts w:cstheme="minorHAnsi"/>
          <w:color w:val="000000"/>
          <w:sz w:val="24"/>
          <w:szCs w:val="24"/>
        </w:rPr>
      </w:pPr>
      <w:r w:rsidRPr="00F55B67">
        <w:rPr>
          <w:rFonts w:cstheme="minorHAnsi"/>
          <w:color w:val="000000"/>
          <w:sz w:val="24"/>
          <w:szCs w:val="24"/>
        </w:rPr>
        <w:t>Welsh Government. (2006) </w:t>
      </w:r>
      <w:r w:rsidRPr="00F55B67">
        <w:rPr>
          <w:rFonts w:cstheme="minorHAnsi"/>
          <w:i/>
          <w:iCs/>
          <w:color w:val="000000"/>
          <w:sz w:val="24"/>
          <w:szCs w:val="24"/>
        </w:rPr>
        <w:t>Rheoliadau Addysg (Arolygu Ysgolion) (Cymru) 2006</w:t>
      </w:r>
      <w:r w:rsidRPr="00F55B67">
        <w:rPr>
          <w:rFonts w:cstheme="minorHAnsi"/>
          <w:color w:val="000000"/>
          <w:sz w:val="24"/>
          <w:szCs w:val="24"/>
        </w:rPr>
        <w:t> [The Education (School Inspection) (Wales) Regulations 2006]. Available at: [https://www.legislation.gov.uk/wsi/2006/1714/contents/made]</w:t>
      </w:r>
    </w:p>
    <w:p w14:paraId="6AB69C4B" w14:textId="77777777" w:rsidR="006216A5" w:rsidRDefault="006216A5"/>
    <w:sectPr w:rsidR="006216A5" w:rsidSect="00233F6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9F4523"/>
    <w:multiLevelType w:val="multilevel"/>
    <w:tmpl w:val="1CD8D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191909"/>
    <w:multiLevelType w:val="multilevel"/>
    <w:tmpl w:val="2B026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680244"/>
    <w:multiLevelType w:val="multilevel"/>
    <w:tmpl w:val="EB7EE50A"/>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943DC8"/>
    <w:multiLevelType w:val="multilevel"/>
    <w:tmpl w:val="B6D6A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C82C6A"/>
    <w:multiLevelType w:val="multilevel"/>
    <w:tmpl w:val="1AF20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383276"/>
    <w:multiLevelType w:val="hybridMultilevel"/>
    <w:tmpl w:val="CEA401BC"/>
    <w:lvl w:ilvl="0" w:tplc="A36E418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7EA62A9"/>
    <w:multiLevelType w:val="hybridMultilevel"/>
    <w:tmpl w:val="3E941A46"/>
    <w:lvl w:ilvl="0" w:tplc="5620A26A">
      <w:start w:val="1"/>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357EB5"/>
    <w:multiLevelType w:val="multilevel"/>
    <w:tmpl w:val="7BA25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5826F03"/>
    <w:multiLevelType w:val="hybridMultilevel"/>
    <w:tmpl w:val="890C2A0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6C73F9C"/>
    <w:multiLevelType w:val="multilevel"/>
    <w:tmpl w:val="EA4E4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F893895"/>
    <w:multiLevelType w:val="multilevel"/>
    <w:tmpl w:val="E1C26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3929CE"/>
    <w:multiLevelType w:val="multilevel"/>
    <w:tmpl w:val="1B1C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3265417">
    <w:abstractNumId w:val="5"/>
  </w:num>
  <w:num w:numId="2" w16cid:durableId="683704300">
    <w:abstractNumId w:val="10"/>
  </w:num>
  <w:num w:numId="3" w16cid:durableId="1998877381">
    <w:abstractNumId w:val="3"/>
  </w:num>
  <w:num w:numId="4" w16cid:durableId="979463173">
    <w:abstractNumId w:val="1"/>
  </w:num>
  <w:num w:numId="5" w16cid:durableId="1257708962">
    <w:abstractNumId w:val="4"/>
  </w:num>
  <w:num w:numId="6" w16cid:durableId="599728649">
    <w:abstractNumId w:val="11"/>
  </w:num>
  <w:num w:numId="7" w16cid:durableId="1543978743">
    <w:abstractNumId w:val="9"/>
  </w:num>
  <w:num w:numId="8" w16cid:durableId="1965189452">
    <w:abstractNumId w:val="0"/>
  </w:num>
  <w:num w:numId="9" w16cid:durableId="890651456">
    <w:abstractNumId w:val="6"/>
  </w:num>
  <w:num w:numId="10" w16cid:durableId="220407548">
    <w:abstractNumId w:val="8"/>
  </w:num>
  <w:num w:numId="11" w16cid:durableId="875850639">
    <w:abstractNumId w:val="2"/>
  </w:num>
  <w:num w:numId="12" w16cid:durableId="14704360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4C97"/>
    <w:rsid w:val="000037AD"/>
    <w:rsid w:val="0001099C"/>
    <w:rsid w:val="00051036"/>
    <w:rsid w:val="000A515B"/>
    <w:rsid w:val="000B337A"/>
    <w:rsid w:val="000D16F7"/>
    <w:rsid w:val="0010165A"/>
    <w:rsid w:val="00112F45"/>
    <w:rsid w:val="00155F47"/>
    <w:rsid w:val="001F24F4"/>
    <w:rsid w:val="002232E9"/>
    <w:rsid w:val="00233F6D"/>
    <w:rsid w:val="00235C15"/>
    <w:rsid w:val="0024788A"/>
    <w:rsid w:val="002B3776"/>
    <w:rsid w:val="002C254C"/>
    <w:rsid w:val="00317CDD"/>
    <w:rsid w:val="00344807"/>
    <w:rsid w:val="00396BB3"/>
    <w:rsid w:val="003D24DD"/>
    <w:rsid w:val="00433C9C"/>
    <w:rsid w:val="0054618E"/>
    <w:rsid w:val="005B4629"/>
    <w:rsid w:val="006216A5"/>
    <w:rsid w:val="00636630"/>
    <w:rsid w:val="00702C72"/>
    <w:rsid w:val="007478B6"/>
    <w:rsid w:val="00766985"/>
    <w:rsid w:val="0078639F"/>
    <w:rsid w:val="007908D1"/>
    <w:rsid w:val="008538CA"/>
    <w:rsid w:val="00865D86"/>
    <w:rsid w:val="008C599E"/>
    <w:rsid w:val="009423A5"/>
    <w:rsid w:val="00952B5E"/>
    <w:rsid w:val="009815E6"/>
    <w:rsid w:val="009A1309"/>
    <w:rsid w:val="00A15004"/>
    <w:rsid w:val="00A81B41"/>
    <w:rsid w:val="00AC3774"/>
    <w:rsid w:val="00B25B19"/>
    <w:rsid w:val="00B55173"/>
    <w:rsid w:val="00BB2069"/>
    <w:rsid w:val="00BE6B73"/>
    <w:rsid w:val="00C31F76"/>
    <w:rsid w:val="00C72E5D"/>
    <w:rsid w:val="00C82CF4"/>
    <w:rsid w:val="00CC001F"/>
    <w:rsid w:val="00D5229B"/>
    <w:rsid w:val="00D70FF7"/>
    <w:rsid w:val="00D76874"/>
    <w:rsid w:val="00D93D44"/>
    <w:rsid w:val="00DB582D"/>
    <w:rsid w:val="00DE4C97"/>
    <w:rsid w:val="00DE6267"/>
    <w:rsid w:val="00E72C37"/>
    <w:rsid w:val="00EA5AF1"/>
    <w:rsid w:val="00EB0257"/>
    <w:rsid w:val="00F06D85"/>
    <w:rsid w:val="00F11129"/>
    <w:rsid w:val="00F52042"/>
    <w:rsid w:val="00F55B67"/>
    <w:rsid w:val="00FA617E"/>
    <w:rsid w:val="00FE4E1D"/>
    <w:rsid w:val="00FF2F62"/>
    <w:rsid w:val="00FF5B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A1996"/>
  <w14:defaultImageDpi w14:val="32767"/>
  <w15:chartTrackingRefBased/>
  <w15:docId w15:val="{2FD985F3-481F-634A-B4A1-FB28843EA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F52042"/>
    <w:pPr>
      <w:spacing w:after="180" w:line="274" w:lineRule="auto"/>
    </w:pPr>
    <w:rPr>
      <w:sz w:val="21"/>
      <w:lang w:val="cy-GB"/>
    </w:rPr>
  </w:style>
  <w:style w:type="paragraph" w:styleId="Heading1">
    <w:name w:val="heading 1"/>
    <w:basedOn w:val="Normal"/>
    <w:next w:val="Normal"/>
    <w:link w:val="Heading1Char"/>
    <w:uiPriority w:val="9"/>
    <w:qFormat/>
    <w:rsid w:val="00F52042"/>
    <w:pPr>
      <w:keepNext/>
      <w:keepLines/>
      <w:spacing w:before="360" w:after="0" w:line="240" w:lineRule="auto"/>
      <w:outlineLvl w:val="0"/>
    </w:pPr>
    <w:rPr>
      <w:rFonts w:asciiTheme="majorHAnsi" w:eastAsiaTheme="majorEastAsia" w:hAnsiTheme="majorHAnsi" w:cstheme="majorBidi"/>
      <w:bCs/>
      <w:color w:val="4472C4" w:themeColor="accent1"/>
      <w:spacing w:val="20"/>
      <w:sz w:val="32"/>
      <w:szCs w:val="28"/>
    </w:rPr>
  </w:style>
  <w:style w:type="paragraph" w:styleId="Heading2">
    <w:name w:val="heading 2"/>
    <w:basedOn w:val="Normal"/>
    <w:next w:val="Normal"/>
    <w:link w:val="Heading2Char"/>
    <w:uiPriority w:val="9"/>
    <w:unhideWhenUsed/>
    <w:qFormat/>
    <w:rsid w:val="00F52042"/>
    <w:pPr>
      <w:keepNext/>
      <w:keepLines/>
      <w:spacing w:before="120" w:after="0" w:line="240" w:lineRule="auto"/>
      <w:outlineLvl w:val="1"/>
    </w:pPr>
    <w:rPr>
      <w:rFonts w:eastAsiaTheme="majorEastAsia" w:cstheme="majorBidi"/>
      <w:b/>
      <w:bCs/>
      <w:color w:val="4472C4" w:themeColor="accent1"/>
      <w:sz w:val="28"/>
      <w:szCs w:val="26"/>
    </w:rPr>
  </w:style>
  <w:style w:type="paragraph" w:styleId="Heading3">
    <w:name w:val="heading 3"/>
    <w:basedOn w:val="Normal"/>
    <w:next w:val="Normal"/>
    <w:link w:val="Heading3Char"/>
    <w:uiPriority w:val="9"/>
    <w:unhideWhenUsed/>
    <w:qFormat/>
    <w:rsid w:val="00F52042"/>
    <w:pPr>
      <w:keepNext/>
      <w:keepLines/>
      <w:spacing w:before="20" w:after="0" w:line="240" w:lineRule="auto"/>
      <w:outlineLvl w:val="2"/>
    </w:pPr>
    <w:rPr>
      <w:rFonts w:asciiTheme="majorHAnsi" w:eastAsiaTheme="majorEastAsia" w:hAnsiTheme="majorHAnsi" w:cstheme="majorBidi"/>
      <w:bCs/>
      <w:color w:val="44546A" w:themeColor="text2"/>
      <w:spacing w:val="14"/>
      <w:sz w:val="24"/>
    </w:rPr>
  </w:style>
  <w:style w:type="paragraph" w:styleId="Heading4">
    <w:name w:val="heading 4"/>
    <w:basedOn w:val="Normal"/>
    <w:next w:val="Normal"/>
    <w:link w:val="Heading4Char"/>
    <w:uiPriority w:val="9"/>
    <w:semiHidden/>
    <w:unhideWhenUsed/>
    <w:qFormat/>
    <w:rsid w:val="00F52042"/>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F52042"/>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F52042"/>
    <w:pPr>
      <w:keepNext/>
      <w:keepLines/>
      <w:spacing w:before="200" w:after="0"/>
      <w:outlineLvl w:val="5"/>
    </w:pPr>
    <w:rPr>
      <w:rFonts w:asciiTheme="majorHAnsi" w:eastAsiaTheme="majorEastAsia" w:hAnsiTheme="majorHAnsi" w:cstheme="majorBidi"/>
      <w:iCs/>
      <w:color w:val="4472C4" w:themeColor="accent1"/>
      <w:sz w:val="22"/>
    </w:rPr>
  </w:style>
  <w:style w:type="paragraph" w:styleId="Heading7">
    <w:name w:val="heading 7"/>
    <w:basedOn w:val="Normal"/>
    <w:next w:val="Normal"/>
    <w:link w:val="Heading7Char"/>
    <w:uiPriority w:val="9"/>
    <w:semiHidden/>
    <w:unhideWhenUsed/>
    <w:qFormat/>
    <w:rsid w:val="00F52042"/>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F52042"/>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F52042"/>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ersonalName">
    <w:name w:val="Personal Name"/>
    <w:basedOn w:val="Title"/>
    <w:qFormat/>
    <w:rsid w:val="00F52042"/>
    <w:rPr>
      <w:b/>
      <w:caps/>
      <w:color w:val="000000"/>
      <w:sz w:val="28"/>
      <w:szCs w:val="28"/>
    </w:rPr>
  </w:style>
  <w:style w:type="paragraph" w:styleId="Title">
    <w:name w:val="Title"/>
    <w:basedOn w:val="Normal"/>
    <w:next w:val="Normal"/>
    <w:link w:val="TitleChar"/>
    <w:uiPriority w:val="10"/>
    <w:qFormat/>
    <w:rsid w:val="00F52042"/>
    <w:pPr>
      <w:spacing w:after="120" w:line="240" w:lineRule="auto"/>
      <w:contextualSpacing/>
    </w:pPr>
    <w:rPr>
      <w:rFonts w:asciiTheme="majorHAnsi" w:eastAsiaTheme="majorEastAsia" w:hAnsiTheme="majorHAnsi" w:cstheme="majorBidi"/>
      <w:color w:val="44546A" w:themeColor="text2"/>
      <w:spacing w:val="30"/>
      <w:kern w:val="28"/>
      <w:sz w:val="96"/>
      <w:szCs w:val="52"/>
    </w:rPr>
  </w:style>
  <w:style w:type="character" w:customStyle="1" w:styleId="TitleChar">
    <w:name w:val="Title Char"/>
    <w:basedOn w:val="DefaultParagraphFont"/>
    <w:link w:val="Title"/>
    <w:uiPriority w:val="10"/>
    <w:rsid w:val="00F52042"/>
    <w:rPr>
      <w:rFonts w:asciiTheme="majorHAnsi" w:eastAsiaTheme="majorEastAsia" w:hAnsiTheme="majorHAnsi" w:cstheme="majorBidi"/>
      <w:color w:val="44546A" w:themeColor="text2"/>
      <w:spacing w:val="30"/>
      <w:kern w:val="28"/>
      <w:sz w:val="96"/>
      <w:szCs w:val="52"/>
    </w:rPr>
  </w:style>
  <w:style w:type="character" w:customStyle="1" w:styleId="Heading1Char">
    <w:name w:val="Heading 1 Char"/>
    <w:basedOn w:val="DefaultParagraphFont"/>
    <w:link w:val="Heading1"/>
    <w:uiPriority w:val="9"/>
    <w:rsid w:val="00F52042"/>
    <w:rPr>
      <w:rFonts w:asciiTheme="majorHAnsi" w:eastAsiaTheme="majorEastAsia" w:hAnsiTheme="majorHAnsi" w:cstheme="majorBidi"/>
      <w:bCs/>
      <w:color w:val="4472C4" w:themeColor="accent1"/>
      <w:spacing w:val="20"/>
      <w:sz w:val="32"/>
      <w:szCs w:val="28"/>
    </w:rPr>
  </w:style>
  <w:style w:type="character" w:customStyle="1" w:styleId="Heading2Char">
    <w:name w:val="Heading 2 Char"/>
    <w:basedOn w:val="DefaultParagraphFont"/>
    <w:link w:val="Heading2"/>
    <w:uiPriority w:val="9"/>
    <w:rsid w:val="00F52042"/>
    <w:rPr>
      <w:rFonts w:eastAsiaTheme="majorEastAsia" w:cstheme="majorBidi"/>
      <w:b/>
      <w:bCs/>
      <w:color w:val="4472C4" w:themeColor="accent1"/>
      <w:sz w:val="28"/>
      <w:szCs w:val="26"/>
    </w:rPr>
  </w:style>
  <w:style w:type="character" w:customStyle="1" w:styleId="Heading3Char">
    <w:name w:val="Heading 3 Char"/>
    <w:basedOn w:val="DefaultParagraphFont"/>
    <w:link w:val="Heading3"/>
    <w:uiPriority w:val="9"/>
    <w:rsid w:val="00F52042"/>
    <w:rPr>
      <w:rFonts w:asciiTheme="majorHAnsi" w:eastAsiaTheme="majorEastAsia" w:hAnsiTheme="majorHAnsi" w:cstheme="majorBidi"/>
      <w:bCs/>
      <w:color w:val="44546A" w:themeColor="text2"/>
      <w:spacing w:val="14"/>
      <w:sz w:val="24"/>
    </w:rPr>
  </w:style>
  <w:style w:type="character" w:customStyle="1" w:styleId="Heading4Char">
    <w:name w:val="Heading 4 Char"/>
    <w:basedOn w:val="DefaultParagraphFont"/>
    <w:link w:val="Heading4"/>
    <w:uiPriority w:val="9"/>
    <w:semiHidden/>
    <w:rsid w:val="00F52042"/>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F52042"/>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F52042"/>
    <w:rPr>
      <w:rFonts w:asciiTheme="majorHAnsi" w:eastAsiaTheme="majorEastAsia" w:hAnsiTheme="majorHAnsi" w:cstheme="majorBidi"/>
      <w:iCs/>
      <w:color w:val="4472C4" w:themeColor="accent1"/>
    </w:rPr>
  </w:style>
  <w:style w:type="character" w:customStyle="1" w:styleId="Heading7Char">
    <w:name w:val="Heading 7 Char"/>
    <w:basedOn w:val="DefaultParagraphFont"/>
    <w:link w:val="Heading7"/>
    <w:uiPriority w:val="9"/>
    <w:semiHidden/>
    <w:rsid w:val="00F52042"/>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F52042"/>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F52042"/>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F52042"/>
    <w:pPr>
      <w:spacing w:line="240" w:lineRule="auto"/>
    </w:pPr>
    <w:rPr>
      <w:rFonts w:asciiTheme="majorHAnsi" w:eastAsiaTheme="minorEastAsia" w:hAnsiTheme="majorHAnsi"/>
      <w:bCs/>
      <w:smallCaps/>
      <w:color w:val="44546A" w:themeColor="text2"/>
      <w:spacing w:val="6"/>
      <w:sz w:val="22"/>
      <w:szCs w:val="18"/>
    </w:rPr>
  </w:style>
  <w:style w:type="paragraph" w:styleId="Subtitle">
    <w:name w:val="Subtitle"/>
    <w:basedOn w:val="Normal"/>
    <w:next w:val="Normal"/>
    <w:link w:val="SubtitleChar"/>
    <w:uiPriority w:val="11"/>
    <w:qFormat/>
    <w:rsid w:val="00F52042"/>
    <w:pPr>
      <w:numPr>
        <w:ilvl w:val="1"/>
      </w:numPr>
    </w:pPr>
    <w:rPr>
      <w:rFonts w:eastAsiaTheme="majorEastAsia" w:cstheme="majorBidi"/>
      <w:iCs/>
      <w:color w:val="44546A" w:themeColor="text2"/>
      <w:sz w:val="40"/>
      <w:szCs w:val="24"/>
    </w:rPr>
  </w:style>
  <w:style w:type="character" w:customStyle="1" w:styleId="SubtitleChar">
    <w:name w:val="Subtitle Char"/>
    <w:basedOn w:val="DefaultParagraphFont"/>
    <w:link w:val="Subtitle"/>
    <w:uiPriority w:val="11"/>
    <w:rsid w:val="00F52042"/>
    <w:rPr>
      <w:rFonts w:eastAsiaTheme="majorEastAsia" w:cstheme="majorBidi"/>
      <w:iCs/>
      <w:color w:val="44546A" w:themeColor="text2"/>
      <w:sz w:val="40"/>
      <w:szCs w:val="24"/>
    </w:rPr>
  </w:style>
  <w:style w:type="character" w:styleId="Strong">
    <w:name w:val="Strong"/>
    <w:basedOn w:val="DefaultParagraphFont"/>
    <w:uiPriority w:val="22"/>
    <w:qFormat/>
    <w:rsid w:val="00F52042"/>
    <w:rPr>
      <w:b w:val="0"/>
      <w:bCs/>
      <w:i/>
      <w:color w:val="44546A" w:themeColor="text2"/>
    </w:rPr>
  </w:style>
  <w:style w:type="character" w:styleId="Emphasis">
    <w:name w:val="Emphasis"/>
    <w:basedOn w:val="DefaultParagraphFont"/>
    <w:uiPriority w:val="20"/>
    <w:qFormat/>
    <w:rsid w:val="00F52042"/>
    <w:rPr>
      <w:b/>
      <w:i/>
      <w:iCs/>
    </w:rPr>
  </w:style>
  <w:style w:type="paragraph" w:styleId="NoSpacing">
    <w:name w:val="No Spacing"/>
    <w:link w:val="NoSpacingChar"/>
    <w:uiPriority w:val="1"/>
    <w:qFormat/>
    <w:rsid w:val="00F52042"/>
    <w:pPr>
      <w:spacing w:after="0" w:line="240" w:lineRule="auto"/>
    </w:pPr>
  </w:style>
  <w:style w:type="character" w:customStyle="1" w:styleId="NoSpacingChar">
    <w:name w:val="No Spacing Char"/>
    <w:basedOn w:val="DefaultParagraphFont"/>
    <w:link w:val="NoSpacing"/>
    <w:uiPriority w:val="1"/>
    <w:rsid w:val="00F52042"/>
  </w:style>
  <w:style w:type="paragraph" w:styleId="ListParagraph">
    <w:name w:val="List Paragraph"/>
    <w:basedOn w:val="Normal"/>
    <w:uiPriority w:val="34"/>
    <w:qFormat/>
    <w:rsid w:val="00F52042"/>
    <w:pPr>
      <w:spacing w:line="240" w:lineRule="auto"/>
      <w:ind w:left="720" w:hanging="288"/>
      <w:contextualSpacing/>
    </w:pPr>
    <w:rPr>
      <w:color w:val="44546A" w:themeColor="text2"/>
    </w:rPr>
  </w:style>
  <w:style w:type="paragraph" w:styleId="Quote">
    <w:name w:val="Quote"/>
    <w:basedOn w:val="Normal"/>
    <w:next w:val="Normal"/>
    <w:link w:val="QuoteChar"/>
    <w:uiPriority w:val="29"/>
    <w:qFormat/>
    <w:rsid w:val="00F52042"/>
    <w:pPr>
      <w:spacing w:after="0" w:line="360" w:lineRule="auto"/>
      <w:jc w:val="center"/>
    </w:pPr>
    <w:rPr>
      <w:rFonts w:eastAsiaTheme="minorEastAsia"/>
      <w:b/>
      <w:i/>
      <w:iCs/>
      <w:color w:val="4472C4" w:themeColor="accent1"/>
      <w:sz w:val="26"/>
    </w:rPr>
  </w:style>
  <w:style w:type="character" w:customStyle="1" w:styleId="QuoteChar">
    <w:name w:val="Quote Char"/>
    <w:basedOn w:val="DefaultParagraphFont"/>
    <w:link w:val="Quote"/>
    <w:uiPriority w:val="29"/>
    <w:rsid w:val="00F52042"/>
    <w:rPr>
      <w:rFonts w:eastAsiaTheme="minorEastAsia"/>
      <w:b/>
      <w:i/>
      <w:iCs/>
      <w:color w:val="4472C4" w:themeColor="accent1"/>
      <w:sz w:val="26"/>
    </w:rPr>
  </w:style>
  <w:style w:type="paragraph" w:styleId="IntenseQuote">
    <w:name w:val="Intense Quote"/>
    <w:basedOn w:val="Normal"/>
    <w:next w:val="Normal"/>
    <w:link w:val="IntenseQuoteChar"/>
    <w:uiPriority w:val="30"/>
    <w:qFormat/>
    <w:rsid w:val="00F52042"/>
    <w:pPr>
      <w:pBdr>
        <w:top w:val="single" w:sz="36" w:space="8" w:color="4472C4" w:themeColor="accent1"/>
        <w:left w:val="single" w:sz="36" w:space="8" w:color="4472C4" w:themeColor="accent1"/>
        <w:bottom w:val="single" w:sz="36" w:space="8" w:color="4472C4" w:themeColor="accent1"/>
        <w:right w:val="single" w:sz="36" w:space="8" w:color="4472C4" w:themeColor="accent1"/>
      </w:pBdr>
      <w:shd w:val="clear" w:color="auto" w:fill="4472C4"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F52042"/>
    <w:rPr>
      <w:rFonts w:asciiTheme="majorHAnsi" w:eastAsiaTheme="minorEastAsia" w:hAnsiTheme="majorHAnsi"/>
      <w:bCs/>
      <w:iCs/>
      <w:color w:val="FFFFFF" w:themeColor="background1"/>
      <w:sz w:val="28"/>
      <w:shd w:val="clear" w:color="auto" w:fill="4472C4" w:themeFill="accent1"/>
    </w:rPr>
  </w:style>
  <w:style w:type="character" w:styleId="SubtleEmphasis">
    <w:name w:val="Subtle Emphasis"/>
    <w:basedOn w:val="DefaultParagraphFont"/>
    <w:uiPriority w:val="19"/>
    <w:qFormat/>
    <w:rsid w:val="00F52042"/>
    <w:rPr>
      <w:i/>
      <w:iCs/>
      <w:color w:val="000000"/>
    </w:rPr>
  </w:style>
  <w:style w:type="character" w:styleId="IntenseEmphasis">
    <w:name w:val="Intense Emphasis"/>
    <w:basedOn w:val="DefaultParagraphFont"/>
    <w:uiPriority w:val="21"/>
    <w:qFormat/>
    <w:rsid w:val="00F52042"/>
    <w:rPr>
      <w:b/>
      <w:bCs/>
      <w:i/>
      <w:iCs/>
      <w:color w:val="4472C4" w:themeColor="accent1"/>
    </w:rPr>
  </w:style>
  <w:style w:type="character" w:styleId="SubtleReference">
    <w:name w:val="Subtle Reference"/>
    <w:basedOn w:val="DefaultParagraphFont"/>
    <w:uiPriority w:val="31"/>
    <w:qFormat/>
    <w:rsid w:val="00F52042"/>
    <w:rPr>
      <w:smallCaps/>
      <w:color w:val="000000"/>
      <w:u w:val="single"/>
    </w:rPr>
  </w:style>
  <w:style w:type="character" w:styleId="IntenseReference">
    <w:name w:val="Intense Reference"/>
    <w:basedOn w:val="DefaultParagraphFont"/>
    <w:uiPriority w:val="32"/>
    <w:qFormat/>
    <w:rsid w:val="00F52042"/>
    <w:rPr>
      <w:b w:val="0"/>
      <w:bCs/>
      <w:smallCaps/>
      <w:color w:val="4472C4" w:themeColor="accent1"/>
      <w:spacing w:val="5"/>
      <w:u w:val="single"/>
    </w:rPr>
  </w:style>
  <w:style w:type="character" w:styleId="BookTitle">
    <w:name w:val="Book Title"/>
    <w:basedOn w:val="DefaultParagraphFont"/>
    <w:uiPriority w:val="33"/>
    <w:qFormat/>
    <w:rsid w:val="00F52042"/>
    <w:rPr>
      <w:b/>
      <w:bCs/>
      <w:caps/>
      <w:smallCaps w:val="0"/>
      <w:color w:val="44546A" w:themeColor="text2"/>
      <w:spacing w:val="10"/>
    </w:rPr>
  </w:style>
  <w:style w:type="paragraph" w:styleId="TOCHeading">
    <w:name w:val="TOC Heading"/>
    <w:basedOn w:val="Heading1"/>
    <w:next w:val="Normal"/>
    <w:uiPriority w:val="39"/>
    <w:semiHidden/>
    <w:unhideWhenUsed/>
    <w:qFormat/>
    <w:rsid w:val="00F52042"/>
    <w:pPr>
      <w:spacing w:before="480" w:line="264" w:lineRule="auto"/>
      <w:outlineLvl w:val="9"/>
    </w:pPr>
    <w:rPr>
      <w:b/>
    </w:rPr>
  </w:style>
  <w:style w:type="character" w:styleId="Hyperlink">
    <w:name w:val="Hyperlink"/>
    <w:basedOn w:val="DefaultParagraphFont"/>
    <w:uiPriority w:val="99"/>
    <w:unhideWhenUsed/>
    <w:rsid w:val="007478B6"/>
    <w:rPr>
      <w:color w:val="0563C1" w:themeColor="hyperlink"/>
      <w:u w:val="single"/>
    </w:rPr>
  </w:style>
  <w:style w:type="character" w:styleId="UnresolvedMention">
    <w:name w:val="Unresolved Mention"/>
    <w:basedOn w:val="DefaultParagraphFont"/>
    <w:uiPriority w:val="99"/>
    <w:rsid w:val="007478B6"/>
    <w:rPr>
      <w:color w:val="605E5C"/>
      <w:shd w:val="clear" w:color="auto" w:fill="E1DFDD"/>
    </w:rPr>
  </w:style>
  <w:style w:type="paragraph" w:styleId="NormalWeb">
    <w:name w:val="Normal (Web)"/>
    <w:basedOn w:val="Normal"/>
    <w:uiPriority w:val="99"/>
    <w:semiHidden/>
    <w:unhideWhenUsed/>
    <w:rsid w:val="00D522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pple-converted-space">
    <w:name w:val="apple-converted-space"/>
    <w:basedOn w:val="DefaultParagraphFont"/>
    <w:rsid w:val="005B4629"/>
  </w:style>
  <w:style w:type="paragraph" w:customStyle="1" w:styleId="AssignBody">
    <w:name w:val="AssignBody"/>
    <w:basedOn w:val="Normal"/>
    <w:link w:val="AssignBodyChar"/>
    <w:qFormat/>
    <w:rsid w:val="009815E6"/>
    <w:pPr>
      <w:spacing w:after="0" w:line="360" w:lineRule="auto"/>
    </w:pPr>
    <w:rPr>
      <w:rFonts w:ascii="Arial" w:hAnsi="Arial"/>
      <w:kern w:val="0"/>
      <w:sz w:val="22"/>
      <w:lang w:val="en-GB"/>
      <w14:ligatures w14:val="none"/>
    </w:rPr>
  </w:style>
  <w:style w:type="character" w:customStyle="1" w:styleId="AssignBodyChar">
    <w:name w:val="AssignBody Char"/>
    <w:basedOn w:val="DefaultParagraphFont"/>
    <w:link w:val="AssignBody"/>
    <w:rsid w:val="009815E6"/>
    <w:rPr>
      <w:rFonts w:ascii="Arial" w:hAnsi="Arial"/>
      <w:kern w:val="0"/>
      <w14:ligatures w14:val="none"/>
    </w:rPr>
  </w:style>
  <w:style w:type="table" w:styleId="TableGrid">
    <w:name w:val="Table Grid"/>
    <w:basedOn w:val="TableNormal"/>
    <w:uiPriority w:val="39"/>
    <w:rsid w:val="009815E6"/>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28631">
      <w:bodyDiv w:val="1"/>
      <w:marLeft w:val="0"/>
      <w:marRight w:val="0"/>
      <w:marTop w:val="0"/>
      <w:marBottom w:val="0"/>
      <w:divBdr>
        <w:top w:val="none" w:sz="0" w:space="0" w:color="auto"/>
        <w:left w:val="none" w:sz="0" w:space="0" w:color="auto"/>
        <w:bottom w:val="none" w:sz="0" w:space="0" w:color="auto"/>
        <w:right w:val="none" w:sz="0" w:space="0" w:color="auto"/>
      </w:divBdr>
    </w:div>
    <w:div w:id="81688042">
      <w:bodyDiv w:val="1"/>
      <w:marLeft w:val="0"/>
      <w:marRight w:val="0"/>
      <w:marTop w:val="0"/>
      <w:marBottom w:val="0"/>
      <w:divBdr>
        <w:top w:val="none" w:sz="0" w:space="0" w:color="auto"/>
        <w:left w:val="none" w:sz="0" w:space="0" w:color="auto"/>
        <w:bottom w:val="none" w:sz="0" w:space="0" w:color="auto"/>
        <w:right w:val="none" w:sz="0" w:space="0" w:color="auto"/>
      </w:divBdr>
    </w:div>
    <w:div w:id="121116024">
      <w:bodyDiv w:val="1"/>
      <w:marLeft w:val="0"/>
      <w:marRight w:val="0"/>
      <w:marTop w:val="0"/>
      <w:marBottom w:val="0"/>
      <w:divBdr>
        <w:top w:val="none" w:sz="0" w:space="0" w:color="auto"/>
        <w:left w:val="none" w:sz="0" w:space="0" w:color="auto"/>
        <w:bottom w:val="none" w:sz="0" w:space="0" w:color="auto"/>
        <w:right w:val="none" w:sz="0" w:space="0" w:color="auto"/>
      </w:divBdr>
    </w:div>
    <w:div w:id="317618033">
      <w:bodyDiv w:val="1"/>
      <w:marLeft w:val="0"/>
      <w:marRight w:val="0"/>
      <w:marTop w:val="0"/>
      <w:marBottom w:val="0"/>
      <w:divBdr>
        <w:top w:val="none" w:sz="0" w:space="0" w:color="auto"/>
        <w:left w:val="none" w:sz="0" w:space="0" w:color="auto"/>
        <w:bottom w:val="none" w:sz="0" w:space="0" w:color="auto"/>
        <w:right w:val="none" w:sz="0" w:space="0" w:color="auto"/>
      </w:divBdr>
    </w:div>
    <w:div w:id="343871458">
      <w:bodyDiv w:val="1"/>
      <w:marLeft w:val="0"/>
      <w:marRight w:val="0"/>
      <w:marTop w:val="0"/>
      <w:marBottom w:val="0"/>
      <w:divBdr>
        <w:top w:val="none" w:sz="0" w:space="0" w:color="auto"/>
        <w:left w:val="none" w:sz="0" w:space="0" w:color="auto"/>
        <w:bottom w:val="none" w:sz="0" w:space="0" w:color="auto"/>
        <w:right w:val="none" w:sz="0" w:space="0" w:color="auto"/>
      </w:divBdr>
    </w:div>
    <w:div w:id="398407531">
      <w:bodyDiv w:val="1"/>
      <w:marLeft w:val="0"/>
      <w:marRight w:val="0"/>
      <w:marTop w:val="0"/>
      <w:marBottom w:val="0"/>
      <w:divBdr>
        <w:top w:val="none" w:sz="0" w:space="0" w:color="auto"/>
        <w:left w:val="none" w:sz="0" w:space="0" w:color="auto"/>
        <w:bottom w:val="none" w:sz="0" w:space="0" w:color="auto"/>
        <w:right w:val="none" w:sz="0" w:space="0" w:color="auto"/>
      </w:divBdr>
    </w:div>
    <w:div w:id="445396200">
      <w:bodyDiv w:val="1"/>
      <w:marLeft w:val="0"/>
      <w:marRight w:val="0"/>
      <w:marTop w:val="0"/>
      <w:marBottom w:val="0"/>
      <w:divBdr>
        <w:top w:val="none" w:sz="0" w:space="0" w:color="auto"/>
        <w:left w:val="none" w:sz="0" w:space="0" w:color="auto"/>
        <w:bottom w:val="none" w:sz="0" w:space="0" w:color="auto"/>
        <w:right w:val="none" w:sz="0" w:space="0" w:color="auto"/>
      </w:divBdr>
    </w:div>
    <w:div w:id="592053770">
      <w:bodyDiv w:val="1"/>
      <w:marLeft w:val="0"/>
      <w:marRight w:val="0"/>
      <w:marTop w:val="0"/>
      <w:marBottom w:val="0"/>
      <w:divBdr>
        <w:top w:val="none" w:sz="0" w:space="0" w:color="auto"/>
        <w:left w:val="none" w:sz="0" w:space="0" w:color="auto"/>
        <w:bottom w:val="none" w:sz="0" w:space="0" w:color="auto"/>
        <w:right w:val="none" w:sz="0" w:space="0" w:color="auto"/>
      </w:divBdr>
    </w:div>
    <w:div w:id="701707153">
      <w:bodyDiv w:val="1"/>
      <w:marLeft w:val="0"/>
      <w:marRight w:val="0"/>
      <w:marTop w:val="0"/>
      <w:marBottom w:val="0"/>
      <w:divBdr>
        <w:top w:val="none" w:sz="0" w:space="0" w:color="auto"/>
        <w:left w:val="none" w:sz="0" w:space="0" w:color="auto"/>
        <w:bottom w:val="none" w:sz="0" w:space="0" w:color="auto"/>
        <w:right w:val="none" w:sz="0" w:space="0" w:color="auto"/>
      </w:divBdr>
    </w:div>
    <w:div w:id="1035882663">
      <w:bodyDiv w:val="1"/>
      <w:marLeft w:val="0"/>
      <w:marRight w:val="0"/>
      <w:marTop w:val="0"/>
      <w:marBottom w:val="0"/>
      <w:divBdr>
        <w:top w:val="none" w:sz="0" w:space="0" w:color="auto"/>
        <w:left w:val="none" w:sz="0" w:space="0" w:color="auto"/>
        <w:bottom w:val="none" w:sz="0" w:space="0" w:color="auto"/>
        <w:right w:val="none" w:sz="0" w:space="0" w:color="auto"/>
      </w:divBdr>
    </w:div>
    <w:div w:id="1055467185">
      <w:bodyDiv w:val="1"/>
      <w:marLeft w:val="0"/>
      <w:marRight w:val="0"/>
      <w:marTop w:val="0"/>
      <w:marBottom w:val="0"/>
      <w:divBdr>
        <w:top w:val="none" w:sz="0" w:space="0" w:color="auto"/>
        <w:left w:val="none" w:sz="0" w:space="0" w:color="auto"/>
        <w:bottom w:val="none" w:sz="0" w:space="0" w:color="auto"/>
        <w:right w:val="none" w:sz="0" w:space="0" w:color="auto"/>
      </w:divBdr>
    </w:div>
    <w:div w:id="1062874713">
      <w:bodyDiv w:val="1"/>
      <w:marLeft w:val="0"/>
      <w:marRight w:val="0"/>
      <w:marTop w:val="0"/>
      <w:marBottom w:val="0"/>
      <w:divBdr>
        <w:top w:val="none" w:sz="0" w:space="0" w:color="auto"/>
        <w:left w:val="none" w:sz="0" w:space="0" w:color="auto"/>
        <w:bottom w:val="none" w:sz="0" w:space="0" w:color="auto"/>
        <w:right w:val="none" w:sz="0" w:space="0" w:color="auto"/>
      </w:divBdr>
    </w:div>
    <w:div w:id="1117531773">
      <w:bodyDiv w:val="1"/>
      <w:marLeft w:val="0"/>
      <w:marRight w:val="0"/>
      <w:marTop w:val="0"/>
      <w:marBottom w:val="0"/>
      <w:divBdr>
        <w:top w:val="none" w:sz="0" w:space="0" w:color="auto"/>
        <w:left w:val="none" w:sz="0" w:space="0" w:color="auto"/>
        <w:bottom w:val="none" w:sz="0" w:space="0" w:color="auto"/>
        <w:right w:val="none" w:sz="0" w:space="0" w:color="auto"/>
      </w:divBdr>
    </w:div>
    <w:div w:id="1127548098">
      <w:bodyDiv w:val="1"/>
      <w:marLeft w:val="0"/>
      <w:marRight w:val="0"/>
      <w:marTop w:val="0"/>
      <w:marBottom w:val="0"/>
      <w:divBdr>
        <w:top w:val="none" w:sz="0" w:space="0" w:color="auto"/>
        <w:left w:val="none" w:sz="0" w:space="0" w:color="auto"/>
        <w:bottom w:val="none" w:sz="0" w:space="0" w:color="auto"/>
        <w:right w:val="none" w:sz="0" w:space="0" w:color="auto"/>
      </w:divBdr>
    </w:div>
    <w:div w:id="1255363514">
      <w:bodyDiv w:val="1"/>
      <w:marLeft w:val="0"/>
      <w:marRight w:val="0"/>
      <w:marTop w:val="0"/>
      <w:marBottom w:val="0"/>
      <w:divBdr>
        <w:top w:val="none" w:sz="0" w:space="0" w:color="auto"/>
        <w:left w:val="none" w:sz="0" w:space="0" w:color="auto"/>
        <w:bottom w:val="none" w:sz="0" w:space="0" w:color="auto"/>
        <w:right w:val="none" w:sz="0" w:space="0" w:color="auto"/>
      </w:divBdr>
      <w:divsChild>
        <w:div w:id="1957634629">
          <w:marLeft w:val="0"/>
          <w:marRight w:val="0"/>
          <w:marTop w:val="0"/>
          <w:marBottom w:val="0"/>
          <w:divBdr>
            <w:top w:val="none" w:sz="0" w:space="0" w:color="auto"/>
            <w:left w:val="none" w:sz="0" w:space="0" w:color="auto"/>
            <w:bottom w:val="none" w:sz="0" w:space="0" w:color="auto"/>
            <w:right w:val="none" w:sz="0" w:space="0" w:color="auto"/>
          </w:divBdr>
          <w:divsChild>
            <w:div w:id="1823541015">
              <w:marLeft w:val="0"/>
              <w:marRight w:val="0"/>
              <w:marTop w:val="0"/>
              <w:marBottom w:val="0"/>
              <w:divBdr>
                <w:top w:val="none" w:sz="0" w:space="0" w:color="auto"/>
                <w:left w:val="none" w:sz="0" w:space="0" w:color="auto"/>
                <w:bottom w:val="none" w:sz="0" w:space="0" w:color="auto"/>
                <w:right w:val="none" w:sz="0" w:space="0" w:color="auto"/>
              </w:divBdr>
              <w:divsChild>
                <w:div w:id="181672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8099035">
      <w:bodyDiv w:val="1"/>
      <w:marLeft w:val="0"/>
      <w:marRight w:val="0"/>
      <w:marTop w:val="0"/>
      <w:marBottom w:val="0"/>
      <w:divBdr>
        <w:top w:val="none" w:sz="0" w:space="0" w:color="auto"/>
        <w:left w:val="none" w:sz="0" w:space="0" w:color="auto"/>
        <w:bottom w:val="none" w:sz="0" w:space="0" w:color="auto"/>
        <w:right w:val="none" w:sz="0" w:space="0" w:color="auto"/>
      </w:divBdr>
    </w:div>
    <w:div w:id="1364986337">
      <w:bodyDiv w:val="1"/>
      <w:marLeft w:val="0"/>
      <w:marRight w:val="0"/>
      <w:marTop w:val="0"/>
      <w:marBottom w:val="0"/>
      <w:divBdr>
        <w:top w:val="none" w:sz="0" w:space="0" w:color="auto"/>
        <w:left w:val="none" w:sz="0" w:space="0" w:color="auto"/>
        <w:bottom w:val="none" w:sz="0" w:space="0" w:color="auto"/>
        <w:right w:val="none" w:sz="0" w:space="0" w:color="auto"/>
      </w:divBdr>
    </w:div>
    <w:div w:id="1408963709">
      <w:bodyDiv w:val="1"/>
      <w:marLeft w:val="0"/>
      <w:marRight w:val="0"/>
      <w:marTop w:val="0"/>
      <w:marBottom w:val="0"/>
      <w:divBdr>
        <w:top w:val="none" w:sz="0" w:space="0" w:color="auto"/>
        <w:left w:val="none" w:sz="0" w:space="0" w:color="auto"/>
        <w:bottom w:val="none" w:sz="0" w:space="0" w:color="auto"/>
        <w:right w:val="none" w:sz="0" w:space="0" w:color="auto"/>
      </w:divBdr>
    </w:div>
    <w:div w:id="1482113929">
      <w:bodyDiv w:val="1"/>
      <w:marLeft w:val="0"/>
      <w:marRight w:val="0"/>
      <w:marTop w:val="0"/>
      <w:marBottom w:val="0"/>
      <w:divBdr>
        <w:top w:val="none" w:sz="0" w:space="0" w:color="auto"/>
        <w:left w:val="none" w:sz="0" w:space="0" w:color="auto"/>
        <w:bottom w:val="none" w:sz="0" w:space="0" w:color="auto"/>
        <w:right w:val="none" w:sz="0" w:space="0" w:color="auto"/>
      </w:divBdr>
    </w:div>
    <w:div w:id="1663462063">
      <w:bodyDiv w:val="1"/>
      <w:marLeft w:val="0"/>
      <w:marRight w:val="0"/>
      <w:marTop w:val="0"/>
      <w:marBottom w:val="0"/>
      <w:divBdr>
        <w:top w:val="none" w:sz="0" w:space="0" w:color="auto"/>
        <w:left w:val="none" w:sz="0" w:space="0" w:color="auto"/>
        <w:bottom w:val="none" w:sz="0" w:space="0" w:color="auto"/>
        <w:right w:val="none" w:sz="0" w:space="0" w:color="auto"/>
      </w:divBdr>
    </w:div>
    <w:div w:id="1721242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lyw.cymru/cenhadaeth-ein-cenedl-safonau-dyheadau-uchel-i-bawb-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TotalTime>
  <Pages>8</Pages>
  <Words>2704</Words>
  <Characters>15417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dc:creator>
  <cp:keywords/>
  <dc:description/>
  <cp:lastModifiedBy>Steffan Jones</cp:lastModifiedBy>
  <cp:revision>4</cp:revision>
  <dcterms:created xsi:type="dcterms:W3CDTF">2025-02-26T11:32:00Z</dcterms:created>
  <dcterms:modified xsi:type="dcterms:W3CDTF">2025-02-27T13:04:00Z</dcterms:modified>
</cp:coreProperties>
</file>