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9BA8B0" w14:textId="77777777" w:rsidR="00D52CFF" w:rsidRDefault="00D52CFF" w:rsidP="00D52CFF">
      <w:pPr>
        <w:jc w:val="center"/>
        <w:rPr>
          <w:rFonts w:cs="Times New Roman"/>
          <w:b/>
          <w:bCs/>
          <w:color w:val="1F1F1F"/>
          <w:sz w:val="44"/>
          <w:szCs w:val="44"/>
          <w:shd w:val="clear" w:color="auto" w:fill="FFFFFF"/>
        </w:rPr>
      </w:pPr>
    </w:p>
    <w:p w14:paraId="4458675C" w14:textId="77777777" w:rsidR="00D52CFF" w:rsidRDefault="00D52CFF" w:rsidP="00D52CFF">
      <w:pPr>
        <w:jc w:val="center"/>
        <w:rPr>
          <w:rFonts w:cs="Times New Roman"/>
          <w:b/>
          <w:bCs/>
          <w:color w:val="1F1F1F"/>
          <w:sz w:val="44"/>
          <w:szCs w:val="44"/>
          <w:shd w:val="clear" w:color="auto" w:fill="FFFFFF"/>
        </w:rPr>
      </w:pPr>
    </w:p>
    <w:p w14:paraId="7CB8EF9A" w14:textId="77777777" w:rsidR="005F1B89" w:rsidRDefault="00A2438B" w:rsidP="005F1B89">
      <w:pPr>
        <w:pStyle w:val="Title"/>
        <w:spacing w:after="0" w:line="360" w:lineRule="auto"/>
        <w:ind w:left="57"/>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17CF79EF" w14:textId="77777777" w:rsidR="005F1B89" w:rsidRDefault="005F1B89" w:rsidP="005F1B89">
      <w:pPr>
        <w:pStyle w:val="Title"/>
        <w:spacing w:after="0" w:line="360" w:lineRule="auto"/>
        <w:ind w:left="57"/>
        <w:rPr>
          <w:rFonts w:ascii="Times New Roman" w:eastAsia="Times New Roman" w:hAnsi="Times New Roman" w:cs="Times New Roman"/>
          <w:b/>
          <w:sz w:val="32"/>
          <w:szCs w:val="32"/>
        </w:rPr>
      </w:pPr>
    </w:p>
    <w:p w14:paraId="28DA54F1" w14:textId="2939C4B9" w:rsidR="005F1B89" w:rsidRDefault="005F1B89" w:rsidP="005F1B89">
      <w:pPr>
        <w:pStyle w:val="Title"/>
        <w:spacing w:after="0" w:line="360" w:lineRule="auto"/>
        <w:ind w:left="57"/>
        <w:rPr>
          <w:rFonts w:ascii="Times New Roman" w:eastAsia="Times New Roman" w:hAnsi="Times New Roman" w:cs="Times New Roman"/>
          <w:bCs/>
          <w:sz w:val="24"/>
          <w:szCs w:val="24"/>
        </w:rPr>
      </w:pPr>
      <w:r>
        <w:rPr>
          <w:rFonts w:ascii="Times New Roman" w:eastAsia="Times New Roman" w:hAnsi="Times New Roman" w:cs="Times New Roman"/>
          <w:b/>
          <w:sz w:val="32"/>
          <w:szCs w:val="32"/>
        </w:rPr>
        <w:t xml:space="preserve">                </w:t>
      </w:r>
      <w:r w:rsidR="00A2438B">
        <w:rPr>
          <w:rFonts w:ascii="Times New Roman" w:eastAsia="Times New Roman" w:hAnsi="Times New Roman" w:cs="Times New Roman"/>
          <w:b/>
          <w:sz w:val="32"/>
          <w:szCs w:val="32"/>
        </w:rPr>
        <w:t xml:space="preserve"> </w:t>
      </w:r>
      <w:r w:rsidR="00A2438B" w:rsidRPr="005F1B89">
        <w:rPr>
          <w:rFonts w:ascii="Times New Roman" w:eastAsia="Times New Roman" w:hAnsi="Times New Roman" w:cs="Times New Roman"/>
          <w:b/>
          <w:sz w:val="28"/>
          <w:szCs w:val="28"/>
        </w:rPr>
        <w:t xml:space="preserve">Module </w:t>
      </w:r>
      <w:proofErr w:type="gramStart"/>
      <w:r w:rsidR="00A2438B" w:rsidRPr="005F1B89">
        <w:rPr>
          <w:rFonts w:ascii="Times New Roman" w:eastAsia="Times New Roman" w:hAnsi="Times New Roman" w:cs="Times New Roman"/>
          <w:b/>
          <w:sz w:val="28"/>
          <w:szCs w:val="28"/>
        </w:rPr>
        <w:t>Name</w:t>
      </w:r>
      <w:r>
        <w:rPr>
          <w:rFonts w:ascii="Times New Roman" w:eastAsia="Times New Roman" w:hAnsi="Times New Roman" w:cs="Times New Roman"/>
          <w:bCs/>
          <w:sz w:val="28"/>
          <w:szCs w:val="28"/>
        </w:rPr>
        <w:t xml:space="preserve"> </w:t>
      </w:r>
      <w:r w:rsidR="00A2438B" w:rsidRPr="001035A2">
        <w:rPr>
          <w:rFonts w:ascii="Times New Roman" w:eastAsia="Times New Roman" w:hAnsi="Times New Roman" w:cs="Times New Roman"/>
          <w:bCs/>
          <w:sz w:val="28"/>
          <w:szCs w:val="28"/>
        </w:rPr>
        <w:t xml:space="preserve"> </w:t>
      </w:r>
      <w:r w:rsidR="001035A2" w:rsidRPr="005F1B89">
        <w:rPr>
          <w:sz w:val="24"/>
          <w:szCs w:val="24"/>
        </w:rPr>
        <w:t>Financial</w:t>
      </w:r>
      <w:proofErr w:type="gramEnd"/>
      <w:r w:rsidR="001035A2" w:rsidRPr="005F1B89">
        <w:rPr>
          <w:sz w:val="24"/>
          <w:szCs w:val="24"/>
        </w:rPr>
        <w:t xml:space="preserve"> Management for the Hotel Industry</w:t>
      </w:r>
      <w:bookmarkStart w:id="0" w:name="_9hvzgtjdm3nx" w:colFirst="0" w:colLast="0"/>
      <w:bookmarkEnd w:id="0"/>
      <w:r>
        <w:rPr>
          <w:rFonts w:ascii="Times New Roman" w:eastAsia="Times New Roman" w:hAnsi="Times New Roman" w:cs="Times New Roman"/>
          <w:bCs/>
          <w:sz w:val="24"/>
          <w:szCs w:val="24"/>
        </w:rPr>
        <w:t xml:space="preserve">                   </w:t>
      </w:r>
    </w:p>
    <w:p w14:paraId="2CE340D3" w14:textId="09D89BF9" w:rsidR="005F1B89" w:rsidRDefault="005F1B89" w:rsidP="005F1B89">
      <w:pPr>
        <w:pStyle w:val="Title"/>
        <w:spacing w:after="0" w:line="360" w:lineRule="auto"/>
        <w:ind w:left="57"/>
        <w:rPr>
          <w:b/>
          <w:bCs/>
          <w:sz w:val="28"/>
          <w:szCs w:val="28"/>
        </w:rPr>
      </w:pPr>
      <w:r>
        <w:rPr>
          <w:b/>
          <w:bCs/>
          <w:sz w:val="28"/>
          <w:szCs w:val="28"/>
        </w:rPr>
        <w:t xml:space="preserve">                                         </w:t>
      </w:r>
    </w:p>
    <w:p w14:paraId="1280398B" w14:textId="02FFDEC8" w:rsidR="005F1B89" w:rsidRPr="005F1B89" w:rsidRDefault="005F1B89" w:rsidP="005F1B89">
      <w:pPr>
        <w:pStyle w:val="Title"/>
        <w:spacing w:after="0" w:line="360" w:lineRule="auto"/>
        <w:ind w:left="57"/>
        <w:rPr>
          <w:sz w:val="24"/>
          <w:szCs w:val="24"/>
        </w:rPr>
      </w:pPr>
      <w:r>
        <w:rPr>
          <w:b/>
          <w:bCs/>
          <w:sz w:val="28"/>
          <w:szCs w:val="28"/>
        </w:rPr>
        <w:t xml:space="preserve">                                </w:t>
      </w:r>
      <w:r w:rsidR="00E91EA2" w:rsidRPr="005F1B89">
        <w:rPr>
          <w:b/>
          <w:bCs/>
          <w:sz w:val="28"/>
          <w:szCs w:val="28"/>
        </w:rPr>
        <w:t>Assignment 2</w:t>
      </w:r>
      <w:r w:rsidR="00A2438B" w:rsidRPr="00C4025D">
        <w:rPr>
          <w:rFonts w:ascii="Times New Roman" w:eastAsia="Times New Roman" w:hAnsi="Times New Roman" w:cs="Times New Roman"/>
          <w:bCs/>
          <w:sz w:val="28"/>
          <w:szCs w:val="28"/>
        </w:rPr>
        <w:t xml:space="preserve"> </w:t>
      </w:r>
      <w:r w:rsidR="00E86A3A">
        <w:rPr>
          <w:rFonts w:ascii="Times New Roman" w:eastAsia="Times New Roman" w:hAnsi="Times New Roman" w:cs="Times New Roman"/>
          <w:bCs/>
          <w:sz w:val="28"/>
          <w:szCs w:val="28"/>
        </w:rPr>
        <w:t xml:space="preserve">Case Study </w:t>
      </w:r>
      <w:proofErr w:type="gramStart"/>
      <w:r w:rsidR="003F05E1" w:rsidRPr="005F1B89">
        <w:rPr>
          <w:sz w:val="24"/>
          <w:szCs w:val="24"/>
        </w:rPr>
        <w:t>The</w:t>
      </w:r>
      <w:proofErr w:type="gramEnd"/>
      <w:r w:rsidR="003F05E1" w:rsidRPr="005F1B89">
        <w:rPr>
          <w:sz w:val="24"/>
          <w:szCs w:val="24"/>
        </w:rPr>
        <w:t xml:space="preserve"> Seacrest Lodge</w:t>
      </w:r>
    </w:p>
    <w:p w14:paraId="4303A83C" w14:textId="69894C6C" w:rsidR="00A2438B" w:rsidRPr="003B4034" w:rsidRDefault="00A2438B" w:rsidP="00A2438B">
      <w:pPr>
        <w:pStyle w:val="Title"/>
        <w:spacing w:after="0" w:line="360" w:lineRule="auto"/>
        <w:ind w:left="57"/>
        <w:jc w:val="center"/>
        <w:rPr>
          <w:rFonts w:ascii="Times New Roman" w:eastAsia="Times New Roman" w:hAnsi="Times New Roman" w:cs="Times New Roman"/>
          <w:bCs/>
          <w:sz w:val="24"/>
          <w:szCs w:val="24"/>
        </w:rPr>
      </w:pPr>
      <w:bookmarkStart w:id="1" w:name="_u3dixo5ls5cz" w:colFirst="0" w:colLast="0"/>
      <w:bookmarkStart w:id="2" w:name="_cvnpg08cbatu" w:colFirst="0" w:colLast="0"/>
      <w:bookmarkEnd w:id="1"/>
      <w:bookmarkEnd w:id="2"/>
      <w:r w:rsidRPr="00EB3DC2">
        <w:rPr>
          <w:rFonts w:ascii="Times New Roman" w:eastAsia="Times New Roman" w:hAnsi="Times New Roman" w:cs="Times New Roman"/>
          <w:b/>
          <w:sz w:val="28"/>
          <w:szCs w:val="28"/>
        </w:rPr>
        <w:t>Module Code</w:t>
      </w:r>
      <w:r w:rsidRPr="00C4025D">
        <w:rPr>
          <w:rFonts w:ascii="Times New Roman" w:eastAsia="Times New Roman" w:hAnsi="Times New Roman" w:cs="Times New Roman"/>
          <w:bCs/>
          <w:sz w:val="28"/>
          <w:szCs w:val="28"/>
        </w:rPr>
        <w:t xml:space="preserve"> </w:t>
      </w:r>
      <w:r w:rsidR="003B4034" w:rsidRPr="003B4034">
        <w:rPr>
          <w:sz w:val="24"/>
          <w:szCs w:val="24"/>
        </w:rPr>
        <w:t>BMIH5007</w:t>
      </w:r>
    </w:p>
    <w:p w14:paraId="7E59D0A6" w14:textId="3595F150" w:rsidR="00A2438B" w:rsidRPr="00C4025D" w:rsidRDefault="00A2438B" w:rsidP="00A2438B">
      <w:pPr>
        <w:pStyle w:val="Title"/>
        <w:spacing w:after="0" w:line="360" w:lineRule="auto"/>
        <w:ind w:left="57"/>
        <w:jc w:val="center"/>
        <w:rPr>
          <w:rFonts w:ascii="Times New Roman" w:eastAsia="Times New Roman" w:hAnsi="Times New Roman" w:cs="Times New Roman"/>
          <w:bCs/>
          <w:sz w:val="28"/>
          <w:szCs w:val="28"/>
        </w:rPr>
      </w:pPr>
      <w:bookmarkStart w:id="3" w:name="_l6ytwzle88dh" w:colFirst="0" w:colLast="0"/>
      <w:bookmarkEnd w:id="3"/>
      <w:r w:rsidRPr="00EB3DC2">
        <w:rPr>
          <w:rFonts w:ascii="Times New Roman" w:eastAsia="Times New Roman" w:hAnsi="Times New Roman" w:cs="Times New Roman"/>
          <w:b/>
          <w:sz w:val="28"/>
          <w:szCs w:val="28"/>
        </w:rPr>
        <w:t>Student Name</w:t>
      </w:r>
      <w:r w:rsidRPr="00C4025D">
        <w:rPr>
          <w:rFonts w:ascii="Times New Roman" w:eastAsia="Times New Roman" w:hAnsi="Times New Roman" w:cs="Times New Roman"/>
          <w:bCs/>
          <w:sz w:val="28"/>
          <w:szCs w:val="28"/>
        </w:rPr>
        <w:t xml:space="preserve"> </w:t>
      </w:r>
      <w:r w:rsidRPr="005F1B89">
        <w:rPr>
          <w:rFonts w:ascii="Times New Roman" w:eastAsia="Times New Roman" w:hAnsi="Times New Roman" w:cs="Times New Roman"/>
          <w:bCs/>
          <w:sz w:val="24"/>
          <w:szCs w:val="24"/>
        </w:rPr>
        <w:t>Ionut Paul Poltz</w:t>
      </w:r>
      <w:r w:rsidRPr="00C4025D">
        <w:rPr>
          <w:rFonts w:ascii="Times New Roman" w:eastAsia="Times New Roman" w:hAnsi="Times New Roman" w:cs="Times New Roman"/>
          <w:bCs/>
          <w:sz w:val="28"/>
          <w:szCs w:val="28"/>
        </w:rPr>
        <w:t xml:space="preserve"> </w:t>
      </w:r>
    </w:p>
    <w:p w14:paraId="56A65BC0" w14:textId="54576540" w:rsidR="00A2438B" w:rsidRPr="00C4025D" w:rsidRDefault="00A2438B" w:rsidP="00A2438B">
      <w:pPr>
        <w:pStyle w:val="Title"/>
        <w:spacing w:after="0" w:line="360" w:lineRule="auto"/>
        <w:jc w:val="center"/>
        <w:rPr>
          <w:rFonts w:ascii="Times New Roman" w:eastAsia="Times New Roman" w:hAnsi="Times New Roman" w:cs="Times New Roman"/>
          <w:bCs/>
          <w:sz w:val="28"/>
          <w:szCs w:val="28"/>
        </w:rPr>
      </w:pPr>
      <w:bookmarkStart w:id="4" w:name="_bttx391ggm60" w:colFirst="0" w:colLast="0"/>
      <w:bookmarkEnd w:id="4"/>
      <w:r w:rsidRPr="00EB3DC2">
        <w:rPr>
          <w:rFonts w:ascii="Times New Roman" w:eastAsia="Times New Roman" w:hAnsi="Times New Roman" w:cs="Times New Roman"/>
          <w:b/>
          <w:sz w:val="28"/>
          <w:szCs w:val="28"/>
        </w:rPr>
        <w:t>Student ID</w:t>
      </w:r>
      <w:r w:rsidRPr="00C4025D">
        <w:rPr>
          <w:rFonts w:ascii="Times New Roman" w:eastAsia="Times New Roman" w:hAnsi="Times New Roman" w:cs="Times New Roman"/>
          <w:bCs/>
          <w:sz w:val="28"/>
          <w:szCs w:val="28"/>
        </w:rPr>
        <w:t xml:space="preserve"> </w:t>
      </w:r>
      <w:r w:rsidRPr="005F1B89">
        <w:rPr>
          <w:rFonts w:ascii="Times New Roman" w:eastAsia="Times New Roman" w:hAnsi="Times New Roman" w:cs="Times New Roman"/>
          <w:bCs/>
          <w:sz w:val="24"/>
          <w:szCs w:val="24"/>
        </w:rPr>
        <w:t>2022 1194 41</w:t>
      </w:r>
    </w:p>
    <w:p w14:paraId="471AC0DF" w14:textId="4F209917" w:rsidR="00A2438B" w:rsidRPr="00FF7352" w:rsidRDefault="00A2438B" w:rsidP="00A2438B">
      <w:pPr>
        <w:pStyle w:val="Title"/>
        <w:spacing w:after="0" w:line="360" w:lineRule="auto"/>
        <w:jc w:val="center"/>
        <w:rPr>
          <w:rFonts w:ascii="Times New Roman" w:eastAsia="Times New Roman" w:hAnsi="Times New Roman" w:cs="Times New Roman"/>
          <w:bCs/>
          <w:sz w:val="28"/>
          <w:szCs w:val="28"/>
        </w:rPr>
      </w:pPr>
      <w:r w:rsidRPr="00EB3DC2">
        <w:rPr>
          <w:rFonts w:ascii="Times New Roman" w:eastAsia="Times New Roman" w:hAnsi="Times New Roman" w:cs="Times New Roman"/>
          <w:b/>
          <w:sz w:val="28"/>
          <w:szCs w:val="28"/>
        </w:rPr>
        <w:t>Lecturer’s name</w:t>
      </w:r>
      <w:r w:rsidRPr="00C4025D">
        <w:rPr>
          <w:rFonts w:ascii="Times New Roman" w:eastAsia="Times New Roman" w:hAnsi="Times New Roman" w:cs="Times New Roman"/>
          <w:bCs/>
          <w:sz w:val="28"/>
          <w:szCs w:val="28"/>
        </w:rPr>
        <w:t xml:space="preserve"> </w:t>
      </w:r>
      <w:r w:rsidR="00FF7352" w:rsidRPr="005F1B89">
        <w:rPr>
          <w:sz w:val="24"/>
          <w:szCs w:val="24"/>
        </w:rPr>
        <w:t>Tristan Hawkins</w:t>
      </w:r>
    </w:p>
    <w:p w14:paraId="2CCC04A3" w14:textId="77777777" w:rsidR="00D52CFF" w:rsidRDefault="003A740F">
      <w:pPr>
        <w:spacing w:line="259" w:lineRule="auto"/>
        <w:jc w:val="left"/>
      </w:pPr>
      <w:r>
        <w:br w:type="page"/>
      </w:r>
    </w:p>
    <w:sdt>
      <w:sdtPr>
        <w:rPr>
          <w:rFonts w:ascii="Times New Roman" w:eastAsiaTheme="minorHAnsi" w:hAnsi="Times New Roman" w:cstheme="minorBidi"/>
          <w:color w:val="auto"/>
          <w:kern w:val="2"/>
          <w:sz w:val="24"/>
          <w:szCs w:val="22"/>
          <w14:ligatures w14:val="standardContextual"/>
        </w:rPr>
        <w:id w:val="903957343"/>
        <w:docPartObj>
          <w:docPartGallery w:val="Table of Contents"/>
          <w:docPartUnique/>
        </w:docPartObj>
      </w:sdtPr>
      <w:sdtEndPr>
        <w:rPr>
          <w:b/>
          <w:bCs/>
          <w:noProof/>
        </w:rPr>
      </w:sdtEndPr>
      <w:sdtContent>
        <w:p w14:paraId="29DAA63A" w14:textId="580D8D41" w:rsidR="00D52CFF" w:rsidRDefault="00D52CFF">
          <w:pPr>
            <w:pStyle w:val="TOCHeading"/>
          </w:pPr>
          <w:r>
            <w:t>Table of Contents</w:t>
          </w:r>
        </w:p>
        <w:p w14:paraId="2FE145B8" w14:textId="4CA44320" w:rsidR="00D52CFF" w:rsidRDefault="00D52CF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58327704" w:history="1">
            <w:r w:rsidRPr="00B027E7">
              <w:rPr>
                <w:rStyle w:val="Hyperlink"/>
                <w:noProof/>
              </w:rPr>
              <w:t>Introduction</w:t>
            </w:r>
            <w:r>
              <w:rPr>
                <w:noProof/>
                <w:webHidden/>
              </w:rPr>
              <w:tab/>
            </w:r>
            <w:r>
              <w:rPr>
                <w:noProof/>
                <w:webHidden/>
              </w:rPr>
              <w:fldChar w:fldCharType="begin"/>
            </w:r>
            <w:r>
              <w:rPr>
                <w:noProof/>
                <w:webHidden/>
              </w:rPr>
              <w:instrText xml:space="preserve"> PAGEREF _Toc158327704 \h </w:instrText>
            </w:r>
            <w:r>
              <w:rPr>
                <w:noProof/>
                <w:webHidden/>
              </w:rPr>
            </w:r>
            <w:r>
              <w:rPr>
                <w:noProof/>
                <w:webHidden/>
              </w:rPr>
              <w:fldChar w:fldCharType="separate"/>
            </w:r>
            <w:r>
              <w:rPr>
                <w:noProof/>
                <w:webHidden/>
              </w:rPr>
              <w:t>3</w:t>
            </w:r>
            <w:r>
              <w:rPr>
                <w:noProof/>
                <w:webHidden/>
              </w:rPr>
              <w:fldChar w:fldCharType="end"/>
            </w:r>
          </w:hyperlink>
        </w:p>
        <w:p w14:paraId="703C6853" w14:textId="5331E711" w:rsidR="00D52CFF" w:rsidRDefault="00E86A3A">
          <w:pPr>
            <w:pStyle w:val="TOC1"/>
            <w:tabs>
              <w:tab w:val="right" w:leader="dot" w:pos="9350"/>
            </w:tabs>
            <w:rPr>
              <w:rFonts w:asciiTheme="minorHAnsi" w:eastAsiaTheme="minorEastAsia" w:hAnsiTheme="minorHAnsi"/>
              <w:noProof/>
              <w:sz w:val="22"/>
            </w:rPr>
          </w:pPr>
          <w:hyperlink w:anchor="_Toc158327705" w:history="1">
            <w:r w:rsidR="00D52CFF" w:rsidRPr="00B027E7">
              <w:rPr>
                <w:rStyle w:val="Hyperlink"/>
                <w:noProof/>
              </w:rPr>
              <w:t>Discuss the Financial Performance of the Seacrest Lodge based on the Past three years' elucidated Data</w:t>
            </w:r>
            <w:r w:rsidR="00D52CFF">
              <w:rPr>
                <w:noProof/>
                <w:webHidden/>
              </w:rPr>
              <w:tab/>
            </w:r>
            <w:r w:rsidR="00D52CFF">
              <w:rPr>
                <w:noProof/>
                <w:webHidden/>
              </w:rPr>
              <w:fldChar w:fldCharType="begin"/>
            </w:r>
            <w:r w:rsidR="00D52CFF">
              <w:rPr>
                <w:noProof/>
                <w:webHidden/>
              </w:rPr>
              <w:instrText xml:space="preserve"> PAGEREF _Toc158327705 \h </w:instrText>
            </w:r>
            <w:r w:rsidR="00D52CFF">
              <w:rPr>
                <w:noProof/>
                <w:webHidden/>
              </w:rPr>
            </w:r>
            <w:r w:rsidR="00D52CFF">
              <w:rPr>
                <w:noProof/>
                <w:webHidden/>
              </w:rPr>
              <w:fldChar w:fldCharType="separate"/>
            </w:r>
            <w:r w:rsidR="00D52CFF">
              <w:rPr>
                <w:noProof/>
                <w:webHidden/>
              </w:rPr>
              <w:t>4</w:t>
            </w:r>
            <w:r w:rsidR="00D52CFF">
              <w:rPr>
                <w:noProof/>
                <w:webHidden/>
              </w:rPr>
              <w:fldChar w:fldCharType="end"/>
            </w:r>
          </w:hyperlink>
        </w:p>
        <w:p w14:paraId="587B391A" w14:textId="332898EF" w:rsidR="00D52CFF" w:rsidRDefault="00E86A3A">
          <w:pPr>
            <w:pStyle w:val="TOC1"/>
            <w:tabs>
              <w:tab w:val="right" w:leader="dot" w:pos="9350"/>
            </w:tabs>
            <w:rPr>
              <w:rFonts w:asciiTheme="minorHAnsi" w:eastAsiaTheme="minorEastAsia" w:hAnsiTheme="minorHAnsi"/>
              <w:noProof/>
              <w:sz w:val="22"/>
            </w:rPr>
          </w:pPr>
          <w:hyperlink w:anchor="_Toc158327706" w:history="1">
            <w:r w:rsidR="00D52CFF" w:rsidRPr="00B027E7">
              <w:rPr>
                <w:rStyle w:val="Hyperlink"/>
                <w:noProof/>
              </w:rPr>
              <w:t>Recognise the appropriate reasons being the profitability Declination of the elucidated Organisation based on the contemporary scenario of the world</w:t>
            </w:r>
            <w:r w:rsidR="00D52CFF">
              <w:rPr>
                <w:noProof/>
                <w:webHidden/>
              </w:rPr>
              <w:tab/>
            </w:r>
            <w:r w:rsidR="00D52CFF">
              <w:rPr>
                <w:noProof/>
                <w:webHidden/>
              </w:rPr>
              <w:fldChar w:fldCharType="begin"/>
            </w:r>
            <w:r w:rsidR="00D52CFF">
              <w:rPr>
                <w:noProof/>
                <w:webHidden/>
              </w:rPr>
              <w:instrText xml:space="preserve"> PAGEREF _Toc158327706 \h </w:instrText>
            </w:r>
            <w:r w:rsidR="00D52CFF">
              <w:rPr>
                <w:noProof/>
                <w:webHidden/>
              </w:rPr>
            </w:r>
            <w:r w:rsidR="00D52CFF">
              <w:rPr>
                <w:noProof/>
                <w:webHidden/>
              </w:rPr>
              <w:fldChar w:fldCharType="separate"/>
            </w:r>
            <w:r w:rsidR="00D52CFF">
              <w:rPr>
                <w:noProof/>
                <w:webHidden/>
              </w:rPr>
              <w:t>6</w:t>
            </w:r>
            <w:r w:rsidR="00D52CFF">
              <w:rPr>
                <w:noProof/>
                <w:webHidden/>
              </w:rPr>
              <w:fldChar w:fldCharType="end"/>
            </w:r>
          </w:hyperlink>
        </w:p>
        <w:p w14:paraId="0A4A8B84" w14:textId="29541A33" w:rsidR="00D52CFF" w:rsidRDefault="00E86A3A">
          <w:pPr>
            <w:pStyle w:val="TOC1"/>
            <w:tabs>
              <w:tab w:val="right" w:leader="dot" w:pos="9350"/>
            </w:tabs>
            <w:rPr>
              <w:rFonts w:asciiTheme="minorHAnsi" w:eastAsiaTheme="minorEastAsia" w:hAnsiTheme="minorHAnsi"/>
              <w:noProof/>
              <w:sz w:val="22"/>
            </w:rPr>
          </w:pPr>
          <w:hyperlink w:anchor="_Toc158327707" w:history="1">
            <w:r w:rsidR="00D52CFF" w:rsidRPr="00B027E7">
              <w:rPr>
                <w:rStyle w:val="Hyperlink"/>
                <w:noProof/>
              </w:rPr>
              <w:t>Elucidating the Substantial turnaround Strategy to revive the overall  reputation and financial health of the Organisation</w:t>
            </w:r>
            <w:r w:rsidR="00D52CFF">
              <w:rPr>
                <w:noProof/>
                <w:webHidden/>
              </w:rPr>
              <w:tab/>
            </w:r>
            <w:r w:rsidR="00D52CFF">
              <w:rPr>
                <w:noProof/>
                <w:webHidden/>
              </w:rPr>
              <w:fldChar w:fldCharType="begin"/>
            </w:r>
            <w:r w:rsidR="00D52CFF">
              <w:rPr>
                <w:noProof/>
                <w:webHidden/>
              </w:rPr>
              <w:instrText xml:space="preserve"> PAGEREF _Toc158327707 \h </w:instrText>
            </w:r>
            <w:r w:rsidR="00D52CFF">
              <w:rPr>
                <w:noProof/>
                <w:webHidden/>
              </w:rPr>
            </w:r>
            <w:r w:rsidR="00D52CFF">
              <w:rPr>
                <w:noProof/>
                <w:webHidden/>
              </w:rPr>
              <w:fldChar w:fldCharType="separate"/>
            </w:r>
            <w:r w:rsidR="00D52CFF">
              <w:rPr>
                <w:noProof/>
                <w:webHidden/>
              </w:rPr>
              <w:t>8</w:t>
            </w:r>
            <w:r w:rsidR="00D52CFF">
              <w:rPr>
                <w:noProof/>
                <w:webHidden/>
              </w:rPr>
              <w:fldChar w:fldCharType="end"/>
            </w:r>
          </w:hyperlink>
        </w:p>
        <w:p w14:paraId="68D6FE19" w14:textId="2DB44AEE" w:rsidR="00D52CFF" w:rsidRDefault="00E86A3A">
          <w:pPr>
            <w:pStyle w:val="TOC1"/>
            <w:tabs>
              <w:tab w:val="right" w:leader="dot" w:pos="9350"/>
            </w:tabs>
            <w:rPr>
              <w:rFonts w:asciiTheme="minorHAnsi" w:eastAsiaTheme="minorEastAsia" w:hAnsiTheme="minorHAnsi"/>
              <w:noProof/>
              <w:sz w:val="22"/>
            </w:rPr>
          </w:pPr>
          <w:hyperlink w:anchor="_Toc158327708" w:history="1">
            <w:r w:rsidR="00D52CFF" w:rsidRPr="00B027E7">
              <w:rPr>
                <w:rStyle w:val="Hyperlink"/>
                <w:noProof/>
              </w:rPr>
              <w:t>Conclusion</w:t>
            </w:r>
            <w:r w:rsidR="00D52CFF">
              <w:rPr>
                <w:noProof/>
                <w:webHidden/>
              </w:rPr>
              <w:tab/>
            </w:r>
            <w:r w:rsidR="00D52CFF">
              <w:rPr>
                <w:noProof/>
                <w:webHidden/>
              </w:rPr>
              <w:fldChar w:fldCharType="begin"/>
            </w:r>
            <w:r w:rsidR="00D52CFF">
              <w:rPr>
                <w:noProof/>
                <w:webHidden/>
              </w:rPr>
              <w:instrText xml:space="preserve"> PAGEREF _Toc158327708 \h </w:instrText>
            </w:r>
            <w:r w:rsidR="00D52CFF">
              <w:rPr>
                <w:noProof/>
                <w:webHidden/>
              </w:rPr>
            </w:r>
            <w:r w:rsidR="00D52CFF">
              <w:rPr>
                <w:noProof/>
                <w:webHidden/>
              </w:rPr>
              <w:fldChar w:fldCharType="separate"/>
            </w:r>
            <w:r w:rsidR="00D52CFF">
              <w:rPr>
                <w:noProof/>
                <w:webHidden/>
              </w:rPr>
              <w:t>11</w:t>
            </w:r>
            <w:r w:rsidR="00D52CFF">
              <w:rPr>
                <w:noProof/>
                <w:webHidden/>
              </w:rPr>
              <w:fldChar w:fldCharType="end"/>
            </w:r>
          </w:hyperlink>
        </w:p>
        <w:p w14:paraId="1ADEF94C" w14:textId="13071C6D" w:rsidR="00D52CFF" w:rsidRDefault="00E86A3A">
          <w:pPr>
            <w:pStyle w:val="TOC1"/>
            <w:tabs>
              <w:tab w:val="right" w:leader="dot" w:pos="9350"/>
            </w:tabs>
            <w:rPr>
              <w:rFonts w:asciiTheme="minorHAnsi" w:eastAsiaTheme="minorEastAsia" w:hAnsiTheme="minorHAnsi"/>
              <w:noProof/>
              <w:sz w:val="22"/>
            </w:rPr>
          </w:pPr>
          <w:hyperlink w:anchor="_Toc158327709" w:history="1">
            <w:r w:rsidR="00D52CFF" w:rsidRPr="00B027E7">
              <w:rPr>
                <w:rStyle w:val="Hyperlink"/>
                <w:noProof/>
              </w:rPr>
              <w:t>References</w:t>
            </w:r>
            <w:r w:rsidR="00D52CFF">
              <w:rPr>
                <w:noProof/>
                <w:webHidden/>
              </w:rPr>
              <w:tab/>
            </w:r>
            <w:r w:rsidR="00D52CFF">
              <w:rPr>
                <w:noProof/>
                <w:webHidden/>
              </w:rPr>
              <w:fldChar w:fldCharType="begin"/>
            </w:r>
            <w:r w:rsidR="00D52CFF">
              <w:rPr>
                <w:noProof/>
                <w:webHidden/>
              </w:rPr>
              <w:instrText xml:space="preserve"> PAGEREF _Toc158327709 \h </w:instrText>
            </w:r>
            <w:r w:rsidR="00D52CFF">
              <w:rPr>
                <w:noProof/>
                <w:webHidden/>
              </w:rPr>
            </w:r>
            <w:r w:rsidR="00D52CFF">
              <w:rPr>
                <w:noProof/>
                <w:webHidden/>
              </w:rPr>
              <w:fldChar w:fldCharType="separate"/>
            </w:r>
            <w:r w:rsidR="00D52CFF">
              <w:rPr>
                <w:noProof/>
                <w:webHidden/>
              </w:rPr>
              <w:t>12</w:t>
            </w:r>
            <w:r w:rsidR="00D52CFF">
              <w:rPr>
                <w:noProof/>
                <w:webHidden/>
              </w:rPr>
              <w:fldChar w:fldCharType="end"/>
            </w:r>
          </w:hyperlink>
        </w:p>
        <w:p w14:paraId="4427BDB6" w14:textId="12DA341A" w:rsidR="00D52CFF" w:rsidRDefault="00D52CFF">
          <w:r>
            <w:rPr>
              <w:b/>
              <w:bCs/>
              <w:noProof/>
            </w:rPr>
            <w:fldChar w:fldCharType="end"/>
          </w:r>
        </w:p>
      </w:sdtContent>
    </w:sdt>
    <w:p w14:paraId="63BC65BD" w14:textId="0E820379" w:rsidR="00D52CFF" w:rsidRDefault="00D52CFF">
      <w:pPr>
        <w:spacing w:line="259" w:lineRule="auto"/>
        <w:jc w:val="left"/>
      </w:pPr>
      <w:r>
        <w:br w:type="page"/>
      </w:r>
    </w:p>
    <w:p w14:paraId="1B806B5D" w14:textId="5AE02370" w:rsidR="00917FFD" w:rsidRPr="00917FFD" w:rsidRDefault="00917FFD" w:rsidP="00917FFD">
      <w:pPr>
        <w:pStyle w:val="Heading1"/>
        <w:rPr>
          <w:szCs w:val="24"/>
        </w:rPr>
      </w:pPr>
      <w:bookmarkStart w:id="5" w:name="_Toc158327531"/>
      <w:bookmarkStart w:id="6" w:name="_Toc158327704"/>
      <w:r w:rsidRPr="00917FFD">
        <w:lastRenderedPageBreak/>
        <w:t>Introduction</w:t>
      </w:r>
      <w:bookmarkEnd w:id="5"/>
      <w:bookmarkEnd w:id="6"/>
      <w:r w:rsidRPr="00917FFD">
        <w:t> </w:t>
      </w:r>
    </w:p>
    <w:p w14:paraId="28A396A5" w14:textId="00CAB876"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color w:val="000000"/>
          <w:kern w:val="0"/>
          <w:szCs w:val="24"/>
          <w14:ligatures w14:val="none"/>
        </w:rPr>
        <w:t xml:space="preserve">The discussion has elucidated the business named the Seacrest Lodge including the overall facilities related to the bars, </w:t>
      </w:r>
      <w:r w:rsidR="00857DC3">
        <w:rPr>
          <w:rFonts w:eastAsia="Times New Roman" w:cs="Times New Roman"/>
          <w:color w:val="000000"/>
          <w:kern w:val="0"/>
          <w:szCs w:val="24"/>
          <w14:ligatures w14:val="none"/>
        </w:rPr>
        <w:t xml:space="preserve">and </w:t>
      </w:r>
      <w:r w:rsidRPr="00917FFD">
        <w:rPr>
          <w:rFonts w:eastAsia="Times New Roman" w:cs="Times New Roman"/>
          <w:color w:val="000000"/>
          <w:kern w:val="0"/>
          <w:szCs w:val="24"/>
          <w14:ligatures w14:val="none"/>
        </w:rPr>
        <w:t xml:space="preserve">restaurants. The elucidating data will evaluate the overall statement related to business income and also will stress the overall review of the consumers of the business. The upcoming discussion will elucidate the analysis of the business operation including the overall discussion related to the past </w:t>
      </w:r>
      <w:r w:rsidR="00857DC3">
        <w:rPr>
          <w:rFonts w:eastAsia="Times New Roman" w:cs="Times New Roman"/>
          <w:color w:val="000000"/>
          <w:kern w:val="0"/>
          <w:szCs w:val="24"/>
          <w14:ligatures w14:val="none"/>
        </w:rPr>
        <w:t>year's</w:t>
      </w:r>
      <w:r w:rsidRPr="00917FFD">
        <w:rPr>
          <w:rFonts w:eastAsia="Times New Roman" w:cs="Times New Roman"/>
          <w:color w:val="000000"/>
          <w:kern w:val="0"/>
          <w:szCs w:val="24"/>
          <w14:ligatures w14:val="none"/>
        </w:rPr>
        <w:t xml:space="preserve"> data. The recognising process will elucidate multiple profit declination including consideration of the events of the real world. The business situation will align with the overall contemporary economy standards. The recognising process of the business problem will help to rectify the situation of the business and make </w:t>
      </w:r>
      <w:r w:rsidR="00857DC3">
        <w:rPr>
          <w:rFonts w:eastAsia="Times New Roman" w:cs="Times New Roman"/>
          <w:color w:val="000000"/>
          <w:kern w:val="0"/>
          <w:szCs w:val="24"/>
          <w14:ligatures w14:val="none"/>
        </w:rPr>
        <w:t xml:space="preserve">a </w:t>
      </w:r>
      <w:r w:rsidRPr="00917FFD">
        <w:rPr>
          <w:rFonts w:eastAsia="Times New Roman" w:cs="Times New Roman"/>
          <w:color w:val="000000"/>
          <w:kern w:val="0"/>
          <w:szCs w:val="24"/>
          <w14:ligatures w14:val="none"/>
        </w:rPr>
        <w:t>balance based on the overall elucidation of the hotel business. The discussion will also suggest multiple suggestions to revive the condition of the business and align this with multiple strategies that the competitive business can undertake. The overall elucidation makes appropriate suggestions related to the overall financial outcomes. </w:t>
      </w:r>
    </w:p>
    <w:p w14:paraId="26D6F2D6" w14:textId="77777777" w:rsidR="00917FFD" w:rsidRPr="00917FFD" w:rsidRDefault="00917FFD" w:rsidP="00917FFD">
      <w:pPr>
        <w:spacing w:after="0" w:line="240" w:lineRule="auto"/>
        <w:jc w:val="left"/>
        <w:rPr>
          <w:rFonts w:eastAsia="Times New Roman" w:cs="Times New Roman"/>
          <w:kern w:val="0"/>
          <w:szCs w:val="24"/>
          <w14:ligatures w14:val="none"/>
        </w:rPr>
      </w:pPr>
    </w:p>
    <w:p w14:paraId="57276A67" w14:textId="77777777" w:rsidR="00917FFD" w:rsidRDefault="00917FFD">
      <w:pPr>
        <w:spacing w:line="259" w:lineRule="auto"/>
        <w:jc w:val="left"/>
        <w:rPr>
          <w:rFonts w:eastAsia="Times New Roman" w:cs="Times New Roman"/>
          <w:b/>
          <w:bCs/>
          <w:color w:val="000000"/>
          <w:kern w:val="0"/>
          <w:sz w:val="28"/>
          <w:szCs w:val="28"/>
          <w14:ligatures w14:val="none"/>
        </w:rPr>
      </w:pPr>
      <w:r>
        <w:rPr>
          <w:rFonts w:eastAsia="Times New Roman" w:cs="Times New Roman"/>
          <w:b/>
          <w:bCs/>
          <w:color w:val="000000"/>
          <w:kern w:val="0"/>
          <w:sz w:val="28"/>
          <w:szCs w:val="28"/>
          <w14:ligatures w14:val="none"/>
        </w:rPr>
        <w:br w:type="page"/>
      </w:r>
    </w:p>
    <w:p w14:paraId="1F2ECCBE" w14:textId="507E93EA" w:rsidR="00917FFD" w:rsidRDefault="00917FFD" w:rsidP="00917FFD">
      <w:pPr>
        <w:pStyle w:val="Heading1"/>
      </w:pPr>
      <w:bookmarkStart w:id="7" w:name="_Toc158327532"/>
      <w:bookmarkStart w:id="8" w:name="_Toc158327705"/>
      <w:r w:rsidRPr="00917FFD">
        <w:rPr>
          <w:rStyle w:val="Heading1Char"/>
          <w:b/>
        </w:rPr>
        <w:lastRenderedPageBreak/>
        <w:t xml:space="preserve">Discuss the Financial Performance of the Seacrest Lodge based on the Past three </w:t>
      </w:r>
      <w:r w:rsidR="00857DC3">
        <w:rPr>
          <w:rStyle w:val="Heading1Char"/>
          <w:b/>
        </w:rPr>
        <w:t>years'</w:t>
      </w:r>
      <w:r w:rsidRPr="00917FFD">
        <w:rPr>
          <w:rStyle w:val="Heading1Char"/>
          <w:b/>
        </w:rPr>
        <w:t xml:space="preserve"> elucidated Data</w:t>
      </w:r>
      <w:bookmarkEnd w:id="7"/>
      <w:bookmarkEnd w:id="8"/>
      <w:r w:rsidRPr="00917FFD">
        <w:t xml:space="preserve"> </w:t>
      </w:r>
    </w:p>
    <w:tbl>
      <w:tblPr>
        <w:tblStyle w:val="TableGrid"/>
        <w:tblW w:w="0" w:type="auto"/>
        <w:tblLook w:val="04A0" w:firstRow="1" w:lastRow="0" w:firstColumn="1" w:lastColumn="0" w:noHBand="0" w:noVBand="1"/>
      </w:tblPr>
      <w:tblGrid>
        <w:gridCol w:w="9350"/>
      </w:tblGrid>
      <w:tr w:rsidR="0040366D" w14:paraId="65F53561" w14:textId="77777777" w:rsidTr="0040366D">
        <w:tc>
          <w:tcPr>
            <w:tcW w:w="9576" w:type="dxa"/>
          </w:tcPr>
          <w:p w14:paraId="0F201092" w14:textId="77777777" w:rsidR="0040366D" w:rsidRDefault="0040366D" w:rsidP="0040366D">
            <w:pPr>
              <w:rPr>
                <w:lang w:val="en"/>
              </w:rPr>
            </w:pPr>
            <w:r w:rsidRPr="0040366D">
              <w:rPr>
                <w:noProof/>
                <w:lang w:val="en"/>
              </w:rPr>
              <w:drawing>
                <wp:inline distT="0" distB="0" distL="0" distR="0" wp14:anchorId="23AE0B56" wp14:editId="13BAE46A">
                  <wp:extent cx="5496692" cy="3191320"/>
                  <wp:effectExtent l="76200" t="76200" r="123190" b="123825"/>
                  <wp:docPr id="946438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438369" name=""/>
                          <pic:cNvPicPr/>
                        </pic:nvPicPr>
                        <pic:blipFill>
                          <a:blip r:embed="rId7"/>
                          <a:stretch>
                            <a:fillRect/>
                          </a:stretch>
                        </pic:blipFill>
                        <pic:spPr>
                          <a:xfrm>
                            <a:off x="0" y="0"/>
                            <a:ext cx="5496692" cy="3191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2D251A" w14:textId="3810D714" w:rsidR="0040366D" w:rsidRDefault="0040366D" w:rsidP="0040366D">
            <w:pPr>
              <w:jc w:val="center"/>
              <w:rPr>
                <w:lang w:val="en"/>
              </w:rPr>
            </w:pPr>
            <w:r w:rsidRPr="0040366D">
              <w:rPr>
                <w:noProof/>
                <w:lang w:val="en"/>
              </w:rPr>
              <w:drawing>
                <wp:inline distT="0" distB="0" distL="0" distR="0" wp14:anchorId="7917EA96" wp14:editId="670803E8">
                  <wp:extent cx="1607820" cy="1463040"/>
                  <wp:effectExtent l="76200" t="76200" r="106680" b="118110"/>
                  <wp:docPr id="236574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574522" name=""/>
                          <pic:cNvPicPr/>
                        </pic:nvPicPr>
                        <pic:blipFill>
                          <a:blip r:embed="rId8"/>
                          <a:stretch>
                            <a:fillRect/>
                          </a:stretch>
                        </pic:blipFill>
                        <pic:spPr>
                          <a:xfrm>
                            <a:off x="0" y="0"/>
                            <a:ext cx="1607962" cy="146316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bl>
    <w:p w14:paraId="4EF2EEF0" w14:textId="77777777" w:rsidR="0040366D" w:rsidRPr="0040366D" w:rsidRDefault="0040366D" w:rsidP="0040366D">
      <w:pPr>
        <w:rPr>
          <w:lang w:val="en"/>
        </w:rPr>
      </w:pPr>
    </w:p>
    <w:p w14:paraId="6171560F" w14:textId="204F442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 xml:space="preserve">Analysis of </w:t>
      </w:r>
      <w:r w:rsidR="00857DC3">
        <w:rPr>
          <w:rFonts w:eastAsia="Times New Roman" w:cs="Times New Roman"/>
          <w:b/>
          <w:bCs/>
          <w:color w:val="000000"/>
          <w:kern w:val="0"/>
          <w:szCs w:val="24"/>
          <w14:ligatures w14:val="none"/>
        </w:rPr>
        <w:t>Income</w:t>
      </w:r>
      <w:r w:rsidRPr="00917FFD">
        <w:rPr>
          <w:rFonts w:eastAsia="Times New Roman" w:cs="Times New Roman"/>
          <w:b/>
          <w:bCs/>
          <w:color w:val="000000"/>
          <w:kern w:val="0"/>
          <w:szCs w:val="24"/>
          <w14:ligatures w14:val="none"/>
        </w:rPr>
        <w:t xml:space="preserve"> Statement</w:t>
      </w:r>
    </w:p>
    <w:p w14:paraId="53FF70C3" w14:textId="7FA01714" w:rsidR="00917FFD" w:rsidRPr="003A740F" w:rsidRDefault="00917FFD" w:rsidP="003A740F">
      <w:r w:rsidRPr="003A740F">
        <w:t xml:space="preserve">The organisation can observe a rapid </w:t>
      </w:r>
      <w:r w:rsidR="00857DC3" w:rsidRPr="003A740F">
        <w:t>decline</w:t>
      </w:r>
      <w:r w:rsidRPr="003A740F">
        <w:t xml:space="preserve"> in the system of revenue as the figure </w:t>
      </w:r>
      <w:r w:rsidR="00857DC3" w:rsidRPr="003A740F">
        <w:t>for</w:t>
      </w:r>
      <w:r w:rsidRPr="003A740F">
        <w:t xml:space="preserve"> 2021 it was £1,200,000, whereas</w:t>
      </w:r>
      <w:r w:rsidR="00857DC3" w:rsidRPr="003A740F">
        <w:t>,</w:t>
      </w:r>
      <w:r w:rsidRPr="003A740F">
        <w:t xml:space="preserve"> in the year 2023</w:t>
      </w:r>
      <w:r w:rsidR="00857DC3" w:rsidRPr="003A740F">
        <w:t>,</w:t>
      </w:r>
      <w:r w:rsidRPr="003A740F">
        <w:t xml:space="preserve"> it was £950,000. This indicates appropriate declination </w:t>
      </w:r>
      <w:r w:rsidRPr="003A740F">
        <w:lastRenderedPageBreak/>
        <w:t>based on the overall business challenges. The competitiveness of the coastal market can elucidate the shifting preferences of the consumers and has contributed to the overall revenue declination. </w:t>
      </w:r>
    </w:p>
    <w:p w14:paraId="0995D796" w14:textId="77777777" w:rsidR="00917FFD" w:rsidRPr="00917FFD" w:rsidRDefault="00917FFD" w:rsidP="00917FFD">
      <w:pPr>
        <w:spacing w:after="0"/>
        <w:jc w:val="left"/>
        <w:rPr>
          <w:rFonts w:eastAsia="Times New Roman" w:cs="Times New Roman"/>
          <w:kern w:val="0"/>
          <w:szCs w:val="24"/>
          <w14:ligatures w14:val="none"/>
        </w:rPr>
      </w:pPr>
      <w:r w:rsidRPr="00917FFD">
        <w:rPr>
          <w:rFonts w:eastAsia="Times New Roman" w:cs="Times New Roman"/>
          <w:b/>
          <w:bCs/>
          <w:color w:val="000000"/>
          <w:kern w:val="0"/>
          <w:szCs w:val="24"/>
          <w14:ligatures w14:val="none"/>
        </w:rPr>
        <w:t>Operating Expenses</w:t>
      </w:r>
    </w:p>
    <w:p w14:paraId="547C5ACD" w14:textId="731788DF" w:rsidR="00917FFD" w:rsidRPr="00917FFD" w:rsidRDefault="00917FFD" w:rsidP="003A740F">
      <w:pPr>
        <w:rPr>
          <w:shd w:val="clear" w:color="auto" w:fill="FFFFFF"/>
        </w:rPr>
      </w:pPr>
      <w:r w:rsidRPr="00917FFD">
        <w:rPr>
          <w:rFonts w:eastAsia="Times New Roman" w:cs="Times New Roman"/>
          <w:color w:val="000000"/>
          <w:kern w:val="0"/>
          <w:szCs w:val="24"/>
          <w14:ligatures w14:val="none"/>
        </w:rPr>
        <w:t xml:space="preserve">The enhanced expenses of operation can be in the range of </w:t>
      </w:r>
      <w:r w:rsidRPr="00917FFD">
        <w:rPr>
          <w:rFonts w:eastAsia="Times New Roman" w:cs="Times New Roman"/>
          <w:color w:val="111111"/>
          <w:kern w:val="0"/>
          <w:szCs w:val="24"/>
          <w14:ligatures w14:val="none"/>
        </w:rPr>
        <w:t>£900,000 i</w:t>
      </w:r>
      <w:r w:rsidRPr="00917FFD">
        <w:rPr>
          <w:rFonts w:eastAsia="Times New Roman" w:cs="Times New Roman"/>
          <w:color w:val="111111"/>
          <w:kern w:val="0"/>
          <w:sz w:val="21"/>
          <w:szCs w:val="21"/>
          <w14:ligatures w14:val="none"/>
        </w:rPr>
        <w:t xml:space="preserve">n the year 2021 and then </w:t>
      </w:r>
      <w:r w:rsidR="00857DC3">
        <w:rPr>
          <w:rFonts w:eastAsia="Times New Roman" w:cs="Times New Roman"/>
          <w:color w:val="111111"/>
          <w:kern w:val="0"/>
          <w:sz w:val="21"/>
          <w:szCs w:val="21"/>
          <w14:ligatures w14:val="none"/>
        </w:rPr>
        <w:t xml:space="preserve">in </w:t>
      </w:r>
      <w:r w:rsidRPr="00917FFD">
        <w:rPr>
          <w:rFonts w:eastAsia="Times New Roman" w:cs="Times New Roman"/>
          <w:color w:val="111111"/>
          <w:kern w:val="0"/>
          <w:sz w:val="21"/>
          <w:szCs w:val="21"/>
          <w14:ligatures w14:val="none"/>
        </w:rPr>
        <w:t>the year 2021</w:t>
      </w:r>
      <w:r w:rsidR="00857DC3">
        <w:rPr>
          <w:rFonts w:eastAsia="Times New Roman" w:cs="Times New Roman"/>
          <w:color w:val="111111"/>
          <w:kern w:val="0"/>
          <w:sz w:val="21"/>
          <w:szCs w:val="21"/>
          <w14:ligatures w14:val="none"/>
        </w:rPr>
        <w:t>,</w:t>
      </w:r>
      <w:r w:rsidRPr="00917FFD">
        <w:rPr>
          <w:rFonts w:eastAsia="Times New Roman" w:cs="Times New Roman"/>
          <w:color w:val="111111"/>
          <w:kern w:val="0"/>
          <w:sz w:val="21"/>
          <w:szCs w:val="21"/>
          <w14:ligatures w14:val="none"/>
        </w:rPr>
        <w:t xml:space="preserve"> it was inclined with </w:t>
      </w:r>
      <w:r w:rsidRPr="00917FFD">
        <w:rPr>
          <w:rFonts w:eastAsia="Times New Roman" w:cs="Times New Roman"/>
          <w:color w:val="111111"/>
          <w:kern w:val="0"/>
          <w:szCs w:val="24"/>
          <w14:ligatures w14:val="none"/>
        </w:rPr>
        <w:t xml:space="preserve">£1,100,000. The </w:t>
      </w:r>
      <w:r w:rsidR="00857DC3">
        <w:rPr>
          <w:rFonts w:eastAsia="Times New Roman" w:cs="Times New Roman"/>
          <w:color w:val="111111"/>
          <w:kern w:val="0"/>
          <w:szCs w:val="24"/>
          <w14:ligatures w14:val="none"/>
        </w:rPr>
        <w:t>decline</w:t>
      </w:r>
      <w:r w:rsidRPr="00917FFD">
        <w:rPr>
          <w:rFonts w:eastAsia="Times New Roman" w:cs="Times New Roman"/>
          <w:color w:val="111111"/>
          <w:kern w:val="0"/>
          <w:szCs w:val="24"/>
          <w14:ligatures w14:val="none"/>
        </w:rPr>
        <w:t xml:space="preserve"> of the revenue creates concern </w:t>
      </w:r>
      <w:r w:rsidR="00857DC3">
        <w:rPr>
          <w:rFonts w:eastAsia="Times New Roman" w:cs="Times New Roman"/>
          <w:color w:val="111111"/>
          <w:kern w:val="0"/>
          <w:szCs w:val="24"/>
          <w14:ligatures w14:val="none"/>
        </w:rPr>
        <w:t>for</w:t>
      </w:r>
      <w:r w:rsidRPr="00917FFD">
        <w:rPr>
          <w:rFonts w:eastAsia="Times New Roman" w:cs="Times New Roman"/>
          <w:color w:val="111111"/>
          <w:kern w:val="0"/>
          <w:szCs w:val="24"/>
          <w14:ligatures w14:val="none"/>
        </w:rPr>
        <w:t xml:space="preserve"> the high expenses of the operation. The evaluation can be stated that the structure of the cost can be recognised based on </w:t>
      </w:r>
      <w:r w:rsidR="00857DC3">
        <w:rPr>
          <w:rFonts w:eastAsia="Times New Roman" w:cs="Times New Roman"/>
          <w:color w:val="111111"/>
          <w:kern w:val="0"/>
          <w:szCs w:val="24"/>
          <w14:ligatures w14:val="none"/>
        </w:rPr>
        <w:t xml:space="preserve">the </w:t>
      </w:r>
      <w:r w:rsidRPr="00917FFD">
        <w:rPr>
          <w:rFonts w:eastAsia="Times New Roman" w:cs="Times New Roman"/>
          <w:color w:val="111111"/>
          <w:kern w:val="0"/>
          <w:szCs w:val="24"/>
          <w14:ligatures w14:val="none"/>
        </w:rPr>
        <w:t xml:space="preserve">reduction of the costs with </w:t>
      </w:r>
      <w:r w:rsidR="00857DC3">
        <w:rPr>
          <w:rFonts w:eastAsia="Times New Roman" w:cs="Times New Roman"/>
          <w:color w:val="111111"/>
          <w:kern w:val="0"/>
          <w:szCs w:val="24"/>
          <w14:ligatures w14:val="none"/>
        </w:rPr>
        <w:t xml:space="preserve">the </w:t>
      </w:r>
      <w:r w:rsidRPr="00917FFD">
        <w:rPr>
          <w:rFonts w:eastAsia="Times New Roman" w:cs="Times New Roman"/>
          <w:color w:val="111111"/>
          <w:kern w:val="0"/>
          <w:szCs w:val="24"/>
          <w14:ligatures w14:val="none"/>
        </w:rPr>
        <w:t>improvement of efficiency</w:t>
      </w:r>
      <w:r w:rsidR="003A740F">
        <w:rPr>
          <w:rFonts w:eastAsia="Times New Roman" w:cs="Times New Roman"/>
          <w:color w:val="111111"/>
          <w:kern w:val="0"/>
          <w:szCs w:val="24"/>
          <w14:ligatures w14:val="none"/>
        </w:rPr>
        <w:t xml:space="preserve"> </w:t>
      </w:r>
      <w:r w:rsidR="003A740F">
        <w:rPr>
          <w:shd w:val="clear" w:color="auto" w:fill="FFFFFF"/>
        </w:rPr>
        <w:t xml:space="preserve">(Ozdemir </w:t>
      </w:r>
      <w:r w:rsidR="003A740F">
        <w:rPr>
          <w:i/>
          <w:iCs/>
          <w:shd w:val="clear" w:color="auto" w:fill="FFFFFF"/>
        </w:rPr>
        <w:t>et al</w:t>
      </w:r>
      <w:r w:rsidR="003A740F">
        <w:rPr>
          <w:shd w:val="clear" w:color="auto" w:fill="FFFFFF"/>
        </w:rPr>
        <w:t>., 2021)</w:t>
      </w:r>
      <w:r w:rsidRPr="00917FFD">
        <w:rPr>
          <w:rFonts w:eastAsia="Times New Roman" w:cs="Times New Roman"/>
          <w:color w:val="111111"/>
          <w:kern w:val="0"/>
          <w:szCs w:val="24"/>
          <w14:ligatures w14:val="none"/>
        </w:rPr>
        <w:t>. </w:t>
      </w:r>
    </w:p>
    <w:p w14:paraId="41B444FC"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111111"/>
          <w:kern w:val="0"/>
          <w:szCs w:val="24"/>
          <w14:ligatures w14:val="none"/>
        </w:rPr>
        <w:t>Profitability and Net Income</w:t>
      </w:r>
    </w:p>
    <w:p w14:paraId="3BC76192" w14:textId="7466B1FF" w:rsidR="00917FFD" w:rsidRPr="00917FFD" w:rsidRDefault="00917FFD" w:rsidP="003A740F">
      <w:pPr>
        <w:rPr>
          <w:shd w:val="clear" w:color="auto" w:fill="FFFFFF"/>
        </w:rPr>
      </w:pPr>
      <w:r w:rsidRPr="00917FFD">
        <w:rPr>
          <w:rFonts w:eastAsia="Times New Roman" w:cs="Times New Roman"/>
          <w:color w:val="111111"/>
          <w:kern w:val="0"/>
          <w:szCs w:val="24"/>
          <w14:ligatures w14:val="none"/>
        </w:rPr>
        <w:t xml:space="preserve">The experience of the Seacrest Lodge can create profit within the year 2021 and has growth with £300,000 net income. The decline </w:t>
      </w:r>
      <w:r w:rsidR="003A740F">
        <w:rPr>
          <w:rFonts w:eastAsia="Times New Roman" w:cs="Times New Roman"/>
          <w:color w:val="111111"/>
          <w:kern w:val="0"/>
          <w:szCs w:val="24"/>
          <w14:ligatures w14:val="none"/>
        </w:rPr>
        <w:t>in</w:t>
      </w:r>
      <w:r w:rsidRPr="00917FFD">
        <w:rPr>
          <w:rFonts w:eastAsia="Times New Roman" w:cs="Times New Roman"/>
          <w:color w:val="111111"/>
          <w:kern w:val="0"/>
          <w:szCs w:val="24"/>
          <w14:ligatures w14:val="none"/>
        </w:rPr>
        <w:t xml:space="preserve"> profitability can be observed within the year. The incurred resort can be included based on the overall loss with the figure </w:t>
      </w:r>
      <w:r w:rsidR="003A740F">
        <w:rPr>
          <w:rFonts w:eastAsia="Times New Roman" w:cs="Times New Roman"/>
          <w:color w:val="111111"/>
          <w:kern w:val="0"/>
          <w:szCs w:val="24"/>
          <w14:ligatures w14:val="none"/>
        </w:rPr>
        <w:t xml:space="preserve">of </w:t>
      </w:r>
      <w:r w:rsidRPr="00917FFD">
        <w:rPr>
          <w:rFonts w:eastAsia="Times New Roman" w:cs="Times New Roman"/>
          <w:color w:val="111111"/>
          <w:kern w:val="0"/>
          <w:szCs w:val="24"/>
          <w14:ligatures w14:val="none"/>
        </w:rPr>
        <w:t xml:space="preserve">£150,000. This trend of negativity can be threatened based on the consecutive </w:t>
      </w:r>
      <w:r w:rsidR="003A740F">
        <w:rPr>
          <w:rFonts w:eastAsia="Times New Roman" w:cs="Times New Roman"/>
          <w:color w:val="111111"/>
          <w:kern w:val="0"/>
          <w:szCs w:val="24"/>
          <w14:ligatures w14:val="none"/>
        </w:rPr>
        <w:t>years</w:t>
      </w:r>
      <w:r w:rsidRPr="00917FFD">
        <w:rPr>
          <w:rFonts w:eastAsia="Times New Roman" w:cs="Times New Roman"/>
          <w:color w:val="111111"/>
          <w:kern w:val="0"/>
          <w:szCs w:val="24"/>
          <w14:ligatures w14:val="none"/>
        </w:rPr>
        <w:t xml:space="preserve"> </w:t>
      </w:r>
      <w:r w:rsidR="003A740F">
        <w:rPr>
          <w:rFonts w:eastAsia="Times New Roman" w:cs="Times New Roman"/>
          <w:color w:val="111111"/>
          <w:kern w:val="0"/>
          <w:szCs w:val="24"/>
          <w14:ligatures w14:val="none"/>
        </w:rPr>
        <w:t>of business</w:t>
      </w:r>
      <w:r w:rsidRPr="00917FFD">
        <w:rPr>
          <w:rFonts w:eastAsia="Times New Roman" w:cs="Times New Roman"/>
          <w:color w:val="111111"/>
          <w:kern w:val="0"/>
          <w:szCs w:val="24"/>
          <w14:ligatures w14:val="none"/>
        </w:rPr>
        <w:t xml:space="preserve"> sustainability</w:t>
      </w:r>
      <w:r w:rsidR="003A740F">
        <w:rPr>
          <w:rFonts w:eastAsia="Times New Roman" w:cs="Times New Roman"/>
          <w:color w:val="111111"/>
          <w:kern w:val="0"/>
          <w:szCs w:val="24"/>
          <w14:ligatures w14:val="none"/>
        </w:rPr>
        <w:t xml:space="preserve"> </w:t>
      </w:r>
      <w:r w:rsidR="003A740F">
        <w:rPr>
          <w:shd w:val="clear" w:color="auto" w:fill="FFFFFF"/>
        </w:rPr>
        <w:t xml:space="preserve">(Struckell </w:t>
      </w:r>
      <w:r w:rsidR="003A740F">
        <w:rPr>
          <w:i/>
          <w:iCs/>
          <w:shd w:val="clear" w:color="auto" w:fill="FFFFFF"/>
        </w:rPr>
        <w:t>et al</w:t>
      </w:r>
      <w:r w:rsidR="003A740F">
        <w:rPr>
          <w:shd w:val="clear" w:color="auto" w:fill="FFFFFF"/>
        </w:rPr>
        <w:t>., 2022)</w:t>
      </w:r>
      <w:r w:rsidRPr="00917FFD">
        <w:rPr>
          <w:rFonts w:eastAsia="Times New Roman" w:cs="Times New Roman"/>
          <w:color w:val="111111"/>
          <w:kern w:val="0"/>
          <w:szCs w:val="24"/>
          <w14:ligatures w14:val="none"/>
        </w:rPr>
        <w:t>. </w:t>
      </w:r>
    </w:p>
    <w:p w14:paraId="6AF6F8B3"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111111"/>
          <w:kern w:val="0"/>
          <w:szCs w:val="24"/>
          <w14:ligatures w14:val="none"/>
        </w:rPr>
        <w:t>Analysis of Balance Sheet</w:t>
      </w:r>
    </w:p>
    <w:p w14:paraId="1FAFE2FD" w14:textId="22C78258"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i/>
          <w:iCs/>
          <w:color w:val="111111"/>
          <w:kern w:val="0"/>
          <w:szCs w:val="24"/>
          <w14:ligatures w14:val="none"/>
        </w:rPr>
        <w:t xml:space="preserve">Trends of Asset: </w:t>
      </w:r>
      <w:r w:rsidRPr="00917FFD">
        <w:rPr>
          <w:rFonts w:eastAsia="Times New Roman" w:cs="Times New Roman"/>
          <w:color w:val="111111"/>
          <w:kern w:val="0"/>
          <w:szCs w:val="24"/>
          <w14:ligatures w14:val="none"/>
        </w:rPr>
        <w:t xml:space="preserve">The equivalent costs include the </w:t>
      </w:r>
      <w:r w:rsidR="003A740F">
        <w:rPr>
          <w:rFonts w:eastAsia="Times New Roman" w:cs="Times New Roman"/>
          <w:color w:val="111111"/>
          <w:kern w:val="0"/>
          <w:szCs w:val="24"/>
          <w14:ligatures w14:val="none"/>
        </w:rPr>
        <w:t>decline</w:t>
      </w:r>
      <w:r w:rsidRPr="00917FFD">
        <w:rPr>
          <w:rFonts w:eastAsia="Times New Roman" w:cs="Times New Roman"/>
          <w:color w:val="111111"/>
          <w:kern w:val="0"/>
          <w:szCs w:val="24"/>
          <w14:ligatures w14:val="none"/>
        </w:rPr>
        <w:t xml:space="preserve"> based on the figure of 2021 with £100,000 and in the year 2023 it was £20,000. The impact reduces the liquidity impact based on short-term cover with proper ability obligations. The receivable accounts based on </w:t>
      </w:r>
      <w:r w:rsidR="003A740F">
        <w:rPr>
          <w:rFonts w:eastAsia="Times New Roman" w:cs="Times New Roman"/>
          <w:color w:val="111111"/>
          <w:kern w:val="0"/>
          <w:szCs w:val="24"/>
          <w14:ligatures w14:val="none"/>
        </w:rPr>
        <w:t xml:space="preserve">the </w:t>
      </w:r>
      <w:r w:rsidRPr="00917FFD">
        <w:rPr>
          <w:rFonts w:eastAsia="Times New Roman" w:cs="Times New Roman"/>
          <w:color w:val="111111"/>
          <w:kern w:val="0"/>
          <w:szCs w:val="24"/>
          <w14:ligatures w14:val="none"/>
        </w:rPr>
        <w:t>decline of the figures can interpret the efficient practices related to collection. The equipment and property costs have been declined based on the figure of £1,800,000 from £2,000,000. The figure indicates that the depreciated assets can be underlined based on the trends of the assets. </w:t>
      </w:r>
    </w:p>
    <w:p w14:paraId="39A3D668"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111111"/>
          <w:kern w:val="0"/>
          <w:szCs w:val="24"/>
          <w14:ligatures w14:val="none"/>
        </w:rPr>
        <w:t>Equity with Liabilities</w:t>
      </w:r>
    </w:p>
    <w:p w14:paraId="5D652D18" w14:textId="12D74B01" w:rsidR="00917FFD" w:rsidRPr="00917FFD" w:rsidRDefault="00917FFD" w:rsidP="003A740F">
      <w:pPr>
        <w:rPr>
          <w:shd w:val="clear" w:color="auto" w:fill="FFFFFF"/>
        </w:rPr>
      </w:pPr>
      <w:r w:rsidRPr="00917FFD">
        <w:rPr>
          <w:rFonts w:eastAsia="Times New Roman" w:cs="Times New Roman"/>
          <w:color w:val="111111"/>
          <w:kern w:val="0"/>
          <w:szCs w:val="24"/>
          <w14:ligatures w14:val="none"/>
        </w:rPr>
        <w:t xml:space="preserve">The payable accounts can be enhanced as £50,000 from the thirty million British Pounds. The delay in payments has suggested that it inclines the price of the suppliers. The remaining constant </w:t>
      </w:r>
      <w:r w:rsidRPr="00917FFD">
        <w:rPr>
          <w:rFonts w:eastAsia="Times New Roman" w:cs="Times New Roman"/>
          <w:color w:val="111111"/>
          <w:kern w:val="0"/>
          <w:szCs w:val="24"/>
          <w14:ligatures w14:val="none"/>
        </w:rPr>
        <w:lastRenderedPageBreak/>
        <w:t xml:space="preserve">can be underlined based on the figure </w:t>
      </w:r>
      <w:r w:rsidR="00857DC3">
        <w:rPr>
          <w:rFonts w:eastAsia="Times New Roman" w:cs="Times New Roman"/>
          <w:color w:val="111111"/>
          <w:kern w:val="0"/>
          <w:szCs w:val="24"/>
          <w14:ligatures w14:val="none"/>
        </w:rPr>
        <w:t xml:space="preserve">of </w:t>
      </w:r>
      <w:r w:rsidRPr="00917FFD">
        <w:rPr>
          <w:rFonts w:eastAsia="Times New Roman" w:cs="Times New Roman"/>
          <w:color w:val="111111"/>
          <w:kern w:val="0"/>
          <w:szCs w:val="24"/>
          <w14:ligatures w14:val="none"/>
        </w:rPr>
        <w:t xml:space="preserve">£1,500,000. The crucial drop of the equity from 2021’s £620,000 to 2023’s </w:t>
      </w:r>
      <w:r w:rsidRPr="00917FFD">
        <w:rPr>
          <w:rFonts w:eastAsia="Times New Roman" w:cs="Times New Roman"/>
          <w:color w:val="111111"/>
          <w:kern w:val="0"/>
          <w:sz w:val="21"/>
          <w:szCs w:val="21"/>
          <w14:ligatures w14:val="none"/>
        </w:rPr>
        <w:t>£300,000. The overall financial strain can be underlined based on the overall solvency related to business potential</w:t>
      </w:r>
      <w:r w:rsidR="003A740F">
        <w:rPr>
          <w:rFonts w:eastAsia="Times New Roman" w:cs="Times New Roman"/>
          <w:color w:val="111111"/>
          <w:kern w:val="0"/>
          <w:sz w:val="21"/>
          <w:szCs w:val="21"/>
          <w14:ligatures w14:val="none"/>
        </w:rPr>
        <w:t xml:space="preserve"> </w:t>
      </w:r>
      <w:r w:rsidR="003A740F">
        <w:rPr>
          <w:shd w:val="clear" w:color="auto" w:fill="FFFFFF"/>
        </w:rPr>
        <w:t>(Jatmiko, 2022)</w:t>
      </w:r>
      <w:r w:rsidRPr="00917FFD">
        <w:rPr>
          <w:rFonts w:eastAsia="Times New Roman" w:cs="Times New Roman"/>
          <w:color w:val="111111"/>
          <w:kern w:val="0"/>
          <w:sz w:val="21"/>
          <w:szCs w:val="21"/>
          <w14:ligatures w14:val="none"/>
        </w:rPr>
        <w:t>. </w:t>
      </w:r>
    </w:p>
    <w:p w14:paraId="0D7FDF58"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111111"/>
          <w:kern w:val="0"/>
          <w:sz w:val="21"/>
          <w:szCs w:val="21"/>
          <w14:ligatures w14:val="none"/>
        </w:rPr>
        <w:t>Operational Metrics</w:t>
      </w:r>
    </w:p>
    <w:p w14:paraId="7DA7DC7A" w14:textId="751FBE36" w:rsidR="00917FFD" w:rsidRPr="00917FFD" w:rsidRDefault="00917FFD" w:rsidP="003A740F">
      <w:pPr>
        <w:rPr>
          <w:shd w:val="clear" w:color="auto" w:fill="FFFFFF"/>
        </w:rPr>
      </w:pPr>
      <w:r w:rsidRPr="00917FFD">
        <w:rPr>
          <w:rFonts w:eastAsia="Times New Roman" w:cs="Times New Roman"/>
          <w:b/>
          <w:bCs/>
          <w:i/>
          <w:iCs/>
          <w:color w:val="111111"/>
          <w:kern w:val="0"/>
          <w:szCs w:val="24"/>
          <w14:ligatures w14:val="none"/>
        </w:rPr>
        <w:t>Rate of Average Room:</w:t>
      </w:r>
      <w:r w:rsidRPr="00917FFD">
        <w:rPr>
          <w:rFonts w:eastAsia="Times New Roman" w:cs="Times New Roman"/>
          <w:color w:val="111111"/>
          <w:kern w:val="0"/>
          <w:szCs w:val="24"/>
          <w14:ligatures w14:val="none"/>
        </w:rPr>
        <w:t xml:space="preserve"> The ARR of the lodge declined from 2021’s two hundred and </w:t>
      </w:r>
      <w:r w:rsidR="00857DC3" w:rsidRPr="00917FFD">
        <w:rPr>
          <w:rFonts w:eastAsia="Times New Roman" w:cs="Times New Roman"/>
          <w:color w:val="111111"/>
          <w:kern w:val="0"/>
          <w:szCs w:val="24"/>
          <w14:ligatures w14:val="none"/>
        </w:rPr>
        <w:t>sixty-one</w:t>
      </w:r>
      <w:r w:rsidRPr="00917FFD">
        <w:rPr>
          <w:rFonts w:eastAsia="Times New Roman" w:cs="Times New Roman"/>
          <w:color w:val="111111"/>
          <w:kern w:val="0"/>
          <w:szCs w:val="24"/>
          <w14:ligatures w14:val="none"/>
        </w:rPr>
        <w:t xml:space="preserve"> British Pounds with 2023’s </w:t>
      </w:r>
      <w:r w:rsidR="003A740F">
        <w:rPr>
          <w:rFonts w:eastAsia="Times New Roman" w:cs="Times New Roman"/>
          <w:color w:val="111111"/>
          <w:kern w:val="0"/>
          <w:szCs w:val="24"/>
          <w14:ligatures w14:val="none"/>
        </w:rPr>
        <w:t>decline</w:t>
      </w:r>
      <w:r w:rsidRPr="00917FFD">
        <w:rPr>
          <w:rFonts w:eastAsia="Times New Roman" w:cs="Times New Roman"/>
          <w:color w:val="111111"/>
          <w:kern w:val="0"/>
          <w:szCs w:val="24"/>
          <w14:ligatures w14:val="none"/>
        </w:rPr>
        <w:t xml:space="preserve"> of the overall impact in the revenue. The evaluation of the resort can be underlined with room </w:t>
      </w:r>
      <w:r w:rsidR="003A740F">
        <w:rPr>
          <w:rFonts w:eastAsia="Times New Roman" w:cs="Times New Roman"/>
          <w:color w:val="111111"/>
          <w:kern w:val="0"/>
          <w:szCs w:val="24"/>
          <w14:ligatures w14:val="none"/>
        </w:rPr>
        <w:t>rate</w:t>
      </w:r>
      <w:r w:rsidRPr="00917FFD">
        <w:rPr>
          <w:rFonts w:eastAsia="Times New Roman" w:cs="Times New Roman"/>
          <w:color w:val="111111"/>
          <w:kern w:val="0"/>
          <w:szCs w:val="24"/>
          <w14:ligatures w14:val="none"/>
        </w:rPr>
        <w:t xml:space="preserve"> adjustments including balance strikes that need profitability and affordability</w:t>
      </w:r>
      <w:r w:rsidR="003A740F">
        <w:rPr>
          <w:rFonts w:eastAsia="Times New Roman" w:cs="Times New Roman"/>
          <w:color w:val="111111"/>
          <w:kern w:val="0"/>
          <w:szCs w:val="24"/>
          <w14:ligatures w14:val="none"/>
        </w:rPr>
        <w:t xml:space="preserve"> </w:t>
      </w:r>
      <w:r w:rsidR="003A740F">
        <w:rPr>
          <w:shd w:val="clear" w:color="auto" w:fill="FFFFFF"/>
        </w:rPr>
        <w:t xml:space="preserve">(Struckell </w:t>
      </w:r>
      <w:r w:rsidR="003A740F">
        <w:rPr>
          <w:i/>
          <w:iCs/>
          <w:shd w:val="clear" w:color="auto" w:fill="FFFFFF"/>
        </w:rPr>
        <w:t>et al</w:t>
      </w:r>
      <w:r w:rsidR="003A740F">
        <w:rPr>
          <w:shd w:val="clear" w:color="auto" w:fill="FFFFFF"/>
        </w:rPr>
        <w:t>., 2022)</w:t>
      </w:r>
      <w:r w:rsidRPr="00917FFD">
        <w:rPr>
          <w:rFonts w:eastAsia="Times New Roman" w:cs="Times New Roman"/>
          <w:color w:val="111111"/>
          <w:kern w:val="0"/>
          <w:szCs w:val="24"/>
          <w14:ligatures w14:val="none"/>
        </w:rPr>
        <w:t>. </w:t>
      </w:r>
    </w:p>
    <w:p w14:paraId="2BC2264A" w14:textId="0440B940" w:rsidR="00917FFD" w:rsidRPr="00917FFD" w:rsidRDefault="00917FFD" w:rsidP="003A740F">
      <w:pPr>
        <w:rPr>
          <w:shd w:val="clear" w:color="auto" w:fill="FFFFFF"/>
        </w:rPr>
      </w:pPr>
      <w:r w:rsidRPr="00917FFD">
        <w:rPr>
          <w:rFonts w:eastAsia="Times New Roman" w:cs="Times New Roman"/>
          <w:b/>
          <w:bCs/>
          <w:i/>
          <w:iCs/>
          <w:color w:val="111111"/>
          <w:kern w:val="0"/>
          <w:szCs w:val="24"/>
          <w14:ligatures w14:val="none"/>
        </w:rPr>
        <w:t xml:space="preserve">Occupancy Rate: </w:t>
      </w:r>
      <w:r w:rsidRPr="00917FFD">
        <w:rPr>
          <w:rFonts w:eastAsia="Times New Roman" w:cs="Times New Roman"/>
          <w:color w:val="111111"/>
          <w:kern w:val="0"/>
          <w:szCs w:val="24"/>
          <w14:ligatures w14:val="none"/>
        </w:rPr>
        <w:t xml:space="preserve">The falling rate of occupancy can be underlined based on the </w:t>
      </w:r>
      <w:r w:rsidR="00857DC3">
        <w:rPr>
          <w:rFonts w:eastAsia="Times New Roman" w:cs="Times New Roman"/>
          <w:color w:val="111111"/>
          <w:kern w:val="0"/>
          <w:szCs w:val="24"/>
          <w14:ligatures w14:val="none"/>
        </w:rPr>
        <w:t>sixty-five</w:t>
      </w:r>
      <w:r w:rsidRPr="00917FFD">
        <w:rPr>
          <w:rFonts w:eastAsia="Times New Roman" w:cs="Times New Roman"/>
          <w:color w:val="111111"/>
          <w:kern w:val="0"/>
          <w:szCs w:val="24"/>
          <w14:ligatures w14:val="none"/>
        </w:rPr>
        <w:t xml:space="preserve"> </w:t>
      </w:r>
      <w:r w:rsidR="00857DC3">
        <w:rPr>
          <w:rFonts w:eastAsia="Times New Roman" w:cs="Times New Roman"/>
          <w:color w:val="111111"/>
          <w:kern w:val="0"/>
          <w:szCs w:val="24"/>
          <w14:ligatures w14:val="none"/>
        </w:rPr>
        <w:t>per cent</w:t>
      </w:r>
      <w:r w:rsidRPr="00917FFD">
        <w:rPr>
          <w:rFonts w:eastAsia="Times New Roman" w:cs="Times New Roman"/>
          <w:color w:val="111111"/>
          <w:kern w:val="0"/>
          <w:szCs w:val="24"/>
          <w14:ligatures w14:val="none"/>
        </w:rPr>
        <w:t xml:space="preserve"> fall in the year 2021 that came with a </w:t>
      </w:r>
      <w:r w:rsidR="00857DC3">
        <w:rPr>
          <w:rFonts w:eastAsia="Times New Roman" w:cs="Times New Roman"/>
          <w:color w:val="111111"/>
          <w:kern w:val="0"/>
          <w:szCs w:val="24"/>
          <w14:ligatures w14:val="none"/>
        </w:rPr>
        <w:t>decline</w:t>
      </w:r>
      <w:r w:rsidRPr="00917FFD">
        <w:rPr>
          <w:rFonts w:eastAsia="Times New Roman" w:cs="Times New Roman"/>
          <w:color w:val="111111"/>
          <w:kern w:val="0"/>
          <w:szCs w:val="24"/>
          <w14:ligatures w14:val="none"/>
        </w:rPr>
        <w:t xml:space="preserve"> with </w:t>
      </w:r>
      <w:r w:rsidR="00857DC3">
        <w:rPr>
          <w:rFonts w:eastAsia="Times New Roman" w:cs="Times New Roman"/>
          <w:color w:val="111111"/>
          <w:kern w:val="0"/>
          <w:szCs w:val="24"/>
          <w14:ligatures w14:val="none"/>
        </w:rPr>
        <w:t xml:space="preserve">a </w:t>
      </w:r>
      <w:r w:rsidRPr="00917FFD">
        <w:rPr>
          <w:rFonts w:eastAsia="Times New Roman" w:cs="Times New Roman"/>
          <w:color w:val="111111"/>
          <w:kern w:val="0"/>
          <w:szCs w:val="24"/>
          <w14:ligatures w14:val="none"/>
        </w:rPr>
        <w:t xml:space="preserve">fifty </w:t>
      </w:r>
      <w:r w:rsidR="00857DC3">
        <w:rPr>
          <w:rFonts w:eastAsia="Times New Roman" w:cs="Times New Roman"/>
          <w:color w:val="111111"/>
          <w:kern w:val="0"/>
          <w:szCs w:val="24"/>
          <w14:ligatures w14:val="none"/>
        </w:rPr>
        <w:t>per cent</w:t>
      </w:r>
      <w:r w:rsidRPr="00917FFD">
        <w:rPr>
          <w:rFonts w:eastAsia="Times New Roman" w:cs="Times New Roman"/>
          <w:color w:val="111111"/>
          <w:kern w:val="0"/>
          <w:szCs w:val="24"/>
          <w14:ligatures w14:val="none"/>
        </w:rPr>
        <w:t xml:space="preserve"> rate related to </w:t>
      </w:r>
      <w:r w:rsidR="00857DC3">
        <w:rPr>
          <w:rFonts w:eastAsia="Times New Roman" w:cs="Times New Roman"/>
          <w:color w:val="111111"/>
          <w:kern w:val="0"/>
          <w:szCs w:val="24"/>
          <w14:ligatures w14:val="none"/>
        </w:rPr>
        <w:t xml:space="preserve">the </w:t>
      </w:r>
      <w:r w:rsidRPr="00917FFD">
        <w:rPr>
          <w:rFonts w:eastAsia="Times New Roman" w:cs="Times New Roman"/>
          <w:color w:val="111111"/>
          <w:kern w:val="0"/>
          <w:szCs w:val="24"/>
          <w14:ligatures w14:val="none"/>
        </w:rPr>
        <w:t>2023 fall. The affected lodge with half-empty operational efficiency includes the overall revenue of the operation. The lodge needs to explore overall strategies related to the market including events, promotion and occupancy boosts</w:t>
      </w:r>
      <w:r w:rsidR="003A740F">
        <w:rPr>
          <w:rFonts w:eastAsia="Times New Roman" w:cs="Times New Roman"/>
          <w:color w:val="111111"/>
          <w:kern w:val="0"/>
          <w:szCs w:val="24"/>
          <w14:ligatures w14:val="none"/>
        </w:rPr>
        <w:t xml:space="preserve"> </w:t>
      </w:r>
      <w:r w:rsidR="003A740F">
        <w:rPr>
          <w:shd w:val="clear" w:color="auto" w:fill="FFFFFF"/>
        </w:rPr>
        <w:t xml:space="preserve">(Akaev </w:t>
      </w:r>
      <w:r w:rsidR="003A740F">
        <w:rPr>
          <w:i/>
          <w:iCs/>
          <w:shd w:val="clear" w:color="auto" w:fill="FFFFFF"/>
        </w:rPr>
        <w:t>et al</w:t>
      </w:r>
      <w:r w:rsidR="003A740F">
        <w:rPr>
          <w:shd w:val="clear" w:color="auto" w:fill="FFFFFF"/>
        </w:rPr>
        <w:t>., 2023)</w:t>
      </w:r>
      <w:r w:rsidRPr="00917FFD">
        <w:rPr>
          <w:rFonts w:eastAsia="Times New Roman" w:cs="Times New Roman"/>
          <w:color w:val="111111"/>
          <w:kern w:val="0"/>
          <w:szCs w:val="24"/>
          <w14:ligatures w14:val="none"/>
        </w:rPr>
        <w:t>. </w:t>
      </w:r>
    </w:p>
    <w:p w14:paraId="5243A2FF" w14:textId="77777777" w:rsidR="00917FFD" w:rsidRPr="00917FFD" w:rsidRDefault="00917FFD" w:rsidP="00917FFD">
      <w:pPr>
        <w:shd w:val="clear" w:color="auto" w:fill="FFFFFF"/>
        <w:spacing w:after="0" w:line="240" w:lineRule="auto"/>
        <w:jc w:val="left"/>
        <w:outlineLvl w:val="2"/>
        <w:rPr>
          <w:rFonts w:eastAsia="Times New Roman" w:cs="Times New Roman"/>
          <w:b/>
          <w:bCs/>
          <w:kern w:val="0"/>
          <w:sz w:val="27"/>
          <w:szCs w:val="27"/>
          <w14:ligatures w14:val="none"/>
        </w:rPr>
      </w:pPr>
    </w:p>
    <w:p w14:paraId="484D8880" w14:textId="77777777" w:rsidR="0040366D" w:rsidRDefault="0040366D">
      <w:pPr>
        <w:spacing w:line="259" w:lineRule="auto"/>
        <w:jc w:val="left"/>
        <w:rPr>
          <w:rStyle w:val="Heading1Char"/>
        </w:rPr>
      </w:pPr>
      <w:bookmarkStart w:id="9" w:name="_Toc158327533"/>
      <w:bookmarkStart w:id="10" w:name="_Toc158327706"/>
      <w:r>
        <w:rPr>
          <w:rStyle w:val="Heading1Char"/>
          <w:b w:val="0"/>
        </w:rPr>
        <w:br w:type="page"/>
      </w:r>
    </w:p>
    <w:p w14:paraId="78AF9230" w14:textId="03D97441" w:rsidR="00917FFD" w:rsidRPr="00917FFD" w:rsidRDefault="00917FFD" w:rsidP="00917FFD">
      <w:pPr>
        <w:pStyle w:val="Heading1"/>
      </w:pPr>
      <w:r w:rsidRPr="00917FFD">
        <w:rPr>
          <w:rStyle w:val="Heading1Char"/>
          <w:b/>
        </w:rPr>
        <w:lastRenderedPageBreak/>
        <w:t xml:space="preserve">Recognise the appropriate reasons being the profitability Declination of the elucidated Organisation based on </w:t>
      </w:r>
      <w:r w:rsidR="00857DC3">
        <w:rPr>
          <w:rStyle w:val="Heading1Char"/>
          <w:b/>
        </w:rPr>
        <w:t xml:space="preserve">the </w:t>
      </w:r>
      <w:r w:rsidRPr="00917FFD">
        <w:rPr>
          <w:rStyle w:val="Heading1Char"/>
          <w:b/>
        </w:rPr>
        <w:t>contemporary scenario of the world</w:t>
      </w:r>
      <w:bookmarkEnd w:id="9"/>
      <w:bookmarkEnd w:id="10"/>
      <w:r w:rsidRPr="00917FFD">
        <w:t xml:space="preserve"> </w:t>
      </w:r>
    </w:p>
    <w:p w14:paraId="02882C5C" w14:textId="1DBF1A5F" w:rsidR="00917FFD" w:rsidRPr="00917FFD" w:rsidRDefault="00857DC3" w:rsidP="00917FFD">
      <w:pPr>
        <w:spacing w:after="0"/>
        <w:rPr>
          <w:rFonts w:eastAsia="Times New Roman" w:cs="Times New Roman"/>
          <w:kern w:val="0"/>
          <w:szCs w:val="24"/>
          <w14:ligatures w14:val="none"/>
        </w:rPr>
      </w:pPr>
      <w:r>
        <w:rPr>
          <w:rFonts w:eastAsia="Times New Roman" w:cs="Times New Roman"/>
          <w:b/>
          <w:bCs/>
          <w:color w:val="000000"/>
          <w:kern w:val="0"/>
          <w:szCs w:val="24"/>
          <w14:ligatures w14:val="none"/>
        </w:rPr>
        <w:t>Industry-Specific challenges</w:t>
      </w:r>
    </w:p>
    <w:p w14:paraId="3D1A6EB5" w14:textId="7CE3E738"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i/>
          <w:iCs/>
          <w:color w:val="000000"/>
          <w:kern w:val="0"/>
          <w:szCs w:val="24"/>
          <w14:ligatures w14:val="none"/>
        </w:rPr>
        <w:t xml:space="preserve">Competition: </w:t>
      </w:r>
      <w:r w:rsidRPr="00917FFD">
        <w:rPr>
          <w:rFonts w:eastAsia="Times New Roman" w:cs="Times New Roman"/>
          <w:color w:val="000000"/>
          <w:kern w:val="0"/>
          <w:szCs w:val="24"/>
          <w14:ligatures w14:val="none"/>
        </w:rPr>
        <w:t xml:space="preserve"> The coastal market needs high competition with the modern emergence of the resorts’ services. The offering process related to amenities </w:t>
      </w:r>
      <w:r w:rsidR="00857DC3" w:rsidRPr="00917FFD">
        <w:rPr>
          <w:rFonts w:eastAsia="Times New Roman" w:cs="Times New Roman"/>
          <w:color w:val="000000"/>
          <w:kern w:val="0"/>
          <w:szCs w:val="24"/>
          <w14:ligatures w14:val="none"/>
        </w:rPr>
        <w:t>updating</w:t>
      </w:r>
      <w:r w:rsidRPr="00917FFD">
        <w:rPr>
          <w:rFonts w:eastAsia="Times New Roman" w:cs="Times New Roman"/>
          <w:color w:val="000000"/>
          <w:kern w:val="0"/>
          <w:szCs w:val="24"/>
          <w14:ligatures w14:val="none"/>
        </w:rPr>
        <w:t xml:space="preserve"> with the customised experiences can be interlinked based on the overall The Seacrest Lodges’ expenditure. </w:t>
      </w:r>
    </w:p>
    <w:p w14:paraId="3A15F2D1" w14:textId="733CF6D5" w:rsidR="00917FFD" w:rsidRPr="00917FFD" w:rsidRDefault="00917FFD" w:rsidP="003A740F">
      <w:pPr>
        <w:rPr>
          <w:shd w:val="clear" w:color="auto" w:fill="FFFFFF"/>
        </w:rPr>
      </w:pPr>
      <w:r w:rsidRPr="00917FFD">
        <w:rPr>
          <w:rFonts w:eastAsia="Times New Roman" w:cs="Times New Roman"/>
          <w:b/>
          <w:bCs/>
          <w:i/>
          <w:iCs/>
          <w:color w:val="000000"/>
          <w:kern w:val="0"/>
          <w:szCs w:val="24"/>
          <w14:ligatures w14:val="none"/>
        </w:rPr>
        <w:t xml:space="preserve">Consumer preferences </w:t>
      </w:r>
      <w:r w:rsidR="00857DC3" w:rsidRPr="00917FFD">
        <w:rPr>
          <w:rFonts w:eastAsia="Times New Roman" w:cs="Times New Roman"/>
          <w:b/>
          <w:bCs/>
          <w:i/>
          <w:iCs/>
          <w:color w:val="000000"/>
          <w:kern w:val="0"/>
          <w:szCs w:val="24"/>
          <w14:ligatures w14:val="none"/>
        </w:rPr>
        <w:t>Shifting</w:t>
      </w:r>
      <w:r w:rsidRPr="00917FFD">
        <w:rPr>
          <w:rFonts w:eastAsia="Times New Roman" w:cs="Times New Roman"/>
          <w:b/>
          <w:bCs/>
          <w:i/>
          <w:iCs/>
          <w:color w:val="000000"/>
          <w:kern w:val="0"/>
          <w:szCs w:val="24"/>
          <w14:ligatures w14:val="none"/>
        </w:rPr>
        <w:t xml:space="preserve">: </w:t>
      </w:r>
      <w:r w:rsidRPr="00917FFD">
        <w:rPr>
          <w:rFonts w:eastAsia="Times New Roman" w:cs="Times New Roman"/>
          <w:color w:val="000000"/>
          <w:kern w:val="0"/>
          <w:szCs w:val="24"/>
          <w14:ligatures w14:val="none"/>
        </w:rPr>
        <w:t xml:space="preserve">Overall experience related to </w:t>
      </w:r>
      <w:r w:rsidR="00857DC3">
        <w:rPr>
          <w:rFonts w:eastAsia="Times New Roman" w:cs="Times New Roman"/>
          <w:color w:val="000000"/>
          <w:kern w:val="0"/>
          <w:szCs w:val="24"/>
          <w14:ligatures w14:val="none"/>
        </w:rPr>
        <w:t>guests'</w:t>
      </w:r>
      <w:r w:rsidRPr="00917FFD">
        <w:rPr>
          <w:rFonts w:eastAsia="Times New Roman" w:cs="Times New Roman"/>
          <w:color w:val="000000"/>
          <w:kern w:val="0"/>
          <w:szCs w:val="24"/>
          <w14:ligatures w14:val="none"/>
        </w:rPr>
        <w:t xml:space="preserve"> need practices of eco-friendliness that make offerings with wellness. The outdated Seacrest Lodge can be enhanced with </w:t>
      </w:r>
      <w:r w:rsidR="00857DC3">
        <w:rPr>
          <w:rFonts w:eastAsia="Times New Roman" w:cs="Times New Roman"/>
          <w:color w:val="000000"/>
          <w:kern w:val="0"/>
          <w:szCs w:val="24"/>
          <w14:ligatures w14:val="none"/>
        </w:rPr>
        <w:t xml:space="preserve">the </w:t>
      </w:r>
      <w:r w:rsidRPr="00917FFD">
        <w:rPr>
          <w:rFonts w:eastAsia="Times New Roman" w:cs="Times New Roman"/>
          <w:color w:val="000000"/>
          <w:kern w:val="0"/>
          <w:szCs w:val="24"/>
          <w14:ligatures w14:val="none"/>
        </w:rPr>
        <w:t>preferences of the consumers</w:t>
      </w:r>
      <w:r w:rsidR="003A740F">
        <w:rPr>
          <w:rFonts w:eastAsia="Times New Roman" w:cs="Times New Roman"/>
          <w:color w:val="000000"/>
          <w:kern w:val="0"/>
          <w:szCs w:val="24"/>
          <w14:ligatures w14:val="none"/>
        </w:rPr>
        <w:t xml:space="preserve"> </w:t>
      </w:r>
      <w:r w:rsidR="003A740F">
        <w:rPr>
          <w:shd w:val="clear" w:color="auto" w:fill="FFFFFF"/>
        </w:rPr>
        <w:t xml:space="preserve">(Struckell </w:t>
      </w:r>
      <w:r w:rsidR="003A740F">
        <w:rPr>
          <w:i/>
          <w:iCs/>
          <w:shd w:val="clear" w:color="auto" w:fill="FFFFFF"/>
        </w:rPr>
        <w:t>et al</w:t>
      </w:r>
      <w:r w:rsidR="003A740F">
        <w:rPr>
          <w:shd w:val="clear" w:color="auto" w:fill="FFFFFF"/>
        </w:rPr>
        <w:t>., 2022)</w:t>
      </w:r>
      <w:r w:rsidRPr="00917FFD">
        <w:rPr>
          <w:rFonts w:eastAsia="Times New Roman" w:cs="Times New Roman"/>
          <w:color w:val="000000"/>
          <w:kern w:val="0"/>
          <w:szCs w:val="24"/>
          <w14:ligatures w14:val="none"/>
        </w:rPr>
        <w:t>. </w:t>
      </w:r>
    </w:p>
    <w:p w14:paraId="77111D54"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Factors of Economy</w:t>
      </w:r>
    </w:p>
    <w:p w14:paraId="669F24D0" w14:textId="41D78F2E" w:rsidR="00917FFD" w:rsidRPr="00917FFD" w:rsidRDefault="00917FFD" w:rsidP="003A740F">
      <w:pPr>
        <w:rPr>
          <w:shd w:val="clear" w:color="auto" w:fill="FFFFFF"/>
        </w:rPr>
      </w:pPr>
      <w:r w:rsidRPr="00917FFD">
        <w:rPr>
          <w:rFonts w:eastAsia="Times New Roman" w:cs="Times New Roman"/>
          <w:b/>
          <w:bCs/>
          <w:i/>
          <w:iCs/>
          <w:color w:val="000000"/>
          <w:kern w:val="0"/>
          <w:szCs w:val="24"/>
          <w14:ligatures w14:val="none"/>
        </w:rPr>
        <w:t xml:space="preserve">Profit Crunch in Global Economy: </w:t>
      </w:r>
      <w:r w:rsidRPr="00917FFD">
        <w:rPr>
          <w:rFonts w:eastAsia="Times New Roman" w:cs="Times New Roman"/>
          <w:color w:val="000000"/>
          <w:kern w:val="0"/>
          <w:szCs w:val="24"/>
          <w14:ligatures w14:val="none"/>
        </w:rPr>
        <w:t xml:space="preserve">The international development of GDP needs aggregate based on the overall profits of the economy with shrinking of the preceding years. The sectors with cyclical factors need pronounced declination including low commodity investment of reduction and commodity prices. The medium-sized organisation needs inclusion related to the struggle of five hundred organisations’ struggle with significant </w:t>
      </w:r>
      <w:r w:rsidR="00857DC3">
        <w:rPr>
          <w:rFonts w:eastAsia="Times New Roman" w:cs="Times New Roman"/>
          <w:color w:val="000000"/>
          <w:kern w:val="0"/>
          <w:szCs w:val="24"/>
          <w14:ligatures w14:val="none"/>
        </w:rPr>
        <w:t>contributions</w:t>
      </w:r>
      <w:r w:rsidRPr="00917FFD">
        <w:rPr>
          <w:rFonts w:eastAsia="Times New Roman" w:cs="Times New Roman"/>
          <w:color w:val="000000"/>
          <w:kern w:val="0"/>
          <w:szCs w:val="24"/>
          <w14:ligatures w14:val="none"/>
        </w:rPr>
        <w:t xml:space="preserve"> related to overall economic profit. </w:t>
      </w:r>
      <w:r w:rsidR="00857DC3">
        <w:rPr>
          <w:rFonts w:eastAsia="Times New Roman" w:cs="Times New Roman"/>
          <w:color w:val="000000"/>
          <w:kern w:val="0"/>
          <w:szCs w:val="24"/>
          <w14:ligatures w14:val="none"/>
        </w:rPr>
        <w:t>Organisations</w:t>
      </w:r>
      <w:r w:rsidRPr="00917FFD">
        <w:rPr>
          <w:rFonts w:eastAsia="Times New Roman" w:cs="Times New Roman"/>
          <w:color w:val="000000"/>
          <w:kern w:val="0"/>
          <w:szCs w:val="24"/>
          <w14:ligatures w14:val="none"/>
        </w:rPr>
        <w:t xml:space="preserve"> that are non-North and European can be </w:t>
      </w:r>
      <w:r w:rsidR="00857DC3">
        <w:rPr>
          <w:rFonts w:eastAsia="Times New Roman" w:cs="Times New Roman"/>
          <w:color w:val="000000"/>
          <w:kern w:val="0"/>
          <w:szCs w:val="24"/>
          <w14:ligatures w14:val="none"/>
        </w:rPr>
        <w:t>left</w:t>
      </w:r>
      <w:r w:rsidRPr="00917FFD">
        <w:rPr>
          <w:rFonts w:eastAsia="Times New Roman" w:cs="Times New Roman"/>
          <w:color w:val="000000"/>
          <w:kern w:val="0"/>
          <w:szCs w:val="24"/>
          <w14:ligatures w14:val="none"/>
        </w:rPr>
        <w:t xml:space="preserve"> behind based on </w:t>
      </w:r>
      <w:r w:rsidR="00857DC3">
        <w:rPr>
          <w:rFonts w:eastAsia="Times New Roman" w:cs="Times New Roman"/>
          <w:color w:val="000000"/>
          <w:kern w:val="0"/>
          <w:szCs w:val="24"/>
          <w14:ligatures w14:val="none"/>
        </w:rPr>
        <w:t xml:space="preserve">the </w:t>
      </w:r>
      <w:r w:rsidRPr="00917FFD">
        <w:rPr>
          <w:rFonts w:eastAsia="Times New Roman" w:cs="Times New Roman"/>
          <w:color w:val="000000"/>
          <w:kern w:val="0"/>
          <w:szCs w:val="24"/>
          <w14:ligatures w14:val="none"/>
        </w:rPr>
        <w:t>profit generation of the business economy. The disruption in the region can be underlined based on the overall generation of economic profits</w:t>
      </w:r>
      <w:r w:rsidR="003A740F">
        <w:rPr>
          <w:rFonts w:eastAsia="Times New Roman" w:cs="Times New Roman"/>
          <w:color w:val="000000"/>
          <w:kern w:val="0"/>
          <w:szCs w:val="24"/>
          <w14:ligatures w14:val="none"/>
        </w:rPr>
        <w:t xml:space="preserve"> </w:t>
      </w:r>
      <w:r w:rsidR="003A740F">
        <w:rPr>
          <w:shd w:val="clear" w:color="auto" w:fill="FFFFFF"/>
        </w:rPr>
        <w:t>(Redding and Nguyen, 2020)</w:t>
      </w:r>
      <w:r w:rsidRPr="00917FFD">
        <w:rPr>
          <w:rFonts w:eastAsia="Times New Roman" w:cs="Times New Roman"/>
          <w:color w:val="000000"/>
          <w:kern w:val="0"/>
          <w:szCs w:val="24"/>
          <w14:ligatures w14:val="none"/>
        </w:rPr>
        <w:t>. </w:t>
      </w:r>
    </w:p>
    <w:p w14:paraId="02541ECD" w14:textId="52275A42" w:rsidR="00917FFD" w:rsidRPr="00917FFD" w:rsidRDefault="00917FFD" w:rsidP="003A740F">
      <w:pPr>
        <w:rPr>
          <w:shd w:val="clear" w:color="auto" w:fill="FFFFFF"/>
        </w:rPr>
      </w:pPr>
      <w:r w:rsidRPr="00917FFD">
        <w:rPr>
          <w:rFonts w:eastAsia="Times New Roman" w:cs="Times New Roman"/>
          <w:b/>
          <w:bCs/>
          <w:i/>
          <w:iCs/>
          <w:color w:val="000000"/>
          <w:kern w:val="0"/>
          <w:szCs w:val="24"/>
          <w14:ligatures w14:val="none"/>
        </w:rPr>
        <w:t xml:space="preserve">Events of Real-World: </w:t>
      </w:r>
      <w:r w:rsidRPr="00917FFD">
        <w:rPr>
          <w:rFonts w:eastAsia="Times New Roman" w:cs="Times New Roman"/>
          <w:color w:val="000000"/>
          <w:kern w:val="0"/>
          <w:szCs w:val="24"/>
          <w14:ligatures w14:val="none"/>
        </w:rPr>
        <w:t>The pandemic of COVID-19 can be underlined</w:t>
      </w:r>
      <w:r w:rsidR="00857DC3">
        <w:rPr>
          <w:rFonts w:eastAsia="Times New Roman" w:cs="Times New Roman"/>
          <w:color w:val="000000"/>
          <w:kern w:val="0"/>
          <w:szCs w:val="24"/>
          <w14:ligatures w14:val="none"/>
        </w:rPr>
        <w:t xml:space="preserve"> </w:t>
      </w:r>
      <w:r w:rsidRPr="00917FFD">
        <w:rPr>
          <w:rFonts w:eastAsia="Times New Roman" w:cs="Times New Roman"/>
          <w:color w:val="000000"/>
          <w:kern w:val="0"/>
          <w:szCs w:val="24"/>
          <w14:ligatures w14:val="none"/>
        </w:rPr>
        <w:t xml:space="preserve">based on travel disruption including rates of occupancy and overall revenue. The restrictions for travel, lockdowns and overall concerns related to health can be declined based on the overall cancellations of the </w:t>
      </w:r>
      <w:r w:rsidRPr="00917FFD">
        <w:rPr>
          <w:rFonts w:eastAsia="Times New Roman" w:cs="Times New Roman"/>
          <w:color w:val="000000"/>
          <w:kern w:val="0"/>
          <w:szCs w:val="24"/>
          <w14:ligatures w14:val="none"/>
        </w:rPr>
        <w:lastRenderedPageBreak/>
        <w:t>bookings. The lodges have faced issues related to loss of revenue and the organisation needs to revive the business to gain profits</w:t>
      </w:r>
      <w:r w:rsidR="003A740F">
        <w:rPr>
          <w:rFonts w:eastAsia="Times New Roman" w:cs="Times New Roman"/>
          <w:color w:val="000000"/>
          <w:kern w:val="0"/>
          <w:szCs w:val="24"/>
          <w14:ligatures w14:val="none"/>
        </w:rPr>
        <w:t xml:space="preserve"> </w:t>
      </w:r>
      <w:r w:rsidR="003A740F">
        <w:rPr>
          <w:shd w:val="clear" w:color="auto" w:fill="FFFFFF"/>
        </w:rPr>
        <w:t xml:space="preserve">(Akaev </w:t>
      </w:r>
      <w:r w:rsidR="003A740F">
        <w:rPr>
          <w:i/>
          <w:iCs/>
          <w:shd w:val="clear" w:color="auto" w:fill="FFFFFF"/>
        </w:rPr>
        <w:t>et al</w:t>
      </w:r>
      <w:r w:rsidR="003A740F">
        <w:rPr>
          <w:shd w:val="clear" w:color="auto" w:fill="FFFFFF"/>
        </w:rPr>
        <w:t>., 2023)</w:t>
      </w:r>
      <w:r w:rsidRPr="00917FFD">
        <w:rPr>
          <w:rFonts w:eastAsia="Times New Roman" w:cs="Times New Roman"/>
          <w:color w:val="000000"/>
          <w:kern w:val="0"/>
          <w:szCs w:val="24"/>
          <w14:ligatures w14:val="none"/>
        </w:rPr>
        <w:t>. </w:t>
      </w:r>
    </w:p>
    <w:p w14:paraId="702E4CC7" w14:textId="6597829B" w:rsidR="00917FFD" w:rsidRPr="00917FFD" w:rsidRDefault="00917FFD" w:rsidP="003A740F">
      <w:pPr>
        <w:rPr>
          <w:shd w:val="clear" w:color="auto" w:fill="FFFFFF"/>
        </w:rPr>
      </w:pPr>
      <w:r w:rsidRPr="00917FFD">
        <w:rPr>
          <w:rFonts w:eastAsia="Times New Roman" w:cs="Times New Roman"/>
          <w:b/>
          <w:bCs/>
          <w:i/>
          <w:iCs/>
          <w:color w:val="000000"/>
          <w:kern w:val="0"/>
          <w:szCs w:val="24"/>
          <w14:ligatures w14:val="none"/>
        </w:rPr>
        <w:t xml:space="preserve">Financial Metrics: </w:t>
      </w:r>
      <w:r w:rsidRPr="00917FFD">
        <w:rPr>
          <w:rFonts w:eastAsia="Times New Roman" w:cs="Times New Roman"/>
          <w:color w:val="000000"/>
          <w:kern w:val="0"/>
          <w:szCs w:val="24"/>
          <w14:ligatures w14:val="none"/>
        </w:rPr>
        <w:t xml:space="preserve">The revenue declination from twelve million British Pounds in the year 2021 to nine million British Pounds in the year 2023. The rate of occupancy is low with </w:t>
      </w:r>
      <w:r w:rsidR="00857DC3">
        <w:rPr>
          <w:rFonts w:eastAsia="Times New Roman" w:cs="Times New Roman"/>
          <w:color w:val="000000"/>
          <w:kern w:val="0"/>
          <w:szCs w:val="24"/>
          <w14:ligatures w14:val="none"/>
        </w:rPr>
        <w:t xml:space="preserve">a </w:t>
      </w:r>
      <w:r w:rsidRPr="00917FFD">
        <w:rPr>
          <w:rFonts w:eastAsia="Times New Roman" w:cs="Times New Roman"/>
          <w:color w:val="000000"/>
          <w:kern w:val="0"/>
          <w:szCs w:val="24"/>
          <w14:ligatures w14:val="none"/>
        </w:rPr>
        <w:t xml:space="preserve">reduction of ARR </w:t>
      </w:r>
      <w:r w:rsidR="00857DC3">
        <w:rPr>
          <w:rFonts w:eastAsia="Times New Roman" w:cs="Times New Roman"/>
          <w:color w:val="000000"/>
          <w:kern w:val="0"/>
          <w:szCs w:val="24"/>
          <w14:ligatures w14:val="none"/>
        </w:rPr>
        <w:t>including</w:t>
      </w:r>
      <w:r w:rsidRPr="00917FFD">
        <w:rPr>
          <w:rFonts w:eastAsia="Times New Roman" w:cs="Times New Roman"/>
          <w:color w:val="000000"/>
          <w:kern w:val="0"/>
          <w:szCs w:val="24"/>
          <w14:ligatures w14:val="none"/>
        </w:rPr>
        <w:t xml:space="preserve"> </w:t>
      </w:r>
      <w:r w:rsidR="00857DC3">
        <w:rPr>
          <w:rFonts w:eastAsia="Times New Roman" w:cs="Times New Roman"/>
          <w:color w:val="000000"/>
          <w:kern w:val="0"/>
          <w:szCs w:val="24"/>
          <w14:ligatures w14:val="none"/>
        </w:rPr>
        <w:t xml:space="preserve">an </w:t>
      </w:r>
      <w:r w:rsidRPr="00917FFD">
        <w:rPr>
          <w:rFonts w:eastAsia="Times New Roman" w:cs="Times New Roman"/>
          <w:color w:val="000000"/>
          <w:kern w:val="0"/>
          <w:szCs w:val="24"/>
          <w14:ligatures w14:val="none"/>
        </w:rPr>
        <w:t xml:space="preserve">overall </w:t>
      </w:r>
      <w:r w:rsidR="003A740F">
        <w:rPr>
          <w:rFonts w:eastAsia="Times New Roman" w:cs="Times New Roman"/>
          <w:color w:val="000000"/>
          <w:kern w:val="0"/>
          <w:szCs w:val="24"/>
          <w14:ligatures w14:val="none"/>
        </w:rPr>
        <w:t>decline</w:t>
      </w:r>
      <w:r w:rsidRPr="00917FFD">
        <w:rPr>
          <w:rFonts w:eastAsia="Times New Roman" w:cs="Times New Roman"/>
          <w:color w:val="000000"/>
          <w:kern w:val="0"/>
          <w:szCs w:val="24"/>
          <w14:ligatures w14:val="none"/>
        </w:rPr>
        <w:t xml:space="preserve"> of ARR. The expenses of the operation need to gain pressure with profitability </w:t>
      </w:r>
      <w:r w:rsidR="00857DC3">
        <w:rPr>
          <w:rFonts w:eastAsia="Times New Roman" w:cs="Times New Roman"/>
          <w:color w:val="000000"/>
          <w:kern w:val="0"/>
          <w:szCs w:val="24"/>
          <w14:ligatures w14:val="none"/>
        </w:rPr>
        <w:t>decline</w:t>
      </w:r>
      <w:r w:rsidRPr="00917FFD">
        <w:rPr>
          <w:rFonts w:eastAsia="Times New Roman" w:cs="Times New Roman"/>
          <w:color w:val="000000"/>
          <w:kern w:val="0"/>
          <w:szCs w:val="24"/>
          <w14:ligatures w14:val="none"/>
        </w:rPr>
        <w:t>. The efficiency improvement including the control of the costs includes essential improvements</w:t>
      </w:r>
      <w:r w:rsidR="003A740F">
        <w:rPr>
          <w:rFonts w:eastAsia="Times New Roman" w:cs="Times New Roman"/>
          <w:color w:val="000000"/>
          <w:kern w:val="0"/>
          <w:szCs w:val="24"/>
          <w14:ligatures w14:val="none"/>
        </w:rPr>
        <w:t xml:space="preserve"> </w:t>
      </w:r>
      <w:r w:rsidR="003A740F">
        <w:rPr>
          <w:shd w:val="clear" w:color="auto" w:fill="FFFFFF"/>
        </w:rPr>
        <w:t xml:space="preserve">(Miglani </w:t>
      </w:r>
      <w:r w:rsidR="003A740F">
        <w:rPr>
          <w:i/>
          <w:iCs/>
          <w:shd w:val="clear" w:color="auto" w:fill="FFFFFF"/>
        </w:rPr>
        <w:t>et al</w:t>
      </w:r>
      <w:r w:rsidR="003A740F">
        <w:rPr>
          <w:shd w:val="clear" w:color="auto" w:fill="FFFFFF"/>
        </w:rPr>
        <w:t>., 2020)</w:t>
      </w:r>
      <w:r w:rsidRPr="00917FFD">
        <w:rPr>
          <w:rFonts w:eastAsia="Times New Roman" w:cs="Times New Roman"/>
          <w:color w:val="000000"/>
          <w:kern w:val="0"/>
          <w:szCs w:val="24"/>
          <w14:ligatures w14:val="none"/>
        </w:rPr>
        <w:t>. </w:t>
      </w:r>
    </w:p>
    <w:p w14:paraId="4705D837" w14:textId="77777777" w:rsidR="00917FFD" w:rsidRPr="00917FFD" w:rsidRDefault="00917FFD" w:rsidP="00917FFD">
      <w:pPr>
        <w:shd w:val="clear" w:color="auto" w:fill="FFFFFF"/>
        <w:spacing w:after="0" w:line="240" w:lineRule="auto"/>
        <w:jc w:val="left"/>
        <w:outlineLvl w:val="2"/>
        <w:rPr>
          <w:rFonts w:eastAsia="Times New Roman" w:cs="Times New Roman"/>
          <w:b/>
          <w:bCs/>
          <w:kern w:val="0"/>
          <w:sz w:val="27"/>
          <w:szCs w:val="27"/>
          <w14:ligatures w14:val="none"/>
        </w:rPr>
      </w:pPr>
    </w:p>
    <w:p w14:paraId="464487A7" w14:textId="77777777" w:rsidR="00917FFD" w:rsidRPr="00917FFD" w:rsidRDefault="00917FFD" w:rsidP="00917FFD">
      <w:pPr>
        <w:spacing w:after="0" w:line="240" w:lineRule="auto"/>
        <w:jc w:val="left"/>
        <w:rPr>
          <w:rFonts w:eastAsia="Times New Roman" w:cs="Times New Roman"/>
          <w:kern w:val="0"/>
          <w:szCs w:val="24"/>
          <w14:ligatures w14:val="none"/>
        </w:rPr>
      </w:pPr>
    </w:p>
    <w:p w14:paraId="654D57BF" w14:textId="77777777" w:rsidR="00917FFD" w:rsidRDefault="00917FFD">
      <w:pPr>
        <w:spacing w:line="259" w:lineRule="auto"/>
        <w:jc w:val="left"/>
        <w:rPr>
          <w:rFonts w:eastAsia="Times New Roman" w:cs="Times New Roman"/>
          <w:b/>
          <w:bCs/>
          <w:color w:val="000000"/>
          <w:kern w:val="0"/>
          <w:sz w:val="28"/>
          <w:szCs w:val="28"/>
          <w14:ligatures w14:val="none"/>
        </w:rPr>
      </w:pPr>
      <w:r>
        <w:rPr>
          <w:rFonts w:eastAsia="Times New Roman" w:cs="Times New Roman"/>
          <w:b/>
          <w:bCs/>
          <w:color w:val="000000"/>
          <w:kern w:val="0"/>
          <w:sz w:val="28"/>
          <w:szCs w:val="28"/>
          <w14:ligatures w14:val="none"/>
        </w:rPr>
        <w:br w:type="page"/>
      </w:r>
    </w:p>
    <w:p w14:paraId="138A6CAD" w14:textId="376BFF55" w:rsidR="00917FFD" w:rsidRDefault="00917FFD" w:rsidP="003A740F">
      <w:pPr>
        <w:pStyle w:val="Heading1"/>
      </w:pPr>
      <w:bookmarkStart w:id="11" w:name="_Toc158327534"/>
      <w:bookmarkStart w:id="12" w:name="_Toc158327707"/>
      <w:r w:rsidRPr="00917FFD">
        <w:lastRenderedPageBreak/>
        <w:t>Elucidating the Substantial turnaround Strategy to revive the overall  reputation and financial health of the Organisation</w:t>
      </w:r>
      <w:bookmarkEnd w:id="11"/>
      <w:bookmarkEnd w:id="12"/>
      <w:r w:rsidRPr="00917FFD">
        <w:t> </w:t>
      </w:r>
    </w:p>
    <w:p w14:paraId="55074336" w14:textId="229FE5E2" w:rsidR="00D52CFF" w:rsidRDefault="00D52CFF" w:rsidP="00D52CFF">
      <w:pPr>
        <w:jc w:val="center"/>
        <w:rPr>
          <w:lang w:val="en"/>
        </w:rPr>
      </w:pPr>
      <w:r>
        <w:rPr>
          <w:noProof/>
        </w:rPr>
        <w:drawing>
          <wp:inline distT="0" distB="0" distL="0" distR="0" wp14:anchorId="11BBA830" wp14:editId="1C97D397">
            <wp:extent cx="3459480" cy="2594610"/>
            <wp:effectExtent l="76200" t="76200" r="140970" b="129540"/>
            <wp:docPr id="511099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9480" cy="2594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CCC1BF" w14:textId="04F04C62" w:rsidR="00D52CFF" w:rsidRPr="00917FFD" w:rsidRDefault="00D52CFF" w:rsidP="00D52CFF">
      <w:pPr>
        <w:jc w:val="center"/>
        <w:rPr>
          <w:lang w:val="en"/>
        </w:rPr>
      </w:pPr>
      <w:r w:rsidRPr="00D52CFF">
        <w:rPr>
          <w:b/>
          <w:bCs/>
          <w:lang w:val="en"/>
        </w:rPr>
        <w:t xml:space="preserve">Source: </w:t>
      </w:r>
      <w:r>
        <w:rPr>
          <w:shd w:val="clear" w:color="auto" w:fill="FFFFFF"/>
        </w:rPr>
        <w:t>(Nyagiloh and Kilika, 2020)</w:t>
      </w:r>
    </w:p>
    <w:p w14:paraId="4077F49A"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Current Situation Evaluation</w:t>
      </w:r>
    </w:p>
    <w:p w14:paraId="54EF83EC" w14:textId="0F9C97AE" w:rsidR="00917FFD" w:rsidRDefault="00917FFD" w:rsidP="003A740F">
      <w:pPr>
        <w:rPr>
          <w:rFonts w:eastAsia="Times New Roman" w:cs="Times New Roman"/>
          <w:color w:val="000000"/>
          <w:kern w:val="0"/>
          <w:szCs w:val="24"/>
          <w14:ligatures w14:val="none"/>
        </w:rPr>
      </w:pPr>
      <w:r w:rsidRPr="00917FFD">
        <w:rPr>
          <w:rFonts w:eastAsia="Times New Roman" w:cs="Times New Roman"/>
          <w:color w:val="000000"/>
          <w:kern w:val="0"/>
          <w:szCs w:val="24"/>
          <w14:ligatures w14:val="none"/>
        </w:rPr>
        <w:t xml:space="preserve">Implementation of the transformation for the business can be underlined based on the overall financial lodges that can be underlined based on the feedback of the customers. The root causes of the organisation can be declined based on reputation and profitability. The important areas need proper techniques of evaluation. The streams of revenue, </w:t>
      </w:r>
      <w:r w:rsidR="00857DC3">
        <w:rPr>
          <w:rFonts w:eastAsia="Times New Roman" w:cs="Times New Roman"/>
          <w:color w:val="000000"/>
          <w:kern w:val="0"/>
          <w:szCs w:val="24"/>
          <w14:ligatures w14:val="none"/>
        </w:rPr>
        <w:t xml:space="preserve">the </w:t>
      </w:r>
      <w:r w:rsidRPr="00917FFD">
        <w:rPr>
          <w:rFonts w:eastAsia="Times New Roman" w:cs="Times New Roman"/>
          <w:color w:val="000000"/>
          <w:kern w:val="0"/>
          <w:szCs w:val="24"/>
          <w14:ligatures w14:val="none"/>
        </w:rPr>
        <w:t>structure of the costs and overall margins of profits can be recognised based on the overspending efficiency</w:t>
      </w:r>
      <w:r w:rsidR="003A740F">
        <w:rPr>
          <w:rFonts w:eastAsia="Times New Roman" w:cs="Times New Roman"/>
          <w:color w:val="000000"/>
          <w:kern w:val="0"/>
          <w:szCs w:val="24"/>
          <w14:ligatures w14:val="none"/>
        </w:rPr>
        <w:t xml:space="preserve"> </w:t>
      </w:r>
      <w:r w:rsidR="003A740F">
        <w:rPr>
          <w:shd w:val="clear" w:color="auto" w:fill="FFFFFF"/>
        </w:rPr>
        <w:t>(Nyagiloh and Kilika, 2020)</w:t>
      </w:r>
      <w:r w:rsidRPr="00917FFD">
        <w:rPr>
          <w:rFonts w:eastAsia="Times New Roman" w:cs="Times New Roman"/>
          <w:color w:val="000000"/>
          <w:kern w:val="0"/>
          <w:szCs w:val="24"/>
          <w14:ligatures w14:val="none"/>
        </w:rPr>
        <w:t xml:space="preserve">. The overall experiences of the consumers can be underlined based on the guests' feedback gathering. The pain points </w:t>
      </w:r>
      <w:r w:rsidR="00857DC3">
        <w:rPr>
          <w:rFonts w:eastAsia="Times New Roman" w:cs="Times New Roman"/>
          <w:color w:val="000000"/>
          <w:kern w:val="0"/>
          <w:szCs w:val="24"/>
          <w14:ligatures w14:val="none"/>
        </w:rPr>
        <w:t>assessment</w:t>
      </w:r>
      <w:r w:rsidRPr="00917FFD">
        <w:rPr>
          <w:rFonts w:eastAsia="Times New Roman" w:cs="Times New Roman"/>
          <w:color w:val="000000"/>
          <w:kern w:val="0"/>
          <w:szCs w:val="24"/>
          <w14:ligatures w14:val="none"/>
        </w:rPr>
        <w:t xml:space="preserve"> process can be underlined with the gaps </w:t>
      </w:r>
      <w:r w:rsidR="00857DC3">
        <w:rPr>
          <w:rFonts w:eastAsia="Times New Roman" w:cs="Times New Roman"/>
          <w:color w:val="000000"/>
          <w:kern w:val="0"/>
          <w:szCs w:val="24"/>
          <w14:ligatures w14:val="none"/>
        </w:rPr>
        <w:t>in</w:t>
      </w:r>
      <w:r w:rsidRPr="00917FFD">
        <w:rPr>
          <w:rFonts w:eastAsia="Times New Roman" w:cs="Times New Roman"/>
          <w:color w:val="000000"/>
          <w:kern w:val="0"/>
          <w:szCs w:val="24"/>
          <w14:ligatures w14:val="none"/>
        </w:rPr>
        <w:t xml:space="preserve"> the services </w:t>
      </w:r>
      <w:r w:rsidR="00857DC3">
        <w:rPr>
          <w:rFonts w:eastAsia="Times New Roman" w:cs="Times New Roman"/>
          <w:color w:val="000000"/>
          <w:kern w:val="0"/>
          <w:szCs w:val="24"/>
          <w14:ligatures w14:val="none"/>
        </w:rPr>
        <w:t>by</w:t>
      </w:r>
      <w:r w:rsidRPr="00917FFD">
        <w:rPr>
          <w:rFonts w:eastAsia="Times New Roman" w:cs="Times New Roman"/>
          <w:color w:val="000000"/>
          <w:kern w:val="0"/>
          <w:szCs w:val="24"/>
          <w14:ligatures w14:val="none"/>
        </w:rPr>
        <w:t xml:space="preserve"> improvising the improvement areas. The competitive market evaluation needs to be aligned with the trends of the market. The recognising methods related to points of selling or the USP of the business can be underlined based on the overall elucidation related to the multiple lodge needs. </w:t>
      </w:r>
    </w:p>
    <w:p w14:paraId="4E0E70DC" w14:textId="1736320E" w:rsidR="00AA7688" w:rsidRDefault="00AA7688" w:rsidP="003A740F">
      <w:pPr>
        <w:rPr>
          <w:rFonts w:eastAsia="Times New Roman" w:cs="Times New Roman"/>
          <w:b/>
          <w:bCs/>
          <w:color w:val="000000"/>
          <w:kern w:val="0"/>
          <w:szCs w:val="24"/>
          <w14:ligatures w14:val="none"/>
        </w:rPr>
      </w:pPr>
      <w:r w:rsidRPr="00AA7688">
        <w:rPr>
          <w:rFonts w:eastAsia="Times New Roman" w:cs="Times New Roman"/>
          <w:b/>
          <w:bCs/>
          <w:color w:val="000000"/>
          <w:kern w:val="0"/>
          <w:szCs w:val="24"/>
          <w14:ligatures w14:val="none"/>
        </w:rPr>
        <w:lastRenderedPageBreak/>
        <w:t>Goals of Short and Long-term for the business</w:t>
      </w:r>
    </w:p>
    <w:p w14:paraId="2CAEFF12" w14:textId="3C0CE01F" w:rsidR="00AA7688" w:rsidRPr="00AA7688" w:rsidRDefault="00AA7688" w:rsidP="003A740F">
      <w:pPr>
        <w:rPr>
          <w:shd w:val="clear" w:color="auto" w:fill="FFFFFF"/>
        </w:rPr>
      </w:pPr>
      <w:r>
        <w:rPr>
          <w:rFonts w:eastAsia="Times New Roman" w:cs="Times New Roman"/>
          <w:color w:val="000000"/>
          <w:kern w:val="0"/>
          <w:szCs w:val="24"/>
          <w14:ligatures w14:val="none"/>
        </w:rPr>
        <w:t xml:space="preserve">The business has short-term objectives to balance the overall operational cost to balance the revenue cost of the organisation for long term. Excessive use of costly supply products based on the </w:t>
      </w:r>
      <w:r w:rsidR="0040366D">
        <w:rPr>
          <w:rFonts w:eastAsia="Times New Roman" w:cs="Times New Roman"/>
          <w:color w:val="000000"/>
          <w:kern w:val="0"/>
          <w:szCs w:val="24"/>
          <w14:ligatures w14:val="none"/>
        </w:rPr>
        <w:t xml:space="preserve">overall business for long-term includes the overall strategy for the business. The business also need to underline the balance statement and overall elucidation of the long-term business to analyse the overall sustainability of the business. The observation period of the business finance need to be six months in short-term period and the business also need to make elucidation of the overall business objectives sustain overall cost for operation. </w:t>
      </w:r>
    </w:p>
    <w:p w14:paraId="03A4D59F"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Financial Restructuring</w:t>
      </w:r>
    </w:p>
    <w:p w14:paraId="65A3E2EA" w14:textId="61092BFA" w:rsidR="00917FFD" w:rsidRPr="00917FFD" w:rsidRDefault="00917FFD" w:rsidP="003A740F">
      <w:pPr>
        <w:rPr>
          <w:shd w:val="clear" w:color="auto" w:fill="FFFFFF"/>
        </w:rPr>
      </w:pPr>
      <w:r w:rsidRPr="00917FFD">
        <w:t>The optimisation of the costs can be streamlined based on the quality comprising. The renegotiating process with suppliers needs proper initiatives including the training of the staff and enhancing the overall efficiency. The rates of the room, amenities and packages need proper strategy of the pricing. The alignment of the assuring price needs to be delivered based on the value. The dynamic pricing needs to be considered based on the peak seasons. The streams of diverse revenue need to be aligned based on the event hosting process including retreats of the wellness and operators of the local tours’ partnerships</w:t>
      </w:r>
      <w:r w:rsidR="003A740F">
        <w:t xml:space="preserve"> </w:t>
      </w:r>
      <w:r w:rsidR="003A740F">
        <w:rPr>
          <w:shd w:val="clear" w:color="auto" w:fill="FFFFFF"/>
        </w:rPr>
        <w:t>(Bodolica and Spraggon, 2021)</w:t>
      </w:r>
      <w:r w:rsidRPr="00917FFD">
        <w:t>. </w:t>
      </w:r>
    </w:p>
    <w:p w14:paraId="5B452703"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Guest Experience Enhancement</w:t>
      </w:r>
    </w:p>
    <w:p w14:paraId="5ACB66F7" w14:textId="1BE6C7AF" w:rsidR="003A740F" w:rsidRPr="003A740F" w:rsidRDefault="00917FFD" w:rsidP="003A740F">
      <w:pPr>
        <w:rPr>
          <w:shd w:val="clear" w:color="auto" w:fill="FFFFFF"/>
        </w:rPr>
      </w:pPr>
      <w:r w:rsidRPr="00917FFD">
        <w:t xml:space="preserve">The excellence of the service can be provided based on the service that are exceptional. The attention can be personalised with reason of prompting and critical attaining of the needs of the guests. The upgrades and the revenues can be underlined based on the overall landscaping, renovations and overall common area rejuvenation process. This can enhance the overall charms of the lodge. The experiences that are unique can be memorable </w:t>
      </w:r>
      <w:r w:rsidR="003A740F">
        <w:t xml:space="preserve">and </w:t>
      </w:r>
      <w:r w:rsidRPr="00917FFD">
        <w:t xml:space="preserve">curated with the hikes, guiding </w:t>
      </w:r>
      <w:r w:rsidRPr="00917FFD">
        <w:lastRenderedPageBreak/>
        <w:t xml:space="preserve">process, classes or safaris of the wildlife. Natural </w:t>
      </w:r>
      <w:r w:rsidR="003A740F">
        <w:t>surroundings</w:t>
      </w:r>
      <w:r w:rsidRPr="00917FFD">
        <w:t xml:space="preserve"> lodge can be leveraged based on the experiences of the lodge</w:t>
      </w:r>
      <w:r w:rsidR="003A740F">
        <w:t xml:space="preserve"> </w:t>
      </w:r>
      <w:r w:rsidR="003A740F">
        <w:rPr>
          <w:shd w:val="clear" w:color="auto" w:fill="FFFFFF"/>
        </w:rPr>
        <w:t>(Wijantini, 2020)</w:t>
      </w:r>
      <w:r w:rsidRPr="00917FFD">
        <w:t>. </w:t>
      </w:r>
    </w:p>
    <w:p w14:paraId="1519B84E" w14:textId="19AE9D0B" w:rsidR="00917FFD" w:rsidRPr="00917FFD" w:rsidRDefault="00917FFD" w:rsidP="003A740F">
      <w:pPr>
        <w:rPr>
          <w:b/>
          <w:bCs/>
          <w:sz w:val="36"/>
          <w:szCs w:val="36"/>
        </w:rPr>
      </w:pPr>
      <w:r w:rsidRPr="00917FFD">
        <w:rPr>
          <w:rFonts w:eastAsia="Times New Roman" w:cs="Times New Roman"/>
          <w:b/>
          <w:bCs/>
          <w:color w:val="000000"/>
          <w:kern w:val="0"/>
          <w:szCs w:val="24"/>
          <w14:ligatures w14:val="none"/>
        </w:rPr>
        <w:t>Branding and Marketing</w:t>
      </w:r>
    </w:p>
    <w:p w14:paraId="6675FB3C" w14:textId="1B6F93CC" w:rsidR="00917FFD" w:rsidRPr="00917FFD" w:rsidRDefault="00917FFD" w:rsidP="003A740F">
      <w:pPr>
        <w:rPr>
          <w:shd w:val="clear" w:color="auto" w:fill="FFFFFF"/>
        </w:rPr>
      </w:pPr>
      <w:r w:rsidRPr="00917FFD">
        <w:rPr>
          <w:rFonts w:eastAsia="Times New Roman" w:cs="Times New Roman"/>
          <w:color w:val="000000"/>
          <w:kern w:val="0"/>
          <w:szCs w:val="24"/>
          <w14:ligatures w14:val="none"/>
        </w:rPr>
        <w:t xml:space="preserve">The process of rebranding needs identification related to </w:t>
      </w:r>
      <w:r w:rsidR="003A740F">
        <w:rPr>
          <w:rFonts w:eastAsia="Times New Roman" w:cs="Times New Roman"/>
          <w:color w:val="000000"/>
          <w:kern w:val="0"/>
          <w:szCs w:val="24"/>
          <w14:ligatures w14:val="none"/>
        </w:rPr>
        <w:t xml:space="preserve">a </w:t>
      </w:r>
      <w:r w:rsidRPr="00917FFD">
        <w:rPr>
          <w:rFonts w:eastAsia="Times New Roman" w:cs="Times New Roman"/>
          <w:color w:val="000000"/>
          <w:kern w:val="0"/>
          <w:szCs w:val="24"/>
          <w14:ligatures w14:val="none"/>
        </w:rPr>
        <w:t xml:space="preserve">brand can have requirements related to the innovative character of the lodge. The practices that are eco-friendly including the involvement of the community can be underlined based on the rebranding process. The presence of the digital can be underlined with the website of lodging, platform of social media and platforms related to digital booking. The engagement can create potential related to the captivating content of the overall guests. The collaboration based on the influencers of the travel, </w:t>
      </w:r>
      <w:r w:rsidR="003A740F">
        <w:rPr>
          <w:rFonts w:eastAsia="Times New Roman" w:cs="Times New Roman"/>
          <w:color w:val="000000"/>
          <w:kern w:val="0"/>
          <w:szCs w:val="24"/>
          <w14:ligatures w14:val="none"/>
        </w:rPr>
        <w:t>offers</w:t>
      </w:r>
      <w:r w:rsidRPr="00917FFD">
        <w:rPr>
          <w:rFonts w:eastAsia="Times New Roman" w:cs="Times New Roman"/>
          <w:color w:val="000000"/>
          <w:kern w:val="0"/>
          <w:szCs w:val="24"/>
          <w14:ligatures w14:val="none"/>
        </w:rPr>
        <w:t xml:space="preserve"> the exchange related to the employing staff of the local business need reach expansion</w:t>
      </w:r>
      <w:r w:rsidR="003A740F">
        <w:rPr>
          <w:rFonts w:eastAsia="Times New Roman" w:cs="Times New Roman"/>
          <w:color w:val="000000"/>
          <w:kern w:val="0"/>
          <w:szCs w:val="24"/>
          <w14:ligatures w14:val="none"/>
        </w:rPr>
        <w:t xml:space="preserve"> </w:t>
      </w:r>
      <w:r w:rsidR="003A740F">
        <w:rPr>
          <w:shd w:val="clear" w:color="auto" w:fill="FFFFFF"/>
        </w:rPr>
        <w:t xml:space="preserve">(Abebe </w:t>
      </w:r>
      <w:r w:rsidR="003A740F">
        <w:rPr>
          <w:i/>
          <w:iCs/>
          <w:shd w:val="clear" w:color="auto" w:fill="FFFFFF"/>
        </w:rPr>
        <w:t>et al</w:t>
      </w:r>
      <w:r w:rsidR="003A740F">
        <w:rPr>
          <w:shd w:val="clear" w:color="auto" w:fill="FFFFFF"/>
        </w:rPr>
        <w:t>., 2021)</w:t>
      </w:r>
      <w:r w:rsidRPr="00917FFD">
        <w:rPr>
          <w:rFonts w:eastAsia="Times New Roman" w:cs="Times New Roman"/>
          <w:color w:val="000000"/>
          <w:kern w:val="0"/>
          <w:szCs w:val="24"/>
          <w14:ligatures w14:val="none"/>
        </w:rPr>
        <w:t>. </w:t>
      </w:r>
    </w:p>
    <w:p w14:paraId="573417DE"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Initiatives of Sustainability</w:t>
      </w:r>
    </w:p>
    <w:p w14:paraId="04848F25" w14:textId="672CA969"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color w:val="000000"/>
          <w:kern w:val="0"/>
          <w:szCs w:val="24"/>
          <w14:ligatures w14:val="none"/>
        </w:rPr>
        <w:t xml:space="preserve">The practices of eco-friendly commitment related to sustainability can be underlined based on waste reduction, energy conservation and conservative efforts’ local support. The engagement of the </w:t>
      </w:r>
      <w:r w:rsidR="00857DC3" w:rsidRPr="00917FFD">
        <w:rPr>
          <w:rFonts w:eastAsia="Times New Roman" w:cs="Times New Roman"/>
          <w:color w:val="000000"/>
          <w:kern w:val="0"/>
          <w:szCs w:val="24"/>
          <w14:ligatures w14:val="none"/>
        </w:rPr>
        <w:t>customers’</w:t>
      </w:r>
      <w:r w:rsidRPr="00917FFD">
        <w:rPr>
          <w:rFonts w:eastAsia="Times New Roman" w:cs="Times New Roman"/>
          <w:color w:val="000000"/>
          <w:kern w:val="0"/>
          <w:szCs w:val="24"/>
          <w14:ligatures w14:val="none"/>
        </w:rPr>
        <w:t xml:space="preserve"> needs involvement related to the overall exchange of the culture including employment of the staff and nearby business support. </w:t>
      </w:r>
    </w:p>
    <w:p w14:paraId="6C743CB4"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Loyalty Program for Guests</w:t>
      </w:r>
    </w:p>
    <w:p w14:paraId="4249C36C" w14:textId="0688CF8B"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color w:val="000000"/>
          <w:kern w:val="0"/>
          <w:szCs w:val="24"/>
          <w14:ligatures w14:val="none"/>
        </w:rPr>
        <w:t xml:space="preserve">The guests’ repeated reward can be inclined based on the program of loyalty including the upgradation of the room including the process of check-ins with </w:t>
      </w:r>
      <w:r w:rsidR="00857DC3">
        <w:rPr>
          <w:rFonts w:eastAsia="Times New Roman" w:cs="Times New Roman"/>
          <w:color w:val="000000"/>
          <w:kern w:val="0"/>
          <w:szCs w:val="24"/>
          <w14:ligatures w14:val="none"/>
        </w:rPr>
        <w:t>exclusive events</w:t>
      </w:r>
      <w:r w:rsidRPr="00917FFD">
        <w:rPr>
          <w:rFonts w:eastAsia="Times New Roman" w:cs="Times New Roman"/>
          <w:color w:val="000000"/>
          <w:kern w:val="0"/>
          <w:szCs w:val="24"/>
          <w14:ligatures w14:val="none"/>
        </w:rPr>
        <w:t xml:space="preserve">. The incentives related to referrals can offer multiple discounts related to friends and families and this motivates the guests to go to </w:t>
      </w:r>
      <w:r w:rsidR="00857DC3">
        <w:rPr>
          <w:rFonts w:eastAsia="Times New Roman" w:cs="Times New Roman"/>
          <w:color w:val="000000"/>
          <w:kern w:val="0"/>
          <w:szCs w:val="24"/>
          <w14:ligatures w14:val="none"/>
        </w:rPr>
        <w:t xml:space="preserve">the </w:t>
      </w:r>
      <w:r w:rsidRPr="00917FFD">
        <w:rPr>
          <w:rFonts w:eastAsia="Times New Roman" w:cs="Times New Roman"/>
          <w:color w:val="000000"/>
          <w:kern w:val="0"/>
          <w:szCs w:val="24"/>
          <w14:ligatures w14:val="none"/>
        </w:rPr>
        <w:t>lodge as a freebie. </w:t>
      </w:r>
    </w:p>
    <w:p w14:paraId="22DACDCB" w14:textId="77777777" w:rsidR="00917FFD" w:rsidRPr="00917FFD" w:rsidRDefault="00917FFD" w:rsidP="00917FFD">
      <w:pPr>
        <w:spacing w:after="0"/>
        <w:rPr>
          <w:rFonts w:eastAsia="Times New Roman" w:cs="Times New Roman"/>
          <w:kern w:val="0"/>
          <w:szCs w:val="24"/>
          <w14:ligatures w14:val="none"/>
        </w:rPr>
      </w:pPr>
      <w:r w:rsidRPr="00917FFD">
        <w:rPr>
          <w:rFonts w:eastAsia="Times New Roman" w:cs="Times New Roman"/>
          <w:b/>
          <w:bCs/>
          <w:color w:val="000000"/>
          <w:kern w:val="0"/>
          <w:szCs w:val="24"/>
          <w14:ligatures w14:val="none"/>
        </w:rPr>
        <w:t>Operational Excellence</w:t>
      </w:r>
    </w:p>
    <w:p w14:paraId="3F15AA21" w14:textId="36C6AF60" w:rsidR="00917FFD" w:rsidRPr="00917FFD" w:rsidRDefault="00917FFD" w:rsidP="003A740F">
      <w:pPr>
        <w:rPr>
          <w:shd w:val="clear" w:color="auto" w:fill="FFFFFF"/>
        </w:rPr>
      </w:pPr>
      <w:r w:rsidRPr="00917FFD">
        <w:rPr>
          <w:rFonts w:eastAsia="Times New Roman" w:cs="Times New Roman"/>
          <w:color w:val="000000"/>
          <w:kern w:val="0"/>
          <w:szCs w:val="24"/>
          <w14:ligatures w14:val="none"/>
        </w:rPr>
        <w:t xml:space="preserve">The training of the staff with the ongoing process of the training includes the employees including the process of understanding the standards of the service. The control of the quality includes the </w:t>
      </w:r>
      <w:r w:rsidRPr="00917FFD">
        <w:rPr>
          <w:rFonts w:eastAsia="Times New Roman" w:cs="Times New Roman"/>
          <w:color w:val="000000"/>
          <w:kern w:val="0"/>
          <w:szCs w:val="24"/>
          <w14:ligatures w14:val="none"/>
        </w:rPr>
        <w:lastRenderedPageBreak/>
        <w:t xml:space="preserve">overall inspection of the room </w:t>
      </w:r>
      <w:r w:rsidR="00857DC3">
        <w:rPr>
          <w:rFonts w:eastAsia="Times New Roman" w:cs="Times New Roman"/>
          <w:color w:val="000000"/>
          <w:kern w:val="0"/>
          <w:szCs w:val="24"/>
          <w14:ligatures w14:val="none"/>
        </w:rPr>
        <w:t xml:space="preserve">and </w:t>
      </w:r>
      <w:r w:rsidRPr="00917FFD">
        <w:rPr>
          <w:rFonts w:eastAsia="Times New Roman" w:cs="Times New Roman"/>
          <w:color w:val="000000"/>
          <w:kern w:val="0"/>
          <w:szCs w:val="24"/>
          <w14:ligatures w14:val="none"/>
        </w:rPr>
        <w:t>areas of dining with amenities facilities. The high maintenance can be interlinked based on the overall standards of the services and measures of safety. The loop of the process of feedback needs to include the staff and guests’ feedback including overall improvement drives</w:t>
      </w:r>
      <w:r w:rsidR="003A740F">
        <w:rPr>
          <w:rFonts w:eastAsia="Times New Roman" w:cs="Times New Roman"/>
          <w:color w:val="000000"/>
          <w:kern w:val="0"/>
          <w:szCs w:val="24"/>
          <w14:ligatures w14:val="none"/>
        </w:rPr>
        <w:t xml:space="preserve"> </w:t>
      </w:r>
      <w:r w:rsidR="003A740F">
        <w:rPr>
          <w:shd w:val="clear" w:color="auto" w:fill="FFFFFF"/>
        </w:rPr>
        <w:t xml:space="preserve">(Karmanov </w:t>
      </w:r>
      <w:r w:rsidR="003A740F">
        <w:rPr>
          <w:i/>
          <w:iCs/>
          <w:shd w:val="clear" w:color="auto" w:fill="FFFFFF"/>
        </w:rPr>
        <w:t>et al</w:t>
      </w:r>
      <w:r w:rsidR="003A740F">
        <w:rPr>
          <w:shd w:val="clear" w:color="auto" w:fill="FFFFFF"/>
        </w:rPr>
        <w:t>., 2020)</w:t>
      </w:r>
      <w:r w:rsidRPr="00917FFD">
        <w:rPr>
          <w:rFonts w:eastAsia="Times New Roman" w:cs="Times New Roman"/>
          <w:color w:val="000000"/>
          <w:kern w:val="0"/>
          <w:szCs w:val="24"/>
          <w14:ligatures w14:val="none"/>
        </w:rPr>
        <w:t>. </w:t>
      </w:r>
    </w:p>
    <w:p w14:paraId="275D1449" w14:textId="77777777" w:rsidR="00917FFD" w:rsidRPr="00917FFD" w:rsidRDefault="00917FFD" w:rsidP="003A740F"/>
    <w:p w14:paraId="32C4194D" w14:textId="77777777" w:rsidR="0040366D" w:rsidRDefault="0040366D">
      <w:pPr>
        <w:spacing w:line="259" w:lineRule="auto"/>
        <w:jc w:val="left"/>
        <w:rPr>
          <w:rFonts w:eastAsia="Arial" w:cs="Arial"/>
          <w:b/>
          <w:kern w:val="0"/>
          <w:sz w:val="28"/>
          <w:szCs w:val="40"/>
          <w:lang w:val="en"/>
          <w14:ligatures w14:val="none"/>
        </w:rPr>
      </w:pPr>
      <w:bookmarkStart w:id="13" w:name="_Toc158327535"/>
      <w:bookmarkStart w:id="14" w:name="_Toc158327708"/>
      <w:r>
        <w:br w:type="page"/>
      </w:r>
    </w:p>
    <w:p w14:paraId="0523C1A7" w14:textId="617A7AC1" w:rsidR="00917FFD" w:rsidRPr="00917FFD" w:rsidRDefault="00917FFD" w:rsidP="003A740F">
      <w:pPr>
        <w:pStyle w:val="Heading1"/>
        <w:rPr>
          <w:szCs w:val="24"/>
        </w:rPr>
      </w:pPr>
      <w:r w:rsidRPr="00917FFD">
        <w:lastRenderedPageBreak/>
        <w:t>Conclusion</w:t>
      </w:r>
      <w:bookmarkEnd w:id="13"/>
      <w:bookmarkEnd w:id="14"/>
      <w:r w:rsidRPr="00917FFD">
        <w:t> </w:t>
      </w:r>
    </w:p>
    <w:p w14:paraId="47C8CD1A" w14:textId="0328E0B3" w:rsidR="00917FFD" w:rsidRDefault="00917FFD" w:rsidP="00917FFD">
      <w:pPr>
        <w:spacing w:after="0"/>
        <w:rPr>
          <w:rFonts w:eastAsia="Times New Roman" w:cs="Times New Roman"/>
          <w:color w:val="000000"/>
          <w:kern w:val="0"/>
          <w:szCs w:val="24"/>
          <w14:ligatures w14:val="none"/>
        </w:rPr>
      </w:pPr>
      <w:r w:rsidRPr="00917FFD">
        <w:rPr>
          <w:rFonts w:eastAsia="Times New Roman" w:cs="Times New Roman"/>
          <w:color w:val="000000"/>
          <w:kern w:val="0"/>
          <w:szCs w:val="24"/>
          <w14:ligatures w14:val="none"/>
        </w:rPr>
        <w:t xml:space="preserve">The case study has suggested that the strategy of turnaround of the business can be possible based on the overall enhancement of the services. The consumers’ reviewing process related to enhancing quality services of the lodge and the amenities </w:t>
      </w:r>
      <w:r w:rsidR="00857DC3" w:rsidRPr="00917FFD">
        <w:rPr>
          <w:rFonts w:eastAsia="Times New Roman" w:cs="Times New Roman"/>
          <w:color w:val="000000"/>
          <w:kern w:val="0"/>
          <w:szCs w:val="24"/>
          <w14:ligatures w14:val="none"/>
        </w:rPr>
        <w:t>updating</w:t>
      </w:r>
      <w:r w:rsidRPr="00917FFD">
        <w:rPr>
          <w:rFonts w:eastAsia="Times New Roman" w:cs="Times New Roman"/>
          <w:color w:val="000000"/>
          <w:kern w:val="0"/>
          <w:szCs w:val="24"/>
          <w14:ligatures w14:val="none"/>
        </w:rPr>
        <w:t xml:space="preserve"> can be possible to revive the business. The optimisation of the costs with operation of streamline can be underlined based on the suppliers’ negotiation process including payment manageable process. The generation of the revenue can be underlined based on the overall price revisiting related to services including promotion of innovative services including the requirements of the overall consumers of the contemporary world. It is also important to revive the overall online channels to promote the business including the leverage process of the brand. </w:t>
      </w:r>
      <w:r w:rsidR="00857DC3" w:rsidRPr="00917FFD">
        <w:rPr>
          <w:rFonts w:eastAsia="Times New Roman" w:cs="Times New Roman"/>
          <w:color w:val="000000"/>
          <w:kern w:val="0"/>
          <w:szCs w:val="24"/>
          <w14:ligatures w14:val="none"/>
        </w:rPr>
        <w:t>Overall,</w:t>
      </w:r>
      <w:r w:rsidRPr="00917FFD">
        <w:rPr>
          <w:rFonts w:eastAsia="Times New Roman" w:cs="Times New Roman"/>
          <w:color w:val="000000"/>
          <w:kern w:val="0"/>
          <w:szCs w:val="24"/>
          <w14:ligatures w14:val="none"/>
        </w:rPr>
        <w:t xml:space="preserve"> the adaptation of the cost optimisation, strategic position and profit regain process includes the methods of the business upholding process. The business also needs to enhance the overall lrea-world scenario including the dynamics requirement related to the overall turnaround of the successful business. It also needs to assess the overall business turnaround with advancements of the technology and give proper training to employees. The discussion can elucidate the overall techniques related to the reviving process of the business. </w:t>
      </w:r>
    </w:p>
    <w:p w14:paraId="31F4B2A6" w14:textId="77777777" w:rsidR="00917FFD" w:rsidRDefault="00917FFD">
      <w:pPr>
        <w:spacing w:line="259" w:lineRule="auto"/>
        <w:jc w:val="left"/>
        <w:rPr>
          <w:rFonts w:eastAsia="Times New Roman" w:cs="Times New Roman"/>
          <w:color w:val="000000"/>
          <w:kern w:val="0"/>
          <w:szCs w:val="24"/>
          <w14:ligatures w14:val="none"/>
        </w:rPr>
      </w:pPr>
      <w:r>
        <w:rPr>
          <w:rFonts w:eastAsia="Times New Roman" w:cs="Times New Roman"/>
          <w:color w:val="000000"/>
          <w:kern w:val="0"/>
          <w:szCs w:val="24"/>
          <w14:ligatures w14:val="none"/>
        </w:rPr>
        <w:br w:type="page"/>
      </w:r>
    </w:p>
    <w:p w14:paraId="7904A62E" w14:textId="6F4DF3C6" w:rsidR="00917FFD" w:rsidRDefault="00917FFD" w:rsidP="00917FFD">
      <w:pPr>
        <w:pStyle w:val="Heading1"/>
      </w:pPr>
      <w:bookmarkStart w:id="15" w:name="_Toc158327536"/>
      <w:bookmarkStart w:id="16" w:name="_Toc158327709"/>
      <w:r w:rsidRPr="00917FFD">
        <w:lastRenderedPageBreak/>
        <w:t>References</w:t>
      </w:r>
      <w:bookmarkEnd w:id="15"/>
      <w:bookmarkEnd w:id="16"/>
    </w:p>
    <w:p w14:paraId="58CA3954" w14:textId="77777777" w:rsidR="00D52CFF" w:rsidRDefault="00D52CFF" w:rsidP="007D0139">
      <w:pPr>
        <w:rPr>
          <w:shd w:val="clear" w:color="auto" w:fill="FFFFFF"/>
        </w:rPr>
      </w:pPr>
      <w:r>
        <w:rPr>
          <w:shd w:val="clear" w:color="auto" w:fill="FFFFFF"/>
        </w:rPr>
        <w:t>Abebe, M.A., Tangpong, C. and Ndofor, H., (2021). Hitting the ‘reset button’: The role of digital reorientation in successful turnarounds. </w:t>
      </w:r>
      <w:r>
        <w:rPr>
          <w:i/>
          <w:iCs/>
          <w:shd w:val="clear" w:color="auto" w:fill="FFFFFF"/>
        </w:rPr>
        <w:t>Long Range Planning</w:t>
      </w:r>
      <w:r>
        <w:rPr>
          <w:shd w:val="clear" w:color="auto" w:fill="FFFFFF"/>
        </w:rPr>
        <w:t xml:space="preserve">, p.102102.   </w:t>
      </w:r>
    </w:p>
    <w:p w14:paraId="61063F94" w14:textId="77777777" w:rsidR="00D52CFF" w:rsidRDefault="00D52CFF" w:rsidP="007D0139">
      <w:pPr>
        <w:rPr>
          <w:shd w:val="clear" w:color="auto" w:fill="FFFFFF"/>
        </w:rPr>
      </w:pPr>
      <w:r>
        <w:rPr>
          <w:shd w:val="clear" w:color="auto" w:fill="FFFFFF"/>
        </w:rPr>
        <w:t>Akaev, A., Malkov, S., Davydova, O., Kovaleva, N., Malkov, A., Grinin, L. and Korotayev, A., (2023). Modelling social self-organization and historical dynamics. Industrial society. In </w:t>
      </w:r>
      <w:r>
        <w:rPr>
          <w:i/>
          <w:iCs/>
          <w:shd w:val="clear" w:color="auto" w:fill="FFFFFF"/>
        </w:rPr>
        <w:t>Reconsidering the Limits to Growth: A Report to the Russian Association of the Club of Rome</w:t>
      </w:r>
      <w:r>
        <w:rPr>
          <w:shd w:val="clear" w:color="auto" w:fill="FFFFFF"/>
        </w:rPr>
        <w:t xml:space="preserve"> (pp. 337-385). Cham: Springer International Publishing.  </w:t>
      </w:r>
    </w:p>
    <w:p w14:paraId="47C1F877" w14:textId="77777777" w:rsidR="00D52CFF" w:rsidRDefault="00D52CFF" w:rsidP="007D0139">
      <w:pPr>
        <w:rPr>
          <w:shd w:val="clear" w:color="auto" w:fill="FFFFFF"/>
        </w:rPr>
      </w:pPr>
      <w:r>
        <w:rPr>
          <w:shd w:val="clear" w:color="auto" w:fill="FFFFFF"/>
        </w:rPr>
        <w:t>Bodolica, V. and Spraggon, M., (2021). Leadership in times of organizational decline: a literature review of antecedents, consequences and moderators. </w:t>
      </w:r>
      <w:r>
        <w:rPr>
          <w:i/>
          <w:iCs/>
          <w:shd w:val="clear" w:color="auto" w:fill="FFFFFF"/>
        </w:rPr>
        <w:t>International Journal of Organizational Analysis</w:t>
      </w:r>
      <w:r>
        <w:rPr>
          <w:shd w:val="clear" w:color="auto" w:fill="FFFFFF"/>
        </w:rPr>
        <w:t>, </w:t>
      </w:r>
      <w:r>
        <w:rPr>
          <w:i/>
          <w:iCs/>
          <w:shd w:val="clear" w:color="auto" w:fill="FFFFFF"/>
        </w:rPr>
        <w:t>29</w:t>
      </w:r>
      <w:r>
        <w:rPr>
          <w:shd w:val="clear" w:color="auto" w:fill="FFFFFF"/>
        </w:rPr>
        <w:t xml:space="preserve">(2), pp.415-435.  </w:t>
      </w:r>
    </w:p>
    <w:p w14:paraId="7765D60D" w14:textId="77777777" w:rsidR="00D52CFF" w:rsidRDefault="00D52CFF" w:rsidP="007D0139">
      <w:pPr>
        <w:rPr>
          <w:shd w:val="clear" w:color="auto" w:fill="FFFFFF"/>
        </w:rPr>
      </w:pPr>
      <w:r>
        <w:rPr>
          <w:shd w:val="clear" w:color="auto" w:fill="FFFFFF"/>
        </w:rPr>
        <w:t>Jatmiko, H., (2022). Recovery Strategies of Tourism Businesses in COVID-19 Pandemic in Indonesia. </w:t>
      </w:r>
      <w:r>
        <w:rPr>
          <w:i/>
          <w:iCs/>
          <w:shd w:val="clear" w:color="auto" w:fill="FFFFFF"/>
        </w:rPr>
        <w:t>Jurnal Kepariwisataan: Destinasi, Hospitalitas dan Perjalanan</w:t>
      </w:r>
      <w:r>
        <w:rPr>
          <w:shd w:val="clear" w:color="auto" w:fill="FFFFFF"/>
        </w:rPr>
        <w:t>, </w:t>
      </w:r>
      <w:r>
        <w:rPr>
          <w:i/>
          <w:iCs/>
          <w:shd w:val="clear" w:color="auto" w:fill="FFFFFF"/>
        </w:rPr>
        <w:t>6</w:t>
      </w:r>
      <w:r>
        <w:rPr>
          <w:shd w:val="clear" w:color="auto" w:fill="FFFFFF"/>
        </w:rPr>
        <w:t xml:space="preserve">(1), pp.44-52. </w:t>
      </w:r>
    </w:p>
    <w:p w14:paraId="18D1B559" w14:textId="77777777" w:rsidR="00D52CFF" w:rsidRDefault="00D52CFF" w:rsidP="007D0139">
      <w:pPr>
        <w:rPr>
          <w:shd w:val="clear" w:color="auto" w:fill="FFFFFF"/>
        </w:rPr>
      </w:pPr>
      <w:r>
        <w:rPr>
          <w:shd w:val="clear" w:color="auto" w:fill="FFFFFF"/>
        </w:rPr>
        <w:t>Karmanov, M.V., Kiseleva, I.A., Kuznetsov, V.I., Zavrazhin, A.V. and Shubina, I.V., (2020). The process of innovation diffusion and adoption of innovations in the business modelling for travel companies. </w:t>
      </w:r>
      <w:r>
        <w:rPr>
          <w:i/>
          <w:iCs/>
          <w:shd w:val="clear" w:color="auto" w:fill="FFFFFF"/>
        </w:rPr>
        <w:t>Journal of Environmental Management &amp; Tourism</w:t>
      </w:r>
      <w:r>
        <w:rPr>
          <w:shd w:val="clear" w:color="auto" w:fill="FFFFFF"/>
        </w:rPr>
        <w:t>, </w:t>
      </w:r>
      <w:r>
        <w:rPr>
          <w:i/>
          <w:iCs/>
          <w:shd w:val="clear" w:color="auto" w:fill="FFFFFF"/>
        </w:rPr>
        <w:t>11</w:t>
      </w:r>
      <w:r>
        <w:rPr>
          <w:shd w:val="clear" w:color="auto" w:fill="FFFFFF"/>
        </w:rPr>
        <w:t xml:space="preserve">(2 (42)), pp.346-354.  </w:t>
      </w:r>
    </w:p>
    <w:p w14:paraId="4026DE4A" w14:textId="77777777" w:rsidR="00D52CFF" w:rsidRDefault="00D52CFF" w:rsidP="007D0139">
      <w:pPr>
        <w:rPr>
          <w:shd w:val="clear" w:color="auto" w:fill="FFFFFF"/>
        </w:rPr>
      </w:pPr>
      <w:r>
        <w:rPr>
          <w:shd w:val="clear" w:color="auto" w:fill="FFFFFF"/>
        </w:rPr>
        <w:t>Miglani, S., Ahmed, K. and Henry, D., (2020). Corporate governance and turnaround: Evidence from Australia. </w:t>
      </w:r>
      <w:r>
        <w:rPr>
          <w:i/>
          <w:iCs/>
          <w:shd w:val="clear" w:color="auto" w:fill="FFFFFF"/>
        </w:rPr>
        <w:t>Australian Journal of Management</w:t>
      </w:r>
      <w:r>
        <w:rPr>
          <w:shd w:val="clear" w:color="auto" w:fill="FFFFFF"/>
        </w:rPr>
        <w:t>, </w:t>
      </w:r>
      <w:r>
        <w:rPr>
          <w:i/>
          <w:iCs/>
          <w:shd w:val="clear" w:color="auto" w:fill="FFFFFF"/>
        </w:rPr>
        <w:t>45</w:t>
      </w:r>
      <w:r>
        <w:rPr>
          <w:shd w:val="clear" w:color="auto" w:fill="FFFFFF"/>
        </w:rPr>
        <w:t xml:space="preserve">(4), pp.549-578.  </w:t>
      </w:r>
    </w:p>
    <w:p w14:paraId="2E2A973F" w14:textId="77777777" w:rsidR="00D52CFF" w:rsidRDefault="00D52CFF" w:rsidP="007D0139">
      <w:pPr>
        <w:rPr>
          <w:shd w:val="clear" w:color="auto" w:fill="FFFFFF"/>
        </w:rPr>
      </w:pPr>
      <w:r>
        <w:rPr>
          <w:shd w:val="clear" w:color="auto" w:fill="FFFFFF"/>
        </w:rPr>
        <w:t>Nyagiloh, K.A. and Kilika, J.M., (2020). Theoretical review of the turnaround strategy and its organizational outcomes. </w:t>
      </w:r>
      <w:r>
        <w:rPr>
          <w:i/>
          <w:iCs/>
          <w:shd w:val="clear" w:color="auto" w:fill="FFFFFF"/>
        </w:rPr>
        <w:t>Available at SSRN 3514730</w:t>
      </w:r>
      <w:r>
        <w:rPr>
          <w:shd w:val="clear" w:color="auto" w:fill="FFFFFF"/>
        </w:rPr>
        <w:t xml:space="preserve">.  </w:t>
      </w:r>
    </w:p>
    <w:p w14:paraId="32F927FA" w14:textId="77777777" w:rsidR="00D52CFF" w:rsidRDefault="00D52CFF" w:rsidP="007D0139">
      <w:pPr>
        <w:rPr>
          <w:shd w:val="clear" w:color="auto" w:fill="FFFFFF"/>
        </w:rPr>
      </w:pPr>
      <w:r>
        <w:rPr>
          <w:shd w:val="clear" w:color="auto" w:fill="FFFFFF"/>
        </w:rPr>
        <w:lastRenderedPageBreak/>
        <w:t>Ozdemir, O., Dogru, T., Kizildag, M., Mody, M. and Suess, C., (2021). Quantifying the economic impact of COVID-19 on the US hotel industry: Examination of hotel segments and operational structures. </w:t>
      </w:r>
      <w:r>
        <w:rPr>
          <w:i/>
          <w:iCs/>
          <w:shd w:val="clear" w:color="auto" w:fill="FFFFFF"/>
        </w:rPr>
        <w:t>Tourism Management Perspectives</w:t>
      </w:r>
      <w:r>
        <w:rPr>
          <w:shd w:val="clear" w:color="auto" w:fill="FFFFFF"/>
        </w:rPr>
        <w:t>, </w:t>
      </w:r>
      <w:r>
        <w:rPr>
          <w:i/>
          <w:iCs/>
          <w:shd w:val="clear" w:color="auto" w:fill="FFFFFF"/>
        </w:rPr>
        <w:t>39</w:t>
      </w:r>
      <w:r>
        <w:rPr>
          <w:shd w:val="clear" w:color="auto" w:fill="FFFFFF"/>
        </w:rPr>
        <w:t xml:space="preserve">, p.100864. h  </w:t>
      </w:r>
    </w:p>
    <w:p w14:paraId="1B7F5E5D" w14:textId="77777777" w:rsidR="00D52CFF" w:rsidRDefault="00D52CFF" w:rsidP="007D0139">
      <w:pPr>
        <w:rPr>
          <w:shd w:val="clear" w:color="auto" w:fill="FFFFFF"/>
        </w:rPr>
      </w:pPr>
      <w:r>
        <w:rPr>
          <w:shd w:val="clear" w:color="auto" w:fill="FFFFFF"/>
        </w:rPr>
        <w:t>Redding, C. and Nguyen, T.D., (2020). The relationship between school turnaround and student outcomes: A meta-analysis. </w:t>
      </w:r>
      <w:r>
        <w:rPr>
          <w:i/>
          <w:iCs/>
          <w:shd w:val="clear" w:color="auto" w:fill="FFFFFF"/>
        </w:rPr>
        <w:t>Educational Evaluation and Policy Analysis</w:t>
      </w:r>
      <w:r>
        <w:rPr>
          <w:shd w:val="clear" w:color="auto" w:fill="FFFFFF"/>
        </w:rPr>
        <w:t>, </w:t>
      </w:r>
      <w:r>
        <w:rPr>
          <w:i/>
          <w:iCs/>
          <w:shd w:val="clear" w:color="auto" w:fill="FFFFFF"/>
        </w:rPr>
        <w:t>42</w:t>
      </w:r>
      <w:r>
        <w:rPr>
          <w:shd w:val="clear" w:color="auto" w:fill="FFFFFF"/>
        </w:rPr>
        <w:t xml:space="preserve">(4), pp.493-519.  </w:t>
      </w:r>
    </w:p>
    <w:p w14:paraId="0053E6A3" w14:textId="77777777" w:rsidR="00D52CFF" w:rsidRDefault="00D52CFF" w:rsidP="007D0139">
      <w:pPr>
        <w:rPr>
          <w:shd w:val="clear" w:color="auto" w:fill="FFFFFF"/>
        </w:rPr>
      </w:pPr>
      <w:r>
        <w:rPr>
          <w:shd w:val="clear" w:color="auto" w:fill="FFFFFF"/>
        </w:rPr>
        <w:t>Schwab, K., (2021). </w:t>
      </w:r>
      <w:r>
        <w:rPr>
          <w:i/>
          <w:iCs/>
          <w:shd w:val="clear" w:color="auto" w:fill="FFFFFF"/>
        </w:rPr>
        <w:t>Stakeholder capitalism: A global economy that works for progress, people and planet</w:t>
      </w:r>
      <w:r>
        <w:rPr>
          <w:shd w:val="clear" w:color="auto" w:fill="FFFFFF"/>
        </w:rPr>
        <w:t>. John Wiley &amp; Sons.  (Schwab, 2021)</w:t>
      </w:r>
    </w:p>
    <w:p w14:paraId="2DC3AE51" w14:textId="77777777" w:rsidR="00D52CFF" w:rsidRDefault="00D52CFF" w:rsidP="007D0139">
      <w:pPr>
        <w:rPr>
          <w:shd w:val="clear" w:color="auto" w:fill="FFFFFF"/>
        </w:rPr>
      </w:pPr>
      <w:r>
        <w:rPr>
          <w:shd w:val="clear" w:color="auto" w:fill="FFFFFF"/>
        </w:rPr>
        <w:t>Struckell, E., Ojha, D., Patel, P.C. and Dhir, A., (2022). Strategic choice in times of stagnant growth and uncertainty: An institutional theory and organizational change perspective. </w:t>
      </w:r>
      <w:r>
        <w:rPr>
          <w:i/>
          <w:iCs/>
          <w:shd w:val="clear" w:color="auto" w:fill="FFFFFF"/>
        </w:rPr>
        <w:t>Technological Forecasting and Social Change</w:t>
      </w:r>
      <w:r>
        <w:rPr>
          <w:shd w:val="clear" w:color="auto" w:fill="FFFFFF"/>
        </w:rPr>
        <w:t>, </w:t>
      </w:r>
      <w:r>
        <w:rPr>
          <w:i/>
          <w:iCs/>
          <w:shd w:val="clear" w:color="auto" w:fill="FFFFFF"/>
        </w:rPr>
        <w:t>182</w:t>
      </w:r>
      <w:r>
        <w:rPr>
          <w:shd w:val="clear" w:color="auto" w:fill="FFFFFF"/>
        </w:rPr>
        <w:t xml:space="preserve">, p.121839.    </w:t>
      </w:r>
    </w:p>
    <w:p w14:paraId="47032E9F" w14:textId="77777777" w:rsidR="00D52CFF" w:rsidRDefault="00D52CFF" w:rsidP="007D0139">
      <w:pPr>
        <w:rPr>
          <w:shd w:val="clear" w:color="auto" w:fill="FFFFFF"/>
        </w:rPr>
      </w:pPr>
      <w:r>
        <w:rPr>
          <w:shd w:val="clear" w:color="auto" w:fill="FFFFFF"/>
        </w:rPr>
        <w:t>Wijantini, W., (2020). Strategy for Recovery from Indonesian Financially Distressed Companies in Crisis. </w:t>
      </w:r>
      <w:r>
        <w:rPr>
          <w:i/>
          <w:iCs/>
          <w:shd w:val="clear" w:color="auto" w:fill="FFFFFF"/>
        </w:rPr>
        <w:t>International Research Journal of Business Studies</w:t>
      </w:r>
      <w:r>
        <w:rPr>
          <w:shd w:val="clear" w:color="auto" w:fill="FFFFFF"/>
        </w:rPr>
        <w:t>, </w:t>
      </w:r>
      <w:r>
        <w:rPr>
          <w:i/>
          <w:iCs/>
          <w:shd w:val="clear" w:color="auto" w:fill="FFFFFF"/>
        </w:rPr>
        <w:t>13</w:t>
      </w:r>
      <w:r>
        <w:rPr>
          <w:shd w:val="clear" w:color="auto" w:fill="FFFFFF"/>
        </w:rPr>
        <w:t xml:space="preserve">(1), pp.49-62.  </w:t>
      </w:r>
    </w:p>
    <w:p w14:paraId="5F781EA6" w14:textId="77777777" w:rsidR="00857DC3" w:rsidRPr="00857DC3" w:rsidRDefault="00857DC3" w:rsidP="00857DC3">
      <w:pPr>
        <w:rPr>
          <w:lang w:val="en"/>
        </w:rPr>
      </w:pPr>
    </w:p>
    <w:p w14:paraId="6D614C71" w14:textId="77777777" w:rsidR="00857DC3" w:rsidRPr="00857DC3" w:rsidRDefault="00857DC3" w:rsidP="00857DC3">
      <w:pPr>
        <w:rPr>
          <w:lang w:val="en"/>
        </w:rPr>
      </w:pPr>
    </w:p>
    <w:p w14:paraId="203F0FDF" w14:textId="77777777" w:rsidR="00857DC3" w:rsidRPr="00857DC3" w:rsidRDefault="00857DC3" w:rsidP="00857DC3">
      <w:pPr>
        <w:rPr>
          <w:lang w:val="en"/>
        </w:rPr>
      </w:pPr>
    </w:p>
    <w:p w14:paraId="18BCB42F" w14:textId="4CE86129" w:rsidR="007E1808" w:rsidRPr="002B483B" w:rsidRDefault="00917FFD" w:rsidP="00917FFD">
      <w:pPr>
        <w:rPr>
          <w:rFonts w:ascii="Arial" w:hAnsi="Arial" w:cs="Arial"/>
          <w:color w:val="222222"/>
          <w:sz w:val="20"/>
          <w:szCs w:val="20"/>
          <w:shd w:val="clear" w:color="auto" w:fill="FFFFFF"/>
        </w:rPr>
      </w:pPr>
      <w:r w:rsidRPr="00917FFD">
        <w:rPr>
          <w:rFonts w:eastAsia="Times New Roman" w:cs="Times New Roman"/>
          <w:kern w:val="0"/>
          <w:szCs w:val="24"/>
          <w14:ligatures w14:val="none"/>
        </w:rPr>
        <w:br/>
      </w:r>
    </w:p>
    <w:sectPr w:rsidR="007E1808" w:rsidRPr="002B483B" w:rsidSect="00857DAB">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B76DB0" w14:textId="77777777" w:rsidR="00857DAB" w:rsidRDefault="00857DAB" w:rsidP="00D52CFF">
      <w:pPr>
        <w:spacing w:after="0" w:line="240" w:lineRule="auto"/>
      </w:pPr>
      <w:r>
        <w:separator/>
      </w:r>
    </w:p>
  </w:endnote>
  <w:endnote w:type="continuationSeparator" w:id="0">
    <w:p w14:paraId="13BDA340" w14:textId="77777777" w:rsidR="00857DAB" w:rsidRDefault="00857DAB" w:rsidP="00D52C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29858887"/>
      <w:docPartObj>
        <w:docPartGallery w:val="Page Numbers (Bottom of Page)"/>
        <w:docPartUnique/>
      </w:docPartObj>
    </w:sdtPr>
    <w:sdtEndPr/>
    <w:sdtContent>
      <w:sdt>
        <w:sdtPr>
          <w:id w:val="-1769616900"/>
          <w:docPartObj>
            <w:docPartGallery w:val="Page Numbers (Top of Page)"/>
            <w:docPartUnique/>
          </w:docPartObj>
        </w:sdtPr>
        <w:sdtEndPr/>
        <w:sdtContent>
          <w:p w14:paraId="293DD3B3" w14:textId="4CFE9983" w:rsidR="00D52CFF" w:rsidRDefault="00D52CFF">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5475C8F" w14:textId="77777777" w:rsidR="00D52CFF" w:rsidRDefault="00D52C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CB02ED" w14:textId="77777777" w:rsidR="00857DAB" w:rsidRDefault="00857DAB" w:rsidP="00D52CFF">
      <w:pPr>
        <w:spacing w:after="0" w:line="240" w:lineRule="auto"/>
      </w:pPr>
      <w:r>
        <w:separator/>
      </w:r>
    </w:p>
  </w:footnote>
  <w:footnote w:type="continuationSeparator" w:id="0">
    <w:p w14:paraId="44AAFE9D" w14:textId="77777777" w:rsidR="00857DAB" w:rsidRDefault="00857DAB" w:rsidP="00D52C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0E6805" w14:textId="6A4CFC4A" w:rsidR="00D52CFF" w:rsidRDefault="00D52CFF" w:rsidP="00D52CFF">
    <w:pPr>
      <w:jc w:val="right"/>
    </w:pPr>
    <w:r>
      <w:rPr>
        <w:shd w:val="clear" w:color="auto" w:fill="FFFFFF"/>
      </w:rPr>
      <w:t> Financial Management for the Hotel Industry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FFD"/>
    <w:rsid w:val="001035A2"/>
    <w:rsid w:val="00110D71"/>
    <w:rsid w:val="00286BBA"/>
    <w:rsid w:val="002B483B"/>
    <w:rsid w:val="003A740F"/>
    <w:rsid w:val="003B4034"/>
    <w:rsid w:val="003F05E1"/>
    <w:rsid w:val="003F34D2"/>
    <w:rsid w:val="0040366D"/>
    <w:rsid w:val="00455183"/>
    <w:rsid w:val="00556C05"/>
    <w:rsid w:val="005C691F"/>
    <w:rsid w:val="005F1B89"/>
    <w:rsid w:val="007D0139"/>
    <w:rsid w:val="007E1808"/>
    <w:rsid w:val="00857DAB"/>
    <w:rsid w:val="00857DC3"/>
    <w:rsid w:val="00917FFD"/>
    <w:rsid w:val="009710C4"/>
    <w:rsid w:val="00A2438B"/>
    <w:rsid w:val="00AA7688"/>
    <w:rsid w:val="00D52CFF"/>
    <w:rsid w:val="00E65EAA"/>
    <w:rsid w:val="00E86A3A"/>
    <w:rsid w:val="00E91EA2"/>
    <w:rsid w:val="00FF73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8E4F273"/>
  <w15:docId w15:val="{4B58DB3C-B171-40A6-AD95-9B17114E0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4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5C691F"/>
    <w:pPr>
      <w:keepNext/>
      <w:keepLines/>
      <w:spacing w:before="400" w:after="120"/>
      <w:outlineLvl w:val="0"/>
    </w:pPr>
    <w:rPr>
      <w:rFonts w:eastAsia="Arial" w:cs="Arial"/>
      <w:b/>
      <w:kern w:val="0"/>
      <w:sz w:val="28"/>
      <w:szCs w:val="40"/>
      <w:lang w:val="en"/>
      <w14:ligatures w14:val="none"/>
    </w:rPr>
  </w:style>
  <w:style w:type="paragraph" w:styleId="Heading2">
    <w:name w:val="heading 2"/>
    <w:basedOn w:val="Normal"/>
    <w:next w:val="Normal"/>
    <w:link w:val="Heading2Char"/>
    <w:uiPriority w:val="9"/>
    <w:unhideWhenUsed/>
    <w:qFormat/>
    <w:rsid w:val="005C691F"/>
    <w:pPr>
      <w:keepNext/>
      <w:keepLines/>
      <w:spacing w:before="360" w:after="120"/>
      <w:outlineLvl w:val="1"/>
    </w:pPr>
    <w:rPr>
      <w:rFonts w:eastAsia="Arial" w:cs="Arial"/>
      <w:b/>
      <w:kern w:val="0"/>
      <w:sz w:val="26"/>
      <w:szCs w:val="32"/>
      <w:lang w:val="en"/>
      <w14:ligatures w14:val="none"/>
    </w:rPr>
  </w:style>
  <w:style w:type="paragraph" w:styleId="Heading3">
    <w:name w:val="heading 3"/>
    <w:basedOn w:val="Normal"/>
    <w:link w:val="Heading3Char"/>
    <w:uiPriority w:val="9"/>
    <w:qFormat/>
    <w:rsid w:val="00917FFD"/>
    <w:pPr>
      <w:spacing w:before="100" w:beforeAutospacing="1" w:after="100" w:afterAutospacing="1" w:line="240" w:lineRule="auto"/>
      <w:jc w:val="left"/>
      <w:outlineLvl w:val="2"/>
    </w:pPr>
    <w:rPr>
      <w:rFonts w:eastAsia="Times New Roman" w:cs="Times New Roman"/>
      <w:b/>
      <w:bCs/>
      <w:kern w:val="0"/>
      <w:sz w:val="27"/>
      <w:szCs w:val="27"/>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691F"/>
    <w:rPr>
      <w:rFonts w:ascii="Times New Roman" w:eastAsia="Arial" w:hAnsi="Times New Roman" w:cs="Arial"/>
      <w:b/>
      <w:kern w:val="0"/>
      <w:sz w:val="28"/>
      <w:szCs w:val="40"/>
      <w:lang w:val="en"/>
      <w14:ligatures w14:val="none"/>
    </w:rPr>
  </w:style>
  <w:style w:type="character" w:customStyle="1" w:styleId="Heading2Char">
    <w:name w:val="Heading 2 Char"/>
    <w:basedOn w:val="DefaultParagraphFont"/>
    <w:link w:val="Heading2"/>
    <w:uiPriority w:val="9"/>
    <w:rsid w:val="005C691F"/>
    <w:rPr>
      <w:rFonts w:ascii="Times New Roman" w:eastAsia="Arial" w:hAnsi="Times New Roman" w:cs="Arial"/>
      <w:b/>
      <w:kern w:val="0"/>
      <w:sz w:val="26"/>
      <w:szCs w:val="32"/>
      <w:lang w:val="en"/>
      <w14:ligatures w14:val="none"/>
    </w:rPr>
  </w:style>
  <w:style w:type="character" w:customStyle="1" w:styleId="Heading3Char">
    <w:name w:val="Heading 3 Char"/>
    <w:basedOn w:val="DefaultParagraphFont"/>
    <w:link w:val="Heading3"/>
    <w:uiPriority w:val="9"/>
    <w:rsid w:val="00917FFD"/>
    <w:rPr>
      <w:rFonts w:ascii="Times New Roman" w:eastAsia="Times New Roman" w:hAnsi="Times New Roman" w:cs="Times New Roman"/>
      <w:b/>
      <w:bCs/>
      <w:kern w:val="0"/>
      <w:sz w:val="27"/>
      <w:szCs w:val="27"/>
      <w14:ligatures w14:val="none"/>
    </w:rPr>
  </w:style>
  <w:style w:type="paragraph" w:styleId="NormalWeb">
    <w:name w:val="Normal (Web)"/>
    <w:basedOn w:val="Normal"/>
    <w:uiPriority w:val="99"/>
    <w:semiHidden/>
    <w:unhideWhenUsed/>
    <w:rsid w:val="00917FFD"/>
    <w:pPr>
      <w:spacing w:before="100" w:beforeAutospacing="1" w:after="100" w:afterAutospacing="1" w:line="240" w:lineRule="auto"/>
      <w:jc w:val="left"/>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3A740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3A740F"/>
    <w:pPr>
      <w:spacing w:after="100"/>
    </w:pPr>
  </w:style>
  <w:style w:type="paragraph" w:styleId="TOC2">
    <w:name w:val="toc 2"/>
    <w:basedOn w:val="Normal"/>
    <w:next w:val="Normal"/>
    <w:autoRedefine/>
    <w:uiPriority w:val="39"/>
    <w:unhideWhenUsed/>
    <w:rsid w:val="003A740F"/>
    <w:pPr>
      <w:spacing w:after="100"/>
      <w:ind w:left="240"/>
    </w:pPr>
  </w:style>
  <w:style w:type="character" w:styleId="Hyperlink">
    <w:name w:val="Hyperlink"/>
    <w:basedOn w:val="DefaultParagraphFont"/>
    <w:uiPriority w:val="99"/>
    <w:unhideWhenUsed/>
    <w:rsid w:val="003A740F"/>
    <w:rPr>
      <w:color w:val="0563C1" w:themeColor="hyperlink"/>
      <w:u w:val="single"/>
    </w:rPr>
  </w:style>
  <w:style w:type="paragraph" w:styleId="Header">
    <w:name w:val="header"/>
    <w:basedOn w:val="Normal"/>
    <w:link w:val="HeaderChar"/>
    <w:uiPriority w:val="99"/>
    <w:unhideWhenUsed/>
    <w:rsid w:val="00D52C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D52CFF"/>
    <w:rPr>
      <w:rFonts w:ascii="Times New Roman" w:hAnsi="Times New Roman"/>
      <w:sz w:val="24"/>
    </w:rPr>
  </w:style>
  <w:style w:type="paragraph" w:styleId="Footer">
    <w:name w:val="footer"/>
    <w:basedOn w:val="Normal"/>
    <w:link w:val="FooterChar"/>
    <w:uiPriority w:val="99"/>
    <w:unhideWhenUsed/>
    <w:rsid w:val="00D52C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52CFF"/>
    <w:rPr>
      <w:rFonts w:ascii="Times New Roman" w:hAnsi="Times New Roman"/>
      <w:sz w:val="24"/>
    </w:rPr>
  </w:style>
  <w:style w:type="table" w:styleId="TableGrid">
    <w:name w:val="Table Grid"/>
    <w:basedOn w:val="TableNormal"/>
    <w:uiPriority w:val="39"/>
    <w:rsid w:val="004036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qFormat/>
    <w:rsid w:val="00A2438B"/>
    <w:pPr>
      <w:keepNext/>
      <w:keepLines/>
      <w:spacing w:after="60" w:line="276" w:lineRule="auto"/>
      <w:jc w:val="left"/>
    </w:pPr>
    <w:rPr>
      <w:rFonts w:ascii="Arial" w:eastAsia="Arial" w:hAnsi="Arial" w:cs="Arial"/>
      <w:kern w:val="0"/>
      <w:sz w:val="52"/>
      <w:szCs w:val="52"/>
      <w:lang w:val="en-GB" w:eastAsia="en-IN" w:bidi="hi-IN"/>
      <w14:ligatures w14:val="none"/>
    </w:rPr>
  </w:style>
  <w:style w:type="character" w:customStyle="1" w:styleId="TitleChar">
    <w:name w:val="Title Char"/>
    <w:basedOn w:val="DefaultParagraphFont"/>
    <w:link w:val="Title"/>
    <w:rsid w:val="00A2438B"/>
    <w:rPr>
      <w:rFonts w:ascii="Arial" w:eastAsia="Arial" w:hAnsi="Arial" w:cs="Arial"/>
      <w:kern w:val="0"/>
      <w:sz w:val="52"/>
      <w:szCs w:val="52"/>
      <w:lang w:val="en-GB" w:eastAsia="en-IN" w:bidi="hi-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33705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107863-C737-44BA-AE7D-B255AC0AC7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15</Pages>
  <Words>2434</Words>
  <Characters>14447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bristi rudra</dc:creator>
  <cp:keywords/>
  <dc:description/>
  <cp:lastModifiedBy>Ionut Paul Poltz</cp:lastModifiedBy>
  <cp:revision>10</cp:revision>
  <dcterms:created xsi:type="dcterms:W3CDTF">2024-02-09T05:50:00Z</dcterms:created>
  <dcterms:modified xsi:type="dcterms:W3CDTF">2024-02-29T16:34:00Z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a4c206880064a703acbc5541b75975681835ff3c9539c46ae5c95f75d7650b82</vt:lpwstr>
  </property>
</Properties>
</file>