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452FE" w14:textId="77777777" w:rsidR="00D63709" w:rsidRDefault="00D63709">
      <w:pPr>
        <w:spacing w:after="0" w:line="360" w:lineRule="auto"/>
        <w:ind w:firstLine="720"/>
        <w:rPr>
          <w:rFonts w:ascii="Arial" w:eastAsia="Arial" w:hAnsi="Arial" w:cs="Arial"/>
        </w:rPr>
      </w:pPr>
    </w:p>
    <w:p w14:paraId="2320CFB0" w14:textId="77777777" w:rsidR="00D63709" w:rsidRDefault="00D63709">
      <w:pPr>
        <w:spacing w:after="0" w:line="360" w:lineRule="auto"/>
        <w:ind w:firstLine="720"/>
        <w:rPr>
          <w:rFonts w:ascii="Arial" w:eastAsia="Arial" w:hAnsi="Arial" w:cs="Arial"/>
        </w:rPr>
      </w:pPr>
    </w:p>
    <w:p w14:paraId="3CCC5E9E" w14:textId="4E08FE5F" w:rsidR="00D63709" w:rsidRDefault="00D63709">
      <w:pPr>
        <w:spacing w:after="0" w:line="360" w:lineRule="auto"/>
        <w:ind w:firstLine="720"/>
        <w:rPr>
          <w:rFonts w:ascii="Arial" w:eastAsia="Arial" w:hAnsi="Arial" w:cs="Arial"/>
        </w:rPr>
      </w:pPr>
    </w:p>
    <w:p w14:paraId="4A1356E1" w14:textId="62F8E3CE" w:rsidR="00B26F5F" w:rsidRDefault="00B26F5F">
      <w:pPr>
        <w:spacing w:after="0" w:line="360" w:lineRule="auto"/>
        <w:ind w:firstLine="720"/>
        <w:rPr>
          <w:rFonts w:ascii="Arial" w:eastAsia="Arial" w:hAnsi="Arial" w:cs="Arial"/>
        </w:rPr>
      </w:pPr>
    </w:p>
    <w:p w14:paraId="01484F86" w14:textId="4E1F7A8E" w:rsidR="00B26F5F" w:rsidRDefault="00B26F5F">
      <w:pPr>
        <w:spacing w:after="0" w:line="360" w:lineRule="auto"/>
        <w:ind w:firstLine="720"/>
        <w:rPr>
          <w:rFonts w:ascii="Arial" w:eastAsia="Arial" w:hAnsi="Arial" w:cs="Arial"/>
        </w:rPr>
      </w:pPr>
    </w:p>
    <w:p w14:paraId="28AD803E" w14:textId="231D839F" w:rsidR="00B26F5F" w:rsidRDefault="00B26F5F">
      <w:pPr>
        <w:spacing w:after="0" w:line="360" w:lineRule="auto"/>
        <w:ind w:firstLine="720"/>
        <w:rPr>
          <w:rFonts w:ascii="Arial" w:eastAsia="Arial" w:hAnsi="Arial" w:cs="Arial"/>
        </w:rPr>
      </w:pPr>
    </w:p>
    <w:p w14:paraId="3E4F2DF9" w14:textId="7EA380AC" w:rsidR="00B26F5F" w:rsidRDefault="00B26F5F">
      <w:pPr>
        <w:spacing w:after="0" w:line="360" w:lineRule="auto"/>
        <w:ind w:firstLine="720"/>
        <w:rPr>
          <w:rFonts w:ascii="Arial" w:eastAsia="Arial" w:hAnsi="Arial" w:cs="Arial"/>
        </w:rPr>
      </w:pPr>
    </w:p>
    <w:p w14:paraId="3C0F9FB5" w14:textId="3E6EB327" w:rsidR="00B26F5F" w:rsidRDefault="00B26F5F">
      <w:pPr>
        <w:spacing w:after="0" w:line="360" w:lineRule="auto"/>
        <w:ind w:firstLine="720"/>
        <w:rPr>
          <w:rFonts w:ascii="Arial" w:eastAsia="Arial" w:hAnsi="Arial" w:cs="Arial"/>
        </w:rPr>
      </w:pPr>
    </w:p>
    <w:p w14:paraId="37DBB530" w14:textId="77777777" w:rsidR="00B26F5F" w:rsidRDefault="00B26F5F">
      <w:pPr>
        <w:spacing w:after="0" w:line="360" w:lineRule="auto"/>
        <w:ind w:firstLine="720"/>
        <w:rPr>
          <w:rFonts w:ascii="Arial" w:eastAsia="Arial" w:hAnsi="Arial" w:cs="Arial"/>
        </w:rPr>
      </w:pPr>
    </w:p>
    <w:p w14:paraId="07569869" w14:textId="77777777" w:rsidR="00D63709" w:rsidRDefault="00D63709">
      <w:pPr>
        <w:spacing w:after="0" w:line="360" w:lineRule="auto"/>
        <w:ind w:firstLine="720"/>
        <w:rPr>
          <w:rFonts w:ascii="Arial" w:eastAsia="Arial" w:hAnsi="Arial" w:cs="Arial"/>
        </w:rPr>
      </w:pPr>
    </w:p>
    <w:p w14:paraId="2021B2C9" w14:textId="6C8A8FF1" w:rsidR="00D63709" w:rsidRDefault="00137A00">
      <w:pPr>
        <w:spacing w:after="0" w:line="360" w:lineRule="auto"/>
        <w:ind w:firstLine="720"/>
        <w:jc w:val="center"/>
        <w:rPr>
          <w:rFonts w:ascii="Arial" w:eastAsia="Arial" w:hAnsi="Arial" w:cs="Arial"/>
        </w:rPr>
      </w:pPr>
      <w:r>
        <w:rPr>
          <w:rFonts w:ascii="Arial" w:eastAsia="Arial" w:hAnsi="Arial" w:cs="Arial"/>
        </w:rPr>
        <w:t>Mobilising Supp</w:t>
      </w:r>
      <w:r w:rsidR="00B26F5F">
        <w:rPr>
          <w:rFonts w:ascii="Arial" w:eastAsia="Arial" w:hAnsi="Arial" w:cs="Arial"/>
        </w:rPr>
        <w:t>ort</w:t>
      </w:r>
    </w:p>
    <w:p w14:paraId="6A9EB540" w14:textId="659C4DF6" w:rsidR="00B26F5F" w:rsidRDefault="00B26F5F">
      <w:pPr>
        <w:spacing w:after="0" w:line="360" w:lineRule="auto"/>
        <w:ind w:firstLine="720"/>
        <w:jc w:val="center"/>
        <w:rPr>
          <w:rFonts w:ascii="Arial" w:eastAsia="Arial" w:hAnsi="Arial" w:cs="Arial"/>
        </w:rPr>
      </w:pPr>
    </w:p>
    <w:p w14:paraId="3867BDEB" w14:textId="63A1CE22" w:rsidR="00B26F5F" w:rsidRDefault="00B26F5F">
      <w:pPr>
        <w:spacing w:after="0" w:line="360" w:lineRule="auto"/>
        <w:ind w:firstLine="720"/>
        <w:jc w:val="center"/>
        <w:rPr>
          <w:rFonts w:ascii="Arial" w:eastAsia="Arial" w:hAnsi="Arial" w:cs="Arial"/>
        </w:rPr>
      </w:pPr>
      <w:r>
        <w:rPr>
          <w:rFonts w:ascii="Arial" w:eastAsia="Arial" w:hAnsi="Arial" w:cs="Arial"/>
        </w:rPr>
        <w:t>Assignment 2</w:t>
      </w:r>
    </w:p>
    <w:p w14:paraId="3BDDA1C3" w14:textId="40937D66" w:rsidR="00B26F5F" w:rsidRDefault="00B26F5F">
      <w:pPr>
        <w:spacing w:after="0" w:line="360" w:lineRule="auto"/>
        <w:ind w:firstLine="720"/>
        <w:jc w:val="center"/>
        <w:rPr>
          <w:rFonts w:ascii="Arial" w:eastAsia="Arial" w:hAnsi="Arial" w:cs="Arial"/>
        </w:rPr>
      </w:pPr>
    </w:p>
    <w:p w14:paraId="753E776F" w14:textId="77777777" w:rsidR="00B26F5F" w:rsidRDefault="00B26F5F">
      <w:pPr>
        <w:spacing w:after="0" w:line="360" w:lineRule="auto"/>
        <w:ind w:firstLine="720"/>
        <w:jc w:val="center"/>
        <w:rPr>
          <w:rFonts w:ascii="Arial" w:eastAsia="Arial" w:hAnsi="Arial" w:cs="Arial"/>
        </w:rPr>
      </w:pPr>
    </w:p>
    <w:p w14:paraId="477765BC" w14:textId="77777777" w:rsidR="00923A42" w:rsidRDefault="00923A42">
      <w:pPr>
        <w:spacing w:after="0" w:line="360" w:lineRule="auto"/>
        <w:ind w:firstLine="720"/>
        <w:jc w:val="center"/>
        <w:rPr>
          <w:rFonts w:ascii="Arial" w:eastAsia="Arial" w:hAnsi="Arial" w:cs="Arial"/>
        </w:rPr>
      </w:pPr>
    </w:p>
    <w:p w14:paraId="03663106" w14:textId="02736E4E" w:rsidR="00B26F5F" w:rsidRDefault="00B26F5F">
      <w:pPr>
        <w:spacing w:after="0" w:line="360" w:lineRule="auto"/>
        <w:ind w:firstLine="720"/>
        <w:jc w:val="center"/>
        <w:rPr>
          <w:rFonts w:ascii="Arial" w:eastAsia="Arial" w:hAnsi="Arial" w:cs="Arial"/>
        </w:rPr>
      </w:pPr>
    </w:p>
    <w:p w14:paraId="22D3126C" w14:textId="77777777" w:rsidR="00923A42" w:rsidRDefault="00923A42" w:rsidP="00923A42">
      <w:pPr>
        <w:spacing w:after="0" w:line="360" w:lineRule="auto"/>
        <w:ind w:firstLine="720"/>
        <w:jc w:val="center"/>
        <w:rPr>
          <w:rFonts w:ascii="Arial" w:eastAsia="Arial" w:hAnsi="Arial" w:cs="Arial"/>
        </w:rPr>
      </w:pPr>
    </w:p>
    <w:p w14:paraId="16766E96" w14:textId="77777777" w:rsidR="00923A42" w:rsidRDefault="00923A42" w:rsidP="00923A42">
      <w:pPr>
        <w:spacing w:after="0" w:line="360" w:lineRule="auto"/>
        <w:ind w:firstLine="720"/>
        <w:jc w:val="center"/>
        <w:rPr>
          <w:rFonts w:ascii="Arial" w:eastAsia="Arial" w:hAnsi="Arial" w:cs="Arial"/>
        </w:rPr>
      </w:pPr>
      <w:r>
        <w:rPr>
          <w:rFonts w:ascii="Arial" w:eastAsia="Arial" w:hAnsi="Arial" w:cs="Arial"/>
        </w:rPr>
        <w:t xml:space="preserve">Student Name:   </w:t>
      </w:r>
      <w:r w:rsidRPr="00B5594E">
        <w:rPr>
          <w:rFonts w:ascii="Arial" w:eastAsia="Arial" w:hAnsi="Arial" w:cs="Arial"/>
        </w:rPr>
        <w:t>Harriet</w:t>
      </w:r>
      <w:r>
        <w:rPr>
          <w:rFonts w:ascii="Arial" w:eastAsia="Arial" w:hAnsi="Arial" w:cs="Arial"/>
        </w:rPr>
        <w:t xml:space="preserve"> </w:t>
      </w:r>
      <w:proofErr w:type="spellStart"/>
      <w:r>
        <w:rPr>
          <w:rFonts w:ascii="Arial" w:eastAsia="Arial" w:hAnsi="Arial" w:cs="Arial"/>
        </w:rPr>
        <w:t>Erhere</w:t>
      </w:r>
      <w:proofErr w:type="spellEnd"/>
      <w:r>
        <w:rPr>
          <w:rFonts w:ascii="Arial" w:eastAsia="Arial" w:hAnsi="Arial" w:cs="Arial"/>
        </w:rPr>
        <w:t xml:space="preserve"> Akpojotor</w:t>
      </w:r>
    </w:p>
    <w:p w14:paraId="587D308E" w14:textId="77777777" w:rsidR="00923A42" w:rsidRDefault="00923A42" w:rsidP="00923A42">
      <w:pPr>
        <w:spacing w:after="0" w:line="360" w:lineRule="auto"/>
        <w:ind w:firstLine="720"/>
        <w:jc w:val="center"/>
        <w:rPr>
          <w:rFonts w:ascii="Arial" w:eastAsia="Arial" w:hAnsi="Arial" w:cs="Arial"/>
        </w:rPr>
      </w:pPr>
      <w:r>
        <w:rPr>
          <w:rFonts w:ascii="Arial" w:eastAsia="Arial" w:hAnsi="Arial" w:cs="Arial"/>
        </w:rPr>
        <w:t>Student Number: 2020979</w:t>
      </w:r>
    </w:p>
    <w:p w14:paraId="55BC9D0A" w14:textId="77777777" w:rsidR="00923A42" w:rsidRDefault="00923A42" w:rsidP="00923A42">
      <w:pPr>
        <w:spacing w:after="0" w:line="360" w:lineRule="auto"/>
        <w:ind w:firstLine="720"/>
        <w:jc w:val="center"/>
        <w:rPr>
          <w:rFonts w:ascii="Arial" w:eastAsia="Arial" w:hAnsi="Arial" w:cs="Arial"/>
        </w:rPr>
      </w:pPr>
      <w:r>
        <w:rPr>
          <w:rFonts w:ascii="Arial" w:eastAsia="Arial" w:hAnsi="Arial" w:cs="Arial"/>
        </w:rPr>
        <w:t xml:space="preserve">Lecturer Name: Diola </w:t>
      </w:r>
      <w:proofErr w:type="spellStart"/>
      <w:r>
        <w:rPr>
          <w:rFonts w:ascii="Arial" w:eastAsia="Arial" w:hAnsi="Arial" w:cs="Arial"/>
        </w:rPr>
        <w:t>Bijhout</w:t>
      </w:r>
      <w:proofErr w:type="spellEnd"/>
      <w:r>
        <w:rPr>
          <w:rFonts w:ascii="Arial" w:eastAsia="Arial" w:hAnsi="Arial" w:cs="Arial"/>
        </w:rPr>
        <w:t xml:space="preserve"> </w:t>
      </w:r>
    </w:p>
    <w:p w14:paraId="3FE16039" w14:textId="77777777" w:rsidR="00923A42" w:rsidRDefault="00923A42" w:rsidP="00923A42">
      <w:pPr>
        <w:spacing w:after="0" w:line="360" w:lineRule="auto"/>
        <w:ind w:firstLine="720"/>
        <w:jc w:val="center"/>
        <w:rPr>
          <w:rFonts w:ascii="Arial" w:eastAsia="Arial" w:hAnsi="Arial" w:cs="Arial"/>
        </w:rPr>
      </w:pPr>
      <w:r>
        <w:rPr>
          <w:rFonts w:ascii="Arial" w:eastAsia="Arial" w:hAnsi="Arial" w:cs="Arial"/>
        </w:rPr>
        <w:t>Module Code: BMHP5014</w:t>
      </w:r>
    </w:p>
    <w:p w14:paraId="44355182" w14:textId="77777777" w:rsidR="00923A42" w:rsidRDefault="00923A42" w:rsidP="00923A42">
      <w:pPr>
        <w:spacing w:after="0" w:line="360" w:lineRule="auto"/>
        <w:ind w:firstLine="720"/>
        <w:jc w:val="center"/>
        <w:rPr>
          <w:rFonts w:ascii="Arial" w:eastAsia="Arial" w:hAnsi="Arial" w:cs="Arial"/>
        </w:rPr>
      </w:pPr>
      <w:r>
        <w:rPr>
          <w:rFonts w:ascii="Arial" w:eastAsia="Arial" w:hAnsi="Arial" w:cs="Arial"/>
        </w:rPr>
        <w:t>Module Title: Changemaker Creativity and Value Creation</w:t>
      </w:r>
    </w:p>
    <w:p w14:paraId="215B5682" w14:textId="77777777" w:rsidR="00B26F5F" w:rsidRDefault="00B26F5F">
      <w:pPr>
        <w:spacing w:after="0" w:line="360" w:lineRule="auto"/>
        <w:ind w:firstLine="720"/>
        <w:jc w:val="center"/>
        <w:rPr>
          <w:rFonts w:ascii="Arial" w:eastAsia="Arial" w:hAnsi="Arial" w:cs="Arial"/>
        </w:rPr>
      </w:pPr>
    </w:p>
    <w:p w14:paraId="3AFA717F" w14:textId="516DCB30" w:rsidR="00B26F5F" w:rsidRDefault="00B26F5F">
      <w:pPr>
        <w:spacing w:after="0" w:line="360" w:lineRule="auto"/>
        <w:ind w:firstLine="720"/>
        <w:jc w:val="center"/>
        <w:rPr>
          <w:rFonts w:ascii="Arial" w:eastAsia="Arial" w:hAnsi="Arial" w:cs="Arial"/>
        </w:rPr>
      </w:pPr>
    </w:p>
    <w:p w14:paraId="7C18CC4C" w14:textId="5E6273F9" w:rsidR="00B26F5F" w:rsidRDefault="00B26F5F">
      <w:pPr>
        <w:spacing w:after="0" w:line="360" w:lineRule="auto"/>
        <w:ind w:firstLine="720"/>
        <w:jc w:val="center"/>
        <w:rPr>
          <w:rFonts w:ascii="Arial" w:eastAsia="Arial" w:hAnsi="Arial" w:cs="Arial"/>
        </w:rPr>
      </w:pPr>
    </w:p>
    <w:p w14:paraId="0207F4BF" w14:textId="0644FC56" w:rsidR="00B26F5F" w:rsidRDefault="00B26F5F">
      <w:pPr>
        <w:spacing w:after="0" w:line="360" w:lineRule="auto"/>
        <w:ind w:firstLine="720"/>
        <w:jc w:val="center"/>
        <w:rPr>
          <w:rFonts w:ascii="Arial" w:eastAsia="Arial" w:hAnsi="Arial" w:cs="Arial"/>
        </w:rPr>
      </w:pPr>
    </w:p>
    <w:p w14:paraId="1F912485" w14:textId="1E32D268" w:rsidR="00B26F5F" w:rsidRDefault="00B26F5F">
      <w:pPr>
        <w:spacing w:after="0" w:line="360" w:lineRule="auto"/>
        <w:ind w:firstLine="720"/>
        <w:jc w:val="center"/>
        <w:rPr>
          <w:rFonts w:ascii="Arial" w:eastAsia="Arial" w:hAnsi="Arial" w:cs="Arial"/>
        </w:rPr>
      </w:pPr>
    </w:p>
    <w:p w14:paraId="1EBEB10B" w14:textId="149AB93F" w:rsidR="00B26F5F" w:rsidRDefault="00B26F5F">
      <w:pPr>
        <w:spacing w:after="0" w:line="360" w:lineRule="auto"/>
        <w:ind w:firstLine="720"/>
        <w:jc w:val="center"/>
        <w:rPr>
          <w:rFonts w:ascii="Arial" w:eastAsia="Arial" w:hAnsi="Arial" w:cs="Arial"/>
        </w:rPr>
      </w:pPr>
    </w:p>
    <w:p w14:paraId="0EC1513C" w14:textId="2956347E" w:rsidR="00B26F5F" w:rsidRDefault="00B26F5F">
      <w:pPr>
        <w:spacing w:after="0" w:line="360" w:lineRule="auto"/>
        <w:ind w:firstLine="720"/>
        <w:jc w:val="center"/>
        <w:rPr>
          <w:rFonts w:ascii="Arial" w:eastAsia="Arial" w:hAnsi="Arial" w:cs="Arial"/>
        </w:rPr>
      </w:pPr>
    </w:p>
    <w:p w14:paraId="6B287EC1" w14:textId="0B93A46B" w:rsidR="00B26F5F" w:rsidRDefault="00B26F5F">
      <w:pPr>
        <w:spacing w:after="0" w:line="360" w:lineRule="auto"/>
        <w:ind w:firstLine="720"/>
        <w:jc w:val="center"/>
        <w:rPr>
          <w:rFonts w:ascii="Arial" w:eastAsia="Arial" w:hAnsi="Arial" w:cs="Arial"/>
        </w:rPr>
      </w:pPr>
    </w:p>
    <w:p w14:paraId="3A176720" w14:textId="2EDC10B1" w:rsidR="00B26F5F" w:rsidRDefault="00B26F5F">
      <w:pPr>
        <w:spacing w:after="0" w:line="360" w:lineRule="auto"/>
        <w:ind w:firstLine="720"/>
        <w:jc w:val="center"/>
        <w:rPr>
          <w:rFonts w:ascii="Arial" w:eastAsia="Arial" w:hAnsi="Arial" w:cs="Arial"/>
        </w:rPr>
      </w:pPr>
    </w:p>
    <w:p w14:paraId="4B791684" w14:textId="7F6192FA" w:rsidR="00B26F5F" w:rsidRDefault="00B26F5F">
      <w:pPr>
        <w:spacing w:after="0" w:line="360" w:lineRule="auto"/>
        <w:ind w:firstLine="720"/>
        <w:jc w:val="center"/>
        <w:rPr>
          <w:rFonts w:ascii="Arial" w:eastAsia="Arial" w:hAnsi="Arial" w:cs="Arial"/>
        </w:rPr>
      </w:pPr>
    </w:p>
    <w:p w14:paraId="5D507688" w14:textId="72E02707" w:rsidR="00B26F5F" w:rsidRDefault="00B26F5F">
      <w:pPr>
        <w:spacing w:after="0" w:line="360" w:lineRule="auto"/>
        <w:ind w:firstLine="720"/>
        <w:jc w:val="center"/>
        <w:rPr>
          <w:rFonts w:ascii="Arial" w:eastAsia="Arial" w:hAnsi="Arial" w:cs="Arial"/>
        </w:rPr>
      </w:pPr>
    </w:p>
    <w:p w14:paraId="1C463FC4" w14:textId="77777777" w:rsidR="00B26F5F" w:rsidRDefault="00B26F5F">
      <w:pPr>
        <w:spacing w:after="0" w:line="360" w:lineRule="auto"/>
        <w:ind w:firstLine="720"/>
        <w:jc w:val="center"/>
        <w:rPr>
          <w:rFonts w:ascii="Arial" w:eastAsia="Arial" w:hAnsi="Arial" w:cs="Arial"/>
        </w:rPr>
      </w:pPr>
    </w:p>
    <w:p w14:paraId="3235B7DE" w14:textId="51DB973D" w:rsidR="00B26F5F" w:rsidRDefault="00B26F5F">
      <w:pPr>
        <w:spacing w:after="0" w:line="360" w:lineRule="auto"/>
        <w:ind w:firstLine="720"/>
        <w:jc w:val="center"/>
        <w:rPr>
          <w:rFonts w:ascii="Arial" w:eastAsia="Arial" w:hAnsi="Arial" w:cs="Arial"/>
        </w:rPr>
      </w:pPr>
    </w:p>
    <w:p w14:paraId="7045E5F6" w14:textId="4493F04C" w:rsidR="00B26F5F" w:rsidRDefault="00B26F5F">
      <w:pPr>
        <w:spacing w:after="0" w:line="360" w:lineRule="auto"/>
        <w:ind w:firstLine="720"/>
        <w:jc w:val="center"/>
        <w:rPr>
          <w:rFonts w:ascii="Arial" w:eastAsia="Arial" w:hAnsi="Arial" w:cs="Arial"/>
        </w:rPr>
      </w:pPr>
    </w:p>
    <w:p w14:paraId="07CF20C4" w14:textId="77777777" w:rsidR="00B26F5F" w:rsidRDefault="00B26F5F" w:rsidP="00B26F5F">
      <w:pPr>
        <w:spacing w:after="0" w:line="360" w:lineRule="auto"/>
        <w:ind w:firstLine="720"/>
        <w:jc w:val="center"/>
        <w:rPr>
          <w:rFonts w:ascii="Arial" w:eastAsia="Arial" w:hAnsi="Arial" w:cs="Arial"/>
        </w:rPr>
      </w:pPr>
    </w:p>
    <w:p w14:paraId="4433D843" w14:textId="77777777" w:rsidR="00D63709" w:rsidRDefault="00D63709">
      <w:pPr>
        <w:spacing w:after="0" w:line="360" w:lineRule="auto"/>
        <w:ind w:firstLine="720"/>
        <w:jc w:val="center"/>
        <w:rPr>
          <w:rFonts w:ascii="Arial" w:eastAsia="Arial" w:hAnsi="Arial" w:cs="Arial"/>
        </w:rPr>
      </w:pPr>
    </w:p>
    <w:p w14:paraId="13FC6DDD" w14:textId="77777777" w:rsidR="00D63709" w:rsidRDefault="00D63709">
      <w:pPr>
        <w:spacing w:after="0" w:line="360" w:lineRule="auto"/>
        <w:ind w:firstLine="720"/>
        <w:jc w:val="center"/>
        <w:rPr>
          <w:rFonts w:ascii="Arial" w:eastAsia="Arial" w:hAnsi="Arial" w:cs="Arial"/>
        </w:rPr>
      </w:pPr>
    </w:p>
    <w:p w14:paraId="560F83DC" w14:textId="77777777" w:rsidR="00D63709" w:rsidRDefault="00D63709">
      <w:pPr>
        <w:spacing w:after="0" w:line="360" w:lineRule="auto"/>
        <w:ind w:firstLine="720"/>
        <w:jc w:val="center"/>
        <w:rPr>
          <w:rFonts w:ascii="Arial" w:eastAsia="Arial" w:hAnsi="Arial" w:cs="Arial"/>
        </w:rPr>
      </w:pPr>
      <w:bookmarkStart w:id="0" w:name="_gjdgxs" w:colFirst="0" w:colLast="0"/>
      <w:bookmarkEnd w:id="0"/>
    </w:p>
    <w:p w14:paraId="05895909" w14:textId="77777777" w:rsidR="00D63709" w:rsidRDefault="00137A00">
      <w:pPr>
        <w:spacing w:after="0" w:line="360" w:lineRule="auto"/>
        <w:ind w:firstLine="720"/>
        <w:rPr>
          <w:rFonts w:ascii="Arial" w:eastAsia="Arial" w:hAnsi="Arial" w:cs="Arial"/>
        </w:rPr>
      </w:pPr>
      <w:r>
        <w:rPr>
          <w:rFonts w:ascii="Arial" w:eastAsia="Arial" w:hAnsi="Arial" w:cs="Arial"/>
        </w:rPr>
        <w:t xml:space="preserve">There is an increased need for health issues to escape the narrow field of medical intervention alone. In order to enhance social effectiveness, these health issues need to be addressed by the wider society in all its interventions. Additional development </w:t>
      </w:r>
      <w:r>
        <w:rPr>
          <w:rFonts w:ascii="Arial" w:eastAsia="Arial" w:hAnsi="Arial" w:cs="Arial"/>
        </w:rPr>
        <w:t>programmes must be integrated into preventive and basic curative health issues with sufficient back-up support from the medical programme. This is because the mobilization of social, financial and human resources within the community and the strategic expl</w:t>
      </w:r>
      <w:r>
        <w:rPr>
          <w:rFonts w:ascii="Arial" w:eastAsia="Arial" w:hAnsi="Arial" w:cs="Arial"/>
        </w:rPr>
        <w:t xml:space="preserve">oitation of these resources should result in better health. These efforts can be realized with appropriate development of practical values and ideas, generation of creative solutions, mobilization of support resources and reliable evaluation methods. This </w:t>
      </w:r>
      <w:r>
        <w:rPr>
          <w:rFonts w:ascii="Arial" w:eastAsia="Arial" w:hAnsi="Arial" w:cs="Arial"/>
        </w:rPr>
        <w:t>essay will demonstrate critical learning points from the Changemakers: Creativity and Value Creation Module. The essay will demonstrate existing scholarly work on supporting the mobilization of health assets among vulnerable populations. It will also illus</w:t>
      </w:r>
      <w:r>
        <w:rPr>
          <w:rFonts w:ascii="Arial" w:eastAsia="Arial" w:hAnsi="Arial" w:cs="Arial"/>
        </w:rPr>
        <w:t xml:space="preserve">trate a reflection on identified values in ideas that would guide the development of creative solutions and the consequential evaluation methods.  </w:t>
      </w:r>
    </w:p>
    <w:p w14:paraId="012965A5" w14:textId="77777777" w:rsidR="00D63709" w:rsidRDefault="00137A00">
      <w:pPr>
        <w:spacing w:after="0" w:line="360" w:lineRule="auto"/>
        <w:ind w:firstLine="720"/>
        <w:rPr>
          <w:rFonts w:ascii="Arial" w:eastAsia="Arial" w:hAnsi="Arial" w:cs="Arial"/>
        </w:rPr>
      </w:pPr>
      <w:r>
        <w:rPr>
          <w:rFonts w:ascii="Arial" w:eastAsia="Arial" w:hAnsi="Arial" w:cs="Arial"/>
        </w:rPr>
        <w:t xml:space="preserve">According to </w:t>
      </w:r>
      <w:proofErr w:type="spellStart"/>
      <w:r>
        <w:rPr>
          <w:rFonts w:ascii="Arial" w:eastAsia="Arial" w:hAnsi="Arial" w:cs="Arial"/>
        </w:rPr>
        <w:t>Seah</w:t>
      </w:r>
      <w:proofErr w:type="spellEnd"/>
      <w:r>
        <w:rPr>
          <w:rFonts w:ascii="Arial" w:eastAsia="Arial" w:hAnsi="Arial" w:cs="Arial"/>
        </w:rPr>
        <w:t xml:space="preserve"> et al. (2020), community health practitioners serve as the frontline health professionals </w:t>
      </w:r>
      <w:r>
        <w:rPr>
          <w:rFonts w:ascii="Arial" w:eastAsia="Arial" w:hAnsi="Arial" w:cs="Arial"/>
        </w:rPr>
        <w:t>tasked with the responsibilities of reducing the prevalence of risk factor, eliminating chronic and acute burden of disease and occurrences of injury, as well as playing the role of health promotion agents. However, most care activities focused on risk fac</w:t>
      </w:r>
      <w:r>
        <w:rPr>
          <w:rFonts w:ascii="Arial" w:eastAsia="Arial" w:hAnsi="Arial" w:cs="Arial"/>
        </w:rPr>
        <w:t>tor mitigations, early illness detections, and disease management involving vulnerable groups in the community mostly adopt deficit-based and pathogenic approaches (</w:t>
      </w:r>
      <w:proofErr w:type="spellStart"/>
      <w:r>
        <w:rPr>
          <w:rFonts w:ascii="Arial" w:eastAsia="Arial" w:hAnsi="Arial" w:cs="Arial"/>
        </w:rPr>
        <w:t>Seah</w:t>
      </w:r>
      <w:proofErr w:type="spellEnd"/>
      <w:r>
        <w:rPr>
          <w:rFonts w:ascii="Arial" w:eastAsia="Arial" w:hAnsi="Arial" w:cs="Arial"/>
        </w:rPr>
        <w:t xml:space="preserve"> et al., 2020). Sustainable healthier longevity transcends beyond addressing such disea</w:t>
      </w:r>
      <w:r>
        <w:rPr>
          <w:rFonts w:ascii="Arial" w:eastAsia="Arial" w:hAnsi="Arial" w:cs="Arial"/>
        </w:rPr>
        <w:t>se-focused variables and promotes greater well-being among such vulnerable groups. Community health practitioners can exploit the accrual of resources that communities possess despite the many emergent adversities. This can be made practical through capaci</w:t>
      </w:r>
      <w:r>
        <w:rPr>
          <w:rFonts w:ascii="Arial" w:eastAsia="Arial" w:hAnsi="Arial" w:cs="Arial"/>
        </w:rPr>
        <w:t>ty building through a long-term process of optimizing opportunities for preserving and improving physical and health, mental, and social wellness, quality of life, independence, and enhancing effective life-course transitions (</w:t>
      </w:r>
      <w:proofErr w:type="spellStart"/>
      <w:r>
        <w:rPr>
          <w:rFonts w:ascii="Arial" w:eastAsia="Arial" w:hAnsi="Arial" w:cs="Arial"/>
        </w:rPr>
        <w:t>Seah</w:t>
      </w:r>
      <w:proofErr w:type="spellEnd"/>
      <w:r>
        <w:rPr>
          <w:rFonts w:ascii="Arial" w:eastAsia="Arial" w:hAnsi="Arial" w:cs="Arial"/>
        </w:rPr>
        <w:t xml:space="preserve"> et al., 2020). This unde</w:t>
      </w:r>
      <w:r>
        <w:rPr>
          <w:rFonts w:ascii="Arial" w:eastAsia="Arial" w:hAnsi="Arial" w:cs="Arial"/>
        </w:rPr>
        <w:t>rstanding is based on topic 3: addressing sustainability.</w:t>
      </w:r>
    </w:p>
    <w:p w14:paraId="2C2D2756" w14:textId="3C2B9311" w:rsidR="00D63709" w:rsidRDefault="00137A00">
      <w:pPr>
        <w:spacing w:after="0" w:line="360" w:lineRule="auto"/>
        <w:ind w:firstLine="720"/>
        <w:rPr>
          <w:rFonts w:ascii="Arial" w:eastAsia="Arial" w:hAnsi="Arial" w:cs="Arial"/>
        </w:rPr>
      </w:pPr>
      <w:proofErr w:type="spellStart"/>
      <w:r>
        <w:rPr>
          <w:rFonts w:ascii="Arial" w:eastAsia="Arial" w:hAnsi="Arial" w:cs="Arial"/>
        </w:rPr>
        <w:t>Molero</w:t>
      </w:r>
      <w:proofErr w:type="spellEnd"/>
      <w:r>
        <w:rPr>
          <w:rFonts w:ascii="Arial" w:eastAsia="Arial" w:hAnsi="Arial" w:cs="Arial"/>
        </w:rPr>
        <w:t xml:space="preserve"> et al. (2021) defined a sustainable structure as one that </w:t>
      </w:r>
      <w:r w:rsidR="00467679">
        <w:rPr>
          <w:rFonts w:ascii="Arial" w:eastAsia="Arial" w:hAnsi="Arial" w:cs="Arial"/>
        </w:rPr>
        <w:t>can ensure</w:t>
      </w:r>
      <w:r>
        <w:rPr>
          <w:rFonts w:ascii="Arial" w:eastAsia="Arial" w:hAnsi="Arial" w:cs="Arial"/>
        </w:rPr>
        <w:t xml:space="preserve"> appropriate preservation of limited health resources. Moreover, such a structure is practical in the context o</w:t>
      </w:r>
      <w:r>
        <w:rPr>
          <w:rFonts w:ascii="Arial" w:eastAsia="Arial" w:hAnsi="Arial" w:cs="Arial"/>
        </w:rPr>
        <w:t xml:space="preserve">f </w:t>
      </w:r>
      <w:r w:rsidR="00A32697">
        <w:rPr>
          <w:rFonts w:ascii="Arial" w:eastAsia="Arial" w:hAnsi="Arial" w:cs="Arial"/>
        </w:rPr>
        <w:t>economic</w:t>
      </w:r>
      <w:r>
        <w:rPr>
          <w:rFonts w:ascii="Arial" w:eastAsia="Arial" w:hAnsi="Arial" w:cs="Arial"/>
        </w:rPr>
        <w:t xml:space="preserve">, social and ecological dimensions, as well as meets the needs of all the relevant stakeholders. This provides the optimal environment for changemakers that Thorogood et al. (2018) defined as those individuals that permit themselves to address </w:t>
      </w:r>
      <w:r>
        <w:rPr>
          <w:rFonts w:ascii="Arial" w:eastAsia="Arial" w:hAnsi="Arial" w:cs="Arial"/>
        </w:rPr>
        <w:lastRenderedPageBreak/>
        <w:t>social problems while actively seeking for ways that they can make a difference in the society. Therefore, my experience with Unit 1: ideas and values and Unit 2: creative solutions taught me the fundamentals of being an agent of change in the pursuit of s</w:t>
      </w:r>
      <w:r>
        <w:rPr>
          <w:rFonts w:ascii="Arial" w:eastAsia="Arial" w:hAnsi="Arial" w:cs="Arial"/>
        </w:rPr>
        <w:t>ustainable service delivery in healthcare. Further exploration into existing literature based on the reading materials provided in the classroom setting enhanced the assertion by many scholars that individual competence with regards to sustainable social c</w:t>
      </w:r>
      <w:r>
        <w:rPr>
          <w:rFonts w:ascii="Arial" w:eastAsia="Arial" w:hAnsi="Arial" w:cs="Arial"/>
        </w:rPr>
        <w:t>hanges requires a collaborative and inclusive approach.</w:t>
      </w:r>
    </w:p>
    <w:p w14:paraId="5B4AD127" w14:textId="77777777" w:rsidR="00D63709" w:rsidRDefault="00137A00">
      <w:pPr>
        <w:spacing w:after="0" w:line="360" w:lineRule="auto"/>
        <w:ind w:firstLine="720"/>
        <w:rPr>
          <w:rFonts w:ascii="Arial" w:eastAsia="Arial" w:hAnsi="Arial" w:cs="Arial"/>
        </w:rPr>
      </w:pPr>
      <w:r>
        <w:rPr>
          <w:rFonts w:ascii="Arial" w:eastAsia="Arial" w:hAnsi="Arial" w:cs="Arial"/>
        </w:rPr>
        <w:t xml:space="preserve">This approach entails the adoption of the </w:t>
      </w:r>
      <w:proofErr w:type="spellStart"/>
      <w:r>
        <w:rPr>
          <w:rFonts w:ascii="Arial" w:eastAsia="Arial" w:hAnsi="Arial" w:cs="Arial"/>
        </w:rPr>
        <w:t>salutogenic</w:t>
      </w:r>
      <w:proofErr w:type="spellEnd"/>
      <w:r>
        <w:rPr>
          <w:rFonts w:ascii="Arial" w:eastAsia="Arial" w:hAnsi="Arial" w:cs="Arial"/>
        </w:rPr>
        <w:t xml:space="preserve"> perspective. This approach views health along the ease/dis-ease continuum and targets the protective variables that enable active adaptation to ou</w:t>
      </w:r>
      <w:r>
        <w:rPr>
          <w:rFonts w:ascii="Arial" w:eastAsia="Arial" w:hAnsi="Arial" w:cs="Arial"/>
        </w:rPr>
        <w:t xml:space="preserve">r stressful environments (Lee, Payne and </w:t>
      </w:r>
      <w:proofErr w:type="spellStart"/>
      <w:r>
        <w:rPr>
          <w:rFonts w:ascii="Arial" w:eastAsia="Arial" w:hAnsi="Arial" w:cs="Arial"/>
        </w:rPr>
        <w:t>Berdychevsky</w:t>
      </w:r>
      <w:proofErr w:type="spellEnd"/>
      <w:r>
        <w:rPr>
          <w:rFonts w:ascii="Arial" w:eastAsia="Arial" w:hAnsi="Arial" w:cs="Arial"/>
        </w:rPr>
        <w:t>, 2018). It entails the following fundamental concepts: specific and generalized resistance resources and sense of coherence. Sense of coherence is health promoting and entails the universal perceptual i</w:t>
      </w:r>
      <w:r>
        <w:rPr>
          <w:rFonts w:ascii="Arial" w:eastAsia="Arial" w:hAnsi="Arial" w:cs="Arial"/>
        </w:rPr>
        <w:t>nfluence of perceiving life as manageable, comprehensible and meaningful (</w:t>
      </w:r>
      <w:proofErr w:type="spellStart"/>
      <w:r>
        <w:rPr>
          <w:rFonts w:ascii="Arial" w:eastAsia="Arial" w:hAnsi="Arial" w:cs="Arial"/>
        </w:rPr>
        <w:t>Seah</w:t>
      </w:r>
      <w:proofErr w:type="spellEnd"/>
      <w:r>
        <w:rPr>
          <w:rFonts w:ascii="Arial" w:eastAsia="Arial" w:hAnsi="Arial" w:cs="Arial"/>
        </w:rPr>
        <w:t xml:space="preserve"> et al., 2020). The concept addresses the behavioural, cognitive and motivational elements of how an individual cope with tension as a result of stressors. On the other hand, gen</w:t>
      </w:r>
      <w:r>
        <w:rPr>
          <w:rFonts w:ascii="Arial" w:eastAsia="Arial" w:hAnsi="Arial" w:cs="Arial"/>
        </w:rPr>
        <w:t xml:space="preserve">eralized resistance resources are the bio-chemical, physical, cognitive, artefactual-material, valuative-attitudinal, emotional, macro-sociocultural, and interpersonal-relational attributes of an individual, group or community that enable effective coping </w:t>
      </w:r>
      <w:r>
        <w:rPr>
          <w:rFonts w:ascii="Arial" w:eastAsia="Arial" w:hAnsi="Arial" w:cs="Arial"/>
        </w:rPr>
        <w:t>of tension caused by various stressors (</w:t>
      </w:r>
      <w:proofErr w:type="spellStart"/>
      <w:r>
        <w:rPr>
          <w:rFonts w:ascii="Arial" w:eastAsia="Arial" w:hAnsi="Arial" w:cs="Arial"/>
        </w:rPr>
        <w:t>Seah</w:t>
      </w:r>
      <w:proofErr w:type="spellEnd"/>
      <w:r>
        <w:rPr>
          <w:rFonts w:ascii="Arial" w:eastAsia="Arial" w:hAnsi="Arial" w:cs="Arial"/>
        </w:rPr>
        <w:t xml:space="preserve"> et al., 2020). Examples of these could be external, such as political-cultural stability and social support, or internal, such as wealth, knowledge, immunity, positivity and happiness. Consequently, these variab</w:t>
      </w:r>
      <w:r>
        <w:rPr>
          <w:rFonts w:ascii="Arial" w:eastAsia="Arial" w:hAnsi="Arial" w:cs="Arial"/>
        </w:rPr>
        <w:t xml:space="preserve">les </w:t>
      </w:r>
    </w:p>
    <w:p w14:paraId="6046B260" w14:textId="77777777" w:rsidR="00D63709" w:rsidRDefault="00137A00">
      <w:pPr>
        <w:spacing w:after="0" w:line="360" w:lineRule="auto"/>
        <w:ind w:firstLine="720"/>
        <w:rPr>
          <w:rFonts w:ascii="Arial" w:eastAsia="Arial" w:hAnsi="Arial" w:cs="Arial"/>
        </w:rPr>
      </w:pPr>
      <w:r>
        <w:rPr>
          <w:rFonts w:ascii="Arial" w:eastAsia="Arial" w:hAnsi="Arial" w:cs="Arial"/>
        </w:rPr>
        <w:t>While generalized resistance resources possess a broader range of utility, specific resistance resources are triggered in particular situations that are context-specific, such as an elderly patient living alone seeking immediate support from neighbour</w:t>
      </w:r>
      <w:r>
        <w:rPr>
          <w:rFonts w:ascii="Arial" w:eastAsia="Arial" w:hAnsi="Arial" w:cs="Arial"/>
        </w:rPr>
        <w:t>s when faced with distress (</w:t>
      </w:r>
      <w:proofErr w:type="spellStart"/>
      <w:r>
        <w:rPr>
          <w:rFonts w:ascii="Arial" w:eastAsia="Arial" w:hAnsi="Arial" w:cs="Arial"/>
        </w:rPr>
        <w:t>Seah</w:t>
      </w:r>
      <w:proofErr w:type="spellEnd"/>
      <w:r>
        <w:rPr>
          <w:rFonts w:ascii="Arial" w:eastAsia="Arial" w:hAnsi="Arial" w:cs="Arial"/>
        </w:rPr>
        <w:t xml:space="preserve"> et al., 2020). Despite the mobilization of general or specific resistance resources to address stressors, the scope of resistance resources is inherently linked to the ecosystem and community where people reside in. This in</w:t>
      </w:r>
      <w:r>
        <w:rPr>
          <w:rFonts w:ascii="Arial" w:eastAsia="Arial" w:hAnsi="Arial" w:cs="Arial"/>
        </w:rPr>
        <w:t>fers the acknowledgment that the environmental or social determinants of health are beyond the control of individuals. Coping with stressors links with the interactions of an individual’s living context that is linked to ecological cognition. Therefore, th</w:t>
      </w:r>
      <w:r>
        <w:rPr>
          <w:rFonts w:ascii="Arial" w:eastAsia="Arial" w:hAnsi="Arial" w:cs="Arial"/>
        </w:rPr>
        <w:t>e examination of resistance resources entails the consideration of the ecological approach (</w:t>
      </w:r>
      <w:proofErr w:type="spellStart"/>
      <w:r>
        <w:rPr>
          <w:rFonts w:ascii="Arial" w:eastAsia="Arial" w:hAnsi="Arial" w:cs="Arial"/>
        </w:rPr>
        <w:t>Seah</w:t>
      </w:r>
      <w:proofErr w:type="spellEnd"/>
      <w:r>
        <w:rPr>
          <w:rFonts w:ascii="Arial" w:eastAsia="Arial" w:hAnsi="Arial" w:cs="Arial"/>
        </w:rPr>
        <w:t xml:space="preserve"> et al., 2020). In the long run, mobilization of these resources should offer life experiences characterized by load balance, consistency and participation in v</w:t>
      </w:r>
      <w:r>
        <w:rPr>
          <w:rFonts w:ascii="Arial" w:eastAsia="Arial" w:hAnsi="Arial" w:cs="Arial"/>
        </w:rPr>
        <w:t>alue-added decision-making, which ultimately contributes to the development of sense of coherence. Cowley and Billings (1999) posited that processes involved in the development of an individual’s capacity to use these resources were reported to be more ess</w:t>
      </w:r>
      <w:r>
        <w:rPr>
          <w:rFonts w:ascii="Arial" w:eastAsia="Arial" w:hAnsi="Arial" w:cs="Arial"/>
        </w:rPr>
        <w:t xml:space="preserve">ential than the mere examination of the absence or presence of specific resources. </w:t>
      </w:r>
    </w:p>
    <w:p w14:paraId="1335EFEF" w14:textId="3B0543EA" w:rsidR="00D63709" w:rsidRDefault="00137A00">
      <w:pPr>
        <w:spacing w:after="0" w:line="360" w:lineRule="auto"/>
        <w:ind w:firstLine="720"/>
        <w:rPr>
          <w:rFonts w:ascii="Arial" w:eastAsia="Arial" w:hAnsi="Arial" w:cs="Arial"/>
        </w:rPr>
      </w:pPr>
      <w:r>
        <w:rPr>
          <w:rFonts w:ascii="Arial" w:eastAsia="Arial" w:hAnsi="Arial" w:cs="Arial"/>
        </w:rPr>
        <w:lastRenderedPageBreak/>
        <w:t>In contemporary literature, health support assets are used synonymously with health resources (</w:t>
      </w:r>
      <w:proofErr w:type="spellStart"/>
      <w:r>
        <w:rPr>
          <w:rFonts w:ascii="Arial" w:eastAsia="Arial" w:hAnsi="Arial" w:cs="Arial"/>
        </w:rPr>
        <w:t>Seah</w:t>
      </w:r>
      <w:proofErr w:type="spellEnd"/>
      <w:r>
        <w:rPr>
          <w:rFonts w:ascii="Arial" w:eastAsia="Arial" w:hAnsi="Arial" w:cs="Arial"/>
        </w:rPr>
        <w:t xml:space="preserve"> et al., 2020). Therefore, health assets are repertoire of external and i</w:t>
      </w:r>
      <w:r>
        <w:rPr>
          <w:rFonts w:ascii="Arial" w:eastAsia="Arial" w:hAnsi="Arial" w:cs="Arial"/>
        </w:rPr>
        <w:t xml:space="preserve">nternal potentials possessed by an individual that are both acquired and innate that actuate optimal health outcomes and positive health behaviours from a purely conceptual basis. Morgan and </w:t>
      </w:r>
      <w:proofErr w:type="spellStart"/>
      <w:r>
        <w:rPr>
          <w:rFonts w:ascii="Arial" w:eastAsia="Arial" w:hAnsi="Arial" w:cs="Arial"/>
        </w:rPr>
        <w:t>Ziglio</w:t>
      </w:r>
      <w:proofErr w:type="spellEnd"/>
      <w:r>
        <w:rPr>
          <w:rFonts w:ascii="Arial" w:eastAsia="Arial" w:hAnsi="Arial" w:cs="Arial"/>
        </w:rPr>
        <w:t xml:space="preserve"> (2007), </w:t>
      </w:r>
      <w:r w:rsidR="0051079C">
        <w:rPr>
          <w:rFonts w:ascii="Arial" w:eastAsia="Arial" w:hAnsi="Arial" w:cs="Arial"/>
        </w:rPr>
        <w:t>to</w:t>
      </w:r>
      <w:r>
        <w:rPr>
          <w:rFonts w:ascii="Arial" w:eastAsia="Arial" w:hAnsi="Arial" w:cs="Arial"/>
        </w:rPr>
        <w:t xml:space="preserve"> translate </w:t>
      </w:r>
      <w:proofErr w:type="spellStart"/>
      <w:r>
        <w:rPr>
          <w:rFonts w:ascii="Arial" w:eastAsia="Arial" w:hAnsi="Arial" w:cs="Arial"/>
        </w:rPr>
        <w:t>salutogenesis</w:t>
      </w:r>
      <w:proofErr w:type="spellEnd"/>
      <w:r>
        <w:rPr>
          <w:rFonts w:ascii="Arial" w:eastAsia="Arial" w:hAnsi="Arial" w:cs="Arial"/>
        </w:rPr>
        <w:t xml:space="preserve"> into prac</w:t>
      </w:r>
      <w:r>
        <w:rPr>
          <w:rFonts w:ascii="Arial" w:eastAsia="Arial" w:hAnsi="Arial" w:cs="Arial"/>
        </w:rPr>
        <w:t>tice, postulated the use of theory to explore variables that implement the concept of asset mapping to operate on an individual’s unique capacities, create health, and evaluate community-based opportunities using asset-based results. The stock of health as</w:t>
      </w:r>
      <w:r>
        <w:rPr>
          <w:rFonts w:ascii="Arial" w:eastAsia="Arial" w:hAnsi="Arial" w:cs="Arial"/>
        </w:rPr>
        <w:t>sets may exist at the community, individual or population levels to shield against stressors faced by vulnerable individuals and can be mapped relative to the interactions vulnerable individuals possess with their ecosystems and communities (</w:t>
      </w:r>
      <w:proofErr w:type="spellStart"/>
      <w:r>
        <w:rPr>
          <w:rFonts w:ascii="Arial" w:eastAsia="Arial" w:hAnsi="Arial" w:cs="Arial"/>
        </w:rPr>
        <w:t>Seah</w:t>
      </w:r>
      <w:proofErr w:type="spellEnd"/>
      <w:r>
        <w:rPr>
          <w:rFonts w:ascii="Arial" w:eastAsia="Arial" w:hAnsi="Arial" w:cs="Arial"/>
        </w:rPr>
        <w:t xml:space="preserve"> et al., 2</w:t>
      </w:r>
      <w:r>
        <w:rPr>
          <w:rFonts w:ascii="Arial" w:eastAsia="Arial" w:hAnsi="Arial" w:cs="Arial"/>
        </w:rPr>
        <w:t>020). These health assets can thereafter be incorporated in healthy aging interventions that adopt an environment- or person- focused approach to counter the biopsychosocial health of vulnerable community dwellers.</w:t>
      </w:r>
    </w:p>
    <w:p w14:paraId="17425C3F" w14:textId="77777777" w:rsidR="00D63709" w:rsidRDefault="00137A00">
      <w:pPr>
        <w:spacing w:after="0" w:line="360" w:lineRule="auto"/>
        <w:ind w:firstLine="720"/>
        <w:rPr>
          <w:rFonts w:ascii="Arial" w:eastAsia="Arial" w:hAnsi="Arial" w:cs="Arial"/>
        </w:rPr>
      </w:pPr>
      <w:r>
        <w:rPr>
          <w:rFonts w:ascii="Arial" w:eastAsia="Arial" w:hAnsi="Arial" w:cs="Arial"/>
        </w:rPr>
        <w:t>However, existing literature fails to acc</w:t>
      </w:r>
      <w:r>
        <w:rPr>
          <w:rFonts w:ascii="Arial" w:eastAsia="Arial" w:hAnsi="Arial" w:cs="Arial"/>
        </w:rPr>
        <w:t>urately describe how community health practitioners can support the use of health resources to mobilise support for vulnerable community dwellers. For example, Hornby-Turner, Peel and Hubbard (2017) reviewed the health assets of elderly individuals by cura</w:t>
      </w:r>
      <w:r>
        <w:rPr>
          <w:rFonts w:ascii="Arial" w:eastAsia="Arial" w:hAnsi="Arial" w:cs="Arial"/>
        </w:rPr>
        <w:t>ting social, environmental, economic and personal variables from several quantitative studies that estimated associations with composite biopsychosocial health outcomes. The reviewers highlighted life satisfaction, self-rated health, social networks, psych</w:t>
      </w:r>
      <w:r>
        <w:rPr>
          <w:rFonts w:ascii="Arial" w:eastAsia="Arial" w:hAnsi="Arial" w:cs="Arial"/>
        </w:rPr>
        <w:t xml:space="preserve">ological well-being, financial resources and education. Many other sense of coherence studies focused on older individuals, such as those conducted by Lee, Payne and </w:t>
      </w:r>
      <w:proofErr w:type="spellStart"/>
      <w:r>
        <w:rPr>
          <w:rFonts w:ascii="Arial" w:eastAsia="Arial" w:hAnsi="Arial" w:cs="Arial"/>
        </w:rPr>
        <w:t>Berdychevsky</w:t>
      </w:r>
      <w:proofErr w:type="spellEnd"/>
      <w:r>
        <w:rPr>
          <w:rFonts w:ascii="Arial" w:eastAsia="Arial" w:hAnsi="Arial" w:cs="Arial"/>
        </w:rPr>
        <w:t xml:space="preserve"> (2018) and </w:t>
      </w:r>
      <w:proofErr w:type="spellStart"/>
      <w:r>
        <w:rPr>
          <w:rFonts w:ascii="Arial" w:eastAsia="Arial" w:hAnsi="Arial" w:cs="Arial"/>
        </w:rPr>
        <w:t>Monma</w:t>
      </w:r>
      <w:proofErr w:type="spellEnd"/>
      <w:r>
        <w:rPr>
          <w:rFonts w:ascii="Arial" w:eastAsia="Arial" w:hAnsi="Arial" w:cs="Arial"/>
        </w:rPr>
        <w:t xml:space="preserve">, Takeda and Okura (2017), exploited quantitative methods to </w:t>
      </w:r>
      <w:r>
        <w:rPr>
          <w:rFonts w:ascii="Arial" w:eastAsia="Arial" w:hAnsi="Arial" w:cs="Arial"/>
        </w:rPr>
        <w:t>identify health outcomes by exploring relations between sense of coherence, resources and health-related outcomes. Such studies confirm that knowledge regarding the mobilization of health-promoting resources from qualitative research can be more resourcefu</w:t>
      </w:r>
      <w:r>
        <w:rPr>
          <w:rFonts w:ascii="Arial" w:eastAsia="Arial" w:hAnsi="Arial" w:cs="Arial"/>
        </w:rPr>
        <w:t xml:space="preserve">l than a simple identification of specific resources for community health professionals to enable asset-based strategies. Variables such as the familiarity to resources, ease of accessibility, resource utility control and the disconnect between vulnerable </w:t>
      </w:r>
      <w:r>
        <w:rPr>
          <w:rFonts w:ascii="Arial" w:eastAsia="Arial" w:hAnsi="Arial" w:cs="Arial"/>
        </w:rPr>
        <w:t xml:space="preserve">individuals’ resource utilities and perceptions could impact resource utility. </w:t>
      </w:r>
    </w:p>
    <w:p w14:paraId="67D9AE1B" w14:textId="77777777" w:rsidR="00D63709" w:rsidRDefault="00137A00">
      <w:pPr>
        <w:spacing w:after="0" w:line="360" w:lineRule="auto"/>
        <w:ind w:firstLine="720"/>
        <w:rPr>
          <w:rFonts w:ascii="Arial" w:eastAsia="Arial" w:hAnsi="Arial" w:cs="Arial"/>
        </w:rPr>
      </w:pPr>
      <w:r>
        <w:rPr>
          <w:rFonts w:ascii="Arial" w:eastAsia="Arial" w:hAnsi="Arial" w:cs="Arial"/>
        </w:rPr>
        <w:t xml:space="preserve">My experience while learning Unit 3: Mobilising Support taught me that each community has evolved means of preventing and managing illness through its own understanding of the </w:t>
      </w:r>
      <w:r>
        <w:rPr>
          <w:rFonts w:ascii="Arial" w:eastAsia="Arial" w:hAnsi="Arial" w:cs="Arial"/>
        </w:rPr>
        <w:t>causes of disease. As such, health care is provided across several levels by many distinct groups of individuals. These may include mothers and other members of the family, private and public health workers, and traditional practitioners. Therefore, the co</w:t>
      </w:r>
      <w:r>
        <w:rPr>
          <w:rFonts w:ascii="Arial" w:eastAsia="Arial" w:hAnsi="Arial" w:cs="Arial"/>
        </w:rPr>
        <w:t xml:space="preserve">ntact between individuals and health workers through an equitable health system can result in the better understanding of the choices that are available to the people in the process of addressing their unique health needs (Hornby-Turner, Peel and Hubbard, </w:t>
      </w:r>
      <w:r>
        <w:rPr>
          <w:rFonts w:ascii="Arial" w:eastAsia="Arial" w:hAnsi="Arial" w:cs="Arial"/>
        </w:rPr>
        <w:lastRenderedPageBreak/>
        <w:t>2017). This also presents an opportunity for the improvement of people’s health. The capacity of people can be improved at each level and the scope of choices available to protect their health concerns can be ultimately broadened. Therefore, armed with suf</w:t>
      </w:r>
      <w:r>
        <w:rPr>
          <w:rFonts w:ascii="Arial" w:eastAsia="Arial" w:hAnsi="Arial" w:cs="Arial"/>
        </w:rPr>
        <w:t>ficient scholarly data on healthcare resources already presented in this essay and personal interest on the subject, I was able to narrow down access to health care as the most crucial element in the process of mobilising support.</w:t>
      </w:r>
    </w:p>
    <w:p w14:paraId="24F93E1E" w14:textId="0EB6565A" w:rsidR="00D63709" w:rsidRDefault="00137A00">
      <w:pPr>
        <w:spacing w:after="0" w:line="360" w:lineRule="auto"/>
        <w:ind w:firstLine="720"/>
        <w:rPr>
          <w:rFonts w:ascii="Arial" w:eastAsia="Arial" w:hAnsi="Arial" w:cs="Arial"/>
        </w:rPr>
      </w:pPr>
      <w:r>
        <w:rPr>
          <w:rFonts w:ascii="Arial" w:eastAsia="Arial" w:hAnsi="Arial" w:cs="Arial"/>
        </w:rPr>
        <w:t>Many people across the gl</w:t>
      </w:r>
      <w:r>
        <w:rPr>
          <w:rFonts w:ascii="Arial" w:eastAsia="Arial" w:hAnsi="Arial" w:cs="Arial"/>
        </w:rPr>
        <w:t xml:space="preserve">obe lack sufficient access to health care, as well as the fundamental health-related knowledge that should enable them </w:t>
      </w:r>
      <w:r w:rsidR="00655F31">
        <w:rPr>
          <w:rFonts w:ascii="Arial" w:eastAsia="Arial" w:hAnsi="Arial" w:cs="Arial"/>
        </w:rPr>
        <w:t>to control</w:t>
      </w:r>
      <w:r>
        <w:rPr>
          <w:rFonts w:ascii="Arial" w:eastAsia="Arial" w:hAnsi="Arial" w:cs="Arial"/>
        </w:rPr>
        <w:t xml:space="preserve"> their behaviour and environment in the interests of their health (</w:t>
      </w:r>
      <w:proofErr w:type="spellStart"/>
      <w:r>
        <w:rPr>
          <w:rFonts w:ascii="Arial" w:eastAsia="Arial" w:hAnsi="Arial" w:cs="Arial"/>
        </w:rPr>
        <w:t>Seah</w:t>
      </w:r>
      <w:proofErr w:type="spellEnd"/>
      <w:r>
        <w:rPr>
          <w:rFonts w:ascii="Arial" w:eastAsia="Arial" w:hAnsi="Arial" w:cs="Arial"/>
        </w:rPr>
        <w:t xml:space="preserve"> et al., 2020). As a result of this, preventable and curati</w:t>
      </w:r>
      <w:r>
        <w:rPr>
          <w:rFonts w:ascii="Arial" w:eastAsia="Arial" w:hAnsi="Arial" w:cs="Arial"/>
        </w:rPr>
        <w:t>ve health conditions often result in disability or death or exacerbate the effects of poverty on already poor families. Children and women face significant extra challenges in receiving health care relative to men, in addition to the fact that they are oft</w:t>
      </w:r>
      <w:r>
        <w:rPr>
          <w:rFonts w:ascii="Arial" w:eastAsia="Arial" w:hAnsi="Arial" w:cs="Arial"/>
        </w:rPr>
        <w:t>en only allowed limited participation in decisions related to their own or their family’s health. These observations pose significant adverse outcomes on their health and their health-seeking traits. Research suggests that the problem is not the unavailabi</w:t>
      </w:r>
      <w:r>
        <w:rPr>
          <w:rFonts w:ascii="Arial" w:eastAsia="Arial" w:hAnsi="Arial" w:cs="Arial"/>
        </w:rPr>
        <w:t>lity of solutions, but rather the provision of these solutions to people and communities that need them most. In order to achieve this, I realized that communities have three options available to them: utilize existing community resources, develop traditio</w:t>
      </w:r>
      <w:r>
        <w:rPr>
          <w:rFonts w:ascii="Arial" w:eastAsia="Arial" w:hAnsi="Arial" w:cs="Arial"/>
        </w:rPr>
        <w:t>nal practitioners and mobilize material resources.</w:t>
      </w:r>
    </w:p>
    <w:p w14:paraId="08D0C57E" w14:textId="0BA7F5B9" w:rsidR="00D63709" w:rsidRDefault="00137A00">
      <w:pPr>
        <w:spacing w:after="0" w:line="360" w:lineRule="auto"/>
        <w:ind w:firstLine="720"/>
        <w:rPr>
          <w:rFonts w:ascii="Arial" w:eastAsia="Arial" w:hAnsi="Arial" w:cs="Arial"/>
        </w:rPr>
      </w:pPr>
      <w:r>
        <w:rPr>
          <w:rFonts w:ascii="Arial" w:eastAsia="Arial" w:hAnsi="Arial" w:cs="Arial"/>
        </w:rPr>
        <w:t xml:space="preserve">According to Bias, </w:t>
      </w:r>
      <w:proofErr w:type="spellStart"/>
      <w:r>
        <w:rPr>
          <w:rFonts w:ascii="Arial" w:eastAsia="Arial" w:hAnsi="Arial" w:cs="Arial"/>
        </w:rPr>
        <w:t>Abildso</w:t>
      </w:r>
      <w:proofErr w:type="spellEnd"/>
      <w:r>
        <w:rPr>
          <w:rFonts w:ascii="Arial" w:eastAsia="Arial" w:hAnsi="Arial" w:cs="Arial"/>
        </w:rPr>
        <w:t xml:space="preserve"> and </w:t>
      </w:r>
      <w:proofErr w:type="spellStart"/>
      <w:r>
        <w:rPr>
          <w:rFonts w:ascii="Arial" w:eastAsia="Arial" w:hAnsi="Arial" w:cs="Arial"/>
        </w:rPr>
        <w:t>Sarkees</w:t>
      </w:r>
      <w:proofErr w:type="spellEnd"/>
      <w:r>
        <w:rPr>
          <w:rFonts w:ascii="Arial" w:eastAsia="Arial" w:hAnsi="Arial" w:cs="Arial"/>
        </w:rPr>
        <w:t xml:space="preserve"> (2020), health issues are social needs that cannot be fully addressed through exclusively medical interventions. The mobilisation and prudent use of existing resources, which include social, financial and human, may r</w:t>
      </w:r>
      <w:r>
        <w:rPr>
          <w:rFonts w:ascii="Arial" w:eastAsia="Arial" w:hAnsi="Arial" w:cs="Arial"/>
        </w:rPr>
        <w:t>esult in a significant improvement in health. The rationale should be to empower communities with fundamental preventive and basic curative knowledge so that they are at a better position to make better decisions related to their health and environment. Th</w:t>
      </w:r>
      <w:r>
        <w:rPr>
          <w:rFonts w:ascii="Arial" w:eastAsia="Arial" w:hAnsi="Arial" w:cs="Arial"/>
        </w:rPr>
        <w:t xml:space="preserve">e process of empowering communities may be applied by working with the existing institutions or groups, directly engaging with all sections of the community, or through selected volunteers. An example of such an organization is Save the Children (UK) that </w:t>
      </w:r>
      <w:r>
        <w:rPr>
          <w:rFonts w:ascii="Arial" w:eastAsia="Arial" w:hAnsi="Arial" w:cs="Arial"/>
        </w:rPr>
        <w:t xml:space="preserve">is a non-profit organization operating in the UK and many other regions across the world to ensure that children are kept safe, healthy and </w:t>
      </w:r>
      <w:r w:rsidR="00DD7374">
        <w:rPr>
          <w:rFonts w:ascii="Arial" w:eastAsia="Arial" w:hAnsi="Arial" w:cs="Arial"/>
        </w:rPr>
        <w:t>can</w:t>
      </w:r>
      <w:r>
        <w:rPr>
          <w:rFonts w:ascii="Arial" w:eastAsia="Arial" w:hAnsi="Arial" w:cs="Arial"/>
        </w:rPr>
        <w:t xml:space="preserve"> access proper education. The organization possesses over 600,000 supporters and has assisted more than 4</w:t>
      </w:r>
      <w:r>
        <w:rPr>
          <w:rFonts w:ascii="Arial" w:eastAsia="Arial" w:hAnsi="Arial" w:cs="Arial"/>
        </w:rPr>
        <w:t>5 million children across the globe (Save the Children UK | International Children's Charity, 2022).</w:t>
      </w:r>
    </w:p>
    <w:p w14:paraId="4C3515EA" w14:textId="77777777" w:rsidR="00D63709" w:rsidRDefault="00137A00">
      <w:pPr>
        <w:spacing w:after="0" w:line="360" w:lineRule="auto"/>
        <w:ind w:firstLine="720"/>
        <w:rPr>
          <w:rFonts w:ascii="Arial" w:eastAsia="Arial" w:hAnsi="Arial" w:cs="Arial"/>
        </w:rPr>
      </w:pPr>
      <w:r>
        <w:rPr>
          <w:rFonts w:ascii="Arial" w:eastAsia="Arial" w:hAnsi="Arial" w:cs="Arial"/>
        </w:rPr>
        <w:t>Therefore, the progressive knowledge acquired from the three units demonstrated the need for individual professional and personal development. This implies</w:t>
      </w:r>
      <w:r>
        <w:rPr>
          <w:rFonts w:ascii="Arial" w:eastAsia="Arial" w:hAnsi="Arial" w:cs="Arial"/>
        </w:rPr>
        <w:t xml:space="preserve"> the initial exploration of oneself through the realization of progressive ideas based on leadership values. The scrutiny of these ideas results in the examination of possible alternatives that were presented in Unit 2. This assessment resulted in a compre</w:t>
      </w:r>
      <w:r>
        <w:rPr>
          <w:rFonts w:ascii="Arial" w:eastAsia="Arial" w:hAnsi="Arial" w:cs="Arial"/>
        </w:rPr>
        <w:t xml:space="preserve">hensive examination of the </w:t>
      </w:r>
      <w:r>
        <w:rPr>
          <w:rFonts w:ascii="Arial" w:eastAsia="Arial" w:hAnsi="Arial" w:cs="Arial"/>
        </w:rPr>
        <w:lastRenderedPageBreak/>
        <w:t>existing health and support resources that may be required to realize progressive change based on the implementation of the most practical creative solutions. A consistent theme identified throughout the course is the heavy refer</w:t>
      </w:r>
      <w:r>
        <w:rPr>
          <w:rFonts w:ascii="Arial" w:eastAsia="Arial" w:hAnsi="Arial" w:cs="Arial"/>
        </w:rPr>
        <w:t>ence to collaboration between change agents and community empowerment as the principal anchor of sustainability. This requires the optimal exchange of knowledge and information across distinct levels in order to ensure the highest level of symmetry between</w:t>
      </w:r>
      <w:r>
        <w:rPr>
          <w:rFonts w:ascii="Arial" w:eastAsia="Arial" w:hAnsi="Arial" w:cs="Arial"/>
        </w:rPr>
        <w:t xml:space="preserve"> the relevant stakeholders. </w:t>
      </w:r>
    </w:p>
    <w:p w14:paraId="2B96931E" w14:textId="77777777" w:rsidR="00D63709" w:rsidRDefault="00137A00">
      <w:pPr>
        <w:spacing w:after="0" w:line="360" w:lineRule="auto"/>
        <w:ind w:firstLine="720"/>
        <w:rPr>
          <w:rFonts w:ascii="Arial" w:eastAsia="Arial" w:hAnsi="Arial" w:cs="Arial"/>
        </w:rPr>
      </w:pPr>
      <w:r>
        <w:rPr>
          <w:rFonts w:ascii="Arial" w:eastAsia="Arial" w:hAnsi="Arial" w:cs="Arial"/>
        </w:rPr>
        <w:t>Finally, Unit 4 introduced me to the concept of accountability and transparency in the assessment of the social change. Cook (2014) defined evaluation as a group of mechanisms used to collect and utilize information in order to</w:t>
      </w:r>
      <w:r>
        <w:rPr>
          <w:rFonts w:ascii="Arial" w:eastAsia="Arial" w:hAnsi="Arial" w:cs="Arial"/>
        </w:rPr>
        <w:t xml:space="preserve"> create a better understanding of policies and programs, as well as individual projects. Moreover, evaluation in the context of social change provides the changemakers with an opportunity to better understand the effects, as well the unique interactions, w</w:t>
      </w:r>
      <w:r>
        <w:rPr>
          <w:rFonts w:ascii="Arial" w:eastAsia="Arial" w:hAnsi="Arial" w:cs="Arial"/>
        </w:rPr>
        <w:t>ithin the context of their implementation. My experience through the unit demonstrated that the principles of evaluation emphasize honest and competent inquiry that acknowledges the dignity, security and self-value of the program participants, respondents,</w:t>
      </w:r>
      <w:r>
        <w:rPr>
          <w:rFonts w:ascii="Arial" w:eastAsia="Arial" w:hAnsi="Arial" w:cs="Arial"/>
        </w:rPr>
        <w:t xml:space="preserve"> clients and any other relevant evaluation stakeholders (Cook, 2014). Therefore, the knowledge acquired from Unit 4 served as an appraisal of the knowledge acquired from the preceding units and further legitimized the content of the entire course.   </w:t>
      </w:r>
    </w:p>
    <w:p w14:paraId="4A96A8F5" w14:textId="77777777" w:rsidR="00D63709" w:rsidRDefault="00D63709">
      <w:pPr>
        <w:spacing w:after="0" w:line="360" w:lineRule="auto"/>
        <w:ind w:firstLine="720"/>
        <w:rPr>
          <w:rFonts w:ascii="Arial" w:eastAsia="Arial" w:hAnsi="Arial" w:cs="Arial"/>
        </w:rPr>
      </w:pPr>
    </w:p>
    <w:p w14:paraId="10DCAEA6" w14:textId="77777777" w:rsidR="00D63709" w:rsidRDefault="00D63709">
      <w:pPr>
        <w:spacing w:after="0" w:line="360" w:lineRule="auto"/>
        <w:ind w:firstLine="720"/>
        <w:rPr>
          <w:rFonts w:ascii="Arial" w:eastAsia="Arial" w:hAnsi="Arial" w:cs="Arial"/>
        </w:rPr>
      </w:pPr>
    </w:p>
    <w:p w14:paraId="7D24E281" w14:textId="77777777" w:rsidR="00D63709" w:rsidRDefault="00D63709">
      <w:pPr>
        <w:spacing w:after="0" w:line="360" w:lineRule="auto"/>
        <w:ind w:firstLine="720"/>
        <w:rPr>
          <w:rFonts w:ascii="Arial" w:eastAsia="Arial" w:hAnsi="Arial" w:cs="Arial"/>
        </w:rPr>
      </w:pPr>
    </w:p>
    <w:p w14:paraId="0B1264A7" w14:textId="77777777" w:rsidR="00D63709" w:rsidRDefault="00D63709">
      <w:pPr>
        <w:spacing w:after="0" w:line="360" w:lineRule="auto"/>
        <w:ind w:firstLine="720"/>
        <w:rPr>
          <w:rFonts w:ascii="Arial" w:eastAsia="Arial" w:hAnsi="Arial" w:cs="Arial"/>
        </w:rPr>
      </w:pPr>
    </w:p>
    <w:p w14:paraId="5BAC22D3" w14:textId="77777777" w:rsidR="00D63709" w:rsidRDefault="00D63709">
      <w:pPr>
        <w:spacing w:after="0" w:line="360" w:lineRule="auto"/>
        <w:ind w:firstLine="720"/>
        <w:rPr>
          <w:rFonts w:ascii="Arial" w:eastAsia="Arial" w:hAnsi="Arial" w:cs="Arial"/>
        </w:rPr>
      </w:pPr>
    </w:p>
    <w:p w14:paraId="75C0CF6B" w14:textId="77777777" w:rsidR="00D63709" w:rsidRDefault="00D63709">
      <w:pPr>
        <w:spacing w:after="0" w:line="360" w:lineRule="auto"/>
        <w:ind w:firstLine="720"/>
        <w:rPr>
          <w:rFonts w:ascii="Arial" w:eastAsia="Arial" w:hAnsi="Arial" w:cs="Arial"/>
        </w:rPr>
      </w:pPr>
    </w:p>
    <w:p w14:paraId="00E222C0" w14:textId="77777777" w:rsidR="00D63709" w:rsidRDefault="00D63709">
      <w:pPr>
        <w:spacing w:after="0" w:line="360" w:lineRule="auto"/>
        <w:ind w:firstLine="720"/>
        <w:rPr>
          <w:rFonts w:ascii="Arial" w:eastAsia="Arial" w:hAnsi="Arial" w:cs="Arial"/>
        </w:rPr>
      </w:pPr>
    </w:p>
    <w:p w14:paraId="7E5BE25C" w14:textId="77777777" w:rsidR="00D63709" w:rsidRDefault="00D63709">
      <w:pPr>
        <w:spacing w:after="0" w:line="360" w:lineRule="auto"/>
        <w:ind w:firstLine="720"/>
        <w:rPr>
          <w:rFonts w:ascii="Arial" w:eastAsia="Arial" w:hAnsi="Arial" w:cs="Arial"/>
        </w:rPr>
      </w:pPr>
    </w:p>
    <w:p w14:paraId="2607CF9F" w14:textId="77777777" w:rsidR="00D63709" w:rsidRDefault="00D63709">
      <w:pPr>
        <w:spacing w:after="0" w:line="360" w:lineRule="auto"/>
        <w:ind w:firstLine="720"/>
        <w:rPr>
          <w:rFonts w:ascii="Arial" w:eastAsia="Arial" w:hAnsi="Arial" w:cs="Arial"/>
        </w:rPr>
      </w:pPr>
    </w:p>
    <w:p w14:paraId="14B4D0DE" w14:textId="77777777" w:rsidR="00D63709" w:rsidRDefault="00D63709">
      <w:pPr>
        <w:spacing w:after="0" w:line="360" w:lineRule="auto"/>
        <w:ind w:firstLine="720"/>
        <w:rPr>
          <w:rFonts w:ascii="Arial" w:eastAsia="Arial" w:hAnsi="Arial" w:cs="Arial"/>
        </w:rPr>
      </w:pPr>
    </w:p>
    <w:p w14:paraId="77BDA0C6" w14:textId="77777777" w:rsidR="00D63709" w:rsidRDefault="00D63709">
      <w:pPr>
        <w:spacing w:after="0" w:line="360" w:lineRule="auto"/>
        <w:ind w:firstLine="720"/>
        <w:rPr>
          <w:rFonts w:ascii="Arial" w:eastAsia="Arial" w:hAnsi="Arial" w:cs="Arial"/>
        </w:rPr>
      </w:pPr>
    </w:p>
    <w:p w14:paraId="40CDBAC0" w14:textId="77777777" w:rsidR="00D63709" w:rsidRDefault="00D63709">
      <w:pPr>
        <w:spacing w:after="0" w:line="360" w:lineRule="auto"/>
        <w:ind w:firstLine="720"/>
        <w:rPr>
          <w:rFonts w:ascii="Arial" w:eastAsia="Arial" w:hAnsi="Arial" w:cs="Arial"/>
        </w:rPr>
      </w:pPr>
    </w:p>
    <w:p w14:paraId="2F82241A" w14:textId="77777777" w:rsidR="00D63709" w:rsidRDefault="00D63709">
      <w:pPr>
        <w:spacing w:after="0" w:line="360" w:lineRule="auto"/>
        <w:ind w:firstLine="720"/>
        <w:rPr>
          <w:rFonts w:ascii="Arial" w:eastAsia="Arial" w:hAnsi="Arial" w:cs="Arial"/>
        </w:rPr>
      </w:pPr>
    </w:p>
    <w:p w14:paraId="2EAFD6CF" w14:textId="77777777" w:rsidR="00D63709" w:rsidRDefault="00D63709">
      <w:pPr>
        <w:spacing w:after="0" w:line="360" w:lineRule="auto"/>
        <w:ind w:firstLine="720"/>
        <w:rPr>
          <w:rFonts w:ascii="Arial" w:eastAsia="Arial" w:hAnsi="Arial" w:cs="Arial"/>
        </w:rPr>
      </w:pPr>
    </w:p>
    <w:p w14:paraId="2AD0831D" w14:textId="77777777" w:rsidR="00D63709" w:rsidRDefault="00D63709">
      <w:pPr>
        <w:spacing w:after="0" w:line="360" w:lineRule="auto"/>
        <w:ind w:firstLine="720"/>
        <w:rPr>
          <w:rFonts w:ascii="Arial" w:eastAsia="Arial" w:hAnsi="Arial" w:cs="Arial"/>
        </w:rPr>
      </w:pPr>
    </w:p>
    <w:p w14:paraId="1C42C70E" w14:textId="77777777" w:rsidR="00D63709" w:rsidRDefault="00D63709">
      <w:pPr>
        <w:spacing w:after="0" w:line="360" w:lineRule="auto"/>
        <w:ind w:firstLine="720"/>
        <w:rPr>
          <w:rFonts w:ascii="Arial" w:eastAsia="Arial" w:hAnsi="Arial" w:cs="Arial"/>
        </w:rPr>
      </w:pPr>
    </w:p>
    <w:p w14:paraId="48DB1D8E" w14:textId="77777777" w:rsidR="00D63709" w:rsidRDefault="00D63709">
      <w:pPr>
        <w:spacing w:after="0" w:line="360" w:lineRule="auto"/>
        <w:ind w:firstLine="720"/>
        <w:rPr>
          <w:rFonts w:ascii="Arial" w:eastAsia="Arial" w:hAnsi="Arial" w:cs="Arial"/>
        </w:rPr>
      </w:pPr>
    </w:p>
    <w:p w14:paraId="1909B6A4" w14:textId="77777777" w:rsidR="00D63709" w:rsidRDefault="00D63709">
      <w:pPr>
        <w:spacing w:after="0" w:line="360" w:lineRule="auto"/>
        <w:ind w:firstLine="720"/>
        <w:rPr>
          <w:rFonts w:ascii="Arial" w:eastAsia="Arial" w:hAnsi="Arial" w:cs="Arial"/>
        </w:rPr>
      </w:pPr>
    </w:p>
    <w:p w14:paraId="24B07431" w14:textId="77777777" w:rsidR="00D63709" w:rsidRDefault="00D63709">
      <w:pPr>
        <w:spacing w:after="0" w:line="360" w:lineRule="auto"/>
        <w:ind w:firstLine="720"/>
        <w:rPr>
          <w:rFonts w:ascii="Arial" w:eastAsia="Arial" w:hAnsi="Arial" w:cs="Arial"/>
        </w:rPr>
      </w:pPr>
    </w:p>
    <w:p w14:paraId="206641A3" w14:textId="77777777" w:rsidR="00D63709" w:rsidRDefault="00D63709">
      <w:pPr>
        <w:spacing w:after="0" w:line="360" w:lineRule="auto"/>
        <w:ind w:firstLine="720"/>
        <w:rPr>
          <w:rFonts w:ascii="Arial" w:eastAsia="Arial" w:hAnsi="Arial" w:cs="Arial"/>
        </w:rPr>
      </w:pPr>
    </w:p>
    <w:p w14:paraId="0DF0C8C9" w14:textId="77777777" w:rsidR="00D63709" w:rsidRDefault="00D63709">
      <w:pPr>
        <w:spacing w:after="0" w:line="360" w:lineRule="auto"/>
        <w:ind w:firstLine="720"/>
        <w:rPr>
          <w:rFonts w:ascii="Arial" w:eastAsia="Arial" w:hAnsi="Arial" w:cs="Arial"/>
        </w:rPr>
      </w:pPr>
    </w:p>
    <w:p w14:paraId="69536DD5" w14:textId="77777777" w:rsidR="00D63709" w:rsidRDefault="00D63709">
      <w:pPr>
        <w:spacing w:after="0" w:line="360" w:lineRule="auto"/>
        <w:ind w:firstLine="720"/>
        <w:rPr>
          <w:rFonts w:ascii="Arial" w:eastAsia="Arial" w:hAnsi="Arial" w:cs="Arial"/>
        </w:rPr>
      </w:pPr>
    </w:p>
    <w:p w14:paraId="40A961AA" w14:textId="77777777" w:rsidR="00D63709" w:rsidRDefault="00D63709">
      <w:pPr>
        <w:spacing w:after="0" w:line="360" w:lineRule="auto"/>
        <w:ind w:firstLine="720"/>
        <w:rPr>
          <w:rFonts w:ascii="Arial" w:eastAsia="Arial" w:hAnsi="Arial" w:cs="Arial"/>
        </w:rPr>
      </w:pPr>
      <w:bookmarkStart w:id="1" w:name="_30j0zll" w:colFirst="0" w:colLast="0"/>
      <w:bookmarkEnd w:id="1"/>
    </w:p>
    <w:p w14:paraId="3D149611" w14:textId="77777777" w:rsidR="00D63709" w:rsidRDefault="00137A00">
      <w:pPr>
        <w:spacing w:after="0" w:line="360" w:lineRule="auto"/>
        <w:ind w:firstLine="720"/>
        <w:jc w:val="center"/>
        <w:rPr>
          <w:rFonts w:ascii="Arial" w:eastAsia="Arial" w:hAnsi="Arial" w:cs="Arial"/>
        </w:rPr>
      </w:pPr>
      <w:r>
        <w:rPr>
          <w:rFonts w:ascii="Arial" w:eastAsia="Arial" w:hAnsi="Arial" w:cs="Arial"/>
        </w:rPr>
        <w:t>References</w:t>
      </w:r>
    </w:p>
    <w:p w14:paraId="59CDE5D0" w14:textId="77777777" w:rsidR="00D63709" w:rsidRDefault="00137A00">
      <w:pPr>
        <w:spacing w:after="0" w:line="360" w:lineRule="auto"/>
        <w:ind w:left="720" w:hanging="720"/>
        <w:rPr>
          <w:rFonts w:ascii="Arial" w:eastAsia="Arial" w:hAnsi="Arial" w:cs="Arial"/>
        </w:rPr>
      </w:pPr>
      <w:r>
        <w:rPr>
          <w:rFonts w:ascii="Arial" w:eastAsia="Arial" w:hAnsi="Arial" w:cs="Arial"/>
        </w:rPr>
        <w:t xml:space="preserve">Bias, T., </w:t>
      </w:r>
      <w:proofErr w:type="spellStart"/>
      <w:r>
        <w:rPr>
          <w:rFonts w:ascii="Arial" w:eastAsia="Arial" w:hAnsi="Arial" w:cs="Arial"/>
        </w:rPr>
        <w:t>Abildso</w:t>
      </w:r>
      <w:proofErr w:type="spellEnd"/>
      <w:r>
        <w:rPr>
          <w:rFonts w:ascii="Arial" w:eastAsia="Arial" w:hAnsi="Arial" w:cs="Arial"/>
        </w:rPr>
        <w:t xml:space="preserve">, C. and </w:t>
      </w:r>
      <w:proofErr w:type="spellStart"/>
      <w:r>
        <w:rPr>
          <w:rFonts w:ascii="Arial" w:eastAsia="Arial" w:hAnsi="Arial" w:cs="Arial"/>
        </w:rPr>
        <w:t>Sarkees</w:t>
      </w:r>
      <w:proofErr w:type="spellEnd"/>
      <w:r>
        <w:rPr>
          <w:rFonts w:ascii="Arial" w:eastAsia="Arial" w:hAnsi="Arial" w:cs="Arial"/>
        </w:rPr>
        <w:t>, E., 2020. The Importance of Individual-Site and System-Wide Community Health Needs Assessments. </w:t>
      </w:r>
      <w:r>
        <w:rPr>
          <w:rFonts w:ascii="Arial" w:eastAsia="Arial" w:hAnsi="Arial" w:cs="Arial"/>
          <w:i/>
        </w:rPr>
        <w:t>Frontiers in Public Health</w:t>
      </w:r>
      <w:r>
        <w:rPr>
          <w:rFonts w:ascii="Arial" w:eastAsia="Arial" w:hAnsi="Arial" w:cs="Arial"/>
        </w:rPr>
        <w:t>, 8.</w:t>
      </w:r>
    </w:p>
    <w:p w14:paraId="4AF63C05" w14:textId="77777777" w:rsidR="00D63709" w:rsidRDefault="00137A00">
      <w:pPr>
        <w:spacing w:after="0" w:line="360" w:lineRule="auto"/>
        <w:ind w:left="720" w:hanging="720"/>
        <w:rPr>
          <w:rFonts w:ascii="Arial" w:eastAsia="Arial" w:hAnsi="Arial" w:cs="Arial"/>
        </w:rPr>
      </w:pPr>
      <w:r>
        <w:rPr>
          <w:rFonts w:ascii="Arial" w:eastAsia="Arial" w:hAnsi="Arial" w:cs="Arial"/>
        </w:rPr>
        <w:t>Cook, J., 2014. Using Evaluation to Effect Social Change. American Journal of Evaluation, 36(1</w:t>
      </w:r>
      <w:r>
        <w:rPr>
          <w:rFonts w:ascii="Arial" w:eastAsia="Arial" w:hAnsi="Arial" w:cs="Arial"/>
        </w:rPr>
        <w:t>), pp.107-117.</w:t>
      </w:r>
    </w:p>
    <w:p w14:paraId="63697563" w14:textId="77777777" w:rsidR="00D63709" w:rsidRDefault="00137A00">
      <w:pPr>
        <w:spacing w:after="0" w:line="360" w:lineRule="auto"/>
        <w:ind w:left="720" w:hanging="720"/>
        <w:rPr>
          <w:rFonts w:ascii="Arial" w:eastAsia="Arial" w:hAnsi="Arial" w:cs="Arial"/>
        </w:rPr>
      </w:pPr>
      <w:r>
        <w:rPr>
          <w:rFonts w:ascii="Arial" w:eastAsia="Arial" w:hAnsi="Arial" w:cs="Arial"/>
        </w:rPr>
        <w:t xml:space="preserve">Cowley, S. and Billings, J., 1999. Resources revisited: </w:t>
      </w:r>
      <w:proofErr w:type="spellStart"/>
      <w:r>
        <w:rPr>
          <w:rFonts w:ascii="Arial" w:eastAsia="Arial" w:hAnsi="Arial" w:cs="Arial"/>
        </w:rPr>
        <w:t>salutogenesis</w:t>
      </w:r>
      <w:proofErr w:type="spellEnd"/>
      <w:r>
        <w:rPr>
          <w:rFonts w:ascii="Arial" w:eastAsia="Arial" w:hAnsi="Arial" w:cs="Arial"/>
        </w:rPr>
        <w:t xml:space="preserve"> from a lay perspective. </w:t>
      </w:r>
      <w:r>
        <w:rPr>
          <w:rFonts w:ascii="Arial" w:eastAsia="Arial" w:hAnsi="Arial" w:cs="Arial"/>
          <w:i/>
        </w:rPr>
        <w:t>Journal of Advanced Nursing</w:t>
      </w:r>
      <w:r>
        <w:rPr>
          <w:rFonts w:ascii="Arial" w:eastAsia="Arial" w:hAnsi="Arial" w:cs="Arial"/>
        </w:rPr>
        <w:t>, 29(4), pp.994-1004.</w:t>
      </w:r>
    </w:p>
    <w:p w14:paraId="5FC9548B" w14:textId="77777777" w:rsidR="00D63709" w:rsidRDefault="00137A00">
      <w:pPr>
        <w:spacing w:after="0" w:line="360" w:lineRule="auto"/>
        <w:ind w:left="720" w:hanging="720"/>
        <w:rPr>
          <w:rFonts w:ascii="Arial" w:eastAsia="Arial" w:hAnsi="Arial" w:cs="Arial"/>
        </w:rPr>
      </w:pPr>
      <w:r>
        <w:rPr>
          <w:rFonts w:ascii="Arial" w:eastAsia="Arial" w:hAnsi="Arial" w:cs="Arial"/>
        </w:rPr>
        <w:t>Hornby-Turner, Y., Peel, N. and Hubbard, R., 2017. Health assets in older age: a systematic review</w:t>
      </w:r>
      <w:r>
        <w:rPr>
          <w:rFonts w:ascii="Arial" w:eastAsia="Arial" w:hAnsi="Arial" w:cs="Arial"/>
        </w:rPr>
        <w:t>. </w:t>
      </w:r>
      <w:r>
        <w:rPr>
          <w:rFonts w:ascii="Arial" w:eastAsia="Arial" w:hAnsi="Arial" w:cs="Arial"/>
          <w:i/>
        </w:rPr>
        <w:t>BMJ Open</w:t>
      </w:r>
      <w:r>
        <w:rPr>
          <w:rFonts w:ascii="Arial" w:eastAsia="Arial" w:hAnsi="Arial" w:cs="Arial"/>
        </w:rPr>
        <w:t>, 7(5), p.e013226.</w:t>
      </w:r>
    </w:p>
    <w:p w14:paraId="49BD42D2" w14:textId="77777777" w:rsidR="00D63709" w:rsidRDefault="00137A00">
      <w:pPr>
        <w:spacing w:after="0" w:line="360" w:lineRule="auto"/>
        <w:ind w:left="720" w:hanging="720"/>
        <w:rPr>
          <w:rFonts w:ascii="Arial" w:eastAsia="Arial" w:hAnsi="Arial" w:cs="Arial"/>
        </w:rPr>
      </w:pPr>
      <w:r>
        <w:rPr>
          <w:rFonts w:ascii="Arial" w:eastAsia="Arial" w:hAnsi="Arial" w:cs="Arial"/>
        </w:rPr>
        <w:t xml:space="preserve">Lee, C., Payne, L. and </w:t>
      </w:r>
      <w:proofErr w:type="spellStart"/>
      <w:r>
        <w:rPr>
          <w:rFonts w:ascii="Arial" w:eastAsia="Arial" w:hAnsi="Arial" w:cs="Arial"/>
        </w:rPr>
        <w:t>Berdychevsky</w:t>
      </w:r>
      <w:proofErr w:type="spellEnd"/>
      <w:r>
        <w:rPr>
          <w:rFonts w:ascii="Arial" w:eastAsia="Arial" w:hAnsi="Arial" w:cs="Arial"/>
        </w:rPr>
        <w:t>, L., 2018. The Roles of Leisure Attitudes and Self-Efficacy on Attitudes Toward Retirement Among Retirees: A Sense of Coherence Theory Approach. </w:t>
      </w:r>
      <w:r>
        <w:rPr>
          <w:rFonts w:ascii="Arial" w:eastAsia="Arial" w:hAnsi="Arial" w:cs="Arial"/>
          <w:i/>
        </w:rPr>
        <w:t>Leisure Sciences</w:t>
      </w:r>
      <w:r>
        <w:rPr>
          <w:rFonts w:ascii="Arial" w:eastAsia="Arial" w:hAnsi="Arial" w:cs="Arial"/>
        </w:rPr>
        <w:t>, 42(2), pp.152-169.</w:t>
      </w:r>
    </w:p>
    <w:p w14:paraId="7CB94275" w14:textId="77777777" w:rsidR="00D63709" w:rsidRDefault="00137A00">
      <w:pPr>
        <w:spacing w:after="0" w:line="360" w:lineRule="auto"/>
        <w:ind w:left="720" w:hanging="720"/>
        <w:rPr>
          <w:rFonts w:ascii="Arial" w:eastAsia="Arial" w:hAnsi="Arial" w:cs="Arial"/>
        </w:rPr>
      </w:pPr>
      <w:proofErr w:type="spellStart"/>
      <w:r>
        <w:rPr>
          <w:rFonts w:ascii="Arial" w:eastAsia="Arial" w:hAnsi="Arial" w:cs="Arial"/>
        </w:rPr>
        <w:t>Molero</w:t>
      </w:r>
      <w:proofErr w:type="spellEnd"/>
      <w:r>
        <w:rPr>
          <w:rFonts w:ascii="Arial" w:eastAsia="Arial" w:hAnsi="Arial" w:cs="Arial"/>
        </w:rPr>
        <w:t>, A</w:t>
      </w:r>
      <w:r>
        <w:rPr>
          <w:rFonts w:ascii="Arial" w:eastAsia="Arial" w:hAnsi="Arial" w:cs="Arial"/>
        </w:rPr>
        <w:t xml:space="preserve">., </w:t>
      </w:r>
      <w:proofErr w:type="spellStart"/>
      <w:r>
        <w:rPr>
          <w:rFonts w:ascii="Arial" w:eastAsia="Arial" w:hAnsi="Arial" w:cs="Arial"/>
        </w:rPr>
        <w:t>Calabrò</w:t>
      </w:r>
      <w:proofErr w:type="spellEnd"/>
      <w:r>
        <w:rPr>
          <w:rFonts w:ascii="Arial" w:eastAsia="Arial" w:hAnsi="Arial" w:cs="Arial"/>
        </w:rPr>
        <w:t xml:space="preserve">, M., </w:t>
      </w:r>
      <w:proofErr w:type="spellStart"/>
      <w:r>
        <w:rPr>
          <w:rFonts w:ascii="Arial" w:eastAsia="Arial" w:hAnsi="Arial" w:cs="Arial"/>
        </w:rPr>
        <w:t>Vignes</w:t>
      </w:r>
      <w:proofErr w:type="spellEnd"/>
      <w:r>
        <w:rPr>
          <w:rFonts w:ascii="Arial" w:eastAsia="Arial" w:hAnsi="Arial" w:cs="Arial"/>
        </w:rPr>
        <w:t xml:space="preserve">, M., </w:t>
      </w:r>
      <w:proofErr w:type="spellStart"/>
      <w:r>
        <w:rPr>
          <w:rFonts w:ascii="Arial" w:eastAsia="Arial" w:hAnsi="Arial" w:cs="Arial"/>
        </w:rPr>
        <w:t>Gouget</w:t>
      </w:r>
      <w:proofErr w:type="spellEnd"/>
      <w:r>
        <w:rPr>
          <w:rFonts w:ascii="Arial" w:eastAsia="Arial" w:hAnsi="Arial" w:cs="Arial"/>
        </w:rPr>
        <w:t xml:space="preserve">, B. and </w:t>
      </w:r>
      <w:proofErr w:type="spellStart"/>
      <w:r>
        <w:rPr>
          <w:rFonts w:ascii="Arial" w:eastAsia="Arial" w:hAnsi="Arial" w:cs="Arial"/>
        </w:rPr>
        <w:t>Gruson</w:t>
      </w:r>
      <w:proofErr w:type="spellEnd"/>
      <w:r>
        <w:rPr>
          <w:rFonts w:ascii="Arial" w:eastAsia="Arial" w:hAnsi="Arial" w:cs="Arial"/>
        </w:rPr>
        <w:t>, D., 2021. Sustainability in Healthcare: Perspectives and Reflections Regarding Laboratory Medicine. Annals of Laboratory Medicine, 41(2), pp.139-144.</w:t>
      </w:r>
    </w:p>
    <w:p w14:paraId="6A379057" w14:textId="77777777" w:rsidR="00D63709" w:rsidRDefault="00137A00">
      <w:pPr>
        <w:spacing w:after="0" w:line="360" w:lineRule="auto"/>
        <w:ind w:left="720" w:hanging="720"/>
        <w:rPr>
          <w:rFonts w:ascii="Arial" w:eastAsia="Arial" w:hAnsi="Arial" w:cs="Arial"/>
        </w:rPr>
      </w:pPr>
      <w:proofErr w:type="spellStart"/>
      <w:r>
        <w:rPr>
          <w:rFonts w:ascii="Arial" w:eastAsia="Arial" w:hAnsi="Arial" w:cs="Arial"/>
        </w:rPr>
        <w:t>Monma</w:t>
      </w:r>
      <w:proofErr w:type="spellEnd"/>
      <w:r>
        <w:rPr>
          <w:rFonts w:ascii="Arial" w:eastAsia="Arial" w:hAnsi="Arial" w:cs="Arial"/>
        </w:rPr>
        <w:t>, T., Takeda, F. and Okura, T., 2017. Physical act</w:t>
      </w:r>
      <w:r>
        <w:rPr>
          <w:rFonts w:ascii="Arial" w:eastAsia="Arial" w:hAnsi="Arial" w:cs="Arial"/>
        </w:rPr>
        <w:t>ivities impact sense of coherence among community-dwelling older adults. </w:t>
      </w:r>
      <w:r>
        <w:rPr>
          <w:rFonts w:ascii="Arial" w:eastAsia="Arial" w:hAnsi="Arial" w:cs="Arial"/>
          <w:i/>
        </w:rPr>
        <w:t>Geriatrics &amp;amp; Gerontology International</w:t>
      </w:r>
      <w:r>
        <w:rPr>
          <w:rFonts w:ascii="Arial" w:eastAsia="Arial" w:hAnsi="Arial" w:cs="Arial"/>
        </w:rPr>
        <w:t>, 17(11), pp.2208-2215.</w:t>
      </w:r>
    </w:p>
    <w:p w14:paraId="70A953F6" w14:textId="77777777" w:rsidR="00D63709" w:rsidRDefault="00137A00">
      <w:pPr>
        <w:spacing w:after="0" w:line="360" w:lineRule="auto"/>
        <w:ind w:left="720" w:hanging="720"/>
        <w:rPr>
          <w:rFonts w:ascii="Arial" w:eastAsia="Arial" w:hAnsi="Arial" w:cs="Arial"/>
        </w:rPr>
      </w:pPr>
      <w:r>
        <w:rPr>
          <w:rFonts w:ascii="Arial" w:eastAsia="Arial" w:hAnsi="Arial" w:cs="Arial"/>
        </w:rPr>
        <w:t xml:space="preserve">Morgan, A. and </w:t>
      </w:r>
      <w:proofErr w:type="spellStart"/>
      <w:r>
        <w:rPr>
          <w:rFonts w:ascii="Arial" w:eastAsia="Arial" w:hAnsi="Arial" w:cs="Arial"/>
        </w:rPr>
        <w:t>Ziglio</w:t>
      </w:r>
      <w:proofErr w:type="spellEnd"/>
      <w:r>
        <w:rPr>
          <w:rFonts w:ascii="Arial" w:eastAsia="Arial" w:hAnsi="Arial" w:cs="Arial"/>
        </w:rPr>
        <w:t>, E., 2007. Revitalising the evidence base for public health: an assets model. </w:t>
      </w:r>
      <w:r>
        <w:rPr>
          <w:rFonts w:ascii="Arial" w:eastAsia="Arial" w:hAnsi="Arial" w:cs="Arial"/>
          <w:i/>
        </w:rPr>
        <w:t>Promotion &amp;amp; E</w:t>
      </w:r>
      <w:r>
        <w:rPr>
          <w:rFonts w:ascii="Arial" w:eastAsia="Arial" w:hAnsi="Arial" w:cs="Arial"/>
          <w:i/>
        </w:rPr>
        <w:t>ducation</w:t>
      </w:r>
      <w:r>
        <w:rPr>
          <w:rFonts w:ascii="Arial" w:eastAsia="Arial" w:hAnsi="Arial" w:cs="Arial"/>
        </w:rPr>
        <w:t>, 14(2_suppl), pp.17-22.</w:t>
      </w:r>
    </w:p>
    <w:p w14:paraId="2B06F5F6" w14:textId="77777777" w:rsidR="00D63709" w:rsidRDefault="00137A00">
      <w:pPr>
        <w:spacing w:after="0" w:line="360" w:lineRule="auto"/>
        <w:ind w:left="720" w:hanging="720"/>
        <w:rPr>
          <w:rFonts w:ascii="Arial" w:eastAsia="Arial" w:hAnsi="Arial" w:cs="Arial"/>
        </w:rPr>
      </w:pPr>
      <w:proofErr w:type="spellStart"/>
      <w:r>
        <w:rPr>
          <w:rFonts w:ascii="Arial" w:eastAsia="Arial" w:hAnsi="Arial" w:cs="Arial"/>
        </w:rPr>
        <w:t>Sabur</w:t>
      </w:r>
      <w:proofErr w:type="spellEnd"/>
      <w:r>
        <w:rPr>
          <w:rFonts w:ascii="Arial" w:eastAsia="Arial" w:hAnsi="Arial" w:cs="Arial"/>
        </w:rPr>
        <w:t xml:space="preserve">, M., 1999. Mobilising Resources Within the Community: ‘Mobilising the </w:t>
      </w:r>
      <w:proofErr w:type="spellStart"/>
      <w:r>
        <w:rPr>
          <w:rFonts w:ascii="Arial" w:eastAsia="Arial" w:hAnsi="Arial" w:cs="Arial"/>
        </w:rPr>
        <w:t>Unmobilised</w:t>
      </w:r>
      <w:proofErr w:type="spellEnd"/>
      <w:r>
        <w:rPr>
          <w:rFonts w:ascii="Arial" w:eastAsia="Arial" w:hAnsi="Arial" w:cs="Arial"/>
        </w:rPr>
        <w:t>’. </w:t>
      </w:r>
      <w:r>
        <w:rPr>
          <w:rFonts w:ascii="Arial" w:eastAsia="Arial" w:hAnsi="Arial" w:cs="Arial"/>
          <w:i/>
        </w:rPr>
        <w:t>Community Eye Health</w:t>
      </w:r>
      <w:r>
        <w:rPr>
          <w:rFonts w:ascii="Arial" w:eastAsia="Arial" w:hAnsi="Arial" w:cs="Arial"/>
        </w:rPr>
        <w:t>, 12(31), pp.38-39.</w:t>
      </w:r>
    </w:p>
    <w:p w14:paraId="45169FEE" w14:textId="77777777" w:rsidR="00D63709" w:rsidRDefault="00137A00">
      <w:pPr>
        <w:spacing w:after="0" w:line="360" w:lineRule="auto"/>
        <w:ind w:left="720" w:hanging="720"/>
        <w:rPr>
          <w:rFonts w:ascii="Arial" w:eastAsia="Arial" w:hAnsi="Arial" w:cs="Arial"/>
        </w:rPr>
      </w:pPr>
      <w:r>
        <w:rPr>
          <w:rFonts w:ascii="Arial" w:eastAsia="Arial" w:hAnsi="Arial" w:cs="Arial"/>
        </w:rPr>
        <w:t>Savethechildren.org.uk. 2022. </w:t>
      </w:r>
      <w:r>
        <w:rPr>
          <w:rFonts w:ascii="Arial" w:eastAsia="Arial" w:hAnsi="Arial" w:cs="Arial"/>
          <w:i/>
        </w:rPr>
        <w:t>Save the Children UK | International Children's Charity</w:t>
      </w:r>
      <w:r>
        <w:rPr>
          <w:rFonts w:ascii="Arial" w:eastAsia="Arial" w:hAnsi="Arial" w:cs="Arial"/>
        </w:rPr>
        <w:t>. [onlin</w:t>
      </w:r>
      <w:r>
        <w:rPr>
          <w:rFonts w:ascii="Arial" w:eastAsia="Arial" w:hAnsi="Arial" w:cs="Arial"/>
        </w:rPr>
        <w:t>e] Available at: &lt;https://www.savethechildren.org.uk/&gt; [Accessed 8 April 2022].</w:t>
      </w:r>
    </w:p>
    <w:p w14:paraId="100244D5" w14:textId="77777777" w:rsidR="00D63709" w:rsidRDefault="00137A00">
      <w:pPr>
        <w:spacing w:after="0" w:line="360" w:lineRule="auto"/>
        <w:ind w:left="720" w:hanging="720"/>
        <w:rPr>
          <w:rFonts w:ascii="Arial" w:eastAsia="Arial" w:hAnsi="Arial" w:cs="Arial"/>
        </w:rPr>
      </w:pPr>
      <w:proofErr w:type="spellStart"/>
      <w:r>
        <w:rPr>
          <w:rFonts w:ascii="Arial" w:eastAsia="Arial" w:hAnsi="Arial" w:cs="Arial"/>
        </w:rPr>
        <w:t>Seah</w:t>
      </w:r>
      <w:proofErr w:type="spellEnd"/>
      <w:r>
        <w:rPr>
          <w:rFonts w:ascii="Arial" w:eastAsia="Arial" w:hAnsi="Arial" w:cs="Arial"/>
        </w:rPr>
        <w:t xml:space="preserve">, B., </w:t>
      </w:r>
      <w:proofErr w:type="spellStart"/>
      <w:r>
        <w:rPr>
          <w:rFonts w:ascii="Arial" w:eastAsia="Arial" w:hAnsi="Arial" w:cs="Arial"/>
        </w:rPr>
        <w:t>Espnes</w:t>
      </w:r>
      <w:proofErr w:type="spellEnd"/>
      <w:r>
        <w:rPr>
          <w:rFonts w:ascii="Arial" w:eastAsia="Arial" w:hAnsi="Arial" w:cs="Arial"/>
        </w:rPr>
        <w:t xml:space="preserve">, G., Ang, E., Lim, J., </w:t>
      </w:r>
      <w:proofErr w:type="spellStart"/>
      <w:r>
        <w:rPr>
          <w:rFonts w:ascii="Arial" w:eastAsia="Arial" w:hAnsi="Arial" w:cs="Arial"/>
        </w:rPr>
        <w:t>Kowitlawakul</w:t>
      </w:r>
      <w:proofErr w:type="spellEnd"/>
      <w:r>
        <w:rPr>
          <w:rFonts w:ascii="Arial" w:eastAsia="Arial" w:hAnsi="Arial" w:cs="Arial"/>
        </w:rPr>
        <w:t>, Y. and Wang, W., 2020. Supporting the mobilization of health assets among older community dwellers residing in senior-only</w:t>
      </w:r>
      <w:r>
        <w:rPr>
          <w:rFonts w:ascii="Arial" w:eastAsia="Arial" w:hAnsi="Arial" w:cs="Arial"/>
        </w:rPr>
        <w:t xml:space="preserve"> households in Singapore: a qualitative study. </w:t>
      </w:r>
      <w:r>
        <w:rPr>
          <w:rFonts w:ascii="Arial" w:eastAsia="Arial" w:hAnsi="Arial" w:cs="Arial"/>
          <w:i/>
        </w:rPr>
        <w:t>BMC Geriatrics</w:t>
      </w:r>
      <w:r>
        <w:rPr>
          <w:rFonts w:ascii="Arial" w:eastAsia="Arial" w:hAnsi="Arial" w:cs="Arial"/>
        </w:rPr>
        <w:t>, 20(1).</w:t>
      </w:r>
    </w:p>
    <w:p w14:paraId="42174AEA" w14:textId="77777777" w:rsidR="00D63709" w:rsidRDefault="00137A00">
      <w:pPr>
        <w:spacing w:after="0" w:line="360" w:lineRule="auto"/>
        <w:ind w:left="720" w:hanging="720"/>
        <w:rPr>
          <w:rFonts w:ascii="Arial" w:eastAsia="Arial" w:hAnsi="Arial" w:cs="Arial"/>
        </w:rPr>
      </w:pPr>
      <w:r>
        <w:rPr>
          <w:rFonts w:ascii="Arial" w:eastAsia="Arial" w:hAnsi="Arial" w:cs="Arial"/>
        </w:rPr>
        <w:t xml:space="preserve">Thorogood, J., Azuma, F., Collins, C., </w:t>
      </w:r>
      <w:proofErr w:type="spellStart"/>
      <w:r>
        <w:rPr>
          <w:rFonts w:ascii="Arial" w:eastAsia="Arial" w:hAnsi="Arial" w:cs="Arial"/>
        </w:rPr>
        <w:t>Plyushteva</w:t>
      </w:r>
      <w:proofErr w:type="spellEnd"/>
      <w:r>
        <w:rPr>
          <w:rFonts w:ascii="Arial" w:eastAsia="Arial" w:hAnsi="Arial" w:cs="Arial"/>
        </w:rPr>
        <w:t>, A. and Marie, J., 2018. Changemakers and change agents: encouraging students as researchers through Changemaker’s programmes. Journal o</w:t>
      </w:r>
      <w:r>
        <w:rPr>
          <w:rFonts w:ascii="Arial" w:eastAsia="Arial" w:hAnsi="Arial" w:cs="Arial"/>
        </w:rPr>
        <w:t>f Geography in Higher Education, pp.1-17.</w:t>
      </w:r>
    </w:p>
    <w:p w14:paraId="12A1BAF1" w14:textId="77777777" w:rsidR="00D63709" w:rsidRDefault="00D63709">
      <w:pPr>
        <w:spacing w:after="0" w:line="360" w:lineRule="auto"/>
        <w:ind w:firstLine="720"/>
        <w:rPr>
          <w:rFonts w:ascii="Arial" w:eastAsia="Arial" w:hAnsi="Arial" w:cs="Arial"/>
        </w:rPr>
      </w:pPr>
    </w:p>
    <w:sectPr w:rsidR="00D63709">
      <w:headerReference w:type="default" r:id="rId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A706A" w14:textId="77777777" w:rsidR="00137A00" w:rsidRDefault="00137A00">
      <w:pPr>
        <w:spacing w:after="0" w:line="240" w:lineRule="auto"/>
      </w:pPr>
      <w:r>
        <w:separator/>
      </w:r>
    </w:p>
  </w:endnote>
  <w:endnote w:type="continuationSeparator" w:id="0">
    <w:p w14:paraId="44723853" w14:textId="77777777" w:rsidR="00137A00" w:rsidRDefault="00137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FD479" w14:textId="77777777" w:rsidR="00137A00" w:rsidRDefault="00137A00">
      <w:pPr>
        <w:spacing w:after="0" w:line="240" w:lineRule="auto"/>
      </w:pPr>
      <w:r>
        <w:separator/>
      </w:r>
    </w:p>
  </w:footnote>
  <w:footnote w:type="continuationSeparator" w:id="0">
    <w:p w14:paraId="156A21AF" w14:textId="77777777" w:rsidR="00137A00" w:rsidRDefault="00137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4D03" w14:textId="77777777" w:rsidR="00D63709" w:rsidRDefault="00137A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26F5F">
      <w:rPr>
        <w:noProof/>
        <w:color w:val="000000"/>
      </w:rPr>
      <w:t>1</w:t>
    </w:r>
    <w:r>
      <w:rPr>
        <w:color w:val="000000"/>
      </w:rPr>
      <w:fldChar w:fldCharType="end"/>
    </w:r>
  </w:p>
  <w:p w14:paraId="3D5A3260" w14:textId="77777777" w:rsidR="00D63709" w:rsidRDefault="00D6370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09"/>
    <w:rsid w:val="00137A00"/>
    <w:rsid w:val="00467679"/>
    <w:rsid w:val="0051079C"/>
    <w:rsid w:val="00655F31"/>
    <w:rsid w:val="00923A42"/>
    <w:rsid w:val="00A32697"/>
    <w:rsid w:val="00B26F5F"/>
    <w:rsid w:val="00D63709"/>
    <w:rsid w:val="00DD7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94B2"/>
  <w15:docId w15:val="{AA20CC98-8A4E-404F-A130-64BEC5C7A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F6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3BB"/>
    <w:rPr>
      <w:lang w:val="en-GB"/>
    </w:rPr>
  </w:style>
  <w:style w:type="paragraph" w:styleId="Footer">
    <w:name w:val="footer"/>
    <w:basedOn w:val="Normal"/>
    <w:link w:val="FooterChar"/>
    <w:uiPriority w:val="99"/>
    <w:unhideWhenUsed/>
    <w:rsid w:val="002F6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3BB"/>
    <w:rPr>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2418</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Akpojotor</dc:creator>
  <cp:lastModifiedBy>Harriet Akpojotor</cp:lastModifiedBy>
  <cp:revision>7</cp:revision>
  <dcterms:created xsi:type="dcterms:W3CDTF">2022-05-05T13:04:00Z</dcterms:created>
  <dcterms:modified xsi:type="dcterms:W3CDTF">2022-05-05T13:11:00Z</dcterms:modified>
</cp:coreProperties>
</file>