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1B28A2" w14:textId="77777777" w:rsidR="009F4646" w:rsidRPr="00645457" w:rsidRDefault="009F4646" w:rsidP="00B431C4">
      <w:pPr>
        <w:spacing w:line="360" w:lineRule="auto"/>
        <w:jc w:val="center"/>
        <w:rPr>
          <w:rFonts w:ascii="Arial" w:hAnsi="Arial" w:cs="Arial"/>
          <w:b/>
          <w:bCs/>
          <w:sz w:val="22"/>
          <w:szCs w:val="22"/>
        </w:rPr>
      </w:pPr>
    </w:p>
    <w:p w14:paraId="4944CDC1" w14:textId="77777777" w:rsidR="009F4646" w:rsidRPr="00645457" w:rsidRDefault="009F4646" w:rsidP="00B431C4">
      <w:pPr>
        <w:spacing w:line="360" w:lineRule="auto"/>
        <w:jc w:val="center"/>
        <w:rPr>
          <w:rFonts w:ascii="Arial" w:hAnsi="Arial" w:cs="Arial"/>
          <w:b/>
          <w:bCs/>
          <w:sz w:val="22"/>
          <w:szCs w:val="22"/>
        </w:rPr>
      </w:pPr>
    </w:p>
    <w:p w14:paraId="7210E746" w14:textId="77777777" w:rsidR="009F4646" w:rsidRPr="00645457" w:rsidRDefault="009F4646" w:rsidP="00B431C4">
      <w:pPr>
        <w:spacing w:line="360" w:lineRule="auto"/>
        <w:jc w:val="center"/>
        <w:rPr>
          <w:rFonts w:ascii="Arial" w:hAnsi="Arial" w:cs="Arial"/>
          <w:b/>
          <w:bCs/>
          <w:sz w:val="22"/>
          <w:szCs w:val="22"/>
        </w:rPr>
      </w:pPr>
    </w:p>
    <w:p w14:paraId="52CF57CE" w14:textId="77777777" w:rsidR="009F4646" w:rsidRPr="00645457" w:rsidRDefault="009F4646" w:rsidP="00B431C4">
      <w:pPr>
        <w:spacing w:line="360" w:lineRule="auto"/>
        <w:jc w:val="center"/>
        <w:rPr>
          <w:rFonts w:ascii="Arial" w:hAnsi="Arial" w:cs="Arial"/>
          <w:b/>
          <w:bCs/>
          <w:sz w:val="22"/>
          <w:szCs w:val="22"/>
        </w:rPr>
      </w:pPr>
    </w:p>
    <w:p w14:paraId="77988E71" w14:textId="77777777" w:rsidR="009F4646" w:rsidRPr="00645457" w:rsidRDefault="009F4646" w:rsidP="00B431C4">
      <w:pPr>
        <w:spacing w:line="360" w:lineRule="auto"/>
        <w:jc w:val="center"/>
        <w:rPr>
          <w:rFonts w:ascii="Arial" w:hAnsi="Arial" w:cs="Arial"/>
          <w:b/>
          <w:bCs/>
          <w:sz w:val="22"/>
          <w:szCs w:val="22"/>
        </w:rPr>
      </w:pPr>
    </w:p>
    <w:p w14:paraId="5C9E47EF" w14:textId="77777777" w:rsidR="009F4646" w:rsidRPr="00645457" w:rsidRDefault="009F4646" w:rsidP="00B431C4">
      <w:pPr>
        <w:spacing w:line="360" w:lineRule="auto"/>
        <w:jc w:val="center"/>
        <w:rPr>
          <w:rFonts w:ascii="Arial" w:hAnsi="Arial" w:cs="Arial"/>
          <w:b/>
          <w:bCs/>
          <w:sz w:val="22"/>
          <w:szCs w:val="22"/>
        </w:rPr>
      </w:pPr>
    </w:p>
    <w:p w14:paraId="40FD29B7" w14:textId="77777777" w:rsidR="009F4646" w:rsidRPr="00645457" w:rsidRDefault="009F4646" w:rsidP="00B431C4">
      <w:pPr>
        <w:spacing w:line="360" w:lineRule="auto"/>
        <w:jc w:val="center"/>
        <w:rPr>
          <w:rFonts w:ascii="Arial" w:hAnsi="Arial" w:cs="Arial"/>
          <w:b/>
          <w:bCs/>
          <w:sz w:val="22"/>
          <w:szCs w:val="22"/>
        </w:rPr>
      </w:pPr>
    </w:p>
    <w:p w14:paraId="769EEC2D" w14:textId="77777777" w:rsidR="009F4646" w:rsidRPr="00645457" w:rsidRDefault="009F4646" w:rsidP="00B431C4">
      <w:pPr>
        <w:spacing w:line="360" w:lineRule="auto"/>
        <w:jc w:val="center"/>
        <w:rPr>
          <w:rFonts w:ascii="Arial" w:hAnsi="Arial" w:cs="Arial"/>
          <w:b/>
          <w:bCs/>
          <w:sz w:val="22"/>
          <w:szCs w:val="22"/>
        </w:rPr>
      </w:pPr>
    </w:p>
    <w:p w14:paraId="68D3386C" w14:textId="77777777" w:rsidR="009F4646" w:rsidRPr="00645457" w:rsidRDefault="009F4646" w:rsidP="00B431C4">
      <w:pPr>
        <w:spacing w:line="360" w:lineRule="auto"/>
        <w:jc w:val="center"/>
        <w:rPr>
          <w:rFonts w:ascii="Arial" w:hAnsi="Arial" w:cs="Arial"/>
          <w:b/>
          <w:bCs/>
          <w:sz w:val="22"/>
          <w:szCs w:val="22"/>
        </w:rPr>
      </w:pPr>
    </w:p>
    <w:p w14:paraId="4B5479BC" w14:textId="77777777" w:rsidR="009F4646" w:rsidRPr="00645457" w:rsidRDefault="009F4646" w:rsidP="00B431C4">
      <w:pPr>
        <w:spacing w:line="360" w:lineRule="auto"/>
        <w:jc w:val="center"/>
        <w:rPr>
          <w:rFonts w:ascii="Arial" w:hAnsi="Arial" w:cs="Arial"/>
          <w:b/>
          <w:bCs/>
          <w:sz w:val="22"/>
          <w:szCs w:val="22"/>
        </w:rPr>
      </w:pPr>
    </w:p>
    <w:p w14:paraId="50415FA9" w14:textId="5059DE45" w:rsidR="008841C7" w:rsidRPr="008841C7" w:rsidRDefault="008841C7" w:rsidP="008841C7">
      <w:pPr>
        <w:spacing w:line="360" w:lineRule="auto"/>
        <w:jc w:val="center"/>
        <w:rPr>
          <w:rFonts w:ascii="Arial" w:hAnsi="Arial" w:cs="Arial"/>
          <w:sz w:val="22"/>
          <w:szCs w:val="22"/>
        </w:rPr>
      </w:pPr>
      <w:r w:rsidRPr="008841C7">
        <w:rPr>
          <w:rFonts w:ascii="Arial" w:hAnsi="Arial" w:cs="Arial"/>
          <w:sz w:val="22"/>
          <w:szCs w:val="22"/>
        </w:rPr>
        <w:t>ZARA SHEIKH</w:t>
      </w:r>
    </w:p>
    <w:p w14:paraId="74AFF9C5" w14:textId="2C5318FF" w:rsidR="008841C7" w:rsidRPr="008841C7" w:rsidRDefault="008841C7" w:rsidP="008841C7">
      <w:pPr>
        <w:spacing w:line="360" w:lineRule="auto"/>
        <w:jc w:val="center"/>
        <w:rPr>
          <w:rFonts w:ascii="Arial" w:hAnsi="Arial" w:cs="Arial"/>
          <w:sz w:val="22"/>
          <w:szCs w:val="22"/>
        </w:rPr>
      </w:pPr>
      <w:r w:rsidRPr="008841C7">
        <w:rPr>
          <w:rFonts w:ascii="Arial" w:hAnsi="Arial" w:cs="Arial"/>
          <w:sz w:val="22"/>
          <w:szCs w:val="22"/>
        </w:rPr>
        <w:t>STUDENT NUMBER: 2408419</w:t>
      </w:r>
    </w:p>
    <w:p w14:paraId="1B1F2EBE" w14:textId="5CF60DF0" w:rsidR="008841C7" w:rsidRPr="008841C7" w:rsidRDefault="008841C7" w:rsidP="008841C7">
      <w:pPr>
        <w:spacing w:line="360" w:lineRule="auto"/>
        <w:jc w:val="center"/>
        <w:rPr>
          <w:rFonts w:ascii="Arial" w:hAnsi="Arial" w:cs="Arial"/>
          <w:sz w:val="22"/>
          <w:szCs w:val="22"/>
        </w:rPr>
      </w:pPr>
      <w:r w:rsidRPr="008841C7">
        <w:rPr>
          <w:rFonts w:ascii="Arial" w:hAnsi="Arial" w:cs="Arial"/>
          <w:sz w:val="22"/>
          <w:szCs w:val="22"/>
        </w:rPr>
        <w:t>MODULE CODE: BMHP5023</w:t>
      </w:r>
    </w:p>
    <w:p w14:paraId="167B9379" w14:textId="4F50C438" w:rsidR="008841C7" w:rsidRPr="008841C7" w:rsidRDefault="008841C7" w:rsidP="008841C7">
      <w:pPr>
        <w:spacing w:line="360" w:lineRule="auto"/>
        <w:jc w:val="center"/>
        <w:rPr>
          <w:rFonts w:ascii="Arial" w:hAnsi="Arial" w:cs="Arial"/>
          <w:sz w:val="22"/>
          <w:szCs w:val="22"/>
        </w:rPr>
      </w:pPr>
      <w:r w:rsidRPr="008841C7">
        <w:rPr>
          <w:rFonts w:ascii="Arial" w:hAnsi="Arial" w:cs="Arial"/>
          <w:sz w:val="22"/>
          <w:szCs w:val="22"/>
        </w:rPr>
        <w:t>TITLE: COMPONENT 1 WRITTEN ASSIGNMENT (CASE STUDY REPORT)</w:t>
      </w:r>
    </w:p>
    <w:p w14:paraId="3DDDB292" w14:textId="55B45458" w:rsidR="008841C7" w:rsidRPr="008841C7" w:rsidRDefault="008841C7" w:rsidP="008841C7">
      <w:pPr>
        <w:spacing w:line="360" w:lineRule="auto"/>
        <w:jc w:val="center"/>
        <w:rPr>
          <w:rFonts w:ascii="Arial" w:hAnsi="Arial" w:cs="Arial"/>
          <w:sz w:val="22"/>
          <w:szCs w:val="22"/>
        </w:rPr>
      </w:pPr>
      <w:r w:rsidRPr="008841C7">
        <w:rPr>
          <w:rFonts w:ascii="Arial" w:hAnsi="Arial" w:cs="Arial"/>
          <w:sz w:val="22"/>
          <w:szCs w:val="22"/>
        </w:rPr>
        <w:t>LECTURERS NAME: GILLIAN WEAVER AND ROBERT NARTOWSKI</w:t>
      </w:r>
    </w:p>
    <w:p w14:paraId="05160FC9" w14:textId="77777777" w:rsidR="00B431C4" w:rsidRPr="00645457" w:rsidRDefault="00B431C4" w:rsidP="00B431C4">
      <w:pPr>
        <w:jc w:val="center"/>
        <w:rPr>
          <w:rFonts w:ascii="Arial" w:hAnsi="Arial" w:cs="Arial"/>
          <w:b/>
          <w:bCs/>
          <w:sz w:val="22"/>
          <w:szCs w:val="22"/>
        </w:rPr>
      </w:pPr>
      <w:r w:rsidRPr="00645457">
        <w:rPr>
          <w:rFonts w:ascii="Arial" w:hAnsi="Arial" w:cs="Arial"/>
          <w:b/>
          <w:bCs/>
          <w:sz w:val="22"/>
          <w:szCs w:val="22"/>
        </w:rPr>
        <w:br w:type="page"/>
      </w:r>
    </w:p>
    <w:sdt>
      <w:sdtPr>
        <w:rPr>
          <w:rFonts w:ascii="Arial" w:eastAsiaTheme="minorHAnsi" w:hAnsi="Arial" w:cs="Arial"/>
          <w:color w:val="auto"/>
          <w:kern w:val="2"/>
          <w:sz w:val="22"/>
          <w:szCs w:val="22"/>
          <w14:ligatures w14:val="standardContextual"/>
        </w:rPr>
        <w:id w:val="1860466040"/>
        <w:docPartObj>
          <w:docPartGallery w:val="Table of Contents"/>
          <w:docPartUnique/>
        </w:docPartObj>
      </w:sdtPr>
      <w:sdtEndPr>
        <w:rPr>
          <w:b/>
          <w:bCs/>
        </w:rPr>
      </w:sdtEndPr>
      <w:sdtContent>
        <w:p w14:paraId="70F8D60A" w14:textId="31EBDE06" w:rsidR="005D118A" w:rsidRPr="00645457" w:rsidRDefault="005D118A" w:rsidP="005D118A">
          <w:pPr>
            <w:pStyle w:val="TOCHeading"/>
            <w:spacing w:line="360" w:lineRule="auto"/>
            <w:jc w:val="center"/>
            <w:rPr>
              <w:rFonts w:ascii="Arial" w:hAnsi="Arial" w:cs="Arial"/>
              <w:b/>
              <w:bCs/>
              <w:color w:val="auto"/>
              <w:sz w:val="22"/>
              <w:szCs w:val="22"/>
            </w:rPr>
          </w:pPr>
          <w:r w:rsidRPr="00645457">
            <w:rPr>
              <w:rFonts w:ascii="Arial" w:hAnsi="Arial" w:cs="Arial"/>
              <w:b/>
              <w:bCs/>
              <w:color w:val="auto"/>
              <w:sz w:val="22"/>
              <w:szCs w:val="22"/>
            </w:rPr>
            <w:t>Table of Contents</w:t>
          </w:r>
        </w:p>
        <w:p w14:paraId="60555061" w14:textId="4FEE30EA" w:rsidR="005D118A" w:rsidRPr="00645457" w:rsidRDefault="005D118A" w:rsidP="005D118A">
          <w:pPr>
            <w:pStyle w:val="TOC1"/>
            <w:tabs>
              <w:tab w:val="right" w:leader="dot" w:pos="9350"/>
            </w:tabs>
            <w:spacing w:line="360" w:lineRule="auto"/>
            <w:rPr>
              <w:rFonts w:ascii="Arial" w:hAnsi="Arial" w:cs="Arial"/>
              <w:sz w:val="22"/>
              <w:szCs w:val="22"/>
            </w:rPr>
          </w:pPr>
          <w:r w:rsidRPr="00645457">
            <w:rPr>
              <w:rFonts w:ascii="Arial" w:hAnsi="Arial" w:cs="Arial"/>
              <w:sz w:val="22"/>
              <w:szCs w:val="22"/>
            </w:rPr>
            <w:fldChar w:fldCharType="begin"/>
          </w:r>
          <w:r w:rsidRPr="00645457">
            <w:rPr>
              <w:rFonts w:ascii="Arial" w:hAnsi="Arial" w:cs="Arial"/>
              <w:sz w:val="22"/>
              <w:szCs w:val="22"/>
            </w:rPr>
            <w:instrText xml:space="preserve"> TOC \o "1-3" \h \z \u </w:instrText>
          </w:r>
          <w:r w:rsidRPr="00645457">
            <w:rPr>
              <w:rFonts w:ascii="Arial" w:hAnsi="Arial" w:cs="Arial"/>
              <w:sz w:val="22"/>
              <w:szCs w:val="22"/>
            </w:rPr>
            <w:fldChar w:fldCharType="separate"/>
          </w:r>
          <w:hyperlink w:anchor="_Toc232803382" w:history="1">
            <w:r w:rsidRPr="00645457">
              <w:rPr>
                <w:rStyle w:val="Hyperlink"/>
                <w:rFonts w:ascii="Arial" w:hAnsi="Arial" w:cs="Arial"/>
                <w:sz w:val="22"/>
                <w:szCs w:val="22"/>
              </w:rPr>
              <w:t>Introduction</w:t>
            </w:r>
            <w:r w:rsidRPr="00645457">
              <w:rPr>
                <w:rFonts w:ascii="Arial" w:hAnsi="Arial" w:cs="Arial"/>
                <w:webHidden/>
                <w:sz w:val="22"/>
                <w:szCs w:val="22"/>
              </w:rPr>
              <w:tab/>
            </w:r>
            <w:r w:rsidRPr="00645457">
              <w:rPr>
                <w:rFonts w:ascii="Arial" w:hAnsi="Arial" w:cs="Arial"/>
                <w:webHidden/>
                <w:sz w:val="22"/>
                <w:szCs w:val="22"/>
              </w:rPr>
              <w:fldChar w:fldCharType="begin"/>
            </w:r>
            <w:r w:rsidRPr="00645457">
              <w:rPr>
                <w:rFonts w:ascii="Arial" w:hAnsi="Arial" w:cs="Arial"/>
                <w:webHidden/>
                <w:sz w:val="22"/>
                <w:szCs w:val="22"/>
              </w:rPr>
              <w:instrText xml:space="preserve"> PAGEREF _Toc232803382 \h </w:instrText>
            </w:r>
            <w:r w:rsidRPr="00645457">
              <w:rPr>
                <w:rFonts w:ascii="Arial" w:hAnsi="Arial" w:cs="Arial"/>
                <w:webHidden/>
                <w:sz w:val="22"/>
                <w:szCs w:val="22"/>
              </w:rPr>
            </w:r>
            <w:r w:rsidRPr="00645457">
              <w:rPr>
                <w:rFonts w:ascii="Arial" w:hAnsi="Arial" w:cs="Arial"/>
                <w:webHidden/>
                <w:sz w:val="22"/>
                <w:szCs w:val="22"/>
              </w:rPr>
              <w:fldChar w:fldCharType="separate"/>
            </w:r>
            <w:r w:rsidRPr="00645457">
              <w:rPr>
                <w:rFonts w:ascii="Arial" w:hAnsi="Arial" w:cs="Arial"/>
                <w:webHidden/>
                <w:sz w:val="22"/>
                <w:szCs w:val="22"/>
              </w:rPr>
              <w:t>2</w:t>
            </w:r>
            <w:r w:rsidRPr="00645457">
              <w:rPr>
                <w:rFonts w:ascii="Arial" w:hAnsi="Arial" w:cs="Arial"/>
                <w:webHidden/>
                <w:sz w:val="22"/>
                <w:szCs w:val="22"/>
              </w:rPr>
              <w:fldChar w:fldCharType="end"/>
            </w:r>
          </w:hyperlink>
        </w:p>
        <w:p w14:paraId="43F99625" w14:textId="0399EA73" w:rsidR="005D118A" w:rsidRPr="00645457" w:rsidRDefault="005D118A" w:rsidP="005D118A">
          <w:pPr>
            <w:pStyle w:val="TOC1"/>
            <w:tabs>
              <w:tab w:val="right" w:leader="dot" w:pos="9350"/>
            </w:tabs>
            <w:spacing w:line="360" w:lineRule="auto"/>
            <w:rPr>
              <w:rFonts w:ascii="Arial" w:hAnsi="Arial" w:cs="Arial"/>
              <w:sz w:val="22"/>
              <w:szCs w:val="22"/>
            </w:rPr>
          </w:pPr>
          <w:hyperlink w:anchor="_Toc232803383" w:history="1">
            <w:r w:rsidRPr="00645457">
              <w:rPr>
                <w:rStyle w:val="Hyperlink"/>
                <w:rFonts w:ascii="Arial" w:hAnsi="Arial" w:cs="Arial"/>
                <w:sz w:val="22"/>
                <w:szCs w:val="22"/>
              </w:rPr>
              <w:t>Maintenance of blood sugar levels at a safe and effective level for the body’s needs</w:t>
            </w:r>
            <w:r w:rsidRPr="00645457">
              <w:rPr>
                <w:rFonts w:ascii="Arial" w:hAnsi="Arial" w:cs="Arial"/>
                <w:webHidden/>
                <w:sz w:val="22"/>
                <w:szCs w:val="22"/>
              </w:rPr>
              <w:tab/>
            </w:r>
            <w:r w:rsidRPr="00645457">
              <w:rPr>
                <w:rFonts w:ascii="Arial" w:hAnsi="Arial" w:cs="Arial"/>
                <w:webHidden/>
                <w:sz w:val="22"/>
                <w:szCs w:val="22"/>
              </w:rPr>
              <w:fldChar w:fldCharType="begin"/>
            </w:r>
            <w:r w:rsidRPr="00645457">
              <w:rPr>
                <w:rFonts w:ascii="Arial" w:hAnsi="Arial" w:cs="Arial"/>
                <w:webHidden/>
                <w:sz w:val="22"/>
                <w:szCs w:val="22"/>
              </w:rPr>
              <w:instrText xml:space="preserve"> PAGEREF _Toc232803383 \h </w:instrText>
            </w:r>
            <w:r w:rsidRPr="00645457">
              <w:rPr>
                <w:rFonts w:ascii="Arial" w:hAnsi="Arial" w:cs="Arial"/>
                <w:webHidden/>
                <w:sz w:val="22"/>
                <w:szCs w:val="22"/>
              </w:rPr>
            </w:r>
            <w:r w:rsidRPr="00645457">
              <w:rPr>
                <w:rFonts w:ascii="Arial" w:hAnsi="Arial" w:cs="Arial"/>
                <w:webHidden/>
                <w:sz w:val="22"/>
                <w:szCs w:val="22"/>
              </w:rPr>
              <w:fldChar w:fldCharType="separate"/>
            </w:r>
            <w:r w:rsidRPr="00645457">
              <w:rPr>
                <w:rFonts w:ascii="Arial" w:hAnsi="Arial" w:cs="Arial"/>
                <w:webHidden/>
                <w:sz w:val="22"/>
                <w:szCs w:val="22"/>
              </w:rPr>
              <w:t>2</w:t>
            </w:r>
            <w:r w:rsidRPr="00645457">
              <w:rPr>
                <w:rFonts w:ascii="Arial" w:hAnsi="Arial" w:cs="Arial"/>
                <w:webHidden/>
                <w:sz w:val="22"/>
                <w:szCs w:val="22"/>
              </w:rPr>
              <w:fldChar w:fldCharType="end"/>
            </w:r>
          </w:hyperlink>
        </w:p>
        <w:p w14:paraId="5901DB69" w14:textId="6FC0B6AA" w:rsidR="005D118A" w:rsidRPr="00645457" w:rsidRDefault="005D118A" w:rsidP="005D118A">
          <w:pPr>
            <w:pStyle w:val="TOC1"/>
            <w:tabs>
              <w:tab w:val="right" w:leader="dot" w:pos="9350"/>
            </w:tabs>
            <w:spacing w:line="360" w:lineRule="auto"/>
            <w:rPr>
              <w:rFonts w:ascii="Arial" w:hAnsi="Arial" w:cs="Arial"/>
              <w:sz w:val="22"/>
              <w:szCs w:val="22"/>
            </w:rPr>
          </w:pPr>
          <w:hyperlink w:anchor="_Toc232803384" w:history="1">
            <w:r w:rsidRPr="00645457">
              <w:rPr>
                <w:rStyle w:val="Hyperlink"/>
                <w:rFonts w:ascii="Arial" w:hAnsi="Arial" w:cs="Arial"/>
                <w:sz w:val="22"/>
                <w:szCs w:val="22"/>
              </w:rPr>
              <w:t>Using oxygen and glucose to produce energy through cell metabolism</w:t>
            </w:r>
            <w:r w:rsidRPr="00645457">
              <w:rPr>
                <w:rFonts w:ascii="Arial" w:hAnsi="Arial" w:cs="Arial"/>
                <w:webHidden/>
                <w:sz w:val="22"/>
                <w:szCs w:val="22"/>
              </w:rPr>
              <w:tab/>
            </w:r>
            <w:r w:rsidRPr="00645457">
              <w:rPr>
                <w:rFonts w:ascii="Arial" w:hAnsi="Arial" w:cs="Arial"/>
                <w:webHidden/>
                <w:sz w:val="22"/>
                <w:szCs w:val="22"/>
              </w:rPr>
              <w:fldChar w:fldCharType="begin"/>
            </w:r>
            <w:r w:rsidRPr="00645457">
              <w:rPr>
                <w:rFonts w:ascii="Arial" w:hAnsi="Arial" w:cs="Arial"/>
                <w:webHidden/>
                <w:sz w:val="22"/>
                <w:szCs w:val="22"/>
              </w:rPr>
              <w:instrText xml:space="preserve"> PAGEREF _Toc232803384 \h </w:instrText>
            </w:r>
            <w:r w:rsidRPr="00645457">
              <w:rPr>
                <w:rFonts w:ascii="Arial" w:hAnsi="Arial" w:cs="Arial"/>
                <w:webHidden/>
                <w:sz w:val="22"/>
                <w:szCs w:val="22"/>
              </w:rPr>
            </w:r>
            <w:r w:rsidRPr="00645457">
              <w:rPr>
                <w:rFonts w:ascii="Arial" w:hAnsi="Arial" w:cs="Arial"/>
                <w:webHidden/>
                <w:sz w:val="22"/>
                <w:szCs w:val="22"/>
              </w:rPr>
              <w:fldChar w:fldCharType="separate"/>
            </w:r>
            <w:r w:rsidRPr="00645457">
              <w:rPr>
                <w:rFonts w:ascii="Arial" w:hAnsi="Arial" w:cs="Arial"/>
                <w:webHidden/>
                <w:sz w:val="22"/>
                <w:szCs w:val="22"/>
              </w:rPr>
              <w:t>3</w:t>
            </w:r>
            <w:r w:rsidRPr="00645457">
              <w:rPr>
                <w:rFonts w:ascii="Arial" w:hAnsi="Arial" w:cs="Arial"/>
                <w:webHidden/>
                <w:sz w:val="22"/>
                <w:szCs w:val="22"/>
              </w:rPr>
              <w:fldChar w:fldCharType="end"/>
            </w:r>
          </w:hyperlink>
        </w:p>
        <w:p w14:paraId="374B4068" w14:textId="7C3ED094" w:rsidR="005D118A" w:rsidRPr="00645457" w:rsidRDefault="005D118A" w:rsidP="005D118A">
          <w:pPr>
            <w:pStyle w:val="TOC1"/>
            <w:tabs>
              <w:tab w:val="right" w:leader="dot" w:pos="9350"/>
            </w:tabs>
            <w:spacing w:line="360" w:lineRule="auto"/>
            <w:rPr>
              <w:rFonts w:ascii="Arial" w:hAnsi="Arial" w:cs="Arial"/>
              <w:sz w:val="22"/>
              <w:szCs w:val="22"/>
            </w:rPr>
          </w:pPr>
          <w:hyperlink w:anchor="_Toc232803385" w:history="1">
            <w:r w:rsidRPr="00645457">
              <w:rPr>
                <w:rStyle w:val="Hyperlink"/>
                <w:rFonts w:ascii="Arial" w:hAnsi="Arial" w:cs="Arial"/>
                <w:sz w:val="22"/>
                <w:szCs w:val="22"/>
              </w:rPr>
              <w:t>Recording and tracking blood sugar levels helping for management of “type 2 diabetes”</w:t>
            </w:r>
            <w:r w:rsidRPr="00645457">
              <w:rPr>
                <w:rFonts w:ascii="Arial" w:hAnsi="Arial" w:cs="Arial"/>
                <w:webHidden/>
                <w:sz w:val="22"/>
                <w:szCs w:val="22"/>
              </w:rPr>
              <w:tab/>
            </w:r>
            <w:r w:rsidRPr="00645457">
              <w:rPr>
                <w:rFonts w:ascii="Arial" w:hAnsi="Arial" w:cs="Arial"/>
                <w:webHidden/>
                <w:sz w:val="22"/>
                <w:szCs w:val="22"/>
              </w:rPr>
              <w:fldChar w:fldCharType="begin"/>
            </w:r>
            <w:r w:rsidRPr="00645457">
              <w:rPr>
                <w:rFonts w:ascii="Arial" w:hAnsi="Arial" w:cs="Arial"/>
                <w:webHidden/>
                <w:sz w:val="22"/>
                <w:szCs w:val="22"/>
              </w:rPr>
              <w:instrText xml:space="preserve"> PAGEREF _Toc232803385 \h </w:instrText>
            </w:r>
            <w:r w:rsidRPr="00645457">
              <w:rPr>
                <w:rFonts w:ascii="Arial" w:hAnsi="Arial" w:cs="Arial"/>
                <w:webHidden/>
                <w:sz w:val="22"/>
                <w:szCs w:val="22"/>
              </w:rPr>
            </w:r>
            <w:r w:rsidRPr="00645457">
              <w:rPr>
                <w:rFonts w:ascii="Arial" w:hAnsi="Arial" w:cs="Arial"/>
                <w:webHidden/>
                <w:sz w:val="22"/>
                <w:szCs w:val="22"/>
              </w:rPr>
              <w:fldChar w:fldCharType="separate"/>
            </w:r>
            <w:r w:rsidRPr="00645457">
              <w:rPr>
                <w:rFonts w:ascii="Arial" w:hAnsi="Arial" w:cs="Arial"/>
                <w:webHidden/>
                <w:sz w:val="22"/>
                <w:szCs w:val="22"/>
              </w:rPr>
              <w:t>4</w:t>
            </w:r>
            <w:r w:rsidRPr="00645457">
              <w:rPr>
                <w:rFonts w:ascii="Arial" w:hAnsi="Arial" w:cs="Arial"/>
                <w:webHidden/>
                <w:sz w:val="22"/>
                <w:szCs w:val="22"/>
              </w:rPr>
              <w:fldChar w:fldCharType="end"/>
            </w:r>
          </w:hyperlink>
        </w:p>
        <w:p w14:paraId="5CF2B9E2" w14:textId="49E52328" w:rsidR="005D118A" w:rsidRPr="00645457" w:rsidRDefault="005D118A" w:rsidP="005D118A">
          <w:pPr>
            <w:pStyle w:val="TOC1"/>
            <w:tabs>
              <w:tab w:val="right" w:leader="dot" w:pos="9350"/>
            </w:tabs>
            <w:spacing w:line="360" w:lineRule="auto"/>
            <w:rPr>
              <w:rFonts w:ascii="Arial" w:hAnsi="Arial" w:cs="Arial"/>
              <w:sz w:val="22"/>
              <w:szCs w:val="22"/>
            </w:rPr>
          </w:pPr>
          <w:hyperlink w:anchor="_Toc232803386" w:history="1">
            <w:r w:rsidRPr="00645457">
              <w:rPr>
                <w:rStyle w:val="Hyperlink"/>
                <w:rFonts w:ascii="Arial" w:hAnsi="Arial" w:cs="Arial"/>
                <w:sz w:val="22"/>
                <w:szCs w:val="22"/>
              </w:rPr>
              <w:t>Evidence-based recommendations for lifestyle changes to enhance health conditions</w:t>
            </w:r>
            <w:r w:rsidRPr="00645457">
              <w:rPr>
                <w:rFonts w:ascii="Arial" w:hAnsi="Arial" w:cs="Arial"/>
                <w:webHidden/>
                <w:sz w:val="22"/>
                <w:szCs w:val="22"/>
              </w:rPr>
              <w:tab/>
            </w:r>
            <w:r w:rsidRPr="00645457">
              <w:rPr>
                <w:rFonts w:ascii="Arial" w:hAnsi="Arial" w:cs="Arial"/>
                <w:webHidden/>
                <w:sz w:val="22"/>
                <w:szCs w:val="22"/>
              </w:rPr>
              <w:fldChar w:fldCharType="begin"/>
            </w:r>
            <w:r w:rsidRPr="00645457">
              <w:rPr>
                <w:rFonts w:ascii="Arial" w:hAnsi="Arial" w:cs="Arial"/>
                <w:webHidden/>
                <w:sz w:val="22"/>
                <w:szCs w:val="22"/>
              </w:rPr>
              <w:instrText xml:space="preserve"> PAGEREF _Toc232803386 \h </w:instrText>
            </w:r>
            <w:r w:rsidRPr="00645457">
              <w:rPr>
                <w:rFonts w:ascii="Arial" w:hAnsi="Arial" w:cs="Arial"/>
                <w:webHidden/>
                <w:sz w:val="22"/>
                <w:szCs w:val="22"/>
              </w:rPr>
            </w:r>
            <w:r w:rsidRPr="00645457">
              <w:rPr>
                <w:rFonts w:ascii="Arial" w:hAnsi="Arial" w:cs="Arial"/>
                <w:webHidden/>
                <w:sz w:val="22"/>
                <w:szCs w:val="22"/>
              </w:rPr>
              <w:fldChar w:fldCharType="separate"/>
            </w:r>
            <w:r w:rsidRPr="00645457">
              <w:rPr>
                <w:rFonts w:ascii="Arial" w:hAnsi="Arial" w:cs="Arial"/>
                <w:webHidden/>
                <w:sz w:val="22"/>
                <w:szCs w:val="22"/>
              </w:rPr>
              <w:t>5</w:t>
            </w:r>
            <w:r w:rsidRPr="00645457">
              <w:rPr>
                <w:rFonts w:ascii="Arial" w:hAnsi="Arial" w:cs="Arial"/>
                <w:webHidden/>
                <w:sz w:val="22"/>
                <w:szCs w:val="22"/>
              </w:rPr>
              <w:fldChar w:fldCharType="end"/>
            </w:r>
          </w:hyperlink>
        </w:p>
        <w:p w14:paraId="66D206B7" w14:textId="0B1911CC" w:rsidR="005D118A" w:rsidRPr="00645457" w:rsidRDefault="005D118A" w:rsidP="005D118A">
          <w:pPr>
            <w:pStyle w:val="TOC1"/>
            <w:tabs>
              <w:tab w:val="right" w:leader="dot" w:pos="9350"/>
            </w:tabs>
            <w:spacing w:line="360" w:lineRule="auto"/>
            <w:rPr>
              <w:rFonts w:ascii="Arial" w:hAnsi="Arial" w:cs="Arial"/>
              <w:sz w:val="22"/>
              <w:szCs w:val="22"/>
            </w:rPr>
          </w:pPr>
          <w:hyperlink w:anchor="_Toc232803387" w:history="1">
            <w:r w:rsidRPr="00645457">
              <w:rPr>
                <w:rStyle w:val="Hyperlink"/>
                <w:rFonts w:ascii="Arial" w:hAnsi="Arial" w:cs="Arial"/>
                <w:sz w:val="22"/>
                <w:szCs w:val="22"/>
              </w:rPr>
              <w:t>Conclusion</w:t>
            </w:r>
            <w:r w:rsidRPr="00645457">
              <w:rPr>
                <w:rFonts w:ascii="Arial" w:hAnsi="Arial" w:cs="Arial"/>
                <w:webHidden/>
                <w:sz w:val="22"/>
                <w:szCs w:val="22"/>
              </w:rPr>
              <w:tab/>
            </w:r>
            <w:r w:rsidRPr="00645457">
              <w:rPr>
                <w:rFonts w:ascii="Arial" w:hAnsi="Arial" w:cs="Arial"/>
                <w:webHidden/>
                <w:sz w:val="22"/>
                <w:szCs w:val="22"/>
              </w:rPr>
              <w:fldChar w:fldCharType="begin"/>
            </w:r>
            <w:r w:rsidRPr="00645457">
              <w:rPr>
                <w:rFonts w:ascii="Arial" w:hAnsi="Arial" w:cs="Arial"/>
                <w:webHidden/>
                <w:sz w:val="22"/>
                <w:szCs w:val="22"/>
              </w:rPr>
              <w:instrText xml:space="preserve"> PAGEREF _Toc232803387 \h </w:instrText>
            </w:r>
            <w:r w:rsidRPr="00645457">
              <w:rPr>
                <w:rFonts w:ascii="Arial" w:hAnsi="Arial" w:cs="Arial"/>
                <w:webHidden/>
                <w:sz w:val="22"/>
                <w:szCs w:val="22"/>
              </w:rPr>
            </w:r>
            <w:r w:rsidRPr="00645457">
              <w:rPr>
                <w:rFonts w:ascii="Arial" w:hAnsi="Arial" w:cs="Arial"/>
                <w:webHidden/>
                <w:sz w:val="22"/>
                <w:szCs w:val="22"/>
              </w:rPr>
              <w:fldChar w:fldCharType="separate"/>
            </w:r>
            <w:r w:rsidRPr="00645457">
              <w:rPr>
                <w:rFonts w:ascii="Arial" w:hAnsi="Arial" w:cs="Arial"/>
                <w:webHidden/>
                <w:sz w:val="22"/>
                <w:szCs w:val="22"/>
              </w:rPr>
              <w:t>6</w:t>
            </w:r>
            <w:r w:rsidRPr="00645457">
              <w:rPr>
                <w:rFonts w:ascii="Arial" w:hAnsi="Arial" w:cs="Arial"/>
                <w:webHidden/>
                <w:sz w:val="22"/>
                <w:szCs w:val="22"/>
              </w:rPr>
              <w:fldChar w:fldCharType="end"/>
            </w:r>
          </w:hyperlink>
        </w:p>
        <w:p w14:paraId="22587EBD" w14:textId="4E856874" w:rsidR="005D118A" w:rsidRPr="00645457" w:rsidRDefault="005D118A" w:rsidP="005D118A">
          <w:pPr>
            <w:pStyle w:val="TOC1"/>
            <w:tabs>
              <w:tab w:val="right" w:leader="dot" w:pos="9350"/>
            </w:tabs>
            <w:spacing w:line="360" w:lineRule="auto"/>
            <w:rPr>
              <w:rFonts w:ascii="Arial" w:hAnsi="Arial" w:cs="Arial"/>
              <w:sz w:val="22"/>
              <w:szCs w:val="22"/>
            </w:rPr>
          </w:pPr>
          <w:hyperlink w:anchor="_Toc232803388" w:history="1">
            <w:r w:rsidRPr="00645457">
              <w:rPr>
                <w:rStyle w:val="Hyperlink"/>
                <w:rFonts w:ascii="Arial" w:hAnsi="Arial" w:cs="Arial"/>
                <w:sz w:val="22"/>
                <w:szCs w:val="22"/>
              </w:rPr>
              <w:t>Reference list</w:t>
            </w:r>
            <w:r w:rsidRPr="00645457">
              <w:rPr>
                <w:rFonts w:ascii="Arial" w:hAnsi="Arial" w:cs="Arial"/>
                <w:webHidden/>
                <w:sz w:val="22"/>
                <w:szCs w:val="22"/>
              </w:rPr>
              <w:tab/>
            </w:r>
            <w:r w:rsidRPr="00645457">
              <w:rPr>
                <w:rFonts w:ascii="Arial" w:hAnsi="Arial" w:cs="Arial"/>
                <w:webHidden/>
                <w:sz w:val="22"/>
                <w:szCs w:val="22"/>
              </w:rPr>
              <w:fldChar w:fldCharType="begin"/>
            </w:r>
            <w:r w:rsidRPr="00645457">
              <w:rPr>
                <w:rFonts w:ascii="Arial" w:hAnsi="Arial" w:cs="Arial"/>
                <w:webHidden/>
                <w:sz w:val="22"/>
                <w:szCs w:val="22"/>
              </w:rPr>
              <w:instrText xml:space="preserve"> PAGEREF _Toc232803388 \h </w:instrText>
            </w:r>
            <w:r w:rsidRPr="00645457">
              <w:rPr>
                <w:rFonts w:ascii="Arial" w:hAnsi="Arial" w:cs="Arial"/>
                <w:webHidden/>
                <w:sz w:val="22"/>
                <w:szCs w:val="22"/>
              </w:rPr>
            </w:r>
            <w:r w:rsidRPr="00645457">
              <w:rPr>
                <w:rFonts w:ascii="Arial" w:hAnsi="Arial" w:cs="Arial"/>
                <w:webHidden/>
                <w:sz w:val="22"/>
                <w:szCs w:val="22"/>
              </w:rPr>
              <w:fldChar w:fldCharType="separate"/>
            </w:r>
            <w:r w:rsidRPr="00645457">
              <w:rPr>
                <w:rFonts w:ascii="Arial" w:hAnsi="Arial" w:cs="Arial"/>
                <w:webHidden/>
                <w:sz w:val="22"/>
                <w:szCs w:val="22"/>
              </w:rPr>
              <w:t>7</w:t>
            </w:r>
            <w:r w:rsidRPr="00645457">
              <w:rPr>
                <w:rFonts w:ascii="Arial" w:hAnsi="Arial" w:cs="Arial"/>
                <w:webHidden/>
                <w:sz w:val="22"/>
                <w:szCs w:val="22"/>
              </w:rPr>
              <w:fldChar w:fldCharType="end"/>
            </w:r>
          </w:hyperlink>
        </w:p>
        <w:p w14:paraId="153827CF" w14:textId="6F051B0E" w:rsidR="005D118A" w:rsidRPr="00645457" w:rsidRDefault="005D118A" w:rsidP="005D118A">
          <w:pPr>
            <w:spacing w:line="360" w:lineRule="auto"/>
            <w:rPr>
              <w:rFonts w:ascii="Arial" w:hAnsi="Arial" w:cs="Arial"/>
              <w:sz w:val="22"/>
              <w:szCs w:val="22"/>
            </w:rPr>
          </w:pPr>
          <w:r w:rsidRPr="00645457">
            <w:rPr>
              <w:rFonts w:ascii="Arial" w:hAnsi="Arial" w:cs="Arial"/>
              <w:b/>
              <w:bCs/>
              <w:sz w:val="22"/>
              <w:szCs w:val="22"/>
            </w:rPr>
            <w:fldChar w:fldCharType="end"/>
          </w:r>
        </w:p>
      </w:sdtContent>
    </w:sdt>
    <w:p w14:paraId="66F1EB3D" w14:textId="26599250" w:rsidR="004F5A34" w:rsidRPr="00116AE2" w:rsidRDefault="00A65592" w:rsidP="00116AE2">
      <w:pPr>
        <w:rPr>
          <w:rFonts w:ascii="Arial" w:hAnsi="Arial" w:cs="Arial"/>
          <w:b/>
          <w:bCs/>
          <w:sz w:val="22"/>
          <w:szCs w:val="22"/>
        </w:rPr>
      </w:pPr>
      <w:r w:rsidRPr="00645457">
        <w:rPr>
          <w:rFonts w:ascii="Arial" w:hAnsi="Arial" w:cs="Arial"/>
          <w:b/>
          <w:bCs/>
          <w:sz w:val="22"/>
          <w:szCs w:val="22"/>
        </w:rPr>
        <w:br w:type="page"/>
      </w:r>
    </w:p>
    <w:p w14:paraId="7CCF10E5" w14:textId="206AA060" w:rsidR="004F5A34" w:rsidRDefault="004F5A34" w:rsidP="00116AE2">
      <w:pPr>
        <w:spacing w:line="360" w:lineRule="auto"/>
        <w:ind w:firstLine="720"/>
        <w:jc w:val="both"/>
        <w:rPr>
          <w:rFonts w:ascii="Arial" w:hAnsi="Arial" w:cs="Arial"/>
          <w:sz w:val="22"/>
          <w:szCs w:val="22"/>
        </w:rPr>
      </w:pPr>
      <w:r w:rsidRPr="00645457">
        <w:rPr>
          <w:rFonts w:ascii="Arial" w:hAnsi="Arial" w:cs="Arial"/>
          <w:sz w:val="22"/>
          <w:szCs w:val="22"/>
        </w:rPr>
        <w:lastRenderedPageBreak/>
        <w:t xml:space="preserve">Diabetes is </w:t>
      </w:r>
      <w:r w:rsidR="00116AE2">
        <w:rPr>
          <w:rFonts w:ascii="Arial" w:hAnsi="Arial" w:cs="Arial"/>
          <w:sz w:val="22"/>
          <w:szCs w:val="22"/>
        </w:rPr>
        <w:t>a metabolic disorder characterised by high blood glucose levels caused by insufficient insulin production or insulin resistance. It effects organs including the liver, skeletal muscles, and adipose tissues and can cause symptoms such as weight loss, increased appetite, and vision problems (Antar et al., 2023). The main types are type 1, type 2, and gestational diabetes. Pancreatic disorders, genetic defects, surgery, and organ transplan</w:t>
      </w:r>
      <w:r w:rsidR="005179F4">
        <w:rPr>
          <w:rFonts w:ascii="Arial" w:hAnsi="Arial" w:cs="Arial"/>
          <w:sz w:val="22"/>
          <w:szCs w:val="22"/>
        </w:rPr>
        <w:t>tation may contribute to its development (Alam et al., 2021). Risk factors include obesity, poor diet, physical inactivity, and age, while kidney, liver, and cardiovascular dysfunction may increase disease progression (Xu et al., 2025)</w:t>
      </w:r>
    </w:p>
    <w:p w14:paraId="08B32257" w14:textId="77777777" w:rsidR="005179F4" w:rsidRPr="00116AE2" w:rsidRDefault="005179F4" w:rsidP="00116AE2">
      <w:pPr>
        <w:spacing w:line="360" w:lineRule="auto"/>
        <w:ind w:firstLine="720"/>
        <w:jc w:val="both"/>
        <w:rPr>
          <w:rFonts w:ascii="Arial" w:hAnsi="Arial" w:cs="Arial"/>
          <w:sz w:val="22"/>
          <w:szCs w:val="22"/>
        </w:rPr>
      </w:pPr>
    </w:p>
    <w:p w14:paraId="276BD31A" w14:textId="407D4967" w:rsidR="004F5A34" w:rsidRDefault="004F5A34" w:rsidP="00116AE2">
      <w:pPr>
        <w:spacing w:line="360" w:lineRule="auto"/>
        <w:ind w:firstLine="720"/>
        <w:jc w:val="both"/>
        <w:rPr>
          <w:rFonts w:ascii="Arial" w:hAnsi="Arial" w:cs="Arial"/>
          <w:sz w:val="22"/>
          <w:szCs w:val="22"/>
        </w:rPr>
      </w:pPr>
      <w:r w:rsidRPr="00645457">
        <w:rPr>
          <w:rFonts w:ascii="Arial" w:hAnsi="Arial" w:cs="Arial"/>
          <w:sz w:val="22"/>
          <w:szCs w:val="22"/>
        </w:rPr>
        <w:t xml:space="preserve">Regulation of blood sugar in the body is inferred to be a homeostatic process that is managed by the action of the pancreas, which is responsible for the secretion of glucagon and insulin. In case the level of blood glucose deteriorates in the body, the alpha-cells in the pancreas secrete glucagon. This is associated with stimulation for hepatic glycogenolysis along with gluconeogenesis for elevating the level of blood glucose in the body, thereby highlighting homeostasis. Moreover, the intricate system of hormonal feedback can be highlighted for maintaining a safe range of blood sugar in the body and can be associated with the function of the liver and pancreas. This can be supported by the discussion of Dimitriadis </w:t>
      </w:r>
      <w:r w:rsidRPr="00645457">
        <w:rPr>
          <w:rFonts w:ascii="Arial" w:hAnsi="Arial" w:cs="Arial"/>
          <w:i/>
          <w:iCs/>
          <w:sz w:val="22"/>
          <w:szCs w:val="22"/>
        </w:rPr>
        <w:t>et al</w:t>
      </w:r>
      <w:r w:rsidRPr="00645457">
        <w:rPr>
          <w:rFonts w:ascii="Arial" w:hAnsi="Arial" w:cs="Arial"/>
          <w:sz w:val="22"/>
          <w:szCs w:val="22"/>
        </w:rPr>
        <w:t xml:space="preserve">. (2021), mentioning that blood sugar homeostasis to be regulated by the function of insulin. This poses an impact on the production and disposal of glucose by accounting for the peripheral tissues. Moreover, the level of blood glucose is regulated by the rate of insulin-mediated production of glucose with adipose tissue as the essential element. “Nonesterified fatty acids” (NEFA) are mobilized in such situations as a substitute for the liver and skeletal muscles when the level of blood glucose declines. The liver is also accountable for effective glucose homeostasis in the body of the individual. The major function of the liver in maintaining an appropriate level of blood glucose is the storage of glucose in the form of glycogen. Liver functioning for maintenance of blood sugar in the body integrates the function of gluconeogenesis with major precursors, including amino acids, glycerol, lactate, and pyruvate. During the period of sleep and differences in the time of meals, the level of blood glucose might decline in the body, which accounts for the release of glucagon from the α-cells to gradually promote hepatic glycogenolysis. The article by Sahoo </w:t>
      </w:r>
      <w:r w:rsidRPr="00645457">
        <w:rPr>
          <w:rFonts w:ascii="Arial" w:hAnsi="Arial" w:cs="Arial"/>
          <w:i/>
          <w:iCs/>
          <w:sz w:val="22"/>
          <w:szCs w:val="22"/>
        </w:rPr>
        <w:t>et al</w:t>
      </w:r>
      <w:r w:rsidRPr="00645457">
        <w:rPr>
          <w:rFonts w:ascii="Arial" w:hAnsi="Arial" w:cs="Arial"/>
          <w:sz w:val="22"/>
          <w:szCs w:val="22"/>
        </w:rPr>
        <w:t xml:space="preserve">. (2023) mentions that glucagon is responsible for driving renal and hepatic gluconeogenesis for increasing endogenous level of blood glucose in the body in case of prolonged fasting. Furthermore, the action of the vitamin E is also accountable for maintaining the level of blood glucose by enhancing the overall response of the body and addressing the </w:t>
      </w:r>
      <w:r w:rsidRPr="00645457">
        <w:rPr>
          <w:rFonts w:ascii="Arial" w:hAnsi="Arial" w:cs="Arial"/>
          <w:sz w:val="22"/>
          <w:szCs w:val="22"/>
        </w:rPr>
        <w:lastRenderedPageBreak/>
        <w:t xml:space="preserve">antioxidant effect (Basiri </w:t>
      </w:r>
      <w:r w:rsidRPr="00645457">
        <w:rPr>
          <w:rFonts w:ascii="Arial" w:hAnsi="Arial" w:cs="Arial"/>
          <w:i/>
          <w:iCs/>
          <w:sz w:val="22"/>
          <w:szCs w:val="22"/>
        </w:rPr>
        <w:t>et al</w:t>
      </w:r>
      <w:r w:rsidRPr="00645457">
        <w:rPr>
          <w:rFonts w:ascii="Arial" w:hAnsi="Arial" w:cs="Arial"/>
          <w:sz w:val="22"/>
          <w:szCs w:val="22"/>
        </w:rPr>
        <w:t xml:space="preserve">. 2023). This can safeguard the cells against damage developed due to oxidative stress, hence, reducing the complications of diabetes. One of the appropriate reports by Lee </w:t>
      </w:r>
      <w:r w:rsidRPr="00645457">
        <w:rPr>
          <w:rFonts w:ascii="Arial" w:hAnsi="Arial" w:cs="Arial"/>
          <w:i/>
          <w:iCs/>
          <w:sz w:val="22"/>
          <w:szCs w:val="22"/>
        </w:rPr>
        <w:t>et al</w:t>
      </w:r>
      <w:r w:rsidRPr="00645457">
        <w:rPr>
          <w:rFonts w:ascii="Arial" w:hAnsi="Arial" w:cs="Arial"/>
          <w:sz w:val="22"/>
          <w:szCs w:val="22"/>
        </w:rPr>
        <w:t xml:space="preserve">. (2025) highlighted the role of glucagon receptors for hepatic production of glucose within the hypothalamus while helping to sustain the metabolic balance. </w:t>
      </w:r>
    </w:p>
    <w:p w14:paraId="418493FB" w14:textId="77777777" w:rsidR="00116AE2" w:rsidRPr="00116AE2" w:rsidRDefault="00116AE2" w:rsidP="00116AE2">
      <w:pPr>
        <w:spacing w:line="360" w:lineRule="auto"/>
        <w:ind w:firstLine="720"/>
        <w:jc w:val="both"/>
        <w:rPr>
          <w:rFonts w:ascii="Arial" w:hAnsi="Arial" w:cs="Arial"/>
          <w:sz w:val="22"/>
          <w:szCs w:val="22"/>
        </w:rPr>
      </w:pPr>
    </w:p>
    <w:p w14:paraId="3AAA5083" w14:textId="6A00176B" w:rsidR="004F5A34" w:rsidRPr="00645457" w:rsidRDefault="004F5A34" w:rsidP="006F11F6">
      <w:pPr>
        <w:spacing w:line="360" w:lineRule="auto"/>
        <w:ind w:firstLine="720"/>
        <w:jc w:val="both"/>
        <w:rPr>
          <w:rFonts w:ascii="Arial" w:hAnsi="Arial" w:cs="Arial"/>
          <w:sz w:val="22"/>
          <w:szCs w:val="22"/>
        </w:rPr>
      </w:pPr>
      <w:r w:rsidRPr="00645457">
        <w:rPr>
          <w:rFonts w:ascii="Arial" w:hAnsi="Arial" w:cs="Arial"/>
          <w:sz w:val="22"/>
          <w:szCs w:val="22"/>
        </w:rPr>
        <w:t xml:space="preserve">Cellular metabolism, accounting for glucose and oxygen in diabetes, is altered by insulin resistance or a lack of insulin in the body. Aerobic respiration can be accountable for converting oxygen and glucose into carbon dioxide, water, and ATP. This is further supported by the report of González </w:t>
      </w:r>
      <w:r w:rsidRPr="00645457">
        <w:rPr>
          <w:rFonts w:ascii="Arial" w:hAnsi="Arial" w:cs="Arial"/>
          <w:i/>
          <w:iCs/>
          <w:sz w:val="22"/>
          <w:szCs w:val="22"/>
        </w:rPr>
        <w:t>et al</w:t>
      </w:r>
      <w:r w:rsidRPr="00645457">
        <w:rPr>
          <w:rFonts w:ascii="Arial" w:hAnsi="Arial" w:cs="Arial"/>
          <w:sz w:val="22"/>
          <w:szCs w:val="22"/>
        </w:rPr>
        <w:t xml:space="preserve">. (2023), mentioning about the mitochondria to utilize oxygen for the synthesis of energy in the body, along with addressing action for “cytosolic pro-oxidant enzymes” and microsomal oxidases. As it can be determined that lipid, along with carbohydrate metabolism, accounts for around 90% of the requirement for energy in the body. In addition to that, glycolysis is determined to be the metabolic pathway that effectively catabolizes glucose for rapid production of energy that is essential to maintain cellular functioning (Reddan and Cummins 2025). Glycolysis can also be accounted for as the primary source of producing ATP and maintaining bioenergetic homeostasis in the body.  Consumption of glucose followed by production of lactate by the cells significantly indicates energy metabolism to account for hypoxia. As highlighted by the discussion of </w:t>
      </w:r>
      <w:proofErr w:type="spellStart"/>
      <w:r w:rsidRPr="00645457">
        <w:rPr>
          <w:rFonts w:ascii="Arial" w:hAnsi="Arial" w:cs="Arial"/>
          <w:sz w:val="22"/>
          <w:szCs w:val="22"/>
        </w:rPr>
        <w:t>Loric</w:t>
      </w:r>
      <w:proofErr w:type="spellEnd"/>
      <w:r w:rsidRPr="00645457">
        <w:rPr>
          <w:rFonts w:ascii="Arial" w:hAnsi="Arial" w:cs="Arial"/>
          <w:sz w:val="22"/>
          <w:szCs w:val="22"/>
        </w:rPr>
        <w:t xml:space="preserve"> and Conti (2022), anaerobic glycolysis gets activated as mitochondria fail to effectively supply appropriate ATP that is responsible for cell metabolism. Furthermore, it can be determined that the ATP reproduction is </w:t>
      </w:r>
      <w:r w:rsidR="007039F5" w:rsidRPr="00645457">
        <w:rPr>
          <w:rFonts w:ascii="Arial" w:hAnsi="Arial" w:cs="Arial"/>
          <w:sz w:val="22"/>
          <w:szCs w:val="22"/>
        </w:rPr>
        <w:t>catalysed</w:t>
      </w:r>
      <w:r w:rsidRPr="00645457">
        <w:rPr>
          <w:rFonts w:ascii="Arial" w:hAnsi="Arial" w:cs="Arial"/>
          <w:sz w:val="22"/>
          <w:szCs w:val="22"/>
        </w:rPr>
        <w:t xml:space="preserve"> by G6PD, considering anaerobic conditions, by utilizing glucose as the substrate while generating lactate. Considering the Krebs cycle, pyruvate is integrated in the mitochondrial matrix, which is thereby converted to Acetyl-CoA and accounts for generating 2ATP molecules. On the other hand, the electrons are released by the carriers in the chain, which is followed </w:t>
      </w:r>
      <w:proofErr w:type="gramStart"/>
      <w:r w:rsidRPr="00645457">
        <w:rPr>
          <w:rFonts w:ascii="Arial" w:hAnsi="Arial" w:cs="Arial"/>
          <w:sz w:val="22"/>
          <w:szCs w:val="22"/>
        </w:rPr>
        <w:t>by the use of</w:t>
      </w:r>
      <w:proofErr w:type="gramEnd"/>
      <w:r w:rsidRPr="00645457">
        <w:rPr>
          <w:rFonts w:ascii="Arial" w:hAnsi="Arial" w:cs="Arial"/>
          <w:sz w:val="22"/>
          <w:szCs w:val="22"/>
        </w:rPr>
        <w:t xml:space="preserve"> the energy for the pumping of the hydrogen ions, thereby creating a relative gradient. This can be highlighted by the report of Liu </w:t>
      </w:r>
      <w:r w:rsidRPr="00645457">
        <w:rPr>
          <w:rFonts w:ascii="Arial" w:hAnsi="Arial" w:cs="Arial"/>
          <w:i/>
          <w:iCs/>
          <w:sz w:val="22"/>
          <w:szCs w:val="22"/>
        </w:rPr>
        <w:t>et al</w:t>
      </w:r>
      <w:r w:rsidRPr="00645457">
        <w:rPr>
          <w:rFonts w:ascii="Arial" w:hAnsi="Arial" w:cs="Arial"/>
          <w:sz w:val="22"/>
          <w:szCs w:val="22"/>
        </w:rPr>
        <w:t xml:space="preserve">. (2025), mentioning about the role of the ATP molecules in effectively accounting for muscle contraction, metabolic synthesis, and neuronal </w:t>
      </w:r>
      <w:r w:rsidR="007039F5" w:rsidRPr="00645457">
        <w:rPr>
          <w:rFonts w:ascii="Arial" w:hAnsi="Arial" w:cs="Arial"/>
          <w:sz w:val="22"/>
          <w:szCs w:val="22"/>
        </w:rPr>
        <w:t>signalling</w:t>
      </w:r>
      <w:r w:rsidRPr="00645457">
        <w:rPr>
          <w:rFonts w:ascii="Arial" w:hAnsi="Arial" w:cs="Arial"/>
          <w:sz w:val="22"/>
          <w:szCs w:val="22"/>
        </w:rPr>
        <w:t xml:space="preserve">. The aspects of “oxidative phosphorylation” (OXPHOS) associated with mitochondria also address for production of energy through the process of cell metabolism. </w:t>
      </w:r>
    </w:p>
    <w:p w14:paraId="5D0675B5" w14:textId="77777777" w:rsidR="00116AE2" w:rsidRDefault="00116AE2" w:rsidP="006F11F6">
      <w:pPr>
        <w:spacing w:line="360" w:lineRule="auto"/>
        <w:ind w:firstLine="720"/>
        <w:jc w:val="both"/>
        <w:rPr>
          <w:rFonts w:ascii="Arial" w:hAnsi="Arial" w:cs="Arial"/>
          <w:sz w:val="22"/>
          <w:szCs w:val="22"/>
        </w:rPr>
      </w:pPr>
    </w:p>
    <w:p w14:paraId="1DD576E7" w14:textId="213A84D4" w:rsidR="006F11F6" w:rsidRPr="00645457" w:rsidRDefault="004F5A34" w:rsidP="006F11F6">
      <w:pPr>
        <w:spacing w:line="360" w:lineRule="auto"/>
        <w:ind w:firstLine="720"/>
        <w:jc w:val="both"/>
        <w:rPr>
          <w:rFonts w:ascii="Arial" w:hAnsi="Arial" w:cs="Arial"/>
          <w:sz w:val="22"/>
          <w:szCs w:val="22"/>
        </w:rPr>
      </w:pPr>
      <w:r w:rsidRPr="00645457">
        <w:rPr>
          <w:rFonts w:ascii="Arial" w:hAnsi="Arial" w:cs="Arial"/>
          <w:sz w:val="22"/>
          <w:szCs w:val="22"/>
        </w:rPr>
        <w:t xml:space="preserve">Continuous monitoring of the level of blood glucose is inferred to be the cornerstone for the management of diabetic complications. This also ensures appropriate detection of </w:t>
      </w:r>
      <w:r w:rsidR="007039F5" w:rsidRPr="00645457">
        <w:rPr>
          <w:rFonts w:ascii="Arial" w:hAnsi="Arial" w:cs="Arial"/>
          <w:sz w:val="22"/>
          <w:szCs w:val="22"/>
        </w:rPr>
        <w:t>glycaemic</w:t>
      </w:r>
      <w:r w:rsidRPr="00645457">
        <w:rPr>
          <w:rFonts w:ascii="Arial" w:hAnsi="Arial" w:cs="Arial"/>
          <w:sz w:val="22"/>
          <w:szCs w:val="22"/>
        </w:rPr>
        <w:t xml:space="preserve"> </w:t>
      </w:r>
      <w:r w:rsidRPr="00645457">
        <w:rPr>
          <w:rFonts w:ascii="Arial" w:hAnsi="Arial" w:cs="Arial"/>
          <w:sz w:val="22"/>
          <w:szCs w:val="22"/>
        </w:rPr>
        <w:lastRenderedPageBreak/>
        <w:t xml:space="preserve">patterns, medications, physical activity, and diet. Regular logging of healthcare data regarding diabetes can help the users for identification of potential unique triggers of glucose dysfunction and can therefore mitigate potential comorbidities. One of the articles presented by Shin </w:t>
      </w:r>
      <w:r w:rsidRPr="00645457">
        <w:rPr>
          <w:rFonts w:ascii="Arial" w:hAnsi="Arial" w:cs="Arial"/>
          <w:i/>
          <w:iCs/>
          <w:sz w:val="22"/>
          <w:szCs w:val="22"/>
        </w:rPr>
        <w:t>et al</w:t>
      </w:r>
      <w:r w:rsidRPr="00645457">
        <w:rPr>
          <w:rFonts w:ascii="Arial" w:hAnsi="Arial" w:cs="Arial"/>
          <w:sz w:val="22"/>
          <w:szCs w:val="22"/>
        </w:rPr>
        <w:t xml:space="preserve">. (2024) mentioned that the “continuous glucose monitoring” (CGM) system gradually reduces the rate of pain and inconvenience that is observed in the finger-pricking approach. Therefore, an accurate reflection on the overall health state, </w:t>
      </w:r>
      <w:r w:rsidR="007039F5" w:rsidRPr="00645457">
        <w:rPr>
          <w:rFonts w:ascii="Arial" w:hAnsi="Arial" w:cs="Arial"/>
          <w:sz w:val="22"/>
          <w:szCs w:val="22"/>
        </w:rPr>
        <w:t>hypoglycaemic</w:t>
      </w:r>
      <w:r w:rsidRPr="00645457">
        <w:rPr>
          <w:rFonts w:ascii="Arial" w:hAnsi="Arial" w:cs="Arial"/>
          <w:sz w:val="22"/>
          <w:szCs w:val="22"/>
        </w:rPr>
        <w:t xml:space="preserve"> responses, and variability in acquired data is important for the management of diabetes. On the other hand, the approach of the CGM system allows the affected individuals and the users to be facilitated with real-time data and can be combined with personalized coaching to prevent the complications of “type 2 diabetes” (Park </w:t>
      </w:r>
      <w:r w:rsidRPr="00645457">
        <w:rPr>
          <w:rFonts w:ascii="Arial" w:hAnsi="Arial" w:cs="Arial"/>
          <w:i/>
          <w:iCs/>
          <w:sz w:val="22"/>
          <w:szCs w:val="22"/>
        </w:rPr>
        <w:t>et al</w:t>
      </w:r>
      <w:r w:rsidRPr="00645457">
        <w:rPr>
          <w:rFonts w:ascii="Arial" w:hAnsi="Arial" w:cs="Arial"/>
          <w:sz w:val="22"/>
          <w:szCs w:val="22"/>
        </w:rPr>
        <w:t xml:space="preserve">. 2025).  As it can be determined that effective and appropriate recording along with tracking of the blood sugar concentration of the individual can also highlight the ability of self-care. This can significantly indicate early prevention of complications. </w:t>
      </w:r>
    </w:p>
    <w:p w14:paraId="5029CF71" w14:textId="32D0F97C" w:rsidR="004F5A34" w:rsidRDefault="004F5A34" w:rsidP="005179F4">
      <w:pPr>
        <w:spacing w:line="360" w:lineRule="auto"/>
        <w:ind w:firstLine="720"/>
        <w:jc w:val="both"/>
        <w:rPr>
          <w:rFonts w:ascii="Arial" w:hAnsi="Arial" w:cs="Arial"/>
          <w:sz w:val="22"/>
          <w:szCs w:val="22"/>
        </w:rPr>
      </w:pPr>
      <w:r w:rsidRPr="00645457">
        <w:rPr>
          <w:rFonts w:ascii="Arial" w:hAnsi="Arial" w:cs="Arial"/>
          <w:sz w:val="22"/>
          <w:szCs w:val="22"/>
        </w:rPr>
        <w:t xml:space="preserve">The individuals suffering from “type 2 diabetes” recording and tracking the level of blood sugar are gradually empowered to maintain better adherence with the plan of care, thereby acquiring rapid recovery. In addition to that, recording healthcare data can ensure a standardized and optimized approach to response by the care professionals without potential medical errors. However, the approach of continuous monitoring, tracking, and reporting by the patients suffering from “type 2 diabetes” can help them to be addressed with informed management of medication. Potential acute episodes of consequences can be prevented by tracking and recording levels of blood sugar, that is essential for providing holistic and tailored care, thereby increasing the rate of satisfaction. This can be supported by the study of </w:t>
      </w:r>
      <w:proofErr w:type="spellStart"/>
      <w:r w:rsidRPr="00645457">
        <w:rPr>
          <w:rFonts w:ascii="Arial" w:hAnsi="Arial" w:cs="Arial"/>
          <w:sz w:val="22"/>
          <w:szCs w:val="22"/>
        </w:rPr>
        <w:t>Ewunetu</w:t>
      </w:r>
      <w:proofErr w:type="spellEnd"/>
      <w:r w:rsidRPr="00645457">
        <w:rPr>
          <w:rFonts w:ascii="Arial" w:hAnsi="Arial" w:cs="Arial"/>
          <w:sz w:val="22"/>
          <w:szCs w:val="22"/>
        </w:rPr>
        <w:t xml:space="preserve"> </w:t>
      </w:r>
      <w:r w:rsidRPr="00645457">
        <w:rPr>
          <w:rFonts w:ascii="Arial" w:hAnsi="Arial" w:cs="Arial"/>
          <w:i/>
          <w:iCs/>
          <w:sz w:val="22"/>
          <w:szCs w:val="22"/>
        </w:rPr>
        <w:t>et al</w:t>
      </w:r>
      <w:r w:rsidRPr="00645457">
        <w:rPr>
          <w:rFonts w:ascii="Arial" w:hAnsi="Arial" w:cs="Arial"/>
          <w:sz w:val="22"/>
          <w:szCs w:val="22"/>
        </w:rPr>
        <w:t xml:space="preserve">. (2025), mentioning about significant alteration and modification of the treatment plan and associated dosage of the medications based on the outcomes. Hence, the extensive burden of treatment and disease management can be effectively reduced, that results for better care continuity among the suffering individuals against the complications of “type 2 diabetes”. </w:t>
      </w:r>
      <w:r w:rsidR="00A9598C" w:rsidRPr="00645457">
        <w:rPr>
          <w:rFonts w:ascii="Arial" w:hAnsi="Arial" w:cs="Arial"/>
          <w:sz w:val="22"/>
          <w:szCs w:val="22"/>
        </w:rPr>
        <w:t xml:space="preserve">These activities can overall gradually enhance the aspects of self-management and self-care for patients with diabetes. </w:t>
      </w:r>
    </w:p>
    <w:p w14:paraId="10B19CDC" w14:textId="77777777" w:rsidR="005179F4" w:rsidRPr="005179F4" w:rsidRDefault="005179F4" w:rsidP="005179F4">
      <w:pPr>
        <w:spacing w:line="360" w:lineRule="auto"/>
        <w:ind w:firstLine="720"/>
        <w:jc w:val="both"/>
        <w:rPr>
          <w:rFonts w:ascii="Arial" w:hAnsi="Arial" w:cs="Arial"/>
          <w:sz w:val="22"/>
          <w:szCs w:val="22"/>
        </w:rPr>
      </w:pPr>
    </w:p>
    <w:p w14:paraId="16E7D237" w14:textId="3C0499C9" w:rsidR="006F11F6" w:rsidRPr="00645457" w:rsidRDefault="004F5A34" w:rsidP="006F11F6">
      <w:pPr>
        <w:spacing w:line="360" w:lineRule="auto"/>
        <w:ind w:firstLine="720"/>
        <w:jc w:val="both"/>
        <w:rPr>
          <w:rFonts w:ascii="Arial" w:hAnsi="Arial" w:cs="Arial"/>
          <w:sz w:val="22"/>
          <w:szCs w:val="22"/>
        </w:rPr>
      </w:pPr>
      <w:r w:rsidRPr="00645457">
        <w:rPr>
          <w:rFonts w:ascii="Arial" w:hAnsi="Arial" w:cs="Arial"/>
          <w:sz w:val="22"/>
          <w:szCs w:val="22"/>
        </w:rPr>
        <w:t xml:space="preserve">Lifestyle changes can be beneficial for improving the associated management of diabetic complications while addressing meaningful clinical weight loss. As it can be determined that the lifestyle changes are more personalized and tailored to the needs along with preferences of the suffering individuals. One of the articles presented by </w:t>
      </w:r>
      <w:proofErr w:type="spellStart"/>
      <w:r w:rsidRPr="00645457">
        <w:rPr>
          <w:rFonts w:ascii="Arial" w:hAnsi="Arial" w:cs="Arial"/>
          <w:sz w:val="22"/>
          <w:szCs w:val="22"/>
        </w:rPr>
        <w:t>Amerkamp</w:t>
      </w:r>
      <w:proofErr w:type="spellEnd"/>
      <w:r w:rsidRPr="00645457">
        <w:rPr>
          <w:rFonts w:ascii="Arial" w:hAnsi="Arial" w:cs="Arial"/>
          <w:sz w:val="22"/>
          <w:szCs w:val="22"/>
        </w:rPr>
        <w:t xml:space="preserve"> </w:t>
      </w:r>
      <w:r w:rsidRPr="00645457">
        <w:rPr>
          <w:rFonts w:ascii="Arial" w:hAnsi="Arial" w:cs="Arial"/>
          <w:i/>
          <w:iCs/>
          <w:sz w:val="22"/>
          <w:szCs w:val="22"/>
        </w:rPr>
        <w:t>et al</w:t>
      </w:r>
      <w:r w:rsidRPr="00645457">
        <w:rPr>
          <w:rFonts w:ascii="Arial" w:hAnsi="Arial" w:cs="Arial"/>
          <w:sz w:val="22"/>
          <w:szCs w:val="22"/>
        </w:rPr>
        <w:t xml:space="preserve">. (2025) mentioned that the incorporation of lifestyle changes helps to achieve relatively appropriate </w:t>
      </w:r>
      <w:r w:rsidR="007039F5" w:rsidRPr="00645457">
        <w:rPr>
          <w:rFonts w:ascii="Arial" w:hAnsi="Arial" w:cs="Arial"/>
          <w:sz w:val="22"/>
          <w:szCs w:val="22"/>
        </w:rPr>
        <w:t>glycaemic</w:t>
      </w:r>
      <w:r w:rsidRPr="00645457">
        <w:rPr>
          <w:rFonts w:ascii="Arial" w:hAnsi="Arial" w:cs="Arial"/>
          <w:sz w:val="22"/>
          <w:szCs w:val="22"/>
        </w:rPr>
        <w:t xml:space="preserve"> control and weight loss. This can also account for remission of diabetic conditions. Moreover, the </w:t>
      </w:r>
      <w:r w:rsidRPr="00645457">
        <w:rPr>
          <w:rFonts w:ascii="Arial" w:hAnsi="Arial" w:cs="Arial"/>
          <w:sz w:val="22"/>
          <w:szCs w:val="22"/>
        </w:rPr>
        <w:lastRenderedPageBreak/>
        <w:t xml:space="preserve">recommendations based on lifestyle changes for the patient suffering from diabetes include dietary adjustments and active engagement in physical activities. Also, management of sleep, consistent monitoring of the vital signs, and optimization of the living environment can address a holistic approach for enhancing health outcomes against diabetes. Consumption of balanced meals, low-carbohydrate food products, and integrating the Mediterranean diet can help to balance glucose levels in the body. This can be supported by the discussion of </w:t>
      </w:r>
      <w:proofErr w:type="spellStart"/>
      <w:r w:rsidRPr="00645457">
        <w:rPr>
          <w:rFonts w:ascii="Arial" w:hAnsi="Arial" w:cs="Arial"/>
          <w:sz w:val="22"/>
          <w:szCs w:val="22"/>
        </w:rPr>
        <w:t>Muscogiuri</w:t>
      </w:r>
      <w:proofErr w:type="spellEnd"/>
      <w:r w:rsidRPr="00645457">
        <w:rPr>
          <w:rFonts w:ascii="Arial" w:hAnsi="Arial" w:cs="Arial"/>
          <w:sz w:val="22"/>
          <w:szCs w:val="22"/>
        </w:rPr>
        <w:t xml:space="preserve"> </w:t>
      </w:r>
      <w:r w:rsidRPr="00645457">
        <w:rPr>
          <w:rFonts w:ascii="Arial" w:hAnsi="Arial" w:cs="Arial"/>
          <w:i/>
          <w:iCs/>
          <w:sz w:val="22"/>
          <w:szCs w:val="22"/>
        </w:rPr>
        <w:t>et al</w:t>
      </w:r>
      <w:r w:rsidRPr="00645457">
        <w:rPr>
          <w:rFonts w:ascii="Arial" w:hAnsi="Arial" w:cs="Arial"/>
          <w:sz w:val="22"/>
          <w:szCs w:val="22"/>
        </w:rPr>
        <w:t xml:space="preserve">. (2022), mentioning the Mediterranean diet to enhance lipid and glucose metabolism, thereby reducing cardiovascular risk along with the consumption of trans and saturated fats. </w:t>
      </w:r>
    </w:p>
    <w:p w14:paraId="496B951C" w14:textId="0EE7E6C9" w:rsidR="004F5A34" w:rsidRDefault="004F5A34" w:rsidP="00116AE2">
      <w:pPr>
        <w:spacing w:line="360" w:lineRule="auto"/>
        <w:ind w:firstLine="720"/>
        <w:jc w:val="both"/>
        <w:rPr>
          <w:rFonts w:ascii="Arial" w:hAnsi="Arial" w:cs="Arial"/>
          <w:sz w:val="22"/>
          <w:szCs w:val="22"/>
        </w:rPr>
      </w:pPr>
      <w:r w:rsidRPr="00645457">
        <w:rPr>
          <w:rFonts w:ascii="Arial" w:hAnsi="Arial" w:cs="Arial"/>
          <w:sz w:val="22"/>
          <w:szCs w:val="22"/>
        </w:rPr>
        <w:t>On the other hand, the Mediterranean diet is associated with risk factors that helps for regulation of blood sugar and is responsible for a delay in gastric emptying. Such activity gradually slows the process of glucose absorption while addressing a decline in the concentration of insulin in serum (</w:t>
      </w:r>
      <w:proofErr w:type="spellStart"/>
      <w:r w:rsidRPr="00645457">
        <w:rPr>
          <w:rFonts w:ascii="Arial" w:hAnsi="Arial" w:cs="Arial"/>
          <w:sz w:val="22"/>
          <w:szCs w:val="22"/>
        </w:rPr>
        <w:t>Vavitis</w:t>
      </w:r>
      <w:proofErr w:type="spellEnd"/>
      <w:r w:rsidRPr="00645457">
        <w:rPr>
          <w:rFonts w:ascii="Arial" w:hAnsi="Arial" w:cs="Arial"/>
          <w:sz w:val="22"/>
          <w:szCs w:val="22"/>
        </w:rPr>
        <w:t xml:space="preserve"> </w:t>
      </w:r>
      <w:r w:rsidRPr="00645457">
        <w:rPr>
          <w:rFonts w:ascii="Arial" w:hAnsi="Arial" w:cs="Arial"/>
          <w:i/>
          <w:iCs/>
          <w:sz w:val="22"/>
          <w:szCs w:val="22"/>
        </w:rPr>
        <w:t>et al</w:t>
      </w:r>
      <w:r w:rsidRPr="00645457">
        <w:rPr>
          <w:rFonts w:ascii="Arial" w:hAnsi="Arial" w:cs="Arial"/>
          <w:sz w:val="22"/>
          <w:szCs w:val="22"/>
        </w:rPr>
        <w:t xml:space="preserve">. 2026). However, physical exercise can be inferred to be the first approach of lifestyle recommendation and is highlighted as the central element for the management of diabetic complications. Regular exercise can be indicated as the major cornerstone for the treatment and management of diabetes (particularly “type 2 diabetes”), as it also accounts for self-management abilities. The report by </w:t>
      </w:r>
      <w:proofErr w:type="spellStart"/>
      <w:r w:rsidRPr="00645457">
        <w:rPr>
          <w:rFonts w:ascii="Arial" w:hAnsi="Arial" w:cs="Arial"/>
          <w:sz w:val="22"/>
          <w:szCs w:val="22"/>
        </w:rPr>
        <w:t>Abdulameer</w:t>
      </w:r>
      <w:proofErr w:type="spellEnd"/>
      <w:r w:rsidRPr="00645457">
        <w:rPr>
          <w:rFonts w:ascii="Arial" w:hAnsi="Arial" w:cs="Arial"/>
          <w:sz w:val="22"/>
          <w:szCs w:val="22"/>
        </w:rPr>
        <w:t xml:space="preserve"> and Sahib (2026) emphasized that the approach of lifestyle modification by integrating a </w:t>
      </w:r>
      <w:r w:rsidR="007039F5" w:rsidRPr="00645457">
        <w:rPr>
          <w:rFonts w:ascii="Arial" w:hAnsi="Arial" w:cs="Arial"/>
          <w:sz w:val="22"/>
          <w:szCs w:val="22"/>
        </w:rPr>
        <w:t>counselling</w:t>
      </w:r>
      <w:r w:rsidRPr="00645457">
        <w:rPr>
          <w:rFonts w:ascii="Arial" w:hAnsi="Arial" w:cs="Arial"/>
          <w:sz w:val="22"/>
          <w:szCs w:val="22"/>
        </w:rPr>
        <w:t xml:space="preserve"> program for exercise for the suffering individuals is addressed as a comprehensive approach to management for diabetes. Also, active engagement in physical exercise can prevent the development of diabetic neuropathy while reducing associated sedentary time of the individual. In support to that, </w:t>
      </w:r>
      <w:proofErr w:type="spellStart"/>
      <w:r w:rsidRPr="00645457">
        <w:rPr>
          <w:rFonts w:ascii="Arial" w:hAnsi="Arial" w:cs="Arial"/>
          <w:sz w:val="22"/>
          <w:szCs w:val="22"/>
        </w:rPr>
        <w:t>Jayedi</w:t>
      </w:r>
      <w:proofErr w:type="spellEnd"/>
      <w:r w:rsidRPr="00645457">
        <w:rPr>
          <w:rFonts w:ascii="Arial" w:hAnsi="Arial" w:cs="Arial"/>
          <w:sz w:val="22"/>
          <w:szCs w:val="22"/>
        </w:rPr>
        <w:t xml:space="preserve"> </w:t>
      </w:r>
      <w:r w:rsidRPr="00645457">
        <w:rPr>
          <w:rFonts w:ascii="Arial" w:hAnsi="Arial" w:cs="Arial"/>
          <w:i/>
          <w:iCs/>
          <w:sz w:val="22"/>
          <w:szCs w:val="22"/>
        </w:rPr>
        <w:t>et al</w:t>
      </w:r>
      <w:r w:rsidRPr="00645457">
        <w:rPr>
          <w:rFonts w:ascii="Arial" w:hAnsi="Arial" w:cs="Arial"/>
          <w:sz w:val="22"/>
          <w:szCs w:val="22"/>
        </w:rPr>
        <w:t xml:space="preserve">. (2024) have indicated that engagement of the suffering individual in aerobic exercise for about 150 minutes every week can result in the management of body fat and obesity. Furthermore, better sleep quality with an appropriate duration of sleep is recommended for maintaining a relatively improved level of </w:t>
      </w:r>
      <w:r w:rsidR="007039F5" w:rsidRPr="00645457">
        <w:rPr>
          <w:rFonts w:ascii="Arial" w:hAnsi="Arial" w:cs="Arial"/>
          <w:sz w:val="22"/>
          <w:szCs w:val="22"/>
        </w:rPr>
        <w:t>glycaemic</w:t>
      </w:r>
      <w:r w:rsidRPr="00645457">
        <w:rPr>
          <w:rFonts w:ascii="Arial" w:hAnsi="Arial" w:cs="Arial"/>
          <w:sz w:val="22"/>
          <w:szCs w:val="22"/>
        </w:rPr>
        <w:t xml:space="preserve"> control. Maintaining sleep patterns can address the glucose metabolism and energy uptake and can also positively influence the aspects of appetite associated with the functioning of the “hypothalamic-pituitary-adrenal axis” (HPA axis) (Shibabaw </w:t>
      </w:r>
      <w:r w:rsidRPr="00645457">
        <w:rPr>
          <w:rFonts w:ascii="Arial" w:hAnsi="Arial" w:cs="Arial"/>
          <w:i/>
          <w:iCs/>
          <w:sz w:val="22"/>
          <w:szCs w:val="22"/>
        </w:rPr>
        <w:t>et al</w:t>
      </w:r>
      <w:r w:rsidRPr="00645457">
        <w:rPr>
          <w:rFonts w:ascii="Arial" w:hAnsi="Arial" w:cs="Arial"/>
          <w:sz w:val="22"/>
          <w:szCs w:val="22"/>
        </w:rPr>
        <w:t xml:space="preserve">. 2023). In addition to that, the patient should mitigate and resist a sedentary lifestyle to significantly manage diabetic complications and enhance overall health outcomes. </w:t>
      </w:r>
    </w:p>
    <w:p w14:paraId="58B2EEAF" w14:textId="19A34785" w:rsidR="00116AE2" w:rsidRPr="00116AE2" w:rsidRDefault="00116AE2" w:rsidP="00116AE2">
      <w:pPr>
        <w:spacing w:line="360" w:lineRule="auto"/>
        <w:ind w:firstLine="720"/>
        <w:jc w:val="both"/>
        <w:rPr>
          <w:rFonts w:ascii="Arial" w:hAnsi="Arial" w:cs="Arial"/>
          <w:sz w:val="22"/>
          <w:szCs w:val="22"/>
        </w:rPr>
      </w:pPr>
    </w:p>
    <w:p w14:paraId="174E5FE0" w14:textId="1C06F1F4" w:rsidR="004F5A34" w:rsidRPr="00645457" w:rsidRDefault="00225CD7" w:rsidP="006F11F6">
      <w:pPr>
        <w:spacing w:line="360" w:lineRule="auto"/>
        <w:ind w:firstLine="720"/>
        <w:jc w:val="both"/>
        <w:rPr>
          <w:rFonts w:ascii="Arial" w:hAnsi="Arial" w:cs="Arial"/>
          <w:sz w:val="22"/>
          <w:szCs w:val="22"/>
        </w:rPr>
      </w:pPr>
      <w:r>
        <w:rPr>
          <w:rFonts w:ascii="Arial" w:hAnsi="Arial" w:cs="Arial"/>
          <w:sz w:val="22"/>
          <w:szCs w:val="22"/>
        </w:rPr>
        <w:t>Diabetes is a metabolic disorder caused by inadequate insulin production or ineffective insulin use. Key risk factors, include age, family history, gender, and physical inactivity. Blood glucose regulation involves the pancreas, liver, and vitamin E through processes s</w:t>
      </w:r>
      <w:r w:rsidR="00116AE2">
        <w:rPr>
          <w:rFonts w:ascii="Arial" w:hAnsi="Arial" w:cs="Arial"/>
          <w:sz w:val="22"/>
          <w:szCs w:val="22"/>
        </w:rPr>
        <w:t>uch</w:t>
      </w:r>
      <w:r>
        <w:rPr>
          <w:rFonts w:ascii="Arial" w:hAnsi="Arial" w:cs="Arial"/>
          <w:sz w:val="22"/>
          <w:szCs w:val="22"/>
        </w:rPr>
        <w:t xml:space="preserve"> as glycogenolysis and gluconeogenesis. Energy production through glycolysis, aerobic respiration, </w:t>
      </w:r>
      <w:r>
        <w:rPr>
          <w:rFonts w:ascii="Arial" w:hAnsi="Arial" w:cs="Arial"/>
          <w:sz w:val="22"/>
          <w:szCs w:val="22"/>
        </w:rPr>
        <w:lastRenderedPageBreak/>
        <w:t>and the Krebs cycle and supports cellular metabolism. Although diabetes can lead to serious complications, regular health monitoring helps identify risks early. Lifestyle modifications</w:t>
      </w:r>
      <w:r w:rsidR="00116AE2">
        <w:rPr>
          <w:rFonts w:ascii="Arial" w:hAnsi="Arial" w:cs="Arial"/>
          <w:sz w:val="22"/>
          <w:szCs w:val="22"/>
        </w:rPr>
        <w:t>, particularly physical activity, health diet and adequate sleep, remain the most effective management strategies.</w:t>
      </w:r>
    </w:p>
    <w:p w14:paraId="3A9E33BC" w14:textId="2FCE87BF" w:rsidR="002F05DE" w:rsidRPr="00116AE2" w:rsidRDefault="004F5A34" w:rsidP="00116AE2">
      <w:pPr>
        <w:spacing w:line="360" w:lineRule="auto"/>
        <w:jc w:val="both"/>
        <w:rPr>
          <w:rFonts w:ascii="Arial" w:hAnsi="Arial" w:cs="Arial"/>
          <w:sz w:val="22"/>
          <w:szCs w:val="22"/>
        </w:rPr>
      </w:pPr>
      <w:r w:rsidRPr="00645457">
        <w:rPr>
          <w:rFonts w:ascii="Arial" w:hAnsi="Arial" w:cs="Arial"/>
          <w:sz w:val="22"/>
          <w:szCs w:val="22"/>
        </w:rPr>
        <w:br w:type="page"/>
      </w:r>
    </w:p>
    <w:p w14:paraId="4E290C09" w14:textId="77777777" w:rsidR="00686C96" w:rsidRPr="00645457" w:rsidRDefault="00686C96" w:rsidP="00686C96">
      <w:pPr>
        <w:spacing w:line="360" w:lineRule="auto"/>
        <w:jc w:val="both"/>
        <w:rPr>
          <w:rFonts w:ascii="Arial" w:hAnsi="Arial" w:cs="Arial"/>
          <w:sz w:val="22"/>
          <w:szCs w:val="22"/>
        </w:rPr>
      </w:pPr>
      <w:r w:rsidRPr="00645457">
        <w:rPr>
          <w:rFonts w:ascii="Arial" w:hAnsi="Arial" w:cs="Arial"/>
          <w:sz w:val="22"/>
          <w:szCs w:val="22"/>
        </w:rPr>
        <w:lastRenderedPageBreak/>
        <w:t>Abdulameer, S.A. and Sahib, M.N., 2026. Cross-Cultural Adaptation and Validation of the Simplified Diabetes Knowledge Test (Arabic Version) for Insulin-Dependent Diabetic Patients: A Cross-Sectional Study in Iraq. </w:t>
      </w:r>
      <w:r w:rsidRPr="00645457">
        <w:rPr>
          <w:rFonts w:ascii="Arial" w:hAnsi="Arial" w:cs="Arial"/>
          <w:i/>
          <w:iCs/>
          <w:sz w:val="22"/>
          <w:szCs w:val="22"/>
        </w:rPr>
        <w:t>Journal of Clinical Medicine</w:t>
      </w:r>
      <w:r w:rsidRPr="00645457">
        <w:rPr>
          <w:rFonts w:ascii="Arial" w:hAnsi="Arial" w:cs="Arial"/>
          <w:sz w:val="22"/>
          <w:szCs w:val="22"/>
        </w:rPr>
        <w:t>, </w:t>
      </w:r>
      <w:r w:rsidRPr="00645457">
        <w:rPr>
          <w:rFonts w:ascii="Arial" w:hAnsi="Arial" w:cs="Arial"/>
          <w:i/>
          <w:iCs/>
          <w:sz w:val="22"/>
          <w:szCs w:val="22"/>
        </w:rPr>
        <w:t>15</w:t>
      </w:r>
      <w:r w:rsidRPr="00645457">
        <w:rPr>
          <w:rFonts w:ascii="Arial" w:hAnsi="Arial" w:cs="Arial"/>
          <w:sz w:val="22"/>
          <w:szCs w:val="22"/>
        </w:rPr>
        <w:t xml:space="preserve">(3), p.1164. </w:t>
      </w:r>
    </w:p>
    <w:p w14:paraId="17BF861F" w14:textId="77777777" w:rsidR="00686C96" w:rsidRPr="00645457" w:rsidRDefault="00686C96" w:rsidP="00686C96">
      <w:pPr>
        <w:spacing w:line="360" w:lineRule="auto"/>
        <w:jc w:val="both"/>
        <w:rPr>
          <w:rFonts w:ascii="Arial" w:hAnsi="Arial" w:cs="Arial"/>
          <w:sz w:val="22"/>
          <w:szCs w:val="22"/>
        </w:rPr>
      </w:pPr>
      <w:r w:rsidRPr="00645457">
        <w:rPr>
          <w:rFonts w:ascii="Arial" w:hAnsi="Arial" w:cs="Arial"/>
          <w:sz w:val="22"/>
          <w:szCs w:val="22"/>
        </w:rPr>
        <w:t xml:space="preserve">Alam, S., Hasan, M.K., </w:t>
      </w:r>
      <w:proofErr w:type="spellStart"/>
      <w:r w:rsidRPr="00645457">
        <w:rPr>
          <w:rFonts w:ascii="Arial" w:hAnsi="Arial" w:cs="Arial"/>
          <w:sz w:val="22"/>
          <w:szCs w:val="22"/>
        </w:rPr>
        <w:t>Neaz</w:t>
      </w:r>
      <w:proofErr w:type="spellEnd"/>
      <w:r w:rsidRPr="00645457">
        <w:rPr>
          <w:rFonts w:ascii="Arial" w:hAnsi="Arial" w:cs="Arial"/>
          <w:sz w:val="22"/>
          <w:szCs w:val="22"/>
        </w:rPr>
        <w:t>, S., Hussain, N., Hossain, M.F. and Rahman, T., 2021. Diabetes mellitus: insights from epidemiology, biochemistry, risk factors, diagnosis, complications and comprehensive management. </w:t>
      </w:r>
      <w:r w:rsidRPr="00645457">
        <w:rPr>
          <w:rFonts w:ascii="Arial" w:hAnsi="Arial" w:cs="Arial"/>
          <w:i/>
          <w:iCs/>
          <w:sz w:val="22"/>
          <w:szCs w:val="22"/>
        </w:rPr>
        <w:t>Diabetology</w:t>
      </w:r>
      <w:r w:rsidRPr="00645457">
        <w:rPr>
          <w:rFonts w:ascii="Arial" w:hAnsi="Arial" w:cs="Arial"/>
          <w:sz w:val="22"/>
          <w:szCs w:val="22"/>
        </w:rPr>
        <w:t>, </w:t>
      </w:r>
      <w:r w:rsidRPr="00645457">
        <w:rPr>
          <w:rFonts w:ascii="Arial" w:hAnsi="Arial" w:cs="Arial"/>
          <w:i/>
          <w:iCs/>
          <w:sz w:val="22"/>
          <w:szCs w:val="22"/>
        </w:rPr>
        <w:t>2</w:t>
      </w:r>
      <w:r w:rsidRPr="00645457">
        <w:rPr>
          <w:rFonts w:ascii="Arial" w:hAnsi="Arial" w:cs="Arial"/>
          <w:sz w:val="22"/>
          <w:szCs w:val="22"/>
        </w:rPr>
        <w:t>(2), pp.36-50.</w:t>
      </w:r>
    </w:p>
    <w:p w14:paraId="2989065D" w14:textId="77777777" w:rsidR="00686C96" w:rsidRPr="00645457" w:rsidRDefault="00686C96" w:rsidP="00686C96">
      <w:pPr>
        <w:spacing w:line="360" w:lineRule="auto"/>
        <w:jc w:val="both"/>
        <w:rPr>
          <w:rFonts w:ascii="Arial" w:hAnsi="Arial" w:cs="Arial"/>
          <w:sz w:val="22"/>
          <w:szCs w:val="22"/>
        </w:rPr>
      </w:pPr>
      <w:proofErr w:type="spellStart"/>
      <w:r w:rsidRPr="00645457">
        <w:rPr>
          <w:rFonts w:ascii="Arial" w:hAnsi="Arial" w:cs="Arial"/>
          <w:sz w:val="22"/>
          <w:szCs w:val="22"/>
        </w:rPr>
        <w:t>Amerkamp</w:t>
      </w:r>
      <w:proofErr w:type="spellEnd"/>
      <w:r w:rsidRPr="00645457">
        <w:rPr>
          <w:rFonts w:ascii="Arial" w:hAnsi="Arial" w:cs="Arial"/>
          <w:sz w:val="22"/>
          <w:szCs w:val="22"/>
        </w:rPr>
        <w:t xml:space="preserve">, J., Benli, S., </w:t>
      </w:r>
      <w:proofErr w:type="spellStart"/>
      <w:r w:rsidRPr="00645457">
        <w:rPr>
          <w:rFonts w:ascii="Arial" w:hAnsi="Arial" w:cs="Arial"/>
          <w:sz w:val="22"/>
          <w:szCs w:val="22"/>
        </w:rPr>
        <w:t>Isenmann</w:t>
      </w:r>
      <w:proofErr w:type="spellEnd"/>
      <w:r w:rsidRPr="00645457">
        <w:rPr>
          <w:rFonts w:ascii="Arial" w:hAnsi="Arial" w:cs="Arial"/>
          <w:sz w:val="22"/>
          <w:szCs w:val="22"/>
        </w:rPr>
        <w:t>, E. and Brinkmann, C., 2025. Optimizing the lifestyle of patients with type 2 diabetes mellitus-Systematic review on the effects of combined diet-and-exercise interventions. </w:t>
      </w:r>
      <w:r w:rsidRPr="00645457">
        <w:rPr>
          <w:rFonts w:ascii="Arial" w:hAnsi="Arial" w:cs="Arial"/>
          <w:i/>
          <w:iCs/>
          <w:sz w:val="22"/>
          <w:szCs w:val="22"/>
        </w:rPr>
        <w:t>Nutrition, Metabolism and Cardiovascular Diseases</w:t>
      </w:r>
      <w:r w:rsidRPr="00645457">
        <w:rPr>
          <w:rFonts w:ascii="Arial" w:hAnsi="Arial" w:cs="Arial"/>
          <w:sz w:val="22"/>
          <w:szCs w:val="22"/>
        </w:rPr>
        <w:t>, </w:t>
      </w:r>
      <w:r w:rsidRPr="00645457">
        <w:rPr>
          <w:rFonts w:ascii="Arial" w:hAnsi="Arial" w:cs="Arial"/>
          <w:i/>
          <w:iCs/>
          <w:sz w:val="22"/>
          <w:szCs w:val="22"/>
        </w:rPr>
        <w:t>35</w:t>
      </w:r>
      <w:r w:rsidRPr="00645457">
        <w:rPr>
          <w:rFonts w:ascii="Arial" w:hAnsi="Arial" w:cs="Arial"/>
          <w:sz w:val="22"/>
          <w:szCs w:val="22"/>
        </w:rPr>
        <w:t xml:space="preserve">(5), p.103746. </w:t>
      </w:r>
    </w:p>
    <w:p w14:paraId="08C5F2FB" w14:textId="77777777" w:rsidR="00686C96" w:rsidRPr="00645457" w:rsidRDefault="00686C96" w:rsidP="00686C96">
      <w:pPr>
        <w:spacing w:line="360" w:lineRule="auto"/>
        <w:jc w:val="both"/>
        <w:rPr>
          <w:rFonts w:ascii="Arial" w:hAnsi="Arial" w:cs="Arial"/>
          <w:sz w:val="22"/>
          <w:szCs w:val="22"/>
        </w:rPr>
      </w:pPr>
      <w:r w:rsidRPr="00645457">
        <w:rPr>
          <w:rFonts w:ascii="Arial" w:hAnsi="Arial" w:cs="Arial"/>
          <w:sz w:val="22"/>
          <w:szCs w:val="22"/>
        </w:rPr>
        <w:t xml:space="preserve">Antar, S.A., Ashour, N.A., </w:t>
      </w:r>
      <w:proofErr w:type="spellStart"/>
      <w:r w:rsidRPr="00645457">
        <w:rPr>
          <w:rFonts w:ascii="Arial" w:hAnsi="Arial" w:cs="Arial"/>
          <w:sz w:val="22"/>
          <w:szCs w:val="22"/>
        </w:rPr>
        <w:t>Sharaky</w:t>
      </w:r>
      <w:proofErr w:type="spellEnd"/>
      <w:r w:rsidRPr="00645457">
        <w:rPr>
          <w:rFonts w:ascii="Arial" w:hAnsi="Arial" w:cs="Arial"/>
          <w:sz w:val="22"/>
          <w:szCs w:val="22"/>
        </w:rPr>
        <w:t xml:space="preserve">, M., Khattab, M., Ashour, N.A., Zaid, R.T., Roh, E.J., </w:t>
      </w:r>
      <w:proofErr w:type="spellStart"/>
      <w:r w:rsidRPr="00645457">
        <w:rPr>
          <w:rFonts w:ascii="Arial" w:hAnsi="Arial" w:cs="Arial"/>
          <w:sz w:val="22"/>
          <w:szCs w:val="22"/>
        </w:rPr>
        <w:t>Elkamhawy</w:t>
      </w:r>
      <w:proofErr w:type="spellEnd"/>
      <w:r w:rsidRPr="00645457">
        <w:rPr>
          <w:rFonts w:ascii="Arial" w:hAnsi="Arial" w:cs="Arial"/>
          <w:sz w:val="22"/>
          <w:szCs w:val="22"/>
        </w:rPr>
        <w:t>, A. and Al-</w:t>
      </w:r>
      <w:proofErr w:type="spellStart"/>
      <w:r w:rsidRPr="00645457">
        <w:rPr>
          <w:rFonts w:ascii="Arial" w:hAnsi="Arial" w:cs="Arial"/>
          <w:sz w:val="22"/>
          <w:szCs w:val="22"/>
        </w:rPr>
        <w:t>Karmalawy</w:t>
      </w:r>
      <w:proofErr w:type="spellEnd"/>
      <w:r w:rsidRPr="00645457">
        <w:rPr>
          <w:rFonts w:ascii="Arial" w:hAnsi="Arial" w:cs="Arial"/>
          <w:sz w:val="22"/>
          <w:szCs w:val="22"/>
        </w:rPr>
        <w:t>, A.A., 2023. Diabetes mellitus: Classification, mediators, and complications; A gate to identify potential targets for the development of new effective treatments. </w:t>
      </w:r>
      <w:r w:rsidRPr="00645457">
        <w:rPr>
          <w:rFonts w:ascii="Arial" w:hAnsi="Arial" w:cs="Arial"/>
          <w:i/>
          <w:iCs/>
          <w:sz w:val="22"/>
          <w:szCs w:val="22"/>
        </w:rPr>
        <w:t>Biomedicine &amp; Pharmacotherapy</w:t>
      </w:r>
      <w:r w:rsidRPr="00645457">
        <w:rPr>
          <w:rFonts w:ascii="Arial" w:hAnsi="Arial" w:cs="Arial"/>
          <w:sz w:val="22"/>
          <w:szCs w:val="22"/>
        </w:rPr>
        <w:t>, </w:t>
      </w:r>
      <w:r w:rsidRPr="00645457">
        <w:rPr>
          <w:rFonts w:ascii="Arial" w:hAnsi="Arial" w:cs="Arial"/>
          <w:i/>
          <w:iCs/>
          <w:sz w:val="22"/>
          <w:szCs w:val="22"/>
        </w:rPr>
        <w:t>168</w:t>
      </w:r>
      <w:r w:rsidRPr="00645457">
        <w:rPr>
          <w:rFonts w:ascii="Arial" w:hAnsi="Arial" w:cs="Arial"/>
          <w:sz w:val="22"/>
          <w:szCs w:val="22"/>
        </w:rPr>
        <w:t xml:space="preserve">, p.115734. </w:t>
      </w:r>
    </w:p>
    <w:p w14:paraId="2D074ED1" w14:textId="77777777" w:rsidR="00686C96" w:rsidRPr="00645457" w:rsidRDefault="00686C96" w:rsidP="00686C96">
      <w:pPr>
        <w:spacing w:line="360" w:lineRule="auto"/>
        <w:jc w:val="both"/>
        <w:rPr>
          <w:rFonts w:ascii="Arial" w:hAnsi="Arial" w:cs="Arial"/>
          <w:sz w:val="22"/>
          <w:szCs w:val="22"/>
        </w:rPr>
      </w:pPr>
      <w:r w:rsidRPr="00645457">
        <w:rPr>
          <w:rFonts w:ascii="Arial" w:hAnsi="Arial" w:cs="Arial"/>
          <w:sz w:val="22"/>
          <w:szCs w:val="22"/>
        </w:rPr>
        <w:t>Basiri, R., Seidu, B. and Cheskin, L.J., 2023. Key nutrients for optimal blood glucose control and mental health in individuals with diabetes: A review of the evidence. </w:t>
      </w:r>
      <w:r w:rsidRPr="00645457">
        <w:rPr>
          <w:rFonts w:ascii="Arial" w:hAnsi="Arial" w:cs="Arial"/>
          <w:i/>
          <w:iCs/>
          <w:sz w:val="22"/>
          <w:szCs w:val="22"/>
        </w:rPr>
        <w:t>Nutrients</w:t>
      </w:r>
      <w:r w:rsidRPr="00645457">
        <w:rPr>
          <w:rFonts w:ascii="Arial" w:hAnsi="Arial" w:cs="Arial"/>
          <w:sz w:val="22"/>
          <w:szCs w:val="22"/>
        </w:rPr>
        <w:t>, </w:t>
      </w:r>
      <w:r w:rsidRPr="00645457">
        <w:rPr>
          <w:rFonts w:ascii="Arial" w:hAnsi="Arial" w:cs="Arial"/>
          <w:i/>
          <w:iCs/>
          <w:sz w:val="22"/>
          <w:szCs w:val="22"/>
        </w:rPr>
        <w:t>15</w:t>
      </w:r>
      <w:r w:rsidRPr="00645457">
        <w:rPr>
          <w:rFonts w:ascii="Arial" w:hAnsi="Arial" w:cs="Arial"/>
          <w:sz w:val="22"/>
          <w:szCs w:val="22"/>
        </w:rPr>
        <w:t xml:space="preserve">(18), p.3929. </w:t>
      </w:r>
    </w:p>
    <w:p w14:paraId="0C677448" w14:textId="77777777" w:rsidR="00686C96" w:rsidRPr="00645457" w:rsidRDefault="00686C96" w:rsidP="00686C96">
      <w:pPr>
        <w:spacing w:line="360" w:lineRule="auto"/>
        <w:jc w:val="both"/>
        <w:rPr>
          <w:rFonts w:ascii="Arial" w:hAnsi="Arial" w:cs="Arial"/>
          <w:sz w:val="22"/>
          <w:szCs w:val="22"/>
        </w:rPr>
      </w:pPr>
      <w:r w:rsidRPr="00645457">
        <w:rPr>
          <w:rFonts w:ascii="Arial" w:hAnsi="Arial" w:cs="Arial"/>
          <w:sz w:val="22"/>
          <w:szCs w:val="22"/>
        </w:rPr>
        <w:t xml:space="preserve">Dimitriadis, G.D., </w:t>
      </w:r>
      <w:proofErr w:type="spellStart"/>
      <w:r w:rsidRPr="00645457">
        <w:rPr>
          <w:rFonts w:ascii="Arial" w:hAnsi="Arial" w:cs="Arial"/>
          <w:sz w:val="22"/>
          <w:szCs w:val="22"/>
        </w:rPr>
        <w:t>Maratou</w:t>
      </w:r>
      <w:proofErr w:type="spellEnd"/>
      <w:r w:rsidRPr="00645457">
        <w:rPr>
          <w:rFonts w:ascii="Arial" w:hAnsi="Arial" w:cs="Arial"/>
          <w:sz w:val="22"/>
          <w:szCs w:val="22"/>
        </w:rPr>
        <w:t xml:space="preserve">, E., </w:t>
      </w:r>
      <w:proofErr w:type="spellStart"/>
      <w:r w:rsidRPr="00645457">
        <w:rPr>
          <w:rFonts w:ascii="Arial" w:hAnsi="Arial" w:cs="Arial"/>
          <w:sz w:val="22"/>
          <w:szCs w:val="22"/>
        </w:rPr>
        <w:t>Kountouri</w:t>
      </w:r>
      <w:proofErr w:type="spellEnd"/>
      <w:r w:rsidRPr="00645457">
        <w:rPr>
          <w:rFonts w:ascii="Arial" w:hAnsi="Arial" w:cs="Arial"/>
          <w:sz w:val="22"/>
          <w:szCs w:val="22"/>
        </w:rPr>
        <w:t xml:space="preserve">, A., Board, M. and </w:t>
      </w:r>
      <w:proofErr w:type="spellStart"/>
      <w:r w:rsidRPr="00645457">
        <w:rPr>
          <w:rFonts w:ascii="Arial" w:hAnsi="Arial" w:cs="Arial"/>
          <w:sz w:val="22"/>
          <w:szCs w:val="22"/>
        </w:rPr>
        <w:t>Lambadiari</w:t>
      </w:r>
      <w:proofErr w:type="spellEnd"/>
      <w:r w:rsidRPr="00645457">
        <w:rPr>
          <w:rFonts w:ascii="Arial" w:hAnsi="Arial" w:cs="Arial"/>
          <w:sz w:val="22"/>
          <w:szCs w:val="22"/>
        </w:rPr>
        <w:t>, V., 2021. Regulation of postabsorptive and postprandial glucose metabolism by insulin-dependent and insulin-independent mechanisms: an integrative approach. </w:t>
      </w:r>
      <w:r w:rsidRPr="00645457">
        <w:rPr>
          <w:rFonts w:ascii="Arial" w:hAnsi="Arial" w:cs="Arial"/>
          <w:i/>
          <w:iCs/>
          <w:sz w:val="22"/>
          <w:szCs w:val="22"/>
        </w:rPr>
        <w:t>Nutrients</w:t>
      </w:r>
      <w:r w:rsidRPr="00645457">
        <w:rPr>
          <w:rFonts w:ascii="Arial" w:hAnsi="Arial" w:cs="Arial"/>
          <w:sz w:val="22"/>
          <w:szCs w:val="22"/>
        </w:rPr>
        <w:t>, </w:t>
      </w:r>
      <w:r w:rsidRPr="00645457">
        <w:rPr>
          <w:rFonts w:ascii="Arial" w:hAnsi="Arial" w:cs="Arial"/>
          <w:i/>
          <w:iCs/>
          <w:sz w:val="22"/>
          <w:szCs w:val="22"/>
        </w:rPr>
        <w:t>13</w:t>
      </w:r>
      <w:r w:rsidRPr="00645457">
        <w:rPr>
          <w:rFonts w:ascii="Arial" w:hAnsi="Arial" w:cs="Arial"/>
          <w:sz w:val="22"/>
          <w:szCs w:val="22"/>
        </w:rPr>
        <w:t xml:space="preserve">(1), p.159. </w:t>
      </w:r>
    </w:p>
    <w:p w14:paraId="77E4A527" w14:textId="77777777" w:rsidR="00686C96" w:rsidRPr="00645457" w:rsidRDefault="00686C96" w:rsidP="00686C96">
      <w:pPr>
        <w:spacing w:line="360" w:lineRule="auto"/>
        <w:jc w:val="both"/>
        <w:rPr>
          <w:rFonts w:ascii="Arial" w:hAnsi="Arial" w:cs="Arial"/>
          <w:sz w:val="22"/>
          <w:szCs w:val="22"/>
        </w:rPr>
      </w:pPr>
      <w:r w:rsidRPr="00645457">
        <w:rPr>
          <w:rFonts w:ascii="Arial" w:hAnsi="Arial" w:cs="Arial"/>
          <w:sz w:val="22"/>
          <w:szCs w:val="22"/>
        </w:rPr>
        <w:t xml:space="preserve">Ewunetu, M., Belay, B.M., Abere, Y., Melkamu, B., </w:t>
      </w:r>
      <w:proofErr w:type="spellStart"/>
      <w:r w:rsidRPr="00645457">
        <w:rPr>
          <w:rFonts w:ascii="Arial" w:hAnsi="Arial" w:cs="Arial"/>
          <w:sz w:val="22"/>
          <w:szCs w:val="22"/>
        </w:rPr>
        <w:t>Eshetie</w:t>
      </w:r>
      <w:proofErr w:type="spellEnd"/>
      <w:r w:rsidRPr="00645457">
        <w:rPr>
          <w:rFonts w:ascii="Arial" w:hAnsi="Arial" w:cs="Arial"/>
          <w:sz w:val="22"/>
          <w:szCs w:val="22"/>
        </w:rPr>
        <w:t xml:space="preserve">, Y. and Dires, T., 2025. Home </w:t>
      </w:r>
      <w:proofErr w:type="spellStart"/>
      <w:r w:rsidRPr="00645457">
        <w:rPr>
          <w:rFonts w:ascii="Arial" w:hAnsi="Arial" w:cs="Arial"/>
          <w:sz w:val="22"/>
          <w:szCs w:val="22"/>
        </w:rPr>
        <w:t>self monitoring</w:t>
      </w:r>
      <w:proofErr w:type="spellEnd"/>
      <w:r w:rsidRPr="00645457">
        <w:rPr>
          <w:rFonts w:ascii="Arial" w:hAnsi="Arial" w:cs="Arial"/>
          <w:sz w:val="22"/>
          <w:szCs w:val="22"/>
        </w:rPr>
        <w:t xml:space="preserve"> of blood glucose using a glucometer and its determinants among diabetes mellitus. </w:t>
      </w:r>
      <w:r w:rsidRPr="00645457">
        <w:rPr>
          <w:rFonts w:ascii="Arial" w:hAnsi="Arial" w:cs="Arial"/>
          <w:i/>
          <w:iCs/>
          <w:sz w:val="22"/>
          <w:szCs w:val="22"/>
        </w:rPr>
        <w:t>Scientific Reports</w:t>
      </w:r>
      <w:r w:rsidRPr="00645457">
        <w:rPr>
          <w:rFonts w:ascii="Arial" w:hAnsi="Arial" w:cs="Arial"/>
          <w:sz w:val="22"/>
          <w:szCs w:val="22"/>
        </w:rPr>
        <w:t>, </w:t>
      </w:r>
      <w:r w:rsidRPr="00645457">
        <w:rPr>
          <w:rFonts w:ascii="Arial" w:hAnsi="Arial" w:cs="Arial"/>
          <w:i/>
          <w:iCs/>
          <w:sz w:val="22"/>
          <w:szCs w:val="22"/>
        </w:rPr>
        <w:t>15</w:t>
      </w:r>
      <w:r w:rsidRPr="00645457">
        <w:rPr>
          <w:rFonts w:ascii="Arial" w:hAnsi="Arial" w:cs="Arial"/>
          <w:sz w:val="22"/>
          <w:szCs w:val="22"/>
        </w:rPr>
        <w:t xml:space="preserve">(1), p.17217. </w:t>
      </w:r>
    </w:p>
    <w:p w14:paraId="19A0AF73" w14:textId="77777777" w:rsidR="00686C96" w:rsidRPr="00645457" w:rsidRDefault="00686C96" w:rsidP="00686C96">
      <w:pPr>
        <w:spacing w:line="360" w:lineRule="auto"/>
        <w:jc w:val="both"/>
        <w:rPr>
          <w:rFonts w:ascii="Arial" w:hAnsi="Arial" w:cs="Arial"/>
          <w:sz w:val="22"/>
          <w:szCs w:val="22"/>
        </w:rPr>
      </w:pPr>
      <w:r w:rsidRPr="00645457">
        <w:rPr>
          <w:rFonts w:ascii="Arial" w:hAnsi="Arial" w:cs="Arial"/>
          <w:sz w:val="22"/>
          <w:szCs w:val="22"/>
        </w:rPr>
        <w:t xml:space="preserve">González, P., Lozano, P., Ros, G. and Solano, F., 2023. </w:t>
      </w:r>
      <w:proofErr w:type="spellStart"/>
      <w:r w:rsidRPr="00645457">
        <w:rPr>
          <w:rFonts w:ascii="Arial" w:hAnsi="Arial" w:cs="Arial"/>
          <w:sz w:val="22"/>
          <w:szCs w:val="22"/>
        </w:rPr>
        <w:t>Hyperglycemia</w:t>
      </w:r>
      <w:proofErr w:type="spellEnd"/>
      <w:r w:rsidRPr="00645457">
        <w:rPr>
          <w:rFonts w:ascii="Arial" w:hAnsi="Arial" w:cs="Arial"/>
          <w:sz w:val="22"/>
          <w:szCs w:val="22"/>
        </w:rPr>
        <w:t xml:space="preserve"> and oxidative stress: an integral, updated and critical overview of their metabolic interconnections. </w:t>
      </w:r>
      <w:r w:rsidRPr="00645457">
        <w:rPr>
          <w:rFonts w:ascii="Arial" w:hAnsi="Arial" w:cs="Arial"/>
          <w:i/>
          <w:iCs/>
          <w:sz w:val="22"/>
          <w:szCs w:val="22"/>
        </w:rPr>
        <w:t>International journal of molecular sciences</w:t>
      </w:r>
      <w:r w:rsidRPr="00645457">
        <w:rPr>
          <w:rFonts w:ascii="Arial" w:hAnsi="Arial" w:cs="Arial"/>
          <w:sz w:val="22"/>
          <w:szCs w:val="22"/>
        </w:rPr>
        <w:t>, </w:t>
      </w:r>
      <w:r w:rsidRPr="00645457">
        <w:rPr>
          <w:rFonts w:ascii="Arial" w:hAnsi="Arial" w:cs="Arial"/>
          <w:i/>
          <w:iCs/>
          <w:sz w:val="22"/>
          <w:szCs w:val="22"/>
        </w:rPr>
        <w:t>24</w:t>
      </w:r>
      <w:r w:rsidRPr="00645457">
        <w:rPr>
          <w:rFonts w:ascii="Arial" w:hAnsi="Arial" w:cs="Arial"/>
          <w:sz w:val="22"/>
          <w:szCs w:val="22"/>
        </w:rPr>
        <w:t xml:space="preserve">(11), p.9352. </w:t>
      </w:r>
    </w:p>
    <w:p w14:paraId="44778001" w14:textId="77777777" w:rsidR="00686C96" w:rsidRPr="00645457" w:rsidRDefault="00686C96" w:rsidP="00686C96">
      <w:pPr>
        <w:spacing w:line="360" w:lineRule="auto"/>
        <w:jc w:val="both"/>
        <w:rPr>
          <w:rFonts w:ascii="Arial" w:hAnsi="Arial" w:cs="Arial"/>
          <w:sz w:val="22"/>
          <w:szCs w:val="22"/>
        </w:rPr>
      </w:pPr>
      <w:proofErr w:type="spellStart"/>
      <w:r w:rsidRPr="00645457">
        <w:rPr>
          <w:rFonts w:ascii="Arial" w:hAnsi="Arial" w:cs="Arial"/>
          <w:sz w:val="22"/>
          <w:szCs w:val="22"/>
        </w:rPr>
        <w:t>Jayedi</w:t>
      </w:r>
      <w:proofErr w:type="spellEnd"/>
      <w:r w:rsidRPr="00645457">
        <w:rPr>
          <w:rFonts w:ascii="Arial" w:hAnsi="Arial" w:cs="Arial"/>
          <w:sz w:val="22"/>
          <w:szCs w:val="22"/>
        </w:rPr>
        <w:t>, A., Soltani, S., Emadi, A., Zargar, M.S. and Najafi, A., 2024. Aerobic exercise and weight loss in adults: a systematic review and dose-response meta-analysis. </w:t>
      </w:r>
      <w:r w:rsidRPr="00645457">
        <w:rPr>
          <w:rFonts w:ascii="Arial" w:hAnsi="Arial" w:cs="Arial"/>
          <w:i/>
          <w:iCs/>
          <w:sz w:val="22"/>
          <w:szCs w:val="22"/>
        </w:rPr>
        <w:t>JAMA network open</w:t>
      </w:r>
      <w:r w:rsidRPr="00645457">
        <w:rPr>
          <w:rFonts w:ascii="Arial" w:hAnsi="Arial" w:cs="Arial"/>
          <w:sz w:val="22"/>
          <w:szCs w:val="22"/>
        </w:rPr>
        <w:t>, </w:t>
      </w:r>
      <w:r w:rsidRPr="00645457">
        <w:rPr>
          <w:rFonts w:ascii="Arial" w:hAnsi="Arial" w:cs="Arial"/>
          <w:i/>
          <w:iCs/>
          <w:sz w:val="22"/>
          <w:szCs w:val="22"/>
        </w:rPr>
        <w:t>7</w:t>
      </w:r>
      <w:r w:rsidRPr="00645457">
        <w:rPr>
          <w:rFonts w:ascii="Arial" w:hAnsi="Arial" w:cs="Arial"/>
          <w:sz w:val="22"/>
          <w:szCs w:val="22"/>
        </w:rPr>
        <w:t xml:space="preserve">(12), p.e2452185. </w:t>
      </w:r>
    </w:p>
    <w:p w14:paraId="37768D2A" w14:textId="77777777" w:rsidR="00686C96" w:rsidRPr="00645457" w:rsidRDefault="00686C96" w:rsidP="00686C96">
      <w:pPr>
        <w:spacing w:line="360" w:lineRule="auto"/>
        <w:jc w:val="both"/>
        <w:rPr>
          <w:rFonts w:ascii="Arial" w:hAnsi="Arial" w:cs="Arial"/>
          <w:sz w:val="22"/>
          <w:szCs w:val="22"/>
        </w:rPr>
      </w:pPr>
      <w:r w:rsidRPr="00645457">
        <w:rPr>
          <w:rFonts w:ascii="Arial" w:hAnsi="Arial" w:cs="Arial"/>
          <w:sz w:val="22"/>
          <w:szCs w:val="22"/>
        </w:rPr>
        <w:t xml:space="preserve">Lee, S.H., Park, H.Y., Yun, J.H. and Do, E.K., 2025. Glucagon in metabolic disease: a </w:t>
      </w:r>
      <w:proofErr w:type="gramStart"/>
      <w:r w:rsidRPr="00645457">
        <w:rPr>
          <w:rFonts w:ascii="Arial" w:hAnsi="Arial" w:cs="Arial"/>
          <w:sz w:val="22"/>
          <w:szCs w:val="22"/>
        </w:rPr>
        <w:t>mini-review</w:t>
      </w:r>
      <w:proofErr w:type="gramEnd"/>
      <w:r w:rsidRPr="00645457">
        <w:rPr>
          <w:rFonts w:ascii="Arial" w:hAnsi="Arial" w:cs="Arial"/>
          <w:sz w:val="22"/>
          <w:szCs w:val="22"/>
        </w:rPr>
        <w:t xml:space="preserve"> of emerging multi-organ roles beyond </w:t>
      </w:r>
      <w:proofErr w:type="spellStart"/>
      <w:r w:rsidRPr="00645457">
        <w:rPr>
          <w:rFonts w:ascii="Arial" w:hAnsi="Arial" w:cs="Arial"/>
          <w:sz w:val="22"/>
          <w:szCs w:val="22"/>
        </w:rPr>
        <w:t>glycemic</w:t>
      </w:r>
      <w:proofErr w:type="spellEnd"/>
      <w:r w:rsidRPr="00645457">
        <w:rPr>
          <w:rFonts w:ascii="Arial" w:hAnsi="Arial" w:cs="Arial"/>
          <w:sz w:val="22"/>
          <w:szCs w:val="22"/>
        </w:rPr>
        <w:t xml:space="preserve"> control. </w:t>
      </w:r>
      <w:r w:rsidRPr="00645457">
        <w:rPr>
          <w:rFonts w:ascii="Arial" w:hAnsi="Arial" w:cs="Arial"/>
          <w:i/>
          <w:iCs/>
          <w:sz w:val="22"/>
          <w:szCs w:val="22"/>
        </w:rPr>
        <w:t>Frontiers in Endocrinology</w:t>
      </w:r>
      <w:r w:rsidRPr="00645457">
        <w:rPr>
          <w:rFonts w:ascii="Arial" w:hAnsi="Arial" w:cs="Arial"/>
          <w:sz w:val="22"/>
          <w:szCs w:val="22"/>
        </w:rPr>
        <w:t>, </w:t>
      </w:r>
      <w:r w:rsidRPr="00645457">
        <w:rPr>
          <w:rFonts w:ascii="Arial" w:hAnsi="Arial" w:cs="Arial"/>
          <w:i/>
          <w:iCs/>
          <w:sz w:val="22"/>
          <w:szCs w:val="22"/>
        </w:rPr>
        <w:t>16</w:t>
      </w:r>
      <w:r w:rsidRPr="00645457">
        <w:rPr>
          <w:rFonts w:ascii="Arial" w:hAnsi="Arial" w:cs="Arial"/>
          <w:sz w:val="22"/>
          <w:szCs w:val="22"/>
        </w:rPr>
        <w:t>, p.1645041.</w:t>
      </w:r>
    </w:p>
    <w:p w14:paraId="5A126630" w14:textId="77777777" w:rsidR="00686C96" w:rsidRPr="00645457" w:rsidRDefault="00686C96" w:rsidP="00686C96">
      <w:pPr>
        <w:spacing w:line="360" w:lineRule="auto"/>
        <w:jc w:val="both"/>
        <w:rPr>
          <w:rFonts w:ascii="Arial" w:hAnsi="Arial" w:cs="Arial"/>
          <w:sz w:val="22"/>
          <w:szCs w:val="22"/>
        </w:rPr>
      </w:pPr>
      <w:r w:rsidRPr="00645457">
        <w:rPr>
          <w:rFonts w:ascii="Arial" w:hAnsi="Arial" w:cs="Arial"/>
          <w:sz w:val="22"/>
          <w:szCs w:val="22"/>
        </w:rPr>
        <w:lastRenderedPageBreak/>
        <w:t>Liu, H., Wang, S., Wang, J., Guo, X., Song, Y., Fu, K., Gao, Z., Liu, D., He, W. and Yang, L.L., 2025. Energy metabolism in health and diseases. </w:t>
      </w:r>
      <w:r w:rsidRPr="00645457">
        <w:rPr>
          <w:rFonts w:ascii="Arial" w:hAnsi="Arial" w:cs="Arial"/>
          <w:i/>
          <w:iCs/>
          <w:sz w:val="22"/>
          <w:szCs w:val="22"/>
        </w:rPr>
        <w:t>Signal transduction and targeted therapy</w:t>
      </w:r>
      <w:r w:rsidRPr="00645457">
        <w:rPr>
          <w:rFonts w:ascii="Arial" w:hAnsi="Arial" w:cs="Arial"/>
          <w:sz w:val="22"/>
          <w:szCs w:val="22"/>
        </w:rPr>
        <w:t>, </w:t>
      </w:r>
      <w:r w:rsidRPr="00645457">
        <w:rPr>
          <w:rFonts w:ascii="Arial" w:hAnsi="Arial" w:cs="Arial"/>
          <w:i/>
          <w:iCs/>
          <w:sz w:val="22"/>
          <w:szCs w:val="22"/>
        </w:rPr>
        <w:t>10</w:t>
      </w:r>
      <w:r w:rsidRPr="00645457">
        <w:rPr>
          <w:rFonts w:ascii="Arial" w:hAnsi="Arial" w:cs="Arial"/>
          <w:sz w:val="22"/>
          <w:szCs w:val="22"/>
        </w:rPr>
        <w:t>(1), p.69.</w:t>
      </w:r>
    </w:p>
    <w:p w14:paraId="0EE728CA" w14:textId="77777777" w:rsidR="00686C96" w:rsidRPr="00645457" w:rsidRDefault="00686C96" w:rsidP="00686C96">
      <w:pPr>
        <w:spacing w:line="360" w:lineRule="auto"/>
        <w:jc w:val="both"/>
        <w:rPr>
          <w:rFonts w:ascii="Arial" w:hAnsi="Arial" w:cs="Arial"/>
          <w:sz w:val="22"/>
          <w:szCs w:val="22"/>
        </w:rPr>
      </w:pPr>
      <w:proofErr w:type="spellStart"/>
      <w:r w:rsidRPr="00645457">
        <w:rPr>
          <w:rFonts w:ascii="Arial" w:hAnsi="Arial" w:cs="Arial"/>
          <w:sz w:val="22"/>
          <w:szCs w:val="22"/>
        </w:rPr>
        <w:t>Loric</w:t>
      </w:r>
      <w:proofErr w:type="spellEnd"/>
      <w:r w:rsidRPr="00645457">
        <w:rPr>
          <w:rFonts w:ascii="Arial" w:hAnsi="Arial" w:cs="Arial"/>
          <w:sz w:val="22"/>
          <w:szCs w:val="22"/>
        </w:rPr>
        <w:t xml:space="preserve">, S. and Conti, M., 2022. Versatile Functional Energy Metabolism Platform Working </w:t>
      </w:r>
      <w:proofErr w:type="gramStart"/>
      <w:r w:rsidRPr="00645457">
        <w:rPr>
          <w:rFonts w:ascii="Arial" w:hAnsi="Arial" w:cs="Arial"/>
          <w:sz w:val="22"/>
          <w:szCs w:val="22"/>
        </w:rPr>
        <w:t>From</w:t>
      </w:r>
      <w:proofErr w:type="gramEnd"/>
      <w:r w:rsidRPr="00645457">
        <w:rPr>
          <w:rFonts w:ascii="Arial" w:hAnsi="Arial" w:cs="Arial"/>
          <w:sz w:val="22"/>
          <w:szCs w:val="22"/>
        </w:rPr>
        <w:t xml:space="preserve"> Research to Patient: An Integrated View of Cell Bioenergetics. </w:t>
      </w:r>
      <w:r w:rsidRPr="00645457">
        <w:rPr>
          <w:rFonts w:ascii="Arial" w:hAnsi="Arial" w:cs="Arial"/>
          <w:i/>
          <w:iCs/>
          <w:sz w:val="22"/>
          <w:szCs w:val="22"/>
        </w:rPr>
        <w:t>Frontiers in Toxicology</w:t>
      </w:r>
      <w:r w:rsidRPr="00645457">
        <w:rPr>
          <w:rFonts w:ascii="Arial" w:hAnsi="Arial" w:cs="Arial"/>
          <w:sz w:val="22"/>
          <w:szCs w:val="22"/>
        </w:rPr>
        <w:t>, </w:t>
      </w:r>
      <w:r w:rsidRPr="00645457">
        <w:rPr>
          <w:rFonts w:ascii="Arial" w:hAnsi="Arial" w:cs="Arial"/>
          <w:i/>
          <w:iCs/>
          <w:sz w:val="22"/>
          <w:szCs w:val="22"/>
        </w:rPr>
        <w:t>3</w:t>
      </w:r>
      <w:r w:rsidRPr="00645457">
        <w:rPr>
          <w:rFonts w:ascii="Arial" w:hAnsi="Arial" w:cs="Arial"/>
          <w:sz w:val="22"/>
          <w:szCs w:val="22"/>
        </w:rPr>
        <w:t xml:space="preserve">, p.750431. </w:t>
      </w:r>
    </w:p>
    <w:p w14:paraId="55148FB2" w14:textId="77777777" w:rsidR="00686C96" w:rsidRPr="00645457" w:rsidRDefault="00686C96" w:rsidP="00686C96">
      <w:pPr>
        <w:spacing w:line="360" w:lineRule="auto"/>
        <w:jc w:val="both"/>
        <w:rPr>
          <w:rFonts w:ascii="Arial" w:hAnsi="Arial" w:cs="Arial"/>
          <w:sz w:val="22"/>
          <w:szCs w:val="22"/>
        </w:rPr>
      </w:pPr>
      <w:proofErr w:type="spellStart"/>
      <w:r w:rsidRPr="00645457">
        <w:rPr>
          <w:rFonts w:ascii="Arial" w:hAnsi="Arial" w:cs="Arial"/>
          <w:sz w:val="22"/>
          <w:szCs w:val="22"/>
        </w:rPr>
        <w:t>Muscogiuri</w:t>
      </w:r>
      <w:proofErr w:type="spellEnd"/>
      <w:r w:rsidRPr="00645457">
        <w:rPr>
          <w:rFonts w:ascii="Arial" w:hAnsi="Arial" w:cs="Arial"/>
          <w:sz w:val="22"/>
          <w:szCs w:val="22"/>
        </w:rPr>
        <w:t xml:space="preserve">, G., Verde, L., Sulu, C., </w:t>
      </w:r>
      <w:proofErr w:type="spellStart"/>
      <w:r w:rsidRPr="00645457">
        <w:rPr>
          <w:rFonts w:ascii="Arial" w:hAnsi="Arial" w:cs="Arial"/>
          <w:sz w:val="22"/>
          <w:szCs w:val="22"/>
        </w:rPr>
        <w:t>Katsiki</w:t>
      </w:r>
      <w:proofErr w:type="spellEnd"/>
      <w:r w:rsidRPr="00645457">
        <w:rPr>
          <w:rFonts w:ascii="Arial" w:hAnsi="Arial" w:cs="Arial"/>
          <w:sz w:val="22"/>
          <w:szCs w:val="22"/>
        </w:rPr>
        <w:t xml:space="preserve">, N., </w:t>
      </w:r>
      <w:proofErr w:type="spellStart"/>
      <w:r w:rsidRPr="00645457">
        <w:rPr>
          <w:rFonts w:ascii="Arial" w:hAnsi="Arial" w:cs="Arial"/>
          <w:sz w:val="22"/>
          <w:szCs w:val="22"/>
        </w:rPr>
        <w:t>Hassapidou</w:t>
      </w:r>
      <w:proofErr w:type="spellEnd"/>
      <w:r w:rsidRPr="00645457">
        <w:rPr>
          <w:rFonts w:ascii="Arial" w:hAnsi="Arial" w:cs="Arial"/>
          <w:sz w:val="22"/>
          <w:szCs w:val="22"/>
        </w:rPr>
        <w:t xml:space="preserve">, M., Frias-Toral, E., </w:t>
      </w:r>
      <w:proofErr w:type="spellStart"/>
      <w:r w:rsidRPr="00645457">
        <w:rPr>
          <w:rFonts w:ascii="Arial" w:hAnsi="Arial" w:cs="Arial"/>
          <w:sz w:val="22"/>
          <w:szCs w:val="22"/>
        </w:rPr>
        <w:t>Cucalón</w:t>
      </w:r>
      <w:proofErr w:type="spellEnd"/>
      <w:r w:rsidRPr="00645457">
        <w:rPr>
          <w:rFonts w:ascii="Arial" w:hAnsi="Arial" w:cs="Arial"/>
          <w:sz w:val="22"/>
          <w:szCs w:val="22"/>
        </w:rPr>
        <w:t xml:space="preserve">, G., Pazderska, A., </w:t>
      </w:r>
      <w:proofErr w:type="spellStart"/>
      <w:r w:rsidRPr="00645457">
        <w:rPr>
          <w:rFonts w:ascii="Arial" w:hAnsi="Arial" w:cs="Arial"/>
          <w:sz w:val="22"/>
          <w:szCs w:val="22"/>
        </w:rPr>
        <w:t>Yumuk</w:t>
      </w:r>
      <w:proofErr w:type="spellEnd"/>
      <w:r w:rsidRPr="00645457">
        <w:rPr>
          <w:rFonts w:ascii="Arial" w:hAnsi="Arial" w:cs="Arial"/>
          <w:sz w:val="22"/>
          <w:szCs w:val="22"/>
        </w:rPr>
        <w:t xml:space="preserve">, V.D., Colao, A. and Barrea, L., 2022. Mediterranean diet and obesity-related disorders: what is the </w:t>
      </w:r>
      <w:proofErr w:type="gramStart"/>
      <w:r w:rsidRPr="00645457">
        <w:rPr>
          <w:rFonts w:ascii="Arial" w:hAnsi="Arial" w:cs="Arial"/>
          <w:sz w:val="22"/>
          <w:szCs w:val="22"/>
        </w:rPr>
        <w:t>evidence?.</w:t>
      </w:r>
      <w:proofErr w:type="gramEnd"/>
      <w:r w:rsidRPr="00645457">
        <w:rPr>
          <w:rFonts w:ascii="Arial" w:hAnsi="Arial" w:cs="Arial"/>
          <w:sz w:val="22"/>
          <w:szCs w:val="22"/>
        </w:rPr>
        <w:t> </w:t>
      </w:r>
      <w:r w:rsidRPr="00645457">
        <w:rPr>
          <w:rFonts w:ascii="Arial" w:hAnsi="Arial" w:cs="Arial"/>
          <w:i/>
          <w:iCs/>
          <w:sz w:val="22"/>
          <w:szCs w:val="22"/>
        </w:rPr>
        <w:t>Current obesity reports</w:t>
      </w:r>
      <w:r w:rsidRPr="00645457">
        <w:rPr>
          <w:rFonts w:ascii="Arial" w:hAnsi="Arial" w:cs="Arial"/>
          <w:sz w:val="22"/>
          <w:szCs w:val="22"/>
        </w:rPr>
        <w:t>, </w:t>
      </w:r>
      <w:r w:rsidRPr="00645457">
        <w:rPr>
          <w:rFonts w:ascii="Arial" w:hAnsi="Arial" w:cs="Arial"/>
          <w:i/>
          <w:iCs/>
          <w:sz w:val="22"/>
          <w:szCs w:val="22"/>
        </w:rPr>
        <w:t>11</w:t>
      </w:r>
      <w:r w:rsidRPr="00645457">
        <w:rPr>
          <w:rFonts w:ascii="Arial" w:hAnsi="Arial" w:cs="Arial"/>
          <w:sz w:val="22"/>
          <w:szCs w:val="22"/>
        </w:rPr>
        <w:t>(4), pp.287-304.</w:t>
      </w:r>
    </w:p>
    <w:p w14:paraId="10D96FFE" w14:textId="77777777" w:rsidR="00686C96" w:rsidRPr="00645457" w:rsidRDefault="00686C96" w:rsidP="00686C96">
      <w:pPr>
        <w:spacing w:line="360" w:lineRule="auto"/>
        <w:jc w:val="both"/>
        <w:rPr>
          <w:rFonts w:ascii="Arial" w:hAnsi="Arial" w:cs="Arial"/>
          <w:sz w:val="22"/>
          <w:szCs w:val="22"/>
        </w:rPr>
      </w:pPr>
      <w:r w:rsidRPr="00645457">
        <w:rPr>
          <w:rFonts w:ascii="Arial" w:hAnsi="Arial" w:cs="Arial"/>
          <w:sz w:val="22"/>
          <w:szCs w:val="22"/>
        </w:rPr>
        <w:t xml:space="preserve">Park, Y., Choi, H.R., Lee, J.E., Choi, B., Noh, C.B., Kang, J.H. and Bae, Y.S., 2025. Impact of real-time continuous glucose monitoring and personalized digital health coaching on </w:t>
      </w:r>
      <w:proofErr w:type="spellStart"/>
      <w:r w:rsidRPr="00645457">
        <w:rPr>
          <w:rFonts w:ascii="Arial" w:hAnsi="Arial" w:cs="Arial"/>
          <w:sz w:val="22"/>
          <w:szCs w:val="22"/>
        </w:rPr>
        <w:t>glycemic</w:t>
      </w:r>
      <w:proofErr w:type="spellEnd"/>
      <w:r w:rsidRPr="00645457">
        <w:rPr>
          <w:rFonts w:ascii="Arial" w:hAnsi="Arial" w:cs="Arial"/>
          <w:sz w:val="22"/>
          <w:szCs w:val="22"/>
        </w:rPr>
        <w:t xml:space="preserve"> control and lifestyle in patients with type 2 diabetes and prediabetes. </w:t>
      </w:r>
      <w:r w:rsidRPr="00645457">
        <w:rPr>
          <w:rFonts w:ascii="Arial" w:hAnsi="Arial" w:cs="Arial"/>
          <w:i/>
          <w:iCs/>
          <w:sz w:val="22"/>
          <w:szCs w:val="22"/>
        </w:rPr>
        <w:t>Primary Care Diabetes</w:t>
      </w:r>
      <w:r w:rsidRPr="00645457">
        <w:rPr>
          <w:rFonts w:ascii="Arial" w:hAnsi="Arial" w:cs="Arial"/>
          <w:sz w:val="22"/>
          <w:szCs w:val="22"/>
        </w:rPr>
        <w:t>.</w:t>
      </w:r>
    </w:p>
    <w:p w14:paraId="00AA0BF7" w14:textId="77777777" w:rsidR="00686C96" w:rsidRPr="00645457" w:rsidRDefault="00686C96" w:rsidP="00686C96">
      <w:pPr>
        <w:spacing w:line="360" w:lineRule="auto"/>
        <w:jc w:val="both"/>
        <w:rPr>
          <w:rFonts w:ascii="Arial" w:hAnsi="Arial" w:cs="Arial"/>
          <w:sz w:val="22"/>
          <w:szCs w:val="22"/>
        </w:rPr>
      </w:pPr>
      <w:r w:rsidRPr="00645457">
        <w:rPr>
          <w:rFonts w:ascii="Arial" w:hAnsi="Arial" w:cs="Arial"/>
          <w:sz w:val="22"/>
          <w:szCs w:val="22"/>
        </w:rPr>
        <w:t>Reddan, B. and Cummins, E.P., 2025. The regulation of cell metabolism by hypoxia and hypercapnia. </w:t>
      </w:r>
      <w:r w:rsidRPr="00645457">
        <w:rPr>
          <w:rFonts w:ascii="Arial" w:hAnsi="Arial" w:cs="Arial"/>
          <w:i/>
          <w:iCs/>
          <w:sz w:val="22"/>
          <w:szCs w:val="22"/>
        </w:rPr>
        <w:t>Journal of Biological Chemistry</w:t>
      </w:r>
      <w:r w:rsidRPr="00645457">
        <w:rPr>
          <w:rFonts w:ascii="Arial" w:hAnsi="Arial" w:cs="Arial"/>
          <w:sz w:val="22"/>
          <w:szCs w:val="22"/>
        </w:rPr>
        <w:t>, </w:t>
      </w:r>
      <w:r w:rsidRPr="00645457">
        <w:rPr>
          <w:rFonts w:ascii="Arial" w:hAnsi="Arial" w:cs="Arial"/>
          <w:i/>
          <w:iCs/>
          <w:sz w:val="22"/>
          <w:szCs w:val="22"/>
        </w:rPr>
        <w:t>301</w:t>
      </w:r>
      <w:r w:rsidRPr="00645457">
        <w:rPr>
          <w:rFonts w:ascii="Arial" w:hAnsi="Arial" w:cs="Arial"/>
          <w:sz w:val="22"/>
          <w:szCs w:val="22"/>
        </w:rPr>
        <w:t xml:space="preserve">(3), p.108252. </w:t>
      </w:r>
    </w:p>
    <w:p w14:paraId="1699A80C" w14:textId="77777777" w:rsidR="00686C96" w:rsidRPr="00645457" w:rsidRDefault="00686C96" w:rsidP="00686C96">
      <w:pPr>
        <w:spacing w:line="360" w:lineRule="auto"/>
        <w:jc w:val="both"/>
        <w:rPr>
          <w:rFonts w:ascii="Arial" w:hAnsi="Arial" w:cs="Arial"/>
          <w:sz w:val="22"/>
          <w:szCs w:val="22"/>
        </w:rPr>
      </w:pPr>
      <w:r w:rsidRPr="00645457">
        <w:rPr>
          <w:rFonts w:ascii="Arial" w:hAnsi="Arial" w:cs="Arial"/>
          <w:sz w:val="22"/>
          <w:szCs w:val="22"/>
        </w:rPr>
        <w:t xml:space="preserve">Sahoo, B., Srivastava, M., Katiyar, A., </w:t>
      </w:r>
      <w:proofErr w:type="spellStart"/>
      <w:r w:rsidRPr="00645457">
        <w:rPr>
          <w:rFonts w:ascii="Arial" w:hAnsi="Arial" w:cs="Arial"/>
          <w:sz w:val="22"/>
          <w:szCs w:val="22"/>
        </w:rPr>
        <w:t>Ecelbarger</w:t>
      </w:r>
      <w:proofErr w:type="spellEnd"/>
      <w:r w:rsidRPr="00645457">
        <w:rPr>
          <w:rFonts w:ascii="Arial" w:hAnsi="Arial" w:cs="Arial"/>
          <w:sz w:val="22"/>
          <w:szCs w:val="22"/>
        </w:rPr>
        <w:t xml:space="preserve">, C. and Tiwari, S., 2023. Liver or kidney: Who has the oar in the gluconeogenesis boat and </w:t>
      </w:r>
      <w:proofErr w:type="gramStart"/>
      <w:r w:rsidRPr="00645457">
        <w:rPr>
          <w:rFonts w:ascii="Arial" w:hAnsi="Arial" w:cs="Arial"/>
          <w:sz w:val="22"/>
          <w:szCs w:val="22"/>
        </w:rPr>
        <w:t>when?.</w:t>
      </w:r>
      <w:proofErr w:type="gramEnd"/>
      <w:r w:rsidRPr="00645457">
        <w:rPr>
          <w:rFonts w:ascii="Arial" w:hAnsi="Arial" w:cs="Arial"/>
          <w:sz w:val="22"/>
          <w:szCs w:val="22"/>
        </w:rPr>
        <w:t> </w:t>
      </w:r>
      <w:r w:rsidRPr="00645457">
        <w:rPr>
          <w:rFonts w:ascii="Arial" w:hAnsi="Arial" w:cs="Arial"/>
          <w:i/>
          <w:iCs/>
          <w:sz w:val="22"/>
          <w:szCs w:val="22"/>
        </w:rPr>
        <w:t>World Journal of Diabetes</w:t>
      </w:r>
      <w:r w:rsidRPr="00645457">
        <w:rPr>
          <w:rFonts w:ascii="Arial" w:hAnsi="Arial" w:cs="Arial"/>
          <w:sz w:val="22"/>
          <w:szCs w:val="22"/>
        </w:rPr>
        <w:t>, </w:t>
      </w:r>
      <w:r w:rsidRPr="00645457">
        <w:rPr>
          <w:rFonts w:ascii="Arial" w:hAnsi="Arial" w:cs="Arial"/>
          <w:i/>
          <w:iCs/>
          <w:sz w:val="22"/>
          <w:szCs w:val="22"/>
        </w:rPr>
        <w:t>14</w:t>
      </w:r>
      <w:r w:rsidRPr="00645457">
        <w:rPr>
          <w:rFonts w:ascii="Arial" w:hAnsi="Arial" w:cs="Arial"/>
          <w:sz w:val="22"/>
          <w:szCs w:val="22"/>
        </w:rPr>
        <w:t>(7), p.1049.</w:t>
      </w:r>
    </w:p>
    <w:p w14:paraId="1FD0995F" w14:textId="77777777" w:rsidR="00686C96" w:rsidRPr="00645457" w:rsidRDefault="00686C96" w:rsidP="00686C96">
      <w:pPr>
        <w:spacing w:line="360" w:lineRule="auto"/>
        <w:jc w:val="both"/>
        <w:rPr>
          <w:rFonts w:ascii="Arial" w:hAnsi="Arial" w:cs="Arial"/>
          <w:sz w:val="22"/>
          <w:szCs w:val="22"/>
        </w:rPr>
      </w:pPr>
      <w:r w:rsidRPr="00645457">
        <w:rPr>
          <w:rFonts w:ascii="Arial" w:hAnsi="Arial" w:cs="Arial"/>
          <w:sz w:val="22"/>
          <w:szCs w:val="22"/>
        </w:rPr>
        <w:t xml:space="preserve">Shibabaw, Y.Y., </w:t>
      </w:r>
      <w:proofErr w:type="spellStart"/>
      <w:r w:rsidRPr="00645457">
        <w:rPr>
          <w:rFonts w:ascii="Arial" w:hAnsi="Arial" w:cs="Arial"/>
          <w:sz w:val="22"/>
          <w:szCs w:val="22"/>
        </w:rPr>
        <w:t>Dejenie</w:t>
      </w:r>
      <w:proofErr w:type="spellEnd"/>
      <w:r w:rsidRPr="00645457">
        <w:rPr>
          <w:rFonts w:ascii="Arial" w:hAnsi="Arial" w:cs="Arial"/>
          <w:sz w:val="22"/>
          <w:szCs w:val="22"/>
        </w:rPr>
        <w:t xml:space="preserve">, T.A. and Tesfa, K.H., 2023. </w:t>
      </w:r>
      <w:proofErr w:type="spellStart"/>
      <w:r w:rsidRPr="00645457">
        <w:rPr>
          <w:rFonts w:ascii="Arial" w:hAnsi="Arial" w:cs="Arial"/>
          <w:sz w:val="22"/>
          <w:szCs w:val="22"/>
        </w:rPr>
        <w:t>Glycemic</w:t>
      </w:r>
      <w:proofErr w:type="spellEnd"/>
      <w:r w:rsidRPr="00645457">
        <w:rPr>
          <w:rFonts w:ascii="Arial" w:hAnsi="Arial" w:cs="Arial"/>
          <w:sz w:val="22"/>
          <w:szCs w:val="22"/>
        </w:rPr>
        <w:t xml:space="preserve"> control and its association with sleep quality and duration among type 2 diabetic patients. </w:t>
      </w:r>
      <w:r w:rsidRPr="00645457">
        <w:rPr>
          <w:rFonts w:ascii="Arial" w:hAnsi="Arial" w:cs="Arial"/>
          <w:i/>
          <w:iCs/>
          <w:sz w:val="22"/>
          <w:szCs w:val="22"/>
        </w:rPr>
        <w:t>Metabolism Open</w:t>
      </w:r>
      <w:r w:rsidRPr="00645457">
        <w:rPr>
          <w:rFonts w:ascii="Arial" w:hAnsi="Arial" w:cs="Arial"/>
          <w:sz w:val="22"/>
          <w:szCs w:val="22"/>
        </w:rPr>
        <w:t>, </w:t>
      </w:r>
      <w:r w:rsidRPr="00645457">
        <w:rPr>
          <w:rFonts w:ascii="Arial" w:hAnsi="Arial" w:cs="Arial"/>
          <w:i/>
          <w:iCs/>
          <w:sz w:val="22"/>
          <w:szCs w:val="22"/>
        </w:rPr>
        <w:t>18</w:t>
      </w:r>
      <w:r w:rsidRPr="00645457">
        <w:rPr>
          <w:rFonts w:ascii="Arial" w:hAnsi="Arial" w:cs="Arial"/>
          <w:sz w:val="22"/>
          <w:szCs w:val="22"/>
        </w:rPr>
        <w:t xml:space="preserve">, p.100246. </w:t>
      </w:r>
    </w:p>
    <w:p w14:paraId="20989BA8" w14:textId="77777777" w:rsidR="00686C96" w:rsidRPr="00645457" w:rsidRDefault="00686C96" w:rsidP="00686C96">
      <w:pPr>
        <w:spacing w:line="360" w:lineRule="auto"/>
        <w:jc w:val="both"/>
        <w:rPr>
          <w:rFonts w:ascii="Arial" w:hAnsi="Arial" w:cs="Arial"/>
          <w:sz w:val="22"/>
          <w:szCs w:val="22"/>
        </w:rPr>
      </w:pPr>
      <w:r w:rsidRPr="00645457">
        <w:rPr>
          <w:rFonts w:ascii="Arial" w:hAnsi="Arial" w:cs="Arial"/>
          <w:sz w:val="22"/>
          <w:szCs w:val="22"/>
        </w:rPr>
        <w:t>Shin, M., Yang, Y., Kang, J.H. and Jin, H.Y., 2024. Exploring the initial encounter with continuous glucose monitoring among individuals with type 2 diabetes: A two-week trip. </w:t>
      </w:r>
      <w:r w:rsidRPr="00645457">
        <w:rPr>
          <w:rFonts w:ascii="Arial" w:hAnsi="Arial" w:cs="Arial"/>
          <w:i/>
          <w:iCs/>
          <w:sz w:val="22"/>
          <w:szCs w:val="22"/>
        </w:rPr>
        <w:t>Diabetes, Metabolic Syndrome and Obesity</w:t>
      </w:r>
      <w:r w:rsidRPr="00645457">
        <w:rPr>
          <w:rFonts w:ascii="Arial" w:hAnsi="Arial" w:cs="Arial"/>
          <w:sz w:val="22"/>
          <w:szCs w:val="22"/>
        </w:rPr>
        <w:t xml:space="preserve">, pp.3521-3534. </w:t>
      </w:r>
    </w:p>
    <w:p w14:paraId="19983877" w14:textId="77777777" w:rsidR="00686C96" w:rsidRPr="00645457" w:rsidRDefault="00686C96" w:rsidP="00686C96">
      <w:pPr>
        <w:spacing w:line="360" w:lineRule="auto"/>
        <w:jc w:val="both"/>
        <w:rPr>
          <w:rFonts w:ascii="Arial" w:hAnsi="Arial" w:cs="Arial"/>
          <w:sz w:val="22"/>
          <w:szCs w:val="22"/>
        </w:rPr>
      </w:pPr>
      <w:proofErr w:type="spellStart"/>
      <w:r w:rsidRPr="00645457">
        <w:rPr>
          <w:rFonts w:ascii="Arial" w:hAnsi="Arial" w:cs="Arial"/>
          <w:sz w:val="22"/>
          <w:szCs w:val="22"/>
        </w:rPr>
        <w:t>Vavitis</w:t>
      </w:r>
      <w:proofErr w:type="spellEnd"/>
      <w:r w:rsidRPr="00645457">
        <w:rPr>
          <w:rFonts w:ascii="Arial" w:hAnsi="Arial" w:cs="Arial"/>
          <w:sz w:val="22"/>
          <w:szCs w:val="22"/>
        </w:rPr>
        <w:t xml:space="preserve">, A., Anastasiou, I.A., Kounatidis, D., </w:t>
      </w:r>
      <w:proofErr w:type="spellStart"/>
      <w:r w:rsidRPr="00645457">
        <w:rPr>
          <w:rFonts w:ascii="Arial" w:hAnsi="Arial" w:cs="Arial"/>
          <w:sz w:val="22"/>
          <w:szCs w:val="22"/>
        </w:rPr>
        <w:t>Rebelos</w:t>
      </w:r>
      <w:proofErr w:type="spellEnd"/>
      <w:r w:rsidRPr="00645457">
        <w:rPr>
          <w:rFonts w:ascii="Arial" w:hAnsi="Arial" w:cs="Arial"/>
          <w:sz w:val="22"/>
          <w:szCs w:val="22"/>
        </w:rPr>
        <w:t xml:space="preserve">, E. and </w:t>
      </w:r>
      <w:proofErr w:type="spellStart"/>
      <w:r w:rsidRPr="00645457">
        <w:rPr>
          <w:rFonts w:ascii="Arial" w:hAnsi="Arial" w:cs="Arial"/>
          <w:sz w:val="22"/>
          <w:szCs w:val="22"/>
        </w:rPr>
        <w:t>Tentolouris</w:t>
      </w:r>
      <w:proofErr w:type="spellEnd"/>
      <w:r w:rsidRPr="00645457">
        <w:rPr>
          <w:rFonts w:ascii="Arial" w:hAnsi="Arial" w:cs="Arial"/>
          <w:sz w:val="22"/>
          <w:szCs w:val="22"/>
        </w:rPr>
        <w:t xml:space="preserve">, N., 2026. Adherence to the Mediterranean Diet Is a Strong Predictor of </w:t>
      </w:r>
      <w:proofErr w:type="spellStart"/>
      <w:r w:rsidRPr="00645457">
        <w:rPr>
          <w:rFonts w:ascii="Arial" w:hAnsi="Arial" w:cs="Arial"/>
          <w:sz w:val="22"/>
          <w:szCs w:val="22"/>
        </w:rPr>
        <w:t>Glycemic</w:t>
      </w:r>
      <w:proofErr w:type="spellEnd"/>
      <w:r w:rsidRPr="00645457">
        <w:rPr>
          <w:rFonts w:ascii="Arial" w:hAnsi="Arial" w:cs="Arial"/>
          <w:sz w:val="22"/>
          <w:szCs w:val="22"/>
        </w:rPr>
        <w:t xml:space="preserve"> and Lipidemic Control in Adults with Type 2 Diabetes: An Observational Study from a Tertiary Hospital in Greece. </w:t>
      </w:r>
      <w:r w:rsidRPr="00645457">
        <w:rPr>
          <w:rFonts w:ascii="Arial" w:hAnsi="Arial" w:cs="Arial"/>
          <w:i/>
          <w:iCs/>
          <w:sz w:val="22"/>
          <w:szCs w:val="22"/>
        </w:rPr>
        <w:t>Nutrients</w:t>
      </w:r>
      <w:r w:rsidRPr="00645457">
        <w:rPr>
          <w:rFonts w:ascii="Arial" w:hAnsi="Arial" w:cs="Arial"/>
          <w:sz w:val="22"/>
          <w:szCs w:val="22"/>
        </w:rPr>
        <w:t>, </w:t>
      </w:r>
      <w:r w:rsidRPr="00645457">
        <w:rPr>
          <w:rFonts w:ascii="Arial" w:hAnsi="Arial" w:cs="Arial"/>
          <w:i/>
          <w:iCs/>
          <w:sz w:val="22"/>
          <w:szCs w:val="22"/>
        </w:rPr>
        <w:t>18</w:t>
      </w:r>
      <w:r w:rsidRPr="00645457">
        <w:rPr>
          <w:rFonts w:ascii="Arial" w:hAnsi="Arial" w:cs="Arial"/>
          <w:sz w:val="22"/>
          <w:szCs w:val="22"/>
        </w:rPr>
        <w:t>(2), p.285.</w:t>
      </w:r>
    </w:p>
    <w:p w14:paraId="7FBAE071" w14:textId="77777777" w:rsidR="00686C96" w:rsidRPr="00686C96" w:rsidRDefault="00686C96" w:rsidP="00686C96">
      <w:pPr>
        <w:spacing w:line="360" w:lineRule="auto"/>
        <w:jc w:val="both"/>
        <w:rPr>
          <w:rFonts w:ascii="Arial" w:hAnsi="Arial" w:cs="Arial"/>
          <w:sz w:val="22"/>
          <w:szCs w:val="22"/>
        </w:rPr>
      </w:pPr>
      <w:r w:rsidRPr="00645457">
        <w:rPr>
          <w:rFonts w:ascii="Arial" w:hAnsi="Arial" w:cs="Arial"/>
          <w:sz w:val="22"/>
          <w:szCs w:val="22"/>
        </w:rPr>
        <w:t>Xu, L., Sun, X., Wang, N., Wang, Y., Li, Y. and Zhang, C., 2025. Risk factor assessment of prediabetes and diabetes based on epidemic characteristics in new urban areas: a retrospective and a machine learning study. </w:t>
      </w:r>
      <w:r w:rsidRPr="00645457">
        <w:rPr>
          <w:rFonts w:ascii="Arial" w:hAnsi="Arial" w:cs="Arial"/>
          <w:i/>
          <w:iCs/>
          <w:sz w:val="22"/>
          <w:szCs w:val="22"/>
        </w:rPr>
        <w:t>Scientific Reports</w:t>
      </w:r>
      <w:r w:rsidRPr="00645457">
        <w:rPr>
          <w:rFonts w:ascii="Arial" w:hAnsi="Arial" w:cs="Arial"/>
          <w:sz w:val="22"/>
          <w:szCs w:val="22"/>
        </w:rPr>
        <w:t>, </w:t>
      </w:r>
      <w:r w:rsidRPr="00645457">
        <w:rPr>
          <w:rFonts w:ascii="Arial" w:hAnsi="Arial" w:cs="Arial"/>
          <w:i/>
          <w:iCs/>
          <w:sz w:val="22"/>
          <w:szCs w:val="22"/>
        </w:rPr>
        <w:t>15</w:t>
      </w:r>
      <w:r w:rsidRPr="00645457">
        <w:rPr>
          <w:rFonts w:ascii="Arial" w:hAnsi="Arial" w:cs="Arial"/>
          <w:sz w:val="22"/>
          <w:szCs w:val="22"/>
        </w:rPr>
        <w:t xml:space="preserve">(1), p.3792. </w:t>
      </w:r>
    </w:p>
    <w:sectPr w:rsidR="00686C96" w:rsidRPr="00686C96" w:rsidSect="008736EA">
      <w:headerReference w:type="default" r:id="rId8"/>
      <w:footerReference w:type="firs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7C7EB2" w14:textId="77777777" w:rsidR="00AC3799" w:rsidRPr="00645457" w:rsidRDefault="00AC3799" w:rsidP="008736EA">
      <w:pPr>
        <w:spacing w:after="0" w:line="240" w:lineRule="auto"/>
      </w:pPr>
      <w:r w:rsidRPr="00645457">
        <w:separator/>
      </w:r>
    </w:p>
  </w:endnote>
  <w:endnote w:type="continuationSeparator" w:id="0">
    <w:p w14:paraId="1C3A1234" w14:textId="77777777" w:rsidR="00AC3799" w:rsidRPr="00645457" w:rsidRDefault="00AC3799" w:rsidP="008736EA">
      <w:pPr>
        <w:spacing w:after="0" w:line="240" w:lineRule="auto"/>
      </w:pPr>
      <w:r w:rsidRPr="0064545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6591205"/>
      <w:docPartObj>
        <w:docPartGallery w:val="Page Numbers (Bottom of Page)"/>
        <w:docPartUnique/>
      </w:docPartObj>
    </w:sdtPr>
    <w:sdtContent>
      <w:p w14:paraId="32B565CD" w14:textId="05F9FD5A" w:rsidR="008841C7" w:rsidRDefault="008841C7">
        <w:pPr>
          <w:pStyle w:val="Footer"/>
          <w:jc w:val="right"/>
        </w:pPr>
        <w:r>
          <w:t>1</w:t>
        </w:r>
      </w:p>
    </w:sdtContent>
  </w:sdt>
  <w:p w14:paraId="307C7C32" w14:textId="77777777" w:rsidR="008841C7" w:rsidRDefault="008841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8290A5" w14:textId="77777777" w:rsidR="00AC3799" w:rsidRPr="00645457" w:rsidRDefault="00AC3799" w:rsidP="008736EA">
      <w:pPr>
        <w:spacing w:after="0" w:line="240" w:lineRule="auto"/>
      </w:pPr>
      <w:r w:rsidRPr="00645457">
        <w:separator/>
      </w:r>
    </w:p>
  </w:footnote>
  <w:footnote w:type="continuationSeparator" w:id="0">
    <w:p w14:paraId="2D960B6B" w14:textId="77777777" w:rsidR="00AC3799" w:rsidRPr="00645457" w:rsidRDefault="00AC3799" w:rsidP="008736EA">
      <w:pPr>
        <w:spacing w:after="0" w:line="240" w:lineRule="auto"/>
      </w:pPr>
      <w:r w:rsidRPr="00645457">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7C0C2" w14:textId="7D47BF93" w:rsidR="008736EA" w:rsidRPr="00645457" w:rsidRDefault="008736EA">
    <w:pPr>
      <w:pStyle w:val="Header"/>
      <w:rPr>
        <w:rFonts w:ascii="Arial" w:hAnsi="Arial" w:cs="Arial"/>
        <w:sz w:val="22"/>
        <w:szCs w:val="22"/>
      </w:rPr>
    </w:pPr>
    <w:r w:rsidRPr="00645457">
      <w:rPr>
        <w:rFonts w:ascii="Arial" w:hAnsi="Arial" w:cs="Arial"/>
        <w:sz w:val="22"/>
        <w:szCs w:val="22"/>
      </w:rPr>
      <w:t>INTRODUCTION TO PHYSIOLOGY</w:t>
    </w:r>
    <w:r w:rsidRPr="00645457">
      <w:rPr>
        <w:noProof/>
      </w:rPr>
      <mc:AlternateContent>
        <mc:Choice Requires="wps">
          <w:drawing>
            <wp:anchor distT="0" distB="0" distL="114300" distR="114300" simplePos="0" relativeHeight="251659264" behindDoc="0" locked="0" layoutInCell="0" allowOverlap="1" wp14:anchorId="408EA60F" wp14:editId="344E7A13">
              <wp:simplePos x="0" y="0"/>
              <wp:positionH relativeFrom="page">
                <wp:align>right</wp:align>
              </wp:positionH>
              <wp:positionV relativeFrom="topMargin">
                <wp:align>center</wp:align>
              </wp:positionV>
              <wp:extent cx="911860" cy="170815"/>
              <wp:effectExtent l="0" t="0" r="0" b="635"/>
              <wp:wrapNone/>
              <wp:docPr id="221" name="Text Box 2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0FE4832B" w14:textId="77777777" w:rsidR="008736EA" w:rsidRPr="00645457" w:rsidRDefault="008736EA">
                          <w:pPr>
                            <w:spacing w:after="0" w:line="240" w:lineRule="auto"/>
                            <w:rPr>
                              <w:color w:val="FFFFFF" w:themeColor="background1"/>
                            </w:rPr>
                          </w:pPr>
                          <w:r w:rsidRPr="00645457">
                            <w:fldChar w:fldCharType="begin"/>
                          </w:r>
                          <w:r w:rsidRPr="00645457">
                            <w:instrText xml:space="preserve"> PAGE   \* MERGEFORMAT </w:instrText>
                          </w:r>
                          <w:r w:rsidRPr="00645457">
                            <w:fldChar w:fldCharType="separate"/>
                          </w:r>
                          <w:r w:rsidRPr="00645457">
                            <w:rPr>
                              <w:color w:val="FFFFFF" w:themeColor="background1"/>
                            </w:rPr>
                            <w:t>2</w:t>
                          </w:r>
                          <w:r w:rsidRPr="00645457">
                            <w:rPr>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w14:anchorId="408EA60F" id="_x0000_t202" coordsize="21600,21600" o:spt="202" path="m,l,21600r21600,l21600,xe">
              <v:stroke joinstyle="miter"/>
              <v:path gradientshapeok="t" o:connecttype="rect"/>
            </v:shapetype>
            <v:shape id="Text Box 231" o:spid="_x0000_s1026" type="#_x0000_t202" style="position:absolute;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QBnCwIAAAEEAAAOAAAAZHJzL2Uyb0RvYy54bWysU8GO0zAQvSPxD5bvNMmqlN2o6Wrpqghp&#10;YZEWPmDqOE2E4zFjt0n5esZO213ghsjBsmfi92bePC9vx96Igybfoa1kMcul0FZh3dldJb993by5&#10;lsIHsDUYtLqSR+3l7er1q+XgSn2FLZpak2AQ68vBVbINwZVZ5lWre/AzdNpyskHqIfCRdllNMDB6&#10;b7KrPF9kA1LtCJX2nqP3U1KuEn7TaBUem8brIEwlubaQVkrrNq7ZagnljsC1nTqVAf9QRQ+dZdIL&#10;1D0EEHvq/oLqO0XosQkzhX2GTdMpnXrgbor8j26eWnA69cLieHeRyf8/WPX58OS+kAjjexx5gKkJ&#10;7x5QfffC4roFu9N3RDi0GmomLqJk2eB8eboapfaljyDb4RPWPGTYB0xAY0N9VIX7FIzOAzheRNdj&#10;EIqDN0VxveCM4lTxLr8u3iYGKM+XHfnwQWMv4qaSxDNN4HB48CEWA+X5l8jl0XT1pjMmHaKP9NqQ&#10;OAA7AJTSNizSdbPvudopvsj5m7zAYXbMFJ6fw0yRHBmREuFvJMZGKouRdKonRpJGUZZJoDBuR05G&#10;rbZYH1ktwsmN/Hp40yL9lGJgJ1bS/9gDaSnMR8uK3xTzebRuOvCGXka35yhYxRCVVIGkmA7rMBl9&#10;76jbtcxxnu4dz2fTJe2e6zlVzD5LHZ7eRDTyy3P66/nlrn4BAAD//wMAUEsDBBQABgAIAAAAIQDU&#10;32SA3AAAAAQBAAAPAAAAZHJzL2Rvd25yZXYueG1sTI9BS8NAEIXvQv/DMgVvdtMoocZMiggqipdG&#10;W/C2zU6T1Oxsmt028d+79aKXgcd7vPdNthxNK07Uu8YywnwWgSAurW64Qvh4f7xagHBesVatZUL4&#10;JgfLfHKRqVTbgVd0KnwlQgm7VCHU3neplK6sySg3sx1x8Ha2N8oH2VdS92oI5aaVcRQl0qiGw0Kt&#10;OnqoqfwqjgbhlTdmiBdPz7uX0a3f9vJQfPoD4uV0vL8D4Wn0f2E44wd0yAPT1h5ZO9EihEf87z17&#10;N9cJiC1CnNyCzDP5Hz7/AQAA//8DAFBLAQItABQABgAIAAAAIQC2gziS/gAAAOEBAAATAAAAAAAA&#10;AAAAAAAAAAAAAABbQ29udGVudF9UeXBlc10ueG1sUEsBAi0AFAAGAAgAAAAhADj9If/WAAAAlAEA&#10;AAsAAAAAAAAAAAAAAAAALwEAAF9yZWxzLy5yZWxzUEsBAi0AFAAGAAgAAAAhAIlVAGcLAgAAAQQA&#10;AA4AAAAAAAAAAAAAAAAALgIAAGRycy9lMm9Eb2MueG1sUEsBAi0AFAAGAAgAAAAhANTfZIDcAAAA&#10;BAEAAA8AAAAAAAAAAAAAAAAAZQQAAGRycy9kb3ducmV2LnhtbFBLBQYAAAAABAAEAPMAAABuBQAA&#10;AAA=&#10;" o:allowincell="f" fillcolor="#a8d08d [1945]" stroked="f">
              <v:textbox style="mso-fit-shape-to-text:t" inset=",0,,0">
                <w:txbxContent>
                  <w:p w14:paraId="0FE4832B" w14:textId="77777777" w:rsidR="008736EA" w:rsidRPr="00645457" w:rsidRDefault="008736EA">
                    <w:pPr>
                      <w:spacing w:after="0" w:line="240" w:lineRule="auto"/>
                      <w:rPr>
                        <w:color w:val="FFFFFF" w:themeColor="background1"/>
                      </w:rPr>
                    </w:pPr>
                    <w:r w:rsidRPr="00645457">
                      <w:fldChar w:fldCharType="begin"/>
                    </w:r>
                    <w:r w:rsidRPr="00645457">
                      <w:instrText xml:space="preserve"> PAGE   \* MERGEFORMAT </w:instrText>
                    </w:r>
                    <w:r w:rsidRPr="00645457">
                      <w:fldChar w:fldCharType="separate"/>
                    </w:r>
                    <w:r w:rsidRPr="00645457">
                      <w:rPr>
                        <w:color w:val="FFFFFF" w:themeColor="background1"/>
                      </w:rPr>
                      <w:t>2</w:t>
                    </w:r>
                    <w:r w:rsidRPr="00645457">
                      <w:rPr>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5B2B6B"/>
    <w:multiLevelType w:val="hybridMultilevel"/>
    <w:tmpl w:val="C17E7D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72483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7CC"/>
    <w:rsid w:val="00002170"/>
    <w:rsid w:val="000126A6"/>
    <w:rsid w:val="0002598F"/>
    <w:rsid w:val="00026882"/>
    <w:rsid w:val="00032AC8"/>
    <w:rsid w:val="000655A8"/>
    <w:rsid w:val="00072BC7"/>
    <w:rsid w:val="00072F4F"/>
    <w:rsid w:val="00085BB5"/>
    <w:rsid w:val="00092264"/>
    <w:rsid w:val="000C39D8"/>
    <w:rsid w:val="000C5D1B"/>
    <w:rsid w:val="000D41E2"/>
    <w:rsid w:val="000F48AD"/>
    <w:rsid w:val="00116AE2"/>
    <w:rsid w:val="00121C5C"/>
    <w:rsid w:val="00131DD5"/>
    <w:rsid w:val="001469BC"/>
    <w:rsid w:val="001512E4"/>
    <w:rsid w:val="00155529"/>
    <w:rsid w:val="00197C28"/>
    <w:rsid w:val="001B75A0"/>
    <w:rsid w:val="002171D0"/>
    <w:rsid w:val="00225CD7"/>
    <w:rsid w:val="002279B4"/>
    <w:rsid w:val="0026178E"/>
    <w:rsid w:val="0027122B"/>
    <w:rsid w:val="00277E95"/>
    <w:rsid w:val="002B5CEF"/>
    <w:rsid w:val="002D1476"/>
    <w:rsid w:val="002D488C"/>
    <w:rsid w:val="002E6200"/>
    <w:rsid w:val="002F05DE"/>
    <w:rsid w:val="00310A05"/>
    <w:rsid w:val="00340369"/>
    <w:rsid w:val="00364B72"/>
    <w:rsid w:val="00383B47"/>
    <w:rsid w:val="00387232"/>
    <w:rsid w:val="00392589"/>
    <w:rsid w:val="003A1AD9"/>
    <w:rsid w:val="003A5996"/>
    <w:rsid w:val="003A73A4"/>
    <w:rsid w:val="003D60BB"/>
    <w:rsid w:val="003D788D"/>
    <w:rsid w:val="003E4FB9"/>
    <w:rsid w:val="004030DC"/>
    <w:rsid w:val="004169E8"/>
    <w:rsid w:val="00421AB2"/>
    <w:rsid w:val="00421CEB"/>
    <w:rsid w:val="00422463"/>
    <w:rsid w:val="004457C2"/>
    <w:rsid w:val="0047679D"/>
    <w:rsid w:val="00484989"/>
    <w:rsid w:val="004B11B3"/>
    <w:rsid w:val="004B61F2"/>
    <w:rsid w:val="004C76CC"/>
    <w:rsid w:val="004D3090"/>
    <w:rsid w:val="004D7259"/>
    <w:rsid w:val="004E348F"/>
    <w:rsid w:val="004E37E2"/>
    <w:rsid w:val="004F5A34"/>
    <w:rsid w:val="00511074"/>
    <w:rsid w:val="005154D3"/>
    <w:rsid w:val="005179F4"/>
    <w:rsid w:val="00522C2F"/>
    <w:rsid w:val="00544B0D"/>
    <w:rsid w:val="005450AA"/>
    <w:rsid w:val="00566FD2"/>
    <w:rsid w:val="005700C0"/>
    <w:rsid w:val="0058381C"/>
    <w:rsid w:val="005B464E"/>
    <w:rsid w:val="005C39D3"/>
    <w:rsid w:val="005D118A"/>
    <w:rsid w:val="005D1ECB"/>
    <w:rsid w:val="005E2F11"/>
    <w:rsid w:val="005F5AF7"/>
    <w:rsid w:val="00606098"/>
    <w:rsid w:val="00623260"/>
    <w:rsid w:val="0062777E"/>
    <w:rsid w:val="00645457"/>
    <w:rsid w:val="00650D67"/>
    <w:rsid w:val="006607E8"/>
    <w:rsid w:val="00665875"/>
    <w:rsid w:val="00686C96"/>
    <w:rsid w:val="00690C2D"/>
    <w:rsid w:val="006930AD"/>
    <w:rsid w:val="0069578B"/>
    <w:rsid w:val="00696CDE"/>
    <w:rsid w:val="006973BE"/>
    <w:rsid w:val="006A7335"/>
    <w:rsid w:val="006C721F"/>
    <w:rsid w:val="006F11F6"/>
    <w:rsid w:val="007035A6"/>
    <w:rsid w:val="007039F5"/>
    <w:rsid w:val="007446E3"/>
    <w:rsid w:val="00746ACE"/>
    <w:rsid w:val="007638C4"/>
    <w:rsid w:val="007638FD"/>
    <w:rsid w:val="00774861"/>
    <w:rsid w:val="00776A1B"/>
    <w:rsid w:val="00780782"/>
    <w:rsid w:val="007A609B"/>
    <w:rsid w:val="007B0E7B"/>
    <w:rsid w:val="007C0016"/>
    <w:rsid w:val="007C3D62"/>
    <w:rsid w:val="007D6EBB"/>
    <w:rsid w:val="00806DD7"/>
    <w:rsid w:val="00816D00"/>
    <w:rsid w:val="00823FC7"/>
    <w:rsid w:val="008342BF"/>
    <w:rsid w:val="00843F2C"/>
    <w:rsid w:val="00844AB5"/>
    <w:rsid w:val="00853A7B"/>
    <w:rsid w:val="008736EA"/>
    <w:rsid w:val="008802F4"/>
    <w:rsid w:val="008841C7"/>
    <w:rsid w:val="0089059E"/>
    <w:rsid w:val="008956C8"/>
    <w:rsid w:val="00896D3F"/>
    <w:rsid w:val="008B3C73"/>
    <w:rsid w:val="008B66FB"/>
    <w:rsid w:val="008C122B"/>
    <w:rsid w:val="008C30AD"/>
    <w:rsid w:val="008C557C"/>
    <w:rsid w:val="008D0DFC"/>
    <w:rsid w:val="008E1767"/>
    <w:rsid w:val="008E39E8"/>
    <w:rsid w:val="008E6D3B"/>
    <w:rsid w:val="008F0366"/>
    <w:rsid w:val="008F4F75"/>
    <w:rsid w:val="00901188"/>
    <w:rsid w:val="0090783F"/>
    <w:rsid w:val="00926B25"/>
    <w:rsid w:val="00934918"/>
    <w:rsid w:val="009414F6"/>
    <w:rsid w:val="00953FE1"/>
    <w:rsid w:val="00962494"/>
    <w:rsid w:val="009657CC"/>
    <w:rsid w:val="0096663C"/>
    <w:rsid w:val="009851E7"/>
    <w:rsid w:val="00990EEB"/>
    <w:rsid w:val="009920EF"/>
    <w:rsid w:val="00995385"/>
    <w:rsid w:val="00995B96"/>
    <w:rsid w:val="00996FA7"/>
    <w:rsid w:val="009A2795"/>
    <w:rsid w:val="009A3A03"/>
    <w:rsid w:val="009D6802"/>
    <w:rsid w:val="009E1278"/>
    <w:rsid w:val="009F4646"/>
    <w:rsid w:val="00A204AB"/>
    <w:rsid w:val="00A315D2"/>
    <w:rsid w:val="00A52B81"/>
    <w:rsid w:val="00A62EFD"/>
    <w:rsid w:val="00A65592"/>
    <w:rsid w:val="00A86F48"/>
    <w:rsid w:val="00A93F5E"/>
    <w:rsid w:val="00A9598C"/>
    <w:rsid w:val="00AA73BA"/>
    <w:rsid w:val="00AB033D"/>
    <w:rsid w:val="00AC3799"/>
    <w:rsid w:val="00AC4315"/>
    <w:rsid w:val="00AC6302"/>
    <w:rsid w:val="00B07A6A"/>
    <w:rsid w:val="00B347B7"/>
    <w:rsid w:val="00B431C4"/>
    <w:rsid w:val="00B56881"/>
    <w:rsid w:val="00B60034"/>
    <w:rsid w:val="00B661E9"/>
    <w:rsid w:val="00B702B1"/>
    <w:rsid w:val="00B7448D"/>
    <w:rsid w:val="00B770A7"/>
    <w:rsid w:val="00B87E8F"/>
    <w:rsid w:val="00B9771A"/>
    <w:rsid w:val="00BA43E5"/>
    <w:rsid w:val="00BA533E"/>
    <w:rsid w:val="00BA6F0A"/>
    <w:rsid w:val="00BC1A5D"/>
    <w:rsid w:val="00BC62EF"/>
    <w:rsid w:val="00BD0F68"/>
    <w:rsid w:val="00BE1CED"/>
    <w:rsid w:val="00BE29C9"/>
    <w:rsid w:val="00C21D5A"/>
    <w:rsid w:val="00C27E68"/>
    <w:rsid w:val="00C44352"/>
    <w:rsid w:val="00C6078D"/>
    <w:rsid w:val="00C76544"/>
    <w:rsid w:val="00C94980"/>
    <w:rsid w:val="00CB78A4"/>
    <w:rsid w:val="00CC0672"/>
    <w:rsid w:val="00D52055"/>
    <w:rsid w:val="00D6273B"/>
    <w:rsid w:val="00DB0CBB"/>
    <w:rsid w:val="00DB6F7B"/>
    <w:rsid w:val="00DC3DDE"/>
    <w:rsid w:val="00DC7CBB"/>
    <w:rsid w:val="00DF4639"/>
    <w:rsid w:val="00E10617"/>
    <w:rsid w:val="00E23BE8"/>
    <w:rsid w:val="00E46395"/>
    <w:rsid w:val="00E55927"/>
    <w:rsid w:val="00EB6DB1"/>
    <w:rsid w:val="00EC1B00"/>
    <w:rsid w:val="00EE62D4"/>
    <w:rsid w:val="00EF3C4D"/>
    <w:rsid w:val="00F17112"/>
    <w:rsid w:val="00F23EF2"/>
    <w:rsid w:val="00F36DBC"/>
    <w:rsid w:val="00F657B3"/>
    <w:rsid w:val="00FA4A9E"/>
    <w:rsid w:val="00FA589C"/>
    <w:rsid w:val="00FB005D"/>
    <w:rsid w:val="00FC3CA9"/>
    <w:rsid w:val="00FC3F38"/>
    <w:rsid w:val="00FC5BF9"/>
    <w:rsid w:val="00FE141F"/>
    <w:rsid w:val="00FE2B6C"/>
    <w:rsid w:val="00FE2FFA"/>
    <w:rsid w:val="00FE7F66"/>
    <w:rsid w:val="00FF03B2"/>
    <w:rsid w:val="00FF3C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6F2835"/>
  <w15:chartTrackingRefBased/>
  <w15:docId w15:val="{9DE97BFF-1DC2-4261-8F11-22CCDC8D4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26B25"/>
    <w:pPr>
      <w:keepNext/>
      <w:keepLines/>
      <w:spacing w:before="360" w:after="80" w:line="360" w:lineRule="auto"/>
      <w:jc w:val="both"/>
      <w:outlineLvl w:val="0"/>
    </w:pPr>
    <w:rPr>
      <w:rFonts w:ascii="Arial" w:eastAsiaTheme="majorEastAsia" w:hAnsi="Arial" w:cstheme="majorBidi"/>
      <w:b/>
      <w:color w:val="000000" w:themeColor="text1"/>
      <w:sz w:val="22"/>
      <w:szCs w:val="40"/>
    </w:rPr>
  </w:style>
  <w:style w:type="paragraph" w:styleId="Heading2">
    <w:name w:val="heading 2"/>
    <w:basedOn w:val="Normal"/>
    <w:next w:val="Normal"/>
    <w:link w:val="Heading2Char"/>
    <w:uiPriority w:val="9"/>
    <w:semiHidden/>
    <w:unhideWhenUsed/>
    <w:qFormat/>
    <w:rsid w:val="009657C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657C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657C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657C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657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57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57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57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B25"/>
    <w:rPr>
      <w:rFonts w:ascii="Arial" w:eastAsiaTheme="majorEastAsia" w:hAnsi="Arial" w:cstheme="majorBidi"/>
      <w:b/>
      <w:color w:val="000000" w:themeColor="text1"/>
      <w:sz w:val="22"/>
      <w:szCs w:val="40"/>
    </w:rPr>
  </w:style>
  <w:style w:type="character" w:customStyle="1" w:styleId="Heading2Char">
    <w:name w:val="Heading 2 Char"/>
    <w:basedOn w:val="DefaultParagraphFont"/>
    <w:link w:val="Heading2"/>
    <w:uiPriority w:val="9"/>
    <w:semiHidden/>
    <w:rsid w:val="009657C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657C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657C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657C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657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57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57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57CC"/>
    <w:rPr>
      <w:rFonts w:eastAsiaTheme="majorEastAsia" w:cstheme="majorBidi"/>
      <w:color w:val="272727" w:themeColor="text1" w:themeTint="D8"/>
    </w:rPr>
  </w:style>
  <w:style w:type="paragraph" w:styleId="Title">
    <w:name w:val="Title"/>
    <w:basedOn w:val="Normal"/>
    <w:next w:val="Normal"/>
    <w:link w:val="TitleChar"/>
    <w:uiPriority w:val="10"/>
    <w:qFormat/>
    <w:rsid w:val="009657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57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57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57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57CC"/>
    <w:pPr>
      <w:spacing w:before="160"/>
      <w:jc w:val="center"/>
    </w:pPr>
    <w:rPr>
      <w:i/>
      <w:iCs/>
      <w:color w:val="404040" w:themeColor="text1" w:themeTint="BF"/>
    </w:rPr>
  </w:style>
  <w:style w:type="character" w:customStyle="1" w:styleId="QuoteChar">
    <w:name w:val="Quote Char"/>
    <w:basedOn w:val="DefaultParagraphFont"/>
    <w:link w:val="Quote"/>
    <w:uiPriority w:val="29"/>
    <w:rsid w:val="009657CC"/>
    <w:rPr>
      <w:i/>
      <w:iCs/>
      <w:color w:val="404040" w:themeColor="text1" w:themeTint="BF"/>
    </w:rPr>
  </w:style>
  <w:style w:type="paragraph" w:styleId="ListParagraph">
    <w:name w:val="List Paragraph"/>
    <w:basedOn w:val="Normal"/>
    <w:uiPriority w:val="34"/>
    <w:qFormat/>
    <w:rsid w:val="009657CC"/>
    <w:pPr>
      <w:ind w:left="720"/>
      <w:contextualSpacing/>
    </w:pPr>
  </w:style>
  <w:style w:type="character" w:styleId="IntenseEmphasis">
    <w:name w:val="Intense Emphasis"/>
    <w:basedOn w:val="DefaultParagraphFont"/>
    <w:uiPriority w:val="21"/>
    <w:qFormat/>
    <w:rsid w:val="009657CC"/>
    <w:rPr>
      <w:i/>
      <w:iCs/>
      <w:color w:val="2F5496" w:themeColor="accent1" w:themeShade="BF"/>
    </w:rPr>
  </w:style>
  <w:style w:type="paragraph" w:styleId="IntenseQuote">
    <w:name w:val="Intense Quote"/>
    <w:basedOn w:val="Normal"/>
    <w:next w:val="Normal"/>
    <w:link w:val="IntenseQuoteChar"/>
    <w:uiPriority w:val="30"/>
    <w:qFormat/>
    <w:rsid w:val="009657C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657CC"/>
    <w:rPr>
      <w:i/>
      <w:iCs/>
      <w:color w:val="2F5496" w:themeColor="accent1" w:themeShade="BF"/>
    </w:rPr>
  </w:style>
  <w:style w:type="character" w:styleId="IntenseReference">
    <w:name w:val="Intense Reference"/>
    <w:basedOn w:val="DefaultParagraphFont"/>
    <w:uiPriority w:val="32"/>
    <w:qFormat/>
    <w:rsid w:val="009657CC"/>
    <w:rPr>
      <w:b/>
      <w:bCs/>
      <w:smallCaps/>
      <w:color w:val="2F5496" w:themeColor="accent1" w:themeShade="BF"/>
      <w:spacing w:val="5"/>
    </w:rPr>
  </w:style>
  <w:style w:type="character" w:styleId="Hyperlink">
    <w:name w:val="Hyperlink"/>
    <w:basedOn w:val="DefaultParagraphFont"/>
    <w:uiPriority w:val="99"/>
    <w:unhideWhenUsed/>
    <w:rsid w:val="00A204AB"/>
    <w:rPr>
      <w:color w:val="0563C1" w:themeColor="hyperlink"/>
      <w:u w:val="single"/>
    </w:rPr>
  </w:style>
  <w:style w:type="character" w:styleId="UnresolvedMention">
    <w:name w:val="Unresolved Mention"/>
    <w:basedOn w:val="DefaultParagraphFont"/>
    <w:uiPriority w:val="99"/>
    <w:semiHidden/>
    <w:unhideWhenUsed/>
    <w:rsid w:val="00A204AB"/>
    <w:rPr>
      <w:color w:val="605E5C"/>
      <w:shd w:val="clear" w:color="auto" w:fill="E1DFDD"/>
    </w:rPr>
  </w:style>
  <w:style w:type="paragraph" w:styleId="Header">
    <w:name w:val="header"/>
    <w:basedOn w:val="Normal"/>
    <w:link w:val="HeaderChar"/>
    <w:uiPriority w:val="99"/>
    <w:unhideWhenUsed/>
    <w:rsid w:val="008736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36EA"/>
  </w:style>
  <w:style w:type="paragraph" w:styleId="Footer">
    <w:name w:val="footer"/>
    <w:basedOn w:val="Normal"/>
    <w:link w:val="FooterChar"/>
    <w:uiPriority w:val="99"/>
    <w:unhideWhenUsed/>
    <w:rsid w:val="008736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36EA"/>
  </w:style>
  <w:style w:type="paragraph" w:styleId="TOCHeading">
    <w:name w:val="TOC Heading"/>
    <w:basedOn w:val="Heading1"/>
    <w:next w:val="Normal"/>
    <w:uiPriority w:val="39"/>
    <w:unhideWhenUsed/>
    <w:qFormat/>
    <w:rsid w:val="005D118A"/>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5D118A"/>
    <w:pPr>
      <w:spacing w:after="100"/>
    </w:pPr>
  </w:style>
  <w:style w:type="paragraph" w:styleId="Revision">
    <w:name w:val="Revision"/>
    <w:hidden/>
    <w:uiPriority w:val="99"/>
    <w:semiHidden/>
    <w:rsid w:val="008841C7"/>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60572F-FC7A-4A1D-94B1-BA0A39523B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9</Pages>
  <Words>2647</Words>
  <Characters>15091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zαяααα .</dc:creator>
  <cp:lastModifiedBy>Zara Sheikh (2408419)</cp:lastModifiedBy>
  <cp:revision>3</cp:revision>
  <dcterms:created xsi:type="dcterms:W3CDTF">2026-06-22T17:35:00Z</dcterms:created>
  <dcterms:modified xsi:type="dcterms:W3CDTF">2026-06-22T18:12:00Z</dcterms:modified>
</cp:coreProperties>
</file>