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C1E9E" w14:textId="77777777" w:rsidR="00AB37C7" w:rsidRDefault="00AB37C7" w:rsidP="00AB37C7">
      <w:pPr>
        <w:pStyle w:val="NormalWeb"/>
        <w:tabs>
          <w:tab w:val="left" w:pos="2268"/>
        </w:tabs>
        <w:spacing w:before="0" w:beforeAutospacing="0" w:after="0" w:afterAutospacing="0"/>
        <w:ind w:left="-180" w:right="-334"/>
      </w:pPr>
      <w:r>
        <w:rPr>
          <w:noProof/>
          <w:lang w:eastAsia="en-GB"/>
        </w:rPr>
        <w:drawing>
          <wp:inline distT="0" distB="0" distL="0" distR="0" wp14:anchorId="7719E135" wp14:editId="36E19B0D">
            <wp:extent cx="1906270" cy="638175"/>
            <wp:effectExtent l="19050" t="19050" r="17780" b="28575"/>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072F9481" w14:textId="77777777" w:rsidR="00AB37C7" w:rsidRDefault="00AB37C7" w:rsidP="00AB37C7">
      <w:pPr>
        <w:pStyle w:val="NormalWeb"/>
        <w:spacing w:before="0" w:beforeAutospacing="0" w:after="0" w:afterAutospacing="0"/>
        <w:ind w:left="-180" w:right="-334"/>
      </w:pPr>
    </w:p>
    <w:p w14:paraId="4760CB24" w14:textId="77777777" w:rsidR="00AB37C7" w:rsidRDefault="00AB37C7" w:rsidP="00AB37C7">
      <w:pPr>
        <w:pStyle w:val="NormalWeb"/>
        <w:spacing w:before="0" w:beforeAutospacing="0" w:after="0" w:afterAutospacing="0"/>
        <w:ind w:left="-180" w:right="-334"/>
      </w:pPr>
    </w:p>
    <w:p w14:paraId="675DF958" w14:textId="77777777" w:rsidR="00AB37C7" w:rsidRDefault="00AB37C7" w:rsidP="00AB37C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1B3399EF" w14:textId="77777777" w:rsidR="00AB37C7" w:rsidRPr="00230F35" w:rsidRDefault="00AB37C7" w:rsidP="00AB37C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A52E0F" w14:textId="77777777" w:rsidR="00AB37C7" w:rsidRPr="00601A79" w:rsidRDefault="00AB37C7" w:rsidP="00AB37C7">
      <w:pPr>
        <w:spacing w:line="360" w:lineRule="auto"/>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4CE4ACD2" w14:textId="77777777" w:rsidR="00AB37C7" w:rsidRPr="00601A79" w:rsidRDefault="00AB37C7" w:rsidP="00AB37C7">
      <w:pPr>
        <w:spacing w:line="360" w:lineRule="auto"/>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 xml:space="preserve">THIS COVER SHEET REPLACES ALL PREVIOUS VERSIONS. </w:t>
      </w:r>
    </w:p>
    <w:p w14:paraId="7BC6D70B" w14:textId="77777777" w:rsidR="00AB37C7" w:rsidRPr="00601A79" w:rsidRDefault="00AB37C7" w:rsidP="00AB37C7">
      <w:pPr>
        <w:spacing w:line="360" w:lineRule="auto"/>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BEFRE YOU SUBMIT THE ESSAY.</w:t>
      </w:r>
    </w:p>
    <w:p w14:paraId="1634AA46" w14:textId="77777777" w:rsidR="00AB37C7" w:rsidRDefault="00AB37C7" w:rsidP="00AB37C7">
      <w:pPr>
        <w:pStyle w:val="Heading3"/>
        <w:ind w:left="720"/>
        <w:rPr>
          <w:rFonts w:ascii="Tahoma" w:hAnsi="Tahoma" w:cs="Tahoma"/>
          <w:sz w:val="20"/>
          <w:szCs w:val="20"/>
          <w:lang w:val="cy-GB"/>
        </w:rPr>
      </w:pPr>
      <w:r w:rsidRPr="00AD7106">
        <w:rPr>
          <w:rFonts w:ascii="Tahoma" w:hAnsi="Tahoma" w:cs="Tahoma"/>
          <w:sz w:val="20"/>
          <w:szCs w:val="20"/>
          <w:lang w:val="cy-GB"/>
        </w:rPr>
        <w:t>THIS SHEET MUST BE THE FIRST PAGE OF THE ASSIGNMENT YOU ARE SUBMITTING  (DO NOT SEND AS A SEPARATE FILE)</w:t>
      </w:r>
    </w:p>
    <w:p w14:paraId="7D74FAD8" w14:textId="77777777" w:rsidR="00AB37C7" w:rsidRPr="00DA54AD" w:rsidRDefault="00AB37C7" w:rsidP="00AB37C7">
      <w:pPr>
        <w:pStyle w:val="Heading3"/>
        <w:rPr>
          <w:rFonts w:ascii="Tahoma" w:hAnsi="Tahoma" w:cs="Tahoma"/>
          <w:sz w:val="20"/>
          <w:szCs w:val="20"/>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B37C7" w:rsidRPr="00230F35" w14:paraId="1A3C6571" w14:textId="77777777" w:rsidTr="00C41A02">
        <w:trPr>
          <w:trHeight w:val="614"/>
        </w:trPr>
        <w:tc>
          <w:tcPr>
            <w:tcW w:w="8856" w:type="dxa"/>
            <w:gridSpan w:val="5"/>
          </w:tcPr>
          <w:p w14:paraId="0BC83240" w14:textId="77777777" w:rsidR="00AB37C7" w:rsidRPr="00230F35"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B37C7" w:rsidRPr="00230F35" w14:paraId="7ABAD145" w14:textId="77777777" w:rsidTr="00C41A02">
        <w:trPr>
          <w:trHeight w:val="718"/>
        </w:trPr>
        <w:tc>
          <w:tcPr>
            <w:tcW w:w="8856" w:type="dxa"/>
            <w:gridSpan w:val="5"/>
          </w:tcPr>
          <w:p w14:paraId="1A0C6FA1" w14:textId="77777777" w:rsidR="00AB37C7"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Eldarin J. Yeong</w:t>
            </w:r>
          </w:p>
          <w:p w14:paraId="6A232337" w14:textId="77777777" w:rsidR="00AB37C7" w:rsidRPr="00230F35" w:rsidRDefault="00AB37C7" w:rsidP="00C41A02">
            <w:pPr>
              <w:pStyle w:val="NormalWeb"/>
              <w:spacing w:before="0" w:beforeAutospacing="0" w:after="0" w:afterAutospacing="0"/>
              <w:ind w:right="34"/>
              <w:rPr>
                <w:rFonts w:ascii="Arial" w:hAnsi="Arial" w:cs="Arial"/>
                <w:sz w:val="22"/>
                <w:szCs w:val="22"/>
              </w:rPr>
            </w:pPr>
          </w:p>
          <w:p w14:paraId="610AE9DE" w14:textId="77777777" w:rsidR="00AB37C7" w:rsidRPr="00230F35"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DF5679">
                <w:rPr>
                  <w:rStyle w:val="Hyperlink"/>
                  <w:rFonts w:ascii="Arial" w:hAnsi="Arial" w:cs="Arial"/>
                  <w:sz w:val="22"/>
                  <w:szCs w:val="22"/>
                </w:rPr>
                <w:t>2404836@student.uwtsd.ac.uk</w:t>
              </w:r>
            </w:hyperlink>
            <w:r>
              <w:rPr>
                <w:rFonts w:ascii="Arial" w:hAnsi="Arial" w:cs="Arial"/>
                <w:sz w:val="22"/>
                <w:szCs w:val="22"/>
              </w:rPr>
              <w:t xml:space="preserve"> </w:t>
            </w:r>
          </w:p>
        </w:tc>
      </w:tr>
      <w:tr w:rsidR="00AB37C7" w:rsidRPr="00230F35" w14:paraId="2823EEF1" w14:textId="77777777" w:rsidTr="00C41A02">
        <w:trPr>
          <w:trHeight w:val="849"/>
        </w:trPr>
        <w:tc>
          <w:tcPr>
            <w:tcW w:w="4788" w:type="dxa"/>
          </w:tcPr>
          <w:p w14:paraId="6BFB4C49" w14:textId="77777777" w:rsidR="00AB37C7"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22AA6F0D" w14:textId="77777777" w:rsidR="00AB37C7" w:rsidRPr="00230F35" w:rsidRDefault="00AB37C7" w:rsidP="00C41A02">
            <w:pPr>
              <w:pStyle w:val="NormalWeb"/>
              <w:spacing w:before="0" w:beforeAutospacing="0" w:after="0" w:afterAutospacing="0"/>
              <w:ind w:right="34"/>
              <w:rPr>
                <w:rFonts w:ascii="Arial" w:hAnsi="Arial" w:cs="Arial"/>
                <w:sz w:val="22"/>
                <w:szCs w:val="22"/>
              </w:rPr>
            </w:pPr>
          </w:p>
          <w:p w14:paraId="7F731A2A" w14:textId="77777777" w:rsidR="00AB37C7"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Contemporary Cosmologies</w:t>
            </w:r>
          </w:p>
          <w:p w14:paraId="7DBFB24B" w14:textId="77777777" w:rsidR="00AB37C7" w:rsidRPr="00230F35" w:rsidRDefault="00AB37C7" w:rsidP="00C41A02">
            <w:pPr>
              <w:pStyle w:val="NormalWeb"/>
              <w:spacing w:before="0" w:beforeAutospacing="0" w:after="0" w:afterAutospacing="0"/>
              <w:ind w:right="34"/>
              <w:rPr>
                <w:rFonts w:ascii="Arial" w:hAnsi="Arial" w:cs="Arial"/>
                <w:sz w:val="22"/>
                <w:szCs w:val="22"/>
              </w:rPr>
            </w:pPr>
          </w:p>
        </w:tc>
        <w:tc>
          <w:tcPr>
            <w:tcW w:w="2266" w:type="dxa"/>
            <w:gridSpan w:val="3"/>
          </w:tcPr>
          <w:p w14:paraId="3E27DCF5" w14:textId="77777777" w:rsidR="00AB37C7"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1A548AA2" w14:textId="77777777" w:rsidR="00AB37C7" w:rsidRDefault="00AB37C7" w:rsidP="00C41A02">
            <w:pPr>
              <w:pStyle w:val="NormalWeb"/>
              <w:spacing w:before="0" w:beforeAutospacing="0" w:after="0" w:afterAutospacing="0"/>
              <w:ind w:right="34"/>
              <w:rPr>
                <w:rFonts w:ascii="Arial" w:hAnsi="Arial" w:cs="Arial"/>
                <w:sz w:val="22"/>
                <w:szCs w:val="22"/>
              </w:rPr>
            </w:pPr>
          </w:p>
          <w:p w14:paraId="38572458" w14:textId="77777777" w:rsidR="00AB37C7" w:rsidRPr="00230F35" w:rsidRDefault="00AB37C7" w:rsidP="00C41A02">
            <w:pPr>
              <w:pStyle w:val="NormalWeb"/>
              <w:spacing w:before="0" w:beforeAutospacing="0" w:after="0" w:afterAutospacing="0"/>
              <w:ind w:right="34"/>
              <w:rPr>
                <w:rFonts w:ascii="Arial" w:hAnsi="Arial" w:cs="Arial"/>
                <w:sz w:val="22"/>
                <w:szCs w:val="22"/>
              </w:rPr>
            </w:pPr>
            <w:r>
              <w:rPr>
                <w:rFonts w:ascii="Arial" w:hAnsi="Arial" w:cs="Arial"/>
                <w:sz w:val="22"/>
                <w:szCs w:val="22"/>
              </w:rPr>
              <w:t>2404836</w:t>
            </w:r>
          </w:p>
        </w:tc>
        <w:tc>
          <w:tcPr>
            <w:tcW w:w="1802" w:type="dxa"/>
          </w:tcPr>
          <w:p w14:paraId="021A265B" w14:textId="77777777" w:rsidR="00AB37C7" w:rsidRPr="00230F35"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03E1121" w14:textId="77777777" w:rsidR="00AB37C7" w:rsidRPr="00230F35" w:rsidRDefault="00AB37C7" w:rsidP="00C41A02">
            <w:pPr>
              <w:pStyle w:val="NormalWeb"/>
              <w:spacing w:before="0" w:beforeAutospacing="0" w:after="0" w:afterAutospacing="0"/>
              <w:ind w:right="34"/>
              <w:rPr>
                <w:rFonts w:ascii="Arial" w:hAnsi="Arial" w:cs="Arial"/>
                <w:sz w:val="22"/>
                <w:szCs w:val="22"/>
              </w:rPr>
            </w:pPr>
          </w:p>
        </w:tc>
      </w:tr>
      <w:tr w:rsidR="00AB37C7" w:rsidRPr="00230F35" w14:paraId="4CE4E151" w14:textId="77777777" w:rsidTr="00C41A02">
        <w:trPr>
          <w:trHeight w:val="1139"/>
        </w:trPr>
        <w:tc>
          <w:tcPr>
            <w:tcW w:w="8856" w:type="dxa"/>
            <w:gridSpan w:val="5"/>
          </w:tcPr>
          <w:p w14:paraId="059256C4" w14:textId="77777777" w:rsidR="00AB37C7"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Research Project/Assignment 2</w:t>
            </w:r>
          </w:p>
          <w:p w14:paraId="5A174E0E" w14:textId="77777777" w:rsidR="00AB37C7" w:rsidRPr="008966C6" w:rsidRDefault="00AB37C7" w:rsidP="00C41A02">
            <w:pPr>
              <w:pStyle w:val="NormalWeb"/>
              <w:spacing w:before="0" w:beforeAutospacing="0" w:after="0" w:afterAutospacing="0"/>
              <w:ind w:right="34"/>
              <w:rPr>
                <w:rFonts w:ascii="Arial" w:hAnsi="Arial" w:cs="Arial"/>
                <w:sz w:val="22"/>
                <w:szCs w:val="22"/>
              </w:rPr>
            </w:pPr>
            <w:r w:rsidRPr="008966C6">
              <w:rPr>
                <w:rFonts w:ascii="Arial" w:hAnsi="Arial" w:cs="Arial"/>
                <w:sz w:val="22"/>
                <w:szCs w:val="22"/>
              </w:rPr>
              <w:t>‘Examine the Personal Cosmologies of Participants in Tibetan Singing Bowl Therapy in Bristol’</w:t>
            </w:r>
          </w:p>
          <w:p w14:paraId="4B1A5969" w14:textId="77777777" w:rsidR="00AB37C7" w:rsidRPr="00230F35" w:rsidRDefault="00AB37C7" w:rsidP="00C41A0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30/04/2026 </w:t>
            </w:r>
          </w:p>
        </w:tc>
      </w:tr>
      <w:tr w:rsidR="00AB37C7" w:rsidRPr="00230F35" w14:paraId="6395BCD6" w14:textId="77777777" w:rsidTr="00C41A02">
        <w:trPr>
          <w:trHeight w:val="978"/>
        </w:trPr>
        <w:tc>
          <w:tcPr>
            <w:tcW w:w="8856" w:type="dxa"/>
            <w:gridSpan w:val="5"/>
            <w:tcBorders>
              <w:bottom w:val="single" w:sz="4" w:space="0" w:color="000000"/>
            </w:tcBorders>
          </w:tcPr>
          <w:p w14:paraId="03A4C7E8" w14:textId="77777777" w:rsidR="00AB37C7" w:rsidRPr="00230F35" w:rsidRDefault="00AB37C7" w:rsidP="00C41A0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895D74">
              <w:rPr>
                <w:rFonts w:ascii="Arial" w:hAnsi="Arial" w:cs="Arial"/>
              </w:rPr>
            </w:r>
            <w:r w:rsidR="00895D74">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895D74">
              <w:rPr>
                <w:rFonts w:ascii="Arial" w:hAnsi="Arial" w:cs="Arial"/>
              </w:rPr>
            </w:r>
            <w:r w:rsidR="00895D74">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DA54AD">
              <w:rPr>
                <w:rFonts w:ascii="Arial" w:hAnsi="Arial" w:cs="Arial"/>
                <w:highlight w:val="green"/>
              </w:rPr>
              <w:fldChar w:fldCharType="begin">
                <w:ffData>
                  <w:name w:val="Check15"/>
                  <w:enabled/>
                  <w:calcOnExit w:val="0"/>
                  <w:checkBox>
                    <w:sizeAuto/>
                    <w:default w:val="0"/>
                  </w:checkBox>
                </w:ffData>
              </w:fldChar>
            </w:r>
            <w:bookmarkStart w:id="0" w:name="Check15"/>
            <w:r w:rsidRPr="00DA54AD">
              <w:rPr>
                <w:rFonts w:ascii="Arial" w:hAnsi="Arial" w:cs="Arial"/>
                <w:highlight w:val="green"/>
              </w:rPr>
              <w:instrText xml:space="preserve"> FORMCHECKBOX </w:instrText>
            </w:r>
            <w:r w:rsidR="00895D74">
              <w:rPr>
                <w:rFonts w:ascii="Arial" w:hAnsi="Arial" w:cs="Arial"/>
                <w:highlight w:val="green"/>
              </w:rPr>
            </w:r>
            <w:r w:rsidR="00895D74">
              <w:rPr>
                <w:rFonts w:ascii="Arial" w:hAnsi="Arial" w:cs="Arial"/>
                <w:highlight w:val="green"/>
              </w:rPr>
              <w:fldChar w:fldCharType="separate"/>
            </w:r>
            <w:r w:rsidRPr="00DA54AD">
              <w:rPr>
                <w:rFonts w:ascii="Arial" w:hAnsi="Arial" w:cs="Arial"/>
                <w:highlight w:val="green"/>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895D74">
              <w:rPr>
                <w:rFonts w:ascii="Arial" w:hAnsi="Arial" w:cs="Arial"/>
              </w:rPr>
            </w:r>
            <w:r w:rsidR="00895D74">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895D74">
              <w:rPr>
                <w:rFonts w:ascii="Arial" w:hAnsi="Arial" w:cs="Arial"/>
              </w:rPr>
            </w:r>
            <w:r w:rsidR="00895D74">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895D74">
              <w:rPr>
                <w:rFonts w:ascii="Arial" w:hAnsi="Arial" w:cs="Arial"/>
              </w:rPr>
            </w:r>
            <w:r w:rsidR="00895D74">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B37C7" w:rsidRPr="00230F35" w14:paraId="25FF309C" w14:textId="77777777" w:rsidTr="00C41A02">
        <w:trPr>
          <w:trHeight w:val="978"/>
        </w:trPr>
        <w:tc>
          <w:tcPr>
            <w:tcW w:w="8856" w:type="dxa"/>
            <w:gridSpan w:val="5"/>
            <w:shd w:val="clear" w:color="auto" w:fill="D9D9D9"/>
          </w:tcPr>
          <w:p w14:paraId="027A485F" w14:textId="77777777" w:rsidR="00AB37C7" w:rsidRPr="00601A79" w:rsidRDefault="00AB37C7" w:rsidP="00C41A02">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14:paraId="283703D5" w14:textId="77777777" w:rsidR="00AB37C7" w:rsidRPr="00B728EA" w:rsidRDefault="00AB37C7" w:rsidP="00C41A0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619AD95F" w14:textId="77777777" w:rsidR="00AB37C7" w:rsidRPr="00B728EA" w:rsidRDefault="00AB37C7" w:rsidP="00C41A02">
            <w:pPr>
              <w:pStyle w:val="NormalWeb"/>
              <w:spacing w:before="0" w:beforeAutospacing="0" w:after="0" w:afterAutospacing="0"/>
              <w:ind w:right="34"/>
              <w:rPr>
                <w:rFonts w:ascii="Arial" w:hAnsi="Arial" w:cs="Arial"/>
                <w:sz w:val="22"/>
                <w:szCs w:val="22"/>
              </w:rPr>
            </w:pPr>
          </w:p>
          <w:p w14:paraId="0C91FDF0" w14:textId="77777777" w:rsidR="00AB37C7" w:rsidRPr="00601A79" w:rsidRDefault="00AB37C7" w:rsidP="00C41A02">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14:paraId="57C78D4B" w14:textId="77777777" w:rsidR="00AB37C7" w:rsidRPr="00B728EA" w:rsidRDefault="00AB37C7" w:rsidP="00C41A02">
            <w:pPr>
              <w:pStyle w:val="NormalWeb"/>
              <w:spacing w:before="0" w:beforeAutospacing="0" w:after="0" w:afterAutospacing="0"/>
              <w:ind w:right="34"/>
              <w:rPr>
                <w:rFonts w:ascii="Arial" w:hAnsi="Arial" w:cs="Arial"/>
                <w:sz w:val="22"/>
                <w:szCs w:val="22"/>
              </w:rPr>
            </w:pPr>
          </w:p>
          <w:p w14:paraId="1D845D6D" w14:textId="77777777" w:rsidR="00AB37C7" w:rsidRPr="00B728EA" w:rsidRDefault="00AB37C7" w:rsidP="00C41A0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7A00D6A4" w14:textId="77777777" w:rsidR="00AB37C7" w:rsidRPr="00B728EA" w:rsidRDefault="00AB37C7" w:rsidP="00C41A02">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80611AD" wp14:editId="6BE0C60E">
                      <wp:simplePos x="0" y="0"/>
                      <wp:positionH relativeFrom="column">
                        <wp:posOffset>356803</wp:posOffset>
                      </wp:positionH>
                      <wp:positionV relativeFrom="paragraph">
                        <wp:posOffset>-228968</wp:posOffset>
                      </wp:positionV>
                      <wp:extent cx="742315" cy="664411"/>
                      <wp:effectExtent l="0" t="38100" r="45085" b="46990"/>
                      <wp:wrapNone/>
                      <wp:docPr id="10" name="Ink 10"/>
                      <wp:cNvGraphicFramePr/>
                      <a:graphic xmlns:a="http://schemas.openxmlformats.org/drawingml/2006/main">
                        <a:graphicData uri="http://schemas.microsoft.com/office/word/2010/wordprocessingInk">
                          <w14:contentPart bwMode="auto" r:id="rId9">
                            <w14:nvContentPartPr>
                              <w14:cNvContentPartPr/>
                            </w14:nvContentPartPr>
                            <w14:xfrm>
                              <a:off x="0" y="0"/>
                              <a:ext cx="742315" cy="664411"/>
                            </w14:xfrm>
                          </w14:contentPart>
                        </a:graphicData>
                      </a:graphic>
                      <wp14:sizeRelH relativeFrom="margin">
                        <wp14:pctWidth>0</wp14:pctWidth>
                      </wp14:sizeRelH>
                      <wp14:sizeRelV relativeFrom="margin">
                        <wp14:pctHeight>0</wp14:pctHeight>
                      </wp14:sizeRelV>
                    </wp:anchor>
                  </w:drawing>
                </mc:Choice>
                <mc:Fallback>
                  <w:pict>
                    <v:shapetype w14:anchorId="54944C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7.4pt;margin-top:-18.75pt;width:59.85pt;height:5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">
                      <v:imagedata r:id="rId10" o:title=""/>
                    </v:shape>
                  </w:pict>
                </mc:Fallback>
              </mc:AlternateContent>
            </w:r>
          </w:p>
          <w:p w14:paraId="0D374CB0" w14:textId="77777777" w:rsidR="00AB37C7" w:rsidRDefault="00AB37C7" w:rsidP="00C41A02">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p>
          <w:p w14:paraId="1D85C033" w14:textId="77777777" w:rsidR="00AB37C7" w:rsidRDefault="00AB37C7" w:rsidP="00C41A02">
            <w:pPr>
              <w:pStyle w:val="NormalWeb"/>
              <w:spacing w:before="0" w:beforeAutospacing="0" w:after="0" w:afterAutospacing="0"/>
              <w:ind w:right="34"/>
              <w:rPr>
                <w:rFonts w:ascii="Arial" w:hAnsi="Arial" w:cs="Arial"/>
                <w:sz w:val="22"/>
                <w:szCs w:val="22"/>
              </w:rPr>
            </w:pPr>
            <w:r>
              <w:rPr>
                <w:rFonts w:ascii="Arial" w:hAnsi="Arial" w:cs="Arial"/>
                <w:sz w:val="22"/>
                <w:szCs w:val="22"/>
              </w:rPr>
              <w:t>Date:  23/04/2026</w:t>
            </w:r>
          </w:p>
          <w:p w14:paraId="2F2B2A36" w14:textId="77777777" w:rsidR="00AB37C7" w:rsidRPr="00230F35" w:rsidRDefault="00AB37C7" w:rsidP="00C41A02">
            <w:pPr>
              <w:pStyle w:val="NormalWeb"/>
              <w:spacing w:before="0" w:beforeAutospacing="0" w:after="0" w:afterAutospacing="0"/>
              <w:ind w:right="34"/>
              <w:rPr>
                <w:rFonts w:ascii="Arial" w:hAnsi="Arial" w:cs="Arial"/>
                <w:sz w:val="22"/>
                <w:szCs w:val="22"/>
              </w:rPr>
            </w:pPr>
          </w:p>
        </w:tc>
      </w:tr>
      <w:tr w:rsidR="00AB37C7" w:rsidRPr="00230F35" w14:paraId="4A41BC8E" w14:textId="77777777" w:rsidTr="00C41A02">
        <w:trPr>
          <w:trHeight w:val="3972"/>
        </w:trPr>
        <w:tc>
          <w:tcPr>
            <w:tcW w:w="8856" w:type="dxa"/>
            <w:gridSpan w:val="5"/>
          </w:tcPr>
          <w:p w14:paraId="49F8A617" w14:textId="77777777" w:rsidR="00AB37C7" w:rsidRDefault="00AB37C7" w:rsidP="00C41A02">
            <w:pPr>
              <w:rPr>
                <w:rFonts w:ascii="Arial" w:hAnsi="Arial"/>
                <w:b/>
              </w:rPr>
            </w:pPr>
          </w:p>
          <w:p w14:paraId="63089CE4" w14:textId="77777777" w:rsidR="00AB37C7" w:rsidRPr="00116CE6" w:rsidRDefault="00AB37C7" w:rsidP="00C41A0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B37C7" w:rsidRPr="00116CE6" w14:paraId="6E4298CD" w14:textId="77777777" w:rsidTr="00C41A02">
              <w:tc>
                <w:tcPr>
                  <w:tcW w:w="6970" w:type="dxa"/>
                </w:tcPr>
                <w:p w14:paraId="5C77BD2E" w14:textId="77777777" w:rsidR="00AB37C7" w:rsidRPr="00116CE6" w:rsidRDefault="00AB37C7" w:rsidP="00C41A02">
                  <w:pPr>
                    <w:rPr>
                      <w:rFonts w:ascii="Arial" w:hAnsi="Arial"/>
                      <w:sz w:val="20"/>
                      <w:szCs w:val="20"/>
                    </w:rPr>
                  </w:pPr>
                </w:p>
                <w:p w14:paraId="78A16C31" w14:textId="77777777" w:rsidR="00AB37C7" w:rsidRPr="00116CE6" w:rsidRDefault="00AB37C7" w:rsidP="00C41A0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3C095E0" w14:textId="77777777" w:rsidR="00AB37C7" w:rsidRPr="00116CE6" w:rsidRDefault="00AB37C7" w:rsidP="00C41A02">
                  <w:pPr>
                    <w:rPr>
                      <w:rFonts w:ascii="Arial" w:hAnsi="Arial"/>
                      <w:sz w:val="20"/>
                      <w:szCs w:val="20"/>
                    </w:rPr>
                  </w:pPr>
                </w:p>
              </w:tc>
            </w:tr>
            <w:tr w:rsidR="00AB37C7" w:rsidRPr="00116CE6" w14:paraId="6B8D125F" w14:textId="77777777" w:rsidTr="00C41A02">
              <w:tc>
                <w:tcPr>
                  <w:tcW w:w="6970" w:type="dxa"/>
                </w:tcPr>
                <w:p w14:paraId="0BECD5EE" w14:textId="77777777" w:rsidR="00AB37C7" w:rsidRPr="00116CE6" w:rsidRDefault="00AB37C7" w:rsidP="00C41A02">
                  <w:pPr>
                    <w:rPr>
                      <w:rFonts w:ascii="Arial" w:hAnsi="Arial"/>
                      <w:sz w:val="20"/>
                      <w:szCs w:val="20"/>
                    </w:rPr>
                  </w:pPr>
                </w:p>
                <w:p w14:paraId="17D7BCD7" w14:textId="77777777" w:rsidR="00AB37C7" w:rsidRPr="00116CE6" w:rsidRDefault="00AB37C7" w:rsidP="00C41A0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A74527B" w14:textId="77777777" w:rsidR="00AB37C7" w:rsidRPr="00116CE6" w:rsidRDefault="00AB37C7" w:rsidP="00C41A02">
                  <w:pPr>
                    <w:rPr>
                      <w:rFonts w:ascii="Arial" w:hAnsi="Arial"/>
                      <w:sz w:val="20"/>
                      <w:szCs w:val="20"/>
                    </w:rPr>
                  </w:pPr>
                </w:p>
              </w:tc>
            </w:tr>
            <w:tr w:rsidR="00AB37C7" w:rsidRPr="00116CE6" w14:paraId="4772A95C" w14:textId="77777777" w:rsidTr="00C41A02">
              <w:tc>
                <w:tcPr>
                  <w:tcW w:w="6970" w:type="dxa"/>
                </w:tcPr>
                <w:p w14:paraId="1E06B09D" w14:textId="77777777" w:rsidR="00AB37C7" w:rsidRPr="00116CE6" w:rsidRDefault="00AB37C7" w:rsidP="00C41A02">
                  <w:pPr>
                    <w:rPr>
                      <w:rFonts w:ascii="Arial" w:hAnsi="Arial"/>
                      <w:sz w:val="20"/>
                      <w:szCs w:val="20"/>
                    </w:rPr>
                  </w:pPr>
                </w:p>
                <w:p w14:paraId="01B2324F" w14:textId="77777777" w:rsidR="00AB37C7" w:rsidRPr="00116CE6" w:rsidRDefault="00AB37C7" w:rsidP="00C41A0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C40A7D0" w14:textId="77777777" w:rsidR="00AB37C7" w:rsidRPr="00116CE6" w:rsidRDefault="00AB37C7" w:rsidP="00C41A02">
                  <w:pPr>
                    <w:rPr>
                      <w:rFonts w:ascii="Arial" w:hAnsi="Arial"/>
                      <w:sz w:val="20"/>
                      <w:szCs w:val="20"/>
                    </w:rPr>
                  </w:pPr>
                </w:p>
              </w:tc>
            </w:tr>
            <w:tr w:rsidR="00AB37C7" w:rsidRPr="00116CE6" w14:paraId="266C9D70" w14:textId="77777777" w:rsidTr="00C41A02">
              <w:tc>
                <w:tcPr>
                  <w:tcW w:w="6970" w:type="dxa"/>
                </w:tcPr>
                <w:p w14:paraId="14D81441" w14:textId="77777777" w:rsidR="00AB37C7" w:rsidRDefault="00AB37C7" w:rsidP="00C41A02">
                  <w:pPr>
                    <w:rPr>
                      <w:rFonts w:ascii="Arial" w:hAnsi="Arial"/>
                      <w:sz w:val="20"/>
                      <w:szCs w:val="20"/>
                    </w:rPr>
                  </w:pPr>
                </w:p>
                <w:p w14:paraId="408DAF52" w14:textId="77777777" w:rsidR="00AB37C7" w:rsidRPr="00022345" w:rsidRDefault="00AB37C7" w:rsidP="00C41A02">
                  <w:pPr>
                    <w:rPr>
                      <w:rFonts w:ascii="Arial" w:hAnsi="Arial"/>
                      <w:b/>
                      <w:sz w:val="20"/>
                      <w:szCs w:val="20"/>
                    </w:rPr>
                  </w:pPr>
                  <w:r w:rsidRPr="00022345">
                    <w:rPr>
                      <w:rFonts w:ascii="Arial" w:hAnsi="Arial"/>
                      <w:b/>
                      <w:sz w:val="20"/>
                      <w:szCs w:val="20"/>
                    </w:rPr>
                    <w:t>Final Mark</w:t>
                  </w:r>
                </w:p>
                <w:p w14:paraId="168BAEFD" w14:textId="77777777" w:rsidR="00AB37C7" w:rsidRPr="00116CE6" w:rsidRDefault="00AB37C7" w:rsidP="00C41A02">
                  <w:pPr>
                    <w:rPr>
                      <w:rFonts w:ascii="Arial" w:hAnsi="Arial"/>
                      <w:sz w:val="20"/>
                      <w:szCs w:val="20"/>
                    </w:rPr>
                  </w:pPr>
                </w:p>
              </w:tc>
              <w:tc>
                <w:tcPr>
                  <w:tcW w:w="1660" w:type="dxa"/>
                </w:tcPr>
                <w:p w14:paraId="07C4DD5B" w14:textId="77777777" w:rsidR="00AB37C7" w:rsidRPr="00116CE6" w:rsidRDefault="00AB37C7" w:rsidP="00C41A02">
                  <w:pPr>
                    <w:rPr>
                      <w:rFonts w:ascii="Arial" w:hAnsi="Arial"/>
                      <w:sz w:val="20"/>
                      <w:szCs w:val="20"/>
                    </w:rPr>
                  </w:pPr>
                </w:p>
              </w:tc>
            </w:tr>
          </w:tbl>
          <w:p w14:paraId="2FE0A010" w14:textId="77777777" w:rsidR="00AB37C7" w:rsidRDefault="00AB37C7" w:rsidP="00C41A02">
            <w:pPr>
              <w:pStyle w:val="NormalWeb"/>
              <w:spacing w:before="0" w:beforeAutospacing="0" w:after="0" w:afterAutospacing="0"/>
              <w:ind w:left="142" w:right="34"/>
              <w:rPr>
                <w:rFonts w:ascii="Arial" w:hAnsi="Arial" w:cs="Arial"/>
                <w:b/>
                <w:sz w:val="22"/>
                <w:szCs w:val="22"/>
              </w:rPr>
            </w:pPr>
          </w:p>
          <w:p w14:paraId="57695F80" w14:textId="77777777" w:rsidR="00AB37C7" w:rsidRPr="00230F35" w:rsidRDefault="00AB37C7" w:rsidP="00C41A0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819B9A" w14:textId="77777777" w:rsidR="00AB37C7" w:rsidRDefault="00AB37C7" w:rsidP="00C41A02">
            <w:pPr>
              <w:pStyle w:val="NormalWeb"/>
              <w:spacing w:before="0" w:beforeAutospacing="0" w:after="0" w:afterAutospacing="0"/>
              <w:rPr>
                <w:rFonts w:ascii="Arial" w:hAnsi="Arial" w:cs="Arial"/>
                <w:b/>
                <w:sz w:val="22"/>
                <w:szCs w:val="22"/>
              </w:rPr>
            </w:pPr>
          </w:p>
          <w:p w14:paraId="073B1E38" w14:textId="77777777" w:rsidR="00AB37C7" w:rsidRDefault="00AB37C7" w:rsidP="00C41A02">
            <w:pPr>
              <w:pStyle w:val="NormalWeb"/>
              <w:spacing w:before="0" w:beforeAutospacing="0" w:after="0" w:afterAutospacing="0"/>
              <w:rPr>
                <w:rFonts w:ascii="Arial" w:hAnsi="Arial" w:cs="Arial"/>
                <w:b/>
                <w:sz w:val="22"/>
                <w:szCs w:val="22"/>
              </w:rPr>
            </w:pPr>
          </w:p>
          <w:p w14:paraId="0202F176" w14:textId="77777777" w:rsidR="00AB37C7" w:rsidRDefault="00AB37C7" w:rsidP="00C41A02">
            <w:pPr>
              <w:pStyle w:val="NormalWeb"/>
              <w:spacing w:before="0" w:beforeAutospacing="0" w:after="0" w:afterAutospacing="0"/>
              <w:rPr>
                <w:rFonts w:ascii="Arial" w:hAnsi="Arial" w:cs="Arial"/>
                <w:b/>
                <w:sz w:val="22"/>
                <w:szCs w:val="22"/>
              </w:rPr>
            </w:pPr>
          </w:p>
          <w:p w14:paraId="45F5F3CD" w14:textId="77777777" w:rsidR="00AB37C7" w:rsidRDefault="00AB37C7" w:rsidP="00C41A02">
            <w:pPr>
              <w:pStyle w:val="NormalWeb"/>
              <w:spacing w:before="0" w:beforeAutospacing="0" w:after="0" w:afterAutospacing="0"/>
              <w:rPr>
                <w:rFonts w:ascii="Arial" w:hAnsi="Arial" w:cs="Arial"/>
                <w:b/>
                <w:sz w:val="22"/>
                <w:szCs w:val="22"/>
              </w:rPr>
            </w:pPr>
          </w:p>
          <w:p w14:paraId="0796DCF4" w14:textId="77777777" w:rsidR="00AB37C7" w:rsidRDefault="00AB37C7" w:rsidP="00C41A02">
            <w:pPr>
              <w:pStyle w:val="NormalWeb"/>
              <w:spacing w:before="0" w:beforeAutospacing="0" w:after="0" w:afterAutospacing="0"/>
              <w:rPr>
                <w:rFonts w:ascii="Arial" w:hAnsi="Arial" w:cs="Arial"/>
                <w:b/>
                <w:sz w:val="22"/>
                <w:szCs w:val="22"/>
              </w:rPr>
            </w:pPr>
          </w:p>
          <w:p w14:paraId="41A7246E" w14:textId="77777777" w:rsidR="00AB37C7" w:rsidRPr="00230F35" w:rsidRDefault="00AB37C7" w:rsidP="00C41A0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42D54BF" w14:textId="77777777" w:rsidR="00AB37C7" w:rsidRDefault="00AB37C7" w:rsidP="00C41A0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A18F37D" w14:textId="77777777" w:rsidR="00AB37C7" w:rsidRPr="00001C3B" w:rsidRDefault="00AB37C7" w:rsidP="00C41A02">
            <w:pPr>
              <w:pStyle w:val="NormalWeb"/>
              <w:rPr>
                <w:rFonts w:ascii="Arial" w:hAnsi="Arial" w:cs="Arial"/>
                <w:sz w:val="22"/>
                <w:szCs w:val="22"/>
              </w:rPr>
            </w:pPr>
          </w:p>
        </w:tc>
      </w:tr>
      <w:tr w:rsidR="00AB37C7" w:rsidRPr="00230F35" w14:paraId="53300314" w14:textId="77777777" w:rsidTr="00C41A02">
        <w:trPr>
          <w:trHeight w:val="492"/>
        </w:trPr>
        <w:tc>
          <w:tcPr>
            <w:tcW w:w="6768" w:type="dxa"/>
            <w:gridSpan w:val="3"/>
          </w:tcPr>
          <w:p w14:paraId="56EB6BA0" w14:textId="77777777" w:rsidR="00AB37C7" w:rsidRPr="00230F35" w:rsidRDefault="00AB37C7" w:rsidP="00C41A0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08CC360" w14:textId="77777777" w:rsidR="00AB37C7" w:rsidRPr="00230F35" w:rsidRDefault="00AB37C7" w:rsidP="00C41A02">
            <w:pPr>
              <w:pStyle w:val="NormalWeb"/>
              <w:spacing w:after="0"/>
              <w:ind w:left="142" w:right="34"/>
              <w:rPr>
                <w:rFonts w:ascii="Arial" w:hAnsi="Arial" w:cs="Arial"/>
                <w:sz w:val="22"/>
                <w:szCs w:val="22"/>
              </w:rPr>
            </w:pPr>
            <w:r w:rsidRPr="00230F35">
              <w:rPr>
                <w:rFonts w:ascii="Arial" w:hAnsi="Arial" w:cs="Arial"/>
                <w:sz w:val="22"/>
                <w:szCs w:val="22"/>
              </w:rPr>
              <w:t>Date:</w:t>
            </w:r>
          </w:p>
        </w:tc>
      </w:tr>
      <w:tr w:rsidR="00AB37C7" w:rsidRPr="002F467C" w14:paraId="56EEB0B6" w14:textId="77777777" w:rsidTr="00C41A02">
        <w:tc>
          <w:tcPr>
            <w:tcW w:w="8856" w:type="dxa"/>
            <w:gridSpan w:val="5"/>
          </w:tcPr>
          <w:p w14:paraId="73F301DC" w14:textId="77777777" w:rsidR="00AB37C7" w:rsidRPr="00230F35" w:rsidRDefault="00AB37C7" w:rsidP="00C41A02">
            <w:pPr>
              <w:pStyle w:val="NormalWeb"/>
              <w:spacing w:before="0" w:beforeAutospacing="0" w:after="0" w:afterAutospacing="0"/>
              <w:ind w:right="-334"/>
              <w:rPr>
                <w:rFonts w:ascii="Arial" w:hAnsi="Arial" w:cs="Arial"/>
                <w:bCs/>
                <w:i/>
                <w:sz w:val="22"/>
                <w:szCs w:val="22"/>
              </w:rPr>
            </w:pPr>
          </w:p>
          <w:p w14:paraId="4C9B4ED4" w14:textId="77777777" w:rsidR="00AB37C7" w:rsidRPr="00230F35" w:rsidRDefault="00AB37C7" w:rsidP="00C41A0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2C093B" w14:textId="77777777" w:rsidR="00AB37C7" w:rsidRPr="00230F35" w:rsidRDefault="00AB37C7" w:rsidP="00C41A02">
            <w:pPr>
              <w:pStyle w:val="NormalWeb"/>
              <w:spacing w:before="0" w:beforeAutospacing="0" w:after="0" w:afterAutospacing="0"/>
              <w:ind w:right="-334"/>
              <w:rPr>
                <w:rFonts w:ascii="Arial" w:hAnsi="Arial" w:cs="Arial"/>
                <w:b/>
                <w:bCs/>
                <w:sz w:val="22"/>
                <w:szCs w:val="22"/>
              </w:rPr>
            </w:pPr>
          </w:p>
          <w:p w14:paraId="1D6B240E"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252FE3C"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4F012C6"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790CFAA3"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01F82EB6"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2924BA62"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010F1946"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B494A7A"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05BAFF12"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71D7FED2" w14:textId="77777777" w:rsidR="00AB37C7" w:rsidRDefault="00AB37C7" w:rsidP="00C41A02">
            <w:pPr>
              <w:pStyle w:val="NormalWeb"/>
              <w:spacing w:before="0" w:beforeAutospacing="0" w:after="0" w:afterAutospacing="0"/>
              <w:ind w:right="-334"/>
              <w:rPr>
                <w:rFonts w:ascii="Arial" w:hAnsi="Arial" w:cs="Arial"/>
                <w:bCs/>
                <w:sz w:val="22"/>
                <w:szCs w:val="22"/>
              </w:rPr>
            </w:pPr>
          </w:p>
          <w:p w14:paraId="0657C1B8"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6FAF5408"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437ACD8"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tc>
      </w:tr>
      <w:tr w:rsidR="00AB37C7" w:rsidRPr="002F467C" w14:paraId="38826F69" w14:textId="77777777" w:rsidTr="00C41A02">
        <w:trPr>
          <w:trHeight w:val="720"/>
        </w:trPr>
        <w:tc>
          <w:tcPr>
            <w:tcW w:w="5211" w:type="dxa"/>
            <w:gridSpan w:val="2"/>
          </w:tcPr>
          <w:p w14:paraId="1DFE1295"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71B9726"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B37C7" w:rsidRPr="002F467C" w14:paraId="0A74E819" w14:textId="77777777" w:rsidTr="00C41A02">
        <w:trPr>
          <w:trHeight w:val="720"/>
        </w:trPr>
        <w:tc>
          <w:tcPr>
            <w:tcW w:w="8856" w:type="dxa"/>
            <w:gridSpan w:val="5"/>
          </w:tcPr>
          <w:p w14:paraId="7EF8EA7B" w14:textId="77777777" w:rsidR="00AB37C7" w:rsidRPr="00B34964" w:rsidRDefault="00AB37C7" w:rsidP="00C41A02">
            <w:pPr>
              <w:rPr>
                <w:rFonts w:ascii="Arial" w:hAnsi="Arial" w:cs="Arial"/>
                <w:b/>
              </w:rPr>
            </w:pPr>
            <w:r w:rsidRPr="00B34964">
              <w:rPr>
                <w:rFonts w:ascii="Arial" w:hAnsi="Arial" w:cs="Arial"/>
                <w:b/>
              </w:rPr>
              <w:t>External Examiner’s comments (if relevant)</w:t>
            </w:r>
          </w:p>
          <w:p w14:paraId="2E485AA2"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28C9CCB3"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60BEAC51"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0DE58F99"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AC290D6"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553B3AAE"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5C47165A"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2E315F2D"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71D0B14" w14:textId="77777777" w:rsidR="00AB37C7" w:rsidRDefault="00AB37C7" w:rsidP="00C41A02">
            <w:pPr>
              <w:pStyle w:val="NormalWeb"/>
              <w:spacing w:before="0" w:beforeAutospacing="0" w:after="0" w:afterAutospacing="0"/>
              <w:ind w:right="-334"/>
              <w:rPr>
                <w:rFonts w:ascii="Arial" w:hAnsi="Arial" w:cs="Arial"/>
                <w:bCs/>
                <w:sz w:val="22"/>
                <w:szCs w:val="22"/>
              </w:rPr>
            </w:pPr>
          </w:p>
          <w:p w14:paraId="703ECDE9"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p w14:paraId="346E6712" w14:textId="77777777" w:rsidR="00AB37C7" w:rsidRPr="00230F35" w:rsidRDefault="00AB37C7" w:rsidP="00C41A02">
            <w:pPr>
              <w:pStyle w:val="NormalWeb"/>
              <w:spacing w:before="0" w:beforeAutospacing="0" w:after="0" w:afterAutospacing="0"/>
              <w:ind w:right="-334"/>
              <w:rPr>
                <w:rFonts w:ascii="Arial" w:hAnsi="Arial" w:cs="Arial"/>
                <w:bCs/>
                <w:sz w:val="22"/>
                <w:szCs w:val="22"/>
              </w:rPr>
            </w:pPr>
          </w:p>
        </w:tc>
      </w:tr>
      <w:tr w:rsidR="00AB37C7" w:rsidRPr="002F467C" w14:paraId="3BDCEF22" w14:textId="77777777" w:rsidTr="00C41A02">
        <w:trPr>
          <w:trHeight w:val="720"/>
        </w:trPr>
        <w:tc>
          <w:tcPr>
            <w:tcW w:w="5211" w:type="dxa"/>
            <w:gridSpan w:val="2"/>
          </w:tcPr>
          <w:p w14:paraId="41F8B04B" w14:textId="77777777" w:rsidR="00AB37C7" w:rsidRPr="00230F35" w:rsidRDefault="00AB37C7" w:rsidP="00C41A02">
            <w:pPr>
              <w:rPr>
                <w:rFonts w:ascii="Arial" w:hAnsi="Arial" w:cs="Arial"/>
              </w:rPr>
            </w:pPr>
            <w:r w:rsidRPr="00230F35">
              <w:rPr>
                <w:rFonts w:ascii="Arial" w:hAnsi="Arial" w:cs="Arial"/>
              </w:rPr>
              <w:lastRenderedPageBreak/>
              <w:t>External Examiner’s Signature:</w:t>
            </w:r>
          </w:p>
        </w:tc>
        <w:tc>
          <w:tcPr>
            <w:tcW w:w="3645" w:type="dxa"/>
            <w:gridSpan w:val="3"/>
          </w:tcPr>
          <w:p w14:paraId="7C900356" w14:textId="77777777" w:rsidR="00AB37C7" w:rsidRPr="00230F35" w:rsidRDefault="00AB37C7" w:rsidP="00C41A02">
            <w:pPr>
              <w:rPr>
                <w:rFonts w:ascii="Arial" w:hAnsi="Arial" w:cs="Arial"/>
              </w:rPr>
            </w:pPr>
            <w:r w:rsidRPr="00230F35">
              <w:rPr>
                <w:rFonts w:ascii="Arial" w:hAnsi="Arial" w:cs="Arial"/>
              </w:rPr>
              <w:t>Date:</w:t>
            </w:r>
          </w:p>
        </w:tc>
      </w:tr>
    </w:tbl>
    <w:p w14:paraId="25CEAC9E" w14:textId="77777777" w:rsidR="00AB37C7" w:rsidRDefault="00AB37C7" w:rsidP="00AB37C7"/>
    <w:p w14:paraId="04C0E4E5" w14:textId="77777777" w:rsidR="00AB37C7" w:rsidRDefault="00AB37C7" w:rsidP="00AB37C7"/>
    <w:p w14:paraId="01E0107F" w14:textId="48C7CDBE" w:rsidR="00F70423" w:rsidRDefault="00895D74"/>
    <w:p w14:paraId="342CDDC5" w14:textId="3844B00D" w:rsidR="00AB37C7" w:rsidRDefault="00AB37C7"/>
    <w:p w14:paraId="3E22A243" w14:textId="51B7BF61" w:rsidR="00AB37C7" w:rsidRDefault="00AB37C7"/>
    <w:p w14:paraId="1135BA51" w14:textId="5539733E" w:rsidR="00AB37C7" w:rsidRDefault="00AB37C7"/>
    <w:p w14:paraId="1806E5BF" w14:textId="5BA88A28" w:rsidR="00AB37C7" w:rsidRDefault="00AB37C7"/>
    <w:p w14:paraId="6BC8FC17" w14:textId="187BFD36" w:rsidR="00AB37C7" w:rsidRDefault="00AB37C7"/>
    <w:p w14:paraId="67ADC806" w14:textId="10DF6BFE" w:rsidR="00AB37C7" w:rsidRDefault="00AB37C7"/>
    <w:p w14:paraId="663EB2A2" w14:textId="0E57D602" w:rsidR="00AB37C7" w:rsidRDefault="00AB37C7"/>
    <w:p w14:paraId="5AB9C671" w14:textId="23FED457" w:rsidR="00AB37C7" w:rsidRDefault="00AB37C7"/>
    <w:p w14:paraId="0224C7AE" w14:textId="580D08EB" w:rsidR="00AB37C7" w:rsidRDefault="00AB37C7"/>
    <w:p w14:paraId="071C0DBF" w14:textId="5A4811DB" w:rsidR="00AB37C7" w:rsidRDefault="00AB37C7"/>
    <w:p w14:paraId="19E1E49D" w14:textId="0A0C1DA6" w:rsidR="00AB37C7" w:rsidRDefault="00AB37C7"/>
    <w:p w14:paraId="0DDA2F24" w14:textId="064F36A6" w:rsidR="00AB37C7" w:rsidRDefault="00AB37C7"/>
    <w:p w14:paraId="27F0251F" w14:textId="42CCCD2F" w:rsidR="00AB37C7" w:rsidRDefault="00AB37C7"/>
    <w:p w14:paraId="45E86362" w14:textId="7F39823C" w:rsidR="00AB37C7" w:rsidRDefault="00AB37C7"/>
    <w:p w14:paraId="5C463D9E" w14:textId="0DB6C020" w:rsidR="00AB37C7" w:rsidRDefault="00AB37C7"/>
    <w:p w14:paraId="36F54A6A" w14:textId="7B34A696" w:rsidR="00AB37C7" w:rsidRDefault="00AB37C7"/>
    <w:p w14:paraId="2DE7BFC8" w14:textId="2EB515BA" w:rsidR="00AB37C7" w:rsidRDefault="00AB37C7"/>
    <w:p w14:paraId="740F51A4" w14:textId="0ABBEEF3" w:rsidR="00AB37C7" w:rsidRDefault="00AB37C7"/>
    <w:p w14:paraId="66CAA92E" w14:textId="07C93FCD" w:rsidR="00AB37C7" w:rsidRDefault="00AB37C7"/>
    <w:p w14:paraId="4EA15923" w14:textId="1EE5805D" w:rsidR="00AB37C7" w:rsidRDefault="00AB37C7"/>
    <w:p w14:paraId="657A31CC" w14:textId="1BD539ED" w:rsidR="00AB37C7" w:rsidRDefault="00AB37C7"/>
    <w:p w14:paraId="5E1BF244" w14:textId="712A0B3E" w:rsidR="00AB37C7" w:rsidRDefault="00AB37C7"/>
    <w:p w14:paraId="74FE42FB" w14:textId="595C81F5" w:rsidR="00AB37C7" w:rsidRDefault="00AB37C7"/>
    <w:p w14:paraId="4CF267B3" w14:textId="0A8113C0" w:rsidR="00AB37C7" w:rsidRDefault="00AB37C7"/>
    <w:p w14:paraId="14DF5870" w14:textId="57507031" w:rsidR="00AB37C7" w:rsidRDefault="00AB37C7"/>
    <w:p w14:paraId="43ECE7C9" w14:textId="7284D7A4" w:rsidR="00AB37C7" w:rsidRDefault="00AB37C7"/>
    <w:p w14:paraId="6D51B5AC" w14:textId="72B37481" w:rsidR="00AB37C7" w:rsidRDefault="00AB37C7"/>
    <w:p w14:paraId="69895DCA" w14:textId="55E001FF" w:rsidR="00AB37C7" w:rsidRDefault="00AB37C7"/>
    <w:p w14:paraId="0DB977E5" w14:textId="1F394105" w:rsidR="00AB37C7" w:rsidRDefault="00AB37C7"/>
    <w:p w14:paraId="72801276" w14:textId="36513B2B" w:rsidR="00AB37C7" w:rsidRDefault="00AB37C7"/>
    <w:p w14:paraId="6557B5AA" w14:textId="70E11AD0" w:rsidR="00AB37C7" w:rsidRDefault="00AB37C7"/>
    <w:p w14:paraId="06CE9886" w14:textId="3EBE0301" w:rsidR="00AB37C7" w:rsidRDefault="00AB37C7"/>
    <w:p w14:paraId="1A860B4B" w14:textId="236BEC21" w:rsidR="00AB37C7" w:rsidRDefault="00AB37C7"/>
    <w:p w14:paraId="7E4E6415" w14:textId="20627F61" w:rsidR="00AB37C7" w:rsidRDefault="00AB37C7"/>
    <w:p w14:paraId="7DBD688D" w14:textId="6660F1E4" w:rsidR="00AB37C7" w:rsidRDefault="00AB37C7"/>
    <w:p w14:paraId="302C9DA8" w14:textId="3AA90A1A" w:rsidR="00AB37C7" w:rsidRDefault="00AB37C7"/>
    <w:p w14:paraId="01F559A5" w14:textId="3C7CCC62" w:rsidR="00AB37C7" w:rsidRDefault="00AB37C7"/>
    <w:p w14:paraId="1AB9A359" w14:textId="5EBC4C58" w:rsidR="00AB37C7" w:rsidRDefault="00AB37C7"/>
    <w:p w14:paraId="78C9C2F4" w14:textId="6F48F590" w:rsidR="00AB37C7" w:rsidRDefault="00AB37C7"/>
    <w:p w14:paraId="5D0176F1" w14:textId="1C3CEF78" w:rsidR="00AB37C7" w:rsidRDefault="00AB37C7"/>
    <w:p w14:paraId="15629172" w14:textId="77777777" w:rsidR="0011623F" w:rsidRPr="006C37D1" w:rsidRDefault="0011623F" w:rsidP="0011623F">
      <w:pPr>
        <w:jc w:val="center"/>
        <w:rPr>
          <w:rFonts w:ascii="Century Gothic" w:hAnsi="Century Gothic" w:cs="Arial"/>
          <w:b/>
          <w:bCs/>
          <w:sz w:val="28"/>
          <w:szCs w:val="28"/>
        </w:rPr>
      </w:pPr>
      <w:r w:rsidRPr="006C37D1">
        <w:rPr>
          <w:rFonts w:ascii="Century Gothic" w:hAnsi="Century Gothic" w:cs="Arial"/>
          <w:b/>
          <w:bCs/>
          <w:sz w:val="28"/>
          <w:szCs w:val="28"/>
        </w:rPr>
        <w:lastRenderedPageBreak/>
        <w:t>Examine the Personal Cosmologies of Participants in Tibetan Singing Bowl Therapy in Bristol</w:t>
      </w:r>
    </w:p>
    <w:p w14:paraId="68BB81FE" w14:textId="6EA9F1BC" w:rsidR="00AB37C7" w:rsidRDefault="00AB37C7"/>
    <w:p w14:paraId="08ABA8CB" w14:textId="77777777" w:rsidR="002A56B1" w:rsidRDefault="002A56B1"/>
    <w:p w14:paraId="62058107" w14:textId="2DDE7AAD" w:rsidR="0011623F" w:rsidRPr="006C7393" w:rsidRDefault="0011623F" w:rsidP="0011623F">
      <w:pPr>
        <w:jc w:val="both"/>
      </w:pPr>
      <w:r w:rsidRPr="002A56B1">
        <w:t xml:space="preserve">Recently, the </w:t>
      </w:r>
      <w:r w:rsidR="00834C8E">
        <w:t xml:space="preserve">secular </w:t>
      </w:r>
      <w:r w:rsidRPr="002A56B1">
        <w:t xml:space="preserve">use of Tibetan singing bowls by </w:t>
      </w:r>
      <w:r w:rsidR="00FD4910">
        <w:t xml:space="preserve">public </w:t>
      </w:r>
      <w:r w:rsidRPr="002A56B1">
        <w:t>schools and health workers for well-being and education</w:t>
      </w:r>
      <w:r w:rsidRPr="002A56B1">
        <w:t xml:space="preserve"> has increased</w:t>
      </w:r>
      <w:r w:rsidRPr="002A56B1">
        <w:t>.</w:t>
      </w:r>
      <w:r w:rsidRPr="002A56B1">
        <w:rPr>
          <w:rStyle w:val="FootnoteReference"/>
        </w:rPr>
        <w:footnoteReference w:id="1"/>
      </w:r>
      <w:r w:rsidRPr="002A56B1">
        <w:t xml:space="preserve"> Studies on the effects of the singing bowls show </w:t>
      </w:r>
      <w:r w:rsidR="007A2ADB" w:rsidRPr="002A56B1">
        <w:t>many</w:t>
      </w:r>
      <w:r w:rsidRPr="002A56B1">
        <w:t xml:space="preserve"> </w:t>
      </w:r>
      <w:r w:rsidR="00753064" w:rsidRPr="002A56B1">
        <w:t xml:space="preserve">physiological and psychological </w:t>
      </w:r>
      <w:r w:rsidRPr="002A56B1">
        <w:t>benefits.</w:t>
      </w:r>
      <w:r w:rsidRPr="002A56B1">
        <w:rPr>
          <w:rStyle w:val="FootnoteReference"/>
        </w:rPr>
        <w:footnoteReference w:id="2"/>
      </w:r>
      <w:r w:rsidRPr="002A56B1">
        <w:t xml:space="preserve"> Singing bowls are of unknown origin, but have </w:t>
      </w:r>
      <w:r w:rsidR="007A2ADB" w:rsidRPr="002A56B1">
        <w:t xml:space="preserve">long </w:t>
      </w:r>
      <w:r w:rsidRPr="002A56B1">
        <w:t xml:space="preserve">been associated with Tibetan Buddhism and Hinduism </w:t>
      </w:r>
      <w:r w:rsidRPr="002A56B1">
        <w:t xml:space="preserve">as </w:t>
      </w:r>
      <w:r w:rsidRPr="002A56B1">
        <w:t xml:space="preserve">spiritual and healing </w:t>
      </w:r>
      <w:r w:rsidRPr="002A56B1">
        <w:t>tools</w:t>
      </w:r>
      <w:r w:rsidRPr="002A56B1">
        <w:t>.</w:t>
      </w:r>
      <w:r w:rsidRPr="002A56B1">
        <w:rPr>
          <w:rStyle w:val="FootnoteReference"/>
        </w:rPr>
        <w:footnoteReference w:id="3"/>
      </w:r>
      <w:r w:rsidRPr="002A56B1">
        <w:t xml:space="preserve"> A literature review on </w:t>
      </w:r>
      <w:r w:rsidR="00427E29" w:rsidRPr="002A56B1">
        <w:t xml:space="preserve">the </w:t>
      </w:r>
      <w:r w:rsidRPr="002A56B1">
        <w:t xml:space="preserve">singing bowl’s past </w:t>
      </w:r>
      <w:r w:rsidR="00856890">
        <w:t>present</w:t>
      </w:r>
      <w:r w:rsidRPr="002A56B1">
        <w:t xml:space="preserve">s a complicated and mystified narrative. </w:t>
      </w:r>
      <w:r w:rsidRPr="002A56B1">
        <w:t>For further clarification</w:t>
      </w:r>
      <w:r w:rsidRPr="002A56B1">
        <w:t xml:space="preserve">, a written interview was conducted with </w:t>
      </w:r>
      <w:r w:rsidR="00753064" w:rsidRPr="002A56B1">
        <w:t xml:space="preserve">Tibetan </w:t>
      </w:r>
      <w:r w:rsidRPr="002A56B1">
        <w:t>researcher Tenzin Pasang. Since little ethnographic work exists on people’s understanding, attitude towards</w:t>
      </w:r>
      <w:r w:rsidR="00427E29" w:rsidRPr="002A56B1">
        <w:t>,</w:t>
      </w:r>
      <w:r w:rsidRPr="002A56B1">
        <w:t xml:space="preserve"> and experience</w:t>
      </w:r>
      <w:r w:rsidR="00427E29" w:rsidRPr="002A56B1">
        <w:t>s</w:t>
      </w:r>
      <w:r w:rsidRPr="002A56B1">
        <w:t xml:space="preserve"> of the singing bowl</w:t>
      </w:r>
      <w:r w:rsidR="00427E29" w:rsidRPr="002A56B1">
        <w:t>s</w:t>
      </w:r>
      <w:r w:rsidRPr="002A56B1">
        <w:t xml:space="preserve">, this study </w:t>
      </w:r>
      <w:r w:rsidR="00427E29" w:rsidRPr="002A56B1">
        <w:t>aim</w:t>
      </w:r>
      <w:r w:rsidRPr="002A56B1">
        <w:t>s to capture these perspectives</w:t>
      </w:r>
      <w:r w:rsidR="006C7393" w:rsidRPr="002A56B1">
        <w:t xml:space="preserve"> in relation to religion</w:t>
      </w:r>
      <w:r w:rsidRPr="002A56B1">
        <w:t xml:space="preserve">. It uses a mixed quantitative and qualitative approach, analysing survey and interview data </w:t>
      </w:r>
      <w:r w:rsidR="00427E29" w:rsidRPr="002A56B1">
        <w:t>from</w:t>
      </w:r>
      <w:r w:rsidRPr="002A56B1">
        <w:t xml:space="preserve"> singing bowl participants </w:t>
      </w:r>
      <w:r w:rsidR="00427E29" w:rsidRPr="002A56B1">
        <w:t>in</w:t>
      </w:r>
      <w:r w:rsidRPr="002A56B1">
        <w:t xml:space="preserve"> Bristol, UK.</w:t>
      </w:r>
      <w:r w:rsidR="00753064" w:rsidRPr="002A56B1">
        <w:t xml:space="preserve"> </w:t>
      </w:r>
      <w:r w:rsidR="00427E29" w:rsidRPr="002A56B1">
        <w:t xml:space="preserve">It </w:t>
      </w:r>
      <w:r w:rsidR="006C7393" w:rsidRPr="002A56B1">
        <w:t xml:space="preserve">aims to </w:t>
      </w:r>
      <w:r w:rsidRPr="002A56B1">
        <w:t>understand if the popularity of singing bowl</w:t>
      </w:r>
      <w:r w:rsidR="002A56B1" w:rsidRPr="002A56B1">
        <w:t>s</w:t>
      </w:r>
      <w:r w:rsidRPr="002A56B1">
        <w:t xml:space="preserve"> signifies a rapid secularisation of spiritual practices in contemporary Engl</w:t>
      </w:r>
      <w:r w:rsidR="002A56B1" w:rsidRPr="002A56B1">
        <w:t>and</w:t>
      </w:r>
      <w:r w:rsidRPr="002A56B1">
        <w:t xml:space="preserve">, or a rise </w:t>
      </w:r>
      <w:r w:rsidR="00834C8E">
        <w:t>in</w:t>
      </w:r>
      <w:r w:rsidRPr="002A56B1">
        <w:t xml:space="preserve"> spirituality.</w:t>
      </w:r>
      <w:r w:rsidRPr="006C7393">
        <w:t xml:space="preserve">   </w:t>
      </w:r>
    </w:p>
    <w:p w14:paraId="7D4AF236" w14:textId="3F3AFFDF" w:rsidR="00427E29" w:rsidRDefault="00427E29"/>
    <w:p w14:paraId="1C5C9953" w14:textId="3E9309A7" w:rsidR="00427E29" w:rsidRDefault="00427E29" w:rsidP="00427E29">
      <w:pPr>
        <w:jc w:val="both"/>
        <w:rPr>
          <w:rFonts w:ascii="Century Gothic" w:hAnsi="Century Gothic"/>
        </w:rPr>
      </w:pPr>
    </w:p>
    <w:p w14:paraId="29E62249" w14:textId="77777777" w:rsidR="00427E29" w:rsidRPr="005F6753" w:rsidRDefault="00427E29" w:rsidP="00427E29">
      <w:pPr>
        <w:jc w:val="both"/>
        <w:rPr>
          <w:rFonts w:ascii="Century Gothic" w:hAnsi="Century Gothic"/>
        </w:rPr>
      </w:pPr>
    </w:p>
    <w:p w14:paraId="2772B9C1" w14:textId="77777777" w:rsidR="00427E29" w:rsidRPr="00E168B9" w:rsidRDefault="00427E29" w:rsidP="00427E29">
      <w:pPr>
        <w:jc w:val="both"/>
        <w:rPr>
          <w:rFonts w:ascii="Century Gothic" w:hAnsi="Century Gothic"/>
          <w:b/>
          <w:bCs/>
        </w:rPr>
      </w:pPr>
      <w:r w:rsidRPr="00E168B9">
        <w:rPr>
          <w:rFonts w:ascii="Century Gothic" w:hAnsi="Century Gothic"/>
          <w:b/>
          <w:bCs/>
        </w:rPr>
        <w:t>Tibetan Singing Bowls</w:t>
      </w:r>
    </w:p>
    <w:p w14:paraId="774CE838" w14:textId="77777777" w:rsidR="00427E29" w:rsidRDefault="00427E29" w:rsidP="00427E29">
      <w:pPr>
        <w:jc w:val="both"/>
      </w:pPr>
    </w:p>
    <w:p w14:paraId="5576EA66" w14:textId="6ED07E3B" w:rsidR="00427E29" w:rsidRDefault="00427E29" w:rsidP="00427E29">
      <w:pPr>
        <w:rPr>
          <w:rFonts w:ascii="Century Gothic" w:hAnsi="Century Gothic"/>
        </w:rPr>
      </w:pPr>
      <w:r w:rsidRPr="006E7329">
        <w:rPr>
          <w:rFonts w:ascii="Century Gothic" w:hAnsi="Century Gothic"/>
        </w:rPr>
        <w:t>Present day and the Science</w:t>
      </w:r>
    </w:p>
    <w:p w14:paraId="4F879684" w14:textId="1FA6342D" w:rsidR="00427E29" w:rsidRDefault="00427E29" w:rsidP="00427E29">
      <w:pPr>
        <w:rPr>
          <w:rFonts w:ascii="Century Gothic" w:hAnsi="Century Gothic"/>
        </w:rPr>
      </w:pPr>
    </w:p>
    <w:p w14:paraId="2F01E486" w14:textId="01E9AFE3" w:rsidR="00427E29" w:rsidRDefault="00427E29" w:rsidP="00427E29">
      <w:pPr>
        <w:jc w:val="both"/>
      </w:pPr>
      <w:r>
        <w:t xml:space="preserve">Tibetan singing bowl, also known as Himalayan singing bowl, is an alloy made in </w:t>
      </w:r>
      <w:r w:rsidR="002E335E">
        <w:t>the</w:t>
      </w:r>
      <w:r>
        <w:t xml:space="preserve"> shape of a bowl, which produces </w:t>
      </w:r>
      <w:r w:rsidR="002E335E">
        <w:t xml:space="preserve">an </w:t>
      </w:r>
      <w:r>
        <w:t>unique sound via a mallet, a striker or a hand, and is commonly found in the Himalayan regions.</w:t>
      </w:r>
      <w:r>
        <w:rPr>
          <w:rStyle w:val="FootnoteReference"/>
        </w:rPr>
        <w:footnoteReference w:id="4"/>
      </w:r>
      <w:r>
        <w:t xml:space="preserve"> It varies in shapes and sizes, and is</w:t>
      </w:r>
      <w:r w:rsidRPr="008B3864">
        <w:t xml:space="preserve"> </w:t>
      </w:r>
      <w:r>
        <w:t>frequent</w:t>
      </w:r>
      <w:r w:rsidRPr="008B3864">
        <w:t>ly used nowadays for meditation, yoga, music, and sound therapy</w:t>
      </w:r>
      <w:r>
        <w:t>.</w:t>
      </w:r>
      <w:r>
        <w:rPr>
          <w:rStyle w:val="FootnoteReference"/>
        </w:rPr>
        <w:footnoteReference w:id="5"/>
      </w:r>
      <w:r>
        <w:t xml:space="preserve"> </w:t>
      </w:r>
      <w:r w:rsidR="002A56B1">
        <w:t>Theory</w:t>
      </w:r>
      <w:r>
        <w:t xml:space="preserve"> suggests i</w:t>
      </w:r>
      <w:r w:rsidRPr="00F31868">
        <w:t>ts popularity</w:t>
      </w:r>
      <w:r>
        <w:t xml:space="preserve"> in the West</w:t>
      </w:r>
      <w:r w:rsidRPr="00F31868">
        <w:t xml:space="preserve"> r</w:t>
      </w:r>
      <w:r w:rsidR="002A56B1">
        <w:t>ose</w:t>
      </w:r>
      <w:r w:rsidRPr="00F31868">
        <w:t xml:space="preserve"> </w:t>
      </w:r>
      <w:r>
        <w:t xml:space="preserve">in </w:t>
      </w:r>
      <w:r w:rsidRPr="00F31868">
        <w:t xml:space="preserve">the </w:t>
      </w:r>
      <w:r>
        <w:t>7</w:t>
      </w:r>
      <w:r w:rsidRPr="00F31868">
        <w:t xml:space="preserve">0s following the counterculture </w:t>
      </w:r>
      <w:r>
        <w:t>and Nancy Hennings</w:t>
      </w:r>
      <w:r w:rsidR="002A56B1">
        <w:t>’</w:t>
      </w:r>
      <w:r w:rsidR="002A56B1" w:rsidRPr="002A56B1">
        <w:t xml:space="preserve"> </w:t>
      </w:r>
      <w:r w:rsidR="002A56B1">
        <w:t>music album</w:t>
      </w:r>
      <w:r>
        <w:t xml:space="preserve">, titled </w:t>
      </w:r>
      <w:r w:rsidRPr="00305F2D">
        <w:rPr>
          <w:i/>
          <w:iCs/>
        </w:rPr>
        <w:t>Tibetan Bells</w:t>
      </w:r>
      <w:r>
        <w:t>.</w:t>
      </w:r>
      <w:r>
        <w:rPr>
          <w:rStyle w:val="FootnoteReference"/>
        </w:rPr>
        <w:footnoteReference w:id="6"/>
      </w:r>
      <w:r>
        <w:t xml:space="preserve"> The bowls are traditionally hand-made, although mass-produced machine bowls of aluminium, steel and brass can also be found on the market.</w:t>
      </w:r>
      <w:r>
        <w:rPr>
          <w:rStyle w:val="FootnoteReference"/>
        </w:rPr>
        <w:footnoteReference w:id="7"/>
      </w:r>
      <w:r>
        <w:t xml:space="preserve"> </w:t>
      </w:r>
    </w:p>
    <w:p w14:paraId="3D218E91" w14:textId="32C59BBF" w:rsidR="00427E29" w:rsidRPr="00AB255D" w:rsidRDefault="0091044B" w:rsidP="00427E29">
      <w:pPr>
        <w:jc w:val="both"/>
      </w:pPr>
      <w:r>
        <w:lastRenderedPageBreak/>
        <w:t>There are e</w:t>
      </w:r>
      <w:r w:rsidR="00427E29" w:rsidRPr="00721F88">
        <w:t xml:space="preserve">xtensive research on the physics of the bowls to analyse </w:t>
      </w:r>
      <w:r w:rsidR="002E335E">
        <w:t>their</w:t>
      </w:r>
      <w:r w:rsidR="00427E29" w:rsidRPr="00721F88">
        <w:t xml:space="preserve"> acoustic qualities</w:t>
      </w:r>
      <w:r>
        <w:t xml:space="preserve"> to demonstrate their effects on</w:t>
      </w:r>
      <w:r w:rsidR="00427E29" w:rsidRPr="007C1B4E">
        <w:t xml:space="preserve"> the vibrations of the human body, including the brain.</w:t>
      </w:r>
      <w:r w:rsidR="00427E29" w:rsidRPr="007C1B4E">
        <w:rPr>
          <w:rStyle w:val="FootnoteReference"/>
        </w:rPr>
        <w:footnoteReference w:id="8"/>
      </w:r>
      <w:r w:rsidR="00427E29" w:rsidRPr="007C1B4E">
        <w:t xml:space="preserve"> Medical and psychological studies</w:t>
      </w:r>
      <w:r w:rsidR="00427E29">
        <w:t xml:space="preserve"> on singing bowls</w:t>
      </w:r>
      <w:r w:rsidR="00427E29" w:rsidRPr="007C1B4E">
        <w:t xml:space="preserve"> show</w:t>
      </w:r>
      <w:r w:rsidR="00427E29">
        <w:t xml:space="preserve"> a wide range of</w:t>
      </w:r>
      <w:r w:rsidR="00427E29" w:rsidRPr="007C1B4E">
        <w:t xml:space="preserve"> benefits</w:t>
      </w:r>
      <w:r w:rsidR="00427E29">
        <w:t xml:space="preserve">, including </w:t>
      </w:r>
      <w:r w:rsidR="00427E29" w:rsidRPr="007C1B4E">
        <w:t xml:space="preserve">reducing blood pressure and heart rate, </w:t>
      </w:r>
      <w:r w:rsidR="00427E29">
        <w:t>improving quality of sleep</w:t>
      </w:r>
      <w:r w:rsidR="00B82011">
        <w:t xml:space="preserve">, </w:t>
      </w:r>
      <w:r w:rsidR="00427E29">
        <w:t xml:space="preserve">cognitive function, </w:t>
      </w:r>
      <w:r w:rsidR="00B82011">
        <w:t>and</w:t>
      </w:r>
      <w:r w:rsidR="00427E29" w:rsidRPr="007C1B4E">
        <w:t xml:space="preserve"> emotional and spiritual well-being.</w:t>
      </w:r>
      <w:r w:rsidR="00427E29" w:rsidRPr="007C1B4E">
        <w:rPr>
          <w:rStyle w:val="FootnoteReference"/>
        </w:rPr>
        <w:footnoteReference w:id="9"/>
      </w:r>
      <w:r w:rsidR="00427E29">
        <w:t xml:space="preserve"> Tamara Goldsby and others summarise four established scientific hypotheses regarding how these benefits are achieved, including brainwave alteration, binaural beat, interaction with the </w:t>
      </w:r>
      <w:r w:rsidR="00427E29" w:rsidRPr="00666482">
        <w:t xml:space="preserve">biofield </w:t>
      </w:r>
      <w:r w:rsidR="00427E29">
        <w:t xml:space="preserve">of the human body, </w:t>
      </w:r>
      <w:r w:rsidR="00427E29" w:rsidRPr="00666482">
        <w:t>and vagus nerve activation.</w:t>
      </w:r>
      <w:r w:rsidR="00427E29" w:rsidRPr="00666482">
        <w:rPr>
          <w:rStyle w:val="FootnoteReference"/>
        </w:rPr>
        <w:footnoteReference w:id="10"/>
      </w:r>
      <w:r w:rsidR="00427E29">
        <w:t xml:space="preserve"> The first two theories are widely adopted by singing bowl practitioners, who believe that singing bowls can either slow down the brainwaves from Beta to Theta or Delta states to arrive at relaxation and a state of meditation, or to produce </w:t>
      </w:r>
      <w:r w:rsidR="00FE46DB">
        <w:t>Theta</w:t>
      </w:r>
      <w:r w:rsidR="00FE46DB">
        <w:t xml:space="preserve">-like </w:t>
      </w:r>
      <w:r w:rsidR="00427E29">
        <w:t>binaural beats of 5 Hz.</w:t>
      </w:r>
      <w:r w:rsidR="00427E29">
        <w:rPr>
          <w:rStyle w:val="FootnoteReference"/>
        </w:rPr>
        <w:footnoteReference w:id="11"/>
      </w:r>
      <w:r w:rsidR="00427E29">
        <w:t xml:space="preserve"> </w:t>
      </w:r>
    </w:p>
    <w:p w14:paraId="4B671CF4" w14:textId="77777777" w:rsidR="00427E29" w:rsidRDefault="00427E29" w:rsidP="00427E29">
      <w:pPr>
        <w:jc w:val="both"/>
      </w:pPr>
    </w:p>
    <w:p w14:paraId="4DCE9308" w14:textId="77777777" w:rsidR="00427E29" w:rsidRDefault="00427E29" w:rsidP="00427E29">
      <w:pPr>
        <w:jc w:val="both"/>
        <w:rPr>
          <w:rFonts w:ascii="Century Gothic" w:hAnsi="Century Gothic"/>
          <w:i/>
          <w:iCs/>
        </w:rPr>
      </w:pPr>
    </w:p>
    <w:p w14:paraId="08EB844F" w14:textId="77777777" w:rsidR="00427E29" w:rsidRDefault="00427E29" w:rsidP="00427E29">
      <w:pPr>
        <w:jc w:val="both"/>
        <w:rPr>
          <w:rFonts w:ascii="Century Gothic" w:hAnsi="Century Gothic"/>
          <w:i/>
          <w:iCs/>
        </w:rPr>
      </w:pPr>
      <w:r>
        <w:rPr>
          <w:rFonts w:ascii="Century Gothic" w:hAnsi="Century Gothic"/>
          <w:i/>
          <w:iCs/>
        </w:rPr>
        <w:t>The History</w:t>
      </w:r>
    </w:p>
    <w:p w14:paraId="4E3F7B7A" w14:textId="77777777" w:rsidR="00427E29" w:rsidRDefault="00427E29" w:rsidP="00427E29">
      <w:pPr>
        <w:jc w:val="both"/>
      </w:pPr>
    </w:p>
    <w:p w14:paraId="7470DAAC" w14:textId="45F95C62" w:rsidR="00427E29" w:rsidRDefault="00427E29" w:rsidP="00427E29">
      <w:pPr>
        <w:jc w:val="both"/>
      </w:pPr>
      <w:r>
        <w:t xml:space="preserve">Although the name </w:t>
      </w:r>
      <w:r w:rsidRPr="00BB66EC">
        <w:rPr>
          <w:i/>
          <w:iCs/>
        </w:rPr>
        <w:t>Tibetan</w:t>
      </w:r>
      <w:r>
        <w:t xml:space="preserve"> indicates a Tibet</w:t>
      </w:r>
      <w:r w:rsidR="00490D1E">
        <w:t>an</w:t>
      </w:r>
      <w:r>
        <w:t xml:space="preserve"> origin, there is little material culture</w:t>
      </w:r>
      <w:r w:rsidR="00490D1E">
        <w:t xml:space="preserve"> of singing bowls</w:t>
      </w:r>
      <w:r>
        <w:t xml:space="preserve"> found in the Tibetan regions. A popular </w:t>
      </w:r>
      <w:r w:rsidR="00B02A8F">
        <w:t>story</w:t>
      </w:r>
      <w:r>
        <w:t xml:space="preserve"> among merchants claims</w:t>
      </w:r>
      <w:r w:rsidRPr="006E7329">
        <w:t xml:space="preserve"> </w:t>
      </w:r>
      <w:r>
        <w:t>that the bowls were brough</w:t>
      </w:r>
      <w:r w:rsidR="00490D1E">
        <w:t>t</w:t>
      </w:r>
      <w:r>
        <w:t xml:space="preserve"> to Tibet from India via</w:t>
      </w:r>
      <w:r w:rsidRPr="007C0E84">
        <w:t xml:space="preserve"> the </w:t>
      </w:r>
      <w:r>
        <w:t>eighth</w:t>
      </w:r>
      <w:r w:rsidR="00490D1E">
        <w:t>-</w:t>
      </w:r>
      <w:r w:rsidRPr="007C0E84">
        <w:t>century</w:t>
      </w:r>
      <w:r>
        <w:t xml:space="preserve"> </w:t>
      </w:r>
      <w:r w:rsidRPr="00D27EC6">
        <w:t>Tantric master Padmasambhava.</w:t>
      </w:r>
      <w:r w:rsidRPr="00D27EC6">
        <w:rPr>
          <w:rStyle w:val="FootnoteReference"/>
        </w:rPr>
        <w:footnoteReference w:id="12"/>
      </w:r>
      <w:r>
        <w:t xml:space="preserve"> Santa Ratna Shakya Kasa traces the bowls’ origin to his birthplace</w:t>
      </w:r>
      <w:r w:rsidR="00490D1E">
        <w:t>,</w:t>
      </w:r>
      <w:r>
        <w:t xml:space="preserve"> Nepal, based on </w:t>
      </w:r>
      <w:r w:rsidRPr="00B02A8F">
        <w:t>his family</w:t>
      </w:r>
      <w:r w:rsidR="00B02A8F" w:rsidRPr="00B02A8F">
        <w:t>’s</w:t>
      </w:r>
      <w:r w:rsidRPr="00B02A8F">
        <w:t xml:space="preserve"> century-long tradition of metalworking.</w:t>
      </w:r>
      <w:r>
        <w:t xml:space="preserve"> </w:t>
      </w:r>
      <w:r w:rsidR="00B02A8F">
        <w:t>He</w:t>
      </w:r>
      <w:r>
        <w:t xml:space="preserve"> proposes a slow </w:t>
      </w:r>
      <w:r w:rsidR="00BB73D3">
        <w:t>transition</w:t>
      </w:r>
      <w:r>
        <w:t xml:space="preserve"> of the singing bowl from </w:t>
      </w:r>
      <w:r w:rsidR="00094565">
        <w:t>being a household item</w:t>
      </w:r>
      <w:r>
        <w:t xml:space="preserve"> to a musical instrument.</w:t>
      </w:r>
      <w:r>
        <w:rPr>
          <w:rStyle w:val="FootnoteReference"/>
        </w:rPr>
        <w:footnoteReference w:id="13"/>
      </w:r>
      <w:r>
        <w:t xml:space="preserve"> Joseph Feinstein suspects that </w:t>
      </w:r>
      <w:r w:rsidR="00094565">
        <w:t>the</w:t>
      </w:r>
      <w:r>
        <w:t xml:space="preserve"> bowls are </w:t>
      </w:r>
      <w:r>
        <w:lastRenderedPageBreak/>
        <w:t>the product of intercultural communication, a hybrid of ‘decorative bowls from the Near East and musical instruments from the Far East’.</w:t>
      </w:r>
      <w:r>
        <w:rPr>
          <w:rStyle w:val="FootnoteReference"/>
        </w:rPr>
        <w:footnoteReference w:id="14"/>
      </w:r>
      <w:r w:rsidR="00F036B2">
        <w:t xml:space="preserve"> </w:t>
      </w:r>
      <w:r w:rsidR="002C5CA6">
        <w:t xml:space="preserve">He compares singing bowls to </w:t>
      </w:r>
      <w:r w:rsidR="00D20BE4">
        <w:t xml:space="preserve">Japanese </w:t>
      </w:r>
      <w:r w:rsidR="002C5CA6" w:rsidRPr="00D20BE4">
        <w:rPr>
          <w:i/>
          <w:iCs/>
        </w:rPr>
        <w:t>keisu</w:t>
      </w:r>
      <w:r w:rsidR="002C5CA6">
        <w:t xml:space="preserve"> (</w:t>
      </w:r>
      <w:r w:rsidR="00D20BE4">
        <w:rPr>
          <w:rFonts w:ascii="PingFang TC" w:eastAsia="PingFang TC" w:hAnsi="PingFang TC" w:cs="PingFang TC" w:hint="eastAsia"/>
          <w:lang w:eastAsia="zh-TW"/>
        </w:rPr>
        <w:t>磬子</w:t>
      </w:r>
      <w:r w:rsidR="002C5CA6">
        <w:t xml:space="preserve">) and </w:t>
      </w:r>
      <w:r w:rsidR="00D20BE4" w:rsidRPr="00D20BE4">
        <w:rPr>
          <w:i/>
          <w:iCs/>
        </w:rPr>
        <w:t>dobachi</w:t>
      </w:r>
      <w:r w:rsidR="00D20BE4">
        <w:t xml:space="preserve"> (</w:t>
      </w:r>
      <w:r w:rsidR="00D20BE4" w:rsidRPr="00D20BE4">
        <w:rPr>
          <w:rFonts w:ascii="PingFang TC" w:eastAsia="PingFang TC" w:hAnsi="PingFang TC" w:cs="PingFang TC" w:hint="eastAsia"/>
        </w:rPr>
        <w:t>銅鉢</w:t>
      </w:r>
      <w:r w:rsidR="00D20BE4">
        <w:t xml:space="preserve">), </w:t>
      </w:r>
      <w:r w:rsidR="009400B9">
        <w:t xml:space="preserve">both </w:t>
      </w:r>
      <w:r w:rsidR="00D20BE4">
        <w:t xml:space="preserve">bowl-like Buddhist bells, and </w:t>
      </w:r>
      <w:r w:rsidR="00680217">
        <w:t>consider</w:t>
      </w:r>
      <w:r w:rsidR="00D20BE4">
        <w:t xml:space="preserve">s </w:t>
      </w:r>
      <w:r w:rsidR="00680217">
        <w:t>that all</w:t>
      </w:r>
      <w:r w:rsidR="00D20BE4">
        <w:t xml:space="preserve"> from </w:t>
      </w:r>
      <w:r w:rsidR="00680217">
        <w:t xml:space="preserve">the </w:t>
      </w:r>
      <w:r w:rsidR="00D20BE4">
        <w:t>same origin.</w:t>
      </w:r>
      <w:r w:rsidR="00D20BE4">
        <w:rPr>
          <w:rStyle w:val="FootnoteReference"/>
        </w:rPr>
        <w:footnoteReference w:id="15"/>
      </w:r>
      <w:r w:rsidR="00D20BE4">
        <w:t xml:space="preserve"> </w:t>
      </w:r>
      <w:r>
        <w:t xml:space="preserve">Frank Perry, one of the pioneers in singing bowl research, suggests that the bowls originated in the Tibetan </w:t>
      </w:r>
      <w:r w:rsidR="001D6E8B">
        <w:t>shamanism</w:t>
      </w:r>
      <w:r>
        <w:t xml:space="preserve">, Bön, </w:t>
      </w:r>
      <w:r w:rsidR="00490D1E">
        <w:t>which</w:t>
      </w:r>
      <w:r>
        <w:t xml:space="preserve"> predates Buddhism by centuries and was later </w:t>
      </w:r>
      <w:r w:rsidR="001D6E8B">
        <w:t>absorbed</w:t>
      </w:r>
      <w:r>
        <w:t xml:space="preserve"> into the Tantric </w:t>
      </w:r>
      <w:r w:rsidR="001D6E8B">
        <w:t>tradition</w:t>
      </w:r>
      <w:r>
        <w:t>.</w:t>
      </w:r>
      <w:r w:rsidR="00F65164">
        <w:rPr>
          <w:rStyle w:val="FootnoteReference"/>
        </w:rPr>
        <w:footnoteReference w:id="16"/>
      </w:r>
      <w:r>
        <w:t xml:space="preserve"> Based on the ethnographic works of Rain Gray and Alain Presencer, Perry </w:t>
      </w:r>
      <w:r w:rsidR="001D6E8B">
        <w:t>maintains</w:t>
      </w:r>
      <w:r>
        <w:t xml:space="preserve"> that singing bowls </w:t>
      </w:r>
      <w:r w:rsidR="001D6E8B">
        <w:t>are</w:t>
      </w:r>
      <w:r>
        <w:t xml:space="preserve"> </w:t>
      </w:r>
      <w:r w:rsidR="00F65164">
        <w:t xml:space="preserve">sacred </w:t>
      </w:r>
      <w:r>
        <w:t>spiritual object</w:t>
      </w:r>
      <w:r w:rsidR="00F65164">
        <w:t>s</w:t>
      </w:r>
      <w:r>
        <w:t xml:space="preserve"> </w:t>
      </w:r>
      <w:r w:rsidR="001D6E8B">
        <w:t>of</w:t>
      </w:r>
      <w:r>
        <w:t xml:space="preserve"> the Tibetan lamas for rituals, prayers and meditations</w:t>
      </w:r>
      <w:r w:rsidR="00F65164">
        <w:t xml:space="preserve">, </w:t>
      </w:r>
      <w:r w:rsidR="001D6E8B">
        <w:t>rather than</w:t>
      </w:r>
      <w:r w:rsidR="00F65164">
        <w:t xml:space="preserve"> musical instruments</w:t>
      </w:r>
      <w:r>
        <w:t>.</w:t>
      </w:r>
      <w:r>
        <w:rPr>
          <w:rStyle w:val="FootnoteReference"/>
        </w:rPr>
        <w:footnoteReference w:id="17"/>
      </w:r>
      <w:r>
        <w:t xml:space="preserve"> </w:t>
      </w:r>
      <w:r w:rsidR="00F65164">
        <w:t xml:space="preserve">He </w:t>
      </w:r>
      <w:r>
        <w:t>further argues that unless the knowledge of singing bowls is an esoteric secret, the rarity and dislocation of the bowls in contemporary Tibetan regions is likely contributed by</w:t>
      </w:r>
      <w:r w:rsidR="00B82011">
        <w:t xml:space="preserve"> two causes, primarily,</w:t>
      </w:r>
      <w:r>
        <w:t xml:space="preserve"> the religious purge under Je Tsongkhapa</w:t>
      </w:r>
      <w:r w:rsidR="00490D1E">
        <w:t>,</w:t>
      </w:r>
      <w:r>
        <w:t xml:space="preserve"> who eliminated Bön influences from Buddhism, </w:t>
      </w:r>
      <w:r w:rsidR="00B82011">
        <w:t>and secondly,</w:t>
      </w:r>
      <w:r>
        <w:t xml:space="preserve"> the exile of </w:t>
      </w:r>
      <w:r w:rsidR="00490D1E">
        <w:t xml:space="preserve">the </w:t>
      </w:r>
      <w:r>
        <w:t>Tibetan diaspora in the 1950’s.</w:t>
      </w:r>
      <w:r>
        <w:rPr>
          <w:rStyle w:val="FootnoteReference"/>
        </w:rPr>
        <w:footnoteReference w:id="18"/>
      </w:r>
    </w:p>
    <w:p w14:paraId="2881F325" w14:textId="77777777" w:rsidR="00427E29" w:rsidRDefault="00427E29" w:rsidP="00427E29">
      <w:pPr>
        <w:jc w:val="both"/>
      </w:pPr>
      <w:r>
        <w:t xml:space="preserve"> </w:t>
      </w:r>
    </w:p>
    <w:p w14:paraId="1C599342" w14:textId="53D426A6" w:rsidR="00427E29" w:rsidRDefault="00427E29" w:rsidP="00427E29">
      <w:pPr>
        <w:jc w:val="both"/>
      </w:pPr>
      <w:r>
        <w:t>In the midst of myths</w:t>
      </w:r>
      <w:r w:rsidR="004A022C">
        <w:t xml:space="preserve"> and </w:t>
      </w:r>
      <w:r>
        <w:t xml:space="preserve">controversies, an interview via email was conducted with the independent </w:t>
      </w:r>
      <w:r w:rsidRPr="00A34504">
        <w:t xml:space="preserve">researcher Tenzin Pasang, </w:t>
      </w:r>
      <w:r>
        <w:t xml:space="preserve">the author of </w:t>
      </w:r>
      <w:r w:rsidRPr="00F267A1">
        <w:rPr>
          <w:i/>
          <w:iCs/>
        </w:rPr>
        <w:t>The Tibetan Singing Bowl</w:t>
      </w:r>
      <w:r>
        <w:t xml:space="preserve">, to </w:t>
      </w:r>
      <w:r w:rsidR="00476522">
        <w:t>understand</w:t>
      </w:r>
      <w:r>
        <w:t xml:space="preserve"> his </w:t>
      </w:r>
      <w:r w:rsidR="00915D49">
        <w:t>view</w:t>
      </w:r>
      <w:r>
        <w:t xml:space="preserve"> as a Tibetan. Pasang points out that, as Chandra L. Reedy observes, the techniques of metalworking in Tibet w</w:t>
      </w:r>
      <w:r w:rsidR="00094565">
        <w:t>ere</w:t>
      </w:r>
      <w:r>
        <w:t xml:space="preserve"> mainly transmitted orally.</w:t>
      </w:r>
      <w:r>
        <w:rPr>
          <w:rStyle w:val="FootnoteReference"/>
        </w:rPr>
        <w:footnoteReference w:id="19"/>
      </w:r>
      <w:r>
        <w:t xml:space="preserve"> Pasang lists several factors that may lead to the absence of documentation: </w:t>
      </w:r>
    </w:p>
    <w:p w14:paraId="33730306" w14:textId="77777777" w:rsidR="00427E29" w:rsidRDefault="00427E29" w:rsidP="00427E29">
      <w:pPr>
        <w:jc w:val="both"/>
      </w:pPr>
    </w:p>
    <w:p w14:paraId="5E47D1EC" w14:textId="0F2E4C36" w:rsidR="00427E29" w:rsidRDefault="00427E29" w:rsidP="00427E29">
      <w:pPr>
        <w:ind w:left="720"/>
        <w:jc w:val="both"/>
      </w:pPr>
      <w:r>
        <w:t>‘</w:t>
      </w:r>
      <w:r w:rsidRPr="00F80BEB">
        <w:t>In traditional social contexts,</w:t>
      </w:r>
      <w:r>
        <w:t xml:space="preserve"> </w:t>
      </w:r>
      <w:r w:rsidRPr="00F80BEB">
        <w:t>occupations such as metalworkers</w:t>
      </w:r>
      <w:r w:rsidR="00915D49">
        <w:t xml:space="preserve">… </w:t>
      </w:r>
      <w:r w:rsidRPr="00F80BEB">
        <w:t>generally accorded lower social status compared to religious figures and scholars, and in some cases were subject to social boundaries in matters such as marriage and association. In addition, the making and commercial exchange of religious statues, relics, and sacred objects could carry social sensitivities, as placing a monetary value on sacred representations—such as images of the Buddha—was sometimes viewed as inappropriate within the cultural and religious perspectives.</w:t>
      </w:r>
      <w:r>
        <w:t>’</w:t>
      </w:r>
      <w:r w:rsidRPr="00F80BEB">
        <w:t xml:space="preserve"> </w:t>
      </w:r>
    </w:p>
    <w:p w14:paraId="044D3549" w14:textId="77777777" w:rsidR="00427E29" w:rsidRDefault="00427E29" w:rsidP="00427E29">
      <w:pPr>
        <w:jc w:val="both"/>
      </w:pPr>
    </w:p>
    <w:p w14:paraId="5B40A696" w14:textId="23BC6F04" w:rsidR="004A022C" w:rsidRDefault="00427E29" w:rsidP="00427E29">
      <w:pPr>
        <w:jc w:val="both"/>
      </w:pPr>
      <w:r>
        <w:t>Pasang adds, if singing bowls were part of the Bön tradition, it would have been left undocumented, since most of the Bön rituals were</w:t>
      </w:r>
      <w:r w:rsidR="001114BC">
        <w:t xml:space="preserve"> </w:t>
      </w:r>
      <w:r>
        <w:t>‘transmitted orally and through practice’. The persecution of Buddhists and destruction of monasteries during the reign of Langdrama in the 9</w:t>
      </w:r>
      <w:r w:rsidRPr="003E4CCC">
        <w:rPr>
          <w:vertAlign w:val="superscript"/>
        </w:rPr>
        <w:t>th</w:t>
      </w:r>
      <w:r>
        <w:t xml:space="preserve"> century disrupted ‘many lineages and practices’. Furthermore, during the Great Leap Forward, metal objects were sourced for steel production, which may cause </w:t>
      </w:r>
      <w:r w:rsidR="00915D49">
        <w:t>further</w:t>
      </w:r>
      <w:r>
        <w:t xml:space="preserve"> loss of singing bowls. Although there are </w:t>
      </w:r>
      <w:r w:rsidRPr="00077200">
        <w:t>reports of the sight of singing bowls associated with the lamas, Pasang argues</w:t>
      </w:r>
      <w:r>
        <w:t xml:space="preserve"> that these reports are ‘observational and second-hand’, where </w:t>
      </w:r>
      <w:r w:rsidR="00476522">
        <w:t xml:space="preserve">Buddhist </w:t>
      </w:r>
      <w:r w:rsidR="00476522">
        <w:lastRenderedPageBreak/>
        <w:t xml:space="preserve">alms or offering bowls </w:t>
      </w:r>
      <w:r>
        <w:t>may have been mistaken as singing bowls, and ‘without clear textual or material documentation, such identifications remain interpretative rather than conclusive’.</w:t>
      </w:r>
      <w:r w:rsidRPr="00603593">
        <w:rPr>
          <w:rStyle w:val="FootnoteReference"/>
        </w:rPr>
        <w:footnoteReference w:id="20"/>
      </w:r>
      <w:r w:rsidR="004A022C">
        <w:t xml:space="preserve"> </w:t>
      </w:r>
    </w:p>
    <w:p w14:paraId="6FE76ECD" w14:textId="1C92A53D" w:rsidR="004A022C" w:rsidRDefault="004A022C" w:rsidP="00427E29">
      <w:pPr>
        <w:jc w:val="both"/>
      </w:pPr>
    </w:p>
    <w:p w14:paraId="505F24F5" w14:textId="1C007E1F" w:rsidR="00BB73D3" w:rsidRPr="00BB73D3" w:rsidRDefault="00FB2068" w:rsidP="00BB73D3">
      <w:pPr>
        <w:jc w:val="both"/>
      </w:pPr>
      <w:r w:rsidRPr="00FB2068">
        <w:t>It seems that Perry and Pasang together provide a plausible explanation for the singing bowls’ past, while Shakya Kasa’s family history may be seen as additional evidence, where the knowledge of singing bowls spread through intracultural exchange in the Himalayan regions</w:t>
      </w:r>
      <w:r w:rsidR="00D23074">
        <w:t>, perhaps via the Tibetan-speaking Dolpo region,</w:t>
      </w:r>
      <w:r w:rsidRPr="00FB2068">
        <w:t xml:space="preserve"> within living memory, transforming the Nepali metalworking market.</w:t>
      </w:r>
      <w:r>
        <w:t xml:space="preserve"> </w:t>
      </w:r>
      <w:r w:rsidR="00BB73D3" w:rsidRPr="00BB73D3">
        <w:t xml:space="preserve">On the contrary, </w:t>
      </w:r>
      <w:r>
        <w:t xml:space="preserve">the hypothesis of </w:t>
      </w:r>
      <w:r w:rsidR="00BB73D3" w:rsidRPr="00BB73D3">
        <w:t xml:space="preserve">Feinstein is in danger of </w:t>
      </w:r>
      <w:r w:rsidR="00D23074">
        <w:t xml:space="preserve">cultural </w:t>
      </w:r>
      <w:r w:rsidR="00BB73D3" w:rsidRPr="00BB73D3">
        <w:t xml:space="preserve">generalisation by </w:t>
      </w:r>
      <w:r>
        <w:t>proposing</w:t>
      </w:r>
      <w:r w:rsidR="00BB73D3" w:rsidRPr="00BB73D3">
        <w:t xml:space="preserve"> a ‘history’ of </w:t>
      </w:r>
      <w:r w:rsidR="00D869ED">
        <w:t>‘Asian’</w:t>
      </w:r>
      <w:r w:rsidR="00BB73D3" w:rsidRPr="00BB73D3">
        <w:t xml:space="preserve"> s</w:t>
      </w:r>
      <w:r w:rsidR="00D869ED">
        <w:t>inging</w:t>
      </w:r>
      <w:r w:rsidR="00BB73D3" w:rsidRPr="00BB73D3">
        <w:t xml:space="preserve"> bowls</w:t>
      </w:r>
      <w:r w:rsidR="00A23829">
        <w:t>, which should be treated with caution</w:t>
      </w:r>
      <w:r w:rsidR="007144BC">
        <w:t xml:space="preserve"> </w:t>
      </w:r>
      <w:r w:rsidR="00D869ED">
        <w:t xml:space="preserve">in anthropological </w:t>
      </w:r>
      <w:r w:rsidR="004F0706">
        <w:t>works</w:t>
      </w:r>
      <w:r w:rsidR="00D869ED">
        <w:t xml:space="preserve">. </w:t>
      </w:r>
    </w:p>
    <w:p w14:paraId="18E4A7B1" w14:textId="1286FCBC" w:rsidR="00427E29" w:rsidRDefault="008E073B" w:rsidP="00427E29">
      <w:pPr>
        <w:jc w:val="both"/>
      </w:pPr>
      <w:r>
        <w:t xml:space="preserve"> </w:t>
      </w:r>
    </w:p>
    <w:p w14:paraId="6FFCD2DA" w14:textId="5131E48A" w:rsidR="00FB2068" w:rsidRPr="00AC266C" w:rsidRDefault="00FB2068" w:rsidP="00427E29">
      <w:pPr>
        <w:jc w:val="both"/>
        <w:rPr>
          <w:rFonts w:ascii="Century Gothic" w:hAnsi="Century Gothic"/>
        </w:rPr>
      </w:pPr>
    </w:p>
    <w:p w14:paraId="021958FB" w14:textId="77777777" w:rsidR="00FB2068" w:rsidRPr="00AC266C" w:rsidRDefault="00FB2068" w:rsidP="00427E29">
      <w:pPr>
        <w:jc w:val="both"/>
        <w:rPr>
          <w:rFonts w:ascii="Century Gothic" w:hAnsi="Century Gothic"/>
        </w:rPr>
      </w:pPr>
    </w:p>
    <w:p w14:paraId="3FA10D3B" w14:textId="401D09DA" w:rsidR="00427E29" w:rsidRPr="008F7C1E" w:rsidRDefault="00427E29" w:rsidP="00427E29">
      <w:pPr>
        <w:jc w:val="both"/>
        <w:rPr>
          <w:rFonts w:ascii="Century Gothic" w:hAnsi="Century Gothic"/>
        </w:rPr>
      </w:pPr>
      <w:r>
        <w:rPr>
          <w:rFonts w:ascii="Century Gothic" w:hAnsi="Century Gothic"/>
          <w:b/>
          <w:bCs/>
        </w:rPr>
        <w:t>Terminologies</w:t>
      </w:r>
    </w:p>
    <w:p w14:paraId="7671F9C9" w14:textId="75DA1760" w:rsidR="00427E29" w:rsidRDefault="00427E29" w:rsidP="00427E29">
      <w:pPr>
        <w:jc w:val="both"/>
      </w:pPr>
    </w:p>
    <w:p w14:paraId="3622F716" w14:textId="06E7F9AE" w:rsidR="00FC5101" w:rsidRDefault="00FC5101" w:rsidP="00FC5101">
      <w:pPr>
        <w:jc w:val="both"/>
      </w:pPr>
      <w:r w:rsidRPr="00B42A92">
        <w:t xml:space="preserve">This </w:t>
      </w:r>
      <w:r>
        <w:t xml:space="preserve">paper is set to investigate </w:t>
      </w:r>
      <w:r w:rsidR="00C61F37">
        <w:t>the beliefs of</w:t>
      </w:r>
      <w:r>
        <w:t xml:space="preserve"> singing bowl participants. </w:t>
      </w:r>
      <w:r>
        <w:t>C</w:t>
      </w:r>
      <w:r>
        <w:t xml:space="preserve">ertain terminologies are briefly </w:t>
      </w:r>
      <w:r w:rsidR="00C61F37">
        <w:t>discussed below</w:t>
      </w:r>
      <w:r>
        <w:t xml:space="preserve">. </w:t>
      </w:r>
    </w:p>
    <w:p w14:paraId="4ABFAB7F" w14:textId="77777777" w:rsidR="00FC5101" w:rsidRDefault="00FC5101" w:rsidP="00427E29">
      <w:pPr>
        <w:jc w:val="both"/>
      </w:pPr>
    </w:p>
    <w:p w14:paraId="0D889679" w14:textId="02360147" w:rsidR="00427E29" w:rsidRDefault="00427E29" w:rsidP="00427E29">
      <w:pPr>
        <w:jc w:val="both"/>
      </w:pPr>
      <w:r>
        <w:t xml:space="preserve">Among the various usages of the term </w:t>
      </w:r>
      <w:r w:rsidRPr="00B65EC6">
        <w:rPr>
          <w:i/>
          <w:iCs/>
        </w:rPr>
        <w:t>cosmology</w:t>
      </w:r>
      <w:r>
        <w:t xml:space="preserve">, Nick Campion </w:t>
      </w:r>
      <w:r w:rsidR="000E6270">
        <w:t>provides</w:t>
      </w:r>
      <w:r>
        <w:t xml:space="preserve"> two </w:t>
      </w:r>
      <w:r w:rsidR="000E6270">
        <w:t>working definitions</w:t>
      </w:r>
      <w:r>
        <w:t xml:space="preserve">. Scientifically, </w:t>
      </w:r>
      <w:r w:rsidR="000E6270" w:rsidRPr="000E6270">
        <w:rPr>
          <w:i/>
          <w:iCs/>
        </w:rPr>
        <w:t>cosmology</w:t>
      </w:r>
      <w:r>
        <w:t xml:space="preserve"> is a ‘study </w:t>
      </w:r>
      <w:r w:rsidRPr="00756418">
        <w:t>of the universe through astronomy and physics’</w:t>
      </w:r>
      <w:r>
        <w:t xml:space="preserve">; and anthropologically, it means the worldview or </w:t>
      </w:r>
      <w:r w:rsidRPr="00756418">
        <w:t>‘notions about the way the world works’</w:t>
      </w:r>
      <w:r>
        <w:t>, which is integrated in culture and social structure.</w:t>
      </w:r>
      <w:r w:rsidRPr="00756418">
        <w:rPr>
          <w:vertAlign w:val="superscript"/>
        </w:rPr>
        <w:footnoteReference w:id="21"/>
      </w:r>
      <w:r>
        <w:t xml:space="preserve"> By the second definition, Campion argues that different cosmologies are culturally specific and should not be generalised or stereotyped.</w:t>
      </w:r>
      <w:r w:rsidRPr="0057560A">
        <w:rPr>
          <w:rStyle w:val="FootnoteReference"/>
        </w:rPr>
        <w:footnoteReference w:id="22"/>
      </w:r>
      <w:r>
        <w:t xml:space="preserve"> </w:t>
      </w:r>
      <w:r w:rsidR="000E6270">
        <w:t>This view</w:t>
      </w:r>
      <w:r>
        <w:t xml:space="preserve"> is shared by other scholars who </w:t>
      </w:r>
      <w:r w:rsidR="004E42C4">
        <w:t>value</w:t>
      </w:r>
      <w:r>
        <w:t xml:space="preserve"> </w:t>
      </w:r>
      <w:r w:rsidR="00D23074">
        <w:t xml:space="preserve">the inter- and intra-cultural </w:t>
      </w:r>
      <w:r w:rsidR="004E42C4">
        <w:t>impacts on</w:t>
      </w:r>
      <w:r w:rsidR="008731E7">
        <w:t xml:space="preserve"> individual versions of cosmology</w:t>
      </w:r>
      <w:r w:rsidRPr="008F7C1E">
        <w:t>.</w:t>
      </w:r>
      <w:r>
        <w:rPr>
          <w:rStyle w:val="FootnoteReference"/>
        </w:rPr>
        <w:footnoteReference w:id="23"/>
      </w:r>
      <w:r>
        <w:t xml:space="preserve"> To push this relativist notion further, a concept of </w:t>
      </w:r>
      <w:r w:rsidRPr="008F78DE">
        <w:rPr>
          <w:i/>
          <w:iCs/>
        </w:rPr>
        <w:t>personal cosmology</w:t>
      </w:r>
      <w:r>
        <w:t xml:space="preserve"> </w:t>
      </w:r>
      <w:r w:rsidR="00250FCF">
        <w:t>e</w:t>
      </w:r>
      <w:r>
        <w:t xml:space="preserve">merges from arguments presented by </w:t>
      </w:r>
      <w:r w:rsidR="00F40033">
        <w:t>Campion</w:t>
      </w:r>
      <w:r w:rsidR="00532C98">
        <w:t xml:space="preserve"> </w:t>
      </w:r>
      <w:r>
        <w:t xml:space="preserve">and </w:t>
      </w:r>
      <w:r w:rsidR="001114BC">
        <w:t xml:space="preserve">a </w:t>
      </w:r>
      <w:r>
        <w:t>few other scholars</w:t>
      </w:r>
      <w:r w:rsidR="008731E7">
        <w:t>.</w:t>
      </w:r>
      <w:r w:rsidR="008731E7">
        <w:rPr>
          <w:rStyle w:val="FootnoteReference"/>
        </w:rPr>
        <w:footnoteReference w:id="24"/>
      </w:r>
      <w:r w:rsidR="00532C98">
        <w:t xml:space="preserve"> </w:t>
      </w:r>
      <w:r w:rsidR="00532C98">
        <w:t xml:space="preserve">Freya </w:t>
      </w:r>
      <w:r w:rsidR="00532C98" w:rsidRPr="00250FCF">
        <w:t>Mathews</w:t>
      </w:r>
      <w:r w:rsidR="00532C98" w:rsidRPr="00250FCF">
        <w:t xml:space="preserve"> remarks,</w:t>
      </w:r>
      <w:r w:rsidRPr="00250FCF">
        <w:t xml:space="preserve"> </w:t>
      </w:r>
      <w:r w:rsidR="00532C98" w:rsidRPr="00250FCF">
        <w:t xml:space="preserve">personal </w:t>
      </w:r>
      <w:r w:rsidRPr="00250FCF">
        <w:t xml:space="preserve">cosmology </w:t>
      </w:r>
      <w:r w:rsidR="00EB12F3" w:rsidRPr="00250FCF">
        <w:t>is</w:t>
      </w:r>
      <w:r w:rsidRPr="00250FCF">
        <w:t xml:space="preserve"> ‘conditioned by many various historical, environmental, technological, psychological and social factors’, and profoundly subjective.</w:t>
      </w:r>
      <w:r w:rsidRPr="00250FCF">
        <w:rPr>
          <w:rStyle w:val="FootnoteReference"/>
        </w:rPr>
        <w:footnoteReference w:id="25"/>
      </w:r>
    </w:p>
    <w:p w14:paraId="4C015C93" w14:textId="77777777" w:rsidR="00427E29" w:rsidRDefault="00427E29" w:rsidP="00427E29">
      <w:pPr>
        <w:jc w:val="both"/>
        <w:rPr>
          <w:rFonts w:ascii="Century Gothic" w:hAnsi="Century Gothic"/>
          <w:b/>
          <w:bCs/>
        </w:rPr>
      </w:pPr>
    </w:p>
    <w:p w14:paraId="1CFACD01" w14:textId="702E4D79" w:rsidR="003C53C7" w:rsidRDefault="00F40033" w:rsidP="00427E29">
      <w:pPr>
        <w:jc w:val="both"/>
      </w:pPr>
      <w:r>
        <w:t>A</w:t>
      </w:r>
      <w:r w:rsidR="00427E29" w:rsidRPr="004C400A">
        <w:t>nother concept</w:t>
      </w:r>
      <w:r>
        <w:t xml:space="preserve"> to be </w:t>
      </w:r>
      <w:r w:rsidR="00250FCF">
        <w:t>ad</w:t>
      </w:r>
      <w:r>
        <w:t xml:space="preserve">dressed in this paper is </w:t>
      </w:r>
      <w:r w:rsidR="00427E29" w:rsidRPr="004C400A">
        <w:rPr>
          <w:i/>
          <w:iCs/>
        </w:rPr>
        <w:t>religion</w:t>
      </w:r>
      <w:r w:rsidR="00427E29" w:rsidRPr="004C400A">
        <w:t xml:space="preserve">, which is closely associated with the term </w:t>
      </w:r>
      <w:r w:rsidR="00427E29" w:rsidRPr="004C400A">
        <w:rPr>
          <w:i/>
          <w:iCs/>
        </w:rPr>
        <w:t>spirituality</w:t>
      </w:r>
      <w:r w:rsidR="00427E29" w:rsidRPr="004C400A">
        <w:t>. Both are rather nebulous terms</w:t>
      </w:r>
      <w:r w:rsidR="007A3E28">
        <w:t xml:space="preserve">, sometimes used interchangeably. While many </w:t>
      </w:r>
      <w:r w:rsidR="007A3E28">
        <w:lastRenderedPageBreak/>
        <w:t>scholars acknowledge the overlaps of two concepts, there are differences.</w:t>
      </w:r>
      <w:r w:rsidR="007A3E28" w:rsidRPr="007A3E28">
        <w:rPr>
          <w:rStyle w:val="FootnoteReference"/>
        </w:rPr>
        <w:t xml:space="preserve"> </w:t>
      </w:r>
      <w:r w:rsidR="007A3E28">
        <w:rPr>
          <w:rStyle w:val="FootnoteReference"/>
        </w:rPr>
        <w:footnoteReference w:id="26"/>
      </w:r>
      <w:r w:rsidR="007A3E28">
        <w:t xml:space="preserve"> </w:t>
      </w:r>
      <w:r w:rsidR="00427E29" w:rsidRPr="004C400A">
        <w:t>M. Wilcox</w:t>
      </w:r>
      <w:r w:rsidR="001D43F3">
        <w:t>,</w:t>
      </w:r>
      <w:r w:rsidR="00427E29" w:rsidRPr="004C400A">
        <w:t xml:space="preserve"> </w:t>
      </w:r>
      <w:r w:rsidR="001D43F3">
        <w:t>for example, recognise</w:t>
      </w:r>
      <w:r w:rsidR="00427E29" w:rsidRPr="004C400A">
        <w:t xml:space="preserve">s the spiritual dimension of religion, but stresses that for many people the </w:t>
      </w:r>
      <w:r w:rsidR="00C721B0">
        <w:t>meaning of</w:t>
      </w:r>
      <w:r w:rsidR="00427E29" w:rsidRPr="004C400A">
        <w:t xml:space="preserve"> </w:t>
      </w:r>
      <w:r w:rsidR="00427E29" w:rsidRPr="004C400A">
        <w:rPr>
          <w:i/>
          <w:iCs/>
        </w:rPr>
        <w:t>religion</w:t>
      </w:r>
      <w:r w:rsidR="00427E29" w:rsidRPr="004C400A">
        <w:t xml:space="preserve"> </w:t>
      </w:r>
      <w:r w:rsidR="00C721B0">
        <w:t>is still limited to</w:t>
      </w:r>
      <w:r w:rsidR="00427E29" w:rsidRPr="004C400A">
        <w:t xml:space="preserve"> institutionalised belief system</w:t>
      </w:r>
      <w:r w:rsidR="00C721B0">
        <w:t>s</w:t>
      </w:r>
      <w:r w:rsidR="00427E29" w:rsidRPr="004C400A">
        <w:t xml:space="preserve">, and </w:t>
      </w:r>
      <w:r w:rsidR="00C721B0">
        <w:t xml:space="preserve">sometimes </w:t>
      </w:r>
      <w:r w:rsidR="00427E29" w:rsidRPr="004C400A">
        <w:t>carries a colonialist tone where certain religions are considered superior to others.</w:t>
      </w:r>
      <w:r w:rsidR="00427E29" w:rsidRPr="004C400A">
        <w:rPr>
          <w:rStyle w:val="FootnoteReference"/>
        </w:rPr>
        <w:footnoteReference w:id="27"/>
      </w:r>
      <w:r w:rsidR="00493EF5">
        <w:t xml:space="preserve"> </w:t>
      </w:r>
      <w:r w:rsidR="00427E29" w:rsidRPr="00C721B0">
        <w:t xml:space="preserve">Paul Heelas and others </w:t>
      </w:r>
      <w:r w:rsidR="00493EF5">
        <w:t>assert that</w:t>
      </w:r>
      <w:r w:rsidR="00427E29" w:rsidRPr="00C721B0">
        <w:t xml:space="preserve"> religion requires conformity to authority and spirituality prioritises subjectivity.</w:t>
      </w:r>
      <w:r w:rsidR="00427E29" w:rsidRPr="00C721B0">
        <w:rPr>
          <w:rStyle w:val="FootnoteReference"/>
        </w:rPr>
        <w:footnoteReference w:id="28"/>
      </w:r>
      <w:r w:rsidR="00427E29" w:rsidRPr="00C721B0">
        <w:t xml:space="preserve"> </w:t>
      </w:r>
      <w:r w:rsidR="009D19BE">
        <w:t>Lois Lee offers a broad definition of spirituality, which refers to a unity of life and thought, that can be practiced through e</w:t>
      </w:r>
      <w:r w:rsidR="009D19BE" w:rsidRPr="00457943">
        <w:t xml:space="preserve">xistential </w:t>
      </w:r>
      <w:r w:rsidR="009D19BE">
        <w:t>c</w:t>
      </w:r>
      <w:r w:rsidR="009D19BE" w:rsidRPr="00457943">
        <w:t>ulture</w:t>
      </w:r>
      <w:r w:rsidR="009D19BE">
        <w:t>s, such as politics, sports or the arts.</w:t>
      </w:r>
      <w:r w:rsidR="009D19BE">
        <w:rPr>
          <w:rStyle w:val="FootnoteReference"/>
        </w:rPr>
        <w:footnoteReference w:id="29"/>
      </w:r>
      <w:r w:rsidR="009D19BE">
        <w:t xml:space="preserve"> </w:t>
      </w:r>
      <w:r w:rsidR="00427E29" w:rsidRPr="00BF3F94">
        <w:t xml:space="preserve">Jack Hunter observes that there are many </w:t>
      </w:r>
      <w:r w:rsidR="00CB1AEE">
        <w:t>spiritual experiences</w:t>
      </w:r>
      <w:r w:rsidR="00427E29" w:rsidRPr="00BF3F94">
        <w:t xml:space="preserve"> that do not fit the world religion model and rationale</w:t>
      </w:r>
      <w:r w:rsidR="00C721B0" w:rsidRPr="00BF3F94">
        <w:t xml:space="preserve">, and </w:t>
      </w:r>
      <w:r w:rsidR="00493EF5">
        <w:t xml:space="preserve">therefore </w:t>
      </w:r>
      <w:r w:rsidR="00C721B0" w:rsidRPr="00BF3F94">
        <w:t>encourages a variety of definitions</w:t>
      </w:r>
      <w:r w:rsidR="00023DE7">
        <w:t xml:space="preserve"> of </w:t>
      </w:r>
      <w:r w:rsidR="00023DE7" w:rsidRPr="00023DE7">
        <w:rPr>
          <w:i/>
          <w:iCs/>
        </w:rPr>
        <w:t>spirituality</w:t>
      </w:r>
      <w:r w:rsidR="00427E29" w:rsidRPr="00BF3F94">
        <w:t>.</w:t>
      </w:r>
      <w:r w:rsidR="00427E29" w:rsidRPr="00BF3F94">
        <w:rPr>
          <w:rStyle w:val="FootnoteReference"/>
        </w:rPr>
        <w:footnoteReference w:id="30"/>
      </w:r>
      <w:r w:rsidR="009D19BE">
        <w:t xml:space="preserve"> </w:t>
      </w:r>
      <w:r w:rsidR="00427E29" w:rsidRPr="00BF3F94">
        <w:t xml:space="preserve">As a </w:t>
      </w:r>
      <w:r w:rsidR="00B92430" w:rsidRPr="00BF3F94">
        <w:t>solution</w:t>
      </w:r>
      <w:r w:rsidR="00427E29" w:rsidRPr="00BF3F94">
        <w:t xml:space="preserve">, Hunter </w:t>
      </w:r>
      <w:r w:rsidR="00B92430" w:rsidRPr="00BF3F94">
        <w:t>suggest</w:t>
      </w:r>
      <w:r w:rsidR="00427E29" w:rsidRPr="00BF3F94">
        <w:t xml:space="preserve">s, as David Hay and Rebecca Nye </w:t>
      </w:r>
      <w:r w:rsidR="00B92430" w:rsidRPr="00BF3F94">
        <w:t>imply</w:t>
      </w:r>
      <w:r w:rsidR="00427E29" w:rsidRPr="00BF3F94">
        <w:t xml:space="preserve">, that spirituality </w:t>
      </w:r>
      <w:r w:rsidR="00B92430" w:rsidRPr="00BF3F94">
        <w:t>should be regarded as</w:t>
      </w:r>
      <w:r w:rsidR="00427E29" w:rsidRPr="00BF3F94">
        <w:t xml:space="preserve"> a mode of our cosmological orientation, that</w:t>
      </w:r>
      <w:r w:rsidR="00493EF5">
        <w:t xml:space="preserve"> not necessarily requires religiosity or ritualistic practices, and instead</w:t>
      </w:r>
      <w:r w:rsidR="00427E29" w:rsidRPr="00BF3F94">
        <w:t xml:space="preserve"> </w:t>
      </w:r>
      <w:r w:rsidR="00493EF5">
        <w:t>can be</w:t>
      </w:r>
      <w:r w:rsidR="00427E29" w:rsidRPr="00BF3F94">
        <w:t xml:space="preserve"> integrated into our daily life</w:t>
      </w:r>
      <w:r w:rsidR="0039044F">
        <w:t xml:space="preserve">, and </w:t>
      </w:r>
      <w:r w:rsidR="00106D0F">
        <w:t xml:space="preserve">even </w:t>
      </w:r>
      <w:r w:rsidR="0039044F">
        <w:t>found in mundane activities</w:t>
      </w:r>
      <w:r w:rsidR="00106D0F">
        <w:t xml:space="preserve"> and objects</w:t>
      </w:r>
      <w:r w:rsidR="00427E29" w:rsidRPr="00BF3F94">
        <w:t>.</w:t>
      </w:r>
      <w:r w:rsidR="00427E29" w:rsidRPr="00BF3F94">
        <w:rPr>
          <w:rStyle w:val="FootnoteReference"/>
        </w:rPr>
        <w:footnoteReference w:id="31"/>
      </w:r>
      <w:r w:rsidR="00B92430" w:rsidRPr="00BF3F94">
        <w:t xml:space="preserve"> </w:t>
      </w:r>
      <w:r w:rsidR="00106D0F">
        <w:t xml:space="preserve">This </w:t>
      </w:r>
      <w:r w:rsidR="00060AF5">
        <w:t>indicate</w:t>
      </w:r>
      <w:r w:rsidR="00106D0F">
        <w:t xml:space="preserve">s that </w:t>
      </w:r>
      <w:r w:rsidR="009868E6">
        <w:t>it is the meaning given to the activity or the object matters (</w:t>
      </w:r>
      <w:r w:rsidR="009868E6" w:rsidRPr="009868E6">
        <w:rPr>
          <w:i/>
          <w:iCs/>
        </w:rPr>
        <w:t>why</w:t>
      </w:r>
      <w:r w:rsidR="009868E6">
        <w:t xml:space="preserve"> and </w:t>
      </w:r>
      <w:r w:rsidR="009868E6" w:rsidRPr="009868E6">
        <w:rPr>
          <w:i/>
          <w:iCs/>
        </w:rPr>
        <w:t>how</w:t>
      </w:r>
      <w:r w:rsidR="009868E6">
        <w:t>), not the formality (</w:t>
      </w:r>
      <w:r w:rsidR="009868E6" w:rsidRPr="009868E6">
        <w:rPr>
          <w:i/>
          <w:iCs/>
        </w:rPr>
        <w:t>what</w:t>
      </w:r>
      <w:r w:rsidR="009868E6">
        <w:t xml:space="preserve">). </w:t>
      </w:r>
    </w:p>
    <w:p w14:paraId="36CE8722" w14:textId="2C22F16E" w:rsidR="003C53C7" w:rsidRDefault="003C53C7" w:rsidP="00427E29">
      <w:pPr>
        <w:jc w:val="both"/>
      </w:pPr>
    </w:p>
    <w:p w14:paraId="5394C6C7" w14:textId="35DC5F76" w:rsidR="003C53C7" w:rsidRDefault="003C53C7" w:rsidP="00427E29">
      <w:pPr>
        <w:jc w:val="both"/>
      </w:pPr>
    </w:p>
    <w:p w14:paraId="624702DD" w14:textId="77777777" w:rsidR="00106D0F" w:rsidRDefault="00106D0F" w:rsidP="00427E29">
      <w:pPr>
        <w:jc w:val="both"/>
      </w:pPr>
    </w:p>
    <w:p w14:paraId="700A978E" w14:textId="0A60EF47" w:rsidR="003C53C7" w:rsidRPr="00E168B9" w:rsidRDefault="003C53C7" w:rsidP="003C53C7">
      <w:pPr>
        <w:jc w:val="both"/>
        <w:rPr>
          <w:rFonts w:ascii="Century Gothic" w:hAnsi="Century Gothic"/>
          <w:b/>
          <w:bCs/>
        </w:rPr>
      </w:pPr>
      <w:r w:rsidRPr="00E168B9">
        <w:rPr>
          <w:rFonts w:ascii="Century Gothic" w:hAnsi="Century Gothic"/>
          <w:b/>
          <w:bCs/>
        </w:rPr>
        <w:t>Methodology</w:t>
      </w:r>
    </w:p>
    <w:p w14:paraId="61652782" w14:textId="77777777" w:rsidR="003C53C7" w:rsidRDefault="003C53C7" w:rsidP="003C53C7">
      <w:pPr>
        <w:jc w:val="both"/>
        <w:rPr>
          <w:rFonts w:ascii="Century Gothic" w:hAnsi="Century Gothic"/>
          <w:i/>
          <w:iCs/>
        </w:rPr>
      </w:pPr>
    </w:p>
    <w:p w14:paraId="00A98910" w14:textId="4C9698E1" w:rsidR="003C53C7" w:rsidRDefault="003C53C7" w:rsidP="003C53C7">
      <w:pPr>
        <w:jc w:val="both"/>
        <w:rPr>
          <w:rFonts w:ascii="Century Gothic" w:hAnsi="Century Gothic"/>
          <w:i/>
          <w:iCs/>
        </w:rPr>
      </w:pPr>
      <w:r w:rsidRPr="00A87EA0">
        <w:rPr>
          <w:rFonts w:ascii="Century Gothic" w:hAnsi="Century Gothic"/>
          <w:i/>
          <w:iCs/>
        </w:rPr>
        <w:t>Research Design</w:t>
      </w:r>
      <w:r w:rsidRPr="003138E7">
        <w:rPr>
          <w:rFonts w:ascii="Century Gothic" w:hAnsi="Century Gothic"/>
          <w:i/>
          <w:iCs/>
        </w:rPr>
        <w:t xml:space="preserve"> </w:t>
      </w:r>
      <w:r>
        <w:rPr>
          <w:rFonts w:ascii="Century Gothic" w:hAnsi="Century Gothic"/>
          <w:i/>
          <w:iCs/>
        </w:rPr>
        <w:t xml:space="preserve">and </w:t>
      </w:r>
      <w:r w:rsidRPr="00A87EA0">
        <w:rPr>
          <w:rFonts w:ascii="Century Gothic" w:hAnsi="Century Gothic"/>
          <w:i/>
          <w:iCs/>
        </w:rPr>
        <w:t>Approach</w:t>
      </w:r>
    </w:p>
    <w:p w14:paraId="5EB4094E" w14:textId="77777777" w:rsidR="003C53C7" w:rsidRDefault="003C53C7" w:rsidP="003C53C7">
      <w:pPr>
        <w:jc w:val="both"/>
      </w:pPr>
    </w:p>
    <w:p w14:paraId="1F032F63" w14:textId="5AAE85F2" w:rsidR="007C01B0" w:rsidRDefault="003C53C7" w:rsidP="007C01B0">
      <w:pPr>
        <w:jc w:val="both"/>
      </w:pPr>
      <w:r w:rsidRPr="00D42DF2">
        <w:t xml:space="preserve">This </w:t>
      </w:r>
      <w:r w:rsidR="00060AF5">
        <w:t>study</w:t>
      </w:r>
      <w:r w:rsidRPr="00D42DF2">
        <w:t xml:space="preserve"> employs</w:t>
      </w:r>
      <w:r w:rsidR="00B54D31">
        <w:t xml:space="preserve"> </w:t>
      </w:r>
      <w:r w:rsidRPr="00D42DF2">
        <w:rPr>
          <w:i/>
          <w:iCs/>
        </w:rPr>
        <w:t>a mixed research method</w:t>
      </w:r>
      <w:r w:rsidR="00F949C6">
        <w:t>, u</w:t>
      </w:r>
      <w:r w:rsidRPr="00D42DF2">
        <w:t>sing both quantitative (small-group survey) and qualitative (in-depth interview) approaches.</w:t>
      </w:r>
      <w:r w:rsidR="00D42DF2" w:rsidRPr="00D42DF2">
        <w:rPr>
          <w:vertAlign w:val="superscript"/>
        </w:rPr>
        <w:footnoteReference w:id="32"/>
      </w:r>
      <w:r>
        <w:t xml:space="preserve"> </w:t>
      </w:r>
      <w:r w:rsidR="00E21D0C">
        <w:t>Integration of</w:t>
      </w:r>
      <w:r>
        <w:t xml:space="preserve"> empirical and interpretative </w:t>
      </w:r>
      <w:r w:rsidR="007C01B0">
        <w:t>data</w:t>
      </w:r>
      <w:r w:rsidR="00D42DF2">
        <w:t xml:space="preserve"> brings many advantages. </w:t>
      </w:r>
      <w:r w:rsidR="00182247">
        <w:t xml:space="preserve">While </w:t>
      </w:r>
      <w:r w:rsidR="003F3584">
        <w:t xml:space="preserve">the </w:t>
      </w:r>
      <w:r w:rsidR="00182247">
        <w:t xml:space="preserve">survey allow findings to be </w:t>
      </w:r>
      <w:r w:rsidR="00F949C6">
        <w:t>analys</w:t>
      </w:r>
      <w:r w:rsidR="00182247">
        <w:t>ed in social groups (</w:t>
      </w:r>
      <w:r w:rsidR="00E21D0C">
        <w:t xml:space="preserve">such as </w:t>
      </w:r>
      <w:r w:rsidR="00182247">
        <w:t xml:space="preserve">age, education, religion, and </w:t>
      </w:r>
      <w:r w:rsidR="00F949C6">
        <w:t>race/</w:t>
      </w:r>
      <w:r w:rsidR="00182247">
        <w:t xml:space="preserve">heritage), and patterns to </w:t>
      </w:r>
      <w:r w:rsidR="00B54D31">
        <w:t>e</w:t>
      </w:r>
      <w:r w:rsidR="00182247">
        <w:t xml:space="preserve">merge among </w:t>
      </w:r>
      <w:r w:rsidR="00B54D31">
        <w:t xml:space="preserve">the </w:t>
      </w:r>
      <w:r w:rsidR="00182247">
        <w:t>general population, interview</w:t>
      </w:r>
      <w:r w:rsidR="00B54D31">
        <w:t>s</w:t>
      </w:r>
      <w:r w:rsidR="00182247">
        <w:t xml:space="preserve"> can </w:t>
      </w:r>
      <w:r w:rsidR="00E21D0C">
        <w:t>examine</w:t>
      </w:r>
      <w:r w:rsidR="00182247">
        <w:t xml:space="preserve"> the variety of </w:t>
      </w:r>
      <w:r w:rsidR="00F949C6">
        <w:t xml:space="preserve">individual </w:t>
      </w:r>
      <w:r w:rsidR="00182247">
        <w:t xml:space="preserve">perspectives </w:t>
      </w:r>
      <w:r w:rsidR="00E21D0C">
        <w:t>in</w:t>
      </w:r>
      <w:r w:rsidR="00182247">
        <w:t xml:space="preserve"> context.</w:t>
      </w:r>
      <w:r w:rsidR="00102A7F">
        <w:rPr>
          <w:rStyle w:val="FootnoteReference"/>
        </w:rPr>
        <w:footnoteReference w:id="33"/>
      </w:r>
      <w:r w:rsidR="00E21D0C" w:rsidRPr="00E21D0C">
        <w:t xml:space="preserve"> </w:t>
      </w:r>
      <w:r w:rsidR="00E21D0C">
        <w:t xml:space="preserve">According to </w:t>
      </w:r>
      <w:r w:rsidR="00E21D0C" w:rsidRPr="007C01B0">
        <w:t>Claude Lévi-Strauss</w:t>
      </w:r>
      <w:r w:rsidR="00D04CC0">
        <w:t xml:space="preserve"> and </w:t>
      </w:r>
      <w:r w:rsidR="00D04CC0" w:rsidRPr="00D04CC0">
        <w:t>Clifford Geertz</w:t>
      </w:r>
      <w:r w:rsidR="00E21D0C">
        <w:t xml:space="preserve">, </w:t>
      </w:r>
      <w:r w:rsidR="00286A12">
        <w:t>rich descriptions produced by interviews</w:t>
      </w:r>
      <w:r w:rsidR="00E21D0C">
        <w:t xml:space="preserve"> can avoid </w:t>
      </w:r>
      <w:r w:rsidR="00E21D0C" w:rsidRPr="007C01B0">
        <w:t>homogeneity</w:t>
      </w:r>
      <w:r w:rsidR="00D04CC0">
        <w:t xml:space="preserve"> and </w:t>
      </w:r>
      <w:r w:rsidR="00E21D0C" w:rsidRPr="007C01B0">
        <w:t xml:space="preserve">the creation of artificial </w:t>
      </w:r>
      <w:r w:rsidR="00D04CC0">
        <w:t xml:space="preserve">social </w:t>
      </w:r>
      <w:r w:rsidR="00E21D0C" w:rsidRPr="007C01B0">
        <w:t>hierarchy</w:t>
      </w:r>
      <w:r w:rsidR="00D04CC0">
        <w:t xml:space="preserve">, </w:t>
      </w:r>
      <w:r w:rsidR="005813EE">
        <w:t>like</w:t>
      </w:r>
      <w:r w:rsidR="00D04CC0">
        <w:t xml:space="preserve"> the colonist religious attitude mentioned above</w:t>
      </w:r>
      <w:r w:rsidR="00E21D0C" w:rsidRPr="007C01B0">
        <w:t>.</w:t>
      </w:r>
      <w:r w:rsidR="00E21D0C" w:rsidRPr="007C01B0">
        <w:rPr>
          <w:rStyle w:val="FootnoteReference"/>
        </w:rPr>
        <w:footnoteReference w:id="34"/>
      </w:r>
      <w:r w:rsidR="00286A12">
        <w:t xml:space="preserve"> </w:t>
      </w:r>
      <w:r w:rsidR="007C01B0">
        <w:t xml:space="preserve">It also promotes gender justice and </w:t>
      </w:r>
      <w:r w:rsidR="00F177A0">
        <w:t>creates</w:t>
      </w:r>
      <w:r w:rsidR="007C01B0">
        <w:t xml:space="preserve"> </w:t>
      </w:r>
      <w:r w:rsidR="00F177A0">
        <w:t>a balanced</w:t>
      </w:r>
      <w:r w:rsidR="007C01B0">
        <w:t xml:space="preserve"> power dynamic between researcher and participants.</w:t>
      </w:r>
      <w:r w:rsidR="007C01B0">
        <w:rPr>
          <w:rStyle w:val="FootnoteReference"/>
        </w:rPr>
        <w:footnoteReference w:id="35"/>
      </w:r>
      <w:r w:rsidR="007C01B0">
        <w:t xml:space="preserve"> </w:t>
      </w:r>
    </w:p>
    <w:p w14:paraId="00441748" w14:textId="77777777" w:rsidR="003C53C7" w:rsidRDefault="003C53C7" w:rsidP="003C53C7">
      <w:pPr>
        <w:jc w:val="both"/>
      </w:pPr>
    </w:p>
    <w:p w14:paraId="0786F918" w14:textId="4DF27A1D" w:rsidR="002F623E" w:rsidRDefault="003C53C7" w:rsidP="002F623E">
      <w:pPr>
        <w:jc w:val="both"/>
      </w:pPr>
      <w:r>
        <w:t>The questionnaire consist</w:t>
      </w:r>
      <w:r w:rsidR="00EB29BF">
        <w:t>ed</w:t>
      </w:r>
      <w:r>
        <w:t xml:space="preserve"> of demographic information and eight questions, combining multiple choice, scale, checkbox and open question. The interviews </w:t>
      </w:r>
      <w:r w:rsidR="00EB29BF">
        <w:t>were</w:t>
      </w:r>
      <w:r>
        <w:t xml:space="preserve"> semi-structured and last between 30 </w:t>
      </w:r>
      <w:r w:rsidR="00EB29BF">
        <w:t>to</w:t>
      </w:r>
      <w:r>
        <w:t xml:space="preserve"> 50 mins. </w:t>
      </w:r>
      <w:r w:rsidR="002F623E" w:rsidRPr="002F623E">
        <w:t xml:space="preserve">Both the questionnaire and the interview were centred around individuals’ understanding, attitude towards, and experience of the singing bowl practice, as well as reflections on their religious </w:t>
      </w:r>
      <w:r w:rsidR="00BD66F9">
        <w:t>affiliations</w:t>
      </w:r>
      <w:r w:rsidR="002F623E" w:rsidRPr="002F623E">
        <w:t>. However, the interview allowed much broader questions to be asked about personal cosmologies and more details to be given on participants’ personal experience.</w:t>
      </w:r>
    </w:p>
    <w:p w14:paraId="4AE3E7D9" w14:textId="244258A9" w:rsidR="00E61A76" w:rsidRDefault="00E61A76" w:rsidP="002F623E">
      <w:pPr>
        <w:jc w:val="both"/>
      </w:pPr>
    </w:p>
    <w:p w14:paraId="2C5D06C7" w14:textId="77777777" w:rsidR="00782E49" w:rsidRDefault="00782E49" w:rsidP="002F623E">
      <w:pPr>
        <w:jc w:val="both"/>
      </w:pPr>
    </w:p>
    <w:p w14:paraId="644FC131" w14:textId="72ADC594" w:rsidR="00E61A76" w:rsidRPr="00C61F37" w:rsidRDefault="00E61A76" w:rsidP="00E61A76">
      <w:pPr>
        <w:jc w:val="both"/>
        <w:rPr>
          <w:rFonts w:ascii="Century Gothic" w:hAnsi="Century Gothic"/>
        </w:rPr>
      </w:pPr>
      <w:r w:rsidRPr="00C61F37">
        <w:rPr>
          <w:rFonts w:ascii="Century Gothic" w:hAnsi="Century Gothic"/>
          <w:i/>
          <w:iCs/>
        </w:rPr>
        <w:t>Target Group</w:t>
      </w:r>
    </w:p>
    <w:p w14:paraId="62B36E8F" w14:textId="77777777" w:rsidR="00E61A76" w:rsidRPr="00C61F37" w:rsidRDefault="00E61A76" w:rsidP="00E61A76">
      <w:pPr>
        <w:jc w:val="both"/>
      </w:pPr>
    </w:p>
    <w:p w14:paraId="18A54429" w14:textId="17F107E7" w:rsidR="00E61A76" w:rsidRDefault="00E61A76" w:rsidP="00E61A76">
      <w:pPr>
        <w:jc w:val="both"/>
      </w:pPr>
      <w:r w:rsidRPr="00C61F37">
        <w:t xml:space="preserve">The target group </w:t>
      </w:r>
      <w:r w:rsidR="00E6663F">
        <w:t>for</w:t>
      </w:r>
      <w:r w:rsidRPr="00C61F37">
        <w:t xml:space="preserve"> this research </w:t>
      </w:r>
      <w:r w:rsidR="00E6663F">
        <w:t>comprises</w:t>
      </w:r>
      <w:r w:rsidRPr="00C61F37">
        <w:t xml:space="preserve"> the participants</w:t>
      </w:r>
      <w:r w:rsidR="00E6663F">
        <w:t xml:space="preserve"> in</w:t>
      </w:r>
      <w:r w:rsidRPr="00C61F37">
        <w:t xml:space="preserve"> singing bowl therapies in the city of Bristol, in the South West of England, led by a single singing bowl practitioner with over 400 online followers. The uniqueness of Bristol is that the city has the third highest proportion of people with no religion of any local authorit</w:t>
      </w:r>
      <w:r w:rsidR="00F3534A">
        <w:t>y</w:t>
      </w:r>
      <w:r w:rsidRPr="00C61F37">
        <w:t xml:space="preserve"> in England, with more than 45 religions represented, which is highly diverse.</w:t>
      </w:r>
      <w:r w:rsidRPr="00C61F37">
        <w:rPr>
          <w:rStyle w:val="FootnoteReference"/>
        </w:rPr>
        <w:footnoteReference w:id="36"/>
      </w:r>
      <w:r w:rsidRPr="00C61F37">
        <w:t xml:space="preserve"> </w:t>
      </w:r>
      <w:r w:rsidR="00782E49">
        <w:t>Besides, t</w:t>
      </w:r>
      <w:r w:rsidR="00040F1C">
        <w:t>he South West area</w:t>
      </w:r>
      <w:r w:rsidR="00E6663F">
        <w:t xml:space="preserve"> has a large Pagan</w:t>
      </w:r>
      <w:r w:rsidR="00CA7F56">
        <w:t xml:space="preserve"> and New Age</w:t>
      </w:r>
      <w:r w:rsidR="00E6663F">
        <w:t xml:space="preserve"> community</w:t>
      </w:r>
      <w:r w:rsidR="00CA7F56">
        <w:t>.</w:t>
      </w:r>
      <w:r w:rsidR="00E6663F">
        <w:rPr>
          <w:rStyle w:val="FootnoteReference"/>
        </w:rPr>
        <w:footnoteReference w:id="37"/>
      </w:r>
      <w:r w:rsidR="00CA7F56">
        <w:t xml:space="preserve"> </w:t>
      </w:r>
      <w:r w:rsidR="00C61F37">
        <w:t xml:space="preserve">This gives opportunities to </w:t>
      </w:r>
      <w:r w:rsidR="00CE1DDB">
        <w:t>investigate</w:t>
      </w:r>
      <w:r w:rsidR="00C61F37">
        <w:t xml:space="preserve"> </w:t>
      </w:r>
      <w:r w:rsidR="00750F69">
        <w:t xml:space="preserve">a range of spiritual experiences, </w:t>
      </w:r>
      <w:r w:rsidR="008125AD">
        <w:t>especially</w:t>
      </w:r>
      <w:r w:rsidR="00750F69">
        <w:t xml:space="preserve"> </w:t>
      </w:r>
      <w:r w:rsidRPr="00040F1C">
        <w:t>alternative spiritualit</w:t>
      </w:r>
      <w:r w:rsidR="00750F69" w:rsidRPr="00040F1C">
        <w:t>ies</w:t>
      </w:r>
      <w:r w:rsidR="00B251A3">
        <w:t>,</w:t>
      </w:r>
      <w:r w:rsidR="00FF5474">
        <w:t xml:space="preserve"> such as sound healing via singing bowls</w:t>
      </w:r>
      <w:r w:rsidRPr="00040F1C">
        <w:t>.</w:t>
      </w:r>
      <w:r w:rsidR="0022112F">
        <w:t xml:space="preserve"> Based on </w:t>
      </w:r>
      <w:r w:rsidR="00F3534A">
        <w:t xml:space="preserve">the </w:t>
      </w:r>
      <w:r w:rsidR="0022112F">
        <w:t xml:space="preserve">advice of </w:t>
      </w:r>
      <w:r w:rsidR="0022112F" w:rsidRPr="0022112F">
        <w:t>Monique Hennink, Inge Hutter and Ajay Bailey</w:t>
      </w:r>
      <w:r w:rsidR="0022112F">
        <w:t>, r</w:t>
      </w:r>
      <w:r w:rsidRPr="00C61F37">
        <w:t xml:space="preserve">ecruitment was assisted and endorsed by </w:t>
      </w:r>
      <w:r w:rsidR="0022112F">
        <w:t>a</w:t>
      </w:r>
      <w:r w:rsidRPr="00C61F37">
        <w:t xml:space="preserve"> gatekeeper, i.e. the group leader</w:t>
      </w:r>
      <w:r w:rsidR="0022112F">
        <w:t xml:space="preserve">, who </w:t>
      </w:r>
      <w:r w:rsidR="006E4F4D">
        <w:t>gave suggestion</w:t>
      </w:r>
      <w:r w:rsidR="00E6663F">
        <w:t>s</w:t>
      </w:r>
      <w:r w:rsidR="006E4F4D">
        <w:t xml:space="preserve"> to</w:t>
      </w:r>
      <w:r w:rsidR="002F086E">
        <w:t xml:space="preserve"> </w:t>
      </w:r>
      <w:r w:rsidR="006E4F4D">
        <w:t>the survey</w:t>
      </w:r>
      <w:r w:rsidR="002F086E">
        <w:t xml:space="preserve"> design based on their </w:t>
      </w:r>
      <w:r w:rsidRPr="00C61F37">
        <w:t xml:space="preserve">understanding of the group and its characteristics, </w:t>
      </w:r>
      <w:r w:rsidR="00CC6D7B">
        <w:t xml:space="preserve">and </w:t>
      </w:r>
      <w:r w:rsidRPr="00C61F37">
        <w:t>encourag</w:t>
      </w:r>
      <w:r w:rsidR="00CC6D7B">
        <w:t>ed</w:t>
      </w:r>
      <w:r w:rsidRPr="00C61F37">
        <w:t xml:space="preserve"> participation.</w:t>
      </w:r>
      <w:r w:rsidRPr="00C61F37">
        <w:rPr>
          <w:rStyle w:val="FootnoteReference"/>
        </w:rPr>
        <w:footnoteReference w:id="38"/>
      </w:r>
      <w:r w:rsidRPr="00C61F37">
        <w:t xml:space="preserve"> A</w:t>
      </w:r>
      <w:r w:rsidR="00E6663F">
        <w:t>n a</w:t>
      </w:r>
      <w:r w:rsidRPr="00C61F37">
        <w:t xml:space="preserve">dvertisement was </w:t>
      </w:r>
      <w:r w:rsidR="00E6663F">
        <w:t>posted</w:t>
      </w:r>
      <w:r w:rsidRPr="00C61F37">
        <w:t xml:space="preserve"> in the informal WhatsApp group with 178 members. Calls for volunteers were made before and after singing bowl sessions to recruit any newcomers to the group. Other recruitment strategies applied include personal contacts and snowballing. To maximise the response rate, a combination of paper and online Google Form (over a period of two weeks) questionnaires was used. Interviews were arranged via Zoom </w:t>
      </w:r>
      <w:r w:rsidR="00340354">
        <w:t>for easy scheduling</w:t>
      </w:r>
      <w:r w:rsidRPr="00C61F37">
        <w:t>.</w:t>
      </w:r>
      <w:r>
        <w:t xml:space="preserve"> </w:t>
      </w:r>
    </w:p>
    <w:p w14:paraId="524D628D" w14:textId="07D9D843" w:rsidR="00A0740C" w:rsidRDefault="00A0740C" w:rsidP="00E61A76">
      <w:pPr>
        <w:jc w:val="both"/>
      </w:pPr>
    </w:p>
    <w:p w14:paraId="62B95678" w14:textId="7B372FC1" w:rsidR="00A0740C" w:rsidRDefault="00A0740C" w:rsidP="00E61A76">
      <w:pPr>
        <w:jc w:val="both"/>
      </w:pPr>
    </w:p>
    <w:p w14:paraId="3C351CB3" w14:textId="4E559BD5" w:rsidR="00A0740C" w:rsidRPr="00847B73" w:rsidRDefault="00A0740C" w:rsidP="00A0740C">
      <w:pPr>
        <w:jc w:val="both"/>
        <w:rPr>
          <w:rFonts w:ascii="Century Gothic" w:hAnsi="Century Gothic"/>
        </w:rPr>
      </w:pPr>
      <w:r w:rsidRPr="00A87EA0">
        <w:rPr>
          <w:rFonts w:ascii="Century Gothic" w:hAnsi="Century Gothic"/>
          <w:i/>
          <w:iCs/>
        </w:rPr>
        <w:t>Protocol</w:t>
      </w:r>
    </w:p>
    <w:p w14:paraId="5C9AC16A" w14:textId="77777777" w:rsidR="00A0740C" w:rsidRDefault="00A0740C" w:rsidP="00A0740C">
      <w:pPr>
        <w:jc w:val="both"/>
      </w:pPr>
    </w:p>
    <w:p w14:paraId="37FAD6CD" w14:textId="38CEABF3" w:rsidR="00A0740C" w:rsidRPr="001F43EB" w:rsidRDefault="00A0740C" w:rsidP="00A0740C">
      <w:pPr>
        <w:jc w:val="both"/>
      </w:pPr>
      <w:r>
        <w:t>To establish some level of mutual understanding, all respondents had attended a singing bowl session following the protocol below, although they were not limited to speak</w:t>
      </w:r>
      <w:r w:rsidR="00B14F1D">
        <w:t>ing</w:t>
      </w:r>
      <w:r>
        <w:t xml:space="preserve"> about a broader experience.</w:t>
      </w:r>
    </w:p>
    <w:p w14:paraId="2D0F4167" w14:textId="77777777" w:rsidR="00A0740C" w:rsidRDefault="00A0740C" w:rsidP="00A0740C">
      <w:pPr>
        <w:jc w:val="both"/>
      </w:pPr>
    </w:p>
    <w:p w14:paraId="0F2FEA1D" w14:textId="2861A5FA" w:rsidR="00A0740C" w:rsidRDefault="00A0740C" w:rsidP="00A0740C">
      <w:pPr>
        <w:jc w:val="both"/>
      </w:pPr>
      <w:r>
        <w:t xml:space="preserve">Participants were invited to lie down on yoga mats, with a pillow and a blanket. The mats were arranged in rows and columns, and the participants could point either their heads or feet towards the main stage, where most instruments and stereo speakers were placed. Each </w:t>
      </w:r>
      <w:r>
        <w:t>session</w:t>
      </w:r>
      <w:r>
        <w:t xml:space="preserve"> started </w:t>
      </w:r>
      <w:r>
        <w:lastRenderedPageBreak/>
        <w:t xml:space="preserve">with a short explanation of the brainwave theory, followed by a breathing exercise and a guided meditation, where the participants were instructed to </w:t>
      </w:r>
      <w:r>
        <w:t>visualise an encounter with ‘someone’ at a stone circle.</w:t>
      </w:r>
      <w:r>
        <w:t xml:space="preserve"> </w:t>
      </w:r>
      <w:r>
        <w:t>‘Someone’</w:t>
      </w:r>
      <w:r w:rsidRPr="00EE2B67">
        <w:t xml:space="preserve"> in this context is a loose term, equivalent to Ilkka Pyysiäinen’s definition of ‘supernatural agent</w:t>
      </w:r>
      <w:r w:rsidR="000B55AB">
        <w:t>s</w:t>
      </w:r>
      <w:r w:rsidRPr="00EE2B67">
        <w:t xml:space="preserve">’, </w:t>
      </w:r>
      <w:r>
        <w:t xml:space="preserve">bodiless </w:t>
      </w:r>
      <w:r w:rsidRPr="00DE6472">
        <w:t>‘beings with animacy and mentality</w:t>
      </w:r>
      <w:r w:rsidR="00DE6472" w:rsidRPr="00DE6472">
        <w:t>’</w:t>
      </w:r>
      <w:r w:rsidRPr="00DE6472">
        <w:t>, such as deities, souls and spirits, God, and Buddhas.</w:t>
      </w:r>
      <w:r w:rsidRPr="00DE6472">
        <w:rPr>
          <w:rStyle w:val="FootnoteReference"/>
        </w:rPr>
        <w:footnoteReference w:id="39"/>
      </w:r>
      <w:r>
        <w:t xml:space="preserve"> Through the therapy, Tibetan singing bowls, gongs, Pyrenean wind chimes (</w:t>
      </w:r>
      <w:r w:rsidRPr="00B64D13">
        <w:rPr>
          <w:i/>
          <w:iCs/>
        </w:rPr>
        <w:t>Koshi</w:t>
      </w:r>
      <w:r>
        <w:sym w:font="Symbol" w:char="F0D2"/>
      </w:r>
      <w:r>
        <w:t xml:space="preserve">), Ting-sha, steel tongue drum, Shruti box, and monochord were played, with singing bowls being the main feature. </w:t>
      </w:r>
      <w:r>
        <w:t>Each session</w:t>
      </w:r>
      <w:r>
        <w:t xml:space="preserve"> lasted for ninety minutes.</w:t>
      </w:r>
    </w:p>
    <w:p w14:paraId="452937C5" w14:textId="0CE01731" w:rsidR="00040F1C" w:rsidRDefault="00040F1C" w:rsidP="00A0740C">
      <w:pPr>
        <w:jc w:val="both"/>
      </w:pPr>
    </w:p>
    <w:p w14:paraId="067B4600" w14:textId="42393123" w:rsidR="00040F1C" w:rsidRDefault="00040F1C" w:rsidP="00A0740C">
      <w:pPr>
        <w:jc w:val="both"/>
      </w:pPr>
    </w:p>
    <w:p w14:paraId="65E95ACF" w14:textId="527EA5BB" w:rsidR="00040F1C" w:rsidRPr="0007400B" w:rsidRDefault="00040F1C" w:rsidP="00040F1C">
      <w:pPr>
        <w:jc w:val="both"/>
        <w:rPr>
          <w:rFonts w:ascii="Century Gothic" w:hAnsi="Century Gothic"/>
          <w:i/>
          <w:iCs/>
        </w:rPr>
      </w:pPr>
      <w:r w:rsidRPr="0007400B">
        <w:rPr>
          <w:rFonts w:ascii="Century Gothic" w:hAnsi="Century Gothic"/>
          <w:i/>
          <w:iCs/>
        </w:rPr>
        <w:t>Reflexivity and Ethics</w:t>
      </w:r>
    </w:p>
    <w:p w14:paraId="444DAD5C" w14:textId="5FA8D557" w:rsidR="00040F1C" w:rsidRPr="0007400B" w:rsidRDefault="00040F1C" w:rsidP="00040F1C">
      <w:pPr>
        <w:jc w:val="both"/>
        <w:rPr>
          <w:rFonts w:ascii="Century Gothic" w:hAnsi="Century Gothic"/>
          <w:i/>
          <w:iCs/>
        </w:rPr>
      </w:pPr>
    </w:p>
    <w:p w14:paraId="3D473028" w14:textId="1F9CA0BB" w:rsidR="003C6BED" w:rsidRDefault="00F056B3" w:rsidP="003C6BED">
      <w:pPr>
        <w:jc w:val="both"/>
        <w:rPr>
          <w:iCs/>
          <w:color w:val="000000" w:themeColor="text1"/>
        </w:rPr>
      </w:pPr>
      <w:r w:rsidRPr="00631AEE">
        <w:t>This research</w:t>
      </w:r>
      <w:r w:rsidR="00462AB3" w:rsidRPr="00631AEE">
        <w:t xml:space="preserve"> applies </w:t>
      </w:r>
      <w:r w:rsidR="00462AB3" w:rsidRPr="00631AEE">
        <w:t>Kathryn Haynes</w:t>
      </w:r>
      <w:r w:rsidR="00462AB3" w:rsidRPr="00631AEE">
        <w:t>’ concept of reflexive awareness</w:t>
      </w:r>
      <w:r w:rsidR="00631AEE" w:rsidRPr="00631AEE">
        <w:t xml:space="preserve"> </w:t>
      </w:r>
      <w:r w:rsidR="00462AB3" w:rsidRPr="00631AEE">
        <w:t>into practice on multiple levels.</w:t>
      </w:r>
      <w:r w:rsidR="00462AB3" w:rsidRPr="00631AEE">
        <w:rPr>
          <w:rStyle w:val="FootnoteReference"/>
        </w:rPr>
        <w:footnoteReference w:id="40"/>
      </w:r>
      <w:r w:rsidR="00631AEE">
        <w:t xml:space="preserve"> </w:t>
      </w:r>
      <w:r w:rsidR="00040F1C" w:rsidRPr="0007400B">
        <w:t>Theoretically, this paper adopts the position of cultural relativism</w:t>
      </w:r>
      <w:r w:rsidR="0007400B">
        <w:t xml:space="preserve"> and decolonialism</w:t>
      </w:r>
      <w:r w:rsidR="00040F1C" w:rsidRPr="0007400B">
        <w:t>.</w:t>
      </w:r>
      <w:r w:rsidR="0007400B">
        <w:t xml:space="preserve"> </w:t>
      </w:r>
      <w:r w:rsidR="002D6976">
        <w:t>By former, s</w:t>
      </w:r>
      <w:r w:rsidR="0007400B">
        <w:t xml:space="preserve">paces were provided to allow as much </w:t>
      </w:r>
      <w:r w:rsidR="0007400B">
        <w:rPr>
          <w:iCs/>
          <w:color w:val="000000" w:themeColor="text1"/>
        </w:rPr>
        <w:t>self-description as possible</w:t>
      </w:r>
      <w:r w:rsidR="00065DFF">
        <w:rPr>
          <w:iCs/>
          <w:color w:val="000000" w:themeColor="text1"/>
        </w:rPr>
        <w:t xml:space="preserve">; </w:t>
      </w:r>
      <w:r w:rsidR="002D6976">
        <w:rPr>
          <w:iCs/>
          <w:color w:val="000000" w:themeColor="text1"/>
        </w:rPr>
        <w:t>l</w:t>
      </w:r>
      <w:r w:rsidR="0007400B">
        <w:rPr>
          <w:iCs/>
          <w:color w:val="000000" w:themeColor="text1"/>
        </w:rPr>
        <w:t>eading questions were avoided during interviews</w:t>
      </w:r>
      <w:r w:rsidR="00065DFF">
        <w:rPr>
          <w:iCs/>
          <w:color w:val="000000" w:themeColor="text1"/>
        </w:rPr>
        <w:t>; statistical contents were analysed in context</w:t>
      </w:r>
      <w:r w:rsidR="0007400B">
        <w:rPr>
          <w:iCs/>
          <w:color w:val="000000" w:themeColor="text1"/>
        </w:rPr>
        <w:t>.</w:t>
      </w:r>
      <w:r w:rsidR="002D6976">
        <w:rPr>
          <w:iCs/>
          <w:color w:val="000000" w:themeColor="text1"/>
        </w:rPr>
        <w:t xml:space="preserve"> By latter,  </w:t>
      </w:r>
      <w:r w:rsidR="002D6976" w:rsidRPr="002D6976">
        <w:rPr>
          <w:iCs/>
          <w:color w:val="000000" w:themeColor="text1"/>
        </w:rPr>
        <w:t>w</w:t>
      </w:r>
      <w:r w:rsidR="002D6976" w:rsidRPr="002D6976">
        <w:rPr>
          <w:iCs/>
          <w:color w:val="000000" w:themeColor="text1"/>
        </w:rPr>
        <w:t xml:space="preserve">hen designing the </w:t>
      </w:r>
      <w:r w:rsidR="00065DFF">
        <w:rPr>
          <w:iCs/>
          <w:color w:val="000000" w:themeColor="text1"/>
        </w:rPr>
        <w:t>research</w:t>
      </w:r>
      <w:r w:rsidR="002D6976" w:rsidRPr="002D6976">
        <w:rPr>
          <w:iCs/>
          <w:color w:val="000000" w:themeColor="text1"/>
        </w:rPr>
        <w:t xml:space="preserve">, Equity, </w:t>
      </w:r>
      <w:r w:rsidR="00AA6B8E">
        <w:rPr>
          <w:iCs/>
          <w:color w:val="000000" w:themeColor="text1"/>
        </w:rPr>
        <w:t>D</w:t>
      </w:r>
      <w:r w:rsidR="002D6976" w:rsidRPr="002D6976">
        <w:rPr>
          <w:iCs/>
          <w:color w:val="000000" w:themeColor="text1"/>
        </w:rPr>
        <w:t xml:space="preserve">iversity and </w:t>
      </w:r>
      <w:r w:rsidR="00AA6B8E">
        <w:rPr>
          <w:iCs/>
          <w:color w:val="000000" w:themeColor="text1"/>
        </w:rPr>
        <w:t>I</w:t>
      </w:r>
      <w:r w:rsidR="002D6976" w:rsidRPr="002D6976">
        <w:rPr>
          <w:iCs/>
          <w:color w:val="000000" w:themeColor="text1"/>
        </w:rPr>
        <w:t xml:space="preserve">nclusion (EDI) lens </w:t>
      </w:r>
      <w:r w:rsidR="00AA6B8E">
        <w:rPr>
          <w:iCs/>
          <w:color w:val="000000" w:themeColor="text1"/>
        </w:rPr>
        <w:t>were</w:t>
      </w:r>
      <w:r w:rsidR="002D6976" w:rsidRPr="002D6976">
        <w:rPr>
          <w:iCs/>
          <w:color w:val="000000" w:themeColor="text1"/>
        </w:rPr>
        <w:t xml:space="preserve"> applied to ensure appropriate language </w:t>
      </w:r>
      <w:r w:rsidR="00134FFD">
        <w:rPr>
          <w:iCs/>
          <w:color w:val="000000" w:themeColor="text1"/>
        </w:rPr>
        <w:t>wa</w:t>
      </w:r>
      <w:r w:rsidR="002D6976" w:rsidRPr="002D6976">
        <w:rPr>
          <w:iCs/>
          <w:color w:val="000000" w:themeColor="text1"/>
        </w:rPr>
        <w:t>s used to promote inclusivity and value diversity.</w:t>
      </w:r>
      <w:r w:rsidR="002D6976" w:rsidRPr="002D6976">
        <w:rPr>
          <w:rStyle w:val="FootnoteReference"/>
          <w:iCs/>
          <w:color w:val="000000" w:themeColor="text1"/>
        </w:rPr>
        <w:footnoteReference w:id="41"/>
      </w:r>
      <w:r w:rsidR="00134FFD">
        <w:rPr>
          <w:iCs/>
          <w:color w:val="000000" w:themeColor="text1"/>
        </w:rPr>
        <w:t xml:space="preserve"> </w:t>
      </w:r>
      <w:r w:rsidR="001F5E30">
        <w:rPr>
          <w:iCs/>
          <w:color w:val="000000" w:themeColor="text1"/>
        </w:rPr>
        <w:t>T</w:t>
      </w:r>
      <w:r w:rsidR="00134FFD">
        <w:rPr>
          <w:iCs/>
          <w:color w:val="000000" w:themeColor="text1"/>
        </w:rPr>
        <w:t>he research was supported by the singing bowl group leader, and some interviewees also know me as a fellow singing bowl participant</w:t>
      </w:r>
      <w:r w:rsidR="001F5E30">
        <w:rPr>
          <w:iCs/>
          <w:color w:val="000000" w:themeColor="text1"/>
        </w:rPr>
        <w:t xml:space="preserve">. While </w:t>
      </w:r>
      <w:r w:rsidR="003C6BED">
        <w:rPr>
          <w:iCs/>
          <w:color w:val="000000" w:themeColor="text1"/>
        </w:rPr>
        <w:t xml:space="preserve">this emic perspective allows </w:t>
      </w:r>
      <w:r w:rsidR="001F5E30">
        <w:rPr>
          <w:iCs/>
          <w:color w:val="000000" w:themeColor="text1"/>
        </w:rPr>
        <w:t xml:space="preserve">rapport </w:t>
      </w:r>
      <w:r w:rsidR="003C6BED">
        <w:rPr>
          <w:iCs/>
          <w:color w:val="000000" w:themeColor="text1"/>
        </w:rPr>
        <w:t>to be</w:t>
      </w:r>
      <w:r w:rsidR="001F5E30">
        <w:rPr>
          <w:iCs/>
          <w:color w:val="000000" w:themeColor="text1"/>
        </w:rPr>
        <w:t xml:space="preserve"> </w:t>
      </w:r>
      <w:r w:rsidR="00B80B10">
        <w:rPr>
          <w:iCs/>
          <w:color w:val="000000" w:themeColor="text1"/>
        </w:rPr>
        <w:t>built</w:t>
      </w:r>
      <w:r w:rsidR="003C6BED" w:rsidRPr="003C6BED">
        <w:rPr>
          <w:iCs/>
          <w:color w:val="000000" w:themeColor="text1"/>
        </w:rPr>
        <w:t xml:space="preserve"> </w:t>
      </w:r>
      <w:r w:rsidR="003C6BED">
        <w:rPr>
          <w:iCs/>
          <w:color w:val="000000" w:themeColor="text1"/>
        </w:rPr>
        <w:t>easily</w:t>
      </w:r>
      <w:r w:rsidR="001F5E30">
        <w:rPr>
          <w:iCs/>
          <w:color w:val="000000" w:themeColor="text1"/>
        </w:rPr>
        <w:t xml:space="preserve">, there </w:t>
      </w:r>
      <w:r w:rsidR="003C6BED">
        <w:rPr>
          <w:iCs/>
          <w:color w:val="000000" w:themeColor="text1"/>
        </w:rPr>
        <w:t>is</w:t>
      </w:r>
      <w:r w:rsidR="001F5E30">
        <w:rPr>
          <w:iCs/>
          <w:color w:val="000000" w:themeColor="text1"/>
        </w:rPr>
        <w:t xml:space="preserve"> </w:t>
      </w:r>
      <w:r w:rsidR="00B14F1D">
        <w:rPr>
          <w:iCs/>
          <w:color w:val="000000" w:themeColor="text1"/>
        </w:rPr>
        <w:t xml:space="preserve">a </w:t>
      </w:r>
      <w:r w:rsidR="001F5E30">
        <w:rPr>
          <w:iCs/>
          <w:color w:val="000000" w:themeColor="text1"/>
        </w:rPr>
        <w:t xml:space="preserve">danger to </w:t>
      </w:r>
      <w:r w:rsidR="00B80B10">
        <w:rPr>
          <w:iCs/>
          <w:color w:val="000000" w:themeColor="text1"/>
        </w:rPr>
        <w:t xml:space="preserve">be subjective or to </w:t>
      </w:r>
      <w:r w:rsidR="001F5E30">
        <w:rPr>
          <w:iCs/>
          <w:color w:val="000000" w:themeColor="text1"/>
        </w:rPr>
        <w:t>assum</w:t>
      </w:r>
      <w:r w:rsidR="00B80B10">
        <w:rPr>
          <w:iCs/>
          <w:color w:val="000000" w:themeColor="text1"/>
        </w:rPr>
        <w:t xml:space="preserve">e that the interpretations of certain </w:t>
      </w:r>
      <w:r w:rsidR="003F3584">
        <w:rPr>
          <w:iCs/>
          <w:color w:val="000000" w:themeColor="text1"/>
        </w:rPr>
        <w:t>concept</w:t>
      </w:r>
      <w:r w:rsidR="00B80B10">
        <w:rPr>
          <w:iCs/>
          <w:color w:val="000000" w:themeColor="text1"/>
        </w:rPr>
        <w:t xml:space="preserve">s </w:t>
      </w:r>
      <w:r w:rsidR="003C6BED">
        <w:rPr>
          <w:iCs/>
          <w:color w:val="000000" w:themeColor="text1"/>
        </w:rPr>
        <w:t>are</w:t>
      </w:r>
      <w:r w:rsidR="00B80B10">
        <w:rPr>
          <w:iCs/>
          <w:color w:val="000000" w:themeColor="text1"/>
        </w:rPr>
        <w:t xml:space="preserve"> established on the same level between the respondents</w:t>
      </w:r>
      <w:r w:rsidR="00B14F1D">
        <w:rPr>
          <w:iCs/>
          <w:color w:val="000000" w:themeColor="text1"/>
        </w:rPr>
        <w:t xml:space="preserve"> and me</w:t>
      </w:r>
      <w:r w:rsidR="00B80B10">
        <w:rPr>
          <w:iCs/>
          <w:color w:val="000000" w:themeColor="text1"/>
        </w:rPr>
        <w:t xml:space="preserve">. To avoid this, </w:t>
      </w:r>
      <w:r w:rsidR="001656A7">
        <w:rPr>
          <w:iCs/>
          <w:color w:val="000000" w:themeColor="text1"/>
        </w:rPr>
        <w:t xml:space="preserve">academic references were consulted wherever possible; </w:t>
      </w:r>
      <w:r w:rsidR="00B80B10">
        <w:rPr>
          <w:iCs/>
          <w:color w:val="000000" w:themeColor="text1"/>
        </w:rPr>
        <w:t>terminologi</w:t>
      </w:r>
      <w:r w:rsidR="00B14F1D">
        <w:rPr>
          <w:iCs/>
          <w:color w:val="000000" w:themeColor="text1"/>
        </w:rPr>
        <w:t>cal</w:t>
      </w:r>
      <w:r w:rsidR="003C6BED">
        <w:rPr>
          <w:iCs/>
          <w:color w:val="000000" w:themeColor="text1"/>
        </w:rPr>
        <w:t xml:space="preserve"> </w:t>
      </w:r>
      <w:r w:rsidR="00EC78C4">
        <w:rPr>
          <w:iCs/>
          <w:color w:val="000000" w:themeColor="text1"/>
        </w:rPr>
        <w:t>ambiguity</w:t>
      </w:r>
      <w:r w:rsidR="003C6BED">
        <w:rPr>
          <w:iCs/>
          <w:color w:val="000000" w:themeColor="text1"/>
        </w:rPr>
        <w:t xml:space="preserve"> were </w:t>
      </w:r>
      <w:r w:rsidR="00B14F1D">
        <w:rPr>
          <w:iCs/>
          <w:color w:val="000000" w:themeColor="text1"/>
        </w:rPr>
        <w:t>clarified</w:t>
      </w:r>
      <w:r w:rsidR="001656A7">
        <w:rPr>
          <w:iCs/>
          <w:color w:val="000000" w:themeColor="text1"/>
        </w:rPr>
        <w:t xml:space="preserve">; </w:t>
      </w:r>
      <w:r w:rsidR="003C6BED">
        <w:rPr>
          <w:iCs/>
          <w:color w:val="000000" w:themeColor="text1"/>
        </w:rPr>
        <w:t>information collected was repeated back and double-checked with the respondents. In terms of anonymity and confidentiality, r</w:t>
      </w:r>
      <w:r w:rsidR="003C6BED">
        <w:rPr>
          <w:iCs/>
          <w:color w:val="000000" w:themeColor="text1"/>
        </w:rPr>
        <w:t>espondent</w:t>
      </w:r>
      <w:r w:rsidR="003C6BED" w:rsidRPr="00FD25CA">
        <w:rPr>
          <w:iCs/>
          <w:color w:val="000000" w:themeColor="text1"/>
        </w:rPr>
        <w:t xml:space="preserve">s were only required to give a preferred name on </w:t>
      </w:r>
      <w:r w:rsidR="003C6BED">
        <w:rPr>
          <w:iCs/>
          <w:color w:val="000000" w:themeColor="text1"/>
        </w:rPr>
        <w:t xml:space="preserve">forms, which </w:t>
      </w:r>
      <w:r w:rsidR="003C6BED">
        <w:rPr>
          <w:iCs/>
          <w:color w:val="000000" w:themeColor="text1"/>
        </w:rPr>
        <w:t xml:space="preserve">were </w:t>
      </w:r>
      <w:r w:rsidR="00EC78C4">
        <w:rPr>
          <w:iCs/>
          <w:color w:val="000000" w:themeColor="text1"/>
        </w:rPr>
        <w:t xml:space="preserve">then </w:t>
      </w:r>
      <w:r w:rsidR="003C6BED">
        <w:rPr>
          <w:iCs/>
          <w:color w:val="000000" w:themeColor="text1"/>
        </w:rPr>
        <w:t>coded and anonymised before analysis</w:t>
      </w:r>
      <w:r w:rsidR="003C6BED" w:rsidRPr="00FD25CA">
        <w:rPr>
          <w:iCs/>
          <w:color w:val="000000" w:themeColor="text1"/>
        </w:rPr>
        <w:t xml:space="preserve">. </w:t>
      </w:r>
      <w:r w:rsidR="00205C86">
        <w:rPr>
          <w:iCs/>
          <w:color w:val="000000" w:themeColor="text1"/>
        </w:rPr>
        <w:t xml:space="preserve">During interviews, only the audio parts were recorded and stored. </w:t>
      </w:r>
      <w:r w:rsidR="00205C86" w:rsidRPr="00FD25CA">
        <w:rPr>
          <w:iCs/>
          <w:color w:val="000000" w:themeColor="text1"/>
        </w:rPr>
        <w:t>However, email addresses were collected when obtaining consent.</w:t>
      </w:r>
      <w:r w:rsidR="00205C86">
        <w:rPr>
          <w:iCs/>
          <w:color w:val="000000" w:themeColor="text1"/>
        </w:rPr>
        <w:t xml:space="preserve"> </w:t>
      </w:r>
      <w:r w:rsidR="003C6BED">
        <w:rPr>
          <w:iCs/>
          <w:color w:val="000000" w:themeColor="text1"/>
        </w:rPr>
        <w:t xml:space="preserve">Any personal data </w:t>
      </w:r>
      <w:r w:rsidR="00205C86">
        <w:rPr>
          <w:iCs/>
          <w:color w:val="000000" w:themeColor="text1"/>
        </w:rPr>
        <w:t xml:space="preserve">accidentally </w:t>
      </w:r>
      <w:r w:rsidR="00065DFF">
        <w:rPr>
          <w:iCs/>
          <w:color w:val="000000" w:themeColor="text1"/>
        </w:rPr>
        <w:t xml:space="preserve">revealed or </w:t>
      </w:r>
      <w:r w:rsidR="003C6BED">
        <w:rPr>
          <w:iCs/>
          <w:color w:val="000000" w:themeColor="text1"/>
        </w:rPr>
        <w:t xml:space="preserve">collected </w:t>
      </w:r>
      <w:r w:rsidR="00205C86">
        <w:rPr>
          <w:iCs/>
          <w:color w:val="000000" w:themeColor="text1"/>
        </w:rPr>
        <w:t xml:space="preserve">was </w:t>
      </w:r>
      <w:r w:rsidR="003C6BED">
        <w:rPr>
          <w:iCs/>
          <w:color w:val="000000" w:themeColor="text1"/>
        </w:rPr>
        <w:t>not stored.</w:t>
      </w:r>
      <w:r w:rsidR="00EC78C4">
        <w:rPr>
          <w:iCs/>
          <w:color w:val="000000" w:themeColor="text1"/>
        </w:rPr>
        <w:t xml:space="preserve"> When speaking of sensitive topics such as </w:t>
      </w:r>
      <w:r w:rsidR="00B14F1D">
        <w:rPr>
          <w:iCs/>
          <w:color w:val="000000" w:themeColor="text1"/>
        </w:rPr>
        <w:t xml:space="preserve">an </w:t>
      </w:r>
      <w:r w:rsidR="00EC78C4">
        <w:rPr>
          <w:iCs/>
          <w:color w:val="000000" w:themeColor="text1"/>
        </w:rPr>
        <w:t xml:space="preserve">individual’s </w:t>
      </w:r>
      <w:r w:rsidR="00205C86">
        <w:rPr>
          <w:iCs/>
          <w:color w:val="000000" w:themeColor="text1"/>
        </w:rPr>
        <w:t xml:space="preserve">cultural </w:t>
      </w:r>
      <w:r>
        <w:rPr>
          <w:iCs/>
          <w:color w:val="000000" w:themeColor="text1"/>
        </w:rPr>
        <w:t>heritage</w:t>
      </w:r>
      <w:r w:rsidR="00205C86">
        <w:rPr>
          <w:iCs/>
          <w:color w:val="000000" w:themeColor="text1"/>
        </w:rPr>
        <w:t xml:space="preserve">, </w:t>
      </w:r>
      <w:r w:rsidR="00EC78C4">
        <w:rPr>
          <w:iCs/>
          <w:color w:val="000000" w:themeColor="text1"/>
        </w:rPr>
        <w:t>health</w:t>
      </w:r>
      <w:r w:rsidR="00205C86">
        <w:rPr>
          <w:iCs/>
          <w:color w:val="000000" w:themeColor="text1"/>
        </w:rPr>
        <w:t xml:space="preserve"> conditions</w:t>
      </w:r>
      <w:r w:rsidR="00EC78C4">
        <w:rPr>
          <w:iCs/>
          <w:color w:val="000000" w:themeColor="text1"/>
        </w:rPr>
        <w:t xml:space="preserve">, </w:t>
      </w:r>
      <w:r w:rsidR="00205C86">
        <w:rPr>
          <w:iCs/>
          <w:color w:val="000000" w:themeColor="text1"/>
        </w:rPr>
        <w:t xml:space="preserve">or </w:t>
      </w:r>
      <w:r w:rsidR="00EC78C4">
        <w:rPr>
          <w:iCs/>
          <w:color w:val="000000" w:themeColor="text1"/>
        </w:rPr>
        <w:t>emotional trauma</w:t>
      </w:r>
      <w:r w:rsidR="00205C86">
        <w:rPr>
          <w:iCs/>
          <w:color w:val="000000" w:themeColor="text1"/>
        </w:rPr>
        <w:t>, considerable care was taken to ensure the individual’s well</w:t>
      </w:r>
      <w:r w:rsidR="00B14F1D">
        <w:rPr>
          <w:iCs/>
          <w:color w:val="000000" w:themeColor="text1"/>
        </w:rPr>
        <w:t>-</w:t>
      </w:r>
      <w:r w:rsidR="00205C86">
        <w:rPr>
          <w:iCs/>
          <w:color w:val="000000" w:themeColor="text1"/>
        </w:rPr>
        <w:t>being</w:t>
      </w:r>
      <w:r>
        <w:rPr>
          <w:iCs/>
          <w:color w:val="000000" w:themeColor="text1"/>
        </w:rPr>
        <w:t>, and any potential risk to the individual’s social or professional life was assessed</w:t>
      </w:r>
      <w:r w:rsidR="00267BA2">
        <w:rPr>
          <w:iCs/>
          <w:color w:val="000000" w:themeColor="text1"/>
        </w:rPr>
        <w:t xml:space="preserve">. </w:t>
      </w:r>
    </w:p>
    <w:p w14:paraId="7A9B722C" w14:textId="3877E989" w:rsidR="00344E8C" w:rsidRDefault="00344E8C" w:rsidP="003C6BED">
      <w:pPr>
        <w:jc w:val="both"/>
        <w:rPr>
          <w:iCs/>
          <w:color w:val="000000" w:themeColor="text1"/>
        </w:rPr>
      </w:pPr>
    </w:p>
    <w:p w14:paraId="6B4707CE" w14:textId="7DFC7255" w:rsidR="00344E8C" w:rsidRDefault="00344E8C" w:rsidP="003C6BED">
      <w:pPr>
        <w:jc w:val="both"/>
      </w:pPr>
    </w:p>
    <w:p w14:paraId="58BB1EB0" w14:textId="1D9530DD" w:rsidR="00344E8C" w:rsidRDefault="00344E8C" w:rsidP="003C6BED">
      <w:pPr>
        <w:jc w:val="both"/>
      </w:pPr>
    </w:p>
    <w:p w14:paraId="778FBA30" w14:textId="797C8FFC" w:rsidR="00344E8C" w:rsidRPr="00926406" w:rsidRDefault="00344E8C" w:rsidP="00344E8C">
      <w:pPr>
        <w:jc w:val="both"/>
        <w:rPr>
          <w:rFonts w:ascii="Century Gothic" w:hAnsi="Century Gothic"/>
        </w:rPr>
      </w:pPr>
      <w:r w:rsidRPr="00E168B9">
        <w:rPr>
          <w:rFonts w:ascii="Century Gothic" w:hAnsi="Century Gothic"/>
          <w:b/>
          <w:bCs/>
        </w:rPr>
        <w:t>Findings</w:t>
      </w:r>
    </w:p>
    <w:p w14:paraId="5FE6C0CA" w14:textId="77777777" w:rsidR="00344E8C" w:rsidRDefault="00344E8C" w:rsidP="00344E8C">
      <w:pPr>
        <w:jc w:val="both"/>
        <w:rPr>
          <w:rFonts w:ascii="Century Gothic" w:hAnsi="Century Gothic"/>
        </w:rPr>
      </w:pPr>
    </w:p>
    <w:p w14:paraId="5B28C5FD" w14:textId="6D0D6200" w:rsidR="00D8042D" w:rsidRDefault="00344E8C" w:rsidP="00D8042D">
      <w:pPr>
        <w:jc w:val="both"/>
      </w:pPr>
      <w:r>
        <w:t xml:space="preserve">There were 31 responses to the questionnaire, among which 10 expressed their interest in </w:t>
      </w:r>
      <w:r w:rsidR="00D8042D">
        <w:t xml:space="preserve">an </w:t>
      </w:r>
      <w:r>
        <w:t xml:space="preserve">interview; 4 interviews were materialised. Response rate is significantly higher when </w:t>
      </w:r>
      <w:r w:rsidR="00D8042D">
        <w:t xml:space="preserve">the </w:t>
      </w:r>
      <w:r>
        <w:t xml:space="preserve">questionnaire </w:t>
      </w:r>
      <w:r w:rsidR="00D8042D">
        <w:t>was</w:t>
      </w:r>
      <w:r>
        <w:t xml:space="preserve"> </w:t>
      </w:r>
      <w:r w:rsidR="00D8042D">
        <w:t>distributed</w:t>
      </w:r>
      <w:r>
        <w:t xml:space="preserve"> via paper copies (93%, 13/14 responses), compared to the online form (&lt;10%, 18/178 responses). Demographic information is presented in Table 1 and Figure 1. </w:t>
      </w:r>
    </w:p>
    <w:p w14:paraId="46405EDD" w14:textId="77777777" w:rsidR="00D8042D" w:rsidRDefault="00D8042D" w:rsidP="00D8042D">
      <w:pPr>
        <w:jc w:val="center"/>
      </w:pPr>
      <w:r w:rsidRPr="00365E32">
        <w:rPr>
          <w:noProof/>
        </w:rPr>
        <w:lastRenderedPageBreak/>
        <w:drawing>
          <wp:inline distT="0" distB="0" distL="0" distR="0" wp14:anchorId="73BF3FE1" wp14:editId="0B028A9C">
            <wp:extent cx="4732421" cy="3308920"/>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1842" cy="3315507"/>
                    </a:xfrm>
                    <a:prstGeom prst="rect">
                      <a:avLst/>
                    </a:prstGeom>
                  </pic:spPr>
                </pic:pic>
              </a:graphicData>
            </a:graphic>
          </wp:inline>
        </w:drawing>
      </w:r>
    </w:p>
    <w:p w14:paraId="2E8429F7" w14:textId="77777777" w:rsidR="00D8042D" w:rsidRDefault="00D8042D" w:rsidP="00D8042D">
      <w:pPr>
        <w:jc w:val="both"/>
      </w:pPr>
    </w:p>
    <w:p w14:paraId="1F4AAEDE" w14:textId="77777777" w:rsidR="00D8042D" w:rsidRDefault="00D8042D" w:rsidP="00D8042D">
      <w:pPr>
        <w:jc w:val="center"/>
      </w:pPr>
      <w:r>
        <w:rPr>
          <w:noProof/>
        </w:rPr>
        <w:drawing>
          <wp:inline distT="0" distB="0" distL="0" distR="0" wp14:anchorId="7B8C3D7D" wp14:editId="4E1FD4CD">
            <wp:extent cx="5470358" cy="2743664"/>
            <wp:effectExtent l="0" t="0" r="3810" b="0"/>
            <wp:docPr id="3" name="Picture 3"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text and numbers&#10;&#10;Description automatically generated"/>
                    <pic:cNvPicPr/>
                  </pic:nvPicPr>
                  <pic:blipFill>
                    <a:blip r:embed="rId12"/>
                    <a:stretch>
                      <a:fillRect/>
                    </a:stretch>
                  </pic:blipFill>
                  <pic:spPr>
                    <a:xfrm>
                      <a:off x="0" y="0"/>
                      <a:ext cx="5476143" cy="2746565"/>
                    </a:xfrm>
                    <a:prstGeom prst="rect">
                      <a:avLst/>
                    </a:prstGeom>
                  </pic:spPr>
                </pic:pic>
              </a:graphicData>
            </a:graphic>
          </wp:inline>
        </w:drawing>
      </w:r>
    </w:p>
    <w:p w14:paraId="0F232EBA" w14:textId="77777777" w:rsidR="00D8042D" w:rsidRPr="005518EC" w:rsidRDefault="00D8042D" w:rsidP="00D8042D">
      <w:pPr>
        <w:jc w:val="center"/>
        <w:rPr>
          <w:sz w:val="22"/>
          <w:szCs w:val="22"/>
        </w:rPr>
      </w:pPr>
      <w:r w:rsidRPr="005518EC">
        <w:rPr>
          <w:sz w:val="22"/>
          <w:szCs w:val="22"/>
        </w:rPr>
        <w:t>Note: Missing responses have been excluded from calculation.</w:t>
      </w:r>
    </w:p>
    <w:p w14:paraId="53C45243" w14:textId="77777777" w:rsidR="00D8042D" w:rsidRDefault="00D8042D" w:rsidP="00D8042D">
      <w:pPr>
        <w:jc w:val="both"/>
      </w:pPr>
    </w:p>
    <w:p w14:paraId="39CAA5BA" w14:textId="3FD58CC7" w:rsidR="00AF54E2" w:rsidRDefault="00D8042D" w:rsidP="00D8042D">
      <w:pPr>
        <w:jc w:val="both"/>
      </w:pPr>
      <w:r>
        <w:t xml:space="preserve">Respondents </w:t>
      </w:r>
      <w:r w:rsidR="00AB793E">
        <w:t>were</w:t>
      </w:r>
      <w:r>
        <w:t xml:space="preserve"> all but two women (one man and one self-described as trans man). The majority (80.6%) </w:t>
      </w:r>
      <w:r w:rsidR="00AB793E">
        <w:t>were</w:t>
      </w:r>
      <w:r>
        <w:t xml:space="preserve"> between 30 </w:t>
      </w:r>
      <w:r w:rsidR="00AF54E2">
        <w:t>and</w:t>
      </w:r>
      <w:r>
        <w:t xml:space="preserve"> 59 years old. Almost half of them only join</w:t>
      </w:r>
      <w:r w:rsidR="00AB793E">
        <w:t>ed</w:t>
      </w:r>
      <w:r>
        <w:t xml:space="preserve"> singing bowl sessions occasionally. Mature adults in the age group 40 to 59 years </w:t>
      </w:r>
      <w:r w:rsidR="00AB793E">
        <w:t>were</w:t>
      </w:r>
      <w:r>
        <w:t xml:space="preserve"> more likely to be regulars. Respondents were from diverse educational backgrounds, with 74% </w:t>
      </w:r>
      <w:r w:rsidR="00AF54E2">
        <w:t xml:space="preserve">having </w:t>
      </w:r>
      <w:r>
        <w:t>obtai</w:t>
      </w:r>
      <w:r w:rsidR="00AF54E2">
        <w:t>ned</w:t>
      </w:r>
      <w:r>
        <w:t xml:space="preserve"> at least an undergraduate degree. The respondents were predomina</w:t>
      </w:r>
      <w:r w:rsidR="00AF54E2">
        <w:t>n</w:t>
      </w:r>
      <w:r>
        <w:t xml:space="preserve">tly white (84%), </w:t>
      </w:r>
      <w:r w:rsidRPr="00467928">
        <w:t>which is slightly higher than the population of Bristol (81.1%).</w:t>
      </w:r>
      <w:r w:rsidRPr="00467928">
        <w:rPr>
          <w:rStyle w:val="FootnoteReference"/>
        </w:rPr>
        <w:footnoteReference w:id="42"/>
      </w:r>
      <w:r w:rsidRPr="00467928">
        <w:t xml:space="preserve"> Only 2 respondents were of Asian heritage, 1 of Black heritage and 2 of dual or mixed heritage.</w:t>
      </w:r>
      <w:r w:rsidR="00C52636" w:rsidRPr="00467928">
        <w:t xml:space="preserve"> </w:t>
      </w:r>
      <w:r w:rsidR="00C52636" w:rsidRPr="00467928">
        <w:t xml:space="preserve">The overall characteristics of the respondents, i.e. predominantly white and female, highly educated, and middle-aged are </w:t>
      </w:r>
      <w:r w:rsidR="00C52636" w:rsidRPr="00467928">
        <w:lastRenderedPageBreak/>
        <w:t>consistent with studies on women and alternative spiritualities in the UK.</w:t>
      </w:r>
      <w:r w:rsidR="00C52636" w:rsidRPr="00467928">
        <w:rPr>
          <w:rStyle w:val="FootnoteReference"/>
        </w:rPr>
        <w:footnoteReference w:id="43"/>
      </w:r>
      <w:r w:rsidR="00C52636" w:rsidRPr="00467928">
        <w:t xml:space="preserve"> Aune theories three possible causes for</w:t>
      </w:r>
      <w:r w:rsidR="00467928" w:rsidRPr="00467928">
        <w:t xml:space="preserve"> this</w:t>
      </w:r>
      <w:r w:rsidR="00467928">
        <w:t xml:space="preserve"> phenomena</w:t>
      </w:r>
      <w:r w:rsidR="00C52636" w:rsidRPr="00467928">
        <w:t>. Firstly, the ‘rapid detraditionalization of women’s life’ turns women’s focus to self-care and liberation. Secondly, feminism is crucial to alternative spiritualities. Thirdly, the practice of alternative spiritualities meets the demands of ‘the individualized, consumerist environment of late or post-modern societies’.</w:t>
      </w:r>
      <w:r w:rsidR="00C52636" w:rsidRPr="00467928">
        <w:rPr>
          <w:rStyle w:val="FootnoteReference"/>
        </w:rPr>
        <w:footnoteReference w:id="44"/>
      </w:r>
      <w:r w:rsidR="00C52636">
        <w:t xml:space="preserve"> </w:t>
      </w:r>
      <w:r w:rsidR="00AB793E">
        <w:t>In line with Aune’s argument, the data shows that the most r</w:t>
      </w:r>
      <w:r w:rsidR="00AB793E">
        <w:t>espondents c</w:t>
      </w:r>
      <w:r w:rsidR="00AB793E">
        <w:t>a</w:t>
      </w:r>
      <w:r w:rsidR="00AB793E">
        <w:t>me to singing bowl sessions to seek self-care and healing. A good proportion of people (38.7%) look</w:t>
      </w:r>
      <w:r w:rsidR="00AB793E">
        <w:t>ed</w:t>
      </w:r>
      <w:r w:rsidR="00AB793E">
        <w:t xml:space="preserve"> for spiritual development. Apart from fulfilling curiosity, entertainment and fun, and learning about singing bowls, respondents described other reasons for their participations, including relaxation, alleviating stress, and rejuvenation. One respondent discovered singing bowl therapy by accident, where initially a free ticket was offered by a friend who could not attend, and after which it forms a monthly routine.</w:t>
      </w:r>
    </w:p>
    <w:p w14:paraId="7DC74301" w14:textId="606284FB" w:rsidR="00E23983" w:rsidRDefault="00E23983" w:rsidP="00D8042D">
      <w:pPr>
        <w:jc w:val="both"/>
      </w:pPr>
    </w:p>
    <w:p w14:paraId="3E9488B2" w14:textId="634CE3A3" w:rsidR="00E23983" w:rsidRDefault="00E23983" w:rsidP="00EC4072">
      <w:pPr>
        <w:jc w:val="center"/>
      </w:pPr>
      <w:r>
        <w:rPr>
          <w:noProof/>
        </w:rPr>
        <w:drawing>
          <wp:inline distT="0" distB="0" distL="0" distR="0" wp14:anchorId="17C5CF4A" wp14:editId="22789B24">
            <wp:extent cx="5731510" cy="3385185"/>
            <wp:effectExtent l="0" t="0" r="0" b="5715"/>
            <wp:docPr id="2" name="Picture 2" descr="A graph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different colored lines&#10;&#10;Description automatically generated with medium confidence"/>
                    <pic:cNvPicPr/>
                  </pic:nvPicPr>
                  <pic:blipFill>
                    <a:blip r:embed="rId13"/>
                    <a:stretch>
                      <a:fillRect/>
                    </a:stretch>
                  </pic:blipFill>
                  <pic:spPr>
                    <a:xfrm>
                      <a:off x="0" y="0"/>
                      <a:ext cx="5731510" cy="3385185"/>
                    </a:xfrm>
                    <a:prstGeom prst="rect">
                      <a:avLst/>
                    </a:prstGeom>
                  </pic:spPr>
                </pic:pic>
              </a:graphicData>
            </a:graphic>
          </wp:inline>
        </w:drawing>
      </w:r>
    </w:p>
    <w:p w14:paraId="46B0CDDF" w14:textId="165BEB01" w:rsidR="00080FE8" w:rsidRDefault="00080FE8" w:rsidP="00D8042D">
      <w:pPr>
        <w:jc w:val="both"/>
      </w:pPr>
    </w:p>
    <w:p w14:paraId="1970027C" w14:textId="3D6C29C6" w:rsidR="00080FE8" w:rsidRDefault="00080FE8" w:rsidP="00080FE8">
      <w:pPr>
        <w:jc w:val="both"/>
      </w:pPr>
      <w:r>
        <w:t>Ten categories were given to the respondents to describe their religion or faith, including none/Agnosticism/Atheist and Spiritual</w:t>
      </w:r>
      <w:r w:rsidR="0037157A">
        <w:t>, following the system of Census 2021</w:t>
      </w:r>
      <w:r w:rsidR="008D5ED9">
        <w:t xml:space="preserve"> to allow comparison</w:t>
      </w:r>
      <w:r>
        <w:t xml:space="preserve">. </w:t>
      </w:r>
      <w:r w:rsidR="00AC3C12">
        <w:t>Mix</w:t>
      </w:r>
      <w:r w:rsidR="001E14D1">
        <w:t xml:space="preserve"> and match</w:t>
      </w:r>
      <w:r>
        <w:t xml:space="preserve"> or self-description were </w:t>
      </w:r>
      <w:r w:rsidR="008D5ED9">
        <w:t>possible</w:t>
      </w:r>
      <w:r>
        <w:t xml:space="preserve">. Since the respondents were primarily women, </w:t>
      </w:r>
      <w:r w:rsidR="008D5ED9">
        <w:t xml:space="preserve">the </w:t>
      </w:r>
      <w:r w:rsidR="001E14D1">
        <w:t>religious affiliations</w:t>
      </w:r>
      <w:r>
        <w:t xml:space="preserve"> </w:t>
      </w:r>
      <w:r w:rsidR="008D5ED9">
        <w:t xml:space="preserve">of </w:t>
      </w:r>
      <w:r w:rsidR="003546FB">
        <w:t xml:space="preserve">the </w:t>
      </w:r>
      <w:r w:rsidR="008D5ED9">
        <w:t xml:space="preserve">female respondents </w:t>
      </w:r>
      <w:r>
        <w:t>were compared to the national Census data of women and the local Census data of the general population in Figure 2</w:t>
      </w:r>
      <w:r w:rsidRPr="00FE6C2B">
        <w:t>.</w:t>
      </w:r>
      <w:r w:rsidRPr="00FE6C2B">
        <w:rPr>
          <w:rStyle w:val="FootnoteReference"/>
        </w:rPr>
        <w:t xml:space="preserve"> </w:t>
      </w:r>
      <w:r w:rsidRPr="00FE6C2B">
        <w:rPr>
          <w:rStyle w:val="FootnoteReference"/>
        </w:rPr>
        <w:footnoteReference w:id="45"/>
      </w:r>
      <w:r>
        <w:t xml:space="preserve"> The </w:t>
      </w:r>
      <w:r w:rsidR="003546FB">
        <w:t xml:space="preserve">female </w:t>
      </w:r>
      <w:r>
        <w:t>respondents fell under five religious categories</w:t>
      </w:r>
      <w:r w:rsidR="00BD66F9">
        <w:t xml:space="preserve">, </w:t>
      </w:r>
      <w:r w:rsidR="00AC3C12">
        <w:t xml:space="preserve">i.e. </w:t>
      </w:r>
      <w:r w:rsidR="00BD66F9">
        <w:t xml:space="preserve">Christian, Jewish, </w:t>
      </w:r>
      <w:r w:rsidR="00BD66F9">
        <w:lastRenderedPageBreak/>
        <w:t>Buddhist, No Religion and Other Religion</w:t>
      </w:r>
      <w:r>
        <w:t xml:space="preserve">. </w:t>
      </w:r>
      <w:r w:rsidRPr="00984CC7">
        <w:t>2</w:t>
      </w:r>
      <w:r>
        <w:t>7</w:t>
      </w:r>
      <w:r w:rsidRPr="00984CC7">
        <w:t>.</w:t>
      </w:r>
      <w:r>
        <w:t>59</w:t>
      </w:r>
      <w:r w:rsidRPr="00984CC7">
        <w:t xml:space="preserve">% of female respondents </w:t>
      </w:r>
      <w:r>
        <w:t>adopt</w:t>
      </w:r>
      <w:r w:rsidRPr="00984CC7">
        <w:t xml:space="preserve"> a major world religion, </w:t>
      </w:r>
      <w:r>
        <w:t>especially</w:t>
      </w:r>
      <w:r w:rsidRPr="00984CC7">
        <w:t xml:space="preserve"> Christia</w:t>
      </w:r>
      <w:r>
        <w:t xml:space="preserve">nity </w:t>
      </w:r>
      <w:r w:rsidRPr="00984CC7">
        <w:t>(</w:t>
      </w:r>
      <w:r>
        <w:t>20.69</w:t>
      </w:r>
      <w:r w:rsidRPr="00984CC7">
        <w:t>%), reflecting the trend in the national data of women and local general data</w:t>
      </w:r>
      <w:r>
        <w:t xml:space="preserve">, where Christians form the majority among </w:t>
      </w:r>
      <w:r>
        <w:t xml:space="preserve">followers of </w:t>
      </w:r>
      <w:r>
        <w:t>world religions</w:t>
      </w:r>
      <w:r w:rsidRPr="00984CC7">
        <w:t xml:space="preserve">. </w:t>
      </w:r>
      <w:r>
        <w:t xml:space="preserve">There is an equal proportion of female respondents </w:t>
      </w:r>
      <w:r>
        <w:t xml:space="preserve">who </w:t>
      </w:r>
      <w:r>
        <w:t xml:space="preserve">claim to have no religion, including one claiming </w:t>
      </w:r>
      <w:r>
        <w:t>to be</w:t>
      </w:r>
      <w:r>
        <w:t xml:space="preserve"> both Christian and non-religious, and two </w:t>
      </w:r>
      <w:r w:rsidR="006A1EDE">
        <w:t>identifying as</w:t>
      </w:r>
      <w:r>
        <w:t xml:space="preserve"> no</w:t>
      </w:r>
      <w:r w:rsidR="006A1EDE">
        <w:t>-</w:t>
      </w:r>
      <w:r>
        <w:t>religi</w:t>
      </w:r>
      <w:r w:rsidR="006A1EDE">
        <w:t>ous</w:t>
      </w:r>
      <w:r w:rsidR="00BD66F9">
        <w:t xml:space="preserve"> but </w:t>
      </w:r>
      <w:r w:rsidR="006A1EDE">
        <w:t>s</w:t>
      </w:r>
      <w:r w:rsidR="00BD66F9">
        <w:t>piritual</w:t>
      </w:r>
      <w:r w:rsidR="003546FB">
        <w:t>, or ‘</w:t>
      </w:r>
      <w:r w:rsidR="005E2887">
        <w:t>believe in something higher</w:t>
      </w:r>
      <w:r w:rsidR="003546FB">
        <w:t>’</w:t>
      </w:r>
      <w:r>
        <w:t xml:space="preserve">. In comparison, at </w:t>
      </w:r>
      <w:r w:rsidR="001E14D1">
        <w:t xml:space="preserve">the </w:t>
      </w:r>
      <w:r>
        <w:t xml:space="preserve">national level, the ratio between Christian women and women of no religion is 1.44:1; while in Bristol, the ration for the overall population is 0.63:1. </w:t>
      </w:r>
      <w:r w:rsidRPr="00191295">
        <w:t xml:space="preserve">Women with other religion form the biggest group (55.17%) among respondents. These include one Cornish Pellar witch, one Pagan, and 14 </w:t>
      </w:r>
      <w:r w:rsidR="00931E6B">
        <w:t>S</w:t>
      </w:r>
      <w:r w:rsidRPr="00191295">
        <w:t>piritual.</w:t>
      </w:r>
      <w:r>
        <w:t xml:space="preserve"> The remaining two respondents rather than women also described themselves </w:t>
      </w:r>
      <w:r w:rsidR="009F147E">
        <w:t xml:space="preserve">simply as </w:t>
      </w:r>
      <w:r w:rsidR="007D669C">
        <w:t>S</w:t>
      </w:r>
      <w:r>
        <w:t>piritual</w:t>
      </w:r>
      <w:r w:rsidR="00380404">
        <w:t>, without specifying if they were religious or not</w:t>
      </w:r>
      <w:r>
        <w:t xml:space="preserve">. </w:t>
      </w:r>
      <w:r w:rsidRPr="006A0B9E">
        <w:t xml:space="preserve">One </w:t>
      </w:r>
      <w:r>
        <w:t>respondent</w:t>
      </w:r>
      <w:r w:rsidRPr="006A0B9E">
        <w:t xml:space="preserve"> came from </w:t>
      </w:r>
      <w:r w:rsidR="001E14D1">
        <w:t xml:space="preserve">a </w:t>
      </w:r>
      <w:r w:rsidRPr="006A0B9E">
        <w:t xml:space="preserve">Hindu background but no longer </w:t>
      </w:r>
      <w:r w:rsidR="001E14D1">
        <w:t>followed</w:t>
      </w:r>
      <w:r w:rsidRPr="006A0B9E">
        <w:t xml:space="preserve"> the religion.</w:t>
      </w:r>
      <w:r>
        <w:t xml:space="preserve"> </w:t>
      </w:r>
      <w:r w:rsidR="00665F7A">
        <w:t xml:space="preserve">Detailed </w:t>
      </w:r>
      <w:r w:rsidR="007D669C">
        <w:t xml:space="preserve">analysis of religion data </w:t>
      </w:r>
      <w:r>
        <w:t xml:space="preserve">is </w:t>
      </w:r>
      <w:r w:rsidR="00665F7A">
        <w:t>presented</w:t>
      </w:r>
      <w:r w:rsidR="007D669C">
        <w:t xml:space="preserve"> </w:t>
      </w:r>
      <w:r>
        <w:t xml:space="preserve">in </w:t>
      </w:r>
      <w:r w:rsidRPr="00C056E3">
        <w:rPr>
          <w:i/>
          <w:iCs/>
        </w:rPr>
        <w:t>Discussion</w:t>
      </w:r>
      <w:r>
        <w:t xml:space="preserve">. </w:t>
      </w:r>
    </w:p>
    <w:p w14:paraId="621790BA" w14:textId="73E53491" w:rsidR="00E23983" w:rsidRDefault="00E23983" w:rsidP="00D8042D">
      <w:pPr>
        <w:jc w:val="both"/>
      </w:pPr>
    </w:p>
    <w:p w14:paraId="3B1E9C1B" w14:textId="20579459" w:rsidR="00AE4D76" w:rsidRDefault="00AE4D76" w:rsidP="00D8042D">
      <w:pPr>
        <w:jc w:val="both"/>
      </w:pPr>
    </w:p>
    <w:p w14:paraId="5AE2DA52" w14:textId="4BDE5A46" w:rsidR="00AE4D76" w:rsidRDefault="00AE4D76" w:rsidP="00D8042D">
      <w:pPr>
        <w:jc w:val="both"/>
      </w:pPr>
    </w:p>
    <w:p w14:paraId="49CA4A81" w14:textId="77777777" w:rsidR="00AE4D76" w:rsidRPr="0037157A" w:rsidRDefault="00AE4D76" w:rsidP="00AE4D76">
      <w:pPr>
        <w:jc w:val="both"/>
        <w:rPr>
          <w:rFonts w:ascii="Century Gothic" w:hAnsi="Century Gothic"/>
          <w:b/>
          <w:bCs/>
        </w:rPr>
      </w:pPr>
      <w:r w:rsidRPr="0037157A">
        <w:rPr>
          <w:rFonts w:ascii="Century Gothic" w:hAnsi="Century Gothic"/>
          <w:b/>
          <w:bCs/>
        </w:rPr>
        <w:t xml:space="preserve">Discussion </w:t>
      </w:r>
    </w:p>
    <w:p w14:paraId="70991C50" w14:textId="77777777" w:rsidR="00AE4D76" w:rsidRPr="0037157A" w:rsidRDefault="00AE4D76" w:rsidP="00AE4D76">
      <w:pPr>
        <w:jc w:val="both"/>
        <w:rPr>
          <w:rFonts w:ascii="Century Gothic" w:hAnsi="Century Gothic"/>
          <w:b/>
          <w:bCs/>
        </w:rPr>
      </w:pPr>
    </w:p>
    <w:p w14:paraId="3CE02704" w14:textId="77777777" w:rsidR="00AE4D76" w:rsidRPr="000231F3" w:rsidRDefault="00AE4D76" w:rsidP="00AE4D76">
      <w:pPr>
        <w:jc w:val="both"/>
        <w:rPr>
          <w:rFonts w:ascii="Century Gothic" w:hAnsi="Century Gothic"/>
        </w:rPr>
      </w:pPr>
      <w:r w:rsidRPr="0037157A">
        <w:rPr>
          <w:rFonts w:ascii="Century Gothic" w:hAnsi="Century Gothic"/>
          <w:i/>
          <w:iCs/>
        </w:rPr>
        <w:t>The Making of the Bowls</w:t>
      </w:r>
    </w:p>
    <w:p w14:paraId="7E45AB54" w14:textId="77777777" w:rsidR="00AE4D76" w:rsidRDefault="00AE4D76" w:rsidP="00AE4D76">
      <w:pPr>
        <w:jc w:val="both"/>
      </w:pPr>
    </w:p>
    <w:p w14:paraId="51CA9E6A" w14:textId="0FDF6637" w:rsidR="00AE4D76" w:rsidRDefault="00AE4D76" w:rsidP="00AE4D76">
      <w:pPr>
        <w:jc w:val="both"/>
      </w:pPr>
      <w:r>
        <w:t xml:space="preserve">Singing bowls are made of alloy. Debates </w:t>
      </w:r>
      <w:r w:rsidR="00BE2A8C">
        <w:t>a</w:t>
      </w:r>
      <w:r>
        <w:t>rise about its composition. In Shakya Kasa’s tradition, the bowls contain seven metals, corresponding to seven solar planets, that are copper (Venus), Tin (Jupiter), Zinc (Uranus), Iron (Mars), Lead (Saturn), Gold (Sun), and Silver (Moon), with</w:t>
      </w:r>
      <w:r w:rsidR="00BE2A8C">
        <w:t xml:space="preserve"> a</w:t>
      </w:r>
      <w:r>
        <w:t xml:space="preserve"> trace of the eighth metal Mercury occasionally added into the process to purify the alloy.</w:t>
      </w:r>
      <w:r>
        <w:rPr>
          <w:rStyle w:val="FootnoteReference"/>
        </w:rPr>
        <w:footnoteReference w:id="46"/>
      </w:r>
      <w:r>
        <w:t xml:space="preserve"> This view suggests that </w:t>
      </w:r>
      <w:r w:rsidR="00BE2A8C">
        <w:t xml:space="preserve">a </w:t>
      </w:r>
      <w:r>
        <w:t xml:space="preserve">singing bowls </w:t>
      </w:r>
      <w:r w:rsidR="00BE2A8C">
        <w:t>is an</w:t>
      </w:r>
      <w:r>
        <w:t xml:space="preserve"> embodiment of the cosmos. </w:t>
      </w:r>
      <w:r w:rsidR="00CA09C0">
        <w:t xml:space="preserve">Practitioner </w:t>
      </w:r>
      <w:r w:rsidR="00CA09C0">
        <w:t>Peter Effenberger</w:t>
      </w:r>
      <w:r w:rsidR="00CA09C0">
        <w:t xml:space="preserve"> developed his </w:t>
      </w:r>
      <w:r w:rsidR="00CA09C0" w:rsidRPr="00CA09C0">
        <w:t xml:space="preserve">Astro-medical </w:t>
      </w:r>
      <w:r w:rsidR="00F95B09">
        <w:t>singing bowl</w:t>
      </w:r>
      <w:r w:rsidR="00CA09C0">
        <w:t xml:space="preserve"> technique </w:t>
      </w:r>
      <w:r w:rsidR="00F95B09">
        <w:t>by combining</w:t>
      </w:r>
      <w:r w:rsidR="00CA09C0">
        <w:t xml:space="preserve"> this principle</w:t>
      </w:r>
      <w:r w:rsidR="00F95B09">
        <w:t xml:space="preserve"> and </w:t>
      </w:r>
      <w:r w:rsidR="008E45B4">
        <w:t xml:space="preserve">the </w:t>
      </w:r>
      <w:r w:rsidR="00F95B09">
        <w:t xml:space="preserve">philosophy of </w:t>
      </w:r>
      <w:r w:rsidR="008E45B4">
        <w:t xml:space="preserve">the </w:t>
      </w:r>
      <w:r w:rsidR="00F95B09">
        <w:t>New Age thinker, Rudolf Steiner</w:t>
      </w:r>
      <w:r w:rsidR="00CA09C0">
        <w:t>.</w:t>
      </w:r>
      <w:r w:rsidR="00CA09C0">
        <w:rPr>
          <w:rStyle w:val="FootnoteReference"/>
        </w:rPr>
        <w:footnoteReference w:id="47"/>
      </w:r>
      <w:r w:rsidR="00CA09C0">
        <w:t xml:space="preserve"> </w:t>
      </w:r>
      <w:r w:rsidR="00714D65">
        <w:t>The</w:t>
      </w:r>
      <w:r>
        <w:t xml:space="preserve"> symbolism</w:t>
      </w:r>
      <w:r w:rsidR="00714D65">
        <w:t>s</w:t>
      </w:r>
      <w:r>
        <w:t xml:space="preserve"> </w:t>
      </w:r>
      <w:r w:rsidR="00714D65">
        <w:t>are also</w:t>
      </w:r>
      <w:r>
        <w:t xml:space="preserve"> </w:t>
      </w:r>
      <w:r w:rsidR="00714D65">
        <w:t>favoured</w:t>
      </w:r>
      <w:r>
        <w:t xml:space="preserve"> by Perry, who at the same time, however, acknowledges the fact that some bowls are not forged with rigid formulas, nor </w:t>
      </w:r>
      <w:r w:rsidR="00BE2A8C">
        <w:t>with a</w:t>
      </w:r>
      <w:r>
        <w:t xml:space="preserve"> specific number of metals.</w:t>
      </w:r>
      <w:r>
        <w:rPr>
          <w:rStyle w:val="FootnoteReference"/>
        </w:rPr>
        <w:footnoteReference w:id="48"/>
      </w:r>
      <w:r>
        <w:t xml:space="preserve"> Peter Hess, a contemporary German manufacturer, for example, </w:t>
      </w:r>
      <w:r w:rsidRPr="00151516">
        <w:t xml:space="preserve">makes his singing bowls with </w:t>
      </w:r>
      <w:r>
        <w:t>twelve</w:t>
      </w:r>
      <w:r w:rsidRPr="00151516">
        <w:t xml:space="preserve"> metals.</w:t>
      </w:r>
      <w:r w:rsidRPr="00151516">
        <w:rPr>
          <w:rStyle w:val="FootnoteReference"/>
        </w:rPr>
        <w:footnoteReference w:id="49"/>
      </w:r>
      <w:r w:rsidRPr="00151516">
        <w:t xml:space="preserve"> As for antique bowls, </w:t>
      </w:r>
      <w:r>
        <w:t>scientific analysis shows many</w:t>
      </w:r>
      <w:r w:rsidRPr="00151516">
        <w:t xml:space="preserve"> metals, such as nickel, antimony, bismuth, or even meteorite can be added </w:t>
      </w:r>
      <w:r>
        <w:t>in</w:t>
      </w:r>
      <w:r w:rsidRPr="00151516">
        <w:t>to</w:t>
      </w:r>
      <w:r w:rsidR="00BE2A8C">
        <w:t xml:space="preserve"> them</w:t>
      </w:r>
      <w:r w:rsidRPr="00151516">
        <w:t>, entirely subject to the level of craft</w:t>
      </w:r>
      <w:r w:rsidR="00BE2A8C">
        <w:t>s</w:t>
      </w:r>
      <w:r w:rsidRPr="00151516">
        <w:t>manship and the availability of local materials.</w:t>
      </w:r>
      <w:r w:rsidRPr="00151516">
        <w:rPr>
          <w:rStyle w:val="FootnoteReference"/>
        </w:rPr>
        <w:footnoteReference w:id="50"/>
      </w:r>
      <w:r w:rsidRPr="00151516">
        <w:t xml:space="preserve"> </w:t>
      </w:r>
    </w:p>
    <w:p w14:paraId="75D910AF" w14:textId="23620116" w:rsidR="00AE4D76" w:rsidRDefault="00AE4D76" w:rsidP="00AE4D76">
      <w:pPr>
        <w:jc w:val="both"/>
      </w:pPr>
    </w:p>
    <w:p w14:paraId="359A09AD" w14:textId="426D8113" w:rsidR="00AE4D76" w:rsidRDefault="00AE4D76" w:rsidP="00AE4D76">
      <w:pPr>
        <w:jc w:val="both"/>
      </w:pPr>
      <w:r w:rsidRPr="00291083">
        <w:t>The questionnaire shows that</w:t>
      </w:r>
      <w:r w:rsidR="00252F2F">
        <w:t>,</w:t>
      </w:r>
      <w:r w:rsidRPr="00291083">
        <w:t xml:space="preserve"> </w:t>
      </w:r>
      <w:r w:rsidR="00E75FE9">
        <w:t>although</w:t>
      </w:r>
      <w:r w:rsidR="00291083">
        <w:t xml:space="preserve"> </w:t>
      </w:r>
      <w:r w:rsidRPr="00291083">
        <w:t xml:space="preserve">the planetary and numerological symbolisms are </w:t>
      </w:r>
      <w:r w:rsidR="00252F2F">
        <w:t>fundamental</w:t>
      </w:r>
      <w:r w:rsidR="00291083">
        <w:t xml:space="preserve"> </w:t>
      </w:r>
      <w:r w:rsidR="005F239B">
        <w:t>for</w:t>
      </w:r>
      <w:r w:rsidR="00946E38">
        <w:t xml:space="preserve"> many practitioners</w:t>
      </w:r>
      <w:r w:rsidR="00291083">
        <w:t>,</w:t>
      </w:r>
      <w:r w:rsidR="00946E38">
        <w:t xml:space="preserve"> </w:t>
      </w:r>
      <w:r w:rsidR="00291083">
        <w:t>the</w:t>
      </w:r>
      <w:r w:rsidR="00252F2F">
        <w:t>se</w:t>
      </w:r>
      <w:r w:rsidR="00291083">
        <w:t xml:space="preserve"> </w:t>
      </w:r>
      <w:r w:rsidR="00252F2F">
        <w:t>concepts</w:t>
      </w:r>
      <w:r w:rsidR="00291083">
        <w:t xml:space="preserve"> were </w:t>
      </w:r>
      <w:r w:rsidRPr="00291083">
        <w:t>not well-accepted among respondents</w:t>
      </w:r>
      <w:r w:rsidR="00291083">
        <w:t xml:space="preserve">. </w:t>
      </w:r>
      <w:r w:rsidRPr="00291083">
        <w:t>Over a third of the</w:t>
      </w:r>
      <w:r w:rsidR="00291083">
        <w:t xml:space="preserve"> respondents</w:t>
      </w:r>
      <w:r w:rsidRPr="00291083">
        <w:t xml:space="preserve"> were completely unaware of the concept, and another third neither agreed </w:t>
      </w:r>
      <w:r w:rsidR="00BE2A8C" w:rsidRPr="00291083">
        <w:t>n</w:t>
      </w:r>
      <w:r w:rsidRPr="00291083">
        <w:t xml:space="preserve">or disagreed. Three individuals were strongly against the idea, including one Christian. In his book, </w:t>
      </w:r>
      <w:r w:rsidRPr="00291083">
        <w:rPr>
          <w:i/>
          <w:iCs/>
        </w:rPr>
        <w:t>The Tibetan Singing Bowl</w:t>
      </w:r>
      <w:r w:rsidRPr="00291083">
        <w:t xml:space="preserve">, Pasang </w:t>
      </w:r>
      <w:r w:rsidR="005F239B">
        <w:t>writes</w:t>
      </w:r>
      <w:r w:rsidRPr="00291083">
        <w:t xml:space="preserve"> that based on Tibetan numerology, odd-numbered composition</w:t>
      </w:r>
      <w:r w:rsidR="00BE2A8C" w:rsidRPr="00291083">
        <w:t>s</w:t>
      </w:r>
      <w:r w:rsidRPr="00291083">
        <w:t xml:space="preserve"> are in favour, with 7 as the primary choice.</w:t>
      </w:r>
      <w:r w:rsidRPr="00291083">
        <w:rPr>
          <w:rStyle w:val="FootnoteReference"/>
        </w:rPr>
        <w:footnoteReference w:id="51"/>
      </w:r>
      <w:r w:rsidRPr="00291083">
        <w:t xml:space="preserve"> </w:t>
      </w:r>
      <w:r w:rsidRPr="00291083">
        <w:lastRenderedPageBreak/>
        <w:t xml:space="preserve">Nonetheless, in the interview, </w:t>
      </w:r>
      <w:r w:rsidR="00946E38">
        <w:t>he admits</w:t>
      </w:r>
      <w:r w:rsidRPr="00291083">
        <w:t xml:space="preserve"> that the ‘interpretations of fixed multi-metal compositions…are better understood as later systematisations or symbolic interpretations rather than reflections of consistently applied traditional knowledge’. </w:t>
      </w:r>
      <w:r w:rsidR="00D34F33">
        <w:t>A</w:t>
      </w:r>
      <w:r w:rsidR="00BC7DAD">
        <w:t>s for</w:t>
      </w:r>
      <w:r w:rsidR="00D34F33">
        <w:t xml:space="preserve"> people who adopt</w:t>
      </w:r>
      <w:r w:rsidR="00E75FE9">
        <w:t>ed</w:t>
      </w:r>
      <w:r w:rsidR="00D34F33">
        <w:t xml:space="preserve"> the symbolisms, </w:t>
      </w:r>
      <w:r w:rsidR="00BC7DAD">
        <w:t xml:space="preserve">their views were in </w:t>
      </w:r>
      <w:r w:rsidR="00AB793E">
        <w:t>agreement</w:t>
      </w:r>
      <w:r w:rsidR="00BC7DAD">
        <w:t xml:space="preserve"> with Perry, where the</w:t>
      </w:r>
      <w:r w:rsidR="00D34F33">
        <w:t xml:space="preserve"> bowls were </w:t>
      </w:r>
      <w:r w:rsidR="00BC7DAD">
        <w:t>seen</w:t>
      </w:r>
      <w:r w:rsidR="00D34F33">
        <w:t xml:space="preserve"> as ‘sacred’.</w:t>
      </w:r>
      <w:r w:rsidR="00BC7DAD">
        <w:t xml:space="preserve"> </w:t>
      </w:r>
      <w:r w:rsidRPr="00291083">
        <w:t>Notably, 77.4% of the respondents thought highly of 7-metal bowls in terms of quality, including those who d</w:t>
      </w:r>
      <w:r w:rsidR="005F239B">
        <w:t>id</w:t>
      </w:r>
      <w:r w:rsidRPr="00291083">
        <w:t xml:space="preserve"> not adopt the symbolism</w:t>
      </w:r>
      <w:r w:rsidR="005F239B">
        <w:t>s</w:t>
      </w:r>
      <w:r w:rsidRPr="00291083">
        <w:t xml:space="preserve">. Those individuals instead believed the mixed-metal technique </w:t>
      </w:r>
      <w:r w:rsidR="005F239B">
        <w:t>was</w:t>
      </w:r>
      <w:r w:rsidRPr="00291083">
        <w:t xml:space="preserve"> invented for practical reasons: it can either improve the sound quality of the bowls</w:t>
      </w:r>
      <w:r w:rsidR="00E75FE9">
        <w:t xml:space="preserve"> </w:t>
      </w:r>
      <w:r w:rsidRPr="00291083">
        <w:t>or enhance the healing o</w:t>
      </w:r>
      <w:r w:rsidR="00BB1C4B">
        <w:t>f</w:t>
      </w:r>
      <w:r w:rsidRPr="00291083">
        <w:t xml:space="preserve"> chakras, a concept </w:t>
      </w:r>
      <w:r w:rsidR="005F239B">
        <w:t>to be</w:t>
      </w:r>
      <w:r w:rsidRPr="00291083">
        <w:t xml:space="preserve"> examined in the next section. Only four respondents thought that </w:t>
      </w:r>
      <w:r w:rsidR="00BE2A8C" w:rsidRPr="00291083">
        <w:t xml:space="preserve">the </w:t>
      </w:r>
      <w:r w:rsidRPr="00291083">
        <w:t xml:space="preserve">material makes no difference to the quality. Respondents in general were less keen on stainless steel, even </w:t>
      </w:r>
      <w:r w:rsidR="00E75FE9">
        <w:t>the material</w:t>
      </w:r>
      <w:r w:rsidRPr="00291083">
        <w:t xml:space="preserve"> is used on many musical instruments, </w:t>
      </w:r>
      <w:r w:rsidR="00527632">
        <w:t>including</w:t>
      </w:r>
      <w:r w:rsidRPr="00291083">
        <w:t xml:space="preserve"> the tongue drum </w:t>
      </w:r>
      <w:r w:rsidR="00BC7DAD">
        <w:t>featured</w:t>
      </w:r>
      <w:r w:rsidR="00527632">
        <w:t xml:space="preserve"> in the therapy</w:t>
      </w:r>
      <w:r w:rsidRPr="00291083">
        <w:t>. Over half of the respondents rated highly of crystal bowls, another sound-</w:t>
      </w:r>
      <w:r w:rsidRPr="00527632">
        <w:t xml:space="preserve">producing tool </w:t>
      </w:r>
      <w:r w:rsidR="00BC7DAD">
        <w:t>for</w:t>
      </w:r>
      <w:r w:rsidRPr="00527632">
        <w:t xml:space="preserve"> </w:t>
      </w:r>
      <w:r w:rsidR="00BC7DAD">
        <w:t xml:space="preserve">yoga, </w:t>
      </w:r>
      <w:r w:rsidRPr="00527632">
        <w:t xml:space="preserve">sound therapy and mediation. Interviewee A </w:t>
      </w:r>
      <w:r w:rsidR="00BD7C9D">
        <w:t>told</w:t>
      </w:r>
      <w:r w:rsidRPr="00527632">
        <w:t xml:space="preserve"> their ‘incredible’ experience with the crystal bowls:</w:t>
      </w:r>
    </w:p>
    <w:p w14:paraId="7171F6DB" w14:textId="77777777" w:rsidR="00AE4D76" w:rsidRDefault="00AE4D76" w:rsidP="00AE4D76">
      <w:pPr>
        <w:jc w:val="both"/>
      </w:pPr>
    </w:p>
    <w:p w14:paraId="3C182B91" w14:textId="77777777" w:rsidR="00AE4D76" w:rsidRDefault="00AE4D76" w:rsidP="00AE4D76">
      <w:pPr>
        <w:ind w:left="720"/>
        <w:jc w:val="both"/>
      </w:pPr>
      <w:r>
        <w:t>‘C</w:t>
      </w:r>
      <w:r w:rsidRPr="009846B8">
        <w:t>rystal balls have a very pure frequency</w:t>
      </w:r>
      <w:r>
        <w:t>…</w:t>
      </w:r>
      <w:r w:rsidRPr="009846B8">
        <w:t>it feels like, like a beam of, of light, of sound. You know, like a column really. It's very vertical for me how I experience it. Very pure and, and swirling. It's beautiful</w:t>
      </w:r>
      <w:r>
        <w:t>…</w:t>
      </w:r>
      <w:r w:rsidRPr="008011D0">
        <w:t xml:space="preserve"> the Tibetan singing bowls or the metal ones for me are much more horizontal than vertical</w:t>
      </w:r>
      <w:r>
        <w:t>…</w:t>
      </w:r>
      <w:r w:rsidRPr="008011D0">
        <w:t xml:space="preserve"> And it feels warmer to me and more, um, more holding.</w:t>
      </w:r>
      <w:r>
        <w:t>’</w:t>
      </w:r>
    </w:p>
    <w:p w14:paraId="064C24D5" w14:textId="77777777" w:rsidR="00AE4D76" w:rsidRDefault="00AE4D76" w:rsidP="00AE4D76">
      <w:pPr>
        <w:jc w:val="both"/>
      </w:pPr>
    </w:p>
    <w:p w14:paraId="322DB9F9" w14:textId="06BADE1A" w:rsidR="00AE4D76" w:rsidRDefault="00AE4D76" w:rsidP="00AE4D76">
      <w:pPr>
        <w:jc w:val="both"/>
      </w:pPr>
      <w:r w:rsidRPr="004E42C4">
        <w:t xml:space="preserve">Interviewee B </w:t>
      </w:r>
      <w:r w:rsidR="00D34F33" w:rsidRPr="004E42C4">
        <w:t>was aware of the science behind</w:t>
      </w:r>
      <w:r w:rsidRPr="004E42C4">
        <w:t xml:space="preserve"> </w:t>
      </w:r>
      <w:r w:rsidR="00D34F33" w:rsidRPr="004E42C4">
        <w:t xml:space="preserve">the differences in </w:t>
      </w:r>
      <w:r w:rsidRPr="004E42C4">
        <w:t>sound qualit</w:t>
      </w:r>
      <w:r w:rsidR="00D34F33" w:rsidRPr="004E42C4">
        <w:t>y</w:t>
      </w:r>
      <w:r w:rsidRPr="004E42C4">
        <w:t xml:space="preserve">: metal bowls </w:t>
      </w:r>
      <w:r w:rsidR="00BB1C4B">
        <w:t>produce</w:t>
      </w:r>
      <w:r w:rsidRPr="004E42C4">
        <w:t xml:space="preserve"> dissonant sound</w:t>
      </w:r>
      <w:r w:rsidR="007C11DE">
        <w:t>s</w:t>
      </w:r>
      <w:r w:rsidRPr="004E42C4">
        <w:t>, while crystal bowls lack harmonic content.</w:t>
      </w:r>
      <w:r w:rsidRPr="004E42C4">
        <w:rPr>
          <w:rStyle w:val="FootnoteReference"/>
        </w:rPr>
        <w:footnoteReference w:id="52"/>
      </w:r>
      <w:r w:rsidR="00DC70B9" w:rsidRPr="004E42C4">
        <w:t xml:space="preserve"> They </w:t>
      </w:r>
      <w:r w:rsidR="004E42C4" w:rsidRPr="004E42C4">
        <w:t>were attracted by</w:t>
      </w:r>
      <w:r w:rsidR="00DC70B9" w:rsidRPr="004E42C4">
        <w:t xml:space="preserve"> </w:t>
      </w:r>
      <w:r w:rsidR="0050562D" w:rsidRPr="004E42C4">
        <w:t xml:space="preserve">the ‘pure, clear’ and </w:t>
      </w:r>
      <w:r w:rsidR="0050562D" w:rsidRPr="004E42C4">
        <w:t>‘well-tuned’</w:t>
      </w:r>
      <w:r w:rsidR="0050562D" w:rsidRPr="004E42C4">
        <w:t xml:space="preserve"> tones of the crystal bowls,</w:t>
      </w:r>
      <w:r w:rsidR="004E42C4" w:rsidRPr="004E42C4">
        <w:t xml:space="preserve"> but</w:t>
      </w:r>
      <w:r w:rsidR="004E42C4">
        <w:t xml:space="preserve"> admitted that the harmonic resonances and binaural beats created by the metal bowls are </w:t>
      </w:r>
      <w:r w:rsidR="000F76B9">
        <w:t>what</w:t>
      </w:r>
      <w:r w:rsidR="004E42C4">
        <w:t xml:space="preserve"> crystal ones can never </w:t>
      </w:r>
      <w:r w:rsidR="001E5ACB">
        <w:t>achieve</w:t>
      </w:r>
      <w:r w:rsidR="004E42C4">
        <w:t xml:space="preserve">. </w:t>
      </w:r>
      <w:r>
        <w:t xml:space="preserve">Unlike the metal bowls, there is </w:t>
      </w:r>
      <w:r w:rsidR="00527632">
        <w:t xml:space="preserve">no </w:t>
      </w:r>
      <w:r>
        <w:t xml:space="preserve">comparable research on </w:t>
      </w:r>
      <w:r w:rsidR="00527632" w:rsidRPr="00527632">
        <w:t>the effect</w:t>
      </w:r>
      <w:r w:rsidRPr="00527632">
        <w:t xml:space="preserve"> of</w:t>
      </w:r>
      <w:r>
        <w:t xml:space="preserve"> crystal bowls</w:t>
      </w:r>
      <w:r w:rsidR="00527632">
        <w:t xml:space="preserve"> on health and well-being</w:t>
      </w:r>
      <w:r>
        <w:t>, and existing evidence show</w:t>
      </w:r>
      <w:r w:rsidR="007C11DE">
        <w:t>s</w:t>
      </w:r>
      <w:r>
        <w:t xml:space="preserve"> mixed results.</w:t>
      </w:r>
      <w:r>
        <w:rPr>
          <w:rStyle w:val="FootnoteReference"/>
        </w:rPr>
        <w:footnoteReference w:id="53"/>
      </w:r>
      <w:r>
        <w:t xml:space="preserve"> </w:t>
      </w:r>
      <w:r w:rsidRPr="003511D3">
        <w:t xml:space="preserve">This </w:t>
      </w:r>
      <w:r w:rsidR="00856890">
        <w:t>indicate</w:t>
      </w:r>
      <w:r w:rsidRPr="003511D3">
        <w:t>s that the respondents’ perceived satisfaction with the bowl’s material</w:t>
      </w:r>
      <w:r w:rsidR="007C11DE" w:rsidRPr="003511D3">
        <w:t xml:space="preserve"> </w:t>
      </w:r>
      <w:r w:rsidR="002E01A1">
        <w:t xml:space="preserve">is </w:t>
      </w:r>
      <w:r w:rsidR="00660C25">
        <w:t>based on their own experience and judgement</w:t>
      </w:r>
      <w:r w:rsidR="007C11DE" w:rsidRPr="003511D3">
        <w:t xml:space="preserve">, </w:t>
      </w:r>
      <w:r w:rsidR="002E01A1">
        <w:t>and</w:t>
      </w:r>
      <w:r w:rsidRPr="003511D3">
        <w:t xml:space="preserve"> do</w:t>
      </w:r>
      <w:r w:rsidR="007C11DE" w:rsidRPr="003511D3">
        <w:t>es</w:t>
      </w:r>
      <w:r w:rsidRPr="003511D3">
        <w:t xml:space="preserve"> not necessarily require support from </w:t>
      </w:r>
      <w:r w:rsidR="003511D3" w:rsidRPr="003511D3">
        <w:t xml:space="preserve">the </w:t>
      </w:r>
      <w:r w:rsidRPr="003511D3">
        <w:t>scie</w:t>
      </w:r>
      <w:r w:rsidR="007C11DE" w:rsidRPr="003511D3">
        <w:t>nce</w:t>
      </w:r>
      <w:r w:rsidRPr="003511D3">
        <w:t>s.</w:t>
      </w:r>
      <w:r>
        <w:t xml:space="preserve"> </w:t>
      </w:r>
    </w:p>
    <w:p w14:paraId="58194AE2" w14:textId="5D5AA900" w:rsidR="00DA364B" w:rsidRDefault="00DA364B" w:rsidP="00AE4D76">
      <w:pPr>
        <w:jc w:val="both"/>
      </w:pPr>
    </w:p>
    <w:p w14:paraId="7A124A3A" w14:textId="0A1596F3" w:rsidR="00DA364B" w:rsidRDefault="00DA364B" w:rsidP="00AE4D76">
      <w:pPr>
        <w:jc w:val="both"/>
      </w:pPr>
    </w:p>
    <w:p w14:paraId="794CA843" w14:textId="77777777" w:rsidR="00782E49" w:rsidRDefault="00782E49" w:rsidP="00AE4D76">
      <w:pPr>
        <w:jc w:val="both"/>
      </w:pPr>
    </w:p>
    <w:p w14:paraId="32746DD7" w14:textId="5912493A" w:rsidR="00DA364B" w:rsidRPr="009C089D" w:rsidRDefault="00DA364B" w:rsidP="00DA364B">
      <w:pPr>
        <w:jc w:val="both"/>
        <w:rPr>
          <w:rFonts w:ascii="Century Gothic" w:hAnsi="Century Gothic"/>
        </w:rPr>
      </w:pPr>
      <w:r w:rsidRPr="009C089D">
        <w:rPr>
          <w:rFonts w:ascii="Century Gothic" w:hAnsi="Century Gothic"/>
          <w:i/>
          <w:iCs/>
        </w:rPr>
        <w:t>The Mechanism of Healing</w:t>
      </w:r>
    </w:p>
    <w:p w14:paraId="2D900B7D" w14:textId="77777777" w:rsidR="00782E49" w:rsidRPr="009C089D" w:rsidRDefault="00782E49" w:rsidP="00DA364B">
      <w:pPr>
        <w:jc w:val="both"/>
        <w:rPr>
          <w:rFonts w:ascii="Century Gothic" w:hAnsi="Century Gothic"/>
        </w:rPr>
      </w:pPr>
    </w:p>
    <w:p w14:paraId="51DB9A05" w14:textId="77777777" w:rsidR="009C089D" w:rsidRPr="009C089D" w:rsidRDefault="009C089D" w:rsidP="009C089D">
      <w:pPr>
        <w:jc w:val="both"/>
      </w:pPr>
      <w:r w:rsidRPr="009C089D">
        <w:t xml:space="preserve">The results reveal that many people drawn to singing bowl therapy seek healing and well-being. All respondents reported experiencing benefits at various levels: physical, emotional, psychological, and spiritual. Their mood lifted, and their mind grew calmer. Sometimes people felt spiritually awakened, or their pains were improved. In one case, singing bowls were crucial to the person’s chronic pain management. In another case, the individual successfully used singing bowls to alleviate stress and long-term shoulder pain from a client who had post-traumatic stress disorder (PTSD). In some cases, singing bowls were used to provide comfort to end-of-life patients, which was said to be ‘powerful’. Several people described their first </w:t>
      </w:r>
      <w:r w:rsidRPr="009C089D">
        <w:lastRenderedPageBreak/>
        <w:t>experiences with singing bowls as ‘profound’ or ‘transformative’. One produced a detailed account:</w:t>
      </w:r>
    </w:p>
    <w:p w14:paraId="6A80D974" w14:textId="77777777" w:rsidR="009779E6" w:rsidRDefault="009779E6" w:rsidP="00EB431A">
      <w:pPr>
        <w:jc w:val="both"/>
      </w:pPr>
    </w:p>
    <w:p w14:paraId="76473463" w14:textId="2390D754" w:rsidR="005E10A2" w:rsidRDefault="009779E6" w:rsidP="005E10A2">
      <w:pPr>
        <w:ind w:left="720"/>
        <w:jc w:val="both"/>
      </w:pPr>
      <w:r>
        <w:t>‘</w:t>
      </w:r>
      <w:r w:rsidRPr="009779E6">
        <w:t>I think the first experience was just, again, at a public park, like a music concert in a public park in Bristol.</w:t>
      </w:r>
      <w:r>
        <w:t xml:space="preserve"> </w:t>
      </w:r>
      <w:r w:rsidRPr="009779E6">
        <w:t>And they were doing ten</w:t>
      </w:r>
      <w:r w:rsidR="0093441D">
        <w:t>-</w:t>
      </w:r>
      <w:r w:rsidRPr="009779E6">
        <w:t>minute tasters</w:t>
      </w:r>
      <w:r>
        <w:t>…</w:t>
      </w:r>
      <w:r w:rsidRPr="009779E6">
        <w:t xml:space="preserve"> </w:t>
      </w:r>
      <w:r w:rsidRPr="009779E6">
        <w:t>And my brother had died about two years before. And in my ten</w:t>
      </w:r>
      <w:r w:rsidR="0093441D">
        <w:t>-</w:t>
      </w:r>
      <w:r w:rsidRPr="009779E6">
        <w:t>minute like taster session, I went into the grave.</w:t>
      </w:r>
      <w:r>
        <w:t xml:space="preserve"> I</w:t>
      </w:r>
      <w:r w:rsidR="00DA364B" w:rsidRPr="00847A36">
        <w:t>t felt like my body went deep under the ground. And it really kind of, um, helped to move some of the grief back to the surface for me to process.</w:t>
      </w:r>
      <w:r w:rsidR="00DA364B">
        <w:t>’</w:t>
      </w:r>
    </w:p>
    <w:p w14:paraId="06A16D63" w14:textId="77777777" w:rsidR="005E10A2" w:rsidRDefault="005E10A2" w:rsidP="005E10A2">
      <w:pPr>
        <w:ind w:left="720"/>
        <w:jc w:val="both"/>
      </w:pPr>
    </w:p>
    <w:p w14:paraId="7347D64F" w14:textId="3F71E2B4" w:rsidR="00476142" w:rsidRDefault="005E10A2" w:rsidP="005E10A2">
      <w:pPr>
        <w:jc w:val="both"/>
      </w:pPr>
      <w:r w:rsidRPr="00C27BAD">
        <w:t xml:space="preserve">Apart from </w:t>
      </w:r>
      <w:r w:rsidRPr="00C27BAD">
        <w:t>sciences</w:t>
      </w:r>
      <w:r w:rsidRPr="00C27BAD">
        <w:t xml:space="preserve">, there are </w:t>
      </w:r>
      <w:r w:rsidRPr="00C27BAD">
        <w:t>several</w:t>
      </w:r>
      <w:r>
        <w:t xml:space="preserve"> </w:t>
      </w:r>
      <w:r w:rsidRPr="00A618CA">
        <w:t xml:space="preserve">metaphysical frameworks </w:t>
      </w:r>
      <w:r>
        <w:t xml:space="preserve">to </w:t>
      </w:r>
      <w:r w:rsidRPr="00A618CA">
        <w:t xml:space="preserve">explain </w:t>
      </w:r>
      <w:r w:rsidR="006C1323">
        <w:t>singing</w:t>
      </w:r>
      <w:r w:rsidRPr="00A618CA">
        <w:t xml:space="preserve"> bowls’ </w:t>
      </w:r>
      <w:r>
        <w:t xml:space="preserve">‘transformative’ </w:t>
      </w:r>
      <w:r w:rsidRPr="00A618CA">
        <w:t xml:space="preserve">power. One </w:t>
      </w:r>
      <w:r>
        <w:t>essential</w:t>
      </w:r>
      <w:r w:rsidRPr="00A618CA">
        <w:t xml:space="preserve"> </w:t>
      </w:r>
      <w:r w:rsidR="00266891">
        <w:t>framework</w:t>
      </w:r>
      <w:r w:rsidRPr="00A618CA">
        <w:t xml:space="preserve"> is the chakra system. In Vedic and Tibetan traditions, chakras are rotating energy centres located on the human body which absorb or give out energy</w:t>
      </w:r>
      <w:r>
        <w:t xml:space="preserve">, and </w:t>
      </w:r>
      <w:r w:rsidRPr="00CC17F4">
        <w:t>singing bowls are said to bring the chakras into balance.</w:t>
      </w:r>
      <w:r w:rsidRPr="00CC17F4">
        <w:rPr>
          <w:rStyle w:val="FootnoteReference"/>
        </w:rPr>
        <w:footnoteReference w:id="54"/>
      </w:r>
      <w:r>
        <w:rPr>
          <w:rStyle w:val="FootnoteReference"/>
        </w:rPr>
        <w:t xml:space="preserve"> </w:t>
      </w:r>
      <w:r>
        <w:rPr>
          <w:rStyle w:val="FootnoteReference"/>
          <w:vertAlign w:val="baseline"/>
        </w:rPr>
        <w:t xml:space="preserve">In addition, </w:t>
      </w:r>
      <w:r w:rsidR="00CC17F4">
        <w:rPr>
          <w:rStyle w:val="FootnoteReference"/>
          <w:vertAlign w:val="baseline"/>
        </w:rPr>
        <w:t>c</w:t>
      </w:r>
      <w:r w:rsidR="00CC17F4">
        <w:t>ertain</w:t>
      </w:r>
      <w:r>
        <w:rPr>
          <w:rStyle w:val="FootnoteReference"/>
          <w:vertAlign w:val="baseline"/>
        </w:rPr>
        <w:t xml:space="preserve"> bowls are engraved with </w:t>
      </w:r>
      <w:r>
        <w:t xml:space="preserve">mantras and iconographies. Although some regard this </w:t>
      </w:r>
      <w:r w:rsidR="00C27BAD">
        <w:t>a</w:t>
      </w:r>
      <w:r>
        <w:t xml:space="preserve">s purely for decorative purposes, some argue that the bowls can emit the blessings of the mantra when </w:t>
      </w:r>
      <w:r w:rsidR="005813EE">
        <w:t xml:space="preserve">activated while </w:t>
      </w:r>
      <w:r>
        <w:t>play</w:t>
      </w:r>
      <w:r w:rsidR="005813EE">
        <w:t>ing</w:t>
      </w:r>
      <w:r>
        <w:t xml:space="preserve">, </w:t>
      </w:r>
      <w:r w:rsidR="005813EE">
        <w:t>similar to</w:t>
      </w:r>
      <w:r>
        <w:t xml:space="preserve"> the prayer flag</w:t>
      </w:r>
      <w:r w:rsidR="005813EE">
        <w:t>s</w:t>
      </w:r>
      <w:r>
        <w:t xml:space="preserve"> and prayer wheels</w:t>
      </w:r>
      <w:r w:rsidR="001E6C22">
        <w:t xml:space="preserve"> </w:t>
      </w:r>
      <w:r>
        <w:t>in Tibetan Buddhism.</w:t>
      </w:r>
      <w:r>
        <w:rPr>
          <w:rStyle w:val="FootnoteReference"/>
        </w:rPr>
        <w:footnoteReference w:id="55"/>
      </w:r>
      <w:r>
        <w:t xml:space="preserve"> </w:t>
      </w:r>
      <w:r w:rsidRPr="00A618CA">
        <w:t xml:space="preserve">Based on the </w:t>
      </w:r>
      <w:r w:rsidRPr="00A618CA">
        <w:rPr>
          <w:i/>
          <w:iCs/>
        </w:rPr>
        <w:t>Protocol</w:t>
      </w:r>
      <w:r w:rsidRPr="00A618CA">
        <w:t>, the questionnaire ask</w:t>
      </w:r>
      <w:r w:rsidR="00FC4111">
        <w:t>ed</w:t>
      </w:r>
      <w:r w:rsidRPr="00A618CA">
        <w:t xml:space="preserve"> the respondents what </w:t>
      </w:r>
      <w:r w:rsidRPr="00A249B9">
        <w:rPr>
          <w:i/>
          <w:iCs/>
        </w:rPr>
        <w:t>they</w:t>
      </w:r>
      <w:r w:rsidRPr="00A618CA">
        <w:t xml:space="preserve"> think is happening during a singing bowl session, with five possibilities given</w:t>
      </w:r>
      <w:r>
        <w:t xml:space="preserve">. </w:t>
      </w:r>
      <w:r w:rsidR="00837C60">
        <w:t xml:space="preserve">These are brainwave theory, chakra healing, mantra healing, healing via supernatural agents, and self-healing through </w:t>
      </w:r>
      <w:r w:rsidR="00D4691C">
        <w:t>A</w:t>
      </w:r>
      <w:r w:rsidR="00837C60">
        <w:t xml:space="preserve">ltered </w:t>
      </w:r>
      <w:r w:rsidR="00D4691C">
        <w:t>State of C</w:t>
      </w:r>
      <w:r w:rsidR="00837C60">
        <w:t>onsciousness</w:t>
      </w:r>
      <w:r w:rsidR="00D4691C">
        <w:t xml:space="preserve"> (ASC)</w:t>
      </w:r>
      <w:r w:rsidR="00837C60">
        <w:t xml:space="preserve">. </w:t>
      </w:r>
      <w:r w:rsidR="00C602A8" w:rsidRPr="00A618CA">
        <w:t>ASC</w:t>
      </w:r>
      <w:r w:rsidR="00C602A8">
        <w:t xml:space="preserve">s can be experienced in both secular and religious settings, such as sport or shamanic rituals, and </w:t>
      </w:r>
      <w:r w:rsidR="000F35EE">
        <w:t>are</w:t>
      </w:r>
      <w:r w:rsidR="00C602A8">
        <w:t xml:space="preserve"> noted scientifically as therapeutic.</w:t>
      </w:r>
      <w:r w:rsidR="00C602A8" w:rsidRPr="00A618CA">
        <w:rPr>
          <w:rStyle w:val="FootnoteReference"/>
        </w:rPr>
        <w:footnoteReference w:id="56"/>
      </w:r>
      <w:r w:rsidR="00C602A8">
        <w:t xml:space="preserve"> If singing bowl practice originated from Buddhism and Bön traditions, it is reasonable to assume that the bowl can induce ASC experience. </w:t>
      </w:r>
      <w:r>
        <w:t>The respondents were allow</w:t>
      </w:r>
      <w:r w:rsidR="00C27BAD">
        <w:t>ed</w:t>
      </w:r>
      <w:r>
        <w:t xml:space="preserve"> to choose or combine possibilities and/or self-describe. From 31 respondents</w:t>
      </w:r>
      <w:r w:rsidR="00C27BAD">
        <w:t>,</w:t>
      </w:r>
      <w:r>
        <w:t xml:space="preserve"> a total of 16 types of responses were generated (Table 2), in addition to 6 self-descriptions, indicating a high</w:t>
      </w:r>
      <w:r w:rsidR="00476142">
        <w:t xml:space="preserve"> degree of</w:t>
      </w:r>
      <w:r>
        <w:t xml:space="preserve"> individualis</w:t>
      </w:r>
      <w:r w:rsidR="00476142">
        <w:t>m</w:t>
      </w:r>
      <w:r>
        <w:t>.</w:t>
      </w:r>
      <w:r w:rsidR="00837C60">
        <w:t xml:space="preserve"> </w:t>
      </w:r>
      <w:r w:rsidR="00EC4FC7">
        <w:t xml:space="preserve">All five possibilities had </w:t>
      </w:r>
      <w:r w:rsidR="00C602A8">
        <w:t>believer</w:t>
      </w:r>
      <w:r w:rsidR="00EC4FC7">
        <w:t>s</w:t>
      </w:r>
      <w:r w:rsidR="00C602A8">
        <w:t xml:space="preserve">, in particular the </w:t>
      </w:r>
      <w:r w:rsidR="00C602A8" w:rsidRPr="00C602A8">
        <w:t>brainwaves and ASC theories (both 74.2%)</w:t>
      </w:r>
      <w:r w:rsidR="00C602A8" w:rsidRPr="00C602A8">
        <w:t>, followed by chakra healing</w:t>
      </w:r>
      <w:r w:rsidR="00C602A8" w:rsidRPr="00C602A8">
        <w:t xml:space="preserve"> </w:t>
      </w:r>
      <w:r w:rsidR="00C602A8" w:rsidRPr="00C602A8">
        <w:t>(</w:t>
      </w:r>
      <w:r w:rsidR="00C602A8" w:rsidRPr="00C602A8">
        <w:t>61.3%</w:t>
      </w:r>
      <w:r w:rsidR="00C602A8" w:rsidRPr="00C602A8">
        <w:t>)</w:t>
      </w:r>
      <w:r w:rsidR="00C602A8" w:rsidRPr="00C602A8">
        <w:t>.</w:t>
      </w:r>
      <w:r w:rsidR="00EC4FC7">
        <w:t xml:space="preserve"> </w:t>
      </w:r>
      <w:r w:rsidR="0051686F" w:rsidRPr="0051686F">
        <w:t>Nearly 40% of people believed in the power of engraved mantras.</w:t>
      </w:r>
      <w:r w:rsidR="0051686F">
        <w:t xml:space="preserve"> </w:t>
      </w:r>
      <w:r w:rsidR="0051686F" w:rsidRPr="0051686F">
        <w:t xml:space="preserve">The idea that healing comes from supernatural agents received </w:t>
      </w:r>
      <w:r w:rsidR="000F35EE">
        <w:t xml:space="preserve">the </w:t>
      </w:r>
      <w:r w:rsidR="0051686F" w:rsidRPr="0051686F">
        <w:t>most underwhelming responses</w:t>
      </w:r>
      <w:r w:rsidR="0051686F">
        <w:t>.</w:t>
      </w:r>
      <w:r w:rsidR="0051686F" w:rsidRPr="0051686F">
        <w:t xml:space="preserve"> </w:t>
      </w:r>
    </w:p>
    <w:p w14:paraId="77A9672E" w14:textId="38E84067" w:rsidR="00476142" w:rsidRDefault="00476142" w:rsidP="00476142">
      <w:pPr>
        <w:jc w:val="center"/>
      </w:pPr>
      <w:r w:rsidRPr="00041BB9">
        <w:rPr>
          <w:noProof/>
        </w:rPr>
        <w:lastRenderedPageBreak/>
        <w:drawing>
          <wp:inline distT="0" distB="0" distL="0" distR="0" wp14:anchorId="40FB9073" wp14:editId="577F61A3">
            <wp:extent cx="4527997" cy="3486684"/>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11135"/>
                    <a:stretch/>
                  </pic:blipFill>
                  <pic:spPr bwMode="auto">
                    <a:xfrm>
                      <a:off x="0" y="0"/>
                      <a:ext cx="4570760" cy="3519613"/>
                    </a:xfrm>
                    <a:prstGeom prst="rect">
                      <a:avLst/>
                    </a:prstGeom>
                    <a:ln>
                      <a:noFill/>
                    </a:ln>
                    <a:extLst>
                      <a:ext uri="{53640926-AAD7-44D8-BBD7-CCE9431645EC}">
                        <a14:shadowObscured xmlns:a14="http://schemas.microsoft.com/office/drawing/2010/main"/>
                      </a:ext>
                    </a:extLst>
                  </pic:spPr>
                </pic:pic>
              </a:graphicData>
            </a:graphic>
          </wp:inline>
        </w:drawing>
      </w:r>
    </w:p>
    <w:p w14:paraId="50E9993F" w14:textId="77777777" w:rsidR="005E10A2" w:rsidRDefault="005E10A2" w:rsidP="00EC4072">
      <w:pPr>
        <w:jc w:val="both"/>
      </w:pPr>
    </w:p>
    <w:p w14:paraId="16F23D8B" w14:textId="09DCE855" w:rsidR="000751E9" w:rsidRDefault="00EC4072" w:rsidP="000751E9">
      <w:pPr>
        <w:jc w:val="both"/>
      </w:pPr>
      <w:r w:rsidRPr="00A72D71">
        <w:t>Analysis o</w:t>
      </w:r>
      <w:r w:rsidR="00E97357">
        <w:t>f</w:t>
      </w:r>
      <w:r w:rsidRPr="00A72D71">
        <w:t xml:space="preserve"> self-descriptions and interviews also </w:t>
      </w:r>
      <w:r w:rsidR="00856890" w:rsidRPr="00A72D71">
        <w:t>illustrates</w:t>
      </w:r>
      <w:r w:rsidRPr="00A72D71">
        <w:t xml:space="preserve"> </w:t>
      </w:r>
      <w:r w:rsidR="008B08CF" w:rsidRPr="00A72D71">
        <w:t>other</w:t>
      </w:r>
      <w:r w:rsidRPr="00A72D71">
        <w:t xml:space="preserve"> philosophical outlooks.</w:t>
      </w:r>
      <w:r w:rsidR="001E6C22" w:rsidRPr="00A72D71">
        <w:t xml:space="preserve"> </w:t>
      </w:r>
      <w:r w:rsidR="00856890" w:rsidRPr="00A72D71">
        <w:t>I</w:t>
      </w:r>
      <w:r w:rsidRPr="00A72D71">
        <w:t>nterviewee</w:t>
      </w:r>
      <w:r w:rsidR="00856890" w:rsidRPr="00A72D71">
        <w:t xml:space="preserve"> A</w:t>
      </w:r>
      <w:r w:rsidRPr="00A72D71">
        <w:t xml:space="preserve"> state</w:t>
      </w:r>
      <w:r w:rsidR="00856890" w:rsidRPr="00A72D71">
        <w:t>d</w:t>
      </w:r>
      <w:r w:rsidR="00E97357">
        <w:t xml:space="preserve">, </w:t>
      </w:r>
      <w:r w:rsidRPr="00A72D71">
        <w:t>‘it's not that the bowls are healing, but they facilitate our own healing’. Although the sound produced by the bowls are important, the interviewee explain</w:t>
      </w:r>
      <w:r w:rsidR="00E97357">
        <w:t>ed</w:t>
      </w:r>
      <w:r w:rsidRPr="00A72D71">
        <w:t xml:space="preserve">, it is the silence in between that allows the receiver to relax, and certain issues or emotions </w:t>
      </w:r>
      <w:r w:rsidR="00E97357">
        <w:t>to</w:t>
      </w:r>
      <w:r w:rsidRPr="00A72D71">
        <w:t xml:space="preserve"> rise from </w:t>
      </w:r>
      <w:r w:rsidR="00E97357">
        <w:t xml:space="preserve">the </w:t>
      </w:r>
      <w:r w:rsidRPr="00A72D71">
        <w:t>subconscious and be acknowledged. An analogy can be drawn between this and the art of omission in Chinese ink wash paintings. Interviewee C believe</w:t>
      </w:r>
      <w:r w:rsidR="00856890" w:rsidRPr="00A72D71">
        <w:t>d</w:t>
      </w:r>
      <w:r w:rsidRPr="00A72D71">
        <w:t xml:space="preserve"> that ‘healing is to be </w:t>
      </w:r>
      <w:r w:rsidR="00E97357">
        <w:t xml:space="preserve">(at) </w:t>
      </w:r>
      <w:r w:rsidRPr="00A72D71">
        <w:t xml:space="preserve">peace with yourself or the situation’. </w:t>
      </w:r>
      <w:r w:rsidR="001E6C22" w:rsidRPr="00A72D71">
        <w:t xml:space="preserve">Another wrote, ‘I am able to make shifts in my perception and gain insight into situations that have been uncomfortable or stressful’. </w:t>
      </w:r>
      <w:r w:rsidR="001E6C22" w:rsidRPr="00A72D71">
        <w:t>These</w:t>
      </w:r>
      <w:r w:rsidRPr="00A72D71">
        <w:t xml:space="preserve"> statements reflect the concept</w:t>
      </w:r>
      <w:r w:rsidR="001E6C22" w:rsidRPr="00A72D71">
        <w:t xml:space="preserve">s of </w:t>
      </w:r>
      <w:r w:rsidRPr="00A72D71">
        <w:t>self-awareness and non-judgmental self-acceptance</w:t>
      </w:r>
      <w:r w:rsidR="001E6C22" w:rsidRPr="00A72D71">
        <w:t xml:space="preserve">, which are at </w:t>
      </w:r>
      <w:r w:rsidR="00E97357">
        <w:t xml:space="preserve">the </w:t>
      </w:r>
      <w:r w:rsidR="001E6C22" w:rsidRPr="00A72D71">
        <w:t xml:space="preserve">core </w:t>
      </w:r>
      <w:r w:rsidR="001E6C22" w:rsidRPr="00A72D71">
        <w:t>of mindfulness</w:t>
      </w:r>
      <w:r w:rsidR="001E6C22" w:rsidRPr="00A72D71">
        <w:t>.</w:t>
      </w:r>
      <w:r w:rsidR="00A72D71">
        <w:t xml:space="preserve"> </w:t>
      </w:r>
      <w:r w:rsidR="00010174">
        <w:t xml:space="preserve">A couple of people </w:t>
      </w:r>
      <w:r w:rsidR="00E97357">
        <w:t xml:space="preserve">quoted </w:t>
      </w:r>
      <w:r w:rsidR="00164DAB">
        <w:t xml:space="preserve">sound healer </w:t>
      </w:r>
      <w:r w:rsidR="00E97357">
        <w:t>Jonathan Goldman</w:t>
      </w:r>
      <w:r w:rsidR="00164DAB">
        <w:t>,</w:t>
      </w:r>
      <w:r w:rsidR="00E97357">
        <w:t xml:space="preserve"> and </w:t>
      </w:r>
      <w:r w:rsidR="00A72D71">
        <w:t>highlighted the importance of intention</w:t>
      </w:r>
      <w:r w:rsidR="00010174">
        <w:t xml:space="preserve"> </w:t>
      </w:r>
      <w:r w:rsidR="00056158">
        <w:t>for healing to take place</w:t>
      </w:r>
      <w:r w:rsidR="004D6384">
        <w:t xml:space="preserve">, </w:t>
      </w:r>
      <w:r w:rsidR="00056158">
        <w:t xml:space="preserve">in that </w:t>
      </w:r>
      <w:r w:rsidR="001B30F4">
        <w:t xml:space="preserve">the </w:t>
      </w:r>
      <w:r w:rsidR="004D6384">
        <w:t>practitioner</w:t>
      </w:r>
      <w:r w:rsidR="00056158">
        <w:t xml:space="preserve"> </w:t>
      </w:r>
      <w:r w:rsidR="00147E8C">
        <w:t>is willing to send out a loving intention</w:t>
      </w:r>
      <w:r w:rsidR="009B4133">
        <w:t xml:space="preserve"> </w:t>
      </w:r>
      <w:r w:rsidR="00147E8C">
        <w:t>via thought or prayer</w:t>
      </w:r>
      <w:r w:rsidR="00056158">
        <w:t xml:space="preserve">, and </w:t>
      </w:r>
      <w:r w:rsidR="001B30F4">
        <w:t>the participant</w:t>
      </w:r>
      <w:r w:rsidR="00056158">
        <w:t xml:space="preserve"> </w:t>
      </w:r>
      <w:r w:rsidR="001A7606">
        <w:t>opens</w:t>
      </w:r>
      <w:r w:rsidR="00E97357">
        <w:t xml:space="preserve"> </w:t>
      </w:r>
      <w:r w:rsidR="001A7606">
        <w:t>themselves</w:t>
      </w:r>
      <w:r w:rsidR="00056158">
        <w:t xml:space="preserve"> </w:t>
      </w:r>
      <w:r w:rsidR="00E97357">
        <w:t xml:space="preserve">up </w:t>
      </w:r>
      <w:r w:rsidR="00056158">
        <w:t>to receive.</w:t>
      </w:r>
      <w:r w:rsidR="00A621FE">
        <w:rPr>
          <w:rStyle w:val="FootnoteReference"/>
        </w:rPr>
        <w:footnoteReference w:id="57"/>
      </w:r>
      <w:r w:rsidR="00FE7A31">
        <w:t xml:space="preserve"> </w:t>
      </w:r>
      <w:r w:rsidR="000751E9">
        <w:t xml:space="preserve"> </w:t>
      </w:r>
      <w:r w:rsidR="000751E9" w:rsidRPr="00F235B8">
        <w:t xml:space="preserve">One interviewee believed </w:t>
      </w:r>
      <w:r w:rsidR="004D3F42">
        <w:t>this intention, as everything else,</w:t>
      </w:r>
      <w:r w:rsidR="000751E9" w:rsidRPr="00F235B8">
        <w:t xml:space="preserve"> is a form of vibration, a philosophical thought rooted in Eastern metaphysics and sees its application in quantum physics, music theory, </w:t>
      </w:r>
      <w:r w:rsidR="000F35EE">
        <w:t xml:space="preserve">and </w:t>
      </w:r>
      <w:r w:rsidR="000751E9" w:rsidRPr="00F235B8">
        <w:t>neurosciences.</w:t>
      </w:r>
      <w:r w:rsidR="000751E9" w:rsidRPr="00F235B8">
        <w:rPr>
          <w:rStyle w:val="FootnoteReference"/>
        </w:rPr>
        <w:footnoteReference w:id="58"/>
      </w:r>
      <w:r w:rsidR="000751E9" w:rsidRPr="00F235B8">
        <w:t xml:space="preserve"> </w:t>
      </w:r>
      <w:r w:rsidR="000751E9">
        <w:t>Referencing to Masaru Emoto and Hans Jenny’s experiments on Cymatics, the interviewee explained that healing is vibration affects vibration at a cellular level.</w:t>
      </w:r>
      <w:r w:rsidR="000751E9">
        <w:rPr>
          <w:rStyle w:val="FootnoteReference"/>
        </w:rPr>
        <w:footnoteReference w:id="59"/>
      </w:r>
      <w:r w:rsidR="000751E9">
        <w:t xml:space="preserve"> This worldview of interconnectedness is also in agreement with people who support the</w:t>
      </w:r>
      <w:r w:rsidR="000751E9" w:rsidRPr="00F235B8">
        <w:t xml:space="preserve"> Fractal Universe model</w:t>
      </w:r>
      <w:r w:rsidR="000751E9">
        <w:t>.</w:t>
      </w:r>
      <w:r w:rsidR="002F2698">
        <w:rPr>
          <w:rStyle w:val="FootnoteReference"/>
        </w:rPr>
        <w:footnoteReference w:id="60"/>
      </w:r>
      <w:r w:rsidR="000751E9">
        <w:t xml:space="preserve"> </w:t>
      </w:r>
      <w:r w:rsidR="00B02CCB">
        <w:t>A singing bowl practitioner</w:t>
      </w:r>
      <w:r w:rsidR="000751E9">
        <w:t xml:space="preserve"> puts: </w:t>
      </w:r>
    </w:p>
    <w:p w14:paraId="662FBD55" w14:textId="77777777" w:rsidR="000751E9" w:rsidRDefault="000751E9" w:rsidP="000751E9">
      <w:pPr>
        <w:jc w:val="both"/>
      </w:pPr>
    </w:p>
    <w:p w14:paraId="507F5CCA" w14:textId="3C310FB1" w:rsidR="000751E9" w:rsidRDefault="000751E9" w:rsidP="000751E9">
      <w:pPr>
        <w:ind w:left="720"/>
        <w:jc w:val="both"/>
      </w:pPr>
      <w:r>
        <w:lastRenderedPageBreak/>
        <w:t>‘M</w:t>
      </w:r>
      <w:r w:rsidRPr="0009439B">
        <w:t>y personal belief is that if I am broadcasting that signal</w:t>
      </w:r>
      <w:r>
        <w:t xml:space="preserve"> (of compassion and love)</w:t>
      </w:r>
      <w:r w:rsidRPr="0009439B">
        <w:t>, then it will touch other people and it will have an effect on them in in the same way that Reiki or singing bowls do actually</w:t>
      </w:r>
      <w:r w:rsidR="0044776F">
        <w:t xml:space="preserve"> (at quantum level)</w:t>
      </w:r>
      <w:r>
        <w:t>…</w:t>
      </w:r>
      <w:r w:rsidRPr="0009439B">
        <w:t>as above, so below</w:t>
      </w:r>
      <w:r>
        <w:t>,</w:t>
      </w:r>
      <w:r w:rsidRPr="0009439B">
        <w:t xml:space="preserve"> as within, so without</w:t>
      </w:r>
      <w:r>
        <w:t xml:space="preserve">… </w:t>
      </w:r>
      <w:r w:rsidRPr="0009439B">
        <w:t>for me kind of resonates with if there is this one consciousness of which we're all fractals and we're all, you know, entangled in this one field, then actually that one field itself is a fractal of another consciousness</w:t>
      </w:r>
      <w:r>
        <w:t>…</w:t>
      </w:r>
      <w:r w:rsidRPr="0009439B">
        <w:t>a sort of world without end</w:t>
      </w:r>
      <w:r>
        <w:t>.’</w:t>
      </w:r>
    </w:p>
    <w:p w14:paraId="1E9B8A50" w14:textId="77777777" w:rsidR="000751E9" w:rsidRDefault="000751E9" w:rsidP="00651F25">
      <w:pPr>
        <w:jc w:val="both"/>
      </w:pPr>
    </w:p>
    <w:p w14:paraId="220B3B9E" w14:textId="46AAA49A" w:rsidR="00651F25" w:rsidRPr="00651F25" w:rsidRDefault="003F4064" w:rsidP="00651F25">
      <w:pPr>
        <w:jc w:val="both"/>
      </w:pPr>
      <w:r>
        <w:t>A</w:t>
      </w:r>
      <w:r w:rsidR="00102E41">
        <w:t xml:space="preserve">nother </w:t>
      </w:r>
      <w:r>
        <w:t>practitioner</w:t>
      </w:r>
      <w:r w:rsidR="00651F25" w:rsidRPr="00651F25">
        <w:t xml:space="preserve"> </w:t>
      </w:r>
      <w:r w:rsidR="00651F25">
        <w:t>believed the bowls are powerful tools</w:t>
      </w:r>
      <w:r w:rsidR="00102E41">
        <w:t xml:space="preserve"> themselves</w:t>
      </w:r>
      <w:r w:rsidR="00651F25">
        <w:t xml:space="preserve">, and the practitioner only needs to </w:t>
      </w:r>
      <w:r w:rsidR="00102E41">
        <w:t>‘</w:t>
      </w:r>
      <w:r w:rsidR="00651F25">
        <w:t>trust, listen and amplify</w:t>
      </w:r>
      <w:r w:rsidR="00102E41">
        <w:t>’</w:t>
      </w:r>
      <w:r w:rsidR="00236720">
        <w:t xml:space="preserve">. </w:t>
      </w:r>
      <w:r w:rsidR="00651F25" w:rsidRPr="00651F25">
        <w:t xml:space="preserve">When </w:t>
      </w:r>
      <w:r w:rsidR="00651F25">
        <w:t>prompt</w:t>
      </w:r>
      <w:r w:rsidR="00E97357">
        <w:t>ed</w:t>
      </w:r>
      <w:r w:rsidR="00651F25">
        <w:t xml:space="preserve"> further</w:t>
      </w:r>
      <w:r w:rsidR="00651F25" w:rsidRPr="00651F25">
        <w:t xml:space="preserve">, the interviewee </w:t>
      </w:r>
      <w:r w:rsidR="00651F25">
        <w:t>explained</w:t>
      </w:r>
      <w:r w:rsidR="00651F25" w:rsidRPr="00651F25">
        <w:t>,</w:t>
      </w:r>
    </w:p>
    <w:p w14:paraId="23FAD007" w14:textId="77777777" w:rsidR="00651F25" w:rsidRPr="00651F25" w:rsidRDefault="00651F25" w:rsidP="00651F25">
      <w:pPr>
        <w:jc w:val="both"/>
      </w:pPr>
    </w:p>
    <w:p w14:paraId="680B55C9" w14:textId="77777777" w:rsidR="00651F25" w:rsidRDefault="00651F25" w:rsidP="00651F25">
      <w:pPr>
        <w:ind w:left="720"/>
        <w:jc w:val="both"/>
      </w:pPr>
      <w:r w:rsidRPr="00651F25">
        <w:t>‘Imagine there's a bottle. Intention for me is about just to give yourself very little proportion in this bottle. So you leave the whole space for divine power in… The smaller you are, the bigger the powerful healing you will need.’</w:t>
      </w:r>
    </w:p>
    <w:p w14:paraId="15E6F788" w14:textId="685861AF" w:rsidR="00651F25" w:rsidRDefault="00651F25" w:rsidP="00651F25">
      <w:pPr>
        <w:jc w:val="both"/>
        <w:rPr>
          <w:rFonts w:eastAsia="PingFang TC"/>
        </w:rPr>
      </w:pPr>
    </w:p>
    <w:p w14:paraId="21A85BCE" w14:textId="56176B10" w:rsidR="00E67428" w:rsidRDefault="00E67428" w:rsidP="00651F25">
      <w:pPr>
        <w:jc w:val="both"/>
        <w:rPr>
          <w:rFonts w:eastAsia="PingFang TC"/>
        </w:rPr>
      </w:pPr>
      <w:r>
        <w:rPr>
          <w:rFonts w:eastAsia="PingFang TC"/>
        </w:rPr>
        <w:t xml:space="preserve">The statement </w:t>
      </w:r>
      <w:r w:rsidR="00451E21">
        <w:rPr>
          <w:rFonts w:eastAsia="PingFang TC"/>
        </w:rPr>
        <w:t>speak</w:t>
      </w:r>
      <w:r>
        <w:rPr>
          <w:rFonts w:eastAsia="PingFang TC"/>
        </w:rPr>
        <w:t xml:space="preserve">s </w:t>
      </w:r>
      <w:r w:rsidR="00F235B8">
        <w:rPr>
          <w:rFonts w:eastAsia="PingFang TC"/>
        </w:rPr>
        <w:t xml:space="preserve">of </w:t>
      </w:r>
      <w:r>
        <w:rPr>
          <w:rFonts w:eastAsia="PingFang TC"/>
        </w:rPr>
        <w:t xml:space="preserve">a belief in </w:t>
      </w:r>
      <w:r w:rsidR="00451E21">
        <w:rPr>
          <w:rFonts w:eastAsia="PingFang TC"/>
        </w:rPr>
        <w:t>divine</w:t>
      </w:r>
      <w:r>
        <w:rPr>
          <w:rFonts w:eastAsia="PingFang TC"/>
        </w:rPr>
        <w:t xml:space="preserve"> intervention.</w:t>
      </w:r>
      <w:r w:rsidR="009B4133">
        <w:rPr>
          <w:rFonts w:eastAsia="PingFang TC"/>
        </w:rPr>
        <w:t xml:space="preserve"> </w:t>
      </w:r>
    </w:p>
    <w:p w14:paraId="57A490A0" w14:textId="77777777" w:rsidR="00651F25" w:rsidRDefault="00651F25" w:rsidP="00EC4072">
      <w:pPr>
        <w:jc w:val="both"/>
      </w:pPr>
    </w:p>
    <w:p w14:paraId="7BF600F5" w14:textId="047BB9BC" w:rsidR="0065599D" w:rsidRPr="0065599D" w:rsidRDefault="000D2BCF" w:rsidP="00EC4072">
      <w:pPr>
        <w:jc w:val="both"/>
      </w:pPr>
      <w:r w:rsidRPr="007E7FAE">
        <w:t xml:space="preserve">The analysis so far </w:t>
      </w:r>
      <w:r w:rsidR="00FD0E87" w:rsidRPr="007E7FAE">
        <w:t>present</w:t>
      </w:r>
      <w:r w:rsidRPr="007E7FAE">
        <w:t xml:space="preserve">s highly individual and diverse </w:t>
      </w:r>
      <w:r w:rsidR="00EE44EB" w:rsidRPr="007E7FAE">
        <w:t>worldviews</w:t>
      </w:r>
      <w:r w:rsidR="00651256" w:rsidRPr="007E7FAE">
        <w:t>, comprising sciences, philosophy and metaphysics, and not limited to the existing frameworks of singing bowl practice.</w:t>
      </w:r>
      <w:r w:rsidR="003B75E2" w:rsidRPr="007E7FAE">
        <w:t xml:space="preserve"> It seems that people</w:t>
      </w:r>
      <w:r w:rsidR="003561CB" w:rsidRPr="007E7FAE">
        <w:t>, i.e. practitioners, theorists and participants,</w:t>
      </w:r>
      <w:r w:rsidR="003B75E2" w:rsidRPr="007E7FAE">
        <w:t xml:space="preserve"> are able to borrow </w:t>
      </w:r>
      <w:r w:rsidR="003561CB" w:rsidRPr="007E7FAE">
        <w:t>beliefs</w:t>
      </w:r>
      <w:r w:rsidR="003B75E2" w:rsidRPr="007E7FAE">
        <w:t xml:space="preserve"> from different disciplines to help them comprehend their experiences</w:t>
      </w:r>
      <w:r w:rsidR="003561CB" w:rsidRPr="007E7FAE">
        <w:t xml:space="preserve"> and practice</w:t>
      </w:r>
      <w:r w:rsidR="007E7FAE">
        <w:t>.</w:t>
      </w:r>
      <w:r w:rsidR="007E7FAE" w:rsidRPr="007E7FAE">
        <w:t xml:space="preserve"> </w:t>
      </w:r>
      <w:r w:rsidR="007E7FAE" w:rsidRPr="007E7FAE">
        <w:t xml:space="preserve">The survey data </w:t>
      </w:r>
      <w:r w:rsidR="007E7FAE" w:rsidRPr="007E7FAE">
        <w:t>also</w:t>
      </w:r>
      <w:r w:rsidR="007E7FAE" w:rsidRPr="007E7FAE">
        <w:t xml:space="preserve"> shows that one does not need to obtain </w:t>
      </w:r>
      <w:r w:rsidR="00C52636">
        <w:t xml:space="preserve">prior </w:t>
      </w:r>
      <w:r w:rsidR="007E7FAE" w:rsidRPr="007E7FAE">
        <w:t>knowledge of the bowls</w:t>
      </w:r>
      <w:r w:rsidR="007E7FAE">
        <w:t>’ history or making</w:t>
      </w:r>
      <w:r w:rsidR="007E7FAE" w:rsidRPr="007E7FAE">
        <w:t xml:space="preserve"> in order to enjoy its benefits</w:t>
      </w:r>
      <w:r w:rsidR="00C52636">
        <w:t xml:space="preserve"> and to establish their understanding of its mechanism. </w:t>
      </w:r>
      <w:r w:rsidR="004D386D">
        <w:t xml:space="preserve">As Candy Brown points out, </w:t>
      </w:r>
      <w:r w:rsidR="00D8051C">
        <w:t xml:space="preserve">regardless of their origin, </w:t>
      </w:r>
      <w:r w:rsidR="004D386D">
        <w:t>Tibetan singing bowl</w:t>
      </w:r>
      <w:r w:rsidR="00532DD3">
        <w:t xml:space="preserve"> practice</w:t>
      </w:r>
      <w:r w:rsidR="004D386D">
        <w:t xml:space="preserve"> </w:t>
      </w:r>
      <w:r w:rsidR="001E258A">
        <w:t>create</w:t>
      </w:r>
      <w:r w:rsidR="007A1DA2">
        <w:t>s</w:t>
      </w:r>
      <w:r w:rsidR="001E258A">
        <w:t xml:space="preserve"> a </w:t>
      </w:r>
      <w:r w:rsidR="001F2615">
        <w:t>holistic practice</w:t>
      </w:r>
      <w:r w:rsidR="001F2615">
        <w:t xml:space="preserve"> </w:t>
      </w:r>
      <w:r w:rsidR="001E258A">
        <w:t>where</w:t>
      </w:r>
      <w:r w:rsidR="004D386D">
        <w:t xml:space="preserve"> ‘modern interest in spirituality and science overlap’, </w:t>
      </w:r>
      <w:r w:rsidR="001E258A">
        <w:t>and form</w:t>
      </w:r>
      <w:r w:rsidR="007A1DA2">
        <w:t>s</w:t>
      </w:r>
      <w:r w:rsidR="004D386D">
        <w:t xml:space="preserve"> a fluid </w:t>
      </w:r>
      <w:r w:rsidR="001F2615">
        <w:t xml:space="preserve">space </w:t>
      </w:r>
      <w:r w:rsidR="004D386D">
        <w:t>where religio</w:t>
      </w:r>
      <w:r w:rsidR="005A638B">
        <w:t>us</w:t>
      </w:r>
      <w:r w:rsidR="004D386D">
        <w:t xml:space="preserve"> and secular</w:t>
      </w:r>
      <w:r w:rsidR="005A638B">
        <w:t xml:space="preserve"> concepts</w:t>
      </w:r>
      <w:r w:rsidR="004D386D">
        <w:t xml:space="preserve"> can harmonically co-exist</w:t>
      </w:r>
      <w:r w:rsidR="004D386D" w:rsidRPr="0065599D">
        <w:t>.</w:t>
      </w:r>
      <w:r w:rsidR="00956FCB" w:rsidRPr="0065599D">
        <w:rPr>
          <w:rStyle w:val="FootnoteReference"/>
        </w:rPr>
        <w:footnoteReference w:id="61"/>
      </w:r>
      <w:r w:rsidR="001E258A" w:rsidRPr="0065599D">
        <w:t xml:space="preserve"> </w:t>
      </w:r>
      <w:r w:rsidR="004D1FA2" w:rsidRPr="00783FCB">
        <w:t>It is worth noting that</w:t>
      </w:r>
      <w:r w:rsidR="00FE5BEC" w:rsidRPr="00783FCB">
        <w:t xml:space="preserve"> t</w:t>
      </w:r>
      <w:r w:rsidR="001E258A" w:rsidRPr="00783FCB">
        <w:t>his fluidity, i.e. the ability to absorb ideas</w:t>
      </w:r>
      <w:r w:rsidR="003561CB" w:rsidRPr="00783FCB">
        <w:t xml:space="preserve"> from other disciplines </w:t>
      </w:r>
      <w:r w:rsidR="001E258A" w:rsidRPr="00783FCB">
        <w:t xml:space="preserve">and improvise, is </w:t>
      </w:r>
      <w:r w:rsidR="00632133" w:rsidRPr="00783FCB">
        <w:t>not unique</w:t>
      </w:r>
      <w:r w:rsidR="00783FCB" w:rsidRPr="00783FCB">
        <w:t xml:space="preserve"> to alternative spiritualities; it</w:t>
      </w:r>
      <w:r w:rsidR="003F488B" w:rsidRPr="00783FCB">
        <w:t xml:space="preserve"> is</w:t>
      </w:r>
      <w:r w:rsidR="001E258A" w:rsidRPr="00783FCB">
        <w:t xml:space="preserve"> </w:t>
      </w:r>
      <w:r w:rsidR="00783FCB" w:rsidRPr="00783FCB">
        <w:t xml:space="preserve">also </w:t>
      </w:r>
      <w:r w:rsidR="004D1FA2" w:rsidRPr="00783FCB">
        <w:t xml:space="preserve">a characteristic </w:t>
      </w:r>
      <w:r w:rsidR="00783FCB" w:rsidRPr="00783FCB">
        <w:t>shared by</w:t>
      </w:r>
      <w:r w:rsidR="001E258A" w:rsidRPr="00783FCB">
        <w:t xml:space="preserve"> </w:t>
      </w:r>
      <w:r w:rsidR="005F034D" w:rsidRPr="00783FCB">
        <w:t>C</w:t>
      </w:r>
      <w:r w:rsidR="001E258A" w:rsidRPr="00783FCB">
        <w:t>lassical Greek religion.</w:t>
      </w:r>
      <w:r w:rsidR="001E258A" w:rsidRPr="00783FCB">
        <w:rPr>
          <w:vertAlign w:val="superscript"/>
        </w:rPr>
        <w:footnoteReference w:id="62"/>
      </w:r>
      <w:r w:rsidR="005F034D" w:rsidRPr="0065599D">
        <w:t xml:space="preserve"> </w:t>
      </w:r>
    </w:p>
    <w:p w14:paraId="4DF5EF47" w14:textId="77777777" w:rsidR="0065599D" w:rsidRPr="0065599D" w:rsidRDefault="0065599D" w:rsidP="00EC4072">
      <w:pPr>
        <w:jc w:val="both"/>
      </w:pPr>
    </w:p>
    <w:p w14:paraId="226D7FAD" w14:textId="4A7869A6" w:rsidR="00EC4072" w:rsidRDefault="00EC4072" w:rsidP="00EC4072">
      <w:pPr>
        <w:jc w:val="both"/>
      </w:pPr>
    </w:p>
    <w:p w14:paraId="0879E285" w14:textId="66F1A299" w:rsidR="00D971B1" w:rsidRDefault="00DC5320" w:rsidP="00EC4072">
      <w:pPr>
        <w:jc w:val="both"/>
      </w:pPr>
      <w:r>
        <w:rPr>
          <w:rFonts w:ascii="Century Gothic" w:hAnsi="Century Gothic"/>
          <w:i/>
          <w:iCs/>
        </w:rPr>
        <w:t xml:space="preserve">Contradictions &amp; </w:t>
      </w:r>
      <w:r w:rsidR="000C47F9">
        <w:rPr>
          <w:rFonts w:ascii="Century Gothic" w:hAnsi="Century Gothic"/>
          <w:i/>
          <w:iCs/>
        </w:rPr>
        <w:t xml:space="preserve">Terminological </w:t>
      </w:r>
      <w:r w:rsidR="00D971B1">
        <w:rPr>
          <w:rFonts w:ascii="Century Gothic" w:hAnsi="Century Gothic"/>
          <w:i/>
          <w:iCs/>
        </w:rPr>
        <w:t>Problem</w:t>
      </w:r>
      <w:r w:rsidR="000C47F9">
        <w:rPr>
          <w:rFonts w:ascii="Century Gothic" w:hAnsi="Century Gothic"/>
          <w:i/>
          <w:iCs/>
        </w:rPr>
        <w:t>s</w:t>
      </w:r>
    </w:p>
    <w:p w14:paraId="4EDB0D43" w14:textId="4EE30758" w:rsidR="005E10A2" w:rsidRDefault="005E10A2" w:rsidP="00EC4072">
      <w:pPr>
        <w:jc w:val="both"/>
      </w:pPr>
    </w:p>
    <w:p w14:paraId="011B0C7C" w14:textId="74D948C2" w:rsidR="00EC4072" w:rsidRDefault="004D1FA2" w:rsidP="00EC4072">
      <w:pPr>
        <w:jc w:val="both"/>
      </w:pPr>
      <w:r>
        <w:t>Statistical data reveal</w:t>
      </w:r>
      <w:r w:rsidR="006939CD">
        <w:t xml:space="preserve"> </w:t>
      </w:r>
      <w:r>
        <w:t>contradictions between people’s cosmologies and their religious affiliations.</w:t>
      </w:r>
      <w:r w:rsidR="00060426">
        <w:t xml:space="preserve"> </w:t>
      </w:r>
      <w:r>
        <w:t>A</w:t>
      </w:r>
      <w:r w:rsidR="00EC4072" w:rsidRPr="0051686F">
        <w:t xml:space="preserve">mong </w:t>
      </w:r>
      <w:r w:rsidR="0051686F" w:rsidRPr="0051686F">
        <w:t xml:space="preserve">respondents </w:t>
      </w:r>
      <w:r w:rsidR="006939CD">
        <w:t xml:space="preserve">who </w:t>
      </w:r>
      <w:r w:rsidR="0051686F" w:rsidRPr="0051686F">
        <w:t>believed</w:t>
      </w:r>
      <w:r w:rsidR="000A193B">
        <w:t xml:space="preserve"> in</w:t>
      </w:r>
      <w:r w:rsidR="0051686F" w:rsidRPr="0051686F">
        <w:t xml:space="preserve"> chakra healing</w:t>
      </w:r>
      <w:r w:rsidR="0051686F">
        <w:t>,</w:t>
      </w:r>
      <w:r w:rsidR="00EC4072" w:rsidRPr="0051686F">
        <w:t xml:space="preserve"> nearly 10% </w:t>
      </w:r>
      <w:r w:rsidR="0051686F">
        <w:t>were</w:t>
      </w:r>
      <w:r w:rsidR="00EC4072" w:rsidRPr="0051686F">
        <w:t xml:space="preserve"> Christians, </w:t>
      </w:r>
      <w:r w:rsidR="00B86DCA" w:rsidRPr="0051686F">
        <w:t>even</w:t>
      </w:r>
      <w:r w:rsidR="00EC4072" w:rsidRPr="0051686F">
        <w:t xml:space="preserve"> </w:t>
      </w:r>
      <w:r w:rsidR="006939CD">
        <w:t xml:space="preserve">though </w:t>
      </w:r>
      <w:r w:rsidR="00EC4072" w:rsidRPr="0051686F">
        <w:t xml:space="preserve">the concept is in conflict with Christian doctrines. </w:t>
      </w:r>
      <w:r w:rsidR="00EC4072" w:rsidRPr="00060426">
        <w:t xml:space="preserve">The idea </w:t>
      </w:r>
      <w:r w:rsidR="000A193B" w:rsidRPr="00060426">
        <w:t>of</w:t>
      </w:r>
      <w:r w:rsidR="00EC4072" w:rsidRPr="00060426">
        <w:t xml:space="preserve"> supernatural agents appealed to one Christian</w:t>
      </w:r>
      <w:r w:rsidR="000A193B" w:rsidRPr="00060426">
        <w:t xml:space="preserve">, but not the rest, which raises questions </w:t>
      </w:r>
      <w:r w:rsidR="006939CD">
        <w:t>about</w:t>
      </w:r>
      <w:r w:rsidR="00396540" w:rsidRPr="00060426">
        <w:t xml:space="preserve"> their beliefs in the power of prayer to God</w:t>
      </w:r>
      <w:r w:rsidR="00EC4072" w:rsidRPr="00060426">
        <w:t>.</w:t>
      </w:r>
      <w:r w:rsidR="000A193B">
        <w:t xml:space="preserve"> </w:t>
      </w:r>
      <w:r w:rsidR="00EC4072" w:rsidRPr="0051686F">
        <w:t xml:space="preserve">This complexity in Christian respondents’ beliefs reflects Graham Harvey’s </w:t>
      </w:r>
      <w:r w:rsidR="000A193B">
        <w:t>argument</w:t>
      </w:r>
      <w:r w:rsidR="00EC4072" w:rsidRPr="0051686F">
        <w:t xml:space="preserve"> t</w:t>
      </w:r>
      <w:r w:rsidR="00EC4072" w:rsidRPr="00EF5339">
        <w:t>hat even people who follow ‘a normative religion or spiritual practice’ can still have individualistic views.</w:t>
      </w:r>
      <w:r w:rsidR="00EC4072">
        <w:rPr>
          <w:rStyle w:val="FootnoteReference"/>
        </w:rPr>
        <w:footnoteReference w:id="63"/>
      </w:r>
      <w:r w:rsidR="00EC4072">
        <w:t xml:space="preserve"> </w:t>
      </w:r>
      <w:r>
        <w:t>Among the non-religious,</w:t>
      </w:r>
      <w:r w:rsidR="00EC4072" w:rsidRPr="006C278B">
        <w:t xml:space="preserve"> one respondent </w:t>
      </w:r>
      <w:r w:rsidR="00EC4072">
        <w:t>believed</w:t>
      </w:r>
      <w:r w:rsidR="00EC4072" w:rsidRPr="006C278B">
        <w:t xml:space="preserve"> that healing power can be evoked from the mantra</w:t>
      </w:r>
      <w:r w:rsidR="00270F80">
        <w:t>s</w:t>
      </w:r>
      <w:r w:rsidR="00EC4072" w:rsidRPr="006C278B">
        <w:t xml:space="preserve"> and </w:t>
      </w:r>
      <w:r w:rsidR="00270F80">
        <w:t>iconographie</w:t>
      </w:r>
      <w:r w:rsidR="00EC4072" w:rsidRPr="006C278B">
        <w:t>s on the bowls.</w:t>
      </w:r>
      <w:r w:rsidR="00EC4072">
        <w:t xml:space="preserve"> </w:t>
      </w:r>
      <w:r w:rsidR="00060426">
        <w:t xml:space="preserve">As </w:t>
      </w:r>
      <w:r w:rsidR="00EC4072" w:rsidRPr="003F1FE1">
        <w:t xml:space="preserve">David Berliner remarks, </w:t>
      </w:r>
      <w:r w:rsidR="00EC4072">
        <w:t xml:space="preserve">humans are full of </w:t>
      </w:r>
      <w:r w:rsidR="00EC4072" w:rsidRPr="003F1FE1">
        <w:t xml:space="preserve">contradictions </w:t>
      </w:r>
      <w:r w:rsidR="00EC4072">
        <w:t>in thoughts, feelings and actions, and yet they may ‘live peacefully with contradictions’</w:t>
      </w:r>
      <w:r w:rsidR="00EC4072" w:rsidRPr="003F1FE1">
        <w:t>.</w:t>
      </w:r>
      <w:r w:rsidR="00EC4072" w:rsidRPr="003F1FE1">
        <w:rPr>
          <w:rStyle w:val="FootnoteReference"/>
        </w:rPr>
        <w:footnoteReference w:id="64"/>
      </w:r>
      <w:r w:rsidR="00EC4072">
        <w:t xml:space="preserve"> </w:t>
      </w:r>
      <w:r w:rsidR="00060426">
        <w:t>To prove this, n</w:t>
      </w:r>
      <w:r w:rsidR="00EC4072">
        <w:t xml:space="preserve">ear half of the respondents thought their singing bowl participation is definitely aligned with their religion. A </w:t>
      </w:r>
      <w:r w:rsidR="00864357">
        <w:t>third</w:t>
      </w:r>
      <w:r w:rsidR="00EC4072">
        <w:t xml:space="preserve"> of people exhibited uncertainties (26% ‘Maybe’, 6% ‘Don’t Know’). Just under 20% were </w:t>
      </w:r>
      <w:r w:rsidR="00EC4072">
        <w:lastRenderedPageBreak/>
        <w:t>consciously aware of the contradictions between their practices and religions</w:t>
      </w:r>
      <w:r w:rsidR="00060426">
        <w:t xml:space="preserve">. These covered </w:t>
      </w:r>
      <w:r w:rsidR="00EC4072">
        <w:t xml:space="preserve">all five </w:t>
      </w:r>
      <w:r w:rsidR="00864357">
        <w:t xml:space="preserve">religious </w:t>
      </w:r>
      <w:r w:rsidR="00EC4072">
        <w:t xml:space="preserve">categories, </w:t>
      </w:r>
      <w:r w:rsidR="00EC4072" w:rsidRPr="00F67758">
        <w:t xml:space="preserve">which suggests that contradiction is not </w:t>
      </w:r>
      <w:r w:rsidR="00864357">
        <w:t>exclusive to</w:t>
      </w:r>
      <w:r w:rsidR="00EC4072" w:rsidRPr="00F67758">
        <w:t xml:space="preserve"> a</w:t>
      </w:r>
      <w:r w:rsidR="00864357">
        <w:t>ny</w:t>
      </w:r>
      <w:r w:rsidR="00EC4072" w:rsidRPr="00F67758">
        <w:t xml:space="preserve"> religi</w:t>
      </w:r>
      <w:r w:rsidR="00864357">
        <w:t xml:space="preserve">ous affiliation. </w:t>
      </w:r>
    </w:p>
    <w:p w14:paraId="2819CEB0" w14:textId="1C82BBAD" w:rsidR="00EC4072" w:rsidRDefault="00EC4072" w:rsidP="00AE4D76">
      <w:pPr>
        <w:jc w:val="both"/>
      </w:pPr>
    </w:p>
    <w:p w14:paraId="7666B598" w14:textId="0F90ADAD" w:rsidR="00C52636" w:rsidRDefault="00C10465" w:rsidP="00C52636">
      <w:pPr>
        <w:jc w:val="both"/>
      </w:pPr>
      <w:r>
        <w:t xml:space="preserve">However, to </w:t>
      </w:r>
      <w:r w:rsidR="009F147E">
        <w:t>ponder</w:t>
      </w:r>
      <w:r>
        <w:t xml:space="preserve"> further, one starts to </w:t>
      </w:r>
      <w:r w:rsidR="003865E9">
        <w:t>ask</w:t>
      </w:r>
      <w:r>
        <w:t xml:space="preserve"> if some of the contradictions are contradictory at all. Religious affiliations</w:t>
      </w:r>
      <w:r w:rsidR="004D1FA2">
        <w:t xml:space="preserve"> have </w:t>
      </w:r>
      <w:r w:rsidR="00060426">
        <w:t>always</w:t>
      </w:r>
      <w:r w:rsidR="004D1FA2">
        <w:t xml:space="preserve"> been self-identifie</w:t>
      </w:r>
      <w:r w:rsidR="00060426">
        <w:t xml:space="preserve">d, which leads to many problems. </w:t>
      </w:r>
      <w:r w:rsidR="000C47F9">
        <w:t>F</w:t>
      </w:r>
      <w:r w:rsidR="000C47F9">
        <w:t xml:space="preserve">or example, </w:t>
      </w:r>
      <w:r w:rsidR="000C47F9">
        <w:t>o</w:t>
      </w:r>
      <w:r w:rsidR="00661F34">
        <w:t xml:space="preserve">ne interviewee, who was brought up as a Christian but </w:t>
      </w:r>
      <w:r w:rsidR="00060426">
        <w:t xml:space="preserve">‘formed </w:t>
      </w:r>
      <w:r w:rsidR="004F7A77">
        <w:t xml:space="preserve">(their) </w:t>
      </w:r>
      <w:r w:rsidR="00060426">
        <w:t xml:space="preserve">own </w:t>
      </w:r>
      <w:r w:rsidR="00661F34">
        <w:t>spiritual practices in later life</w:t>
      </w:r>
      <w:r w:rsidR="00060426">
        <w:t>’</w:t>
      </w:r>
      <w:r w:rsidR="00661F34">
        <w:t xml:space="preserve">, said they would still </w:t>
      </w:r>
      <w:r w:rsidR="001C6E25">
        <w:t>tick Christianity</w:t>
      </w:r>
      <w:r w:rsidR="00661F34">
        <w:t xml:space="preserve"> in </w:t>
      </w:r>
      <w:r w:rsidR="001C6E25">
        <w:t>a survey because</w:t>
      </w:r>
      <w:r w:rsidR="00661F34">
        <w:t xml:space="preserve"> </w:t>
      </w:r>
      <w:r w:rsidR="001C6E25">
        <w:t>it is their ‘cultural heritage and a (cosmological) foundation’</w:t>
      </w:r>
      <w:r w:rsidR="00661F34">
        <w:t>.</w:t>
      </w:r>
      <w:r w:rsidR="00B03A45">
        <w:t xml:space="preserve"> </w:t>
      </w:r>
      <w:r w:rsidR="00804BCC">
        <w:t>Four out of six people</w:t>
      </w:r>
      <w:r w:rsidR="00B75B52">
        <w:t xml:space="preserve"> </w:t>
      </w:r>
      <w:r w:rsidR="00967612">
        <w:t>classified</w:t>
      </w:r>
      <w:r w:rsidR="00B75B52">
        <w:t xml:space="preserve"> as ‘No Religion’</w:t>
      </w:r>
      <w:r w:rsidR="00967612">
        <w:t xml:space="preserve">, </w:t>
      </w:r>
      <w:r w:rsidR="00B75B52">
        <w:t>including one ‘spiritual but not religious’</w:t>
      </w:r>
      <w:r w:rsidR="00967612">
        <w:t>,</w:t>
      </w:r>
      <w:r w:rsidR="00804BCC">
        <w:t xml:space="preserve"> accepted the idea of chakra healing,</w:t>
      </w:r>
      <w:r w:rsidR="00B82011">
        <w:t xml:space="preserve"> as well as at least one other </w:t>
      </w:r>
      <w:r w:rsidR="005F6DD1">
        <w:t>healing concept</w:t>
      </w:r>
      <w:r w:rsidR="00804BCC">
        <w:t>.</w:t>
      </w:r>
      <w:r w:rsidR="00AE36A2">
        <w:t xml:space="preserve"> </w:t>
      </w:r>
      <w:r w:rsidR="00967612">
        <w:t xml:space="preserve">All four listed self-care and/or healing as the </w:t>
      </w:r>
      <w:r w:rsidR="004F7A77">
        <w:t>motivation</w:t>
      </w:r>
      <w:r w:rsidR="00967612">
        <w:t xml:space="preserve"> for join</w:t>
      </w:r>
      <w:r w:rsidR="005F6DD1">
        <w:t>ing in</w:t>
      </w:r>
      <w:r w:rsidR="00967612">
        <w:t xml:space="preserve"> singing bowl therapy. </w:t>
      </w:r>
      <w:r w:rsidR="00060426">
        <w:t>Based on</w:t>
      </w:r>
      <w:r w:rsidR="00285EE7">
        <w:t xml:space="preserve"> Marion Bowman</w:t>
      </w:r>
      <w:r w:rsidR="00060426">
        <w:t>’s definition</w:t>
      </w:r>
      <w:r w:rsidR="00F14DE5">
        <w:t xml:space="preserve"> of alternative spirituality</w:t>
      </w:r>
      <w:r w:rsidR="00285EE7">
        <w:t>,</w:t>
      </w:r>
      <w:r w:rsidR="009F147E">
        <w:t xml:space="preserve"> </w:t>
      </w:r>
      <w:r w:rsidR="00F14DE5">
        <w:t xml:space="preserve">the </w:t>
      </w:r>
      <w:r w:rsidR="00967612">
        <w:t>focus on well-being and healing and mix</w:t>
      </w:r>
      <w:r w:rsidR="00F14DE5">
        <w:t>ing</w:t>
      </w:r>
      <w:r w:rsidR="00967612">
        <w:t xml:space="preserve"> beliefs w</w:t>
      </w:r>
      <w:r w:rsidR="00295907">
        <w:t>ould</w:t>
      </w:r>
      <w:r w:rsidR="00967612">
        <w:t xml:space="preserve"> </w:t>
      </w:r>
      <w:r w:rsidR="00295907">
        <w:t xml:space="preserve">put these respondents under </w:t>
      </w:r>
      <w:r w:rsidR="00F14DE5">
        <w:t>the label of ‘Other Religion’</w:t>
      </w:r>
      <w:r w:rsidR="00295907">
        <w:t>.</w:t>
      </w:r>
      <w:r w:rsidR="00295907">
        <w:rPr>
          <w:rStyle w:val="FootnoteReference"/>
        </w:rPr>
        <w:footnoteReference w:id="65"/>
      </w:r>
      <w:r w:rsidR="00FC732E">
        <w:t xml:space="preserve"> If the same principle applies, </w:t>
      </w:r>
      <w:r w:rsidR="00266891">
        <w:t xml:space="preserve">the 10% Christian respondents who believed in chakra should also be re-identified into </w:t>
      </w:r>
      <w:r w:rsidR="00482BE2">
        <w:t>the same</w:t>
      </w:r>
      <w:r w:rsidR="00266891">
        <w:t xml:space="preserve"> group</w:t>
      </w:r>
      <w:r w:rsidR="003B1F6D">
        <w:t xml:space="preserve">, and perhaps as ‘Mixed Religion’ in </w:t>
      </w:r>
      <w:r w:rsidR="004F7A77">
        <w:t xml:space="preserve">the </w:t>
      </w:r>
      <w:r w:rsidR="003B1F6D">
        <w:t>Census.</w:t>
      </w:r>
      <w:r w:rsidR="003C55D2">
        <w:t xml:space="preserve"> </w:t>
      </w:r>
      <w:r w:rsidR="005303FC">
        <w:t xml:space="preserve">As for people classified as ‘Spiritual’, </w:t>
      </w:r>
      <w:r w:rsidR="004F7A77">
        <w:t xml:space="preserve">the </w:t>
      </w:r>
      <w:r w:rsidR="005303FC">
        <w:t xml:space="preserve">question arises </w:t>
      </w:r>
      <w:r w:rsidR="00EB2FFC">
        <w:t xml:space="preserve">if they </w:t>
      </w:r>
      <w:r w:rsidR="003C55D2">
        <w:t>consider</w:t>
      </w:r>
      <w:r w:rsidR="00EB2FFC">
        <w:t xml:space="preserve"> singing bowl practice </w:t>
      </w:r>
      <w:r w:rsidR="003C55D2">
        <w:t>as</w:t>
      </w:r>
      <w:r w:rsidR="00EB2FFC">
        <w:t xml:space="preserve"> </w:t>
      </w:r>
      <w:r w:rsidR="004F7A77">
        <w:t xml:space="preserve">an </w:t>
      </w:r>
      <w:r w:rsidR="00EB2FFC">
        <w:t xml:space="preserve">alternative spirituality and </w:t>
      </w:r>
      <w:r w:rsidR="007232D8">
        <w:t xml:space="preserve">would re-classify </w:t>
      </w:r>
      <w:r w:rsidR="00EB2FFC">
        <w:t xml:space="preserve">themselves as </w:t>
      </w:r>
      <w:r w:rsidR="003C55D2">
        <w:t xml:space="preserve">the </w:t>
      </w:r>
      <w:r w:rsidR="00FE6E06">
        <w:t>‘</w:t>
      </w:r>
      <w:r w:rsidR="00EB2FFC">
        <w:t>alternative</w:t>
      </w:r>
      <w:r w:rsidR="00FE6E06">
        <w:t>’</w:t>
      </w:r>
      <w:r w:rsidR="00EB2FFC">
        <w:t xml:space="preserve"> followers.</w:t>
      </w:r>
      <w:r w:rsidR="004F7A77">
        <w:t xml:space="preserve"> </w:t>
      </w:r>
      <w:r w:rsidR="004F7A77" w:rsidRPr="004F7A77">
        <w:t>If t</w:t>
      </w:r>
      <w:r w:rsidR="007C6665" w:rsidRPr="004F7A77">
        <w:t>hese measurements</w:t>
      </w:r>
      <w:r w:rsidR="004F7A77" w:rsidRPr="004F7A77">
        <w:t xml:space="preserve"> </w:t>
      </w:r>
      <w:r w:rsidR="00DC086E">
        <w:t xml:space="preserve">are </w:t>
      </w:r>
      <w:r w:rsidR="007232D8" w:rsidRPr="004F7A77">
        <w:t>taken,</w:t>
      </w:r>
      <w:r w:rsidR="007C6665" w:rsidRPr="004F7A77">
        <w:t xml:space="preserve"> </w:t>
      </w:r>
      <w:r w:rsidR="004F7A77" w:rsidRPr="004F7A77">
        <w:t xml:space="preserve">the </w:t>
      </w:r>
      <w:r w:rsidR="007C6665" w:rsidRPr="004F7A77">
        <w:t xml:space="preserve">data results </w:t>
      </w:r>
      <w:r w:rsidR="004F7A77" w:rsidRPr="004F7A77">
        <w:t>will change dramatically</w:t>
      </w:r>
      <w:r w:rsidR="007232D8" w:rsidRPr="004F7A77">
        <w:t>.</w:t>
      </w:r>
      <w:r w:rsidR="007232D8">
        <w:t xml:space="preserve"> </w:t>
      </w:r>
      <w:r w:rsidR="00293384">
        <w:t xml:space="preserve">This leaves it to question </w:t>
      </w:r>
      <w:r w:rsidR="00DC086E">
        <w:t>whether</w:t>
      </w:r>
      <w:r w:rsidR="00293384">
        <w:t xml:space="preserve"> the current categorisation of religious affiliation </w:t>
      </w:r>
      <w:r w:rsidR="001064D5">
        <w:t>misrepresent</w:t>
      </w:r>
      <w:r w:rsidR="00DC086E">
        <w:t xml:space="preserve">s </w:t>
      </w:r>
      <w:r w:rsidR="001064D5">
        <w:t xml:space="preserve">contemporary religious views. </w:t>
      </w:r>
      <w:r w:rsidR="008F3E51">
        <w:t>Th</w:t>
      </w:r>
      <w:r w:rsidR="007C6665">
        <w:t>e</w:t>
      </w:r>
      <w:r w:rsidR="008F3E51">
        <w:t xml:space="preserve"> </w:t>
      </w:r>
      <w:r w:rsidR="00FE6E06">
        <w:t>difficulty</w:t>
      </w:r>
      <w:r w:rsidR="008F3E51">
        <w:t xml:space="preserve"> and complexity in categoris</w:t>
      </w:r>
      <w:r w:rsidR="001064D5">
        <w:t xml:space="preserve">ation </w:t>
      </w:r>
      <w:r w:rsidR="008F3E51">
        <w:t xml:space="preserve">is </w:t>
      </w:r>
      <w:r w:rsidR="003C55D2">
        <w:t>shared</w:t>
      </w:r>
      <w:r w:rsidR="008F3E51">
        <w:t xml:space="preserve"> by Kristin Aune</w:t>
      </w:r>
      <w:r w:rsidR="003C55D2">
        <w:t xml:space="preserve"> in her study of </w:t>
      </w:r>
      <w:r w:rsidR="008F3E51">
        <w:t>feminists in the UK.</w:t>
      </w:r>
      <w:r w:rsidR="008F3E51">
        <w:rPr>
          <w:rStyle w:val="FootnoteReference"/>
        </w:rPr>
        <w:footnoteReference w:id="66"/>
      </w:r>
      <w:r w:rsidR="008F3E51">
        <w:t xml:space="preserve"> </w:t>
      </w:r>
      <w:r w:rsidR="00D869ED" w:rsidRPr="006675D2">
        <w:t>What the existing methodologies fail to address is the knowledge gap and the discourse between scholarship and the general public</w:t>
      </w:r>
      <w:r w:rsidR="004F7A77">
        <w:t>’s</w:t>
      </w:r>
      <w:r w:rsidR="00D869ED" w:rsidRPr="006675D2">
        <w:t xml:space="preserve"> </w:t>
      </w:r>
      <w:r w:rsidR="009B4256">
        <w:t>understanding of</w:t>
      </w:r>
      <w:r w:rsidR="00D869ED" w:rsidRPr="006675D2">
        <w:t xml:space="preserve"> terminologies. </w:t>
      </w:r>
      <w:r w:rsidR="009B4256">
        <w:t xml:space="preserve">In most cases, the public </w:t>
      </w:r>
      <w:r w:rsidR="004F7A77">
        <w:t>is</w:t>
      </w:r>
      <w:r w:rsidR="009B4256">
        <w:t xml:space="preserve"> unaware of </w:t>
      </w:r>
      <w:r w:rsidR="007232D8">
        <w:t xml:space="preserve">the </w:t>
      </w:r>
      <w:r w:rsidR="009B4256">
        <w:t xml:space="preserve">academic debates on existing </w:t>
      </w:r>
      <w:r w:rsidR="004F7A77">
        <w:t>word</w:t>
      </w:r>
      <w:r w:rsidR="009B4256">
        <w:t xml:space="preserve">s or </w:t>
      </w:r>
      <w:r w:rsidR="004F7A77">
        <w:t xml:space="preserve">the </w:t>
      </w:r>
      <w:r w:rsidR="009B4256">
        <w:t>invention of new words. However, a</w:t>
      </w:r>
      <w:r w:rsidR="00BB3B71" w:rsidRPr="006675D2">
        <w:t>mong many statistical studies on religion, including the Census, t</w:t>
      </w:r>
      <w:r w:rsidR="00D869ED" w:rsidRPr="006675D2">
        <w:t>here is an assumption that</w:t>
      </w:r>
      <w:r w:rsidR="00D869ED">
        <w:t xml:space="preserve"> </w:t>
      </w:r>
      <w:r w:rsidR="004F0706">
        <w:t>words like ‘spiritual’</w:t>
      </w:r>
      <w:r w:rsidR="00BB3B71">
        <w:t>, ‘spiritual but not religious’</w:t>
      </w:r>
      <w:r w:rsidR="00DE3E1D">
        <w:t xml:space="preserve">, </w:t>
      </w:r>
      <w:r w:rsidR="00BB3B71">
        <w:t>‘religion’</w:t>
      </w:r>
      <w:r w:rsidR="00DE3E1D">
        <w:t>, and ‘no religion’</w:t>
      </w:r>
      <w:r w:rsidR="00BB3B71">
        <w:t xml:space="preserve"> carry the same </w:t>
      </w:r>
      <w:r w:rsidR="00A05BB1">
        <w:t>weight</w:t>
      </w:r>
      <w:r w:rsidR="00BB3B71">
        <w:t xml:space="preserve"> to everyone. </w:t>
      </w:r>
      <w:r w:rsidR="004F7A77">
        <w:t xml:space="preserve">Terminologies often appear in questionnaires without definitions. </w:t>
      </w:r>
      <w:r w:rsidR="00E14B91">
        <w:t xml:space="preserve">As Jenny Blain observes from her fieldwork on shamanism, terminology is culturally specific, and the same word can have </w:t>
      </w:r>
      <w:r w:rsidR="00DE3E1D">
        <w:t>dissimilar</w:t>
      </w:r>
      <w:r w:rsidR="00E14B91">
        <w:t xml:space="preserve"> interpretations </w:t>
      </w:r>
      <w:r w:rsidR="008F3E51">
        <w:t>between</w:t>
      </w:r>
      <w:r w:rsidR="00E14B91">
        <w:t xml:space="preserve"> </w:t>
      </w:r>
      <w:r w:rsidR="008F3E51">
        <w:t xml:space="preserve">the </w:t>
      </w:r>
      <w:r w:rsidR="00E14B91">
        <w:t xml:space="preserve">emic and </w:t>
      </w:r>
      <w:r w:rsidR="00DE3E1D">
        <w:t xml:space="preserve">the </w:t>
      </w:r>
      <w:r w:rsidR="00E14B91">
        <w:t>etic</w:t>
      </w:r>
      <w:r w:rsidR="008F3E51">
        <w:t>, and sometimes among the emic perspectives</w:t>
      </w:r>
      <w:r w:rsidR="00E14B91">
        <w:t>.</w:t>
      </w:r>
      <w:r w:rsidR="00E14B91">
        <w:rPr>
          <w:rStyle w:val="FootnoteReference"/>
        </w:rPr>
        <w:footnoteReference w:id="67"/>
      </w:r>
      <w:r w:rsidR="00A05BB1">
        <w:t xml:space="preserve"> </w:t>
      </w:r>
      <w:r w:rsidR="001064D5">
        <w:t xml:space="preserve">A </w:t>
      </w:r>
      <w:r w:rsidR="00E8013C">
        <w:t>potential</w:t>
      </w:r>
      <w:r w:rsidR="001064D5">
        <w:t xml:space="preserve"> solution to this is to incorporate interpretive data </w:t>
      </w:r>
      <w:r w:rsidR="004A4F70">
        <w:t xml:space="preserve">and provide definitions </w:t>
      </w:r>
      <w:r w:rsidR="00E8013C">
        <w:t>wherever possible</w:t>
      </w:r>
      <w:r w:rsidR="004A4F70">
        <w:t xml:space="preserve"> to ensure accuracy and better comparison. </w:t>
      </w:r>
    </w:p>
    <w:p w14:paraId="1AF7D83B" w14:textId="3EB58333" w:rsidR="00C52636" w:rsidRDefault="00C52636" w:rsidP="003C6BED">
      <w:pPr>
        <w:jc w:val="both"/>
      </w:pPr>
    </w:p>
    <w:p w14:paraId="547702EF" w14:textId="77777777" w:rsidR="004A4F70" w:rsidRDefault="004A4F70" w:rsidP="003C6BED">
      <w:pPr>
        <w:jc w:val="both"/>
      </w:pPr>
    </w:p>
    <w:p w14:paraId="2C71A0F7" w14:textId="1E38FB2D" w:rsidR="00715CE4" w:rsidRDefault="00715CE4" w:rsidP="00040F1C">
      <w:pPr>
        <w:jc w:val="both"/>
        <w:rPr>
          <w:iCs/>
          <w:color w:val="000000" w:themeColor="text1"/>
        </w:rPr>
      </w:pPr>
    </w:p>
    <w:p w14:paraId="64E93201" w14:textId="1A40EB6B" w:rsidR="00715CE4" w:rsidRDefault="00715CE4" w:rsidP="00715CE4">
      <w:pPr>
        <w:jc w:val="both"/>
        <w:rPr>
          <w:rFonts w:ascii="Century Gothic" w:hAnsi="Century Gothic"/>
        </w:rPr>
      </w:pPr>
      <w:r w:rsidRPr="00E168B9">
        <w:rPr>
          <w:rFonts w:ascii="Century Gothic" w:hAnsi="Century Gothic"/>
          <w:b/>
          <w:bCs/>
        </w:rPr>
        <w:t>Conclusion</w:t>
      </w:r>
    </w:p>
    <w:p w14:paraId="17AAB9DA" w14:textId="77777777" w:rsidR="00715CE4" w:rsidRDefault="00715CE4" w:rsidP="00715CE4">
      <w:pPr>
        <w:jc w:val="both"/>
      </w:pPr>
    </w:p>
    <w:p w14:paraId="60F9C185" w14:textId="0110FE50" w:rsidR="00715CE4" w:rsidRDefault="00715CE4" w:rsidP="00715CE4">
      <w:pPr>
        <w:jc w:val="both"/>
      </w:pPr>
      <w:r>
        <w:t xml:space="preserve">There </w:t>
      </w:r>
      <w:r w:rsidR="00940541">
        <w:t>exist</w:t>
      </w:r>
      <w:r>
        <w:t xml:space="preserve"> </w:t>
      </w:r>
      <w:r>
        <w:t>multiple</w:t>
      </w:r>
      <w:r>
        <w:t xml:space="preserve"> scientific and metaphysical </w:t>
      </w:r>
      <w:r>
        <w:t xml:space="preserve">frameworks </w:t>
      </w:r>
      <w:r>
        <w:t>on</w:t>
      </w:r>
      <w:r w:rsidR="00940541">
        <w:t xml:space="preserve"> the practice of</w:t>
      </w:r>
      <w:r>
        <w:t xml:space="preserve"> Tibetan singing bowl</w:t>
      </w:r>
      <w:r w:rsidR="00250BF9">
        <w:t>s</w:t>
      </w:r>
      <w:r>
        <w:t xml:space="preserve">, </w:t>
      </w:r>
      <w:r>
        <w:t>whose</w:t>
      </w:r>
      <w:r>
        <w:t xml:space="preserve"> history and origin are shrouded by my</w:t>
      </w:r>
      <w:r w:rsidR="001403C1">
        <w:t>ths</w:t>
      </w:r>
      <w:r>
        <w:t xml:space="preserve"> and controversies. </w:t>
      </w:r>
      <w:r>
        <w:t>Based on a small-sized</w:t>
      </w:r>
      <w:r w:rsidR="000D5CC3">
        <w:t>,</w:t>
      </w:r>
      <w:r>
        <w:t xml:space="preserve"> mixed</w:t>
      </w:r>
      <w:r w:rsidR="001B48CE">
        <w:t>-</w:t>
      </w:r>
      <w:r>
        <w:t xml:space="preserve">method study on </w:t>
      </w:r>
      <w:r>
        <w:t>singing bowl participants</w:t>
      </w:r>
      <w:r>
        <w:t xml:space="preserve"> in Bristol, </w:t>
      </w:r>
      <w:r w:rsidR="000D5CC3">
        <w:t>it</w:t>
      </w:r>
      <w:r>
        <w:t xml:space="preserve"> finds that </w:t>
      </w:r>
      <w:r w:rsidR="008410B4">
        <w:t>singing bowl</w:t>
      </w:r>
      <w:r w:rsidR="001403C1">
        <w:t xml:space="preserve"> therapy</w:t>
      </w:r>
      <w:r w:rsidR="008410B4">
        <w:t xml:space="preserve"> attract</w:t>
      </w:r>
      <w:r w:rsidR="00855E0D">
        <w:t xml:space="preserve"> highly educated</w:t>
      </w:r>
      <w:r w:rsidR="00855E0D">
        <w:t xml:space="preserve">, middle-aged, </w:t>
      </w:r>
      <w:r w:rsidR="00855E0D">
        <w:t>white women</w:t>
      </w:r>
      <w:r w:rsidR="00855E0D">
        <w:t xml:space="preserve">, who prioritise </w:t>
      </w:r>
      <w:r w:rsidR="003223AF">
        <w:t>self-care</w:t>
      </w:r>
      <w:r w:rsidR="00855E0D">
        <w:t xml:space="preserve"> and healing. </w:t>
      </w:r>
      <w:r w:rsidR="003223AF">
        <w:t>P</w:t>
      </w:r>
      <w:r w:rsidR="00E75FE9">
        <w:t>articipants benefit from singing bowl therapy in terms of physical, emotional</w:t>
      </w:r>
      <w:r w:rsidR="003223AF">
        <w:t>, psychological</w:t>
      </w:r>
      <w:r w:rsidR="00E75FE9">
        <w:t xml:space="preserve"> or spiritual </w:t>
      </w:r>
      <w:r w:rsidR="003223AF">
        <w:t xml:space="preserve">well-being. The lack of knowledge in singing bowls does not prevent people from enjoying the experience or the benefits. Participants’ cosmologies </w:t>
      </w:r>
      <w:r w:rsidR="00855E0D">
        <w:t xml:space="preserve">are </w:t>
      </w:r>
      <w:r w:rsidR="004E7203">
        <w:t>highly</w:t>
      </w:r>
      <w:r w:rsidR="00855E0D">
        <w:t xml:space="preserve"> </w:t>
      </w:r>
      <w:r w:rsidR="00855E0D">
        <w:lastRenderedPageBreak/>
        <w:t>individualistic</w:t>
      </w:r>
      <w:r w:rsidR="00B43B9F">
        <w:t xml:space="preserve"> and subjective,</w:t>
      </w:r>
      <w:r w:rsidR="00855E0D">
        <w:t xml:space="preserve"> and </w:t>
      </w:r>
      <w:r w:rsidR="00B43B9F">
        <w:t>at times</w:t>
      </w:r>
      <w:r w:rsidR="00855E0D">
        <w:t xml:space="preserve"> contain contradictions in relation to their religious affiliations. In some cases, participation in </w:t>
      </w:r>
      <w:r w:rsidR="001B48CE">
        <w:t xml:space="preserve">the </w:t>
      </w:r>
      <w:r w:rsidR="00855E0D">
        <w:t xml:space="preserve">singing bowl itself is part of the contradiction. </w:t>
      </w:r>
      <w:r w:rsidR="004605AD">
        <w:t>Moreover, t</w:t>
      </w:r>
      <w:r w:rsidR="00855E0D">
        <w:t xml:space="preserve">he study finds that both scientific and metaphorical </w:t>
      </w:r>
      <w:r w:rsidR="004605AD">
        <w:t>theorie</w:t>
      </w:r>
      <w:r w:rsidR="00855E0D">
        <w:t xml:space="preserve">s appeal to the participants, </w:t>
      </w:r>
      <w:r w:rsidR="001403C1">
        <w:t>but</w:t>
      </w:r>
      <w:r w:rsidR="00855E0D">
        <w:t xml:space="preserve"> </w:t>
      </w:r>
      <w:r w:rsidR="004605AD">
        <w:t xml:space="preserve">concepts of </w:t>
      </w:r>
      <w:r w:rsidR="00CC3867">
        <w:t xml:space="preserve">symbolism and </w:t>
      </w:r>
      <w:r w:rsidR="001B48CE">
        <w:t>supernatural</w:t>
      </w:r>
      <w:r w:rsidR="00CC3867">
        <w:t xml:space="preserve"> are less recognised.</w:t>
      </w:r>
      <w:r w:rsidR="000579EB">
        <w:t xml:space="preserve"> Additionally, the </w:t>
      </w:r>
      <w:r w:rsidR="00940541">
        <w:t>study identifies terminological problems</w:t>
      </w:r>
      <w:r w:rsidR="000579EB">
        <w:t xml:space="preserve"> in</w:t>
      </w:r>
      <w:r w:rsidR="00AA5A6F">
        <w:t xml:space="preserve"> methodologies of</w:t>
      </w:r>
      <w:r w:rsidR="000579EB">
        <w:t xml:space="preserve"> religious studies and </w:t>
      </w:r>
      <w:r w:rsidR="00AA5A6F">
        <w:t>survey</w:t>
      </w:r>
      <w:r w:rsidR="00B94342">
        <w:t xml:space="preserve"> due to </w:t>
      </w:r>
      <w:r w:rsidR="001B48CE">
        <w:t xml:space="preserve">a </w:t>
      </w:r>
      <w:r w:rsidR="00B94342">
        <w:t>knowledge gap and discourse between scholars and the general public, which should be taken into considerations in future anthropological works.</w:t>
      </w:r>
      <w:r w:rsidR="002301C0">
        <w:t xml:space="preserve"> </w:t>
      </w:r>
      <w:r>
        <w:t xml:space="preserve">This research offers a snap-shot of the complex and diverse personal cosmologies in contemporary British society that are grounded in </w:t>
      </w:r>
      <w:r w:rsidR="002301C0">
        <w:t>s</w:t>
      </w:r>
      <w:r>
        <w:t xml:space="preserve">inging </w:t>
      </w:r>
      <w:r w:rsidR="002301C0">
        <w:t>b</w:t>
      </w:r>
      <w:r>
        <w:t>owl therapy participation and practice</w:t>
      </w:r>
      <w:r w:rsidR="002301C0">
        <w:t xml:space="preserve">. It concludes that the growing </w:t>
      </w:r>
      <w:r w:rsidR="002301C0" w:rsidRPr="002301C0">
        <w:t>i</w:t>
      </w:r>
      <w:r w:rsidRPr="002301C0">
        <w:t xml:space="preserve">nterest in singing bowls indicates </w:t>
      </w:r>
      <w:r w:rsidR="002301C0">
        <w:t xml:space="preserve">a rise </w:t>
      </w:r>
      <w:r w:rsidR="001B48CE">
        <w:t>in</w:t>
      </w:r>
      <w:r w:rsidR="002301C0">
        <w:t xml:space="preserve"> spirituality, especially among women. </w:t>
      </w:r>
    </w:p>
    <w:p w14:paraId="6882054C" w14:textId="77777777" w:rsidR="00715CE4" w:rsidRPr="009B45F6" w:rsidRDefault="00715CE4" w:rsidP="00715CE4">
      <w:pPr>
        <w:jc w:val="both"/>
      </w:pPr>
    </w:p>
    <w:p w14:paraId="5F1229B9" w14:textId="77777777" w:rsidR="00715CE4" w:rsidRDefault="00715CE4" w:rsidP="00715CE4">
      <w:pPr>
        <w:rPr>
          <w:rFonts w:ascii="Century Gothic" w:hAnsi="Century Gothic"/>
        </w:rPr>
      </w:pPr>
    </w:p>
    <w:p w14:paraId="18054ECB" w14:textId="1EAC81E3" w:rsidR="005F6DD1" w:rsidRDefault="005F6DD1" w:rsidP="00040F1C">
      <w:pPr>
        <w:jc w:val="both"/>
        <w:rPr>
          <w:iCs/>
          <w:color w:val="000000" w:themeColor="text1"/>
        </w:rPr>
      </w:pPr>
    </w:p>
    <w:p w14:paraId="1CCA9327" w14:textId="77777777" w:rsidR="005F6DD1" w:rsidRDefault="005F6DD1" w:rsidP="005F6DD1">
      <w:pPr>
        <w:rPr>
          <w:rFonts w:ascii="Century Gothic" w:hAnsi="Century Gothic"/>
          <w:b/>
          <w:bCs/>
        </w:rPr>
      </w:pPr>
      <w:r>
        <w:rPr>
          <w:rFonts w:ascii="Century Gothic" w:hAnsi="Century Gothic"/>
          <w:b/>
          <w:bCs/>
        </w:rPr>
        <w:t xml:space="preserve">Acknowledgement </w:t>
      </w:r>
    </w:p>
    <w:p w14:paraId="227BFFFC" w14:textId="77777777" w:rsidR="005F6DD1" w:rsidRDefault="005F6DD1" w:rsidP="005F6DD1"/>
    <w:p w14:paraId="0A181E99" w14:textId="6F5BC77D" w:rsidR="005F6DD1" w:rsidRDefault="005F6DD1" w:rsidP="005F6DD1">
      <w:r>
        <w:t xml:space="preserve">Special thanks to Zi Ling, Dr. Dawn H. Collins, Rounik Sethi, and Tenzin Pasang. </w:t>
      </w:r>
    </w:p>
    <w:p w14:paraId="2F00FEAC" w14:textId="5436D47D" w:rsidR="004258A4" w:rsidRDefault="004258A4" w:rsidP="005F6DD1"/>
    <w:p w14:paraId="5682AE9A" w14:textId="6E713910" w:rsidR="004258A4" w:rsidRDefault="004258A4" w:rsidP="005F6DD1"/>
    <w:p w14:paraId="08A702F7" w14:textId="0A2983CB" w:rsidR="004258A4" w:rsidRDefault="004258A4" w:rsidP="005F6DD1"/>
    <w:p w14:paraId="3CB4255F" w14:textId="77777777" w:rsidR="004258A4" w:rsidRPr="00677376" w:rsidRDefault="004258A4" w:rsidP="004258A4">
      <w:pPr>
        <w:rPr>
          <w:rFonts w:ascii="Century Gothic" w:hAnsi="Century Gothic"/>
          <w:b/>
          <w:bCs/>
        </w:rPr>
      </w:pPr>
      <w:r w:rsidRPr="00677376">
        <w:rPr>
          <w:rFonts w:ascii="Century Gothic" w:hAnsi="Century Gothic"/>
          <w:b/>
          <w:bCs/>
        </w:rPr>
        <w:t>Reference</w:t>
      </w:r>
    </w:p>
    <w:p w14:paraId="660A8BFF" w14:textId="77777777" w:rsidR="004258A4" w:rsidRDefault="004258A4" w:rsidP="004258A4">
      <w:pPr>
        <w:rPr>
          <w:rFonts w:ascii="Century Gothic" w:hAnsi="Century Gothic"/>
        </w:rPr>
      </w:pPr>
    </w:p>
    <w:p w14:paraId="3DA99159" w14:textId="77777777" w:rsidR="004258A4" w:rsidRPr="00CE0D2A" w:rsidRDefault="004258A4" w:rsidP="004258A4">
      <w:pPr>
        <w:pStyle w:val="ListParagraph"/>
        <w:numPr>
          <w:ilvl w:val="0"/>
          <w:numId w:val="1"/>
        </w:numPr>
        <w:jc w:val="both"/>
        <w:rPr>
          <w:sz w:val="22"/>
          <w:szCs w:val="22"/>
        </w:rPr>
      </w:pPr>
      <w:r w:rsidRPr="00CE0D2A">
        <w:rPr>
          <w:sz w:val="22"/>
          <w:szCs w:val="22"/>
        </w:rPr>
        <w:t xml:space="preserve">Aarts, R.M., Okke Ouweltjes, Murtaza Bulut, ‘An Electro-Acoustic Implementation of Tibetan Bowls: Acoustics and Perception’, </w:t>
      </w:r>
      <w:r w:rsidRPr="00CE0D2A">
        <w:rPr>
          <w:i/>
          <w:iCs/>
          <w:sz w:val="22"/>
          <w:szCs w:val="22"/>
        </w:rPr>
        <w:t>Noise &amp; Vibration Worldwide</w:t>
      </w:r>
      <w:r w:rsidRPr="00CE0D2A">
        <w:rPr>
          <w:sz w:val="22"/>
          <w:szCs w:val="22"/>
        </w:rPr>
        <w:t xml:space="preserve">, 45(1), (2014), pp. 12-23. </w:t>
      </w:r>
    </w:p>
    <w:p w14:paraId="2D39E9C3" w14:textId="77777777" w:rsidR="004258A4" w:rsidRDefault="004258A4" w:rsidP="004258A4">
      <w:pPr>
        <w:jc w:val="both"/>
        <w:rPr>
          <w:sz w:val="22"/>
          <w:szCs w:val="22"/>
        </w:rPr>
      </w:pPr>
    </w:p>
    <w:p w14:paraId="21C99CEE" w14:textId="77777777" w:rsidR="004258A4" w:rsidRPr="00CE0D2A" w:rsidRDefault="004258A4" w:rsidP="004258A4">
      <w:pPr>
        <w:pStyle w:val="ListParagraph"/>
        <w:numPr>
          <w:ilvl w:val="0"/>
          <w:numId w:val="1"/>
        </w:numPr>
        <w:jc w:val="both"/>
        <w:rPr>
          <w:sz w:val="22"/>
          <w:szCs w:val="22"/>
        </w:rPr>
      </w:pPr>
      <w:r w:rsidRPr="00CE0D2A">
        <w:rPr>
          <w:sz w:val="22"/>
          <w:szCs w:val="22"/>
        </w:rPr>
        <w:t xml:space="preserve">Ann, Ik-Soo &amp; and Myungjin Bae, ‘Analysis of Singing Bowl’s Sound’, </w:t>
      </w:r>
      <w:r w:rsidRPr="00CE0D2A">
        <w:rPr>
          <w:i/>
          <w:iCs/>
          <w:sz w:val="22"/>
          <w:szCs w:val="22"/>
        </w:rPr>
        <w:t>The Journal of the Acoustical Society of America</w:t>
      </w:r>
      <w:r w:rsidRPr="00CE0D2A">
        <w:rPr>
          <w:sz w:val="22"/>
          <w:szCs w:val="22"/>
        </w:rPr>
        <w:t>, 142, (2017), p. 2613.</w:t>
      </w:r>
    </w:p>
    <w:p w14:paraId="4E962E0D" w14:textId="77777777" w:rsidR="004258A4" w:rsidRDefault="004258A4" w:rsidP="004258A4">
      <w:pPr>
        <w:jc w:val="both"/>
        <w:rPr>
          <w:rFonts w:ascii="Century Gothic" w:hAnsi="Century Gothic"/>
        </w:rPr>
      </w:pPr>
    </w:p>
    <w:p w14:paraId="72718F86" w14:textId="77777777" w:rsidR="004258A4" w:rsidRPr="00CE0D2A" w:rsidRDefault="004258A4" w:rsidP="004258A4">
      <w:pPr>
        <w:pStyle w:val="ListParagraph"/>
        <w:numPr>
          <w:ilvl w:val="0"/>
          <w:numId w:val="1"/>
        </w:numPr>
        <w:jc w:val="both"/>
        <w:rPr>
          <w:sz w:val="22"/>
          <w:szCs w:val="22"/>
        </w:rPr>
      </w:pPr>
      <w:r w:rsidRPr="00CE0D2A">
        <w:rPr>
          <w:sz w:val="22"/>
          <w:szCs w:val="22"/>
        </w:rPr>
        <w:t xml:space="preserve">Aune, Kristin, ‘Much Less Religious, A Little More Spiritual: the Religious and Spiritual Views of Third-Wave Feminists in the UK’, </w:t>
      </w:r>
      <w:r w:rsidRPr="00CE0D2A">
        <w:rPr>
          <w:i/>
          <w:iCs/>
          <w:sz w:val="22"/>
          <w:szCs w:val="22"/>
        </w:rPr>
        <w:t>Feminist Review</w:t>
      </w:r>
      <w:r w:rsidRPr="00CE0D2A">
        <w:rPr>
          <w:sz w:val="22"/>
          <w:szCs w:val="22"/>
        </w:rPr>
        <w:t>, No. 97, (2011), pp. 32-55.</w:t>
      </w:r>
    </w:p>
    <w:p w14:paraId="099BE99D" w14:textId="77777777" w:rsidR="004258A4" w:rsidRDefault="004258A4" w:rsidP="004258A4">
      <w:pPr>
        <w:jc w:val="both"/>
        <w:rPr>
          <w:sz w:val="22"/>
          <w:szCs w:val="22"/>
        </w:rPr>
      </w:pPr>
    </w:p>
    <w:p w14:paraId="3D5DEF19" w14:textId="77777777" w:rsidR="004258A4" w:rsidRDefault="004258A4" w:rsidP="004258A4">
      <w:pPr>
        <w:pStyle w:val="ListParagraph"/>
        <w:numPr>
          <w:ilvl w:val="0"/>
          <w:numId w:val="1"/>
        </w:numPr>
        <w:jc w:val="both"/>
        <w:rPr>
          <w:sz w:val="22"/>
          <w:szCs w:val="22"/>
        </w:rPr>
      </w:pPr>
      <w:r w:rsidRPr="00CE0D2A">
        <w:rPr>
          <w:sz w:val="22"/>
          <w:szCs w:val="22"/>
        </w:rPr>
        <w:t>Annachhatre, Meenal, ‘Has the Yo Gone Out of Yoga? The Modernised Commodification of Yoga Is a Commercially Exploitative Affront to an Ancient Tradition’, </w:t>
      </w:r>
      <w:r w:rsidRPr="00CE0D2A">
        <w:rPr>
          <w:i/>
          <w:iCs/>
          <w:sz w:val="22"/>
          <w:szCs w:val="22"/>
        </w:rPr>
        <w:t>Economic and Political Weekly</w:t>
      </w:r>
      <w:r w:rsidRPr="00CE0D2A">
        <w:rPr>
          <w:sz w:val="22"/>
          <w:szCs w:val="22"/>
        </w:rPr>
        <w:t> 49, no. 48 (2014): pp. 111–111.</w:t>
      </w:r>
    </w:p>
    <w:p w14:paraId="57AA5B5C" w14:textId="77777777" w:rsidR="004258A4" w:rsidRPr="000C351A" w:rsidRDefault="004258A4" w:rsidP="004258A4">
      <w:pPr>
        <w:pStyle w:val="ListParagraph"/>
        <w:rPr>
          <w:sz w:val="22"/>
          <w:szCs w:val="22"/>
        </w:rPr>
      </w:pPr>
    </w:p>
    <w:p w14:paraId="3D7FCAFD" w14:textId="77777777" w:rsidR="004258A4" w:rsidRDefault="004258A4" w:rsidP="004258A4">
      <w:pPr>
        <w:pStyle w:val="ListParagraph"/>
        <w:numPr>
          <w:ilvl w:val="0"/>
          <w:numId w:val="1"/>
        </w:numPr>
        <w:jc w:val="both"/>
        <w:rPr>
          <w:sz w:val="22"/>
          <w:szCs w:val="22"/>
        </w:rPr>
      </w:pPr>
      <w:r w:rsidRPr="000C351A">
        <w:rPr>
          <w:sz w:val="22"/>
          <w:szCs w:val="22"/>
        </w:rPr>
        <w:t>Berliner</w:t>
      </w:r>
      <w:r>
        <w:rPr>
          <w:sz w:val="22"/>
          <w:szCs w:val="22"/>
        </w:rPr>
        <w:t>,</w:t>
      </w:r>
      <w:r w:rsidRPr="000C351A">
        <w:rPr>
          <w:sz w:val="22"/>
          <w:szCs w:val="22"/>
        </w:rPr>
        <w:t xml:space="preserve"> David, ‘Anthropology as the Science of Contradictions’, in </w:t>
      </w:r>
      <w:r w:rsidRPr="000C351A">
        <w:rPr>
          <w:i/>
          <w:iCs/>
          <w:sz w:val="22"/>
          <w:szCs w:val="22"/>
        </w:rPr>
        <w:t>Anthropology and the Study of Contradictions</w:t>
      </w:r>
      <w:r w:rsidRPr="000C351A">
        <w:rPr>
          <w:sz w:val="22"/>
          <w:szCs w:val="22"/>
        </w:rPr>
        <w:t xml:space="preserve">, ed. by David Berliner, </w:t>
      </w:r>
      <w:r w:rsidRPr="000C351A">
        <w:rPr>
          <w:i/>
          <w:iCs/>
          <w:sz w:val="22"/>
          <w:szCs w:val="22"/>
        </w:rPr>
        <w:t>Hau: Journal of Ethnographic Theory</w:t>
      </w:r>
      <w:r w:rsidRPr="000C351A">
        <w:rPr>
          <w:sz w:val="22"/>
          <w:szCs w:val="22"/>
        </w:rPr>
        <w:t>, 6 (1), (2016), pp. 1-27.</w:t>
      </w:r>
    </w:p>
    <w:p w14:paraId="6A9B1B55" w14:textId="77777777" w:rsidR="004258A4" w:rsidRPr="001D7B94" w:rsidRDefault="004258A4" w:rsidP="004258A4">
      <w:pPr>
        <w:pStyle w:val="ListParagraph"/>
        <w:rPr>
          <w:sz w:val="22"/>
          <w:szCs w:val="22"/>
        </w:rPr>
      </w:pPr>
    </w:p>
    <w:p w14:paraId="17B093C3" w14:textId="5DC8A9A1" w:rsidR="004258A4" w:rsidRPr="004258A4" w:rsidRDefault="004258A4" w:rsidP="004258A4">
      <w:pPr>
        <w:pStyle w:val="ListParagraph"/>
        <w:numPr>
          <w:ilvl w:val="0"/>
          <w:numId w:val="1"/>
        </w:numPr>
        <w:jc w:val="both"/>
        <w:rPr>
          <w:sz w:val="22"/>
          <w:szCs w:val="22"/>
        </w:rPr>
      </w:pPr>
      <w:r w:rsidRPr="001D7B94">
        <w:rPr>
          <w:sz w:val="22"/>
          <w:szCs w:val="22"/>
        </w:rPr>
        <w:t xml:space="preserve">BBC, ‘Paganism is Second Most Popular Faith in South-West England’ (2017): </w:t>
      </w:r>
      <w:hyperlink r:id="rId15" w:history="1">
        <w:r w:rsidRPr="001D7B94">
          <w:rPr>
            <w:rStyle w:val="Hyperlink"/>
            <w:sz w:val="22"/>
            <w:szCs w:val="22"/>
          </w:rPr>
          <w:t>https://www.bbc.co.uk/news/av/uk-england-devon-40948532</w:t>
        </w:r>
      </w:hyperlink>
      <w:r w:rsidRPr="001D7B94">
        <w:rPr>
          <w:sz w:val="22"/>
          <w:szCs w:val="22"/>
        </w:rPr>
        <w:t xml:space="preserve">    [15 April 2026]</w:t>
      </w:r>
    </w:p>
    <w:p w14:paraId="6C216286" w14:textId="77777777" w:rsidR="004258A4" w:rsidRDefault="004258A4" w:rsidP="004258A4">
      <w:pPr>
        <w:pStyle w:val="ListParagraph"/>
        <w:rPr>
          <w:sz w:val="22"/>
          <w:szCs w:val="22"/>
          <w:highlight w:val="red"/>
        </w:rPr>
      </w:pPr>
    </w:p>
    <w:p w14:paraId="57CDA1D8" w14:textId="77777777" w:rsidR="004258A4" w:rsidRPr="006B1775" w:rsidRDefault="004258A4" w:rsidP="004258A4">
      <w:pPr>
        <w:pStyle w:val="FootnoteText"/>
        <w:numPr>
          <w:ilvl w:val="0"/>
          <w:numId w:val="1"/>
        </w:numPr>
        <w:jc w:val="both"/>
        <w:rPr>
          <w:rFonts w:ascii="Times New Roman" w:hAnsi="Times New Roman" w:cs="Times New Roman"/>
          <w:sz w:val="22"/>
          <w:szCs w:val="22"/>
        </w:rPr>
      </w:pPr>
      <w:r w:rsidRPr="006B1775">
        <w:rPr>
          <w:rFonts w:ascii="Times New Roman" w:hAnsi="Times New Roman" w:cs="Times New Roman"/>
          <w:sz w:val="22"/>
          <w:szCs w:val="22"/>
        </w:rPr>
        <w:t>Blain, Jenny</w:t>
      </w:r>
      <w:r>
        <w:rPr>
          <w:rFonts w:ascii="Times New Roman" w:hAnsi="Times New Roman" w:cs="Times New Roman"/>
          <w:sz w:val="22"/>
          <w:szCs w:val="22"/>
        </w:rPr>
        <w:t>,</w:t>
      </w:r>
      <w:r w:rsidRPr="006B1775">
        <w:rPr>
          <w:rFonts w:ascii="Times New Roman" w:hAnsi="Times New Roman" w:cs="Times New Roman"/>
          <w:sz w:val="22"/>
          <w:szCs w:val="22"/>
        </w:rPr>
        <w:t xml:space="preserve"> ‘Speaking Shamanistically: Seidr, Academia and Rationality’, DISKUS, Volume 6, (2000).</w:t>
      </w:r>
    </w:p>
    <w:p w14:paraId="06C6BC5B" w14:textId="77777777" w:rsidR="004258A4" w:rsidRDefault="004258A4" w:rsidP="004258A4">
      <w:pPr>
        <w:pStyle w:val="FootnoteText"/>
        <w:jc w:val="both"/>
        <w:rPr>
          <w:rFonts w:ascii="Times New Roman" w:hAnsi="Times New Roman" w:cs="Times New Roman"/>
          <w:sz w:val="22"/>
          <w:szCs w:val="22"/>
        </w:rPr>
      </w:pPr>
    </w:p>
    <w:p w14:paraId="11349D38" w14:textId="77777777" w:rsidR="004258A4" w:rsidRDefault="004258A4" w:rsidP="004258A4">
      <w:pPr>
        <w:pStyle w:val="FootnoteText"/>
        <w:numPr>
          <w:ilvl w:val="0"/>
          <w:numId w:val="1"/>
        </w:numPr>
        <w:jc w:val="both"/>
        <w:rPr>
          <w:rFonts w:ascii="Times New Roman" w:hAnsi="Times New Roman" w:cs="Times New Roman"/>
          <w:sz w:val="22"/>
          <w:szCs w:val="22"/>
        </w:rPr>
      </w:pPr>
      <w:r w:rsidRPr="0041745C">
        <w:rPr>
          <w:rFonts w:ascii="Times New Roman" w:hAnsi="Times New Roman" w:cs="Times New Roman"/>
          <w:sz w:val="22"/>
          <w:szCs w:val="22"/>
        </w:rPr>
        <w:t xml:space="preserve">Bristol City Council, Census 2021 (2021): </w:t>
      </w:r>
      <w:hyperlink r:id="rId16" w:history="1">
        <w:r w:rsidRPr="0041745C">
          <w:rPr>
            <w:rStyle w:val="Hyperlink"/>
            <w:rFonts w:ascii="Times New Roman" w:hAnsi="Times New Roman" w:cs="Times New Roman"/>
            <w:sz w:val="22"/>
            <w:szCs w:val="22"/>
          </w:rPr>
          <w:t>https://www.bristol.gov.uk/council/statistics-census-information/census-2021</w:t>
        </w:r>
      </w:hyperlink>
      <w:r w:rsidRPr="0041745C">
        <w:rPr>
          <w:rFonts w:ascii="Times New Roman" w:hAnsi="Times New Roman" w:cs="Times New Roman"/>
          <w:sz w:val="22"/>
          <w:szCs w:val="22"/>
        </w:rPr>
        <w:t xml:space="preserve"> [accessed 20 March 2026]</w:t>
      </w:r>
    </w:p>
    <w:p w14:paraId="2A801CA0" w14:textId="77777777" w:rsidR="004258A4" w:rsidRDefault="004258A4" w:rsidP="004258A4">
      <w:pPr>
        <w:pStyle w:val="ListParagraph"/>
        <w:rPr>
          <w:sz w:val="22"/>
          <w:szCs w:val="22"/>
        </w:rPr>
      </w:pPr>
    </w:p>
    <w:p w14:paraId="0FD6F135" w14:textId="77777777" w:rsidR="004258A4" w:rsidRDefault="004258A4" w:rsidP="004258A4">
      <w:pPr>
        <w:pStyle w:val="FootnoteText"/>
        <w:numPr>
          <w:ilvl w:val="0"/>
          <w:numId w:val="1"/>
        </w:numPr>
        <w:jc w:val="both"/>
        <w:rPr>
          <w:rFonts w:ascii="Times New Roman" w:hAnsi="Times New Roman" w:cs="Times New Roman"/>
          <w:sz w:val="22"/>
          <w:szCs w:val="22"/>
        </w:rPr>
      </w:pPr>
      <w:r w:rsidRPr="008B7D84">
        <w:rPr>
          <w:rFonts w:ascii="Times New Roman" w:hAnsi="Times New Roman" w:cs="Times New Roman"/>
          <w:sz w:val="22"/>
          <w:szCs w:val="22"/>
        </w:rPr>
        <w:t>Bowman</w:t>
      </w:r>
      <w:r>
        <w:rPr>
          <w:rFonts w:ascii="Times New Roman" w:hAnsi="Times New Roman" w:cs="Times New Roman"/>
          <w:sz w:val="22"/>
          <w:szCs w:val="22"/>
        </w:rPr>
        <w:t>,</w:t>
      </w:r>
      <w:r w:rsidRPr="008B7D84">
        <w:rPr>
          <w:rFonts w:ascii="Times New Roman" w:hAnsi="Times New Roman" w:cs="Times New Roman"/>
          <w:sz w:val="22"/>
          <w:szCs w:val="22"/>
        </w:rPr>
        <w:t xml:space="preserve"> Marion, ‘More of the Same? Christianity, Vernacular Religion and Alternative Spirituality in Glastonbury’, in </w:t>
      </w:r>
      <w:r w:rsidRPr="008B7D84">
        <w:rPr>
          <w:rFonts w:ascii="Times New Roman" w:hAnsi="Times New Roman" w:cs="Times New Roman"/>
          <w:i/>
          <w:iCs/>
          <w:sz w:val="22"/>
          <w:szCs w:val="22"/>
        </w:rPr>
        <w:t>Beyond New Age: Exploring Alternative Spirituality</w:t>
      </w:r>
      <w:r w:rsidRPr="008B7D84">
        <w:rPr>
          <w:rFonts w:ascii="Times New Roman" w:hAnsi="Times New Roman" w:cs="Times New Roman"/>
          <w:sz w:val="22"/>
          <w:szCs w:val="22"/>
        </w:rPr>
        <w:t>, ed. Steven Suycliffe and Marion Bowman, (Edinburgh: Edinburgh University Press, 2000), pp.86-93.</w:t>
      </w:r>
    </w:p>
    <w:p w14:paraId="43F031E1" w14:textId="77777777" w:rsidR="004258A4" w:rsidRDefault="004258A4" w:rsidP="004258A4">
      <w:pPr>
        <w:pStyle w:val="FootnoteText"/>
        <w:jc w:val="both"/>
        <w:rPr>
          <w:rFonts w:ascii="Times New Roman" w:hAnsi="Times New Roman" w:cs="Times New Roman"/>
          <w:sz w:val="22"/>
          <w:szCs w:val="22"/>
        </w:rPr>
      </w:pPr>
    </w:p>
    <w:p w14:paraId="70B66458" w14:textId="77777777" w:rsidR="004258A4" w:rsidRDefault="004258A4" w:rsidP="004258A4">
      <w:pPr>
        <w:pStyle w:val="FootnoteText"/>
        <w:numPr>
          <w:ilvl w:val="0"/>
          <w:numId w:val="1"/>
        </w:numPr>
        <w:jc w:val="both"/>
        <w:rPr>
          <w:rFonts w:ascii="Times New Roman" w:hAnsi="Times New Roman" w:cs="Times New Roman"/>
          <w:sz w:val="22"/>
          <w:szCs w:val="22"/>
        </w:rPr>
      </w:pPr>
      <w:r w:rsidRPr="008F78DE">
        <w:rPr>
          <w:rFonts w:ascii="Times New Roman" w:hAnsi="Times New Roman" w:cs="Times New Roman"/>
          <w:sz w:val="22"/>
          <w:szCs w:val="22"/>
        </w:rPr>
        <w:t>Bowie</w:t>
      </w:r>
      <w:r>
        <w:rPr>
          <w:rFonts w:ascii="Times New Roman" w:hAnsi="Times New Roman" w:cs="Times New Roman"/>
          <w:sz w:val="22"/>
          <w:szCs w:val="22"/>
        </w:rPr>
        <w:t>,</w:t>
      </w:r>
      <w:r w:rsidRPr="008F78DE">
        <w:rPr>
          <w:rFonts w:ascii="Times New Roman" w:hAnsi="Times New Roman" w:cs="Times New Roman"/>
          <w:sz w:val="22"/>
          <w:szCs w:val="22"/>
        </w:rPr>
        <w:t xml:space="preserve"> Fiona, </w:t>
      </w:r>
      <w:r w:rsidRPr="008F78DE">
        <w:rPr>
          <w:rFonts w:ascii="Times New Roman" w:hAnsi="Times New Roman" w:cs="Times New Roman"/>
          <w:i/>
          <w:iCs/>
          <w:sz w:val="22"/>
          <w:szCs w:val="22"/>
        </w:rPr>
        <w:t>The Anthropology of Religion</w:t>
      </w:r>
      <w:r>
        <w:rPr>
          <w:rFonts w:ascii="Times New Roman" w:hAnsi="Times New Roman" w:cs="Times New Roman"/>
          <w:sz w:val="22"/>
          <w:szCs w:val="22"/>
        </w:rPr>
        <w:t xml:space="preserve"> </w:t>
      </w:r>
      <w:r w:rsidRPr="008F78DE">
        <w:rPr>
          <w:rFonts w:ascii="Times New Roman" w:hAnsi="Times New Roman" w:cs="Times New Roman"/>
          <w:sz w:val="22"/>
          <w:szCs w:val="22"/>
        </w:rPr>
        <w:t>(Oxford: Blackwell, 2002)</w:t>
      </w:r>
      <w:r>
        <w:rPr>
          <w:rFonts w:ascii="Times New Roman" w:hAnsi="Times New Roman" w:cs="Times New Roman"/>
          <w:sz w:val="22"/>
          <w:szCs w:val="22"/>
        </w:rPr>
        <w:t xml:space="preserve">. </w:t>
      </w:r>
    </w:p>
    <w:p w14:paraId="20347B7B" w14:textId="77777777" w:rsidR="004258A4" w:rsidRDefault="004258A4" w:rsidP="004258A4">
      <w:pPr>
        <w:pStyle w:val="ListParagraph"/>
        <w:rPr>
          <w:sz w:val="22"/>
          <w:szCs w:val="22"/>
        </w:rPr>
      </w:pPr>
    </w:p>
    <w:p w14:paraId="1871ECBC" w14:textId="77777777" w:rsidR="004258A4" w:rsidRDefault="004258A4" w:rsidP="004258A4">
      <w:pPr>
        <w:pStyle w:val="FootnoteText"/>
        <w:numPr>
          <w:ilvl w:val="0"/>
          <w:numId w:val="1"/>
        </w:numPr>
        <w:jc w:val="both"/>
        <w:rPr>
          <w:rFonts w:ascii="Times New Roman" w:hAnsi="Times New Roman" w:cs="Times New Roman"/>
          <w:sz w:val="22"/>
          <w:szCs w:val="22"/>
        </w:rPr>
      </w:pPr>
      <w:r w:rsidRPr="00692B44">
        <w:rPr>
          <w:rFonts w:ascii="Times New Roman" w:hAnsi="Times New Roman" w:cs="Times New Roman"/>
          <w:sz w:val="22"/>
          <w:szCs w:val="22"/>
        </w:rPr>
        <w:t>Briggs</w:t>
      </w:r>
      <w:r>
        <w:rPr>
          <w:rFonts w:ascii="Times New Roman" w:hAnsi="Times New Roman" w:cs="Times New Roman"/>
          <w:sz w:val="22"/>
          <w:szCs w:val="22"/>
        </w:rPr>
        <w:t>,</w:t>
      </w:r>
      <w:r w:rsidRPr="00692B44">
        <w:rPr>
          <w:rFonts w:ascii="Times New Roman" w:hAnsi="Times New Roman" w:cs="Times New Roman"/>
          <w:sz w:val="22"/>
          <w:szCs w:val="22"/>
        </w:rPr>
        <w:t xml:space="preserve"> J. and F. D. Peat, </w:t>
      </w:r>
      <w:r w:rsidRPr="00692B44">
        <w:rPr>
          <w:rFonts w:ascii="Times New Roman" w:hAnsi="Times New Roman" w:cs="Times New Roman"/>
          <w:i/>
          <w:iCs/>
          <w:sz w:val="22"/>
          <w:szCs w:val="22"/>
        </w:rPr>
        <w:t>The Turbulent Mirror: An Illustrated Guide to Chaos Theory and the Science of Wholeness</w:t>
      </w:r>
      <w:r w:rsidRPr="00692B44">
        <w:rPr>
          <w:rFonts w:ascii="Times New Roman" w:hAnsi="Times New Roman" w:cs="Times New Roman"/>
          <w:sz w:val="22"/>
          <w:szCs w:val="22"/>
        </w:rPr>
        <w:t>, (New York: Harper &amp; Row, 1989).</w:t>
      </w:r>
    </w:p>
    <w:p w14:paraId="6593B3F9" w14:textId="77777777" w:rsidR="004258A4" w:rsidRDefault="004258A4" w:rsidP="004258A4">
      <w:pPr>
        <w:pStyle w:val="ListParagraph"/>
        <w:rPr>
          <w:sz w:val="22"/>
          <w:szCs w:val="22"/>
        </w:rPr>
      </w:pPr>
    </w:p>
    <w:p w14:paraId="6E6C42D4" w14:textId="77777777" w:rsidR="004258A4" w:rsidRDefault="004258A4" w:rsidP="004258A4">
      <w:pPr>
        <w:pStyle w:val="FootnoteText"/>
        <w:numPr>
          <w:ilvl w:val="0"/>
          <w:numId w:val="1"/>
        </w:numPr>
        <w:jc w:val="both"/>
        <w:rPr>
          <w:rFonts w:ascii="Times New Roman" w:hAnsi="Times New Roman" w:cs="Times New Roman"/>
          <w:sz w:val="22"/>
          <w:szCs w:val="22"/>
        </w:rPr>
      </w:pPr>
      <w:r w:rsidRPr="00E56760">
        <w:rPr>
          <w:rFonts w:ascii="Times New Roman" w:hAnsi="Times New Roman" w:cs="Times New Roman"/>
          <w:sz w:val="22"/>
          <w:szCs w:val="22"/>
        </w:rPr>
        <w:t>Brown, Candy Gunther</w:t>
      </w:r>
      <w:r>
        <w:rPr>
          <w:rFonts w:ascii="Times New Roman" w:hAnsi="Times New Roman" w:cs="Times New Roman"/>
          <w:sz w:val="22"/>
          <w:szCs w:val="22"/>
        </w:rPr>
        <w:t>,</w:t>
      </w:r>
      <w:r w:rsidRPr="00E56760">
        <w:rPr>
          <w:rFonts w:ascii="Times New Roman" w:hAnsi="Times New Roman" w:cs="Times New Roman"/>
          <w:sz w:val="22"/>
          <w:szCs w:val="22"/>
        </w:rPr>
        <w:t xml:space="preserve"> ‘Tibetan Singing Bowls’, </w:t>
      </w:r>
      <w:r w:rsidRPr="00E56760">
        <w:rPr>
          <w:rFonts w:ascii="Times New Roman" w:hAnsi="Times New Roman" w:cs="Times New Roman"/>
          <w:i/>
          <w:iCs/>
          <w:sz w:val="22"/>
          <w:szCs w:val="22"/>
        </w:rPr>
        <w:t>American Religion</w:t>
      </w:r>
      <w:r w:rsidRPr="00E56760">
        <w:rPr>
          <w:rFonts w:ascii="Times New Roman" w:hAnsi="Times New Roman" w:cs="Times New Roman"/>
          <w:sz w:val="22"/>
          <w:szCs w:val="22"/>
        </w:rPr>
        <w:t>, 1, no. 2, (2020), pp. 52-73.</w:t>
      </w:r>
    </w:p>
    <w:p w14:paraId="4A4CA405" w14:textId="77777777" w:rsidR="004258A4" w:rsidRDefault="004258A4" w:rsidP="004258A4">
      <w:pPr>
        <w:pStyle w:val="FootnoteText"/>
        <w:jc w:val="both"/>
        <w:rPr>
          <w:rFonts w:ascii="Times New Roman" w:hAnsi="Times New Roman" w:cs="Times New Roman"/>
          <w:sz w:val="22"/>
          <w:szCs w:val="22"/>
        </w:rPr>
      </w:pPr>
    </w:p>
    <w:p w14:paraId="793D27F5" w14:textId="77777777" w:rsidR="004258A4" w:rsidRDefault="004258A4" w:rsidP="004258A4">
      <w:pPr>
        <w:pStyle w:val="FootnoteText"/>
        <w:numPr>
          <w:ilvl w:val="0"/>
          <w:numId w:val="1"/>
        </w:numPr>
        <w:jc w:val="both"/>
        <w:rPr>
          <w:rFonts w:ascii="Times New Roman" w:hAnsi="Times New Roman" w:cs="Times New Roman"/>
          <w:sz w:val="22"/>
          <w:szCs w:val="22"/>
        </w:rPr>
      </w:pPr>
      <w:r w:rsidRPr="003559A0">
        <w:rPr>
          <w:rFonts w:ascii="Times New Roman" w:hAnsi="Times New Roman" w:cs="Times New Roman"/>
          <w:sz w:val="22"/>
          <w:szCs w:val="22"/>
        </w:rPr>
        <w:t>Burtner, Matthew</w:t>
      </w:r>
      <w:r>
        <w:rPr>
          <w:rFonts w:ascii="Times New Roman" w:hAnsi="Times New Roman" w:cs="Times New Roman"/>
          <w:sz w:val="22"/>
          <w:szCs w:val="22"/>
        </w:rPr>
        <w:t>,</w:t>
      </w:r>
      <w:r w:rsidRPr="003559A0">
        <w:rPr>
          <w:rFonts w:ascii="Times New Roman" w:hAnsi="Times New Roman" w:cs="Times New Roman"/>
          <w:sz w:val="22"/>
          <w:szCs w:val="22"/>
        </w:rPr>
        <w:t xml:space="preserve"> S. Serafin, D. Topper,  ‘Real-Time Spatial Processing And Transformations Of A Singing Bowl’, </w:t>
      </w:r>
      <w:r w:rsidRPr="003559A0">
        <w:rPr>
          <w:rFonts w:ascii="Times New Roman" w:hAnsi="Times New Roman" w:cs="Times New Roman"/>
          <w:i/>
          <w:iCs/>
          <w:sz w:val="22"/>
          <w:szCs w:val="22"/>
        </w:rPr>
        <w:t>Proceedings of the 5</w:t>
      </w:r>
      <w:r w:rsidRPr="003559A0">
        <w:rPr>
          <w:rFonts w:ascii="Times New Roman" w:hAnsi="Times New Roman" w:cs="Times New Roman"/>
          <w:i/>
          <w:iCs/>
          <w:sz w:val="22"/>
          <w:szCs w:val="22"/>
          <w:vertAlign w:val="superscript"/>
        </w:rPr>
        <w:t>th</w:t>
      </w:r>
      <w:r w:rsidRPr="003559A0">
        <w:rPr>
          <w:rFonts w:ascii="Times New Roman" w:hAnsi="Times New Roman" w:cs="Times New Roman"/>
          <w:i/>
          <w:iCs/>
          <w:sz w:val="22"/>
          <w:szCs w:val="22"/>
        </w:rPr>
        <w:t xml:space="preserve"> International Conference on Digital Audio Effect (DAFx-02)</w:t>
      </w:r>
      <w:r w:rsidRPr="003559A0">
        <w:rPr>
          <w:rFonts w:ascii="Times New Roman" w:hAnsi="Times New Roman" w:cs="Times New Roman"/>
          <w:sz w:val="22"/>
          <w:szCs w:val="22"/>
        </w:rPr>
        <w:t>, (2002), pp. 123-126</w:t>
      </w:r>
      <w:r>
        <w:rPr>
          <w:rFonts w:ascii="Times New Roman" w:hAnsi="Times New Roman" w:cs="Times New Roman"/>
          <w:sz w:val="22"/>
          <w:szCs w:val="22"/>
        </w:rPr>
        <w:t xml:space="preserve">. </w:t>
      </w:r>
    </w:p>
    <w:p w14:paraId="3A32E188" w14:textId="77777777" w:rsidR="004258A4" w:rsidRDefault="004258A4" w:rsidP="004258A4">
      <w:pPr>
        <w:pStyle w:val="FootnoteText"/>
        <w:jc w:val="both"/>
        <w:rPr>
          <w:rFonts w:ascii="Times New Roman" w:hAnsi="Times New Roman" w:cs="Times New Roman"/>
          <w:sz w:val="22"/>
          <w:szCs w:val="22"/>
        </w:rPr>
      </w:pPr>
    </w:p>
    <w:p w14:paraId="4D02FE3D" w14:textId="77777777" w:rsidR="004258A4" w:rsidRDefault="004258A4" w:rsidP="004258A4">
      <w:pPr>
        <w:pStyle w:val="FootnoteText"/>
        <w:numPr>
          <w:ilvl w:val="0"/>
          <w:numId w:val="1"/>
        </w:numPr>
        <w:jc w:val="both"/>
        <w:rPr>
          <w:rFonts w:ascii="Times New Roman" w:hAnsi="Times New Roman" w:cs="Times New Roman"/>
          <w:sz w:val="22"/>
          <w:szCs w:val="22"/>
        </w:rPr>
      </w:pPr>
      <w:r w:rsidRPr="00851BEA">
        <w:rPr>
          <w:rFonts w:ascii="Times New Roman" w:hAnsi="Times New Roman" w:cs="Times New Roman"/>
          <w:sz w:val="22"/>
          <w:szCs w:val="22"/>
        </w:rPr>
        <w:t>Bryman</w:t>
      </w:r>
      <w:r>
        <w:rPr>
          <w:rFonts w:ascii="Times New Roman" w:hAnsi="Times New Roman" w:cs="Times New Roman"/>
          <w:sz w:val="22"/>
          <w:szCs w:val="22"/>
        </w:rPr>
        <w:t>,</w:t>
      </w:r>
      <w:r w:rsidRPr="00851BEA">
        <w:rPr>
          <w:rFonts w:ascii="Times New Roman" w:hAnsi="Times New Roman" w:cs="Times New Roman"/>
          <w:sz w:val="22"/>
          <w:szCs w:val="22"/>
        </w:rPr>
        <w:t xml:space="preserve"> Alan, </w:t>
      </w:r>
      <w:r w:rsidRPr="00851BEA">
        <w:rPr>
          <w:rFonts w:ascii="Times New Roman" w:hAnsi="Times New Roman" w:cs="Times New Roman"/>
          <w:i/>
          <w:iCs/>
          <w:sz w:val="22"/>
          <w:szCs w:val="22"/>
        </w:rPr>
        <w:t>Quantity and Quality in Social Research</w:t>
      </w:r>
      <w:r w:rsidRPr="00851BEA">
        <w:rPr>
          <w:rFonts w:ascii="Times New Roman" w:hAnsi="Times New Roman" w:cs="Times New Roman"/>
          <w:sz w:val="22"/>
          <w:szCs w:val="22"/>
        </w:rPr>
        <w:t>. (London and New York: Routledge, 2001)</w:t>
      </w:r>
      <w:r>
        <w:rPr>
          <w:rFonts w:ascii="Times New Roman" w:hAnsi="Times New Roman" w:cs="Times New Roman"/>
          <w:sz w:val="22"/>
          <w:szCs w:val="22"/>
        </w:rPr>
        <w:t xml:space="preserve">. </w:t>
      </w:r>
    </w:p>
    <w:p w14:paraId="06E05037" w14:textId="77777777" w:rsidR="004258A4" w:rsidRDefault="004258A4" w:rsidP="004258A4">
      <w:pPr>
        <w:pStyle w:val="FootnoteText"/>
        <w:jc w:val="both"/>
        <w:rPr>
          <w:rFonts w:ascii="Times New Roman" w:hAnsi="Times New Roman" w:cs="Times New Roman"/>
          <w:sz w:val="22"/>
          <w:szCs w:val="22"/>
        </w:rPr>
      </w:pPr>
    </w:p>
    <w:p w14:paraId="66721097" w14:textId="77777777" w:rsidR="004258A4" w:rsidRDefault="004258A4" w:rsidP="004258A4">
      <w:pPr>
        <w:pStyle w:val="FootnoteText"/>
        <w:numPr>
          <w:ilvl w:val="0"/>
          <w:numId w:val="1"/>
        </w:numPr>
        <w:jc w:val="both"/>
        <w:rPr>
          <w:rFonts w:ascii="Times New Roman" w:hAnsi="Times New Roman" w:cs="Times New Roman"/>
          <w:sz w:val="22"/>
          <w:szCs w:val="22"/>
        </w:rPr>
      </w:pPr>
      <w:r w:rsidRPr="00B33FDF">
        <w:rPr>
          <w:rFonts w:ascii="Times New Roman" w:hAnsi="Times New Roman" w:cs="Times New Roman"/>
          <w:sz w:val="22"/>
          <w:szCs w:val="22"/>
        </w:rPr>
        <w:t>Cai</w:t>
      </w:r>
      <w:r>
        <w:rPr>
          <w:rFonts w:ascii="Times New Roman" w:hAnsi="Times New Roman" w:cs="Times New Roman"/>
          <w:sz w:val="22"/>
          <w:szCs w:val="22"/>
        </w:rPr>
        <w:t>,</w:t>
      </w:r>
      <w:r w:rsidRPr="00B33FDF">
        <w:rPr>
          <w:rFonts w:ascii="Times New Roman" w:hAnsi="Times New Roman" w:cs="Times New Roman"/>
          <w:sz w:val="22"/>
          <w:szCs w:val="22"/>
        </w:rPr>
        <w:t xml:space="preserve"> Yiqing, Guoyan Yang, Yibo Liu, Xiangyun Zou, Heng Yin, Xinyan Jin, Xuehan Liu, Chenlu Wang, Nicola Robinson, and Jianping Liu, ‘Therapeautic Effects of Singing Bowls: A Systematic Review of Clinical Studies’, </w:t>
      </w:r>
      <w:r w:rsidRPr="00B33FDF">
        <w:rPr>
          <w:rFonts w:ascii="Times New Roman" w:hAnsi="Times New Roman" w:cs="Times New Roman"/>
          <w:i/>
          <w:iCs/>
          <w:sz w:val="22"/>
          <w:szCs w:val="22"/>
        </w:rPr>
        <w:t>Integrative Medicine Research</w:t>
      </w:r>
      <w:r w:rsidRPr="00B33FDF">
        <w:rPr>
          <w:rFonts w:ascii="Times New Roman" w:hAnsi="Times New Roman" w:cs="Times New Roman"/>
          <w:sz w:val="22"/>
          <w:szCs w:val="22"/>
        </w:rPr>
        <w:t>, Volume 14, Issue 2, (2025), 101144</w:t>
      </w:r>
    </w:p>
    <w:p w14:paraId="40F35D0D" w14:textId="77777777" w:rsidR="004258A4" w:rsidRDefault="004258A4" w:rsidP="004258A4">
      <w:pPr>
        <w:pStyle w:val="FootnoteText"/>
        <w:jc w:val="both"/>
        <w:rPr>
          <w:rFonts w:ascii="Times New Roman" w:hAnsi="Times New Roman" w:cs="Times New Roman"/>
          <w:sz w:val="22"/>
          <w:szCs w:val="22"/>
        </w:rPr>
      </w:pPr>
    </w:p>
    <w:p w14:paraId="5345A0A6" w14:textId="77777777" w:rsidR="004258A4" w:rsidRDefault="004258A4" w:rsidP="004258A4">
      <w:pPr>
        <w:pStyle w:val="FootnoteText"/>
        <w:numPr>
          <w:ilvl w:val="0"/>
          <w:numId w:val="1"/>
        </w:numPr>
        <w:jc w:val="both"/>
        <w:rPr>
          <w:rFonts w:ascii="Times New Roman" w:hAnsi="Times New Roman" w:cs="Times New Roman"/>
          <w:sz w:val="22"/>
          <w:szCs w:val="22"/>
        </w:rPr>
      </w:pPr>
      <w:r w:rsidRPr="002D6C6F">
        <w:rPr>
          <w:rFonts w:ascii="Times New Roman" w:hAnsi="Times New Roman" w:cs="Times New Roman"/>
          <w:sz w:val="22"/>
          <w:szCs w:val="22"/>
        </w:rPr>
        <w:t>Campion</w:t>
      </w:r>
      <w:r>
        <w:rPr>
          <w:rFonts w:ascii="Times New Roman" w:hAnsi="Times New Roman" w:cs="Times New Roman"/>
          <w:sz w:val="22"/>
          <w:szCs w:val="22"/>
        </w:rPr>
        <w:t>,</w:t>
      </w:r>
      <w:r w:rsidRPr="002D6C6F">
        <w:rPr>
          <w:rFonts w:ascii="Times New Roman" w:hAnsi="Times New Roman" w:cs="Times New Roman"/>
          <w:sz w:val="22"/>
          <w:szCs w:val="22"/>
        </w:rPr>
        <w:t xml:space="preserve"> Nicholas, </w:t>
      </w:r>
      <w:r w:rsidRPr="002D6C6F">
        <w:rPr>
          <w:rFonts w:ascii="Times New Roman" w:hAnsi="Times New Roman" w:cs="Times New Roman"/>
          <w:i/>
          <w:iCs/>
          <w:sz w:val="22"/>
          <w:szCs w:val="22"/>
        </w:rPr>
        <w:t>Astrology and Cosmology in the World’s Religions</w:t>
      </w:r>
      <w:r w:rsidRPr="002D6C6F">
        <w:rPr>
          <w:rFonts w:ascii="Times New Roman" w:hAnsi="Times New Roman" w:cs="Times New Roman"/>
          <w:sz w:val="22"/>
          <w:szCs w:val="22"/>
        </w:rPr>
        <w:t>, (New York: New York University Press, 2012)</w:t>
      </w:r>
      <w:r>
        <w:rPr>
          <w:rFonts w:ascii="Times New Roman" w:hAnsi="Times New Roman" w:cs="Times New Roman"/>
          <w:sz w:val="22"/>
          <w:szCs w:val="22"/>
        </w:rPr>
        <w:t>.</w:t>
      </w:r>
    </w:p>
    <w:p w14:paraId="3130F3D8" w14:textId="77777777" w:rsidR="004258A4" w:rsidRDefault="004258A4" w:rsidP="004258A4">
      <w:pPr>
        <w:pStyle w:val="ListParagraph"/>
        <w:rPr>
          <w:sz w:val="22"/>
          <w:szCs w:val="22"/>
        </w:rPr>
      </w:pPr>
    </w:p>
    <w:p w14:paraId="3E0782C1" w14:textId="77777777" w:rsidR="004258A4" w:rsidRDefault="004258A4" w:rsidP="004258A4">
      <w:pPr>
        <w:pStyle w:val="FootnoteText"/>
        <w:numPr>
          <w:ilvl w:val="0"/>
          <w:numId w:val="1"/>
        </w:numPr>
        <w:jc w:val="both"/>
        <w:rPr>
          <w:rFonts w:ascii="Times New Roman" w:hAnsi="Times New Roman" w:cs="Times New Roman"/>
          <w:sz w:val="22"/>
          <w:szCs w:val="22"/>
        </w:rPr>
      </w:pPr>
      <w:r w:rsidRPr="00756418">
        <w:rPr>
          <w:rFonts w:ascii="Times New Roman" w:hAnsi="Times New Roman" w:cs="Times New Roman"/>
          <w:sz w:val="22"/>
          <w:szCs w:val="22"/>
        </w:rPr>
        <w:t>Campion</w:t>
      </w:r>
      <w:r>
        <w:rPr>
          <w:rFonts w:ascii="Times New Roman" w:hAnsi="Times New Roman" w:cs="Times New Roman"/>
          <w:sz w:val="22"/>
          <w:szCs w:val="22"/>
        </w:rPr>
        <w:t>,</w:t>
      </w:r>
      <w:r w:rsidRPr="00756418">
        <w:rPr>
          <w:rFonts w:ascii="Times New Roman" w:hAnsi="Times New Roman" w:cs="Times New Roman"/>
          <w:sz w:val="22"/>
          <w:szCs w:val="22"/>
        </w:rPr>
        <w:t xml:space="preserve"> Nick, ‘The Importance of Cosmology in Culture: Contexts and Consequences’, in </w:t>
      </w:r>
      <w:r w:rsidRPr="00756418">
        <w:rPr>
          <w:rFonts w:ascii="Times New Roman" w:hAnsi="Times New Roman" w:cs="Times New Roman"/>
          <w:i/>
          <w:iCs/>
          <w:sz w:val="22"/>
          <w:szCs w:val="22"/>
        </w:rPr>
        <w:t>Trends in Modern Cosmology</w:t>
      </w:r>
      <w:r w:rsidRPr="00756418">
        <w:rPr>
          <w:rFonts w:ascii="Times New Roman" w:hAnsi="Times New Roman" w:cs="Times New Roman"/>
          <w:sz w:val="22"/>
          <w:szCs w:val="22"/>
        </w:rPr>
        <w:t>. (Intech, 2017). P.3-17.</w:t>
      </w:r>
    </w:p>
    <w:p w14:paraId="4130056C" w14:textId="77777777" w:rsidR="004258A4" w:rsidRDefault="004258A4" w:rsidP="004258A4">
      <w:pPr>
        <w:pStyle w:val="FootnoteText"/>
        <w:jc w:val="both"/>
        <w:rPr>
          <w:rFonts w:ascii="Times New Roman" w:hAnsi="Times New Roman" w:cs="Times New Roman"/>
          <w:sz w:val="22"/>
          <w:szCs w:val="22"/>
        </w:rPr>
      </w:pPr>
    </w:p>
    <w:p w14:paraId="6A4CDBDF" w14:textId="77777777" w:rsidR="004258A4" w:rsidRDefault="004258A4" w:rsidP="004258A4">
      <w:pPr>
        <w:pStyle w:val="FootnoteText"/>
        <w:numPr>
          <w:ilvl w:val="0"/>
          <w:numId w:val="1"/>
        </w:numPr>
        <w:jc w:val="both"/>
        <w:rPr>
          <w:rFonts w:ascii="Times New Roman" w:hAnsi="Times New Roman" w:cs="Times New Roman"/>
          <w:sz w:val="22"/>
          <w:szCs w:val="22"/>
        </w:rPr>
      </w:pPr>
      <w:r w:rsidRPr="0057560A">
        <w:rPr>
          <w:rFonts w:ascii="Times New Roman" w:hAnsi="Times New Roman" w:cs="Times New Roman"/>
          <w:sz w:val="22"/>
          <w:szCs w:val="22"/>
        </w:rPr>
        <w:t>Campion</w:t>
      </w:r>
      <w:r>
        <w:rPr>
          <w:rFonts w:ascii="Times New Roman" w:hAnsi="Times New Roman" w:cs="Times New Roman"/>
          <w:sz w:val="22"/>
          <w:szCs w:val="22"/>
        </w:rPr>
        <w:t>,</w:t>
      </w:r>
      <w:r w:rsidRPr="0057560A">
        <w:rPr>
          <w:rFonts w:ascii="Times New Roman" w:hAnsi="Times New Roman" w:cs="Times New Roman"/>
          <w:sz w:val="22"/>
          <w:szCs w:val="22"/>
        </w:rPr>
        <w:t xml:space="preserve"> Nicholas, ‘Cosmos and Cosmology’, in </w:t>
      </w:r>
      <w:r w:rsidRPr="0057560A">
        <w:rPr>
          <w:rFonts w:ascii="Times New Roman" w:hAnsi="Times New Roman" w:cs="Times New Roman"/>
          <w:i/>
          <w:iCs/>
          <w:sz w:val="22"/>
          <w:szCs w:val="22"/>
        </w:rPr>
        <w:t>Vocabulary for the Study of Religion</w:t>
      </w:r>
      <w:r w:rsidRPr="0057560A">
        <w:rPr>
          <w:rFonts w:ascii="Times New Roman" w:hAnsi="Times New Roman" w:cs="Times New Roman"/>
          <w:sz w:val="22"/>
          <w:szCs w:val="22"/>
        </w:rPr>
        <w:t xml:space="preserve"> (Leiden: Brill, 2015), pp. 359-64.</w:t>
      </w:r>
    </w:p>
    <w:p w14:paraId="219BD979" w14:textId="77777777" w:rsidR="004258A4" w:rsidRDefault="004258A4" w:rsidP="004258A4">
      <w:pPr>
        <w:pStyle w:val="FootnoteText"/>
        <w:jc w:val="both"/>
        <w:rPr>
          <w:rFonts w:ascii="Times New Roman" w:hAnsi="Times New Roman" w:cs="Times New Roman"/>
          <w:sz w:val="22"/>
          <w:szCs w:val="22"/>
        </w:rPr>
      </w:pPr>
    </w:p>
    <w:p w14:paraId="72F2BA2A" w14:textId="77777777" w:rsidR="004258A4" w:rsidRDefault="004258A4" w:rsidP="004258A4">
      <w:pPr>
        <w:pStyle w:val="FootnoteText"/>
        <w:numPr>
          <w:ilvl w:val="0"/>
          <w:numId w:val="1"/>
        </w:numPr>
        <w:jc w:val="both"/>
        <w:rPr>
          <w:rFonts w:ascii="Times New Roman" w:hAnsi="Times New Roman" w:cs="Times New Roman"/>
          <w:sz w:val="22"/>
          <w:szCs w:val="22"/>
        </w:rPr>
      </w:pPr>
      <w:r w:rsidRPr="00167FB9">
        <w:rPr>
          <w:rFonts w:ascii="Times New Roman" w:hAnsi="Times New Roman" w:cs="Times New Roman"/>
          <w:sz w:val="22"/>
          <w:szCs w:val="22"/>
        </w:rPr>
        <w:t>Cartledge</w:t>
      </w:r>
      <w:r>
        <w:rPr>
          <w:rFonts w:ascii="Times New Roman" w:hAnsi="Times New Roman" w:cs="Times New Roman"/>
          <w:sz w:val="22"/>
          <w:szCs w:val="22"/>
        </w:rPr>
        <w:t>,</w:t>
      </w:r>
      <w:r w:rsidRPr="00167FB9">
        <w:rPr>
          <w:rFonts w:ascii="Times New Roman" w:hAnsi="Times New Roman" w:cs="Times New Roman"/>
          <w:sz w:val="22"/>
          <w:szCs w:val="22"/>
        </w:rPr>
        <w:t xml:space="preserve"> Paul, ‘The Greek religious festivals’, in P.E. Easterling &amp; J. V. Muir (ed.), </w:t>
      </w:r>
      <w:r w:rsidRPr="00167FB9">
        <w:rPr>
          <w:rFonts w:ascii="Times New Roman" w:hAnsi="Times New Roman" w:cs="Times New Roman"/>
          <w:i/>
          <w:iCs/>
          <w:sz w:val="22"/>
          <w:szCs w:val="22"/>
        </w:rPr>
        <w:t>Greek Religion and Society</w:t>
      </w:r>
      <w:r w:rsidRPr="00167FB9">
        <w:rPr>
          <w:rFonts w:ascii="Times New Roman" w:hAnsi="Times New Roman" w:cs="Times New Roman"/>
          <w:sz w:val="22"/>
          <w:szCs w:val="22"/>
        </w:rPr>
        <w:t xml:space="preserve"> (Cambridge: Cambridge University Press, 1985), p.98.</w:t>
      </w:r>
    </w:p>
    <w:p w14:paraId="64DCDAD6" w14:textId="77777777" w:rsidR="004258A4" w:rsidRDefault="004258A4" w:rsidP="004258A4">
      <w:pPr>
        <w:pStyle w:val="FootnoteText"/>
        <w:jc w:val="both"/>
        <w:rPr>
          <w:rFonts w:ascii="Times New Roman" w:hAnsi="Times New Roman" w:cs="Times New Roman"/>
          <w:sz w:val="22"/>
          <w:szCs w:val="22"/>
        </w:rPr>
      </w:pPr>
    </w:p>
    <w:p w14:paraId="07C42E12" w14:textId="77777777" w:rsidR="004258A4" w:rsidRDefault="004258A4" w:rsidP="004258A4">
      <w:pPr>
        <w:pStyle w:val="FootnoteText"/>
        <w:numPr>
          <w:ilvl w:val="0"/>
          <w:numId w:val="1"/>
        </w:numPr>
        <w:jc w:val="both"/>
        <w:rPr>
          <w:rFonts w:ascii="Times New Roman" w:hAnsi="Times New Roman" w:cs="Times New Roman"/>
          <w:sz w:val="22"/>
          <w:szCs w:val="22"/>
        </w:rPr>
      </w:pPr>
      <w:r w:rsidRPr="005453F9">
        <w:rPr>
          <w:rFonts w:ascii="Times New Roman" w:hAnsi="Times New Roman" w:cs="Times New Roman"/>
          <w:sz w:val="22"/>
          <w:szCs w:val="22"/>
        </w:rPr>
        <w:t>Chaves</w:t>
      </w:r>
      <w:r>
        <w:rPr>
          <w:rFonts w:ascii="Times New Roman" w:hAnsi="Times New Roman" w:cs="Times New Roman"/>
          <w:sz w:val="22"/>
          <w:szCs w:val="22"/>
        </w:rPr>
        <w:t>,</w:t>
      </w:r>
      <w:r w:rsidRPr="005453F9">
        <w:rPr>
          <w:rFonts w:ascii="Times New Roman" w:hAnsi="Times New Roman" w:cs="Times New Roman"/>
          <w:sz w:val="22"/>
          <w:szCs w:val="22"/>
        </w:rPr>
        <w:t xml:space="preserve"> Mark, </w:t>
      </w:r>
      <w:r w:rsidRPr="005453F9">
        <w:rPr>
          <w:rFonts w:ascii="Times New Roman" w:hAnsi="Times New Roman" w:cs="Times New Roman"/>
          <w:i/>
          <w:iCs/>
          <w:sz w:val="22"/>
          <w:szCs w:val="22"/>
        </w:rPr>
        <w:t>American Religion: Contemporary Trends</w:t>
      </w:r>
      <w:r w:rsidRPr="005453F9">
        <w:rPr>
          <w:rFonts w:ascii="Times New Roman" w:hAnsi="Times New Roman" w:cs="Times New Roman"/>
          <w:sz w:val="22"/>
          <w:szCs w:val="22"/>
        </w:rPr>
        <w:t>, (Princeton: Princeton University Press, 2011).</w:t>
      </w:r>
    </w:p>
    <w:p w14:paraId="0C28125A" w14:textId="77777777" w:rsidR="004258A4" w:rsidRDefault="004258A4" w:rsidP="004258A4">
      <w:pPr>
        <w:pStyle w:val="FootnoteText"/>
        <w:jc w:val="both"/>
        <w:rPr>
          <w:rFonts w:ascii="Times New Roman" w:hAnsi="Times New Roman" w:cs="Times New Roman"/>
          <w:sz w:val="22"/>
          <w:szCs w:val="22"/>
        </w:rPr>
      </w:pPr>
    </w:p>
    <w:p w14:paraId="7854C7CE" w14:textId="77777777" w:rsidR="004258A4" w:rsidRDefault="004258A4" w:rsidP="004258A4">
      <w:pPr>
        <w:pStyle w:val="FootnoteText"/>
        <w:numPr>
          <w:ilvl w:val="0"/>
          <w:numId w:val="1"/>
        </w:numPr>
        <w:jc w:val="both"/>
        <w:rPr>
          <w:rFonts w:ascii="Times New Roman" w:hAnsi="Times New Roman" w:cs="Times New Roman"/>
          <w:sz w:val="22"/>
          <w:szCs w:val="22"/>
        </w:rPr>
      </w:pPr>
      <w:r w:rsidRPr="008F78DE">
        <w:rPr>
          <w:rFonts w:ascii="Times New Roman" w:hAnsi="Times New Roman" w:cs="Times New Roman"/>
          <w:sz w:val="22"/>
          <w:szCs w:val="22"/>
        </w:rPr>
        <w:t>Dundes</w:t>
      </w:r>
      <w:r>
        <w:rPr>
          <w:rFonts w:ascii="Times New Roman" w:hAnsi="Times New Roman" w:cs="Times New Roman"/>
          <w:sz w:val="22"/>
          <w:szCs w:val="22"/>
        </w:rPr>
        <w:t>,</w:t>
      </w:r>
      <w:r w:rsidRPr="008F78DE">
        <w:rPr>
          <w:rFonts w:ascii="Times New Roman" w:hAnsi="Times New Roman" w:cs="Times New Roman"/>
          <w:sz w:val="22"/>
          <w:szCs w:val="22"/>
        </w:rPr>
        <w:t xml:space="preserve"> A., ‘Folk Ideas as Units of Worldview’, </w:t>
      </w:r>
      <w:r w:rsidRPr="008F78DE">
        <w:rPr>
          <w:rFonts w:ascii="Times New Roman" w:hAnsi="Times New Roman" w:cs="Times New Roman"/>
          <w:i/>
          <w:iCs/>
          <w:sz w:val="22"/>
          <w:szCs w:val="22"/>
        </w:rPr>
        <w:t>Journal of American Folklore</w:t>
      </w:r>
      <w:r w:rsidRPr="008F78DE">
        <w:rPr>
          <w:rFonts w:ascii="Times New Roman" w:hAnsi="Times New Roman" w:cs="Times New Roman"/>
          <w:sz w:val="22"/>
          <w:szCs w:val="22"/>
        </w:rPr>
        <w:t>, Vol. 84, No. 331, (1971), pp. 93-103</w:t>
      </w:r>
      <w:r>
        <w:rPr>
          <w:rFonts w:ascii="Times New Roman" w:hAnsi="Times New Roman" w:cs="Times New Roman"/>
          <w:sz w:val="22"/>
          <w:szCs w:val="22"/>
        </w:rPr>
        <w:t xml:space="preserve">. </w:t>
      </w:r>
    </w:p>
    <w:p w14:paraId="6782241E" w14:textId="77777777" w:rsidR="004258A4" w:rsidRDefault="004258A4" w:rsidP="004258A4">
      <w:pPr>
        <w:pStyle w:val="ListParagraph"/>
        <w:rPr>
          <w:sz w:val="22"/>
          <w:szCs w:val="22"/>
        </w:rPr>
      </w:pPr>
    </w:p>
    <w:p w14:paraId="06B07D86" w14:textId="77777777" w:rsidR="004258A4" w:rsidRDefault="004258A4" w:rsidP="004258A4">
      <w:pPr>
        <w:pStyle w:val="FootnoteText"/>
        <w:numPr>
          <w:ilvl w:val="0"/>
          <w:numId w:val="1"/>
        </w:numPr>
        <w:jc w:val="both"/>
        <w:rPr>
          <w:rFonts w:ascii="Times New Roman" w:hAnsi="Times New Roman" w:cs="Times New Roman"/>
          <w:sz w:val="22"/>
          <w:szCs w:val="22"/>
        </w:rPr>
      </w:pPr>
      <w:r w:rsidRPr="00F549C5">
        <w:rPr>
          <w:rFonts w:ascii="Times New Roman" w:hAnsi="Times New Roman" w:cs="Times New Roman"/>
          <w:sz w:val="22"/>
          <w:szCs w:val="22"/>
        </w:rPr>
        <w:t>Emoto, Masaru</w:t>
      </w:r>
      <w:r>
        <w:rPr>
          <w:rFonts w:ascii="Times New Roman" w:hAnsi="Times New Roman" w:cs="Times New Roman"/>
          <w:sz w:val="22"/>
          <w:szCs w:val="22"/>
        </w:rPr>
        <w:t>,</w:t>
      </w:r>
      <w:r w:rsidRPr="00F549C5">
        <w:rPr>
          <w:rFonts w:ascii="Times New Roman" w:hAnsi="Times New Roman" w:cs="Times New Roman"/>
          <w:sz w:val="22"/>
          <w:szCs w:val="22"/>
        </w:rPr>
        <w:t xml:space="preserve"> ‘Healing with Water’, </w:t>
      </w:r>
      <w:r w:rsidRPr="00F549C5">
        <w:rPr>
          <w:rFonts w:ascii="Times New Roman" w:hAnsi="Times New Roman" w:cs="Times New Roman"/>
          <w:i/>
          <w:iCs/>
          <w:sz w:val="22"/>
          <w:szCs w:val="22"/>
        </w:rPr>
        <w:t>The Journal of Alternative and Complementary Medicine</w:t>
      </w:r>
      <w:r w:rsidRPr="00F549C5">
        <w:rPr>
          <w:rFonts w:ascii="Times New Roman" w:hAnsi="Times New Roman" w:cs="Times New Roman"/>
          <w:sz w:val="22"/>
          <w:szCs w:val="22"/>
        </w:rPr>
        <w:t>, Volume 10, (2004), pp. 19-21.</w:t>
      </w:r>
    </w:p>
    <w:p w14:paraId="3BCC435D" w14:textId="77777777" w:rsidR="004258A4" w:rsidRDefault="004258A4" w:rsidP="004258A4">
      <w:pPr>
        <w:pStyle w:val="FootnoteText"/>
        <w:jc w:val="both"/>
        <w:rPr>
          <w:rFonts w:ascii="Times New Roman" w:hAnsi="Times New Roman" w:cs="Times New Roman"/>
          <w:sz w:val="22"/>
          <w:szCs w:val="22"/>
        </w:rPr>
      </w:pPr>
    </w:p>
    <w:p w14:paraId="26411DC7" w14:textId="77777777" w:rsidR="004258A4" w:rsidRDefault="004258A4" w:rsidP="004258A4">
      <w:pPr>
        <w:pStyle w:val="FootnoteText"/>
        <w:numPr>
          <w:ilvl w:val="0"/>
          <w:numId w:val="1"/>
        </w:numPr>
        <w:jc w:val="both"/>
        <w:rPr>
          <w:rFonts w:ascii="Times New Roman" w:hAnsi="Times New Roman" w:cs="Times New Roman"/>
          <w:sz w:val="22"/>
          <w:szCs w:val="22"/>
        </w:rPr>
      </w:pPr>
      <w:r w:rsidRPr="003D2969">
        <w:rPr>
          <w:rFonts w:ascii="Times New Roman" w:hAnsi="Times New Roman" w:cs="Times New Roman"/>
          <w:sz w:val="22"/>
          <w:szCs w:val="22"/>
        </w:rPr>
        <w:t>Feinstein</w:t>
      </w:r>
      <w:r>
        <w:rPr>
          <w:rFonts w:ascii="Times New Roman" w:hAnsi="Times New Roman" w:cs="Times New Roman"/>
          <w:sz w:val="22"/>
          <w:szCs w:val="22"/>
        </w:rPr>
        <w:t>,</w:t>
      </w:r>
      <w:r w:rsidRPr="003D2969">
        <w:rPr>
          <w:rFonts w:ascii="Times New Roman" w:hAnsi="Times New Roman" w:cs="Times New Roman"/>
          <w:sz w:val="22"/>
          <w:szCs w:val="22"/>
        </w:rPr>
        <w:t xml:space="preserve"> Joseph, </w:t>
      </w:r>
      <w:r w:rsidRPr="003D2969">
        <w:rPr>
          <w:rFonts w:ascii="Times New Roman" w:hAnsi="Times New Roman" w:cs="Times New Roman"/>
          <w:i/>
          <w:iCs/>
          <w:sz w:val="22"/>
          <w:szCs w:val="22"/>
        </w:rPr>
        <w:t>The Singing Bowl Book: The Authoritative Guide to the Asian Instruments</w:t>
      </w:r>
      <w:r w:rsidRPr="003D2969">
        <w:rPr>
          <w:rFonts w:ascii="Times New Roman" w:hAnsi="Times New Roman" w:cs="Times New Roman"/>
          <w:sz w:val="22"/>
          <w:szCs w:val="22"/>
        </w:rPr>
        <w:t>, (Wellesley: Singing Bowl Museum, 2022).</w:t>
      </w:r>
    </w:p>
    <w:p w14:paraId="2B2030B6" w14:textId="77777777" w:rsidR="004258A4" w:rsidRDefault="004258A4" w:rsidP="004258A4">
      <w:pPr>
        <w:pStyle w:val="FootnoteText"/>
        <w:jc w:val="both"/>
        <w:rPr>
          <w:rFonts w:ascii="Times New Roman" w:hAnsi="Times New Roman" w:cs="Times New Roman"/>
          <w:sz w:val="22"/>
          <w:szCs w:val="22"/>
        </w:rPr>
      </w:pPr>
    </w:p>
    <w:p w14:paraId="0CF992A8" w14:textId="77777777" w:rsidR="004258A4" w:rsidRDefault="004258A4" w:rsidP="004258A4">
      <w:pPr>
        <w:pStyle w:val="FootnoteText"/>
        <w:numPr>
          <w:ilvl w:val="0"/>
          <w:numId w:val="1"/>
        </w:numPr>
        <w:jc w:val="both"/>
        <w:rPr>
          <w:rFonts w:ascii="Times New Roman" w:hAnsi="Times New Roman" w:cs="Times New Roman"/>
          <w:sz w:val="22"/>
          <w:szCs w:val="22"/>
        </w:rPr>
      </w:pPr>
      <w:r w:rsidRPr="00120433">
        <w:rPr>
          <w:rFonts w:ascii="Times New Roman" w:hAnsi="Times New Roman" w:cs="Times New Roman"/>
          <w:sz w:val="22"/>
          <w:szCs w:val="22"/>
        </w:rPr>
        <w:t>Fernandes, L.</w:t>
      </w:r>
      <w:r>
        <w:rPr>
          <w:rFonts w:ascii="Times New Roman" w:hAnsi="Times New Roman" w:cs="Times New Roman"/>
          <w:sz w:val="22"/>
          <w:szCs w:val="22"/>
        </w:rPr>
        <w:t>,</w:t>
      </w:r>
      <w:r w:rsidRPr="00120433">
        <w:rPr>
          <w:rFonts w:ascii="Times New Roman" w:hAnsi="Times New Roman" w:cs="Times New Roman"/>
          <w:sz w:val="22"/>
          <w:szCs w:val="22"/>
        </w:rPr>
        <w:t xml:space="preserve"> </w:t>
      </w:r>
      <w:r w:rsidRPr="00120433">
        <w:rPr>
          <w:rFonts w:ascii="Times New Roman" w:hAnsi="Times New Roman" w:cs="Times New Roman"/>
          <w:i/>
          <w:iCs/>
          <w:sz w:val="22"/>
          <w:szCs w:val="22"/>
        </w:rPr>
        <w:t>Transforming Feminist Practice: Non-violence, Social Justice and the Possibilities of a Spiritualized Feminism</w:t>
      </w:r>
      <w:r w:rsidRPr="00120433">
        <w:rPr>
          <w:rFonts w:ascii="Times New Roman" w:hAnsi="Times New Roman" w:cs="Times New Roman"/>
          <w:sz w:val="22"/>
          <w:szCs w:val="22"/>
        </w:rPr>
        <w:t>, (San Francisco: Aunt Lute Books, 2003).</w:t>
      </w:r>
    </w:p>
    <w:p w14:paraId="5D7BF705" w14:textId="77777777" w:rsidR="004258A4" w:rsidRDefault="004258A4" w:rsidP="004258A4">
      <w:pPr>
        <w:pStyle w:val="FootnoteText"/>
        <w:jc w:val="both"/>
        <w:rPr>
          <w:rFonts w:ascii="Times New Roman" w:hAnsi="Times New Roman" w:cs="Times New Roman"/>
          <w:sz w:val="22"/>
          <w:szCs w:val="22"/>
        </w:rPr>
      </w:pPr>
    </w:p>
    <w:p w14:paraId="77C0594C" w14:textId="77777777" w:rsidR="004258A4" w:rsidRPr="00CC64E4" w:rsidRDefault="004258A4" w:rsidP="004258A4">
      <w:pPr>
        <w:pStyle w:val="FootnoteText"/>
        <w:numPr>
          <w:ilvl w:val="0"/>
          <w:numId w:val="1"/>
        </w:numPr>
        <w:jc w:val="both"/>
        <w:rPr>
          <w:rFonts w:ascii="Times New Roman" w:hAnsi="Times New Roman" w:cs="Times New Roman"/>
          <w:sz w:val="22"/>
          <w:szCs w:val="22"/>
        </w:rPr>
      </w:pPr>
      <w:r w:rsidRPr="00CC64E4">
        <w:rPr>
          <w:rFonts w:ascii="Times New Roman" w:hAnsi="Times New Roman" w:cs="Times New Roman"/>
          <w:sz w:val="22"/>
          <w:szCs w:val="22"/>
        </w:rPr>
        <w:t xml:space="preserve">Fernando Pietro Peres, Mario, Helder H. Kamei, Patricia R. Tobo, and Giancarlo Lucchetti, ‘Mechanisms Behind Religiosity and Spirituality’s Effect on Mental Health, Quality of Life and Well-Being’, </w:t>
      </w:r>
      <w:r w:rsidRPr="00CC64E4">
        <w:rPr>
          <w:rFonts w:ascii="Times New Roman" w:hAnsi="Times New Roman" w:cs="Times New Roman"/>
          <w:i/>
          <w:iCs/>
          <w:sz w:val="22"/>
          <w:szCs w:val="22"/>
        </w:rPr>
        <w:t>Journal of Religion and Health</w:t>
      </w:r>
      <w:r w:rsidRPr="00CC64E4">
        <w:rPr>
          <w:rFonts w:ascii="Times New Roman" w:hAnsi="Times New Roman" w:cs="Times New Roman"/>
          <w:sz w:val="22"/>
          <w:szCs w:val="22"/>
        </w:rPr>
        <w:t>, 57, (2018), pp. 1842–55.</w:t>
      </w:r>
    </w:p>
    <w:p w14:paraId="292EBAB0" w14:textId="77777777" w:rsidR="004258A4" w:rsidRDefault="004258A4" w:rsidP="004258A4">
      <w:pPr>
        <w:pStyle w:val="FootnoteText"/>
        <w:jc w:val="both"/>
        <w:rPr>
          <w:rFonts w:ascii="Times New Roman" w:hAnsi="Times New Roman" w:cs="Times New Roman"/>
          <w:sz w:val="22"/>
          <w:szCs w:val="22"/>
        </w:rPr>
      </w:pPr>
    </w:p>
    <w:p w14:paraId="00BCB201" w14:textId="77777777" w:rsidR="004258A4" w:rsidRDefault="004258A4" w:rsidP="004258A4">
      <w:pPr>
        <w:pStyle w:val="FootnoteText"/>
        <w:numPr>
          <w:ilvl w:val="0"/>
          <w:numId w:val="1"/>
        </w:numPr>
        <w:jc w:val="both"/>
        <w:rPr>
          <w:rFonts w:ascii="Times New Roman" w:hAnsi="Times New Roman" w:cs="Times New Roman"/>
          <w:sz w:val="22"/>
          <w:szCs w:val="22"/>
        </w:rPr>
      </w:pPr>
      <w:r w:rsidRPr="00ED0C92">
        <w:rPr>
          <w:rFonts w:ascii="Times New Roman" w:hAnsi="Times New Roman" w:cs="Times New Roman"/>
          <w:sz w:val="22"/>
          <w:szCs w:val="22"/>
        </w:rPr>
        <w:t>Geertz</w:t>
      </w:r>
      <w:r>
        <w:rPr>
          <w:rFonts w:ascii="Times New Roman" w:hAnsi="Times New Roman" w:cs="Times New Roman"/>
          <w:sz w:val="22"/>
          <w:szCs w:val="22"/>
        </w:rPr>
        <w:t>,</w:t>
      </w:r>
      <w:r w:rsidRPr="00ED0C92">
        <w:rPr>
          <w:rFonts w:ascii="Times New Roman" w:hAnsi="Times New Roman" w:cs="Times New Roman"/>
          <w:sz w:val="22"/>
          <w:szCs w:val="22"/>
        </w:rPr>
        <w:t xml:space="preserve"> Clifford, </w:t>
      </w:r>
      <w:r w:rsidRPr="00ED0C92">
        <w:rPr>
          <w:rFonts w:ascii="Times New Roman" w:hAnsi="Times New Roman" w:cs="Times New Roman"/>
          <w:i/>
          <w:iCs/>
          <w:sz w:val="22"/>
          <w:szCs w:val="22"/>
        </w:rPr>
        <w:t>The Interpretation of Cultures: Selected Essays by Clifford Geertz</w:t>
      </w:r>
      <w:r w:rsidRPr="00ED0C92">
        <w:rPr>
          <w:rFonts w:ascii="Times New Roman" w:hAnsi="Times New Roman" w:cs="Times New Roman"/>
          <w:sz w:val="22"/>
          <w:szCs w:val="22"/>
        </w:rPr>
        <w:t xml:space="preserve">, (New York: Basic Books, 1973). </w:t>
      </w:r>
    </w:p>
    <w:p w14:paraId="3389F433" w14:textId="77777777" w:rsidR="004258A4" w:rsidRDefault="004258A4" w:rsidP="004258A4">
      <w:pPr>
        <w:pStyle w:val="FootnoteText"/>
        <w:jc w:val="both"/>
        <w:rPr>
          <w:rFonts w:ascii="Times New Roman" w:hAnsi="Times New Roman" w:cs="Times New Roman"/>
          <w:sz w:val="22"/>
          <w:szCs w:val="22"/>
        </w:rPr>
      </w:pPr>
    </w:p>
    <w:p w14:paraId="4E6A2271" w14:textId="77777777" w:rsidR="004258A4" w:rsidRPr="00476FD1" w:rsidRDefault="004258A4" w:rsidP="004258A4">
      <w:pPr>
        <w:pStyle w:val="FootnoteText"/>
        <w:numPr>
          <w:ilvl w:val="0"/>
          <w:numId w:val="1"/>
        </w:numPr>
        <w:jc w:val="both"/>
        <w:rPr>
          <w:rFonts w:ascii="Times New Roman" w:hAnsi="Times New Roman" w:cs="Times New Roman"/>
          <w:sz w:val="22"/>
          <w:szCs w:val="22"/>
        </w:rPr>
      </w:pPr>
      <w:r w:rsidRPr="00476FD1">
        <w:rPr>
          <w:rFonts w:ascii="Times New Roman" w:hAnsi="Times New Roman" w:cs="Times New Roman"/>
          <w:sz w:val="22"/>
          <w:szCs w:val="22"/>
        </w:rPr>
        <w:t xml:space="preserve">Gray, Rain, Tibetan Singing Bowl History: An Interview with Lama Lobsang Leshe (1989): </w:t>
      </w:r>
      <w:hyperlink r:id="rId17" w:history="1">
        <w:r w:rsidRPr="00476FD1">
          <w:rPr>
            <w:rStyle w:val="Hyperlink"/>
            <w:rFonts w:ascii="Times New Roman" w:hAnsi="Times New Roman" w:cs="Times New Roman"/>
            <w:sz w:val="22"/>
            <w:szCs w:val="22"/>
          </w:rPr>
          <w:t>https://www.isingingbowls.com/tibetan-singing-bowl-history/</w:t>
        </w:r>
      </w:hyperlink>
      <w:r w:rsidRPr="00476FD1">
        <w:rPr>
          <w:rFonts w:ascii="Times New Roman" w:hAnsi="Times New Roman" w:cs="Times New Roman"/>
          <w:sz w:val="22"/>
          <w:szCs w:val="22"/>
        </w:rPr>
        <w:t xml:space="preserve"> [accessed 23 April 2026]  </w:t>
      </w:r>
    </w:p>
    <w:p w14:paraId="58B821B1" w14:textId="77777777" w:rsidR="004258A4" w:rsidRDefault="004258A4" w:rsidP="004258A4">
      <w:pPr>
        <w:pStyle w:val="FootnoteText"/>
        <w:jc w:val="both"/>
        <w:rPr>
          <w:rFonts w:ascii="Times New Roman" w:hAnsi="Times New Roman" w:cs="Times New Roman"/>
          <w:sz w:val="22"/>
          <w:szCs w:val="22"/>
        </w:rPr>
      </w:pPr>
    </w:p>
    <w:p w14:paraId="2AF15892" w14:textId="77777777" w:rsidR="004258A4" w:rsidRDefault="004258A4" w:rsidP="004258A4">
      <w:pPr>
        <w:pStyle w:val="FootnoteText"/>
        <w:numPr>
          <w:ilvl w:val="0"/>
          <w:numId w:val="1"/>
        </w:numPr>
        <w:jc w:val="both"/>
        <w:rPr>
          <w:rFonts w:ascii="Times New Roman" w:hAnsi="Times New Roman" w:cs="Times New Roman"/>
          <w:sz w:val="22"/>
          <w:szCs w:val="22"/>
        </w:rPr>
      </w:pPr>
      <w:r w:rsidRPr="00E04DCE">
        <w:rPr>
          <w:rFonts w:ascii="Times New Roman" w:hAnsi="Times New Roman" w:cs="Times New Roman"/>
          <w:sz w:val="22"/>
          <w:szCs w:val="22"/>
        </w:rPr>
        <w:t xml:space="preserve">Jonathan Goldman, </w:t>
      </w:r>
      <w:r w:rsidRPr="00E04DCE">
        <w:rPr>
          <w:rFonts w:ascii="Times New Roman" w:hAnsi="Times New Roman" w:cs="Times New Roman"/>
          <w:i/>
          <w:iCs/>
          <w:sz w:val="22"/>
          <w:szCs w:val="22"/>
        </w:rPr>
        <w:t>Healing Sounds: The Power of Harmonics</w:t>
      </w:r>
      <w:r w:rsidRPr="00E04DCE">
        <w:rPr>
          <w:rFonts w:ascii="Times New Roman" w:hAnsi="Times New Roman" w:cs="Times New Roman"/>
          <w:sz w:val="22"/>
          <w:szCs w:val="22"/>
        </w:rPr>
        <w:t>, (Dorset: Element Books Ltd, 1992</w:t>
      </w:r>
      <w:r>
        <w:rPr>
          <w:rFonts w:ascii="Times New Roman" w:hAnsi="Times New Roman" w:cs="Times New Roman"/>
          <w:sz w:val="22"/>
          <w:szCs w:val="22"/>
        </w:rPr>
        <w:t xml:space="preserve">). </w:t>
      </w:r>
    </w:p>
    <w:p w14:paraId="07DFA7A5" w14:textId="77777777" w:rsidR="004258A4" w:rsidRDefault="004258A4" w:rsidP="004258A4">
      <w:pPr>
        <w:pStyle w:val="FootnoteText"/>
        <w:jc w:val="both"/>
        <w:rPr>
          <w:rFonts w:ascii="Times New Roman" w:hAnsi="Times New Roman" w:cs="Times New Roman"/>
          <w:sz w:val="22"/>
          <w:szCs w:val="22"/>
        </w:rPr>
      </w:pPr>
    </w:p>
    <w:p w14:paraId="2A2F06D0" w14:textId="77777777" w:rsidR="004258A4" w:rsidRDefault="004258A4" w:rsidP="004258A4">
      <w:pPr>
        <w:pStyle w:val="FootnoteText"/>
        <w:numPr>
          <w:ilvl w:val="0"/>
          <w:numId w:val="1"/>
        </w:numPr>
        <w:jc w:val="both"/>
        <w:rPr>
          <w:rFonts w:ascii="Times New Roman" w:hAnsi="Times New Roman" w:cs="Times New Roman"/>
          <w:sz w:val="22"/>
          <w:szCs w:val="22"/>
        </w:rPr>
      </w:pPr>
      <w:r w:rsidRPr="00A46ADF">
        <w:rPr>
          <w:rFonts w:ascii="Times New Roman" w:hAnsi="Times New Roman" w:cs="Times New Roman"/>
          <w:sz w:val="22"/>
          <w:szCs w:val="22"/>
        </w:rPr>
        <w:t>Goldsby</w:t>
      </w:r>
      <w:r>
        <w:rPr>
          <w:rFonts w:ascii="Times New Roman" w:hAnsi="Times New Roman" w:cs="Times New Roman"/>
          <w:sz w:val="22"/>
          <w:szCs w:val="22"/>
        </w:rPr>
        <w:t>,</w:t>
      </w:r>
      <w:r w:rsidRPr="00A46ADF">
        <w:rPr>
          <w:rFonts w:ascii="Times New Roman" w:hAnsi="Times New Roman" w:cs="Times New Roman"/>
          <w:sz w:val="22"/>
          <w:szCs w:val="22"/>
        </w:rPr>
        <w:t xml:space="preserve"> Tamara L., Michael E. Goldsby, Mary McWalters, and Paul J. Mills, ‘Sound Healing: Mood, Emotional and Spiritual Well-Being Interrelationships, </w:t>
      </w:r>
      <w:r w:rsidRPr="00A46ADF">
        <w:rPr>
          <w:rFonts w:ascii="Times New Roman" w:hAnsi="Times New Roman" w:cs="Times New Roman"/>
          <w:i/>
          <w:iCs/>
          <w:sz w:val="22"/>
          <w:szCs w:val="22"/>
        </w:rPr>
        <w:t>Religions</w:t>
      </w:r>
      <w:r w:rsidRPr="00A46ADF">
        <w:rPr>
          <w:rFonts w:ascii="Times New Roman" w:hAnsi="Times New Roman" w:cs="Times New Roman"/>
          <w:sz w:val="22"/>
          <w:szCs w:val="22"/>
        </w:rPr>
        <w:t xml:space="preserve">, 13(2), (2022), p.123. </w:t>
      </w:r>
    </w:p>
    <w:p w14:paraId="692510EF" w14:textId="77777777" w:rsidR="004258A4" w:rsidRDefault="004258A4" w:rsidP="004258A4">
      <w:pPr>
        <w:pStyle w:val="FootnoteText"/>
        <w:jc w:val="both"/>
        <w:rPr>
          <w:rFonts w:ascii="Times New Roman" w:hAnsi="Times New Roman" w:cs="Times New Roman"/>
          <w:sz w:val="22"/>
          <w:szCs w:val="22"/>
        </w:rPr>
      </w:pPr>
    </w:p>
    <w:p w14:paraId="4E078394" w14:textId="77777777" w:rsidR="004258A4" w:rsidRPr="003D4D0F" w:rsidRDefault="004258A4" w:rsidP="004258A4">
      <w:pPr>
        <w:pStyle w:val="FootnoteText"/>
        <w:numPr>
          <w:ilvl w:val="0"/>
          <w:numId w:val="1"/>
        </w:numPr>
        <w:jc w:val="both"/>
        <w:rPr>
          <w:rFonts w:ascii="Times New Roman" w:hAnsi="Times New Roman" w:cs="Times New Roman"/>
          <w:sz w:val="22"/>
          <w:szCs w:val="22"/>
        </w:rPr>
      </w:pPr>
      <w:r w:rsidRPr="00E75E97">
        <w:rPr>
          <w:rFonts w:ascii="Times New Roman" w:hAnsi="Times New Roman" w:cs="Times New Roman"/>
          <w:sz w:val="22"/>
          <w:szCs w:val="22"/>
        </w:rPr>
        <w:t>Goodin</w:t>
      </w:r>
      <w:r>
        <w:rPr>
          <w:rFonts w:ascii="Times New Roman" w:hAnsi="Times New Roman" w:cs="Times New Roman"/>
          <w:sz w:val="22"/>
          <w:szCs w:val="22"/>
        </w:rPr>
        <w:t>,</w:t>
      </w:r>
      <w:r w:rsidRPr="00E75E97">
        <w:rPr>
          <w:rFonts w:ascii="Times New Roman" w:hAnsi="Times New Roman" w:cs="Times New Roman"/>
          <w:sz w:val="22"/>
          <w:szCs w:val="22"/>
        </w:rPr>
        <w:t xml:space="preserve"> Peter, Joseph Ciorciari, Kate Baker, Anne-Marie Carrey, Michelle Harper, and Jordy Kaufman, ‘A High-Density EEG Investigation into Steady State Binaural Beat Stimulation’, </w:t>
      </w:r>
      <w:r w:rsidRPr="003D4D0F">
        <w:rPr>
          <w:rFonts w:ascii="Times New Roman" w:hAnsi="Times New Roman" w:cs="Times New Roman"/>
          <w:i/>
          <w:iCs/>
          <w:sz w:val="22"/>
          <w:szCs w:val="22"/>
        </w:rPr>
        <w:t xml:space="preserve">PLoS ONE, </w:t>
      </w:r>
      <w:r w:rsidRPr="003D4D0F">
        <w:rPr>
          <w:rFonts w:ascii="Times New Roman" w:hAnsi="Times New Roman" w:cs="Times New Roman"/>
          <w:sz w:val="22"/>
          <w:szCs w:val="22"/>
        </w:rPr>
        <w:t>(2012), 7: e34789.</w:t>
      </w:r>
    </w:p>
    <w:p w14:paraId="114FAE0B" w14:textId="77777777" w:rsidR="004258A4" w:rsidRPr="003D4D0F" w:rsidRDefault="004258A4" w:rsidP="004258A4">
      <w:pPr>
        <w:pStyle w:val="FootnoteText"/>
        <w:jc w:val="both"/>
        <w:rPr>
          <w:rFonts w:ascii="Times New Roman" w:hAnsi="Times New Roman" w:cs="Times New Roman"/>
          <w:sz w:val="22"/>
          <w:szCs w:val="22"/>
        </w:rPr>
      </w:pPr>
    </w:p>
    <w:p w14:paraId="38D49757" w14:textId="77777777" w:rsidR="004258A4" w:rsidRPr="003D4D0F" w:rsidRDefault="004258A4" w:rsidP="004258A4">
      <w:pPr>
        <w:pStyle w:val="FootnoteText"/>
        <w:numPr>
          <w:ilvl w:val="0"/>
          <w:numId w:val="1"/>
        </w:numPr>
        <w:jc w:val="both"/>
        <w:rPr>
          <w:rFonts w:ascii="Times New Roman" w:hAnsi="Times New Roman" w:cs="Times New Roman"/>
          <w:sz w:val="22"/>
          <w:szCs w:val="22"/>
        </w:rPr>
      </w:pPr>
      <w:r w:rsidRPr="003D4D0F">
        <w:rPr>
          <w:rFonts w:ascii="Times New Roman" w:hAnsi="Times New Roman" w:cs="Times New Roman"/>
          <w:sz w:val="22"/>
          <w:szCs w:val="22"/>
        </w:rPr>
        <w:t xml:space="preserve">Gould, John, ‘On Making Sense of Greek Religion’, in </w:t>
      </w:r>
      <w:r w:rsidRPr="003D4D0F">
        <w:rPr>
          <w:rFonts w:ascii="Times New Roman" w:hAnsi="Times New Roman" w:cs="Times New Roman"/>
          <w:i/>
          <w:iCs/>
          <w:sz w:val="22"/>
          <w:szCs w:val="22"/>
        </w:rPr>
        <w:t>Greek Religion and Society</w:t>
      </w:r>
      <w:r w:rsidRPr="003D4D0F">
        <w:rPr>
          <w:rFonts w:ascii="Times New Roman" w:hAnsi="Times New Roman" w:cs="Times New Roman"/>
          <w:sz w:val="22"/>
          <w:szCs w:val="22"/>
        </w:rPr>
        <w:t>, ed. by P.E. Easterling &amp; J. V. Muir (Cambridge: Cambridge University Press, 1985), pp.7-8.</w:t>
      </w:r>
    </w:p>
    <w:p w14:paraId="4EBEB90D" w14:textId="77777777" w:rsidR="004258A4" w:rsidRDefault="004258A4" w:rsidP="004258A4">
      <w:pPr>
        <w:pStyle w:val="ListParagraph"/>
        <w:rPr>
          <w:sz w:val="22"/>
          <w:szCs w:val="22"/>
        </w:rPr>
      </w:pPr>
    </w:p>
    <w:p w14:paraId="05CDF667" w14:textId="77777777" w:rsidR="004258A4" w:rsidRDefault="004258A4" w:rsidP="004258A4">
      <w:pPr>
        <w:pStyle w:val="FootnoteText"/>
        <w:numPr>
          <w:ilvl w:val="0"/>
          <w:numId w:val="1"/>
        </w:numPr>
        <w:jc w:val="both"/>
        <w:rPr>
          <w:rFonts w:ascii="Times New Roman" w:hAnsi="Times New Roman" w:cs="Times New Roman"/>
          <w:sz w:val="22"/>
          <w:szCs w:val="22"/>
        </w:rPr>
      </w:pPr>
      <w:r w:rsidRPr="001A6EFC">
        <w:rPr>
          <w:rFonts w:ascii="Times New Roman" w:hAnsi="Times New Roman" w:cs="Times New Roman"/>
          <w:sz w:val="22"/>
          <w:szCs w:val="22"/>
        </w:rPr>
        <w:t>Harvey, Graham</w:t>
      </w:r>
      <w:r>
        <w:rPr>
          <w:rFonts w:ascii="Times New Roman" w:hAnsi="Times New Roman" w:cs="Times New Roman"/>
          <w:sz w:val="22"/>
          <w:szCs w:val="22"/>
        </w:rPr>
        <w:t>,</w:t>
      </w:r>
      <w:r w:rsidRPr="001A6EFC">
        <w:rPr>
          <w:rFonts w:ascii="Times New Roman" w:hAnsi="Times New Roman" w:cs="Times New Roman"/>
          <w:sz w:val="22"/>
          <w:szCs w:val="22"/>
        </w:rPr>
        <w:t xml:space="preserve"> ‘If Spiritual But Not Religious’ People Are Not Religious What Difference Do They Make?’, </w:t>
      </w:r>
      <w:r w:rsidRPr="001A6EFC">
        <w:rPr>
          <w:rFonts w:ascii="Times New Roman" w:hAnsi="Times New Roman" w:cs="Times New Roman"/>
          <w:i/>
          <w:iCs/>
          <w:sz w:val="22"/>
          <w:szCs w:val="22"/>
        </w:rPr>
        <w:t>Journal for the Study of Spirituality</w:t>
      </w:r>
      <w:r w:rsidRPr="001A6EFC">
        <w:rPr>
          <w:rFonts w:ascii="Times New Roman" w:hAnsi="Times New Roman" w:cs="Times New Roman"/>
          <w:sz w:val="22"/>
          <w:szCs w:val="22"/>
        </w:rPr>
        <w:t>, 6, no. 2 (2016), pp. 128-141.</w:t>
      </w:r>
    </w:p>
    <w:p w14:paraId="49727641" w14:textId="77777777" w:rsidR="004258A4" w:rsidRDefault="004258A4" w:rsidP="004258A4">
      <w:pPr>
        <w:pStyle w:val="FootnoteText"/>
        <w:jc w:val="both"/>
        <w:rPr>
          <w:rFonts w:ascii="Times New Roman" w:hAnsi="Times New Roman" w:cs="Times New Roman"/>
          <w:sz w:val="22"/>
          <w:szCs w:val="22"/>
        </w:rPr>
      </w:pPr>
    </w:p>
    <w:p w14:paraId="472F753A" w14:textId="77777777" w:rsidR="004258A4" w:rsidRDefault="004258A4" w:rsidP="004258A4">
      <w:pPr>
        <w:pStyle w:val="FootnoteText"/>
        <w:numPr>
          <w:ilvl w:val="0"/>
          <w:numId w:val="1"/>
        </w:numPr>
        <w:jc w:val="both"/>
        <w:rPr>
          <w:rFonts w:ascii="Times New Roman" w:hAnsi="Times New Roman" w:cs="Times New Roman"/>
          <w:sz w:val="22"/>
          <w:szCs w:val="22"/>
        </w:rPr>
      </w:pPr>
      <w:r w:rsidRPr="00670E60">
        <w:rPr>
          <w:rFonts w:ascii="Times New Roman" w:hAnsi="Times New Roman" w:cs="Times New Roman"/>
          <w:sz w:val="22"/>
          <w:szCs w:val="22"/>
        </w:rPr>
        <w:t>Hasani, Zahra</w:t>
      </w:r>
      <w:r>
        <w:rPr>
          <w:rFonts w:ascii="Times New Roman" w:hAnsi="Times New Roman" w:cs="Times New Roman"/>
          <w:sz w:val="22"/>
          <w:szCs w:val="22"/>
        </w:rPr>
        <w:t>,</w:t>
      </w:r>
      <w:r w:rsidRPr="00670E60">
        <w:rPr>
          <w:rFonts w:ascii="Times New Roman" w:hAnsi="Times New Roman" w:cs="Times New Roman"/>
          <w:sz w:val="22"/>
          <w:szCs w:val="22"/>
        </w:rPr>
        <w:t xml:space="preserve"> Sepideh Mohammadi, and Hengameh Karimi, ‘Investigating the Effect of Singing Bowl Sound on the Level of State-trait Anxiety and Physiological Variables of Patients Awaiting Angiography’, </w:t>
      </w:r>
      <w:r w:rsidRPr="00670E60">
        <w:rPr>
          <w:rFonts w:ascii="Times New Roman" w:hAnsi="Times New Roman" w:cs="Times New Roman"/>
          <w:i/>
          <w:iCs/>
          <w:sz w:val="22"/>
          <w:szCs w:val="22"/>
        </w:rPr>
        <w:t>Journal of Perianesthesia Nursing</w:t>
      </w:r>
      <w:r w:rsidRPr="00670E60">
        <w:rPr>
          <w:rFonts w:ascii="Times New Roman" w:hAnsi="Times New Roman" w:cs="Times New Roman"/>
          <w:sz w:val="22"/>
          <w:szCs w:val="22"/>
        </w:rPr>
        <w:t>, Vol.40 (2), (2025), p.305-309</w:t>
      </w:r>
      <w:r>
        <w:rPr>
          <w:rFonts w:ascii="Times New Roman" w:hAnsi="Times New Roman" w:cs="Times New Roman"/>
          <w:sz w:val="22"/>
          <w:szCs w:val="22"/>
        </w:rPr>
        <w:t>.</w:t>
      </w:r>
    </w:p>
    <w:p w14:paraId="02B11534" w14:textId="77777777" w:rsidR="004258A4" w:rsidRDefault="004258A4" w:rsidP="004258A4">
      <w:pPr>
        <w:pStyle w:val="ListParagraph"/>
        <w:rPr>
          <w:sz w:val="22"/>
          <w:szCs w:val="22"/>
        </w:rPr>
      </w:pPr>
    </w:p>
    <w:p w14:paraId="5E872B47" w14:textId="77777777" w:rsidR="004258A4" w:rsidRDefault="004258A4" w:rsidP="004258A4">
      <w:pPr>
        <w:pStyle w:val="FootnoteText"/>
        <w:numPr>
          <w:ilvl w:val="0"/>
          <w:numId w:val="1"/>
        </w:numPr>
        <w:jc w:val="both"/>
        <w:rPr>
          <w:rFonts w:ascii="Times New Roman" w:hAnsi="Times New Roman" w:cs="Times New Roman"/>
          <w:sz w:val="22"/>
          <w:szCs w:val="22"/>
        </w:rPr>
      </w:pPr>
      <w:r w:rsidRPr="008F78DE">
        <w:rPr>
          <w:rFonts w:ascii="Times New Roman" w:hAnsi="Times New Roman" w:cs="Times New Roman"/>
          <w:sz w:val="22"/>
          <w:szCs w:val="22"/>
        </w:rPr>
        <w:t>Hay</w:t>
      </w:r>
      <w:r>
        <w:rPr>
          <w:rFonts w:ascii="Times New Roman" w:hAnsi="Times New Roman" w:cs="Times New Roman"/>
          <w:sz w:val="22"/>
          <w:szCs w:val="22"/>
        </w:rPr>
        <w:t>,</w:t>
      </w:r>
      <w:r w:rsidRPr="008F78DE">
        <w:rPr>
          <w:rFonts w:ascii="Times New Roman" w:hAnsi="Times New Roman" w:cs="Times New Roman"/>
          <w:sz w:val="22"/>
          <w:szCs w:val="22"/>
        </w:rPr>
        <w:t xml:space="preserve"> D., &amp; R. Nye, </w:t>
      </w:r>
      <w:r w:rsidRPr="008F78DE">
        <w:rPr>
          <w:rFonts w:ascii="Times New Roman" w:hAnsi="Times New Roman" w:cs="Times New Roman"/>
          <w:i/>
          <w:iCs/>
          <w:sz w:val="22"/>
          <w:szCs w:val="22"/>
        </w:rPr>
        <w:t>The Spirit of the Child</w:t>
      </w:r>
      <w:r w:rsidRPr="008F78DE">
        <w:rPr>
          <w:rFonts w:ascii="Times New Roman" w:hAnsi="Times New Roman" w:cs="Times New Roman"/>
          <w:sz w:val="22"/>
          <w:szCs w:val="22"/>
        </w:rPr>
        <w:t xml:space="preserve">, (London: Jessica Kingsley Publishing, 2006). </w:t>
      </w:r>
    </w:p>
    <w:p w14:paraId="02943644" w14:textId="77777777" w:rsidR="004258A4" w:rsidRDefault="004258A4" w:rsidP="004258A4">
      <w:pPr>
        <w:pStyle w:val="FootnoteText"/>
        <w:jc w:val="both"/>
        <w:rPr>
          <w:rFonts w:ascii="Times New Roman" w:hAnsi="Times New Roman" w:cs="Times New Roman"/>
          <w:sz w:val="22"/>
          <w:szCs w:val="22"/>
        </w:rPr>
      </w:pPr>
    </w:p>
    <w:p w14:paraId="0AF26F4D" w14:textId="77777777" w:rsidR="004258A4" w:rsidRDefault="004258A4" w:rsidP="004258A4">
      <w:pPr>
        <w:pStyle w:val="FootnoteText"/>
        <w:numPr>
          <w:ilvl w:val="0"/>
          <w:numId w:val="1"/>
        </w:numPr>
        <w:jc w:val="both"/>
        <w:rPr>
          <w:rFonts w:ascii="Times New Roman" w:hAnsi="Times New Roman" w:cs="Times New Roman"/>
          <w:sz w:val="22"/>
          <w:szCs w:val="22"/>
        </w:rPr>
      </w:pPr>
      <w:r w:rsidRPr="00770A50">
        <w:rPr>
          <w:rFonts w:ascii="Times New Roman" w:hAnsi="Times New Roman" w:cs="Times New Roman"/>
          <w:sz w:val="22"/>
          <w:szCs w:val="22"/>
        </w:rPr>
        <w:t xml:space="preserve">Hays, Christine ‘Singing Bowls and Brainwaves’, Eastern Vibration: </w:t>
      </w:r>
      <w:hyperlink r:id="rId18" w:history="1">
        <w:r w:rsidRPr="00770A50">
          <w:rPr>
            <w:rStyle w:val="Hyperlink"/>
            <w:rFonts w:ascii="Times New Roman" w:hAnsi="Times New Roman" w:cs="Times New Roman"/>
            <w:sz w:val="22"/>
            <w:szCs w:val="22"/>
          </w:rPr>
          <w:t>https://www.easternvibration.com/blog/blog-post-brainwaves</w:t>
        </w:r>
      </w:hyperlink>
      <w:r w:rsidRPr="00770A50">
        <w:rPr>
          <w:rFonts w:ascii="Times New Roman" w:hAnsi="Times New Roman" w:cs="Times New Roman"/>
          <w:sz w:val="22"/>
          <w:szCs w:val="22"/>
        </w:rPr>
        <w:t xml:space="preserve">  [accessed on 10 April 2026]</w:t>
      </w:r>
    </w:p>
    <w:p w14:paraId="11A490FA" w14:textId="77777777" w:rsidR="004258A4" w:rsidRDefault="004258A4" w:rsidP="004258A4">
      <w:pPr>
        <w:pStyle w:val="FootnoteText"/>
        <w:jc w:val="both"/>
        <w:rPr>
          <w:rFonts w:ascii="Times New Roman" w:hAnsi="Times New Roman" w:cs="Times New Roman"/>
          <w:sz w:val="22"/>
          <w:szCs w:val="22"/>
        </w:rPr>
      </w:pPr>
    </w:p>
    <w:p w14:paraId="715A9389" w14:textId="77777777" w:rsidR="004258A4" w:rsidRDefault="004258A4" w:rsidP="004258A4">
      <w:pPr>
        <w:pStyle w:val="FootnoteText"/>
        <w:numPr>
          <w:ilvl w:val="0"/>
          <w:numId w:val="1"/>
        </w:numPr>
        <w:jc w:val="both"/>
        <w:rPr>
          <w:rFonts w:ascii="Times New Roman" w:hAnsi="Times New Roman" w:cs="Times New Roman"/>
          <w:sz w:val="22"/>
          <w:szCs w:val="22"/>
        </w:rPr>
      </w:pPr>
      <w:r w:rsidRPr="00AC5C41">
        <w:rPr>
          <w:rFonts w:ascii="Times New Roman" w:hAnsi="Times New Roman" w:cs="Times New Roman"/>
          <w:sz w:val="22"/>
          <w:szCs w:val="22"/>
        </w:rPr>
        <w:t>Heelas</w:t>
      </w:r>
      <w:r>
        <w:rPr>
          <w:rFonts w:ascii="Times New Roman" w:hAnsi="Times New Roman" w:cs="Times New Roman"/>
          <w:sz w:val="22"/>
          <w:szCs w:val="22"/>
        </w:rPr>
        <w:t>,</w:t>
      </w:r>
      <w:r w:rsidRPr="00AC5C41">
        <w:rPr>
          <w:rFonts w:ascii="Times New Roman" w:hAnsi="Times New Roman" w:cs="Times New Roman"/>
          <w:sz w:val="22"/>
          <w:szCs w:val="22"/>
        </w:rPr>
        <w:t xml:space="preserve"> Paul, Linda Woodhead, Benjamin Seel, Karin Tusting and Bron Szersynski, </w:t>
      </w:r>
      <w:r w:rsidRPr="00AC5C41">
        <w:rPr>
          <w:rFonts w:ascii="Times New Roman" w:hAnsi="Times New Roman" w:cs="Times New Roman"/>
          <w:i/>
          <w:iCs/>
          <w:sz w:val="22"/>
          <w:szCs w:val="22"/>
        </w:rPr>
        <w:t>The Spiritual Revolution: Why Religion Is Giving Way to Spirituality</w:t>
      </w:r>
      <w:r w:rsidRPr="00AC5C41">
        <w:rPr>
          <w:rFonts w:ascii="Times New Roman" w:hAnsi="Times New Roman" w:cs="Times New Roman"/>
          <w:sz w:val="22"/>
          <w:szCs w:val="22"/>
        </w:rPr>
        <w:t>. (Oxford: Blackwell, 2005).</w:t>
      </w:r>
    </w:p>
    <w:p w14:paraId="3ADADFB9" w14:textId="77777777" w:rsidR="004258A4" w:rsidRDefault="004258A4" w:rsidP="004258A4">
      <w:pPr>
        <w:pStyle w:val="FootnoteText"/>
        <w:jc w:val="both"/>
        <w:rPr>
          <w:rFonts w:ascii="Times New Roman" w:hAnsi="Times New Roman" w:cs="Times New Roman"/>
          <w:sz w:val="22"/>
          <w:szCs w:val="22"/>
        </w:rPr>
      </w:pPr>
    </w:p>
    <w:p w14:paraId="79C5A27B" w14:textId="77777777" w:rsidR="004258A4" w:rsidRDefault="004258A4" w:rsidP="004258A4">
      <w:pPr>
        <w:pStyle w:val="FootnoteText"/>
        <w:numPr>
          <w:ilvl w:val="0"/>
          <w:numId w:val="1"/>
        </w:numPr>
        <w:jc w:val="both"/>
        <w:rPr>
          <w:rFonts w:ascii="Times New Roman" w:hAnsi="Times New Roman" w:cs="Times New Roman"/>
          <w:sz w:val="22"/>
          <w:szCs w:val="22"/>
        </w:rPr>
      </w:pPr>
      <w:r w:rsidRPr="007069EC">
        <w:rPr>
          <w:rFonts w:ascii="Times New Roman" w:hAnsi="Times New Roman" w:cs="Times New Roman"/>
          <w:sz w:val="22"/>
          <w:szCs w:val="22"/>
        </w:rPr>
        <w:t xml:space="preserve">Hennink, Monique, Inge Hutter and Ajay Bailey, </w:t>
      </w:r>
      <w:r w:rsidRPr="007069EC">
        <w:rPr>
          <w:rFonts w:ascii="Times New Roman" w:hAnsi="Times New Roman" w:cs="Times New Roman"/>
          <w:i/>
          <w:iCs/>
          <w:sz w:val="22"/>
          <w:szCs w:val="22"/>
        </w:rPr>
        <w:t>Qualitative Research Methods</w:t>
      </w:r>
      <w:r w:rsidRPr="007069EC">
        <w:rPr>
          <w:rFonts w:ascii="Times New Roman" w:hAnsi="Times New Roman" w:cs="Times New Roman"/>
          <w:sz w:val="22"/>
          <w:szCs w:val="22"/>
        </w:rPr>
        <w:t xml:space="preserve"> (London: SAGE Publications, 2011).</w:t>
      </w:r>
    </w:p>
    <w:p w14:paraId="2DF74691" w14:textId="77777777" w:rsidR="004258A4" w:rsidRDefault="004258A4" w:rsidP="004258A4">
      <w:pPr>
        <w:pStyle w:val="FootnoteText"/>
        <w:jc w:val="both"/>
        <w:rPr>
          <w:rFonts w:ascii="Times New Roman" w:hAnsi="Times New Roman" w:cs="Times New Roman"/>
          <w:sz w:val="22"/>
          <w:szCs w:val="22"/>
        </w:rPr>
      </w:pPr>
    </w:p>
    <w:p w14:paraId="025AE226" w14:textId="77777777" w:rsidR="004258A4" w:rsidRPr="002C4E62" w:rsidRDefault="004258A4" w:rsidP="004258A4">
      <w:pPr>
        <w:pStyle w:val="FootnoteText"/>
        <w:numPr>
          <w:ilvl w:val="0"/>
          <w:numId w:val="1"/>
        </w:numPr>
        <w:jc w:val="both"/>
        <w:rPr>
          <w:rFonts w:ascii="Times New Roman" w:hAnsi="Times New Roman" w:cs="Times New Roman"/>
          <w:sz w:val="22"/>
          <w:szCs w:val="22"/>
          <w:lang w:val="de-DE"/>
        </w:rPr>
      </w:pPr>
      <w:r w:rsidRPr="002C4E62">
        <w:rPr>
          <w:rFonts w:ascii="Times New Roman" w:hAnsi="Times New Roman" w:cs="Times New Roman"/>
          <w:sz w:val="22"/>
          <w:szCs w:val="22"/>
          <w:lang w:val="de-DE"/>
        </w:rPr>
        <w:t>Hess</w:t>
      </w:r>
      <w:r>
        <w:rPr>
          <w:rFonts w:ascii="Times New Roman" w:hAnsi="Times New Roman" w:cs="Times New Roman"/>
          <w:sz w:val="22"/>
          <w:szCs w:val="22"/>
          <w:lang w:val="de-DE"/>
        </w:rPr>
        <w:t>,</w:t>
      </w:r>
      <w:r w:rsidRPr="002C4E62">
        <w:rPr>
          <w:rFonts w:ascii="Times New Roman" w:hAnsi="Times New Roman" w:cs="Times New Roman"/>
          <w:sz w:val="22"/>
          <w:szCs w:val="22"/>
          <w:lang w:val="de-DE"/>
        </w:rPr>
        <w:t xml:space="preserve"> P., </w:t>
      </w:r>
      <w:r w:rsidRPr="002C4E62">
        <w:rPr>
          <w:rFonts w:ascii="Times New Roman" w:hAnsi="Times New Roman" w:cs="Times New Roman"/>
          <w:i/>
          <w:iCs/>
          <w:sz w:val="22"/>
          <w:szCs w:val="22"/>
          <w:lang w:val="de-DE"/>
        </w:rPr>
        <w:t>Peter-Hess-Klangmethoden im Kontext von Forschung und Wissenschaft</w:t>
      </w:r>
      <w:r w:rsidRPr="002C4E62">
        <w:rPr>
          <w:rFonts w:ascii="Times New Roman" w:hAnsi="Times New Roman" w:cs="Times New Roman"/>
          <w:sz w:val="22"/>
          <w:szCs w:val="22"/>
          <w:lang w:val="de-DE"/>
        </w:rPr>
        <w:t>, (Schüttorf, Germany: Hess, 2010)</w:t>
      </w:r>
      <w:r>
        <w:rPr>
          <w:rFonts w:ascii="Times New Roman" w:hAnsi="Times New Roman" w:cs="Times New Roman"/>
          <w:sz w:val="22"/>
          <w:szCs w:val="22"/>
          <w:lang w:val="de-DE"/>
        </w:rPr>
        <w:t xml:space="preserve">. </w:t>
      </w:r>
    </w:p>
    <w:p w14:paraId="73A28B7E" w14:textId="77777777" w:rsidR="004258A4" w:rsidRPr="002C4E62" w:rsidRDefault="004258A4" w:rsidP="004258A4">
      <w:pPr>
        <w:pStyle w:val="FootnoteText"/>
        <w:jc w:val="both"/>
        <w:rPr>
          <w:rFonts w:ascii="Times New Roman" w:hAnsi="Times New Roman" w:cs="Times New Roman"/>
          <w:sz w:val="22"/>
          <w:szCs w:val="22"/>
          <w:lang w:val="de-DE"/>
        </w:rPr>
      </w:pPr>
    </w:p>
    <w:p w14:paraId="3DCE49C0" w14:textId="77777777" w:rsidR="004258A4" w:rsidRDefault="004258A4" w:rsidP="004258A4">
      <w:pPr>
        <w:pStyle w:val="FootnoteText"/>
        <w:numPr>
          <w:ilvl w:val="0"/>
          <w:numId w:val="1"/>
        </w:numPr>
        <w:jc w:val="both"/>
        <w:rPr>
          <w:rFonts w:ascii="Times New Roman" w:hAnsi="Times New Roman" w:cs="Times New Roman"/>
          <w:sz w:val="22"/>
          <w:szCs w:val="22"/>
        </w:rPr>
      </w:pPr>
      <w:r w:rsidRPr="00EF47B9">
        <w:rPr>
          <w:rFonts w:ascii="Times New Roman" w:hAnsi="Times New Roman" w:cs="Times New Roman"/>
          <w:sz w:val="22"/>
          <w:szCs w:val="22"/>
        </w:rPr>
        <w:t>Hess</w:t>
      </w:r>
      <w:r>
        <w:rPr>
          <w:rFonts w:ascii="Times New Roman" w:hAnsi="Times New Roman" w:cs="Times New Roman"/>
          <w:sz w:val="22"/>
          <w:szCs w:val="22"/>
        </w:rPr>
        <w:t>,</w:t>
      </w:r>
      <w:r w:rsidRPr="00EF47B9">
        <w:rPr>
          <w:rFonts w:ascii="Times New Roman" w:hAnsi="Times New Roman" w:cs="Times New Roman"/>
          <w:sz w:val="22"/>
          <w:szCs w:val="22"/>
        </w:rPr>
        <w:t xml:space="preserve"> Peter, ‘Singing Bowl Types – Which Singing Bowl is the Right One for Me?’: </w:t>
      </w:r>
      <w:hyperlink r:id="rId19" w:anchor="section-4" w:history="1">
        <w:r w:rsidRPr="00EF47B9">
          <w:rPr>
            <w:rStyle w:val="Hyperlink"/>
            <w:rFonts w:ascii="Times New Roman" w:hAnsi="Times New Roman" w:cs="Times New Roman"/>
            <w:sz w:val="22"/>
            <w:szCs w:val="22"/>
          </w:rPr>
          <w:t>https://www.hess-sound.de/en/blogs/guide/singing-bowls-types#section-4</w:t>
        </w:r>
      </w:hyperlink>
      <w:r w:rsidRPr="00EF47B9">
        <w:rPr>
          <w:rFonts w:ascii="Times New Roman" w:hAnsi="Times New Roman" w:cs="Times New Roman"/>
          <w:sz w:val="22"/>
          <w:szCs w:val="22"/>
        </w:rPr>
        <w:t xml:space="preserve"> [accessed 12 April 2026]</w:t>
      </w:r>
    </w:p>
    <w:p w14:paraId="2DF02796" w14:textId="77777777" w:rsidR="004258A4" w:rsidRDefault="004258A4" w:rsidP="004258A4">
      <w:pPr>
        <w:pStyle w:val="FootnoteText"/>
        <w:jc w:val="both"/>
        <w:rPr>
          <w:rFonts w:ascii="Times New Roman" w:hAnsi="Times New Roman" w:cs="Times New Roman"/>
          <w:sz w:val="22"/>
          <w:szCs w:val="22"/>
        </w:rPr>
      </w:pPr>
    </w:p>
    <w:p w14:paraId="712B815A" w14:textId="77777777" w:rsidR="004258A4" w:rsidRDefault="004258A4" w:rsidP="004258A4">
      <w:pPr>
        <w:pStyle w:val="FootnoteText"/>
        <w:numPr>
          <w:ilvl w:val="0"/>
          <w:numId w:val="1"/>
        </w:numPr>
        <w:jc w:val="both"/>
        <w:rPr>
          <w:rFonts w:ascii="Times New Roman" w:hAnsi="Times New Roman" w:cs="Times New Roman"/>
          <w:sz w:val="22"/>
          <w:szCs w:val="22"/>
        </w:rPr>
      </w:pPr>
      <w:r w:rsidRPr="00373A79">
        <w:rPr>
          <w:rFonts w:ascii="Times New Roman" w:hAnsi="Times New Roman" w:cs="Times New Roman"/>
          <w:sz w:val="22"/>
          <w:szCs w:val="22"/>
        </w:rPr>
        <w:t>Hughes</w:t>
      </w:r>
      <w:r>
        <w:rPr>
          <w:rFonts w:ascii="Times New Roman" w:hAnsi="Times New Roman" w:cs="Times New Roman"/>
          <w:sz w:val="22"/>
          <w:szCs w:val="22"/>
        </w:rPr>
        <w:t>,</w:t>
      </w:r>
      <w:r w:rsidRPr="00373A79">
        <w:rPr>
          <w:rFonts w:ascii="Times New Roman" w:hAnsi="Times New Roman" w:cs="Times New Roman"/>
          <w:sz w:val="22"/>
          <w:szCs w:val="22"/>
        </w:rPr>
        <w:t xml:space="preserve"> C. and R. Cohen, ‘Feminists Really Do Count: the Complexity of Feminist Methodologies’, </w:t>
      </w:r>
      <w:r w:rsidRPr="00373A79">
        <w:rPr>
          <w:rFonts w:ascii="Times New Roman" w:hAnsi="Times New Roman" w:cs="Times New Roman"/>
          <w:i/>
          <w:iCs/>
          <w:sz w:val="22"/>
          <w:szCs w:val="22"/>
        </w:rPr>
        <w:t>International Journal of Social Research Methodology</w:t>
      </w:r>
      <w:r w:rsidRPr="00373A79">
        <w:rPr>
          <w:rFonts w:ascii="Times New Roman" w:hAnsi="Times New Roman" w:cs="Times New Roman"/>
          <w:sz w:val="22"/>
          <w:szCs w:val="22"/>
        </w:rPr>
        <w:t xml:space="preserve">, Vol. 13, No. 3, (2010), pp.189-196.  </w:t>
      </w:r>
    </w:p>
    <w:p w14:paraId="2D0E4E0F" w14:textId="77777777" w:rsidR="004258A4" w:rsidRDefault="004258A4" w:rsidP="004258A4">
      <w:pPr>
        <w:pStyle w:val="FootnoteText"/>
        <w:jc w:val="both"/>
        <w:rPr>
          <w:rFonts w:ascii="Times New Roman" w:hAnsi="Times New Roman" w:cs="Times New Roman"/>
          <w:sz w:val="22"/>
          <w:szCs w:val="22"/>
        </w:rPr>
      </w:pPr>
    </w:p>
    <w:p w14:paraId="18D572BD" w14:textId="77777777" w:rsidR="004258A4" w:rsidRDefault="004258A4" w:rsidP="004258A4">
      <w:pPr>
        <w:pStyle w:val="FootnoteText"/>
        <w:numPr>
          <w:ilvl w:val="0"/>
          <w:numId w:val="1"/>
        </w:numPr>
        <w:jc w:val="both"/>
        <w:rPr>
          <w:rFonts w:ascii="Times New Roman" w:hAnsi="Times New Roman" w:cs="Times New Roman"/>
          <w:sz w:val="22"/>
          <w:szCs w:val="22"/>
        </w:rPr>
      </w:pPr>
      <w:r w:rsidRPr="0032391E">
        <w:rPr>
          <w:rFonts w:ascii="Times New Roman" w:hAnsi="Times New Roman" w:cs="Times New Roman"/>
          <w:sz w:val="22"/>
          <w:szCs w:val="22"/>
        </w:rPr>
        <w:t>Hunter, Jack</w:t>
      </w:r>
      <w:r>
        <w:rPr>
          <w:rFonts w:ascii="Times New Roman" w:hAnsi="Times New Roman" w:cs="Times New Roman"/>
          <w:sz w:val="22"/>
          <w:szCs w:val="22"/>
        </w:rPr>
        <w:t>,</w:t>
      </w:r>
      <w:r w:rsidRPr="0032391E">
        <w:rPr>
          <w:rFonts w:ascii="Times New Roman" w:hAnsi="Times New Roman" w:cs="Times New Roman"/>
          <w:sz w:val="22"/>
          <w:szCs w:val="22"/>
        </w:rPr>
        <w:t xml:space="preserve"> </w:t>
      </w:r>
      <w:r w:rsidRPr="0032391E">
        <w:rPr>
          <w:rFonts w:ascii="Times New Roman" w:hAnsi="Times New Roman" w:cs="Times New Roman"/>
          <w:i/>
          <w:iCs/>
          <w:sz w:val="22"/>
          <w:szCs w:val="22"/>
        </w:rPr>
        <w:t>Ecology and Spirituality: A Brief Introduction</w:t>
      </w:r>
      <w:r w:rsidRPr="0032391E">
        <w:rPr>
          <w:rFonts w:ascii="Times New Roman" w:hAnsi="Times New Roman" w:cs="Times New Roman"/>
          <w:sz w:val="22"/>
          <w:szCs w:val="22"/>
        </w:rPr>
        <w:t>, (Wales: Sophia Centre Press, 2023</w:t>
      </w:r>
      <w:r>
        <w:rPr>
          <w:rFonts w:ascii="Times New Roman" w:hAnsi="Times New Roman" w:cs="Times New Roman"/>
          <w:sz w:val="22"/>
          <w:szCs w:val="22"/>
        </w:rPr>
        <w:t xml:space="preserve">). </w:t>
      </w:r>
    </w:p>
    <w:p w14:paraId="4F9F759B" w14:textId="77777777" w:rsidR="004258A4" w:rsidRDefault="004258A4" w:rsidP="004258A4">
      <w:pPr>
        <w:pStyle w:val="FootnoteText"/>
        <w:jc w:val="both"/>
        <w:rPr>
          <w:rFonts w:ascii="Times New Roman" w:hAnsi="Times New Roman" w:cs="Times New Roman"/>
          <w:sz w:val="22"/>
          <w:szCs w:val="22"/>
        </w:rPr>
      </w:pPr>
    </w:p>
    <w:p w14:paraId="336F96F2" w14:textId="77777777" w:rsidR="004258A4" w:rsidRPr="00D32268" w:rsidRDefault="004258A4" w:rsidP="004258A4">
      <w:pPr>
        <w:pStyle w:val="FootnoteText"/>
        <w:numPr>
          <w:ilvl w:val="0"/>
          <w:numId w:val="1"/>
        </w:numPr>
        <w:jc w:val="both"/>
        <w:rPr>
          <w:rFonts w:ascii="Times New Roman" w:hAnsi="Times New Roman" w:cs="Times New Roman"/>
          <w:sz w:val="22"/>
          <w:szCs w:val="22"/>
        </w:rPr>
      </w:pPr>
      <w:r w:rsidRPr="00D32268">
        <w:rPr>
          <w:rFonts w:ascii="Times New Roman" w:hAnsi="Times New Roman" w:cs="Times New Roman"/>
          <w:sz w:val="22"/>
          <w:szCs w:val="22"/>
        </w:rPr>
        <w:t>Inácio</w:t>
      </w:r>
      <w:r>
        <w:rPr>
          <w:rFonts w:ascii="Times New Roman" w:hAnsi="Times New Roman" w:cs="Times New Roman"/>
          <w:sz w:val="22"/>
          <w:szCs w:val="22"/>
        </w:rPr>
        <w:t>,</w:t>
      </w:r>
      <w:r w:rsidRPr="00D32268">
        <w:rPr>
          <w:rFonts w:ascii="Times New Roman" w:hAnsi="Times New Roman" w:cs="Times New Roman"/>
          <w:sz w:val="22"/>
          <w:szCs w:val="22"/>
        </w:rPr>
        <w:t xml:space="preserve"> O., L.L. Henrique, J. Antunes, ‘The Dynamics of Tibetan Singing Bowls’</w:t>
      </w:r>
      <w:r w:rsidRPr="00D32268">
        <w:rPr>
          <w:rFonts w:ascii="Times New Roman" w:hAnsi="Times New Roman" w:cs="Times New Roman"/>
          <w:i/>
          <w:iCs/>
          <w:sz w:val="22"/>
          <w:szCs w:val="22"/>
        </w:rPr>
        <w:t>, Acta Acustica United with Acustica</w:t>
      </w:r>
      <w:r w:rsidRPr="00D32268">
        <w:rPr>
          <w:rFonts w:ascii="Times New Roman" w:hAnsi="Times New Roman" w:cs="Times New Roman"/>
          <w:sz w:val="22"/>
          <w:szCs w:val="22"/>
        </w:rPr>
        <w:t xml:space="preserve">, 92(4), (2006), pp. 637-53.  </w:t>
      </w:r>
    </w:p>
    <w:p w14:paraId="5AFEA15F" w14:textId="77777777" w:rsidR="004258A4" w:rsidRPr="00F549C5" w:rsidRDefault="004258A4" w:rsidP="004258A4">
      <w:pPr>
        <w:rPr>
          <w:sz w:val="22"/>
          <w:szCs w:val="22"/>
        </w:rPr>
      </w:pPr>
    </w:p>
    <w:p w14:paraId="7581A315" w14:textId="77777777" w:rsidR="004258A4" w:rsidRDefault="004258A4" w:rsidP="004258A4">
      <w:pPr>
        <w:pStyle w:val="FootnoteText"/>
        <w:numPr>
          <w:ilvl w:val="0"/>
          <w:numId w:val="1"/>
        </w:numPr>
        <w:jc w:val="both"/>
        <w:rPr>
          <w:rFonts w:ascii="Times New Roman" w:hAnsi="Times New Roman" w:cs="Times New Roman"/>
          <w:sz w:val="22"/>
          <w:szCs w:val="22"/>
        </w:rPr>
      </w:pPr>
      <w:r w:rsidRPr="00F549C5">
        <w:rPr>
          <w:rFonts w:ascii="Times New Roman" w:hAnsi="Times New Roman" w:cs="Times New Roman"/>
          <w:sz w:val="22"/>
          <w:szCs w:val="22"/>
        </w:rPr>
        <w:t>Jenny</w:t>
      </w:r>
      <w:r>
        <w:rPr>
          <w:rFonts w:ascii="Times New Roman" w:hAnsi="Times New Roman" w:cs="Times New Roman"/>
          <w:sz w:val="22"/>
          <w:szCs w:val="22"/>
        </w:rPr>
        <w:t>,</w:t>
      </w:r>
      <w:r w:rsidRPr="00F549C5">
        <w:rPr>
          <w:rFonts w:ascii="Times New Roman" w:hAnsi="Times New Roman" w:cs="Times New Roman"/>
          <w:sz w:val="22"/>
          <w:szCs w:val="22"/>
        </w:rPr>
        <w:t xml:space="preserve"> Hans, </w:t>
      </w:r>
      <w:r w:rsidRPr="00F549C5">
        <w:rPr>
          <w:rFonts w:ascii="Times New Roman" w:hAnsi="Times New Roman" w:cs="Times New Roman"/>
          <w:i/>
          <w:iCs/>
          <w:sz w:val="22"/>
          <w:szCs w:val="22"/>
        </w:rPr>
        <w:t>Cymatics: A Study of Wave Phenomenon and Vibration, Volumes I and II</w:t>
      </w:r>
      <w:r w:rsidRPr="00F549C5">
        <w:rPr>
          <w:rFonts w:ascii="Times New Roman" w:hAnsi="Times New Roman" w:cs="Times New Roman"/>
          <w:sz w:val="22"/>
          <w:szCs w:val="22"/>
        </w:rPr>
        <w:t>, (California: MACROmedia Publishing, 2024)</w:t>
      </w:r>
      <w:r>
        <w:rPr>
          <w:rFonts w:ascii="Times New Roman" w:hAnsi="Times New Roman" w:cs="Times New Roman"/>
          <w:sz w:val="22"/>
          <w:szCs w:val="22"/>
        </w:rPr>
        <w:t xml:space="preserve">. </w:t>
      </w:r>
    </w:p>
    <w:p w14:paraId="095A5A36" w14:textId="77777777" w:rsidR="004258A4" w:rsidRDefault="004258A4" w:rsidP="004258A4">
      <w:pPr>
        <w:pStyle w:val="FootnoteText"/>
        <w:jc w:val="both"/>
        <w:rPr>
          <w:rFonts w:ascii="Times New Roman" w:hAnsi="Times New Roman" w:cs="Times New Roman"/>
          <w:sz w:val="22"/>
          <w:szCs w:val="22"/>
        </w:rPr>
      </w:pPr>
    </w:p>
    <w:p w14:paraId="6A438D93" w14:textId="77777777" w:rsidR="004258A4" w:rsidRDefault="004258A4" w:rsidP="004258A4">
      <w:pPr>
        <w:pStyle w:val="FootnoteText"/>
        <w:numPr>
          <w:ilvl w:val="0"/>
          <w:numId w:val="1"/>
        </w:numPr>
        <w:jc w:val="both"/>
        <w:rPr>
          <w:rFonts w:ascii="Times New Roman" w:hAnsi="Times New Roman" w:cs="Times New Roman"/>
          <w:sz w:val="22"/>
          <w:szCs w:val="22"/>
        </w:rPr>
      </w:pPr>
      <w:r w:rsidRPr="00F24976">
        <w:rPr>
          <w:rFonts w:ascii="Times New Roman" w:hAnsi="Times New Roman" w:cs="Times New Roman"/>
          <w:sz w:val="22"/>
          <w:szCs w:val="22"/>
        </w:rPr>
        <w:t>Kenyon, Tom</w:t>
      </w:r>
      <w:r>
        <w:rPr>
          <w:rFonts w:ascii="Times New Roman" w:hAnsi="Times New Roman" w:cs="Times New Roman"/>
          <w:sz w:val="22"/>
          <w:szCs w:val="22"/>
        </w:rPr>
        <w:t>,</w:t>
      </w:r>
      <w:r w:rsidRPr="00F24976">
        <w:rPr>
          <w:rFonts w:ascii="Times New Roman" w:hAnsi="Times New Roman" w:cs="Times New Roman"/>
          <w:sz w:val="22"/>
          <w:szCs w:val="22"/>
        </w:rPr>
        <w:t xml:space="preserve"> </w:t>
      </w:r>
      <w:r w:rsidRPr="00F24976">
        <w:rPr>
          <w:rFonts w:ascii="Times New Roman" w:hAnsi="Times New Roman" w:cs="Times New Roman"/>
          <w:i/>
          <w:iCs/>
          <w:sz w:val="22"/>
          <w:szCs w:val="22"/>
        </w:rPr>
        <w:t>The Gandarva Experience</w:t>
      </w:r>
      <w:r w:rsidRPr="00F24976">
        <w:rPr>
          <w:rFonts w:ascii="Times New Roman" w:hAnsi="Times New Roman" w:cs="Times New Roman"/>
          <w:sz w:val="22"/>
          <w:szCs w:val="22"/>
        </w:rPr>
        <w:t xml:space="preserve"> (California: S.E.E. Publishing Co, T801-CD, 1996). </w:t>
      </w:r>
    </w:p>
    <w:p w14:paraId="3C9B36F0" w14:textId="77777777" w:rsidR="004258A4" w:rsidRDefault="004258A4" w:rsidP="004258A4">
      <w:pPr>
        <w:pStyle w:val="FootnoteText"/>
        <w:jc w:val="both"/>
        <w:rPr>
          <w:rFonts w:ascii="Times New Roman" w:hAnsi="Times New Roman" w:cs="Times New Roman"/>
          <w:sz w:val="22"/>
          <w:szCs w:val="22"/>
        </w:rPr>
      </w:pPr>
    </w:p>
    <w:p w14:paraId="339659AE" w14:textId="77777777" w:rsidR="004258A4" w:rsidRDefault="004258A4" w:rsidP="004258A4">
      <w:pPr>
        <w:pStyle w:val="FootnoteText"/>
        <w:jc w:val="both"/>
        <w:rPr>
          <w:rFonts w:ascii="Times New Roman" w:hAnsi="Times New Roman" w:cs="Times New Roman"/>
          <w:sz w:val="22"/>
          <w:szCs w:val="22"/>
        </w:rPr>
      </w:pPr>
    </w:p>
    <w:p w14:paraId="29FB2C79" w14:textId="77777777" w:rsidR="004258A4" w:rsidRDefault="004258A4" w:rsidP="004258A4">
      <w:pPr>
        <w:pStyle w:val="FootnoteText"/>
        <w:numPr>
          <w:ilvl w:val="0"/>
          <w:numId w:val="1"/>
        </w:numPr>
        <w:jc w:val="both"/>
        <w:rPr>
          <w:rFonts w:ascii="Times New Roman" w:hAnsi="Times New Roman" w:cs="Times New Roman"/>
          <w:sz w:val="22"/>
          <w:szCs w:val="22"/>
        </w:rPr>
      </w:pPr>
      <w:r w:rsidRPr="006C619D">
        <w:rPr>
          <w:rFonts w:ascii="Times New Roman" w:hAnsi="Times New Roman" w:cs="Times New Roman"/>
          <w:sz w:val="22"/>
          <w:szCs w:val="22"/>
        </w:rPr>
        <w:lastRenderedPageBreak/>
        <w:t>Lane</w:t>
      </w:r>
      <w:r>
        <w:rPr>
          <w:rFonts w:ascii="Times New Roman" w:hAnsi="Times New Roman" w:cs="Times New Roman"/>
          <w:sz w:val="22"/>
          <w:szCs w:val="22"/>
        </w:rPr>
        <w:t>,</w:t>
      </w:r>
      <w:r w:rsidRPr="006C619D">
        <w:rPr>
          <w:rFonts w:ascii="Times New Roman" w:hAnsi="Times New Roman" w:cs="Times New Roman"/>
          <w:sz w:val="22"/>
          <w:szCs w:val="22"/>
        </w:rPr>
        <w:t xml:space="preserve"> Jennifer, Megan White, Neil Forbes, Neda Alizadeh, Helen Wong, Holly McCulloch, Emily K. Drake, S. M. Kawser Zafor Prince, Tatianna Bolton, Kris Lane, Courtney Pennell, Lori Wozney, ‘Integrating Equity, Diversity, and Inclusion Principles Into Qualitative Research Design’, </w:t>
      </w:r>
      <w:r w:rsidRPr="006C619D">
        <w:rPr>
          <w:rFonts w:ascii="Times New Roman" w:hAnsi="Times New Roman" w:cs="Times New Roman"/>
          <w:i/>
          <w:iCs/>
          <w:sz w:val="22"/>
          <w:szCs w:val="22"/>
        </w:rPr>
        <w:t>Qualitative Health Research,</w:t>
      </w:r>
      <w:r w:rsidRPr="006C619D">
        <w:rPr>
          <w:rFonts w:ascii="Times New Roman" w:hAnsi="Times New Roman" w:cs="Times New Roman"/>
          <w:sz w:val="22"/>
          <w:szCs w:val="22"/>
        </w:rPr>
        <w:t xml:space="preserve"> (SAGE, 2025): </w:t>
      </w:r>
      <w:hyperlink r:id="rId20" w:history="1">
        <w:r w:rsidRPr="006C619D">
          <w:rPr>
            <w:rStyle w:val="Hyperlink"/>
            <w:rFonts w:ascii="Times New Roman" w:hAnsi="Times New Roman" w:cs="Times New Roman"/>
            <w:sz w:val="22"/>
            <w:szCs w:val="22"/>
          </w:rPr>
          <w:t>https://doi.org/10.1177/10497323251376238</w:t>
        </w:r>
      </w:hyperlink>
      <w:r w:rsidRPr="006C619D">
        <w:rPr>
          <w:rFonts w:ascii="Times New Roman" w:hAnsi="Times New Roman" w:cs="Times New Roman"/>
          <w:sz w:val="22"/>
          <w:szCs w:val="22"/>
        </w:rPr>
        <w:t xml:space="preserve"> [accessed 13 April 2026]</w:t>
      </w:r>
    </w:p>
    <w:p w14:paraId="23E5E3A4" w14:textId="77777777" w:rsidR="004258A4" w:rsidRDefault="004258A4" w:rsidP="004258A4">
      <w:pPr>
        <w:pStyle w:val="FootnoteText"/>
        <w:jc w:val="both"/>
        <w:rPr>
          <w:rFonts w:ascii="Times New Roman" w:hAnsi="Times New Roman" w:cs="Times New Roman"/>
          <w:sz w:val="22"/>
          <w:szCs w:val="22"/>
        </w:rPr>
      </w:pPr>
    </w:p>
    <w:p w14:paraId="455AE192" w14:textId="77777777" w:rsidR="004258A4" w:rsidRDefault="004258A4" w:rsidP="004258A4">
      <w:pPr>
        <w:pStyle w:val="FootnoteText"/>
        <w:numPr>
          <w:ilvl w:val="0"/>
          <w:numId w:val="1"/>
        </w:numPr>
        <w:jc w:val="both"/>
        <w:rPr>
          <w:rFonts w:ascii="Times New Roman" w:hAnsi="Times New Roman" w:cs="Times New Roman"/>
          <w:sz w:val="22"/>
          <w:szCs w:val="22"/>
        </w:rPr>
      </w:pPr>
      <w:r w:rsidRPr="00FD76DA">
        <w:rPr>
          <w:rFonts w:ascii="Times New Roman" w:hAnsi="Times New Roman" w:cs="Times New Roman"/>
          <w:sz w:val="22"/>
          <w:szCs w:val="22"/>
        </w:rPr>
        <w:t xml:space="preserve">Landry, Jayan Marie, ‘Physiological and Psychological Effects of a Himalayan Singing Bowl in Meditation Practice: A Quantitative Analysis’, </w:t>
      </w:r>
      <w:r w:rsidRPr="00FD76DA">
        <w:rPr>
          <w:rFonts w:ascii="Times New Roman" w:hAnsi="Times New Roman" w:cs="Times New Roman"/>
          <w:i/>
          <w:iCs/>
          <w:sz w:val="22"/>
          <w:szCs w:val="22"/>
        </w:rPr>
        <w:t>American Journal of Health Promotion</w:t>
      </w:r>
      <w:r w:rsidRPr="00FD76DA">
        <w:rPr>
          <w:rFonts w:ascii="Times New Roman" w:hAnsi="Times New Roman" w:cs="Times New Roman"/>
          <w:sz w:val="22"/>
          <w:szCs w:val="22"/>
        </w:rPr>
        <w:t xml:space="preserve"> 28, (2014), pp. 306–9.</w:t>
      </w:r>
    </w:p>
    <w:p w14:paraId="4A8C7375" w14:textId="77777777" w:rsidR="004258A4" w:rsidRDefault="004258A4" w:rsidP="004258A4">
      <w:pPr>
        <w:pStyle w:val="FootnoteText"/>
        <w:jc w:val="both"/>
        <w:rPr>
          <w:rFonts w:ascii="Times New Roman" w:hAnsi="Times New Roman" w:cs="Times New Roman"/>
          <w:sz w:val="22"/>
          <w:szCs w:val="22"/>
        </w:rPr>
      </w:pPr>
    </w:p>
    <w:p w14:paraId="09362C0B" w14:textId="77777777" w:rsidR="004258A4" w:rsidRPr="005964BE" w:rsidRDefault="004258A4" w:rsidP="004258A4">
      <w:pPr>
        <w:pStyle w:val="FootnoteText"/>
        <w:numPr>
          <w:ilvl w:val="0"/>
          <w:numId w:val="1"/>
        </w:numPr>
        <w:jc w:val="both"/>
        <w:rPr>
          <w:rFonts w:ascii="Times New Roman" w:hAnsi="Times New Roman" w:cs="Times New Roman"/>
          <w:sz w:val="22"/>
          <w:szCs w:val="22"/>
        </w:rPr>
      </w:pPr>
      <w:r w:rsidRPr="005964BE">
        <w:rPr>
          <w:rFonts w:ascii="Times New Roman" w:hAnsi="Times New Roman" w:cs="Times New Roman"/>
          <w:sz w:val="22"/>
          <w:szCs w:val="22"/>
        </w:rPr>
        <w:t>Lee, Lois, 'Beyond Unbelief: Non-Religion and Existential Culture', </w:t>
      </w:r>
      <w:r w:rsidRPr="005964BE">
        <w:rPr>
          <w:rFonts w:ascii="Times New Roman" w:hAnsi="Times New Roman" w:cs="Times New Roman"/>
          <w:i/>
          <w:iCs/>
          <w:sz w:val="22"/>
          <w:szCs w:val="22"/>
        </w:rPr>
        <w:t>Recognizing the Non-religious: Reimagining the Secular</w:t>
      </w:r>
      <w:r w:rsidRPr="005964BE">
        <w:rPr>
          <w:rFonts w:ascii="Times New Roman" w:hAnsi="Times New Roman" w:cs="Times New Roman"/>
          <w:sz w:val="22"/>
          <w:szCs w:val="22"/>
        </w:rPr>
        <w:t> (Oxford, 2015; online edn, Oxford Academic, 2015)</w:t>
      </w:r>
    </w:p>
    <w:p w14:paraId="7E4461FB" w14:textId="77777777" w:rsidR="004258A4" w:rsidRDefault="004258A4" w:rsidP="004258A4">
      <w:pPr>
        <w:pStyle w:val="FootnoteText"/>
        <w:numPr>
          <w:ilvl w:val="0"/>
          <w:numId w:val="1"/>
        </w:numPr>
        <w:jc w:val="both"/>
        <w:rPr>
          <w:rFonts w:ascii="Times New Roman" w:hAnsi="Times New Roman" w:cs="Times New Roman"/>
          <w:sz w:val="22"/>
          <w:szCs w:val="22"/>
        </w:rPr>
      </w:pPr>
      <w:hyperlink r:id="rId21" w:history="1">
        <w:r w:rsidRPr="005964BE">
          <w:rPr>
            <w:rStyle w:val="Hyperlink"/>
            <w:rFonts w:ascii="Times New Roman" w:hAnsi="Times New Roman" w:cs="Times New Roman"/>
            <w:sz w:val="22"/>
            <w:szCs w:val="22"/>
          </w:rPr>
          <w:t>https://doi.org/10.1093/acprof:oso/9780198736844.003.0008</w:t>
        </w:r>
      </w:hyperlink>
      <w:r w:rsidRPr="005964BE">
        <w:rPr>
          <w:rFonts w:ascii="Times New Roman" w:hAnsi="Times New Roman" w:cs="Times New Roman"/>
          <w:sz w:val="22"/>
          <w:szCs w:val="22"/>
        </w:rPr>
        <w:t>, [accessed 4 April 2026]</w:t>
      </w:r>
    </w:p>
    <w:p w14:paraId="206FDF09" w14:textId="77777777" w:rsidR="004258A4" w:rsidRDefault="004258A4" w:rsidP="004258A4">
      <w:pPr>
        <w:pStyle w:val="FootnoteText"/>
        <w:jc w:val="both"/>
        <w:rPr>
          <w:rFonts w:ascii="Times New Roman" w:hAnsi="Times New Roman" w:cs="Times New Roman"/>
          <w:sz w:val="22"/>
          <w:szCs w:val="22"/>
        </w:rPr>
      </w:pPr>
    </w:p>
    <w:p w14:paraId="7ECC11B1" w14:textId="77777777" w:rsidR="004258A4" w:rsidRDefault="004258A4" w:rsidP="004258A4">
      <w:pPr>
        <w:pStyle w:val="FootnoteText"/>
        <w:numPr>
          <w:ilvl w:val="0"/>
          <w:numId w:val="1"/>
        </w:numPr>
        <w:jc w:val="both"/>
        <w:rPr>
          <w:rFonts w:ascii="Times New Roman" w:hAnsi="Times New Roman" w:cs="Times New Roman"/>
          <w:sz w:val="22"/>
          <w:szCs w:val="22"/>
        </w:rPr>
      </w:pPr>
      <w:r w:rsidRPr="00DD30A7">
        <w:rPr>
          <w:rFonts w:ascii="Times New Roman" w:hAnsi="Times New Roman" w:cs="Times New Roman"/>
          <w:sz w:val="22"/>
          <w:szCs w:val="22"/>
        </w:rPr>
        <w:t>Leung</w:t>
      </w:r>
      <w:r>
        <w:rPr>
          <w:rFonts w:ascii="Times New Roman" w:hAnsi="Times New Roman" w:cs="Times New Roman"/>
          <w:sz w:val="22"/>
          <w:szCs w:val="22"/>
        </w:rPr>
        <w:t>,</w:t>
      </w:r>
      <w:r w:rsidRPr="00DD30A7">
        <w:rPr>
          <w:rFonts w:ascii="Times New Roman" w:hAnsi="Times New Roman" w:cs="Times New Roman"/>
          <w:sz w:val="22"/>
          <w:szCs w:val="22"/>
        </w:rPr>
        <w:t xml:space="preserve"> King-Ho, </w:t>
      </w:r>
      <w:r w:rsidRPr="00DD30A7">
        <w:rPr>
          <w:rFonts w:ascii="Times New Roman" w:hAnsi="Times New Roman" w:cs="Times New Roman"/>
          <w:i/>
          <w:iCs/>
          <w:sz w:val="22"/>
          <w:szCs w:val="22"/>
        </w:rPr>
        <w:t>Spiritual Life and Secular Thought: A Phenomenology</w:t>
      </w:r>
      <w:r w:rsidRPr="00DD30A7">
        <w:rPr>
          <w:rFonts w:ascii="Times New Roman" w:hAnsi="Times New Roman" w:cs="Times New Roman"/>
          <w:sz w:val="22"/>
          <w:szCs w:val="22"/>
        </w:rPr>
        <w:t xml:space="preserve"> (Oxford: Oxford University Press, 2025).</w:t>
      </w:r>
    </w:p>
    <w:p w14:paraId="75CFA0B1" w14:textId="77777777" w:rsidR="004258A4" w:rsidRDefault="004258A4" w:rsidP="004258A4">
      <w:pPr>
        <w:pStyle w:val="FootnoteText"/>
        <w:jc w:val="both"/>
        <w:rPr>
          <w:rFonts w:ascii="Times New Roman" w:hAnsi="Times New Roman" w:cs="Times New Roman"/>
          <w:sz w:val="22"/>
          <w:szCs w:val="22"/>
        </w:rPr>
      </w:pPr>
    </w:p>
    <w:p w14:paraId="3954ADFF" w14:textId="77777777" w:rsidR="004258A4" w:rsidRDefault="004258A4" w:rsidP="004258A4">
      <w:pPr>
        <w:pStyle w:val="FootnoteText"/>
        <w:numPr>
          <w:ilvl w:val="0"/>
          <w:numId w:val="1"/>
        </w:numPr>
        <w:jc w:val="both"/>
        <w:rPr>
          <w:rFonts w:ascii="Times New Roman" w:hAnsi="Times New Roman" w:cs="Times New Roman"/>
          <w:sz w:val="22"/>
          <w:szCs w:val="22"/>
        </w:rPr>
      </w:pPr>
      <w:r w:rsidRPr="001679BC">
        <w:rPr>
          <w:rFonts w:ascii="Times New Roman" w:hAnsi="Times New Roman" w:cs="Times New Roman"/>
          <w:sz w:val="22"/>
          <w:szCs w:val="22"/>
        </w:rPr>
        <w:t>Lévi-Strauss</w:t>
      </w:r>
      <w:r>
        <w:rPr>
          <w:rFonts w:ascii="Times New Roman" w:hAnsi="Times New Roman" w:cs="Times New Roman"/>
          <w:sz w:val="22"/>
          <w:szCs w:val="22"/>
        </w:rPr>
        <w:t>,</w:t>
      </w:r>
      <w:r w:rsidRPr="001679BC">
        <w:rPr>
          <w:rFonts w:ascii="Times New Roman" w:hAnsi="Times New Roman" w:cs="Times New Roman"/>
          <w:sz w:val="22"/>
          <w:szCs w:val="22"/>
        </w:rPr>
        <w:t xml:space="preserve"> Claude, </w:t>
      </w:r>
      <w:r w:rsidRPr="001679BC">
        <w:rPr>
          <w:rFonts w:ascii="Times New Roman" w:hAnsi="Times New Roman" w:cs="Times New Roman"/>
          <w:i/>
          <w:iCs/>
          <w:sz w:val="22"/>
          <w:szCs w:val="22"/>
        </w:rPr>
        <w:t>Structural Anthropology Volume II</w:t>
      </w:r>
      <w:r w:rsidRPr="001679BC">
        <w:rPr>
          <w:rFonts w:ascii="Times New Roman" w:hAnsi="Times New Roman" w:cs="Times New Roman"/>
          <w:sz w:val="22"/>
          <w:szCs w:val="22"/>
        </w:rPr>
        <w:t xml:space="preserve"> (London: Penguin Books, 1977).</w:t>
      </w:r>
    </w:p>
    <w:p w14:paraId="00A3E7AF" w14:textId="77777777" w:rsidR="004258A4" w:rsidRDefault="004258A4" w:rsidP="004258A4">
      <w:pPr>
        <w:pStyle w:val="FootnoteText"/>
        <w:jc w:val="both"/>
        <w:rPr>
          <w:rFonts w:ascii="Times New Roman" w:hAnsi="Times New Roman" w:cs="Times New Roman"/>
          <w:sz w:val="22"/>
          <w:szCs w:val="22"/>
        </w:rPr>
      </w:pPr>
    </w:p>
    <w:p w14:paraId="2AFBC219" w14:textId="77777777" w:rsidR="004258A4" w:rsidRDefault="004258A4" w:rsidP="004258A4">
      <w:pPr>
        <w:pStyle w:val="FootnoteText"/>
        <w:numPr>
          <w:ilvl w:val="0"/>
          <w:numId w:val="1"/>
        </w:numPr>
        <w:jc w:val="both"/>
        <w:rPr>
          <w:rFonts w:ascii="Times New Roman" w:hAnsi="Times New Roman" w:cs="Times New Roman"/>
          <w:sz w:val="22"/>
          <w:szCs w:val="22"/>
        </w:rPr>
      </w:pPr>
      <w:r w:rsidRPr="00F96C02">
        <w:rPr>
          <w:rFonts w:ascii="Times New Roman" w:hAnsi="Times New Roman" w:cs="Times New Roman"/>
          <w:sz w:val="22"/>
          <w:szCs w:val="22"/>
        </w:rPr>
        <w:t>Limkar</w:t>
      </w:r>
      <w:r>
        <w:rPr>
          <w:rFonts w:ascii="Times New Roman" w:hAnsi="Times New Roman" w:cs="Times New Roman"/>
          <w:sz w:val="22"/>
          <w:szCs w:val="22"/>
        </w:rPr>
        <w:t>,</w:t>
      </w:r>
      <w:r w:rsidRPr="00F96C02">
        <w:rPr>
          <w:rFonts w:ascii="Times New Roman" w:hAnsi="Times New Roman" w:cs="Times New Roman"/>
          <w:sz w:val="22"/>
          <w:szCs w:val="22"/>
        </w:rPr>
        <w:t xml:space="preserve"> Beena &amp; Gautam S. Chandekar, ‘Structural Dynamic Analysis of A Musical Instrument: Tibetan Singing Bowl’, </w:t>
      </w:r>
      <w:r w:rsidRPr="00F96C02">
        <w:rPr>
          <w:rFonts w:ascii="Times New Roman" w:hAnsi="Times New Roman" w:cs="Times New Roman"/>
          <w:i/>
          <w:iCs/>
          <w:sz w:val="22"/>
          <w:szCs w:val="22"/>
        </w:rPr>
        <w:t>Journal of Mathematics and Music</w:t>
      </w:r>
      <w:r w:rsidRPr="00F96C02">
        <w:rPr>
          <w:rFonts w:ascii="Times New Roman" w:hAnsi="Times New Roman" w:cs="Times New Roman"/>
          <w:sz w:val="22"/>
          <w:szCs w:val="22"/>
        </w:rPr>
        <w:t xml:space="preserve">, Volume 17, Issue 1, (2023), pp. 1-16.  </w:t>
      </w:r>
    </w:p>
    <w:p w14:paraId="1752024A" w14:textId="77777777" w:rsidR="004258A4" w:rsidRDefault="004258A4" w:rsidP="004258A4">
      <w:pPr>
        <w:pStyle w:val="FootnoteText"/>
        <w:jc w:val="both"/>
        <w:rPr>
          <w:rFonts w:ascii="Times New Roman" w:hAnsi="Times New Roman" w:cs="Times New Roman"/>
          <w:sz w:val="22"/>
          <w:szCs w:val="22"/>
        </w:rPr>
      </w:pPr>
    </w:p>
    <w:p w14:paraId="402EA19E" w14:textId="77777777" w:rsidR="004258A4" w:rsidRDefault="004258A4" w:rsidP="004258A4">
      <w:pPr>
        <w:pStyle w:val="FootnoteText"/>
        <w:numPr>
          <w:ilvl w:val="0"/>
          <w:numId w:val="1"/>
        </w:numPr>
        <w:jc w:val="both"/>
        <w:rPr>
          <w:rFonts w:ascii="Times New Roman" w:hAnsi="Times New Roman" w:cs="Times New Roman"/>
          <w:sz w:val="22"/>
          <w:szCs w:val="22"/>
        </w:rPr>
      </w:pPr>
      <w:r w:rsidRPr="001542BC">
        <w:rPr>
          <w:rFonts w:ascii="Times New Roman" w:hAnsi="Times New Roman" w:cs="Times New Roman"/>
          <w:sz w:val="22"/>
          <w:szCs w:val="22"/>
        </w:rPr>
        <w:t>Litonjua</w:t>
      </w:r>
      <w:r>
        <w:rPr>
          <w:rFonts w:ascii="Times New Roman" w:hAnsi="Times New Roman" w:cs="Times New Roman"/>
          <w:sz w:val="22"/>
          <w:szCs w:val="22"/>
        </w:rPr>
        <w:t>,</w:t>
      </w:r>
      <w:r w:rsidRPr="001542BC">
        <w:rPr>
          <w:rFonts w:ascii="Times New Roman" w:hAnsi="Times New Roman" w:cs="Times New Roman"/>
          <w:sz w:val="22"/>
          <w:szCs w:val="22"/>
        </w:rPr>
        <w:t xml:space="preserve"> M. D., ‘Spiritual, But Not Religious: Untangling A Seeming Paradox’, </w:t>
      </w:r>
      <w:r w:rsidRPr="001542BC">
        <w:rPr>
          <w:rFonts w:ascii="Times New Roman" w:hAnsi="Times New Roman" w:cs="Times New Roman"/>
          <w:i/>
          <w:iCs/>
          <w:sz w:val="22"/>
          <w:szCs w:val="22"/>
        </w:rPr>
        <w:t>International Review of Modern Sociology</w:t>
      </w:r>
      <w:r w:rsidRPr="001542BC">
        <w:rPr>
          <w:rFonts w:ascii="Times New Roman" w:hAnsi="Times New Roman" w:cs="Times New Roman"/>
          <w:sz w:val="22"/>
          <w:szCs w:val="22"/>
        </w:rPr>
        <w:t>, Vol. 42, No. 1 (2016), pp. 21-55.</w:t>
      </w:r>
    </w:p>
    <w:p w14:paraId="57FB0C97" w14:textId="77777777" w:rsidR="004258A4" w:rsidRDefault="004258A4" w:rsidP="004258A4">
      <w:pPr>
        <w:pStyle w:val="FootnoteText"/>
        <w:jc w:val="both"/>
        <w:rPr>
          <w:rFonts w:ascii="Times New Roman" w:hAnsi="Times New Roman" w:cs="Times New Roman"/>
          <w:sz w:val="22"/>
          <w:szCs w:val="22"/>
        </w:rPr>
      </w:pPr>
    </w:p>
    <w:p w14:paraId="551EEB73" w14:textId="77777777" w:rsidR="004258A4" w:rsidRDefault="004258A4" w:rsidP="004258A4">
      <w:pPr>
        <w:pStyle w:val="FootnoteText"/>
        <w:numPr>
          <w:ilvl w:val="0"/>
          <w:numId w:val="1"/>
        </w:numPr>
        <w:jc w:val="both"/>
        <w:rPr>
          <w:rFonts w:ascii="Times New Roman" w:hAnsi="Times New Roman" w:cs="Times New Roman"/>
          <w:sz w:val="22"/>
          <w:szCs w:val="22"/>
        </w:rPr>
      </w:pPr>
      <w:r w:rsidRPr="008F78DE">
        <w:rPr>
          <w:rFonts w:ascii="Times New Roman" w:hAnsi="Times New Roman" w:cs="Times New Roman"/>
          <w:sz w:val="22"/>
          <w:szCs w:val="22"/>
        </w:rPr>
        <w:t>Mathews</w:t>
      </w:r>
      <w:r>
        <w:rPr>
          <w:rFonts w:ascii="Times New Roman" w:hAnsi="Times New Roman" w:cs="Times New Roman"/>
          <w:sz w:val="22"/>
          <w:szCs w:val="22"/>
        </w:rPr>
        <w:t>,</w:t>
      </w:r>
      <w:r w:rsidRPr="008F78DE">
        <w:rPr>
          <w:rFonts w:ascii="Times New Roman" w:hAnsi="Times New Roman" w:cs="Times New Roman"/>
          <w:sz w:val="22"/>
          <w:szCs w:val="22"/>
        </w:rPr>
        <w:t xml:space="preserve"> Freya, </w:t>
      </w:r>
      <w:r w:rsidRPr="008F78DE">
        <w:rPr>
          <w:rFonts w:ascii="Times New Roman" w:hAnsi="Times New Roman" w:cs="Times New Roman"/>
          <w:i/>
          <w:iCs/>
          <w:sz w:val="22"/>
          <w:szCs w:val="22"/>
        </w:rPr>
        <w:t>The Ecological Self</w:t>
      </w:r>
      <w:r>
        <w:rPr>
          <w:rFonts w:ascii="Times New Roman" w:hAnsi="Times New Roman" w:cs="Times New Roman"/>
          <w:sz w:val="22"/>
          <w:szCs w:val="22"/>
        </w:rPr>
        <w:t xml:space="preserve"> </w:t>
      </w:r>
      <w:r w:rsidRPr="008F78DE">
        <w:rPr>
          <w:rFonts w:ascii="Times New Roman" w:hAnsi="Times New Roman" w:cs="Times New Roman"/>
          <w:sz w:val="22"/>
          <w:szCs w:val="22"/>
        </w:rPr>
        <w:t>(London: Routledge, 1991)</w:t>
      </w:r>
      <w:r>
        <w:rPr>
          <w:rFonts w:ascii="Times New Roman" w:hAnsi="Times New Roman" w:cs="Times New Roman"/>
          <w:sz w:val="22"/>
          <w:szCs w:val="22"/>
        </w:rPr>
        <w:t xml:space="preserve">. </w:t>
      </w:r>
    </w:p>
    <w:p w14:paraId="1E3B7884" w14:textId="77777777" w:rsidR="004258A4" w:rsidRDefault="004258A4" w:rsidP="004258A4">
      <w:pPr>
        <w:pStyle w:val="FootnoteText"/>
        <w:jc w:val="both"/>
        <w:rPr>
          <w:rFonts w:ascii="Times New Roman" w:hAnsi="Times New Roman" w:cs="Times New Roman"/>
          <w:sz w:val="22"/>
          <w:szCs w:val="22"/>
        </w:rPr>
      </w:pPr>
    </w:p>
    <w:p w14:paraId="6A8B1C58" w14:textId="77777777" w:rsidR="004258A4" w:rsidRDefault="004258A4" w:rsidP="004258A4">
      <w:pPr>
        <w:pStyle w:val="FootnoteText"/>
        <w:numPr>
          <w:ilvl w:val="0"/>
          <w:numId w:val="1"/>
        </w:numPr>
        <w:jc w:val="both"/>
        <w:rPr>
          <w:rFonts w:ascii="Times New Roman" w:hAnsi="Times New Roman" w:cs="Times New Roman"/>
          <w:sz w:val="22"/>
          <w:szCs w:val="22"/>
        </w:rPr>
      </w:pPr>
      <w:r w:rsidRPr="00A0434F">
        <w:rPr>
          <w:rFonts w:ascii="Times New Roman" w:hAnsi="Times New Roman" w:cs="Times New Roman"/>
          <w:sz w:val="22"/>
          <w:szCs w:val="22"/>
        </w:rPr>
        <w:t>Matthews, Alexander</w:t>
      </w:r>
      <w:r>
        <w:rPr>
          <w:rFonts w:ascii="Times New Roman" w:hAnsi="Times New Roman" w:cs="Times New Roman"/>
          <w:sz w:val="22"/>
          <w:szCs w:val="22"/>
        </w:rPr>
        <w:t>,</w:t>
      </w:r>
      <w:r w:rsidRPr="00A0434F">
        <w:rPr>
          <w:rFonts w:ascii="Times New Roman" w:hAnsi="Times New Roman" w:cs="Times New Roman"/>
          <w:sz w:val="22"/>
          <w:szCs w:val="22"/>
        </w:rPr>
        <w:t xml:space="preserve"> Matthew CL Phillips, Lindsay R. Matthews, Shailesh Kumar, Avinesch Pillar, and Michael B. Jameson, ‘A Pilot Study Evaluating the Effects of Relaxation Music Played on Quartz Crystal Singing Bowls on Moond in Teenage Males’, </w:t>
      </w:r>
      <w:r w:rsidRPr="00A0434F">
        <w:rPr>
          <w:rFonts w:ascii="Times New Roman" w:hAnsi="Times New Roman" w:cs="Times New Roman"/>
          <w:i/>
          <w:iCs/>
          <w:sz w:val="22"/>
          <w:szCs w:val="22"/>
        </w:rPr>
        <w:t>Journal of Psychiatry and Behavioural Sciences</w:t>
      </w:r>
      <w:r w:rsidRPr="00A0434F">
        <w:rPr>
          <w:rFonts w:ascii="Times New Roman" w:hAnsi="Times New Roman" w:cs="Times New Roman"/>
          <w:sz w:val="22"/>
          <w:szCs w:val="22"/>
        </w:rPr>
        <w:t>, 6(2), (2023), p. 1085.</w:t>
      </w:r>
    </w:p>
    <w:p w14:paraId="75CB453D" w14:textId="77777777" w:rsidR="004258A4" w:rsidRDefault="004258A4" w:rsidP="004258A4">
      <w:pPr>
        <w:pStyle w:val="ListParagraph"/>
        <w:rPr>
          <w:sz w:val="22"/>
          <w:szCs w:val="22"/>
        </w:rPr>
      </w:pPr>
    </w:p>
    <w:p w14:paraId="122C3D3C" w14:textId="77777777" w:rsidR="004258A4" w:rsidRDefault="004258A4" w:rsidP="004258A4">
      <w:pPr>
        <w:pStyle w:val="FootnoteText"/>
        <w:numPr>
          <w:ilvl w:val="0"/>
          <w:numId w:val="1"/>
        </w:numPr>
        <w:rPr>
          <w:rFonts w:ascii="Times New Roman" w:hAnsi="Times New Roman" w:cs="Times New Roman"/>
          <w:sz w:val="22"/>
          <w:szCs w:val="22"/>
        </w:rPr>
      </w:pPr>
      <w:r w:rsidRPr="00756C89">
        <w:rPr>
          <w:rFonts w:ascii="Times New Roman" w:hAnsi="Times New Roman" w:cs="Times New Roman"/>
          <w:sz w:val="22"/>
          <w:szCs w:val="22"/>
        </w:rPr>
        <w:t>Mercy</w:t>
      </w:r>
      <w:r>
        <w:rPr>
          <w:rFonts w:ascii="Times New Roman" w:hAnsi="Times New Roman" w:cs="Times New Roman"/>
          <w:sz w:val="22"/>
          <w:szCs w:val="22"/>
        </w:rPr>
        <w:t>,</w:t>
      </w:r>
      <w:r w:rsidRPr="00756C89">
        <w:rPr>
          <w:rFonts w:ascii="Times New Roman" w:hAnsi="Times New Roman" w:cs="Times New Roman"/>
          <w:sz w:val="22"/>
          <w:szCs w:val="22"/>
        </w:rPr>
        <w:t xml:space="preserve"> Halen, Brown Lizzy, and Peter Hollins, ‘Reality as Resonance: Reframing Existence Through Vibrational Ontology’, (2026): </w:t>
      </w:r>
      <w:hyperlink r:id="rId22" w:history="1">
        <w:r w:rsidRPr="00756C89">
          <w:rPr>
            <w:rStyle w:val="Hyperlink"/>
            <w:rFonts w:ascii="Times New Roman" w:hAnsi="Times New Roman" w:cs="Times New Roman"/>
            <w:sz w:val="22"/>
            <w:szCs w:val="22"/>
          </w:rPr>
          <w:t>https://www.researchgate.net/publication/400336211_Reality_as_Resonance_Reframing_Existence_Through_Vibrational_Ontology</w:t>
        </w:r>
      </w:hyperlink>
      <w:r w:rsidRPr="00756C89">
        <w:rPr>
          <w:rFonts w:ascii="Times New Roman" w:hAnsi="Times New Roman" w:cs="Times New Roman"/>
          <w:sz w:val="22"/>
          <w:szCs w:val="22"/>
        </w:rPr>
        <w:t xml:space="preserve">  [accessed 26 April 2026]</w:t>
      </w:r>
    </w:p>
    <w:p w14:paraId="4635D4E1" w14:textId="77777777" w:rsidR="004258A4" w:rsidRDefault="004258A4" w:rsidP="004258A4">
      <w:pPr>
        <w:pStyle w:val="FootnoteText"/>
        <w:jc w:val="both"/>
        <w:rPr>
          <w:rFonts w:ascii="Times New Roman" w:hAnsi="Times New Roman" w:cs="Times New Roman"/>
          <w:sz w:val="22"/>
          <w:szCs w:val="22"/>
        </w:rPr>
      </w:pPr>
    </w:p>
    <w:p w14:paraId="1A348A6A" w14:textId="77777777" w:rsidR="004258A4" w:rsidRDefault="004258A4" w:rsidP="004258A4">
      <w:pPr>
        <w:pStyle w:val="FootnoteText"/>
        <w:numPr>
          <w:ilvl w:val="0"/>
          <w:numId w:val="1"/>
        </w:numPr>
        <w:jc w:val="both"/>
        <w:rPr>
          <w:rFonts w:ascii="Times New Roman" w:hAnsi="Times New Roman" w:cs="Times New Roman"/>
          <w:sz w:val="22"/>
          <w:szCs w:val="22"/>
        </w:rPr>
      </w:pPr>
      <w:r w:rsidRPr="00A114B2">
        <w:rPr>
          <w:rFonts w:ascii="Times New Roman" w:hAnsi="Times New Roman" w:cs="Times New Roman"/>
          <w:sz w:val="22"/>
          <w:szCs w:val="22"/>
        </w:rPr>
        <w:t>Miles</w:t>
      </w:r>
      <w:r>
        <w:rPr>
          <w:rFonts w:ascii="Times New Roman" w:hAnsi="Times New Roman" w:cs="Times New Roman"/>
          <w:sz w:val="22"/>
          <w:szCs w:val="22"/>
        </w:rPr>
        <w:t>,</w:t>
      </w:r>
      <w:r w:rsidRPr="00A114B2">
        <w:rPr>
          <w:rFonts w:ascii="Times New Roman" w:hAnsi="Times New Roman" w:cs="Times New Roman"/>
          <w:sz w:val="22"/>
          <w:szCs w:val="22"/>
        </w:rPr>
        <w:t xml:space="preserve"> Pamel and Gala True, ‘Reiki—Review of a Bioﬁeld Therapy History, Theory, Practice, and Research’, </w:t>
      </w:r>
      <w:r w:rsidRPr="00A114B2">
        <w:rPr>
          <w:rFonts w:ascii="Times New Roman" w:hAnsi="Times New Roman" w:cs="Times New Roman"/>
          <w:i/>
          <w:iCs/>
          <w:sz w:val="22"/>
          <w:szCs w:val="22"/>
        </w:rPr>
        <w:t>Alternative Therapies in Health and Medicine</w:t>
      </w:r>
      <w:r w:rsidRPr="00A114B2">
        <w:rPr>
          <w:rFonts w:ascii="Times New Roman" w:hAnsi="Times New Roman" w:cs="Times New Roman"/>
          <w:sz w:val="22"/>
          <w:szCs w:val="22"/>
        </w:rPr>
        <w:t>, 9, (2003), pp. 62–72.</w:t>
      </w:r>
    </w:p>
    <w:p w14:paraId="6CAED3B4" w14:textId="77777777" w:rsidR="004258A4" w:rsidRDefault="004258A4" w:rsidP="004258A4">
      <w:pPr>
        <w:pStyle w:val="FootnoteText"/>
        <w:jc w:val="both"/>
        <w:rPr>
          <w:rFonts w:ascii="Times New Roman" w:hAnsi="Times New Roman" w:cs="Times New Roman"/>
          <w:sz w:val="22"/>
          <w:szCs w:val="22"/>
        </w:rPr>
      </w:pPr>
    </w:p>
    <w:p w14:paraId="09FCA05F" w14:textId="77777777" w:rsidR="004258A4" w:rsidRPr="00040556" w:rsidRDefault="004258A4" w:rsidP="004258A4">
      <w:pPr>
        <w:pStyle w:val="FootnoteText"/>
        <w:numPr>
          <w:ilvl w:val="0"/>
          <w:numId w:val="1"/>
        </w:numPr>
        <w:jc w:val="both"/>
        <w:rPr>
          <w:rFonts w:ascii="Times New Roman" w:hAnsi="Times New Roman" w:cs="Times New Roman"/>
          <w:sz w:val="22"/>
          <w:szCs w:val="22"/>
        </w:rPr>
      </w:pPr>
      <w:r w:rsidRPr="00040556">
        <w:rPr>
          <w:rFonts w:ascii="Times New Roman" w:hAnsi="Times New Roman" w:cs="Times New Roman"/>
          <w:sz w:val="22"/>
          <w:szCs w:val="22"/>
        </w:rPr>
        <w:t xml:space="preserve">Montmorency, Raven, ‘What Are Tibetan Singing Bowls?’, Nspirement (2019): </w:t>
      </w:r>
      <w:hyperlink r:id="rId23" w:history="1">
        <w:r w:rsidRPr="00040556">
          <w:rPr>
            <w:rStyle w:val="Hyperlink"/>
            <w:rFonts w:ascii="Times New Roman" w:hAnsi="Times New Roman" w:cs="Times New Roman"/>
            <w:sz w:val="22"/>
            <w:szCs w:val="22"/>
          </w:rPr>
          <w:t>https://nspirement.com/2019/11/10/what-are-tibetan-singing-bowls2.html</w:t>
        </w:r>
      </w:hyperlink>
      <w:r w:rsidRPr="00040556">
        <w:rPr>
          <w:rFonts w:ascii="Times New Roman" w:hAnsi="Times New Roman" w:cs="Times New Roman"/>
          <w:sz w:val="22"/>
          <w:szCs w:val="22"/>
        </w:rPr>
        <w:t xml:space="preserve"> [accessed 21 April 2026]</w:t>
      </w:r>
    </w:p>
    <w:p w14:paraId="3BA11947" w14:textId="77777777" w:rsidR="004258A4" w:rsidRDefault="004258A4" w:rsidP="004258A4">
      <w:pPr>
        <w:pStyle w:val="FootnoteText"/>
        <w:jc w:val="both"/>
        <w:rPr>
          <w:rFonts w:ascii="Times New Roman" w:hAnsi="Times New Roman" w:cs="Times New Roman"/>
          <w:sz w:val="22"/>
          <w:szCs w:val="22"/>
        </w:rPr>
      </w:pPr>
    </w:p>
    <w:p w14:paraId="2E539E8C" w14:textId="77777777" w:rsidR="004258A4" w:rsidRDefault="004258A4" w:rsidP="004258A4">
      <w:pPr>
        <w:pStyle w:val="FootnoteText"/>
        <w:numPr>
          <w:ilvl w:val="0"/>
          <w:numId w:val="1"/>
        </w:numPr>
        <w:rPr>
          <w:rFonts w:ascii="Times New Roman" w:hAnsi="Times New Roman" w:cs="Times New Roman"/>
          <w:sz w:val="22"/>
          <w:szCs w:val="22"/>
        </w:rPr>
      </w:pPr>
      <w:r w:rsidRPr="00141DAA">
        <w:rPr>
          <w:rFonts w:ascii="Times New Roman" w:hAnsi="Times New Roman" w:cs="Times New Roman"/>
          <w:sz w:val="22"/>
          <w:szCs w:val="22"/>
        </w:rPr>
        <w:t xml:space="preserve">Newcastle University, EDI Toolkit for Researchers (2026): </w:t>
      </w:r>
      <w:hyperlink r:id="rId24" w:history="1">
        <w:r w:rsidRPr="00141DAA">
          <w:rPr>
            <w:rStyle w:val="Hyperlink"/>
            <w:rFonts w:ascii="Times New Roman" w:hAnsi="Times New Roman" w:cs="Times New Roman"/>
            <w:sz w:val="22"/>
            <w:szCs w:val="22"/>
          </w:rPr>
          <w:t>https://www.ncl.ac.uk/research/culture/edi-toolkit/</w:t>
        </w:r>
      </w:hyperlink>
      <w:r w:rsidRPr="00141DAA">
        <w:rPr>
          <w:rFonts w:ascii="Times New Roman" w:hAnsi="Times New Roman" w:cs="Times New Roman"/>
          <w:sz w:val="22"/>
          <w:szCs w:val="22"/>
        </w:rPr>
        <w:t xml:space="preserve">  [accessed 13 March 2026]</w:t>
      </w:r>
    </w:p>
    <w:p w14:paraId="58F62DF6" w14:textId="77777777" w:rsidR="004258A4" w:rsidRDefault="004258A4" w:rsidP="004258A4">
      <w:pPr>
        <w:pStyle w:val="FootnoteText"/>
        <w:rPr>
          <w:rFonts w:ascii="Times New Roman" w:hAnsi="Times New Roman" w:cs="Times New Roman"/>
          <w:sz w:val="22"/>
          <w:szCs w:val="22"/>
        </w:rPr>
      </w:pPr>
    </w:p>
    <w:p w14:paraId="774E0CAE" w14:textId="77777777" w:rsidR="004258A4" w:rsidRDefault="004258A4" w:rsidP="004258A4">
      <w:pPr>
        <w:pStyle w:val="FootnoteText"/>
        <w:numPr>
          <w:ilvl w:val="0"/>
          <w:numId w:val="1"/>
        </w:numPr>
        <w:rPr>
          <w:rFonts w:ascii="Times New Roman" w:hAnsi="Times New Roman" w:cs="Times New Roman"/>
          <w:sz w:val="22"/>
          <w:szCs w:val="22"/>
        </w:rPr>
      </w:pPr>
      <w:r w:rsidRPr="00CA7EE9">
        <w:rPr>
          <w:rFonts w:ascii="Times New Roman" w:hAnsi="Times New Roman" w:cs="Times New Roman"/>
          <w:sz w:val="22"/>
          <w:szCs w:val="22"/>
        </w:rPr>
        <w:t xml:space="preserve">Office for National Statistics, Religion in England and Wales, Census 2021 (2023): </w:t>
      </w:r>
      <w:hyperlink r:id="rId25" w:history="1">
        <w:r w:rsidRPr="00B97DFC">
          <w:rPr>
            <w:rStyle w:val="Hyperlink"/>
          </w:rPr>
          <w:t>https://www.ons.gov.uk/peoplepopulationandcommunity/culturalidentity/religion/bulletins/religionenglandandwales/census2021#religion-england-and-wales-data</w:t>
        </w:r>
      </w:hyperlink>
      <w:r>
        <w:t xml:space="preserve">  </w:t>
      </w:r>
      <w:r w:rsidRPr="00CA7EE9">
        <w:rPr>
          <w:rFonts w:ascii="Times New Roman" w:hAnsi="Times New Roman" w:cs="Times New Roman"/>
          <w:sz w:val="22"/>
          <w:szCs w:val="22"/>
        </w:rPr>
        <w:t>[accessed on 17 March 2026]</w:t>
      </w:r>
    </w:p>
    <w:p w14:paraId="08497902" w14:textId="77777777" w:rsidR="004258A4" w:rsidRDefault="004258A4" w:rsidP="004258A4">
      <w:pPr>
        <w:pStyle w:val="ListParagraph"/>
        <w:rPr>
          <w:sz w:val="22"/>
          <w:szCs w:val="22"/>
        </w:rPr>
      </w:pPr>
    </w:p>
    <w:p w14:paraId="05B3F6B4" w14:textId="77777777" w:rsidR="004258A4" w:rsidRDefault="004258A4" w:rsidP="004258A4">
      <w:pPr>
        <w:pStyle w:val="FootnoteText"/>
        <w:numPr>
          <w:ilvl w:val="0"/>
          <w:numId w:val="1"/>
        </w:numPr>
        <w:rPr>
          <w:rFonts w:ascii="Times New Roman" w:hAnsi="Times New Roman" w:cs="Times New Roman"/>
          <w:sz w:val="22"/>
          <w:szCs w:val="22"/>
        </w:rPr>
      </w:pPr>
      <w:r w:rsidRPr="00CA7EE9">
        <w:rPr>
          <w:rFonts w:ascii="Times New Roman" w:hAnsi="Times New Roman" w:cs="Times New Roman"/>
          <w:sz w:val="22"/>
          <w:szCs w:val="22"/>
        </w:rPr>
        <w:t xml:space="preserve">Office for National Statistics, Detailed Religion by Age and Sex in England and Wales, Census 2021 (2023): </w:t>
      </w:r>
      <w:hyperlink r:id="rId26" w:history="1">
        <w:r w:rsidRPr="00CA7EE9">
          <w:rPr>
            <w:rStyle w:val="Hyperlink"/>
            <w:rFonts w:ascii="Times New Roman" w:hAnsi="Times New Roman" w:cs="Times New Roman"/>
            <w:sz w:val="22"/>
            <w:szCs w:val="22"/>
          </w:rPr>
          <w:t>https://www.ons.gov.uk/peoplepopulationandcommunity/culturalidentity/religion/datasets/detailedreligionbyageandsexinenglandandwales</w:t>
        </w:r>
      </w:hyperlink>
      <w:r w:rsidRPr="00CA7EE9">
        <w:rPr>
          <w:rFonts w:ascii="Times New Roman" w:hAnsi="Times New Roman" w:cs="Times New Roman"/>
          <w:sz w:val="22"/>
          <w:szCs w:val="22"/>
        </w:rPr>
        <w:t xml:space="preserve"> [accessed on 17 March 2026]</w:t>
      </w:r>
    </w:p>
    <w:p w14:paraId="640C1AF9" w14:textId="77777777" w:rsidR="004258A4" w:rsidRDefault="004258A4" w:rsidP="004258A4">
      <w:pPr>
        <w:pStyle w:val="FootnoteText"/>
        <w:jc w:val="both"/>
        <w:rPr>
          <w:rFonts w:ascii="Times New Roman" w:hAnsi="Times New Roman" w:cs="Times New Roman"/>
          <w:sz w:val="22"/>
          <w:szCs w:val="22"/>
        </w:rPr>
      </w:pPr>
    </w:p>
    <w:p w14:paraId="3F73BC84" w14:textId="77777777" w:rsidR="004258A4" w:rsidRDefault="004258A4" w:rsidP="004258A4">
      <w:pPr>
        <w:pStyle w:val="FootnoteText"/>
        <w:numPr>
          <w:ilvl w:val="0"/>
          <w:numId w:val="1"/>
        </w:numPr>
        <w:jc w:val="both"/>
        <w:rPr>
          <w:rFonts w:ascii="Times New Roman" w:hAnsi="Times New Roman" w:cs="Times New Roman"/>
          <w:sz w:val="22"/>
          <w:szCs w:val="22"/>
        </w:rPr>
      </w:pPr>
      <w:r w:rsidRPr="0057560A">
        <w:rPr>
          <w:rFonts w:ascii="Times New Roman" w:hAnsi="Times New Roman" w:cs="Times New Roman"/>
          <w:sz w:val="22"/>
          <w:szCs w:val="22"/>
        </w:rPr>
        <w:t>Oppenheim,</w:t>
      </w:r>
      <w:r>
        <w:rPr>
          <w:rFonts w:ascii="Times New Roman" w:hAnsi="Times New Roman" w:cs="Times New Roman"/>
          <w:sz w:val="22"/>
          <w:szCs w:val="22"/>
        </w:rPr>
        <w:t xml:space="preserve"> </w:t>
      </w:r>
      <w:r w:rsidRPr="0057560A">
        <w:rPr>
          <w:rFonts w:ascii="Times New Roman" w:hAnsi="Times New Roman" w:cs="Times New Roman"/>
          <w:sz w:val="22"/>
          <w:szCs w:val="22"/>
        </w:rPr>
        <w:t>A.Leo</w:t>
      </w:r>
      <w:r>
        <w:rPr>
          <w:rFonts w:ascii="Times New Roman" w:hAnsi="Times New Roman" w:cs="Times New Roman"/>
          <w:sz w:val="22"/>
          <w:szCs w:val="22"/>
        </w:rPr>
        <w:t>,</w:t>
      </w:r>
      <w:r w:rsidRPr="0057560A">
        <w:rPr>
          <w:rFonts w:ascii="Times New Roman" w:hAnsi="Times New Roman" w:cs="Times New Roman"/>
          <w:sz w:val="22"/>
          <w:szCs w:val="22"/>
        </w:rPr>
        <w:t xml:space="preserve"> </w:t>
      </w:r>
      <w:r w:rsidRPr="0057560A">
        <w:rPr>
          <w:rFonts w:ascii="Times New Roman" w:hAnsi="Times New Roman" w:cs="Times New Roman"/>
          <w:i/>
          <w:iCs/>
          <w:sz w:val="22"/>
          <w:szCs w:val="22"/>
        </w:rPr>
        <w:t>Ancient Mesopotamia: Portrait of a Dead Civilisation</w:t>
      </w:r>
      <w:r w:rsidRPr="0057560A">
        <w:rPr>
          <w:rFonts w:ascii="Times New Roman" w:hAnsi="Times New Roman" w:cs="Times New Roman"/>
          <w:sz w:val="22"/>
          <w:szCs w:val="22"/>
        </w:rPr>
        <w:t>. Revised edition. (Chicago: University of Chicago Press, 1977).</w:t>
      </w:r>
    </w:p>
    <w:p w14:paraId="5613E9AC" w14:textId="77777777" w:rsidR="004258A4" w:rsidRDefault="004258A4" w:rsidP="004258A4">
      <w:pPr>
        <w:pStyle w:val="FootnoteText"/>
        <w:jc w:val="both"/>
        <w:rPr>
          <w:rFonts w:ascii="Times New Roman" w:hAnsi="Times New Roman" w:cs="Times New Roman"/>
          <w:sz w:val="22"/>
          <w:szCs w:val="22"/>
        </w:rPr>
      </w:pPr>
    </w:p>
    <w:p w14:paraId="54F83D88" w14:textId="77777777" w:rsidR="004258A4" w:rsidRDefault="004258A4" w:rsidP="004258A4">
      <w:pPr>
        <w:pStyle w:val="FootnoteText"/>
        <w:numPr>
          <w:ilvl w:val="0"/>
          <w:numId w:val="1"/>
        </w:numPr>
        <w:jc w:val="both"/>
        <w:rPr>
          <w:rFonts w:ascii="Times New Roman" w:hAnsi="Times New Roman" w:cs="Times New Roman"/>
          <w:sz w:val="22"/>
          <w:szCs w:val="22"/>
        </w:rPr>
      </w:pPr>
      <w:r w:rsidRPr="00595252">
        <w:rPr>
          <w:rFonts w:ascii="Times New Roman" w:hAnsi="Times New Roman" w:cs="Times New Roman"/>
          <w:sz w:val="22"/>
          <w:szCs w:val="22"/>
        </w:rPr>
        <w:t>Pasang</w:t>
      </w:r>
      <w:r>
        <w:rPr>
          <w:rFonts w:ascii="Times New Roman" w:hAnsi="Times New Roman" w:cs="Times New Roman"/>
          <w:sz w:val="22"/>
          <w:szCs w:val="22"/>
        </w:rPr>
        <w:t>,</w:t>
      </w:r>
      <w:r w:rsidRPr="00595252">
        <w:rPr>
          <w:rFonts w:ascii="Times New Roman" w:hAnsi="Times New Roman" w:cs="Times New Roman"/>
          <w:sz w:val="22"/>
          <w:szCs w:val="22"/>
        </w:rPr>
        <w:t xml:space="preserve"> Tenzin, </w:t>
      </w:r>
      <w:r w:rsidRPr="00595252">
        <w:rPr>
          <w:rFonts w:ascii="Times New Roman" w:hAnsi="Times New Roman" w:cs="Times New Roman"/>
          <w:i/>
          <w:iCs/>
          <w:sz w:val="22"/>
          <w:szCs w:val="22"/>
        </w:rPr>
        <w:t>The Tibetan Singing Bowl: A Step-by-Step Sound Therapy Guide</w:t>
      </w:r>
      <w:r w:rsidRPr="00595252">
        <w:rPr>
          <w:rFonts w:ascii="Times New Roman" w:hAnsi="Times New Roman" w:cs="Times New Roman"/>
          <w:sz w:val="22"/>
          <w:szCs w:val="22"/>
        </w:rPr>
        <w:t>, (London: The Little Tibet, 2019), pp. 14-16.</w:t>
      </w:r>
    </w:p>
    <w:p w14:paraId="525D6046" w14:textId="77777777" w:rsidR="004258A4" w:rsidRDefault="004258A4" w:rsidP="004258A4">
      <w:pPr>
        <w:pStyle w:val="FootnoteText"/>
        <w:jc w:val="both"/>
        <w:rPr>
          <w:rFonts w:ascii="Times New Roman" w:hAnsi="Times New Roman" w:cs="Times New Roman"/>
          <w:sz w:val="22"/>
          <w:szCs w:val="22"/>
        </w:rPr>
      </w:pPr>
    </w:p>
    <w:p w14:paraId="63433D69" w14:textId="77777777" w:rsidR="004258A4" w:rsidRDefault="004258A4" w:rsidP="004258A4">
      <w:pPr>
        <w:pStyle w:val="FootnoteText"/>
        <w:numPr>
          <w:ilvl w:val="0"/>
          <w:numId w:val="1"/>
        </w:numPr>
        <w:jc w:val="both"/>
        <w:rPr>
          <w:rFonts w:ascii="Times New Roman" w:hAnsi="Times New Roman" w:cs="Times New Roman"/>
          <w:sz w:val="22"/>
          <w:szCs w:val="22"/>
        </w:rPr>
      </w:pPr>
      <w:r w:rsidRPr="004856EC">
        <w:rPr>
          <w:rFonts w:ascii="Times New Roman" w:hAnsi="Times New Roman" w:cs="Times New Roman"/>
          <w:sz w:val="22"/>
          <w:szCs w:val="22"/>
        </w:rPr>
        <w:t>Perry</w:t>
      </w:r>
      <w:r>
        <w:rPr>
          <w:rFonts w:ascii="Times New Roman" w:hAnsi="Times New Roman" w:cs="Times New Roman"/>
          <w:sz w:val="22"/>
          <w:szCs w:val="22"/>
        </w:rPr>
        <w:t>,</w:t>
      </w:r>
      <w:r w:rsidRPr="004856EC">
        <w:rPr>
          <w:rFonts w:ascii="Times New Roman" w:hAnsi="Times New Roman" w:cs="Times New Roman"/>
          <w:sz w:val="22"/>
          <w:szCs w:val="22"/>
        </w:rPr>
        <w:t xml:space="preserve"> Frank, </w:t>
      </w:r>
      <w:r w:rsidRPr="004856EC">
        <w:rPr>
          <w:rFonts w:ascii="Times New Roman" w:hAnsi="Times New Roman" w:cs="Times New Roman"/>
          <w:i/>
          <w:iCs/>
          <w:sz w:val="22"/>
          <w:szCs w:val="22"/>
        </w:rPr>
        <w:t>Himalayan Sound Revelations: The Complete Singing Bowl Book</w:t>
      </w:r>
      <w:r w:rsidRPr="004856EC">
        <w:rPr>
          <w:rFonts w:ascii="Times New Roman" w:hAnsi="Times New Roman" w:cs="Times New Roman"/>
          <w:sz w:val="22"/>
          <w:szCs w:val="22"/>
        </w:rPr>
        <w:t>, (London: Polair Publishing, 2022), pp.54-56.</w:t>
      </w:r>
    </w:p>
    <w:p w14:paraId="2597D923" w14:textId="77777777" w:rsidR="004258A4" w:rsidRDefault="004258A4" w:rsidP="004258A4">
      <w:pPr>
        <w:pStyle w:val="FootnoteText"/>
        <w:jc w:val="both"/>
        <w:rPr>
          <w:rFonts w:ascii="Times New Roman" w:hAnsi="Times New Roman" w:cs="Times New Roman"/>
          <w:sz w:val="22"/>
          <w:szCs w:val="22"/>
        </w:rPr>
      </w:pPr>
    </w:p>
    <w:p w14:paraId="4D71CE15" w14:textId="77777777" w:rsidR="004258A4" w:rsidRDefault="004258A4" w:rsidP="004258A4">
      <w:pPr>
        <w:pStyle w:val="FootnoteText"/>
        <w:jc w:val="both"/>
        <w:rPr>
          <w:rFonts w:ascii="Times New Roman" w:hAnsi="Times New Roman" w:cs="Times New Roman"/>
          <w:sz w:val="22"/>
          <w:szCs w:val="22"/>
        </w:rPr>
      </w:pPr>
    </w:p>
    <w:p w14:paraId="21FBE894" w14:textId="77777777" w:rsidR="004258A4" w:rsidRDefault="004258A4" w:rsidP="004258A4">
      <w:pPr>
        <w:pStyle w:val="FootnoteText"/>
        <w:numPr>
          <w:ilvl w:val="0"/>
          <w:numId w:val="1"/>
        </w:numPr>
        <w:jc w:val="both"/>
        <w:rPr>
          <w:rFonts w:ascii="Times New Roman" w:hAnsi="Times New Roman" w:cs="Times New Roman"/>
          <w:sz w:val="22"/>
          <w:szCs w:val="22"/>
        </w:rPr>
      </w:pPr>
      <w:r w:rsidRPr="00BD4657">
        <w:rPr>
          <w:rFonts w:ascii="Times New Roman" w:hAnsi="Times New Roman" w:cs="Times New Roman"/>
          <w:sz w:val="22"/>
          <w:szCs w:val="22"/>
        </w:rPr>
        <w:t xml:space="preserve">Piedmont, Ralph L, ‘The Contribution of Religiousness and Spirituality to Subjective Wellbeing and Satisfaction with Life’, in </w:t>
      </w:r>
      <w:r w:rsidRPr="00BD4657">
        <w:rPr>
          <w:rFonts w:ascii="Times New Roman" w:hAnsi="Times New Roman" w:cs="Times New Roman"/>
          <w:i/>
          <w:iCs/>
          <w:sz w:val="22"/>
          <w:szCs w:val="22"/>
        </w:rPr>
        <w:t>International Handbook of Education for Spirituality, Care and Wellbeing</w:t>
      </w:r>
      <w:r w:rsidRPr="00BD4657">
        <w:rPr>
          <w:rFonts w:ascii="Times New Roman" w:hAnsi="Times New Roman" w:cs="Times New Roman"/>
          <w:sz w:val="22"/>
          <w:szCs w:val="22"/>
        </w:rPr>
        <w:t>. Ed. by Marian de Souza, Leslie J. Francis, James O’Higgins-Norman and Daniel Scott. (Dordrecht: Springer, 2009), pp. 89–105.</w:t>
      </w:r>
    </w:p>
    <w:p w14:paraId="58162D49" w14:textId="77777777" w:rsidR="004258A4" w:rsidRDefault="004258A4" w:rsidP="004258A4">
      <w:pPr>
        <w:pStyle w:val="FootnoteText"/>
        <w:jc w:val="both"/>
        <w:rPr>
          <w:rFonts w:ascii="Times New Roman" w:hAnsi="Times New Roman" w:cs="Times New Roman"/>
          <w:sz w:val="22"/>
          <w:szCs w:val="22"/>
        </w:rPr>
      </w:pPr>
    </w:p>
    <w:p w14:paraId="65D43A36" w14:textId="77777777" w:rsidR="004258A4" w:rsidRPr="0099217E" w:rsidRDefault="004258A4" w:rsidP="004258A4">
      <w:pPr>
        <w:pStyle w:val="FootnoteText"/>
        <w:numPr>
          <w:ilvl w:val="0"/>
          <w:numId w:val="1"/>
        </w:numPr>
        <w:jc w:val="both"/>
        <w:rPr>
          <w:rFonts w:ascii="Times New Roman" w:hAnsi="Times New Roman" w:cs="Times New Roman"/>
          <w:sz w:val="22"/>
          <w:szCs w:val="22"/>
        </w:rPr>
      </w:pPr>
      <w:r w:rsidRPr="0099217E">
        <w:rPr>
          <w:rFonts w:ascii="Times New Roman" w:hAnsi="Times New Roman" w:cs="Times New Roman"/>
          <w:sz w:val="22"/>
          <w:szCs w:val="22"/>
        </w:rPr>
        <w:t xml:space="preserve">Presencer, Alain, </w:t>
      </w:r>
      <w:r w:rsidRPr="0099217E">
        <w:rPr>
          <w:rFonts w:ascii="Times New Roman" w:hAnsi="Times New Roman" w:cs="Times New Roman"/>
          <w:i/>
          <w:iCs/>
          <w:sz w:val="22"/>
          <w:szCs w:val="22"/>
        </w:rPr>
        <w:t>Tibetan Buddhist Art: A Spectacular Illustrated Introduction to the History of Tibetan Buddhist Art</w:t>
      </w:r>
      <w:r w:rsidRPr="0099217E">
        <w:rPr>
          <w:rFonts w:ascii="Times New Roman" w:hAnsi="Times New Roman" w:cs="Times New Roman"/>
          <w:sz w:val="22"/>
          <w:szCs w:val="22"/>
        </w:rPr>
        <w:t xml:space="preserve"> (Dublin &amp; London: Quartet Books, 2019).   </w:t>
      </w:r>
    </w:p>
    <w:p w14:paraId="19CA0AA7" w14:textId="77777777" w:rsidR="004258A4" w:rsidRPr="00677376" w:rsidRDefault="004258A4" w:rsidP="004258A4">
      <w:pPr>
        <w:pStyle w:val="FootnoteText"/>
        <w:jc w:val="both"/>
        <w:rPr>
          <w:rFonts w:ascii="Times New Roman" w:hAnsi="Times New Roman" w:cs="Times New Roman"/>
          <w:sz w:val="22"/>
          <w:szCs w:val="22"/>
        </w:rPr>
      </w:pPr>
    </w:p>
    <w:p w14:paraId="770764C2" w14:textId="77777777" w:rsidR="004258A4" w:rsidRDefault="004258A4" w:rsidP="004258A4">
      <w:pPr>
        <w:pStyle w:val="FootnoteText"/>
        <w:numPr>
          <w:ilvl w:val="0"/>
          <w:numId w:val="1"/>
        </w:numPr>
        <w:jc w:val="both"/>
        <w:rPr>
          <w:rFonts w:ascii="Times New Roman" w:hAnsi="Times New Roman" w:cs="Times New Roman"/>
          <w:sz w:val="22"/>
          <w:szCs w:val="22"/>
        </w:rPr>
      </w:pPr>
      <w:r w:rsidRPr="00677376">
        <w:rPr>
          <w:rFonts w:ascii="Times New Roman" w:hAnsi="Times New Roman" w:cs="Times New Roman"/>
          <w:sz w:val="22"/>
          <w:szCs w:val="22"/>
        </w:rPr>
        <w:t>Pyysiäinen, Ilkka, </w:t>
      </w:r>
      <w:r w:rsidRPr="00677376">
        <w:rPr>
          <w:rFonts w:ascii="Times New Roman" w:hAnsi="Times New Roman" w:cs="Times New Roman"/>
          <w:i/>
          <w:iCs/>
          <w:sz w:val="22"/>
          <w:szCs w:val="22"/>
        </w:rPr>
        <w:t xml:space="preserve"> Supernatural Agents: Why We Believe in Souls, Gods, and Buddhas</w:t>
      </w:r>
      <w:r w:rsidRPr="00677376">
        <w:rPr>
          <w:rFonts w:ascii="Times New Roman" w:hAnsi="Times New Roman" w:cs="Times New Roman"/>
          <w:sz w:val="22"/>
          <w:szCs w:val="22"/>
        </w:rPr>
        <w:t> (New York: Oxford Academic Books, 2009; online edition, Oxford Academic, 2009)</w:t>
      </w:r>
      <w:r>
        <w:rPr>
          <w:rFonts w:ascii="Times New Roman" w:hAnsi="Times New Roman" w:cs="Times New Roman"/>
          <w:sz w:val="22"/>
          <w:szCs w:val="22"/>
        </w:rPr>
        <w:t xml:space="preserve">. </w:t>
      </w:r>
    </w:p>
    <w:p w14:paraId="71B15A3D" w14:textId="77777777" w:rsidR="004258A4" w:rsidRDefault="004258A4" w:rsidP="004258A4">
      <w:pPr>
        <w:pStyle w:val="FootnoteText"/>
        <w:jc w:val="both"/>
        <w:rPr>
          <w:rFonts w:ascii="Times New Roman" w:hAnsi="Times New Roman" w:cs="Times New Roman"/>
          <w:sz w:val="22"/>
          <w:szCs w:val="22"/>
        </w:rPr>
      </w:pPr>
    </w:p>
    <w:p w14:paraId="3BDFC86D" w14:textId="77777777" w:rsidR="004258A4" w:rsidRDefault="004258A4" w:rsidP="004258A4">
      <w:pPr>
        <w:pStyle w:val="FootnoteText"/>
        <w:numPr>
          <w:ilvl w:val="0"/>
          <w:numId w:val="1"/>
        </w:numPr>
        <w:jc w:val="both"/>
        <w:rPr>
          <w:rFonts w:ascii="Times New Roman" w:hAnsi="Times New Roman" w:cs="Times New Roman"/>
          <w:sz w:val="22"/>
          <w:szCs w:val="22"/>
        </w:rPr>
      </w:pPr>
      <w:r w:rsidRPr="007D72DD">
        <w:rPr>
          <w:rFonts w:ascii="Times New Roman" w:hAnsi="Times New Roman" w:cs="Times New Roman"/>
          <w:sz w:val="22"/>
          <w:szCs w:val="22"/>
        </w:rPr>
        <w:t>Reedy</w:t>
      </w:r>
      <w:r>
        <w:rPr>
          <w:rFonts w:ascii="Times New Roman" w:hAnsi="Times New Roman" w:cs="Times New Roman"/>
          <w:sz w:val="22"/>
          <w:szCs w:val="22"/>
        </w:rPr>
        <w:t>,</w:t>
      </w:r>
      <w:r w:rsidRPr="007D72DD">
        <w:rPr>
          <w:rFonts w:ascii="Times New Roman" w:hAnsi="Times New Roman" w:cs="Times New Roman"/>
          <w:sz w:val="22"/>
          <w:szCs w:val="22"/>
        </w:rPr>
        <w:t xml:space="preserve"> Chandra L., A Tibetan Text on Metalworking from the Collected Writing of ‘Ju Mi-Pham, </w:t>
      </w:r>
      <w:r w:rsidRPr="009F76EA">
        <w:rPr>
          <w:rFonts w:ascii="Times New Roman" w:hAnsi="Times New Roman" w:cs="Times New Roman"/>
          <w:i/>
          <w:iCs/>
          <w:sz w:val="22"/>
          <w:szCs w:val="22"/>
        </w:rPr>
        <w:t>Historical Metallurgy</w:t>
      </w:r>
      <w:r w:rsidRPr="007D72DD">
        <w:rPr>
          <w:rFonts w:ascii="Times New Roman" w:hAnsi="Times New Roman" w:cs="Times New Roman"/>
          <w:sz w:val="22"/>
          <w:szCs w:val="22"/>
        </w:rPr>
        <w:t>, Vol. 25 No. 1 (2022), pp. 37-46.</w:t>
      </w:r>
    </w:p>
    <w:p w14:paraId="1318D797" w14:textId="77777777" w:rsidR="004258A4" w:rsidRDefault="004258A4" w:rsidP="004258A4">
      <w:pPr>
        <w:pStyle w:val="FootnoteText"/>
        <w:jc w:val="both"/>
        <w:rPr>
          <w:rFonts w:ascii="Times New Roman" w:hAnsi="Times New Roman" w:cs="Times New Roman"/>
          <w:sz w:val="22"/>
          <w:szCs w:val="22"/>
        </w:rPr>
      </w:pPr>
    </w:p>
    <w:p w14:paraId="3B13751A" w14:textId="77777777" w:rsidR="004258A4" w:rsidRDefault="004258A4" w:rsidP="004258A4">
      <w:pPr>
        <w:pStyle w:val="FootnoteText"/>
        <w:numPr>
          <w:ilvl w:val="0"/>
          <w:numId w:val="1"/>
        </w:numPr>
        <w:jc w:val="both"/>
        <w:rPr>
          <w:rFonts w:ascii="Times New Roman" w:hAnsi="Times New Roman" w:cs="Times New Roman"/>
          <w:sz w:val="22"/>
          <w:szCs w:val="22"/>
        </w:rPr>
      </w:pPr>
      <w:r w:rsidRPr="0002713C">
        <w:rPr>
          <w:rFonts w:ascii="Times New Roman" w:hAnsi="Times New Roman" w:cs="Times New Roman"/>
          <w:sz w:val="22"/>
          <w:szCs w:val="22"/>
        </w:rPr>
        <w:t>Shakya</w:t>
      </w:r>
      <w:r>
        <w:rPr>
          <w:rFonts w:ascii="Times New Roman" w:hAnsi="Times New Roman" w:cs="Times New Roman"/>
          <w:sz w:val="22"/>
          <w:szCs w:val="22"/>
        </w:rPr>
        <w:t>-</w:t>
      </w:r>
      <w:r w:rsidRPr="0002713C">
        <w:rPr>
          <w:rFonts w:ascii="Times New Roman" w:hAnsi="Times New Roman" w:cs="Times New Roman"/>
          <w:sz w:val="22"/>
          <w:szCs w:val="22"/>
        </w:rPr>
        <w:t>Kasa</w:t>
      </w:r>
      <w:r>
        <w:rPr>
          <w:rFonts w:ascii="Times New Roman" w:hAnsi="Times New Roman" w:cs="Times New Roman"/>
          <w:sz w:val="22"/>
          <w:szCs w:val="22"/>
        </w:rPr>
        <w:t>,</w:t>
      </w:r>
      <w:r w:rsidRPr="0002713C">
        <w:rPr>
          <w:rFonts w:ascii="Times New Roman" w:hAnsi="Times New Roman" w:cs="Times New Roman"/>
          <w:sz w:val="22"/>
          <w:szCs w:val="22"/>
        </w:rPr>
        <w:t xml:space="preserve"> Santa Ratna, </w:t>
      </w:r>
      <w:r w:rsidRPr="0002713C">
        <w:rPr>
          <w:rFonts w:ascii="Times New Roman" w:hAnsi="Times New Roman" w:cs="Times New Roman"/>
          <w:i/>
          <w:iCs/>
          <w:sz w:val="22"/>
          <w:szCs w:val="22"/>
        </w:rPr>
        <w:t>Himalayan Singing Bowl: Tuning the Mind, Healing the Body</w:t>
      </w:r>
      <w:r w:rsidRPr="0002713C">
        <w:rPr>
          <w:rFonts w:ascii="Times New Roman" w:hAnsi="Times New Roman" w:cs="Times New Roman"/>
          <w:sz w:val="22"/>
          <w:szCs w:val="22"/>
        </w:rPr>
        <w:t>, (Nepal: The Shakya Kasa Research Centre, 2024).</w:t>
      </w:r>
    </w:p>
    <w:p w14:paraId="74803797" w14:textId="77777777" w:rsidR="004258A4" w:rsidRDefault="004258A4" w:rsidP="004258A4">
      <w:pPr>
        <w:pStyle w:val="FootnoteText"/>
        <w:jc w:val="both"/>
        <w:rPr>
          <w:rFonts w:ascii="Times New Roman" w:hAnsi="Times New Roman" w:cs="Times New Roman"/>
          <w:sz w:val="22"/>
          <w:szCs w:val="22"/>
        </w:rPr>
      </w:pPr>
    </w:p>
    <w:p w14:paraId="75E19131" w14:textId="77777777" w:rsidR="004258A4" w:rsidRDefault="004258A4" w:rsidP="004258A4">
      <w:pPr>
        <w:pStyle w:val="FootnoteText"/>
        <w:numPr>
          <w:ilvl w:val="0"/>
          <w:numId w:val="1"/>
        </w:numPr>
        <w:jc w:val="both"/>
        <w:rPr>
          <w:rFonts w:ascii="Times New Roman" w:hAnsi="Times New Roman" w:cs="Times New Roman"/>
          <w:sz w:val="22"/>
          <w:szCs w:val="22"/>
        </w:rPr>
      </w:pPr>
      <w:r w:rsidRPr="00B73432">
        <w:rPr>
          <w:rFonts w:ascii="Times New Roman" w:hAnsi="Times New Roman" w:cs="Times New Roman"/>
          <w:sz w:val="22"/>
          <w:szCs w:val="22"/>
        </w:rPr>
        <w:t xml:space="preserve">Shamans Market, Tibetan Singing Bowls (2015): </w:t>
      </w:r>
      <w:hyperlink r:id="rId27" w:history="1">
        <w:r w:rsidRPr="00B73432">
          <w:rPr>
            <w:rStyle w:val="Hyperlink"/>
            <w:rFonts w:ascii="Times New Roman" w:hAnsi="Times New Roman" w:cs="Times New Roman"/>
            <w:sz w:val="22"/>
            <w:szCs w:val="22"/>
          </w:rPr>
          <w:t>https://www.shamansmarket.com/en-gb/blogs/musings/tibetan-singing-bowls</w:t>
        </w:r>
      </w:hyperlink>
      <w:r w:rsidRPr="00B73432">
        <w:rPr>
          <w:rFonts w:ascii="Times New Roman" w:hAnsi="Times New Roman" w:cs="Times New Roman"/>
          <w:sz w:val="22"/>
          <w:szCs w:val="22"/>
        </w:rPr>
        <w:t xml:space="preserve"> [accessed 21 April 2026]</w:t>
      </w:r>
    </w:p>
    <w:p w14:paraId="698BF005" w14:textId="77777777" w:rsidR="004258A4" w:rsidRDefault="004258A4" w:rsidP="004258A4">
      <w:pPr>
        <w:pStyle w:val="ListParagraph"/>
        <w:rPr>
          <w:sz w:val="22"/>
          <w:szCs w:val="22"/>
        </w:rPr>
      </w:pPr>
    </w:p>
    <w:p w14:paraId="3883ED52" w14:textId="77777777" w:rsidR="004258A4" w:rsidRDefault="004258A4" w:rsidP="004258A4">
      <w:pPr>
        <w:pStyle w:val="FootnoteText"/>
        <w:numPr>
          <w:ilvl w:val="0"/>
          <w:numId w:val="1"/>
        </w:numPr>
        <w:jc w:val="both"/>
        <w:rPr>
          <w:rFonts w:ascii="Times New Roman" w:hAnsi="Times New Roman" w:cs="Times New Roman"/>
          <w:sz w:val="22"/>
          <w:szCs w:val="22"/>
        </w:rPr>
      </w:pPr>
      <w:r w:rsidRPr="002A6914">
        <w:rPr>
          <w:rFonts w:ascii="Times New Roman" w:hAnsi="Times New Roman" w:cs="Times New Roman"/>
          <w:sz w:val="22"/>
          <w:szCs w:val="22"/>
        </w:rPr>
        <w:t>Sharamon</w:t>
      </w:r>
      <w:r>
        <w:rPr>
          <w:rFonts w:ascii="Times New Roman" w:hAnsi="Times New Roman" w:cs="Times New Roman"/>
          <w:sz w:val="22"/>
          <w:szCs w:val="22"/>
        </w:rPr>
        <w:t>,</w:t>
      </w:r>
      <w:r w:rsidRPr="002A6914">
        <w:rPr>
          <w:rFonts w:ascii="Times New Roman" w:hAnsi="Times New Roman" w:cs="Times New Roman"/>
          <w:sz w:val="22"/>
          <w:szCs w:val="22"/>
        </w:rPr>
        <w:t xml:space="preserve"> Shalila &amp; Bodo J. Baginski, </w:t>
      </w:r>
      <w:r w:rsidRPr="002A6914">
        <w:rPr>
          <w:rFonts w:ascii="Times New Roman" w:hAnsi="Times New Roman" w:cs="Times New Roman"/>
          <w:i/>
          <w:iCs/>
          <w:sz w:val="22"/>
          <w:szCs w:val="22"/>
        </w:rPr>
        <w:t>The Chakra-Handbook: From Basic Understanding to Practical Application</w:t>
      </w:r>
      <w:r w:rsidRPr="002A6914">
        <w:rPr>
          <w:rFonts w:ascii="Times New Roman" w:hAnsi="Times New Roman" w:cs="Times New Roman"/>
          <w:sz w:val="22"/>
          <w:szCs w:val="22"/>
        </w:rPr>
        <w:t>, (Delhi: Motilal Banarsidass Publishers, 2003).</w:t>
      </w:r>
    </w:p>
    <w:p w14:paraId="38344625" w14:textId="77777777" w:rsidR="004258A4" w:rsidRDefault="004258A4" w:rsidP="004258A4">
      <w:pPr>
        <w:pStyle w:val="ListParagraph"/>
        <w:rPr>
          <w:sz w:val="22"/>
          <w:szCs w:val="22"/>
        </w:rPr>
      </w:pPr>
    </w:p>
    <w:p w14:paraId="4873CDBC" w14:textId="77777777" w:rsidR="004258A4" w:rsidRDefault="004258A4" w:rsidP="004258A4">
      <w:pPr>
        <w:pStyle w:val="FootnoteText"/>
        <w:numPr>
          <w:ilvl w:val="0"/>
          <w:numId w:val="1"/>
        </w:numPr>
        <w:jc w:val="both"/>
        <w:rPr>
          <w:rFonts w:ascii="Times New Roman" w:hAnsi="Times New Roman" w:cs="Times New Roman"/>
          <w:sz w:val="22"/>
          <w:szCs w:val="22"/>
        </w:rPr>
      </w:pPr>
      <w:r w:rsidRPr="00290A22">
        <w:rPr>
          <w:rFonts w:ascii="Times New Roman" w:hAnsi="Times New Roman" w:cs="Times New Roman"/>
          <w:sz w:val="22"/>
          <w:szCs w:val="22"/>
        </w:rPr>
        <w:t xml:space="preserve">Sheppard, E, ‘The Therapeutic Power of Altered States of Consciousness’, in </w:t>
      </w:r>
      <w:r w:rsidRPr="00290A22">
        <w:rPr>
          <w:rFonts w:ascii="Times New Roman" w:hAnsi="Times New Roman" w:cs="Times New Roman"/>
          <w:i/>
          <w:iCs/>
          <w:sz w:val="22"/>
          <w:szCs w:val="22"/>
        </w:rPr>
        <w:t>Mild Altered States of Consciousness</w:t>
      </w:r>
      <w:r w:rsidRPr="00290A22">
        <w:rPr>
          <w:rFonts w:ascii="Times New Roman" w:hAnsi="Times New Roman" w:cs="Times New Roman"/>
          <w:sz w:val="22"/>
          <w:szCs w:val="22"/>
        </w:rPr>
        <w:t>, (London: Palgrave Macmillan, 2024)</w:t>
      </w:r>
      <w:r>
        <w:rPr>
          <w:rFonts w:ascii="Times New Roman" w:hAnsi="Times New Roman" w:cs="Times New Roman"/>
          <w:sz w:val="22"/>
          <w:szCs w:val="22"/>
        </w:rPr>
        <w:t xml:space="preserve">. </w:t>
      </w:r>
    </w:p>
    <w:p w14:paraId="4DC96D00" w14:textId="77777777" w:rsidR="004258A4" w:rsidRDefault="004258A4" w:rsidP="004258A4">
      <w:pPr>
        <w:pStyle w:val="ListParagraph"/>
        <w:rPr>
          <w:sz w:val="22"/>
          <w:szCs w:val="22"/>
        </w:rPr>
      </w:pPr>
    </w:p>
    <w:p w14:paraId="4367832C" w14:textId="77777777" w:rsidR="004258A4" w:rsidRPr="00CE0D2A" w:rsidRDefault="004258A4" w:rsidP="004258A4">
      <w:pPr>
        <w:pStyle w:val="FootnoteText"/>
        <w:numPr>
          <w:ilvl w:val="0"/>
          <w:numId w:val="1"/>
        </w:numPr>
        <w:jc w:val="both"/>
        <w:rPr>
          <w:rFonts w:ascii="Times New Roman" w:hAnsi="Times New Roman" w:cs="Times New Roman"/>
          <w:sz w:val="22"/>
          <w:szCs w:val="22"/>
        </w:rPr>
      </w:pPr>
      <w:r w:rsidRPr="007A3416">
        <w:rPr>
          <w:rFonts w:ascii="Times New Roman" w:hAnsi="Times New Roman" w:cs="Times New Roman"/>
          <w:sz w:val="22"/>
          <w:szCs w:val="22"/>
        </w:rPr>
        <w:t>Settle, Isaac R.</w:t>
      </w:r>
      <w:r>
        <w:rPr>
          <w:rFonts w:ascii="Times New Roman" w:hAnsi="Times New Roman" w:cs="Times New Roman"/>
          <w:sz w:val="22"/>
          <w:szCs w:val="22"/>
        </w:rPr>
        <w:t>,</w:t>
      </w:r>
      <w:r w:rsidRPr="007A3416">
        <w:rPr>
          <w:rFonts w:ascii="Times New Roman" w:hAnsi="Times New Roman" w:cs="Times New Roman"/>
          <w:sz w:val="22"/>
          <w:szCs w:val="22"/>
        </w:rPr>
        <w:t xml:space="preserve"> Kathryn Dispennette, &amp; Brian D. Patchett, ‘Empirical Analysis of Modal Precession in Crystalline Himalayan Singing Bowls’, </w:t>
      </w:r>
      <w:r w:rsidRPr="007A3416">
        <w:rPr>
          <w:rFonts w:ascii="Times New Roman" w:hAnsi="Times New Roman" w:cs="Times New Roman"/>
          <w:i/>
          <w:iCs/>
          <w:sz w:val="22"/>
          <w:szCs w:val="22"/>
        </w:rPr>
        <w:t>Journal of Acoustical Society of America</w:t>
      </w:r>
      <w:r w:rsidRPr="007A3416">
        <w:rPr>
          <w:rFonts w:ascii="Times New Roman" w:hAnsi="Times New Roman" w:cs="Times New Roman"/>
          <w:sz w:val="22"/>
          <w:szCs w:val="22"/>
        </w:rPr>
        <w:t>, 157, (2025), A26.</w:t>
      </w:r>
    </w:p>
    <w:p w14:paraId="75201795" w14:textId="77777777" w:rsidR="004258A4" w:rsidRDefault="004258A4" w:rsidP="004258A4">
      <w:pPr>
        <w:pStyle w:val="FootnoteText"/>
        <w:jc w:val="both"/>
        <w:rPr>
          <w:rFonts w:ascii="Times New Roman" w:hAnsi="Times New Roman" w:cs="Times New Roman"/>
          <w:sz w:val="22"/>
          <w:szCs w:val="22"/>
        </w:rPr>
      </w:pPr>
    </w:p>
    <w:p w14:paraId="6B359ED8" w14:textId="77777777" w:rsidR="004258A4" w:rsidRPr="00A114B2" w:rsidRDefault="004258A4" w:rsidP="004258A4">
      <w:pPr>
        <w:pStyle w:val="FootnoteText"/>
        <w:numPr>
          <w:ilvl w:val="0"/>
          <w:numId w:val="1"/>
        </w:numPr>
        <w:jc w:val="both"/>
        <w:rPr>
          <w:rFonts w:ascii="Times New Roman" w:hAnsi="Times New Roman" w:cs="Times New Roman"/>
          <w:sz w:val="22"/>
          <w:szCs w:val="22"/>
        </w:rPr>
      </w:pPr>
      <w:r w:rsidRPr="00A114B2">
        <w:rPr>
          <w:rFonts w:ascii="Times New Roman" w:hAnsi="Times New Roman" w:cs="Times New Roman"/>
          <w:sz w:val="22"/>
          <w:szCs w:val="22"/>
        </w:rPr>
        <w:t>Sigurdardóttir, Gudrun Agusta, Peter Michael Nielsen, Jesper Rønager, and August Gabriel Wang</w:t>
      </w:r>
      <w:r>
        <w:rPr>
          <w:rFonts w:ascii="Times New Roman" w:hAnsi="Times New Roman" w:cs="Times New Roman"/>
          <w:sz w:val="22"/>
          <w:szCs w:val="22"/>
        </w:rPr>
        <w:t>,</w:t>
      </w:r>
      <w:r w:rsidRPr="00A114B2">
        <w:rPr>
          <w:rFonts w:ascii="Times New Roman" w:hAnsi="Times New Roman" w:cs="Times New Roman"/>
          <w:sz w:val="22"/>
          <w:szCs w:val="22"/>
        </w:rPr>
        <w:t xml:space="preserve"> </w:t>
      </w:r>
      <w:r>
        <w:rPr>
          <w:rFonts w:ascii="Times New Roman" w:hAnsi="Times New Roman" w:cs="Times New Roman"/>
          <w:sz w:val="22"/>
          <w:szCs w:val="22"/>
        </w:rPr>
        <w:t>‘</w:t>
      </w:r>
      <w:r w:rsidRPr="00A114B2">
        <w:rPr>
          <w:rFonts w:ascii="Times New Roman" w:hAnsi="Times New Roman" w:cs="Times New Roman"/>
          <w:sz w:val="22"/>
          <w:szCs w:val="22"/>
        </w:rPr>
        <w:t xml:space="preserve">A </w:t>
      </w:r>
      <w:r>
        <w:rPr>
          <w:rFonts w:ascii="Times New Roman" w:hAnsi="Times New Roman" w:cs="Times New Roman"/>
          <w:sz w:val="22"/>
          <w:szCs w:val="22"/>
        </w:rPr>
        <w:t>P</w:t>
      </w:r>
      <w:r w:rsidRPr="00A114B2">
        <w:rPr>
          <w:rFonts w:ascii="Times New Roman" w:hAnsi="Times New Roman" w:cs="Times New Roman"/>
          <w:sz w:val="22"/>
          <w:szCs w:val="22"/>
        </w:rPr>
        <w:t xml:space="preserve">ilot </w:t>
      </w:r>
      <w:r>
        <w:rPr>
          <w:rFonts w:ascii="Times New Roman" w:hAnsi="Times New Roman" w:cs="Times New Roman"/>
          <w:sz w:val="22"/>
          <w:szCs w:val="22"/>
        </w:rPr>
        <w:t>S</w:t>
      </w:r>
      <w:r w:rsidRPr="00A114B2">
        <w:rPr>
          <w:rFonts w:ascii="Times New Roman" w:hAnsi="Times New Roman" w:cs="Times New Roman"/>
          <w:sz w:val="22"/>
          <w:szCs w:val="22"/>
        </w:rPr>
        <w:t xml:space="preserve">tudy on </w:t>
      </w:r>
      <w:r>
        <w:rPr>
          <w:rFonts w:ascii="Times New Roman" w:hAnsi="Times New Roman" w:cs="Times New Roman"/>
          <w:sz w:val="22"/>
          <w:szCs w:val="22"/>
        </w:rPr>
        <w:t>H</w:t>
      </w:r>
      <w:r w:rsidRPr="00A114B2">
        <w:rPr>
          <w:rFonts w:ascii="Times New Roman" w:hAnsi="Times New Roman" w:cs="Times New Roman"/>
          <w:sz w:val="22"/>
          <w:szCs w:val="22"/>
        </w:rPr>
        <w:t xml:space="preserve">igh </w:t>
      </w:r>
      <w:r>
        <w:rPr>
          <w:rFonts w:ascii="Times New Roman" w:hAnsi="Times New Roman" w:cs="Times New Roman"/>
          <w:sz w:val="22"/>
          <w:szCs w:val="22"/>
        </w:rPr>
        <w:t>A</w:t>
      </w:r>
      <w:r w:rsidRPr="00A114B2">
        <w:rPr>
          <w:rFonts w:ascii="Times New Roman" w:hAnsi="Times New Roman" w:cs="Times New Roman"/>
          <w:sz w:val="22"/>
          <w:szCs w:val="22"/>
        </w:rPr>
        <w:t xml:space="preserve">mplitude </w:t>
      </w:r>
      <w:r>
        <w:rPr>
          <w:rFonts w:ascii="Times New Roman" w:hAnsi="Times New Roman" w:cs="Times New Roman"/>
          <w:sz w:val="22"/>
          <w:szCs w:val="22"/>
        </w:rPr>
        <w:t>L</w:t>
      </w:r>
      <w:r w:rsidRPr="00A114B2">
        <w:rPr>
          <w:rFonts w:ascii="Times New Roman" w:hAnsi="Times New Roman" w:cs="Times New Roman"/>
          <w:sz w:val="22"/>
          <w:szCs w:val="22"/>
        </w:rPr>
        <w:t xml:space="preserve">ow </w:t>
      </w:r>
      <w:r>
        <w:rPr>
          <w:rFonts w:ascii="Times New Roman" w:hAnsi="Times New Roman" w:cs="Times New Roman"/>
          <w:sz w:val="22"/>
          <w:szCs w:val="22"/>
        </w:rPr>
        <w:t>F</w:t>
      </w:r>
      <w:r w:rsidRPr="00A114B2">
        <w:rPr>
          <w:rFonts w:ascii="Times New Roman" w:hAnsi="Times New Roman" w:cs="Times New Roman"/>
          <w:sz w:val="22"/>
          <w:szCs w:val="22"/>
        </w:rPr>
        <w:t>requency–</w:t>
      </w:r>
      <w:r>
        <w:rPr>
          <w:rFonts w:ascii="Times New Roman" w:hAnsi="Times New Roman" w:cs="Times New Roman"/>
          <w:sz w:val="22"/>
          <w:szCs w:val="22"/>
        </w:rPr>
        <w:t>M</w:t>
      </w:r>
      <w:r w:rsidRPr="00A114B2">
        <w:rPr>
          <w:rFonts w:ascii="Times New Roman" w:hAnsi="Times New Roman" w:cs="Times New Roman"/>
          <w:sz w:val="22"/>
          <w:szCs w:val="22"/>
        </w:rPr>
        <w:t xml:space="preserve">usic </w:t>
      </w:r>
      <w:r>
        <w:rPr>
          <w:rFonts w:ascii="Times New Roman" w:hAnsi="Times New Roman" w:cs="Times New Roman"/>
          <w:sz w:val="22"/>
          <w:szCs w:val="22"/>
        </w:rPr>
        <w:t>I</w:t>
      </w:r>
      <w:r w:rsidRPr="00A114B2">
        <w:rPr>
          <w:rFonts w:ascii="Times New Roman" w:hAnsi="Times New Roman" w:cs="Times New Roman"/>
          <w:sz w:val="22"/>
          <w:szCs w:val="22"/>
        </w:rPr>
        <w:t xml:space="preserve">mpulse </w:t>
      </w:r>
      <w:r>
        <w:rPr>
          <w:rFonts w:ascii="Times New Roman" w:hAnsi="Times New Roman" w:cs="Times New Roman"/>
          <w:sz w:val="22"/>
          <w:szCs w:val="22"/>
        </w:rPr>
        <w:t>S</w:t>
      </w:r>
      <w:r w:rsidRPr="00A114B2">
        <w:rPr>
          <w:rFonts w:ascii="Times New Roman" w:hAnsi="Times New Roman" w:cs="Times New Roman"/>
          <w:sz w:val="22"/>
          <w:szCs w:val="22"/>
        </w:rPr>
        <w:t xml:space="preserve">timulation as </w:t>
      </w:r>
      <w:r>
        <w:rPr>
          <w:rFonts w:ascii="Times New Roman" w:hAnsi="Times New Roman" w:cs="Times New Roman"/>
          <w:sz w:val="22"/>
          <w:szCs w:val="22"/>
        </w:rPr>
        <w:t>A</w:t>
      </w:r>
      <w:r w:rsidRPr="00A114B2">
        <w:rPr>
          <w:rFonts w:ascii="Times New Roman" w:hAnsi="Times New Roman" w:cs="Times New Roman"/>
          <w:sz w:val="22"/>
          <w:szCs w:val="22"/>
        </w:rPr>
        <w:t xml:space="preserve">n </w:t>
      </w:r>
      <w:r>
        <w:rPr>
          <w:rFonts w:ascii="Times New Roman" w:hAnsi="Times New Roman" w:cs="Times New Roman"/>
          <w:sz w:val="22"/>
          <w:szCs w:val="22"/>
        </w:rPr>
        <w:t>A</w:t>
      </w:r>
      <w:r w:rsidRPr="00A114B2">
        <w:rPr>
          <w:rFonts w:ascii="Times New Roman" w:hAnsi="Times New Roman" w:cs="Times New Roman"/>
          <w:sz w:val="22"/>
          <w:szCs w:val="22"/>
        </w:rPr>
        <w:t>dd-</w:t>
      </w:r>
      <w:r>
        <w:rPr>
          <w:rFonts w:ascii="Times New Roman" w:hAnsi="Times New Roman" w:cs="Times New Roman"/>
          <w:sz w:val="22"/>
          <w:szCs w:val="22"/>
        </w:rPr>
        <w:t>O</w:t>
      </w:r>
      <w:r w:rsidRPr="00A114B2">
        <w:rPr>
          <w:rFonts w:ascii="Times New Roman" w:hAnsi="Times New Roman" w:cs="Times New Roman"/>
          <w:sz w:val="22"/>
          <w:szCs w:val="22"/>
        </w:rPr>
        <w:t xml:space="preserve">n </w:t>
      </w:r>
      <w:r>
        <w:rPr>
          <w:rFonts w:ascii="Times New Roman" w:hAnsi="Times New Roman" w:cs="Times New Roman"/>
          <w:sz w:val="22"/>
          <w:szCs w:val="22"/>
        </w:rPr>
        <w:t>T</w:t>
      </w:r>
      <w:r w:rsidRPr="00A114B2">
        <w:rPr>
          <w:rFonts w:ascii="Times New Roman" w:hAnsi="Times New Roman" w:cs="Times New Roman"/>
          <w:sz w:val="22"/>
          <w:szCs w:val="22"/>
        </w:rPr>
        <w:t xml:space="preserve">reatment for </w:t>
      </w:r>
      <w:r>
        <w:rPr>
          <w:rFonts w:ascii="Times New Roman" w:hAnsi="Times New Roman" w:cs="Times New Roman"/>
          <w:sz w:val="22"/>
          <w:szCs w:val="22"/>
        </w:rPr>
        <w:t>D</w:t>
      </w:r>
      <w:r w:rsidRPr="00A114B2">
        <w:rPr>
          <w:rFonts w:ascii="Times New Roman" w:hAnsi="Times New Roman" w:cs="Times New Roman"/>
          <w:sz w:val="22"/>
          <w:szCs w:val="22"/>
        </w:rPr>
        <w:t>epression</w:t>
      </w:r>
      <w:r>
        <w:rPr>
          <w:rFonts w:ascii="Times New Roman" w:hAnsi="Times New Roman" w:cs="Times New Roman"/>
          <w:sz w:val="22"/>
          <w:szCs w:val="22"/>
        </w:rPr>
        <w:t xml:space="preserve">, </w:t>
      </w:r>
      <w:r w:rsidRPr="00A114B2">
        <w:rPr>
          <w:rFonts w:ascii="Times New Roman" w:hAnsi="Times New Roman" w:cs="Times New Roman"/>
          <w:i/>
          <w:iCs/>
          <w:sz w:val="22"/>
          <w:szCs w:val="22"/>
        </w:rPr>
        <w:t>Brain and Behavior</w:t>
      </w:r>
      <w:r>
        <w:rPr>
          <w:rFonts w:ascii="Times New Roman" w:hAnsi="Times New Roman" w:cs="Times New Roman"/>
          <w:sz w:val="22"/>
          <w:szCs w:val="22"/>
        </w:rPr>
        <w:t>,</w:t>
      </w:r>
      <w:r w:rsidRPr="00A114B2">
        <w:rPr>
          <w:rFonts w:ascii="Times New Roman" w:hAnsi="Times New Roman" w:cs="Times New Roman"/>
          <w:sz w:val="22"/>
          <w:szCs w:val="22"/>
        </w:rPr>
        <w:t xml:space="preserve"> 9</w:t>
      </w:r>
      <w:r>
        <w:rPr>
          <w:rFonts w:ascii="Times New Roman" w:hAnsi="Times New Roman" w:cs="Times New Roman"/>
          <w:sz w:val="22"/>
          <w:szCs w:val="22"/>
        </w:rPr>
        <w:t>, (2019),</w:t>
      </w:r>
      <w:r w:rsidRPr="00A114B2">
        <w:rPr>
          <w:rFonts w:ascii="Times New Roman" w:hAnsi="Times New Roman" w:cs="Times New Roman"/>
          <w:sz w:val="22"/>
          <w:szCs w:val="22"/>
        </w:rPr>
        <w:t xml:space="preserve"> e01399.</w:t>
      </w:r>
    </w:p>
    <w:p w14:paraId="031BBE15" w14:textId="77777777" w:rsidR="004258A4" w:rsidRDefault="004258A4" w:rsidP="004258A4">
      <w:pPr>
        <w:pStyle w:val="FootnoteText"/>
        <w:jc w:val="both"/>
        <w:rPr>
          <w:rFonts w:ascii="Times New Roman" w:hAnsi="Times New Roman" w:cs="Times New Roman"/>
          <w:sz w:val="22"/>
          <w:szCs w:val="22"/>
        </w:rPr>
      </w:pPr>
    </w:p>
    <w:p w14:paraId="5A57D79C" w14:textId="77777777" w:rsidR="004258A4" w:rsidRDefault="004258A4" w:rsidP="004258A4">
      <w:pPr>
        <w:pStyle w:val="FootnoteText"/>
        <w:numPr>
          <w:ilvl w:val="0"/>
          <w:numId w:val="1"/>
        </w:numPr>
        <w:jc w:val="both"/>
        <w:rPr>
          <w:rFonts w:ascii="Times New Roman" w:hAnsi="Times New Roman" w:cs="Times New Roman"/>
          <w:sz w:val="22"/>
          <w:szCs w:val="22"/>
        </w:rPr>
      </w:pPr>
      <w:r w:rsidRPr="003B0B41">
        <w:rPr>
          <w:rFonts w:ascii="Times New Roman" w:hAnsi="Times New Roman" w:cs="Times New Roman"/>
          <w:sz w:val="22"/>
          <w:szCs w:val="22"/>
        </w:rPr>
        <w:t>Smith</w:t>
      </w:r>
      <w:r>
        <w:rPr>
          <w:rFonts w:ascii="Times New Roman" w:hAnsi="Times New Roman" w:cs="Times New Roman"/>
          <w:sz w:val="22"/>
          <w:szCs w:val="22"/>
        </w:rPr>
        <w:t>,</w:t>
      </w:r>
      <w:r w:rsidRPr="003B0B41">
        <w:rPr>
          <w:rFonts w:ascii="Times New Roman" w:hAnsi="Times New Roman" w:cs="Times New Roman"/>
          <w:sz w:val="22"/>
          <w:szCs w:val="22"/>
        </w:rPr>
        <w:t xml:space="preserve"> Linda Tuhiwai, </w:t>
      </w:r>
      <w:r w:rsidRPr="003B0B41">
        <w:rPr>
          <w:rFonts w:ascii="Times New Roman" w:hAnsi="Times New Roman" w:cs="Times New Roman"/>
          <w:i/>
          <w:iCs/>
          <w:sz w:val="22"/>
          <w:szCs w:val="22"/>
        </w:rPr>
        <w:t>Decolonizing Methodologies: Research and Indigenous Peoples</w:t>
      </w:r>
      <w:r w:rsidRPr="003B0B41">
        <w:rPr>
          <w:rFonts w:ascii="Times New Roman" w:hAnsi="Times New Roman" w:cs="Times New Roman"/>
          <w:sz w:val="22"/>
          <w:szCs w:val="22"/>
        </w:rPr>
        <w:t>, 3</w:t>
      </w:r>
      <w:r w:rsidRPr="003B0B41">
        <w:rPr>
          <w:rFonts w:ascii="Times New Roman" w:hAnsi="Times New Roman" w:cs="Times New Roman"/>
          <w:sz w:val="22"/>
          <w:szCs w:val="22"/>
          <w:vertAlign w:val="superscript"/>
        </w:rPr>
        <w:t>rd</w:t>
      </w:r>
      <w:r w:rsidRPr="003B0B41">
        <w:rPr>
          <w:rFonts w:ascii="Times New Roman" w:hAnsi="Times New Roman" w:cs="Times New Roman"/>
          <w:sz w:val="22"/>
          <w:szCs w:val="22"/>
        </w:rPr>
        <w:t xml:space="preserve"> edition</w:t>
      </w:r>
      <w:r>
        <w:rPr>
          <w:rFonts w:ascii="Times New Roman" w:hAnsi="Times New Roman" w:cs="Times New Roman"/>
          <w:sz w:val="22"/>
          <w:szCs w:val="22"/>
        </w:rPr>
        <w:t xml:space="preserve">, </w:t>
      </w:r>
      <w:r w:rsidRPr="003B0B41">
        <w:rPr>
          <w:rFonts w:ascii="Times New Roman" w:hAnsi="Times New Roman" w:cs="Times New Roman"/>
          <w:sz w:val="22"/>
          <w:szCs w:val="22"/>
        </w:rPr>
        <w:t xml:space="preserve">(London: Bloomsbury Publishing, 2021). </w:t>
      </w:r>
    </w:p>
    <w:p w14:paraId="76F76D6A" w14:textId="77777777" w:rsidR="004258A4" w:rsidRDefault="004258A4" w:rsidP="004258A4">
      <w:pPr>
        <w:pStyle w:val="ListParagraph"/>
        <w:rPr>
          <w:sz w:val="22"/>
          <w:szCs w:val="22"/>
        </w:rPr>
      </w:pPr>
    </w:p>
    <w:p w14:paraId="0D2D6203" w14:textId="77777777" w:rsidR="004258A4" w:rsidRDefault="004258A4" w:rsidP="004258A4">
      <w:pPr>
        <w:pStyle w:val="FootnoteText"/>
        <w:numPr>
          <w:ilvl w:val="0"/>
          <w:numId w:val="1"/>
        </w:numPr>
        <w:jc w:val="both"/>
        <w:rPr>
          <w:rFonts w:ascii="Times New Roman" w:hAnsi="Times New Roman" w:cs="Times New Roman"/>
          <w:sz w:val="22"/>
          <w:szCs w:val="22"/>
        </w:rPr>
      </w:pPr>
      <w:r w:rsidRPr="00F73BE9">
        <w:rPr>
          <w:rFonts w:ascii="Times New Roman" w:hAnsi="Times New Roman" w:cs="Times New Roman"/>
          <w:sz w:val="22"/>
          <w:szCs w:val="22"/>
        </w:rPr>
        <w:t xml:space="preserve">Sound Planetarium, ‘Approach’: </w:t>
      </w:r>
      <w:hyperlink r:id="rId28" w:history="1">
        <w:r w:rsidRPr="00F73BE9">
          <w:rPr>
            <w:rStyle w:val="Hyperlink"/>
            <w:rFonts w:ascii="Times New Roman" w:hAnsi="Times New Roman" w:cs="Times New Roman"/>
            <w:sz w:val="22"/>
            <w:szCs w:val="22"/>
          </w:rPr>
          <w:t>https://www.soundplanetarium.com/approach/</w:t>
        </w:r>
      </w:hyperlink>
      <w:r w:rsidRPr="00F73BE9">
        <w:rPr>
          <w:rFonts w:ascii="Times New Roman" w:hAnsi="Times New Roman" w:cs="Times New Roman"/>
          <w:sz w:val="22"/>
          <w:szCs w:val="22"/>
        </w:rPr>
        <w:t xml:space="preserve">  [accessed 30 March 2026]</w:t>
      </w:r>
    </w:p>
    <w:p w14:paraId="2115D326" w14:textId="77777777" w:rsidR="004258A4" w:rsidRDefault="004258A4" w:rsidP="004258A4">
      <w:pPr>
        <w:pStyle w:val="ListParagraph"/>
        <w:rPr>
          <w:sz w:val="22"/>
          <w:szCs w:val="22"/>
        </w:rPr>
      </w:pPr>
    </w:p>
    <w:p w14:paraId="5D522C46" w14:textId="77777777" w:rsidR="004258A4" w:rsidRDefault="004258A4" w:rsidP="004258A4">
      <w:pPr>
        <w:pStyle w:val="FootnoteText"/>
        <w:numPr>
          <w:ilvl w:val="0"/>
          <w:numId w:val="1"/>
        </w:numPr>
        <w:jc w:val="both"/>
        <w:rPr>
          <w:rFonts w:ascii="Times New Roman" w:hAnsi="Times New Roman" w:cs="Times New Roman"/>
          <w:sz w:val="22"/>
          <w:szCs w:val="22"/>
        </w:rPr>
      </w:pPr>
      <w:r w:rsidRPr="00761EE7">
        <w:rPr>
          <w:rFonts w:ascii="Times New Roman" w:hAnsi="Times New Roman" w:cs="Times New Roman"/>
          <w:sz w:val="22"/>
          <w:szCs w:val="22"/>
        </w:rPr>
        <w:t>Stanhope</w:t>
      </w:r>
      <w:r>
        <w:rPr>
          <w:rFonts w:ascii="Times New Roman" w:hAnsi="Times New Roman" w:cs="Times New Roman"/>
          <w:sz w:val="22"/>
          <w:szCs w:val="22"/>
        </w:rPr>
        <w:t>,</w:t>
      </w:r>
      <w:r w:rsidRPr="00761EE7">
        <w:rPr>
          <w:rFonts w:ascii="Times New Roman" w:hAnsi="Times New Roman" w:cs="Times New Roman"/>
          <w:sz w:val="22"/>
          <w:szCs w:val="22"/>
        </w:rPr>
        <w:t xml:space="preserve"> Jessica &amp; Philip Weistein, ‘The Human Health Effects of Singing Bowls: A Systematic Review’, </w:t>
      </w:r>
      <w:r w:rsidRPr="00761EE7">
        <w:rPr>
          <w:rFonts w:ascii="Times New Roman" w:hAnsi="Times New Roman" w:cs="Times New Roman"/>
          <w:i/>
          <w:iCs/>
          <w:sz w:val="22"/>
          <w:szCs w:val="22"/>
        </w:rPr>
        <w:t>Complementary Therapies in Medicine</w:t>
      </w:r>
      <w:r w:rsidRPr="00761EE7">
        <w:rPr>
          <w:rFonts w:ascii="Times New Roman" w:hAnsi="Times New Roman" w:cs="Times New Roman"/>
          <w:sz w:val="22"/>
          <w:szCs w:val="22"/>
        </w:rPr>
        <w:t>, Vol.51 (NA), (2020), p.102412.</w:t>
      </w:r>
    </w:p>
    <w:p w14:paraId="3479609B" w14:textId="77777777" w:rsidR="004258A4" w:rsidRDefault="004258A4" w:rsidP="004258A4">
      <w:pPr>
        <w:pStyle w:val="ListParagraph"/>
        <w:rPr>
          <w:sz w:val="22"/>
          <w:szCs w:val="22"/>
        </w:rPr>
      </w:pPr>
    </w:p>
    <w:p w14:paraId="2F7BF8B8" w14:textId="77777777" w:rsidR="004258A4" w:rsidRPr="00DF7C1D" w:rsidRDefault="004258A4" w:rsidP="004258A4">
      <w:pPr>
        <w:pStyle w:val="FootnoteText"/>
        <w:numPr>
          <w:ilvl w:val="0"/>
          <w:numId w:val="1"/>
        </w:numPr>
        <w:rPr>
          <w:rFonts w:ascii="Times New Roman" w:hAnsi="Times New Roman" w:cs="Times New Roman"/>
          <w:sz w:val="22"/>
          <w:szCs w:val="22"/>
        </w:rPr>
      </w:pPr>
      <w:r w:rsidRPr="00DF7C1D">
        <w:rPr>
          <w:rFonts w:ascii="Times New Roman" w:hAnsi="Times New Roman" w:cs="Times New Roman"/>
          <w:sz w:val="22"/>
          <w:szCs w:val="22"/>
        </w:rPr>
        <w:t>Sutcliffe, Steven J., ' The Dynamics of Alternative Spirituality: Seekers, Networks, and “New Age”', in James R. Lewis (ed.), </w:t>
      </w:r>
      <w:r w:rsidRPr="00DF7C1D">
        <w:rPr>
          <w:rFonts w:ascii="Times New Roman" w:hAnsi="Times New Roman" w:cs="Times New Roman"/>
          <w:i/>
          <w:iCs/>
          <w:sz w:val="22"/>
          <w:szCs w:val="22"/>
        </w:rPr>
        <w:t>The Oxford Handbook of New Religious Movements</w:t>
      </w:r>
      <w:r w:rsidRPr="00DF7C1D">
        <w:rPr>
          <w:rFonts w:ascii="Times New Roman" w:hAnsi="Times New Roman" w:cs="Times New Roman"/>
          <w:sz w:val="22"/>
          <w:szCs w:val="22"/>
        </w:rPr>
        <w:t>, Oxford Handbooks (2008; online edn, Oxford Academic, 2 Sept. 2009), </w:t>
      </w:r>
      <w:hyperlink r:id="rId29" w:history="1">
        <w:r w:rsidRPr="00DF7C1D">
          <w:rPr>
            <w:rStyle w:val="Hyperlink"/>
            <w:rFonts w:ascii="Times New Roman" w:hAnsi="Times New Roman" w:cs="Times New Roman"/>
            <w:sz w:val="22"/>
            <w:szCs w:val="22"/>
          </w:rPr>
          <w:t>https://doi.org/10.1093/oxfordhb/9780195369649.003.0021</w:t>
        </w:r>
      </w:hyperlink>
      <w:r w:rsidRPr="00DF7C1D">
        <w:rPr>
          <w:rFonts w:ascii="Times New Roman" w:hAnsi="Times New Roman" w:cs="Times New Roman"/>
          <w:sz w:val="22"/>
          <w:szCs w:val="22"/>
        </w:rPr>
        <w:t>  [accessed 6 April 2026]</w:t>
      </w:r>
    </w:p>
    <w:p w14:paraId="42017F96" w14:textId="77777777" w:rsidR="004258A4" w:rsidRDefault="004258A4" w:rsidP="004258A4">
      <w:pPr>
        <w:pStyle w:val="FootnoteText"/>
        <w:jc w:val="both"/>
        <w:rPr>
          <w:rFonts w:ascii="Times New Roman" w:hAnsi="Times New Roman" w:cs="Times New Roman"/>
          <w:sz w:val="22"/>
          <w:szCs w:val="22"/>
        </w:rPr>
      </w:pPr>
    </w:p>
    <w:p w14:paraId="4E88880A" w14:textId="77777777" w:rsidR="004258A4" w:rsidRDefault="004258A4" w:rsidP="004258A4">
      <w:pPr>
        <w:pStyle w:val="FootnoteText"/>
        <w:numPr>
          <w:ilvl w:val="0"/>
          <w:numId w:val="1"/>
        </w:numPr>
        <w:jc w:val="both"/>
        <w:rPr>
          <w:rFonts w:ascii="Times New Roman" w:hAnsi="Times New Roman" w:cs="Times New Roman"/>
          <w:sz w:val="22"/>
          <w:szCs w:val="22"/>
        </w:rPr>
      </w:pPr>
      <w:r w:rsidRPr="002435CE">
        <w:rPr>
          <w:rFonts w:ascii="Times New Roman" w:hAnsi="Times New Roman" w:cs="Times New Roman"/>
          <w:sz w:val="22"/>
          <w:szCs w:val="22"/>
        </w:rPr>
        <w:t>Swapna,</w:t>
      </w:r>
      <w:r>
        <w:rPr>
          <w:rFonts w:ascii="Times New Roman" w:hAnsi="Times New Roman" w:cs="Times New Roman"/>
          <w:sz w:val="22"/>
          <w:szCs w:val="22"/>
        </w:rPr>
        <w:t xml:space="preserve"> </w:t>
      </w:r>
      <w:r w:rsidRPr="002435CE">
        <w:rPr>
          <w:rFonts w:ascii="Times New Roman" w:hAnsi="Times New Roman" w:cs="Times New Roman"/>
          <w:sz w:val="22"/>
          <w:szCs w:val="22"/>
        </w:rPr>
        <w:t>M.S.</w:t>
      </w:r>
      <w:r>
        <w:rPr>
          <w:rFonts w:ascii="Times New Roman" w:hAnsi="Times New Roman" w:cs="Times New Roman"/>
          <w:sz w:val="22"/>
          <w:szCs w:val="22"/>
        </w:rPr>
        <w:t>,</w:t>
      </w:r>
      <w:r w:rsidRPr="002435CE">
        <w:rPr>
          <w:rFonts w:ascii="Times New Roman" w:hAnsi="Times New Roman" w:cs="Times New Roman"/>
          <w:sz w:val="22"/>
          <w:szCs w:val="22"/>
        </w:rPr>
        <w:t xml:space="preserve"> Sankararaman, S. Comprehensive analysis of singing bowl vibrations: nonlinear time series, network, and spectral approaches. </w:t>
      </w:r>
      <w:r w:rsidRPr="002435CE">
        <w:rPr>
          <w:rFonts w:ascii="Times New Roman" w:hAnsi="Times New Roman" w:cs="Times New Roman"/>
          <w:i/>
          <w:iCs/>
          <w:sz w:val="22"/>
          <w:szCs w:val="22"/>
        </w:rPr>
        <w:t>Indian Journal of Physics</w:t>
      </w:r>
      <w:r w:rsidRPr="002435CE">
        <w:rPr>
          <w:rFonts w:ascii="Times New Roman" w:hAnsi="Times New Roman" w:cs="Times New Roman"/>
          <w:sz w:val="22"/>
          <w:szCs w:val="22"/>
        </w:rPr>
        <w:t> </w:t>
      </w:r>
      <w:r w:rsidRPr="002435CE">
        <w:rPr>
          <w:rFonts w:ascii="Times New Roman" w:hAnsi="Times New Roman" w:cs="Times New Roman"/>
          <w:b/>
          <w:bCs/>
          <w:sz w:val="22"/>
          <w:szCs w:val="22"/>
        </w:rPr>
        <w:t>99</w:t>
      </w:r>
      <w:r w:rsidRPr="002435CE">
        <w:rPr>
          <w:rFonts w:ascii="Times New Roman" w:hAnsi="Times New Roman" w:cs="Times New Roman"/>
          <w:sz w:val="22"/>
          <w:szCs w:val="22"/>
        </w:rPr>
        <w:t>, (2025), pp. 4715–4724. </w:t>
      </w:r>
    </w:p>
    <w:p w14:paraId="66D7CCB6" w14:textId="77777777" w:rsidR="004258A4" w:rsidRDefault="004258A4" w:rsidP="004258A4">
      <w:pPr>
        <w:pStyle w:val="FootnoteText"/>
        <w:jc w:val="both"/>
        <w:rPr>
          <w:rFonts w:ascii="Times New Roman" w:hAnsi="Times New Roman" w:cs="Times New Roman"/>
          <w:sz w:val="22"/>
          <w:szCs w:val="22"/>
        </w:rPr>
      </w:pPr>
    </w:p>
    <w:p w14:paraId="7FD53D3A" w14:textId="77777777" w:rsidR="004258A4" w:rsidRDefault="004258A4" w:rsidP="004258A4">
      <w:pPr>
        <w:pStyle w:val="FootnoteText"/>
        <w:numPr>
          <w:ilvl w:val="0"/>
          <w:numId w:val="1"/>
        </w:numPr>
        <w:jc w:val="both"/>
        <w:rPr>
          <w:rFonts w:ascii="Times New Roman" w:hAnsi="Times New Roman" w:cs="Times New Roman"/>
          <w:sz w:val="22"/>
          <w:szCs w:val="22"/>
        </w:rPr>
      </w:pPr>
      <w:r w:rsidRPr="0057560A">
        <w:rPr>
          <w:rFonts w:ascii="Times New Roman" w:hAnsi="Times New Roman" w:cs="Times New Roman"/>
          <w:sz w:val="22"/>
          <w:szCs w:val="22"/>
        </w:rPr>
        <w:t>Teiser,</w:t>
      </w:r>
      <w:r>
        <w:rPr>
          <w:rFonts w:ascii="Times New Roman" w:hAnsi="Times New Roman" w:cs="Times New Roman"/>
          <w:sz w:val="22"/>
          <w:szCs w:val="22"/>
        </w:rPr>
        <w:t xml:space="preserve"> </w:t>
      </w:r>
      <w:r w:rsidRPr="0057560A">
        <w:rPr>
          <w:rFonts w:ascii="Times New Roman" w:hAnsi="Times New Roman" w:cs="Times New Roman"/>
          <w:sz w:val="22"/>
          <w:szCs w:val="22"/>
        </w:rPr>
        <w:t>Stephen F.</w:t>
      </w:r>
      <w:r>
        <w:rPr>
          <w:rFonts w:ascii="Times New Roman" w:hAnsi="Times New Roman" w:cs="Times New Roman"/>
          <w:sz w:val="22"/>
          <w:szCs w:val="22"/>
        </w:rPr>
        <w:t>,</w:t>
      </w:r>
      <w:r w:rsidRPr="0057560A">
        <w:rPr>
          <w:rFonts w:ascii="Times New Roman" w:hAnsi="Times New Roman" w:cs="Times New Roman"/>
          <w:sz w:val="22"/>
          <w:szCs w:val="22"/>
        </w:rPr>
        <w:t xml:space="preserve"> ‘Religions of China in Practice’, in </w:t>
      </w:r>
      <w:r w:rsidRPr="0057560A">
        <w:rPr>
          <w:rFonts w:ascii="Times New Roman" w:hAnsi="Times New Roman" w:cs="Times New Roman"/>
          <w:i/>
          <w:iCs/>
          <w:sz w:val="22"/>
          <w:szCs w:val="22"/>
        </w:rPr>
        <w:t>Asian Religions in Practice</w:t>
      </w:r>
      <w:r w:rsidRPr="0057560A">
        <w:rPr>
          <w:rFonts w:ascii="Times New Roman" w:hAnsi="Times New Roman" w:cs="Times New Roman"/>
          <w:sz w:val="22"/>
          <w:szCs w:val="22"/>
        </w:rPr>
        <w:t>, ed. by D.S. Lopez (Princeton</w:t>
      </w:r>
      <w:r>
        <w:rPr>
          <w:rFonts w:ascii="Times New Roman" w:hAnsi="Times New Roman" w:cs="Times New Roman"/>
          <w:sz w:val="22"/>
          <w:szCs w:val="22"/>
        </w:rPr>
        <w:t xml:space="preserve">: </w:t>
      </w:r>
      <w:r w:rsidRPr="0057560A">
        <w:rPr>
          <w:rFonts w:ascii="Times New Roman" w:hAnsi="Times New Roman" w:cs="Times New Roman"/>
          <w:sz w:val="22"/>
          <w:szCs w:val="22"/>
        </w:rPr>
        <w:t>Princeton</w:t>
      </w:r>
      <w:r>
        <w:rPr>
          <w:rFonts w:ascii="Times New Roman" w:hAnsi="Times New Roman" w:cs="Times New Roman"/>
          <w:sz w:val="22"/>
          <w:szCs w:val="22"/>
        </w:rPr>
        <w:t xml:space="preserve"> University Press</w:t>
      </w:r>
      <w:r w:rsidRPr="0057560A">
        <w:rPr>
          <w:rFonts w:ascii="Times New Roman" w:hAnsi="Times New Roman" w:cs="Times New Roman"/>
          <w:sz w:val="22"/>
          <w:szCs w:val="22"/>
        </w:rPr>
        <w:t>, 1999)</w:t>
      </w:r>
      <w:r>
        <w:rPr>
          <w:rFonts w:ascii="Times New Roman" w:hAnsi="Times New Roman" w:cs="Times New Roman"/>
          <w:sz w:val="22"/>
          <w:szCs w:val="22"/>
        </w:rPr>
        <w:t>.</w:t>
      </w:r>
    </w:p>
    <w:p w14:paraId="329AD57A" w14:textId="77777777" w:rsidR="004258A4" w:rsidRDefault="004258A4" w:rsidP="004258A4">
      <w:pPr>
        <w:pStyle w:val="FootnoteText"/>
        <w:jc w:val="both"/>
        <w:rPr>
          <w:rFonts w:ascii="Times New Roman" w:hAnsi="Times New Roman" w:cs="Times New Roman"/>
          <w:sz w:val="22"/>
          <w:szCs w:val="22"/>
        </w:rPr>
      </w:pPr>
    </w:p>
    <w:p w14:paraId="78FC8973" w14:textId="77777777" w:rsidR="004258A4" w:rsidRDefault="004258A4" w:rsidP="004258A4">
      <w:pPr>
        <w:pStyle w:val="FootnoteText"/>
        <w:numPr>
          <w:ilvl w:val="0"/>
          <w:numId w:val="1"/>
        </w:numPr>
        <w:jc w:val="both"/>
        <w:rPr>
          <w:rFonts w:ascii="Times New Roman" w:hAnsi="Times New Roman" w:cs="Times New Roman"/>
          <w:sz w:val="22"/>
          <w:szCs w:val="22"/>
        </w:rPr>
      </w:pPr>
      <w:r w:rsidRPr="00AA010F">
        <w:rPr>
          <w:rFonts w:ascii="Times New Roman" w:hAnsi="Times New Roman" w:cs="Times New Roman"/>
          <w:sz w:val="22"/>
          <w:szCs w:val="22"/>
        </w:rPr>
        <w:t>Terwagne</w:t>
      </w:r>
      <w:r>
        <w:rPr>
          <w:rFonts w:ascii="Times New Roman" w:hAnsi="Times New Roman" w:cs="Times New Roman"/>
          <w:sz w:val="22"/>
          <w:szCs w:val="22"/>
        </w:rPr>
        <w:t>,</w:t>
      </w:r>
      <w:r w:rsidRPr="00AA010F">
        <w:rPr>
          <w:rFonts w:ascii="Times New Roman" w:hAnsi="Times New Roman" w:cs="Times New Roman"/>
          <w:sz w:val="22"/>
          <w:szCs w:val="22"/>
        </w:rPr>
        <w:t xml:space="preserve"> D. &amp; J.W.M. Bush, ‘Tibetan Singing Bowls’, </w:t>
      </w:r>
      <w:r w:rsidRPr="00AA010F">
        <w:rPr>
          <w:rFonts w:ascii="Times New Roman" w:hAnsi="Times New Roman" w:cs="Times New Roman"/>
          <w:i/>
          <w:iCs/>
          <w:sz w:val="22"/>
          <w:szCs w:val="22"/>
        </w:rPr>
        <w:t>Nonlinearity</w:t>
      </w:r>
      <w:r w:rsidRPr="00AA010F">
        <w:rPr>
          <w:rFonts w:ascii="Times New Roman" w:hAnsi="Times New Roman" w:cs="Times New Roman"/>
          <w:sz w:val="22"/>
          <w:szCs w:val="22"/>
        </w:rPr>
        <w:t xml:space="preserve">, 24, (2011), pp. 51-66. </w:t>
      </w:r>
    </w:p>
    <w:p w14:paraId="0B3202B5" w14:textId="77777777" w:rsidR="004258A4" w:rsidRDefault="004258A4" w:rsidP="004258A4">
      <w:pPr>
        <w:pStyle w:val="FootnoteText"/>
        <w:jc w:val="both"/>
        <w:rPr>
          <w:rFonts w:ascii="Times New Roman" w:hAnsi="Times New Roman" w:cs="Times New Roman"/>
          <w:sz w:val="22"/>
          <w:szCs w:val="22"/>
        </w:rPr>
      </w:pPr>
    </w:p>
    <w:p w14:paraId="189E8C09" w14:textId="77777777" w:rsidR="004258A4" w:rsidRDefault="004258A4" w:rsidP="004258A4">
      <w:pPr>
        <w:pStyle w:val="FootnoteText"/>
        <w:numPr>
          <w:ilvl w:val="0"/>
          <w:numId w:val="1"/>
        </w:numPr>
        <w:jc w:val="both"/>
        <w:rPr>
          <w:rFonts w:ascii="Times New Roman" w:hAnsi="Times New Roman" w:cs="Times New Roman"/>
          <w:sz w:val="22"/>
          <w:szCs w:val="22"/>
        </w:rPr>
      </w:pPr>
      <w:r w:rsidRPr="00A365BE">
        <w:rPr>
          <w:rFonts w:ascii="Times New Roman" w:hAnsi="Times New Roman" w:cs="Times New Roman"/>
          <w:sz w:val="22"/>
          <w:szCs w:val="22"/>
        </w:rPr>
        <w:t xml:space="preserve">Tikvina, </w:t>
      </w:r>
      <w:r>
        <w:rPr>
          <w:rFonts w:ascii="Times New Roman" w:hAnsi="Times New Roman" w:cs="Times New Roman"/>
          <w:sz w:val="22"/>
          <w:szCs w:val="22"/>
        </w:rPr>
        <w:t xml:space="preserve">S., </w:t>
      </w:r>
      <w:r w:rsidRPr="00A365BE">
        <w:rPr>
          <w:rFonts w:ascii="Times New Roman" w:hAnsi="Times New Roman" w:cs="Times New Roman"/>
          <w:sz w:val="22"/>
          <w:szCs w:val="22"/>
        </w:rPr>
        <w:t xml:space="preserve">E. Zilli, D. Bonaldo, and M. Varotto, ‘Improving Health Workers’ Well-Being in Cittadella Hospital (Province of Padua)’, </w:t>
      </w:r>
      <w:r w:rsidRPr="00A365BE">
        <w:rPr>
          <w:rFonts w:ascii="Times New Roman" w:hAnsi="Times New Roman" w:cs="Times New Roman"/>
          <w:i/>
          <w:iCs/>
          <w:sz w:val="22"/>
          <w:szCs w:val="22"/>
        </w:rPr>
        <w:t>The European Journal of Public Health</w:t>
      </w:r>
      <w:r w:rsidRPr="00A365BE">
        <w:rPr>
          <w:rFonts w:ascii="Times New Roman" w:hAnsi="Times New Roman" w:cs="Times New Roman"/>
          <w:sz w:val="22"/>
          <w:szCs w:val="22"/>
        </w:rPr>
        <w:t>, 34(3), (2024).</w:t>
      </w:r>
    </w:p>
    <w:p w14:paraId="156EE42D" w14:textId="77777777" w:rsidR="004258A4" w:rsidRDefault="004258A4" w:rsidP="004258A4">
      <w:pPr>
        <w:pStyle w:val="FootnoteText"/>
        <w:jc w:val="both"/>
        <w:rPr>
          <w:rFonts w:ascii="Times New Roman" w:hAnsi="Times New Roman" w:cs="Times New Roman"/>
          <w:sz w:val="22"/>
          <w:szCs w:val="22"/>
        </w:rPr>
      </w:pPr>
    </w:p>
    <w:p w14:paraId="5A3460F2" w14:textId="77777777" w:rsidR="004258A4" w:rsidRDefault="004258A4" w:rsidP="004258A4">
      <w:pPr>
        <w:pStyle w:val="FootnoteText"/>
        <w:numPr>
          <w:ilvl w:val="0"/>
          <w:numId w:val="1"/>
        </w:numPr>
        <w:jc w:val="both"/>
        <w:rPr>
          <w:rFonts w:ascii="Times New Roman" w:hAnsi="Times New Roman" w:cs="Times New Roman"/>
          <w:sz w:val="22"/>
          <w:szCs w:val="22"/>
        </w:rPr>
      </w:pPr>
      <w:r w:rsidRPr="009F59D3">
        <w:rPr>
          <w:rFonts w:ascii="Times New Roman" w:hAnsi="Times New Roman" w:cs="Times New Roman"/>
          <w:sz w:val="22"/>
          <w:szCs w:val="22"/>
        </w:rPr>
        <w:t>Upenieks, Laura, and Joanne Ford-Robertson. “Changes in Spiritual but Not Religious Identity and Well-Being in Emerging Adulthood in the United States: Pathways to Health Sameness?” </w:t>
      </w:r>
      <w:r w:rsidRPr="009F59D3">
        <w:rPr>
          <w:rFonts w:ascii="Times New Roman" w:hAnsi="Times New Roman" w:cs="Times New Roman"/>
          <w:i/>
          <w:iCs/>
          <w:sz w:val="22"/>
          <w:szCs w:val="22"/>
        </w:rPr>
        <w:t>Journal of Religion and Health</w:t>
      </w:r>
      <w:r w:rsidRPr="009F59D3">
        <w:rPr>
          <w:rFonts w:ascii="Times New Roman" w:hAnsi="Times New Roman" w:cs="Times New Roman"/>
          <w:sz w:val="22"/>
          <w:szCs w:val="22"/>
        </w:rPr>
        <w:t>, vol. 61, no. 6, 2022, pp. 4635–73.</w:t>
      </w:r>
    </w:p>
    <w:p w14:paraId="26781283" w14:textId="77777777" w:rsidR="004258A4" w:rsidRDefault="004258A4" w:rsidP="004258A4">
      <w:pPr>
        <w:pStyle w:val="FootnoteText"/>
        <w:jc w:val="both"/>
        <w:rPr>
          <w:rFonts w:ascii="Times New Roman" w:hAnsi="Times New Roman" w:cs="Times New Roman"/>
          <w:sz w:val="22"/>
          <w:szCs w:val="22"/>
        </w:rPr>
      </w:pPr>
    </w:p>
    <w:p w14:paraId="676AE2F6" w14:textId="77777777" w:rsidR="004258A4" w:rsidRPr="00811A12" w:rsidRDefault="004258A4" w:rsidP="004258A4">
      <w:pPr>
        <w:pStyle w:val="FootnoteText"/>
        <w:numPr>
          <w:ilvl w:val="0"/>
          <w:numId w:val="1"/>
        </w:numPr>
        <w:jc w:val="both"/>
        <w:rPr>
          <w:rFonts w:ascii="Times New Roman" w:hAnsi="Times New Roman" w:cs="Times New Roman"/>
          <w:b/>
          <w:bCs/>
          <w:sz w:val="22"/>
          <w:szCs w:val="22"/>
          <w:lang w:val="de-DE"/>
        </w:rPr>
      </w:pPr>
      <w:r w:rsidRPr="00811A12">
        <w:rPr>
          <w:rFonts w:ascii="Times New Roman" w:hAnsi="Times New Roman" w:cs="Times New Roman"/>
          <w:sz w:val="22"/>
          <w:szCs w:val="22"/>
          <w:lang w:val="de-DE"/>
        </w:rPr>
        <w:t xml:space="preserve">Wepner, F., J. Hahne, A. Teichmann, G. Bera-Schmid, A. Hördinger, M. Friedrich, ‘Quarzklangschalentherapie bei wirbelsäulenbeschwerden und chronobiologische vorgänge - Eine randomisierte kontrollierte studie’, </w:t>
      </w:r>
      <w:r w:rsidRPr="00811A12">
        <w:rPr>
          <w:rFonts w:ascii="Times New Roman" w:hAnsi="Times New Roman" w:cs="Times New Roman"/>
          <w:i/>
          <w:iCs/>
          <w:sz w:val="22"/>
          <w:szCs w:val="22"/>
          <w:lang w:val="de-DE"/>
        </w:rPr>
        <w:t>Forsch Komplementmed</w:t>
      </w:r>
      <w:r w:rsidRPr="00811A12">
        <w:rPr>
          <w:rFonts w:ascii="Times New Roman" w:hAnsi="Times New Roman" w:cs="Times New Roman"/>
          <w:sz w:val="22"/>
          <w:szCs w:val="22"/>
          <w:lang w:val="de-DE"/>
        </w:rPr>
        <w:t xml:space="preserve">, 15, (2008), pp. 130-137.  </w:t>
      </w:r>
    </w:p>
    <w:p w14:paraId="0A91DA20" w14:textId="77777777" w:rsidR="004258A4" w:rsidRPr="00811A12" w:rsidRDefault="004258A4" w:rsidP="004258A4">
      <w:pPr>
        <w:pStyle w:val="FootnoteText"/>
        <w:jc w:val="both"/>
        <w:rPr>
          <w:rFonts w:ascii="Times New Roman" w:hAnsi="Times New Roman" w:cs="Times New Roman"/>
          <w:sz w:val="22"/>
          <w:szCs w:val="22"/>
          <w:lang w:val="de-DE"/>
        </w:rPr>
      </w:pPr>
    </w:p>
    <w:p w14:paraId="1869C08A" w14:textId="77777777" w:rsidR="004258A4" w:rsidRDefault="004258A4" w:rsidP="004258A4">
      <w:pPr>
        <w:pStyle w:val="FootnoteText"/>
        <w:numPr>
          <w:ilvl w:val="0"/>
          <w:numId w:val="1"/>
        </w:numPr>
        <w:jc w:val="both"/>
        <w:rPr>
          <w:rFonts w:ascii="Times New Roman" w:hAnsi="Times New Roman" w:cs="Times New Roman"/>
          <w:sz w:val="22"/>
          <w:szCs w:val="22"/>
        </w:rPr>
      </w:pPr>
      <w:r w:rsidRPr="00F20B67">
        <w:rPr>
          <w:rFonts w:ascii="Times New Roman" w:hAnsi="Times New Roman" w:cs="Times New Roman"/>
          <w:sz w:val="22"/>
          <w:szCs w:val="22"/>
        </w:rPr>
        <w:t>Wilcox</w:t>
      </w:r>
      <w:r>
        <w:rPr>
          <w:rFonts w:ascii="Times New Roman" w:hAnsi="Times New Roman" w:cs="Times New Roman"/>
          <w:sz w:val="22"/>
          <w:szCs w:val="22"/>
        </w:rPr>
        <w:t>,</w:t>
      </w:r>
      <w:r w:rsidRPr="00F20B67">
        <w:rPr>
          <w:rFonts w:ascii="Times New Roman" w:hAnsi="Times New Roman" w:cs="Times New Roman"/>
          <w:sz w:val="22"/>
          <w:szCs w:val="22"/>
        </w:rPr>
        <w:t xml:space="preserve"> M., </w:t>
      </w:r>
      <w:r w:rsidRPr="00F20B67">
        <w:rPr>
          <w:rFonts w:ascii="Times New Roman" w:hAnsi="Times New Roman" w:cs="Times New Roman"/>
          <w:i/>
          <w:iCs/>
          <w:sz w:val="22"/>
          <w:szCs w:val="22"/>
        </w:rPr>
        <w:t>Queer Women and Religious Individualism</w:t>
      </w:r>
      <w:r w:rsidRPr="00F20B67">
        <w:rPr>
          <w:rFonts w:ascii="Times New Roman" w:hAnsi="Times New Roman" w:cs="Times New Roman"/>
          <w:sz w:val="22"/>
          <w:szCs w:val="22"/>
        </w:rPr>
        <w:t>, (Bloomington: Indiana University Press, 2009).</w:t>
      </w:r>
    </w:p>
    <w:p w14:paraId="2C0C297A" w14:textId="77777777" w:rsidR="004258A4" w:rsidRDefault="004258A4" w:rsidP="004258A4">
      <w:pPr>
        <w:pStyle w:val="ListParagraph"/>
        <w:rPr>
          <w:sz w:val="22"/>
          <w:szCs w:val="22"/>
        </w:rPr>
      </w:pPr>
    </w:p>
    <w:p w14:paraId="69A001C3" w14:textId="77777777" w:rsidR="004258A4" w:rsidRDefault="004258A4" w:rsidP="004258A4">
      <w:pPr>
        <w:pStyle w:val="FootnoteText"/>
        <w:numPr>
          <w:ilvl w:val="0"/>
          <w:numId w:val="1"/>
        </w:numPr>
        <w:jc w:val="both"/>
        <w:rPr>
          <w:rFonts w:ascii="Times New Roman" w:hAnsi="Times New Roman" w:cs="Times New Roman"/>
          <w:sz w:val="22"/>
          <w:szCs w:val="22"/>
        </w:rPr>
      </w:pPr>
      <w:r w:rsidRPr="00FE5F6F">
        <w:rPr>
          <w:rFonts w:ascii="Times New Roman" w:hAnsi="Times New Roman" w:cs="Times New Roman"/>
          <w:sz w:val="22"/>
          <w:szCs w:val="22"/>
        </w:rPr>
        <w:t>Woodhead</w:t>
      </w:r>
      <w:r>
        <w:rPr>
          <w:rFonts w:ascii="Times New Roman" w:hAnsi="Times New Roman" w:cs="Times New Roman"/>
          <w:sz w:val="22"/>
          <w:szCs w:val="22"/>
        </w:rPr>
        <w:t>,</w:t>
      </w:r>
      <w:r w:rsidRPr="00FE5F6F">
        <w:rPr>
          <w:rFonts w:ascii="Times New Roman" w:hAnsi="Times New Roman" w:cs="Times New Roman"/>
          <w:sz w:val="22"/>
          <w:szCs w:val="22"/>
        </w:rPr>
        <w:t xml:space="preserve"> L., ‘ “Because I’m Worth It”: Religion and Women’s Changing Lives in the West’, in K. Aune, S. Sharma and G. Vincett (ed.), </w:t>
      </w:r>
      <w:r w:rsidRPr="00FE5F6F">
        <w:rPr>
          <w:rFonts w:ascii="Times New Roman" w:hAnsi="Times New Roman" w:cs="Times New Roman"/>
          <w:i/>
          <w:iCs/>
          <w:sz w:val="22"/>
          <w:szCs w:val="22"/>
        </w:rPr>
        <w:t>Women and Religion in the West: Challenging Secularization</w:t>
      </w:r>
      <w:r w:rsidRPr="00FE5F6F">
        <w:rPr>
          <w:rFonts w:ascii="Times New Roman" w:hAnsi="Times New Roman" w:cs="Times New Roman"/>
          <w:sz w:val="22"/>
          <w:szCs w:val="22"/>
        </w:rPr>
        <w:t>, (Aldershot: Ashgate, 2008).</w:t>
      </w:r>
    </w:p>
    <w:p w14:paraId="3A708AE1" w14:textId="77777777" w:rsidR="004258A4" w:rsidRDefault="004258A4" w:rsidP="004258A4">
      <w:pPr>
        <w:pStyle w:val="FootnoteText"/>
        <w:jc w:val="both"/>
        <w:rPr>
          <w:rFonts w:ascii="Times New Roman" w:hAnsi="Times New Roman" w:cs="Times New Roman"/>
          <w:sz w:val="22"/>
          <w:szCs w:val="22"/>
        </w:rPr>
      </w:pPr>
    </w:p>
    <w:p w14:paraId="0A8CA8F1" w14:textId="77777777" w:rsidR="004258A4" w:rsidRPr="009F59D3" w:rsidRDefault="004258A4" w:rsidP="004258A4">
      <w:pPr>
        <w:pStyle w:val="FootnoteText"/>
        <w:numPr>
          <w:ilvl w:val="0"/>
          <w:numId w:val="1"/>
        </w:numPr>
        <w:jc w:val="both"/>
        <w:rPr>
          <w:rFonts w:ascii="Times New Roman" w:hAnsi="Times New Roman" w:cs="Times New Roman"/>
          <w:sz w:val="22"/>
          <w:szCs w:val="22"/>
        </w:rPr>
      </w:pPr>
      <w:r w:rsidRPr="00436F6D">
        <w:rPr>
          <w:rFonts w:ascii="Times New Roman" w:hAnsi="Times New Roman" w:cs="Times New Roman"/>
          <w:sz w:val="22"/>
          <w:szCs w:val="22"/>
        </w:rPr>
        <w:t>Yang LiHong &amp; Zhang Hang/</w:t>
      </w:r>
      <w:r w:rsidRPr="00436F6D">
        <w:rPr>
          <w:rFonts w:ascii="Times New Roman" w:hAnsi="Times New Roman" w:cs="Times New Roman" w:hint="eastAsia"/>
          <w:sz w:val="22"/>
          <w:szCs w:val="22"/>
        </w:rPr>
        <w:t>杨力虹</w:t>
      </w:r>
      <w:r w:rsidRPr="00436F6D">
        <w:rPr>
          <w:rFonts w:ascii="Times New Roman" w:hAnsi="Times New Roman" w:cs="Times New Roman" w:hint="eastAsia"/>
          <w:sz w:val="22"/>
          <w:szCs w:val="22"/>
        </w:rPr>
        <w:t xml:space="preserve"> </w:t>
      </w:r>
      <w:r w:rsidRPr="00436F6D">
        <w:rPr>
          <w:rFonts w:ascii="Times New Roman" w:hAnsi="Times New Roman" w:cs="Times New Roman"/>
          <w:sz w:val="22"/>
          <w:szCs w:val="22"/>
        </w:rPr>
        <w:t xml:space="preserve">&amp; </w:t>
      </w:r>
      <w:r w:rsidRPr="00436F6D">
        <w:rPr>
          <w:rFonts w:ascii="Times New Roman" w:hAnsi="Times New Roman" w:cs="Times New Roman" w:hint="eastAsia"/>
          <w:sz w:val="22"/>
          <w:szCs w:val="22"/>
        </w:rPr>
        <w:t>张航，</w:t>
      </w:r>
      <w:r w:rsidRPr="00436F6D">
        <w:rPr>
          <w:rFonts w:ascii="Times New Roman" w:hAnsi="Times New Roman" w:cs="Times New Roman" w:hint="eastAsia"/>
          <w:sz w:val="22"/>
          <w:szCs w:val="22"/>
        </w:rPr>
        <w:t>S</w:t>
      </w:r>
      <w:r w:rsidRPr="00436F6D">
        <w:rPr>
          <w:rFonts w:ascii="Times New Roman" w:hAnsi="Times New Roman" w:cs="Times New Roman"/>
          <w:sz w:val="22"/>
          <w:szCs w:val="22"/>
        </w:rPr>
        <w:t>inging Bowls and Life Integration</w:t>
      </w:r>
      <w:r w:rsidRPr="00436F6D">
        <w:rPr>
          <w:rFonts w:ascii="Times New Roman" w:hAnsi="Times New Roman" w:cs="Times New Roman" w:hint="eastAsia"/>
          <w:sz w:val="22"/>
          <w:szCs w:val="22"/>
        </w:rPr>
        <w:t>颂钵与生命整合</w:t>
      </w:r>
      <w:r w:rsidRPr="00436F6D">
        <w:rPr>
          <w:rFonts w:ascii="Times New Roman" w:hAnsi="Times New Roman" w:cs="Times New Roman" w:hint="eastAsia"/>
          <w:sz w:val="22"/>
          <w:szCs w:val="22"/>
        </w:rPr>
        <w:t>,</w:t>
      </w:r>
      <w:r w:rsidRPr="00436F6D">
        <w:rPr>
          <w:rFonts w:ascii="Times New Roman" w:hAnsi="Times New Roman" w:cs="Times New Roman" w:hint="eastAsia"/>
          <w:sz w:val="22"/>
          <w:szCs w:val="22"/>
        </w:rPr>
        <w:t>（北京：华龄出版社，</w:t>
      </w:r>
      <w:r w:rsidRPr="00436F6D">
        <w:rPr>
          <w:rFonts w:ascii="Times New Roman" w:hAnsi="Times New Roman" w:cs="Times New Roman" w:hint="eastAsia"/>
          <w:sz w:val="22"/>
          <w:szCs w:val="22"/>
        </w:rPr>
        <w:t>2</w:t>
      </w:r>
      <w:r w:rsidRPr="00436F6D">
        <w:rPr>
          <w:rFonts w:ascii="Times New Roman" w:hAnsi="Times New Roman" w:cs="Times New Roman"/>
          <w:sz w:val="22"/>
          <w:szCs w:val="22"/>
        </w:rPr>
        <w:t>021</w:t>
      </w:r>
      <w:r w:rsidRPr="00436F6D">
        <w:rPr>
          <w:rFonts w:ascii="Times New Roman" w:hAnsi="Times New Roman" w:cs="Times New Roman" w:hint="eastAsia"/>
          <w:sz w:val="22"/>
          <w:szCs w:val="22"/>
        </w:rPr>
        <w:t>）</w:t>
      </w:r>
      <w:r>
        <w:rPr>
          <w:rFonts w:ascii="Times New Roman" w:hAnsi="Times New Roman" w:cs="Times New Roman" w:hint="eastAsia"/>
          <w:sz w:val="22"/>
          <w:szCs w:val="22"/>
        </w:rPr>
        <w:t>.</w:t>
      </w:r>
    </w:p>
    <w:p w14:paraId="5139D8CD" w14:textId="77777777" w:rsidR="004258A4" w:rsidRDefault="004258A4" w:rsidP="004258A4">
      <w:pPr>
        <w:pStyle w:val="FootnoteText"/>
        <w:jc w:val="both"/>
        <w:rPr>
          <w:rFonts w:ascii="Times New Roman" w:hAnsi="Times New Roman" w:cs="Times New Roman"/>
          <w:sz w:val="22"/>
          <w:szCs w:val="22"/>
        </w:rPr>
      </w:pPr>
    </w:p>
    <w:p w14:paraId="75B1AFDA" w14:textId="77777777" w:rsidR="004258A4" w:rsidRPr="00EC50A6" w:rsidRDefault="004258A4" w:rsidP="005F6DD1"/>
    <w:p w14:paraId="5A5A81F6" w14:textId="77777777" w:rsidR="005F6DD1" w:rsidRDefault="005F6DD1" w:rsidP="005F6DD1">
      <w:pPr>
        <w:rPr>
          <w:rFonts w:ascii="Century Gothic" w:hAnsi="Century Gothic"/>
          <w:b/>
          <w:bCs/>
        </w:rPr>
      </w:pPr>
    </w:p>
    <w:p w14:paraId="5AFFA785" w14:textId="77777777" w:rsidR="005F6DD1" w:rsidRPr="00340868" w:rsidRDefault="005F6DD1" w:rsidP="00040F1C">
      <w:pPr>
        <w:jc w:val="both"/>
        <w:rPr>
          <w:iCs/>
          <w:color w:val="000000" w:themeColor="text1"/>
        </w:rPr>
      </w:pPr>
    </w:p>
    <w:p w14:paraId="271EDBF7" w14:textId="77777777" w:rsidR="00040F1C" w:rsidRPr="001F43EB" w:rsidRDefault="00040F1C" w:rsidP="00A0740C">
      <w:pPr>
        <w:jc w:val="both"/>
      </w:pPr>
    </w:p>
    <w:p w14:paraId="5F809E8F" w14:textId="77777777" w:rsidR="00E61A76" w:rsidRPr="002F623E" w:rsidRDefault="00E61A76" w:rsidP="002F623E">
      <w:pPr>
        <w:jc w:val="both"/>
      </w:pPr>
    </w:p>
    <w:p w14:paraId="2A19B758" w14:textId="600ECE75" w:rsidR="007C01B0" w:rsidRDefault="007C01B0" w:rsidP="003C53C7">
      <w:pPr>
        <w:jc w:val="both"/>
      </w:pPr>
    </w:p>
    <w:p w14:paraId="462C5D3E" w14:textId="77777777" w:rsidR="00427E29" w:rsidRDefault="00427E29" w:rsidP="00427E29"/>
    <w:sectPr w:rsidR="00427E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F18F2" w14:textId="77777777" w:rsidR="00895D74" w:rsidRDefault="00895D74" w:rsidP="0011623F">
      <w:r>
        <w:separator/>
      </w:r>
    </w:p>
  </w:endnote>
  <w:endnote w:type="continuationSeparator" w:id="0">
    <w:p w14:paraId="2F402007" w14:textId="77777777" w:rsidR="00895D74" w:rsidRDefault="00895D74" w:rsidP="00116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PingFang TC">
    <w:panose1 w:val="020B0400000000000000"/>
    <w:charset w:val="88"/>
    <w:family w:val="swiss"/>
    <w:pitch w:val="variable"/>
    <w:sig w:usb0="A00002FF" w:usb1="7ACFFDFB" w:usb2="00000017" w:usb3="00000000" w:csb0="001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2981227"/>
      <w:docPartObj>
        <w:docPartGallery w:val="Page Numbers (Bottom of Page)"/>
        <w:docPartUnique/>
      </w:docPartObj>
    </w:sdtPr>
    <w:sdtContent>
      <w:p w14:paraId="59733D4A" w14:textId="5401543D" w:rsidR="003F3584" w:rsidRDefault="003F3584" w:rsidP="00B97D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ACCE4" w14:textId="77777777" w:rsidR="003F3584" w:rsidRDefault="003F3584" w:rsidP="003F35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4283040"/>
      <w:docPartObj>
        <w:docPartGallery w:val="Page Numbers (Bottom of Page)"/>
        <w:docPartUnique/>
      </w:docPartObj>
    </w:sdtPr>
    <w:sdtContent>
      <w:p w14:paraId="71922A12" w14:textId="68F44389" w:rsidR="003F3584" w:rsidRDefault="003F3584" w:rsidP="00B97D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551EFA" w14:textId="77777777" w:rsidR="003F3584" w:rsidRDefault="003F3584" w:rsidP="003F35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62286" w14:textId="77777777" w:rsidR="00895D74" w:rsidRDefault="00895D74" w:rsidP="0011623F">
      <w:r>
        <w:separator/>
      </w:r>
    </w:p>
  </w:footnote>
  <w:footnote w:type="continuationSeparator" w:id="0">
    <w:p w14:paraId="7834A29C" w14:textId="77777777" w:rsidR="00895D74" w:rsidRDefault="00895D74" w:rsidP="0011623F">
      <w:r>
        <w:continuationSeparator/>
      </w:r>
    </w:p>
  </w:footnote>
  <w:footnote w:id="1">
    <w:p w14:paraId="0833D764" w14:textId="77777777" w:rsidR="0011623F" w:rsidRPr="00975C73" w:rsidRDefault="0011623F" w:rsidP="0011623F">
      <w:pPr>
        <w:pStyle w:val="FootnoteText"/>
      </w:pPr>
      <w:r>
        <w:rPr>
          <w:rStyle w:val="FootnoteReference"/>
        </w:rPr>
        <w:footnoteRef/>
      </w:r>
      <w:r w:rsidRPr="00A365BE">
        <w:t xml:space="preserve"> S. Tikvina, E. Zilli, D. Bonaldo, and M</w:t>
      </w:r>
      <w:r>
        <w:t xml:space="preserve">. Varotto, ‘Improving Health Workers’ Well-Being in Cittadella Hospital (Province of Padua)’, </w:t>
      </w:r>
      <w:r w:rsidRPr="00A365BE">
        <w:rPr>
          <w:i/>
          <w:iCs/>
        </w:rPr>
        <w:t>The European Journal of Public Health</w:t>
      </w:r>
      <w:r>
        <w:t xml:space="preserve">, 34(3), (2024); </w:t>
      </w:r>
      <w:r w:rsidRPr="0085487E">
        <w:t xml:space="preserve">Zahra Hasani, Sepideh Mohammadi, </w:t>
      </w:r>
      <w:r>
        <w:t xml:space="preserve">and </w:t>
      </w:r>
      <w:r w:rsidRPr="0085487E">
        <w:t>Hengameh Karimi,</w:t>
      </w:r>
      <w:r>
        <w:t xml:space="preserve"> ‘</w:t>
      </w:r>
      <w:r w:rsidRPr="0085487E">
        <w:t>Investigating the Effect of Singing Bowl Sound on the Level of State-trait Anxiety and Physiological Variables of Patients Awaiting Angiography</w:t>
      </w:r>
      <w:r>
        <w:t xml:space="preserve">’, </w:t>
      </w:r>
      <w:r w:rsidRPr="0085487E">
        <w:rPr>
          <w:i/>
          <w:iCs/>
        </w:rPr>
        <w:t>Journal of Perianesthesia Nursing</w:t>
      </w:r>
      <w:r w:rsidRPr="0085487E">
        <w:t>, Vol.40 (2),</w:t>
      </w:r>
      <w:r>
        <w:t xml:space="preserve"> (2025),</w:t>
      </w:r>
      <w:r w:rsidRPr="0085487E">
        <w:t xml:space="preserve"> p.305-309</w:t>
      </w:r>
      <w:r>
        <w:t xml:space="preserve">; P. </w:t>
      </w:r>
      <w:r w:rsidRPr="00975C73">
        <w:t xml:space="preserve">Hess, </w:t>
      </w:r>
      <w:r w:rsidRPr="00975C73">
        <w:rPr>
          <w:i/>
          <w:iCs/>
        </w:rPr>
        <w:t>Peter-Hess-Klangmethoden im Kontext von Forschung und Wissenschaft</w:t>
      </w:r>
      <w:r w:rsidRPr="00975C73">
        <w:t>, (Schüttorf, Germany: Hess, 2010).</w:t>
      </w:r>
    </w:p>
  </w:footnote>
  <w:footnote w:id="2">
    <w:p w14:paraId="47DAD5BE" w14:textId="77777777" w:rsidR="0011623F" w:rsidRDefault="0011623F" w:rsidP="0011623F">
      <w:pPr>
        <w:pStyle w:val="FootnoteText"/>
      </w:pPr>
      <w:r>
        <w:rPr>
          <w:rStyle w:val="FootnoteReference"/>
        </w:rPr>
        <w:footnoteRef/>
      </w:r>
      <w:r>
        <w:t xml:space="preserve"> Jessica Stanhope &amp; Philip Weistein, ‘The Human Health Effects of Singing Bowls: A Systematic Review’, </w:t>
      </w:r>
      <w:r w:rsidRPr="00761EE7">
        <w:rPr>
          <w:i/>
          <w:iCs/>
        </w:rPr>
        <w:t>Complementary Therapies in Medicine</w:t>
      </w:r>
      <w:r w:rsidRPr="00761EE7">
        <w:t xml:space="preserve">, Vol.51 (NA), </w:t>
      </w:r>
      <w:r>
        <w:t xml:space="preserve">(2020), </w:t>
      </w:r>
      <w:r w:rsidRPr="00761EE7">
        <w:t>p.102412</w:t>
      </w:r>
      <w:r>
        <w:t xml:space="preserve">. </w:t>
      </w:r>
    </w:p>
  </w:footnote>
  <w:footnote w:id="3">
    <w:p w14:paraId="4BC993E7" w14:textId="7A1D5C54" w:rsidR="0011623F" w:rsidRDefault="0011623F">
      <w:pPr>
        <w:pStyle w:val="FootnoteText"/>
      </w:pPr>
      <w:r>
        <w:rPr>
          <w:rStyle w:val="FootnoteReference"/>
        </w:rPr>
        <w:footnoteRef/>
      </w:r>
      <w:r>
        <w:t xml:space="preserve"> </w:t>
      </w:r>
      <w:r w:rsidRPr="008A076E">
        <w:t xml:space="preserve">Frank Perry, </w:t>
      </w:r>
      <w:r w:rsidRPr="008A076E">
        <w:rPr>
          <w:i/>
          <w:iCs/>
        </w:rPr>
        <w:t>Himalayan Sound Revelations: The Complete Singing Bowl Book</w:t>
      </w:r>
      <w:r w:rsidRPr="008A076E">
        <w:t>, (London: Polair Publishing, 2022), p.</w:t>
      </w:r>
      <w:r w:rsidR="008A076E" w:rsidRPr="008A076E">
        <w:t>21</w:t>
      </w:r>
      <w:r w:rsidRPr="008A076E">
        <w:t>.</w:t>
      </w:r>
    </w:p>
  </w:footnote>
  <w:footnote w:id="4">
    <w:p w14:paraId="75D778AF" w14:textId="77777777" w:rsidR="00427E29" w:rsidRDefault="00427E29" w:rsidP="00427E29">
      <w:pPr>
        <w:pStyle w:val="FootnoteText"/>
      </w:pPr>
      <w:r>
        <w:rPr>
          <w:rStyle w:val="FootnoteReference"/>
        </w:rPr>
        <w:footnoteRef/>
      </w:r>
      <w:r>
        <w:t xml:space="preserve"> Tenzin Pasang, </w:t>
      </w:r>
      <w:r w:rsidRPr="003838D2">
        <w:rPr>
          <w:i/>
          <w:iCs/>
        </w:rPr>
        <w:t>The Tibetan Singing Bowl: A Step-by-Step Sound Therapy Guide</w:t>
      </w:r>
      <w:r>
        <w:t xml:space="preserve">, (London: The Little Tibet, 2019), pp. 14-16; </w:t>
      </w:r>
      <w:r w:rsidRPr="00094275">
        <w:t xml:space="preserve">Santa Ratna Shakya-Kasa, </w:t>
      </w:r>
      <w:r w:rsidRPr="00094275">
        <w:rPr>
          <w:i/>
          <w:iCs/>
        </w:rPr>
        <w:t>Himalayan Singing Bowl: Tuning the Mind, Healing the Body</w:t>
      </w:r>
      <w:r w:rsidRPr="00094275">
        <w:t>, (Nepal: The Shakya Kasa Research Centre, 2024)</w:t>
      </w:r>
      <w:r>
        <w:t xml:space="preserve">, p.36. </w:t>
      </w:r>
    </w:p>
  </w:footnote>
  <w:footnote w:id="5">
    <w:p w14:paraId="663DCD94" w14:textId="77777777" w:rsidR="00427E29" w:rsidRDefault="00427E29" w:rsidP="00427E29">
      <w:pPr>
        <w:pStyle w:val="FootnoteText"/>
      </w:pPr>
      <w:r>
        <w:rPr>
          <w:rStyle w:val="FootnoteReference"/>
        </w:rPr>
        <w:footnoteRef/>
      </w:r>
      <w:r>
        <w:t xml:space="preserve"> </w:t>
      </w:r>
      <w:r w:rsidRPr="004E5DEA">
        <w:t xml:space="preserve">Santa Ratna Shakya-Kasa, </w:t>
      </w:r>
      <w:r w:rsidRPr="004E5DEA">
        <w:rPr>
          <w:i/>
          <w:iCs/>
        </w:rPr>
        <w:t>Himalayan Singing Bowl: Tuning the Mind, Healing the Body</w:t>
      </w:r>
      <w:r w:rsidRPr="004E5DEA">
        <w:t>, (Nepal: The Shakya Kasa Research Centre, 2024), p</w:t>
      </w:r>
      <w:r>
        <w:t>p. 51-61; Yang LiHong &amp; Zhang Hang/</w:t>
      </w:r>
      <w:r>
        <w:rPr>
          <w:rFonts w:hint="eastAsia"/>
        </w:rPr>
        <w:t>杨力虹</w:t>
      </w:r>
      <w:r>
        <w:rPr>
          <w:rFonts w:hint="eastAsia"/>
        </w:rPr>
        <w:t xml:space="preserve"> </w:t>
      </w:r>
      <w:r>
        <w:t xml:space="preserve">&amp; </w:t>
      </w:r>
      <w:r>
        <w:rPr>
          <w:rFonts w:hint="eastAsia"/>
        </w:rPr>
        <w:t>张航，</w:t>
      </w:r>
      <w:r w:rsidRPr="002E335E">
        <w:rPr>
          <w:rFonts w:hint="eastAsia"/>
          <w:i/>
          <w:iCs/>
        </w:rPr>
        <w:t>S</w:t>
      </w:r>
      <w:r w:rsidRPr="002E335E">
        <w:rPr>
          <w:i/>
          <w:iCs/>
        </w:rPr>
        <w:t>inging Bowls and Life Integration</w:t>
      </w:r>
      <w:r>
        <w:rPr>
          <w:rFonts w:hint="eastAsia"/>
        </w:rPr>
        <w:t>颂钵与生命整合</w:t>
      </w:r>
      <w:r>
        <w:rPr>
          <w:rFonts w:hint="eastAsia"/>
        </w:rPr>
        <w:t>,</w:t>
      </w:r>
      <w:r>
        <w:rPr>
          <w:rFonts w:hint="eastAsia"/>
        </w:rPr>
        <w:t>（北京：华龄出版社，</w:t>
      </w:r>
      <w:r>
        <w:rPr>
          <w:rFonts w:hint="eastAsia"/>
        </w:rPr>
        <w:t>2</w:t>
      </w:r>
      <w:r>
        <w:t>021</w:t>
      </w:r>
      <w:r>
        <w:rPr>
          <w:rFonts w:hint="eastAsia"/>
        </w:rPr>
        <w:t>）</w:t>
      </w:r>
      <w:r>
        <w:t xml:space="preserve">, pp.12-21. </w:t>
      </w:r>
    </w:p>
  </w:footnote>
  <w:footnote w:id="6">
    <w:p w14:paraId="6C049848" w14:textId="1C6E6DF8" w:rsidR="00427E29" w:rsidRDefault="00427E29" w:rsidP="00427E29">
      <w:pPr>
        <w:pStyle w:val="FootnoteText"/>
      </w:pPr>
      <w:r>
        <w:rPr>
          <w:rStyle w:val="FootnoteReference"/>
        </w:rPr>
        <w:footnoteRef/>
      </w:r>
      <w:r>
        <w:t xml:space="preserve"> Perry, </w:t>
      </w:r>
      <w:r w:rsidRPr="00DD2D75">
        <w:rPr>
          <w:i/>
          <w:iCs/>
        </w:rPr>
        <w:t>Himalayan Sound Revelations</w:t>
      </w:r>
      <w:r>
        <w:t xml:space="preserve">, p.12. </w:t>
      </w:r>
    </w:p>
  </w:footnote>
  <w:footnote w:id="7">
    <w:p w14:paraId="0752E31E" w14:textId="77777777" w:rsidR="00427E29" w:rsidRDefault="00427E29" w:rsidP="00427E29">
      <w:pPr>
        <w:pStyle w:val="FootnoteText"/>
      </w:pPr>
      <w:r>
        <w:rPr>
          <w:rStyle w:val="FootnoteReference"/>
        </w:rPr>
        <w:footnoteRef/>
      </w:r>
      <w:r>
        <w:t xml:space="preserve"> Joseph Feinstein, </w:t>
      </w:r>
      <w:r w:rsidRPr="008712EE">
        <w:rPr>
          <w:i/>
          <w:iCs/>
        </w:rPr>
        <w:t>The Singing Bowl Book: The Authoritative Guide to the Asian Instruments</w:t>
      </w:r>
      <w:r>
        <w:t xml:space="preserve">, (Wellesley: Singing Bowl Museum, 2022), p.8. </w:t>
      </w:r>
    </w:p>
  </w:footnote>
  <w:footnote w:id="8">
    <w:p w14:paraId="11DFAB2D" w14:textId="77777777" w:rsidR="00427E29" w:rsidRDefault="00427E29" w:rsidP="00427E29">
      <w:pPr>
        <w:pStyle w:val="FootnoteText"/>
      </w:pPr>
      <w:r>
        <w:rPr>
          <w:rStyle w:val="FootnoteReference"/>
        </w:rPr>
        <w:footnoteRef/>
      </w:r>
      <w:r>
        <w:t xml:space="preserve"> Matthew Burtner, S. Serafin, D. Topper,  ‘</w:t>
      </w:r>
      <w:r w:rsidRPr="003559A0">
        <w:t>Real-Time Spatial Processing And Transformations Of A Singing Bowl</w:t>
      </w:r>
      <w:r>
        <w:t xml:space="preserve">’, </w:t>
      </w:r>
      <w:r w:rsidRPr="0030385F">
        <w:rPr>
          <w:i/>
          <w:iCs/>
        </w:rPr>
        <w:t>Proceedings of the 5</w:t>
      </w:r>
      <w:r w:rsidRPr="0030385F">
        <w:rPr>
          <w:i/>
          <w:iCs/>
          <w:vertAlign w:val="superscript"/>
        </w:rPr>
        <w:t>th</w:t>
      </w:r>
      <w:r w:rsidRPr="0030385F">
        <w:rPr>
          <w:i/>
          <w:iCs/>
        </w:rPr>
        <w:t xml:space="preserve"> International Conference on Digital Audio Effect (DAFx-02)</w:t>
      </w:r>
      <w:r>
        <w:t>, (2002), pp. 123-126; Beena Limkar &amp; Gautam S. Chandekar, ‘</w:t>
      </w:r>
      <w:r w:rsidRPr="00F96C02">
        <w:t xml:space="preserve">Structural </w:t>
      </w:r>
      <w:r>
        <w:t>D</w:t>
      </w:r>
      <w:r w:rsidRPr="00F96C02">
        <w:t xml:space="preserve">ynamic </w:t>
      </w:r>
      <w:r>
        <w:t>A</w:t>
      </w:r>
      <w:r w:rsidRPr="00F96C02">
        <w:t xml:space="preserve">nalysis of </w:t>
      </w:r>
      <w:r>
        <w:t>A</w:t>
      </w:r>
      <w:r w:rsidRPr="00F96C02">
        <w:t xml:space="preserve"> </w:t>
      </w:r>
      <w:r>
        <w:t>M</w:t>
      </w:r>
      <w:r w:rsidRPr="00F96C02">
        <w:t xml:space="preserve">usical </w:t>
      </w:r>
      <w:r>
        <w:t>I</w:t>
      </w:r>
      <w:r w:rsidRPr="00F96C02">
        <w:t xml:space="preserve">nstrument: </w:t>
      </w:r>
      <w:r>
        <w:t>T</w:t>
      </w:r>
      <w:r w:rsidRPr="00F96C02">
        <w:t xml:space="preserve">ibetan </w:t>
      </w:r>
      <w:r>
        <w:t>S</w:t>
      </w:r>
      <w:r w:rsidRPr="00F96C02">
        <w:t xml:space="preserve">inging </w:t>
      </w:r>
      <w:r>
        <w:t>B</w:t>
      </w:r>
      <w:r w:rsidRPr="00F96C02">
        <w:t>owl</w:t>
      </w:r>
      <w:r>
        <w:t xml:space="preserve">’, </w:t>
      </w:r>
      <w:r w:rsidRPr="00F96C02">
        <w:rPr>
          <w:i/>
          <w:iCs/>
        </w:rPr>
        <w:t>Journal of Mathematics and Music</w:t>
      </w:r>
      <w:r>
        <w:t>, Volume 17, Issue 1, (2023), pp. 1-16; O. Inácio, L.L. Henrique, J. Antunes, ‘The Dynamics of Tibetan Singing Bowls’</w:t>
      </w:r>
      <w:r w:rsidRPr="00D32268">
        <w:rPr>
          <w:i/>
          <w:iCs/>
        </w:rPr>
        <w:t>, Acta Acustica United with Acustica</w:t>
      </w:r>
      <w:r>
        <w:t xml:space="preserve">, 92(4), (2006), pp. 637-53; D. Terwagne &amp; J.W.M. Bush, ‘Tibetan Singing Bowls’, </w:t>
      </w:r>
      <w:r w:rsidRPr="00F40103">
        <w:rPr>
          <w:i/>
          <w:iCs/>
        </w:rPr>
        <w:t>Nonlinearity</w:t>
      </w:r>
      <w:r>
        <w:t xml:space="preserve">, 24, (2011), pp. 51-66; R.M. Aarts, Okke Ouweltjes, Murtaza Bulut, ‘An Electro-Acoustic Implementation of Tibetan Bowls: Acoustics and Perception’, </w:t>
      </w:r>
      <w:r w:rsidRPr="00AF2AA4">
        <w:rPr>
          <w:i/>
          <w:iCs/>
        </w:rPr>
        <w:t>Noise &amp; Vibration Worldwide</w:t>
      </w:r>
      <w:r>
        <w:t xml:space="preserve">, 45(1), (2014), pp. 12-23. </w:t>
      </w:r>
    </w:p>
  </w:footnote>
  <w:footnote w:id="9">
    <w:p w14:paraId="4CB69671" w14:textId="77777777" w:rsidR="00427E29" w:rsidRDefault="00427E29" w:rsidP="00427E29">
      <w:pPr>
        <w:pStyle w:val="FootnoteText"/>
      </w:pPr>
      <w:r>
        <w:rPr>
          <w:rStyle w:val="FootnoteReference"/>
        </w:rPr>
        <w:footnoteRef/>
      </w:r>
      <w:r>
        <w:t xml:space="preserve"> Yiqing Cai, Guoyan Yang, Yibo Liu, Xiangyun Zou, Heng Yin, Xinyan Jin, Xuehan Liu, Chenlu Wang, Nicola Robinson, and Jianping Liu, ‘Therapeautic Effects of Singing Bowls: A Systematic Review of Clinical Studies’, </w:t>
      </w:r>
      <w:r w:rsidRPr="00160163">
        <w:rPr>
          <w:i/>
          <w:iCs/>
        </w:rPr>
        <w:t>Integrative Medicine Research</w:t>
      </w:r>
      <w:r>
        <w:t xml:space="preserve">, Volume 14, Issue 2, (2025), 101144; </w:t>
      </w:r>
      <w:r w:rsidRPr="00FD76DA">
        <w:t>Jayan Marie Landry</w:t>
      </w:r>
      <w:r>
        <w:t>, ‘</w:t>
      </w:r>
      <w:r w:rsidRPr="00FD76DA">
        <w:t>Physiological and Psychological Effects of a Himalayan Singing Bowl in Meditation Practice: A Quantitative</w:t>
      </w:r>
      <w:r>
        <w:t xml:space="preserve"> </w:t>
      </w:r>
      <w:r w:rsidRPr="00FD76DA">
        <w:t>Analysis</w:t>
      </w:r>
      <w:r>
        <w:t xml:space="preserve">’, </w:t>
      </w:r>
      <w:r w:rsidRPr="00FD76DA">
        <w:rPr>
          <w:i/>
          <w:iCs/>
        </w:rPr>
        <w:t>American Journal of Health Promotion</w:t>
      </w:r>
      <w:r w:rsidRPr="00FD76DA">
        <w:t xml:space="preserve"> 28</w:t>
      </w:r>
      <w:r>
        <w:t xml:space="preserve">, (2014), pp. </w:t>
      </w:r>
      <w:r w:rsidRPr="00FD76DA">
        <w:t>306–9</w:t>
      </w:r>
      <w:r>
        <w:t xml:space="preserve">; Tamara L. Goldsby, Michael E. Goldsby, Mary McWalters, and Paul J. Mills, ‘Sound Healing: Mood, Emotional and Spiritual Well-Being Interrelationships, </w:t>
      </w:r>
      <w:r w:rsidRPr="000A5AF6">
        <w:rPr>
          <w:i/>
          <w:iCs/>
        </w:rPr>
        <w:t>Religions</w:t>
      </w:r>
      <w:r>
        <w:t xml:space="preserve">, 13(2), (2022), p.123. </w:t>
      </w:r>
    </w:p>
  </w:footnote>
  <w:footnote w:id="10">
    <w:p w14:paraId="13B656A1" w14:textId="59CCDE0A" w:rsidR="00427E29" w:rsidRDefault="00427E29" w:rsidP="00427E29">
      <w:pPr>
        <w:pStyle w:val="FootnoteText"/>
      </w:pPr>
      <w:r>
        <w:rPr>
          <w:rStyle w:val="FootnoteReference"/>
        </w:rPr>
        <w:footnoteRef/>
      </w:r>
      <w:r>
        <w:t xml:space="preserve"> </w:t>
      </w:r>
      <w:r w:rsidR="0091044B" w:rsidRPr="00A46ADF">
        <w:t>Tamara L.</w:t>
      </w:r>
      <w:r w:rsidRPr="00A46ADF">
        <w:t>Goldsby</w:t>
      </w:r>
      <w:r w:rsidRPr="007724F8">
        <w:t xml:space="preserve"> </w:t>
      </w:r>
      <w:r w:rsidRPr="00A46ADF">
        <w:t xml:space="preserve">, Michael E. Goldsby, Mary McWalters, and Paul J. Mills, ‘Sound Healing: Mood, Emotional and Spiritual Well-Being Interrelationships, </w:t>
      </w:r>
      <w:r w:rsidRPr="00A46ADF">
        <w:rPr>
          <w:i/>
          <w:iCs/>
        </w:rPr>
        <w:t>Religions</w:t>
      </w:r>
      <w:r w:rsidRPr="00A46ADF">
        <w:t>, 13(2), (2022), p.123</w:t>
      </w:r>
      <w:r>
        <w:t xml:space="preserve">. Also see </w:t>
      </w:r>
      <w:r w:rsidRPr="00D866A7">
        <w:t xml:space="preserve">Ik-Soo Ann &amp; and Myungjin Bae, ‘Analysis of Singing Bowl’s Sound’, </w:t>
      </w:r>
      <w:r w:rsidRPr="00D866A7">
        <w:rPr>
          <w:i/>
          <w:iCs/>
        </w:rPr>
        <w:t>The Journal of the Acoustical Society of America</w:t>
      </w:r>
      <w:r w:rsidRPr="00D866A7">
        <w:t>, 142, (2017), p. 2613</w:t>
      </w:r>
      <w:r>
        <w:t xml:space="preserve">; </w:t>
      </w:r>
      <w:r w:rsidRPr="00E75E97">
        <w:t>Peter Goodin, Joseph Ciorciari, Kate Baker, Anne-Marie Carrey, Michelle Harper, and Jordy Kaufman</w:t>
      </w:r>
      <w:r>
        <w:t>, ‘</w:t>
      </w:r>
      <w:r w:rsidRPr="00E75E97">
        <w:t>A High-Density EEG</w:t>
      </w:r>
      <w:r>
        <w:t xml:space="preserve"> </w:t>
      </w:r>
      <w:r w:rsidRPr="00E75E97">
        <w:t>Investigation into Steady State Binaural Beat Stimulation</w:t>
      </w:r>
      <w:r>
        <w:t>’,</w:t>
      </w:r>
      <w:r w:rsidRPr="00E75E97">
        <w:t xml:space="preserve"> </w:t>
      </w:r>
      <w:r w:rsidRPr="00E75E97">
        <w:rPr>
          <w:i/>
          <w:iCs/>
        </w:rPr>
        <w:t>PLoS ONE</w:t>
      </w:r>
      <w:r>
        <w:rPr>
          <w:i/>
          <w:iCs/>
        </w:rPr>
        <w:t xml:space="preserve">, </w:t>
      </w:r>
      <w:r>
        <w:t>(2012),</w:t>
      </w:r>
      <w:r w:rsidRPr="00E75E97">
        <w:t xml:space="preserve"> 7: e34789</w:t>
      </w:r>
      <w:r>
        <w:t xml:space="preserve">; </w:t>
      </w:r>
      <w:r w:rsidRPr="00A51118">
        <w:t>Pamel Miles and Gala True</w:t>
      </w:r>
      <w:r>
        <w:t>, ‘</w:t>
      </w:r>
      <w:r w:rsidRPr="00A51118">
        <w:t>Reiki—Review of a Bioﬁeld Therapy History, Theory, Practice, and Research</w:t>
      </w:r>
      <w:r>
        <w:t>’,</w:t>
      </w:r>
      <w:r w:rsidRPr="00A51118">
        <w:t xml:space="preserve"> </w:t>
      </w:r>
      <w:r w:rsidRPr="00A51118">
        <w:rPr>
          <w:i/>
          <w:iCs/>
        </w:rPr>
        <w:t>Alter</w:t>
      </w:r>
      <w:r>
        <w:rPr>
          <w:i/>
          <w:iCs/>
        </w:rPr>
        <w:t>native</w:t>
      </w:r>
      <w:r w:rsidRPr="00A51118">
        <w:rPr>
          <w:i/>
          <w:iCs/>
        </w:rPr>
        <w:t xml:space="preserve"> Ther</w:t>
      </w:r>
      <w:r>
        <w:rPr>
          <w:i/>
          <w:iCs/>
        </w:rPr>
        <w:t>apies in</w:t>
      </w:r>
      <w:r w:rsidRPr="00A51118">
        <w:rPr>
          <w:i/>
          <w:iCs/>
        </w:rPr>
        <w:t xml:space="preserve"> Health </w:t>
      </w:r>
      <w:r>
        <w:rPr>
          <w:i/>
          <w:iCs/>
        </w:rPr>
        <w:t xml:space="preserve">and </w:t>
      </w:r>
      <w:r w:rsidRPr="00A51118">
        <w:rPr>
          <w:i/>
          <w:iCs/>
        </w:rPr>
        <w:t>Medicine</w:t>
      </w:r>
      <w:r>
        <w:t>,</w:t>
      </w:r>
      <w:r w:rsidRPr="00A51118">
        <w:t xml:space="preserve"> 9</w:t>
      </w:r>
      <w:r>
        <w:t>, (2003), pp.</w:t>
      </w:r>
      <w:r w:rsidRPr="00A51118">
        <w:t xml:space="preserve"> 62–72</w:t>
      </w:r>
      <w:r>
        <w:t xml:space="preserve">; </w:t>
      </w:r>
      <w:r w:rsidRPr="00A114B2">
        <w:t>Sigurdardóttir, Gudrun Agusta, Peter Michael Nielsen, Jesper Rønager, and August Gabriel Wang</w:t>
      </w:r>
      <w:r w:rsidRPr="00705DC6">
        <w:t>,</w:t>
      </w:r>
      <w:r w:rsidRPr="00A114B2">
        <w:t xml:space="preserve"> </w:t>
      </w:r>
      <w:r w:rsidRPr="00705DC6">
        <w:t>‘</w:t>
      </w:r>
      <w:r w:rsidRPr="00A114B2">
        <w:t xml:space="preserve">A </w:t>
      </w:r>
      <w:r w:rsidRPr="00705DC6">
        <w:t>P</w:t>
      </w:r>
      <w:r w:rsidRPr="00A114B2">
        <w:t xml:space="preserve">ilot </w:t>
      </w:r>
      <w:r w:rsidRPr="00705DC6">
        <w:t>S</w:t>
      </w:r>
      <w:r w:rsidRPr="00A114B2">
        <w:t xml:space="preserve">tudy on </w:t>
      </w:r>
      <w:r w:rsidRPr="00705DC6">
        <w:t>H</w:t>
      </w:r>
      <w:r w:rsidRPr="00A114B2">
        <w:t>igh</w:t>
      </w:r>
      <w:r w:rsidRPr="00705DC6">
        <w:t xml:space="preserve"> A</w:t>
      </w:r>
      <w:r w:rsidRPr="00A114B2">
        <w:t xml:space="preserve">mplitude </w:t>
      </w:r>
      <w:r w:rsidRPr="00705DC6">
        <w:t>L</w:t>
      </w:r>
      <w:r w:rsidRPr="00A114B2">
        <w:t xml:space="preserve">ow </w:t>
      </w:r>
      <w:r w:rsidRPr="00705DC6">
        <w:t>F</w:t>
      </w:r>
      <w:r w:rsidRPr="00A114B2">
        <w:t>requency–</w:t>
      </w:r>
      <w:r w:rsidRPr="00705DC6">
        <w:t>M</w:t>
      </w:r>
      <w:r w:rsidRPr="00A114B2">
        <w:t xml:space="preserve">usic </w:t>
      </w:r>
      <w:r w:rsidRPr="00705DC6">
        <w:t>I</w:t>
      </w:r>
      <w:r w:rsidRPr="00A114B2">
        <w:t xml:space="preserve">mpulse </w:t>
      </w:r>
      <w:r w:rsidRPr="00705DC6">
        <w:t>S</w:t>
      </w:r>
      <w:r w:rsidRPr="00A114B2">
        <w:t xml:space="preserve">timulation as </w:t>
      </w:r>
      <w:r w:rsidRPr="00705DC6">
        <w:t>A</w:t>
      </w:r>
      <w:r w:rsidRPr="00A114B2">
        <w:t xml:space="preserve">n </w:t>
      </w:r>
      <w:r w:rsidRPr="00705DC6">
        <w:t>A</w:t>
      </w:r>
      <w:r w:rsidRPr="00A114B2">
        <w:t>dd-</w:t>
      </w:r>
      <w:r w:rsidRPr="00705DC6">
        <w:t>O</w:t>
      </w:r>
      <w:r w:rsidRPr="00A114B2">
        <w:t xml:space="preserve">n </w:t>
      </w:r>
      <w:r w:rsidRPr="00705DC6">
        <w:t>T</w:t>
      </w:r>
      <w:r w:rsidRPr="00A114B2">
        <w:t xml:space="preserve">reatment for </w:t>
      </w:r>
      <w:r w:rsidRPr="00705DC6">
        <w:t>D</w:t>
      </w:r>
      <w:r w:rsidRPr="00A114B2">
        <w:t>epression</w:t>
      </w:r>
      <w:r w:rsidRPr="00705DC6">
        <w:t xml:space="preserve">, </w:t>
      </w:r>
      <w:r w:rsidRPr="00A114B2">
        <w:rPr>
          <w:i/>
          <w:iCs/>
        </w:rPr>
        <w:t>Brain and Behavior</w:t>
      </w:r>
      <w:r w:rsidRPr="00705DC6">
        <w:t>,</w:t>
      </w:r>
      <w:r w:rsidRPr="00A114B2">
        <w:t xml:space="preserve"> 9</w:t>
      </w:r>
      <w:r w:rsidRPr="00705DC6">
        <w:t>, (2019),</w:t>
      </w:r>
      <w:r w:rsidRPr="00A114B2">
        <w:t xml:space="preserve"> e01399.</w:t>
      </w:r>
    </w:p>
  </w:footnote>
  <w:footnote w:id="11">
    <w:p w14:paraId="55260F57" w14:textId="3B46FA3C" w:rsidR="00427E29" w:rsidRDefault="00427E29" w:rsidP="00427E29">
      <w:pPr>
        <w:pStyle w:val="FootnoteText"/>
      </w:pPr>
      <w:r>
        <w:rPr>
          <w:rStyle w:val="FootnoteReference"/>
        </w:rPr>
        <w:footnoteRef/>
      </w:r>
      <w:r>
        <w:t xml:space="preserve"> </w:t>
      </w:r>
      <w:r w:rsidRPr="007E2FDD">
        <w:t xml:space="preserve">Perry, </w:t>
      </w:r>
      <w:r w:rsidRPr="007E2FDD">
        <w:rPr>
          <w:i/>
          <w:iCs/>
        </w:rPr>
        <w:t>Himalayan Sound Revelations</w:t>
      </w:r>
      <w:r w:rsidRPr="007E2FDD">
        <w:t>, p</w:t>
      </w:r>
      <w:r>
        <w:t xml:space="preserve">p. 295-316; </w:t>
      </w:r>
      <w:r w:rsidRPr="00770A50">
        <w:t>Yang &amp; Zhang/</w:t>
      </w:r>
      <w:r w:rsidRPr="00770A50">
        <w:rPr>
          <w:rFonts w:hint="eastAsia"/>
        </w:rPr>
        <w:t>杨</w:t>
      </w:r>
      <w:r w:rsidRPr="00770A50">
        <w:t xml:space="preserve">&amp; </w:t>
      </w:r>
      <w:r w:rsidRPr="00770A50">
        <w:rPr>
          <w:rFonts w:hint="eastAsia"/>
        </w:rPr>
        <w:t>张，</w:t>
      </w:r>
      <w:r w:rsidRPr="009255E2">
        <w:rPr>
          <w:rFonts w:hint="eastAsia"/>
          <w:i/>
          <w:iCs/>
        </w:rPr>
        <w:t>S</w:t>
      </w:r>
      <w:r w:rsidRPr="009255E2">
        <w:rPr>
          <w:i/>
          <w:iCs/>
        </w:rPr>
        <w:t>inging Bowls and Life Integration</w:t>
      </w:r>
      <w:r w:rsidRPr="00770A50">
        <w:rPr>
          <w:rFonts w:hint="eastAsia"/>
        </w:rPr>
        <w:t>颂钵与生命整合</w:t>
      </w:r>
      <w:r w:rsidRPr="00770A50">
        <w:rPr>
          <w:rFonts w:hint="eastAsia"/>
        </w:rPr>
        <w:t>,</w:t>
      </w:r>
      <w:r w:rsidR="009255E2">
        <w:rPr>
          <w:rFonts w:hint="eastAsia"/>
        </w:rPr>
        <w:t xml:space="preserve"> </w:t>
      </w:r>
      <w:r w:rsidRPr="00770A50">
        <w:t>pp.</w:t>
      </w:r>
      <w:r>
        <w:t xml:space="preserve">31-41; Christine Hays, ‘Singing Bowls and Brainwaves’, Eastern Vibration: </w:t>
      </w:r>
      <w:hyperlink r:id="rId1" w:history="1">
        <w:r w:rsidRPr="000556EA">
          <w:rPr>
            <w:rStyle w:val="Hyperlink"/>
          </w:rPr>
          <w:t>https://www.easternvibration.com/blog/blog-post-brainwaves</w:t>
        </w:r>
      </w:hyperlink>
      <w:r>
        <w:t xml:space="preserve">  [accessed on 10 April 2026]; Jonathan Goldman, </w:t>
      </w:r>
      <w:r w:rsidRPr="00E04DCE">
        <w:rPr>
          <w:i/>
          <w:iCs/>
        </w:rPr>
        <w:t>Healing Sounds: The Power of Harmonics</w:t>
      </w:r>
      <w:r>
        <w:t xml:space="preserve">, (Dorset: Element Books Ltd, 1992), pp. 78-81.  </w:t>
      </w:r>
    </w:p>
  </w:footnote>
  <w:footnote w:id="12">
    <w:p w14:paraId="302766EE" w14:textId="77777777" w:rsidR="00427E29" w:rsidRDefault="00427E29" w:rsidP="00427E29">
      <w:pPr>
        <w:pStyle w:val="FootnoteText"/>
      </w:pPr>
      <w:r>
        <w:rPr>
          <w:rStyle w:val="FootnoteReference"/>
        </w:rPr>
        <w:footnoteRef/>
      </w:r>
      <w:r>
        <w:t xml:space="preserve"> Shamans Market, Tibetan Singing Bowls (2015): </w:t>
      </w:r>
      <w:hyperlink r:id="rId2" w:history="1">
        <w:r w:rsidRPr="000556EA">
          <w:rPr>
            <w:rStyle w:val="Hyperlink"/>
          </w:rPr>
          <w:t>https://www.shamansmarket.com/en-gb/blogs/musings/tibetan-singing-bowls</w:t>
        </w:r>
      </w:hyperlink>
      <w:r>
        <w:t xml:space="preserve"> [accessed 21 April 2026]; Raven Montmorency, ‘What Are Tibetan Singing Bowls?’, Nspirement (2019): </w:t>
      </w:r>
      <w:hyperlink r:id="rId3" w:history="1">
        <w:r w:rsidRPr="000556EA">
          <w:rPr>
            <w:rStyle w:val="Hyperlink"/>
          </w:rPr>
          <w:t>https://nspirement.com/2019/11/10/what-are-tibetan-singing-bowls2.html</w:t>
        </w:r>
      </w:hyperlink>
      <w:r>
        <w:t xml:space="preserve"> [accessed 21 April 2026]</w:t>
      </w:r>
    </w:p>
  </w:footnote>
  <w:footnote w:id="13">
    <w:p w14:paraId="72A488A2" w14:textId="0CA49AAF" w:rsidR="00427E29" w:rsidRDefault="00427E29" w:rsidP="00427E29">
      <w:pPr>
        <w:pStyle w:val="FootnoteText"/>
      </w:pPr>
      <w:r>
        <w:rPr>
          <w:rStyle w:val="FootnoteReference"/>
        </w:rPr>
        <w:footnoteRef/>
      </w:r>
      <w:r>
        <w:t xml:space="preserve"> </w:t>
      </w:r>
      <w:r w:rsidRPr="00CC362A">
        <w:t xml:space="preserve">Shakya-Kasa, </w:t>
      </w:r>
      <w:r w:rsidRPr="00CC362A">
        <w:rPr>
          <w:i/>
          <w:iCs/>
        </w:rPr>
        <w:t>Himalayan Singing Bowl</w:t>
      </w:r>
      <w:r w:rsidRPr="00CC362A">
        <w:t xml:space="preserve">, pp. </w:t>
      </w:r>
      <w:r>
        <w:t xml:space="preserve">38-39. </w:t>
      </w:r>
    </w:p>
  </w:footnote>
  <w:footnote w:id="14">
    <w:p w14:paraId="2D1A9654" w14:textId="1C1C2644" w:rsidR="00427E29" w:rsidRDefault="00427E29" w:rsidP="00427E29">
      <w:pPr>
        <w:pStyle w:val="FootnoteText"/>
      </w:pPr>
      <w:r>
        <w:rPr>
          <w:rStyle w:val="FootnoteReference"/>
        </w:rPr>
        <w:footnoteRef/>
      </w:r>
      <w:r>
        <w:t xml:space="preserve"> Feinstein, </w:t>
      </w:r>
      <w:r w:rsidRPr="008712EE">
        <w:rPr>
          <w:i/>
          <w:iCs/>
        </w:rPr>
        <w:t>The Singing Bowl Book</w:t>
      </w:r>
      <w:r>
        <w:t xml:space="preserve">, pp.8-9. </w:t>
      </w:r>
    </w:p>
  </w:footnote>
  <w:footnote w:id="15">
    <w:p w14:paraId="6066173C" w14:textId="372A8A50" w:rsidR="00D20BE4" w:rsidRDefault="00D20BE4">
      <w:pPr>
        <w:pStyle w:val="FootnoteText"/>
      </w:pPr>
      <w:r>
        <w:rPr>
          <w:rStyle w:val="FootnoteReference"/>
        </w:rPr>
        <w:footnoteRef/>
      </w:r>
      <w:r>
        <w:t xml:space="preserve"> Japan House London, The Sound of Orin: Talk &amp; Demonstration by Buddhist Bell Artisan (2022): </w:t>
      </w:r>
      <w:hyperlink r:id="rId4" w:history="1">
        <w:r w:rsidRPr="00B97DFC">
          <w:rPr>
            <w:rStyle w:val="Hyperlink"/>
          </w:rPr>
          <w:t>https://www.japanhouselondon.uk/whats-on/the-sound-of-orin-talk-demonstration-by-buddhist-bell-artisan/</w:t>
        </w:r>
      </w:hyperlink>
      <w:r>
        <w:t xml:space="preserve"> [accessed 3 April 2026]; The Met Museum, Dobachi: </w:t>
      </w:r>
      <w:hyperlink r:id="rId5" w:history="1">
        <w:r w:rsidRPr="00B97DFC">
          <w:rPr>
            <w:rStyle w:val="Hyperlink"/>
          </w:rPr>
          <w:t>https://www.metmuseum.org/art/collection/search/502115</w:t>
        </w:r>
      </w:hyperlink>
      <w:r>
        <w:t xml:space="preserve"> [accessed 3 April 2026]. </w:t>
      </w:r>
    </w:p>
  </w:footnote>
  <w:footnote w:id="16">
    <w:p w14:paraId="23B397CF" w14:textId="77777777" w:rsidR="00F65164" w:rsidRDefault="00F65164" w:rsidP="00F65164">
      <w:pPr>
        <w:pStyle w:val="FootnoteText"/>
      </w:pPr>
      <w:r>
        <w:rPr>
          <w:rStyle w:val="FootnoteReference"/>
        </w:rPr>
        <w:footnoteRef/>
      </w:r>
      <w:r>
        <w:t xml:space="preserve"> Perry, </w:t>
      </w:r>
      <w:r w:rsidRPr="00DD2D75">
        <w:rPr>
          <w:i/>
          <w:iCs/>
        </w:rPr>
        <w:t>Himalayan Sound Revelations</w:t>
      </w:r>
      <w:r>
        <w:t xml:space="preserve">, pp. 54-86. </w:t>
      </w:r>
    </w:p>
  </w:footnote>
  <w:footnote w:id="17">
    <w:p w14:paraId="7005E882" w14:textId="77777777" w:rsidR="00427E29" w:rsidRDefault="00427E29" w:rsidP="00427E29">
      <w:pPr>
        <w:pStyle w:val="FootnoteText"/>
      </w:pPr>
      <w:r>
        <w:rPr>
          <w:rStyle w:val="FootnoteReference"/>
        </w:rPr>
        <w:footnoteRef/>
      </w:r>
      <w:r>
        <w:t xml:space="preserve"> </w:t>
      </w:r>
      <w:r w:rsidRPr="00476FD1">
        <w:t>Rain Gray</w:t>
      </w:r>
      <w:r w:rsidRPr="00275F3F">
        <w:t xml:space="preserve">, </w:t>
      </w:r>
      <w:r w:rsidRPr="00476FD1">
        <w:t xml:space="preserve">Tibetan Singing Bowl History: An Interview with Lama Lobsang Leshe (1989): </w:t>
      </w:r>
      <w:hyperlink r:id="rId6" w:history="1">
        <w:r w:rsidRPr="00476FD1">
          <w:rPr>
            <w:rStyle w:val="Hyperlink"/>
          </w:rPr>
          <w:t>https://www.isingingbowls.com/tibetan-singing-bowl-history/</w:t>
        </w:r>
      </w:hyperlink>
      <w:r w:rsidRPr="00476FD1">
        <w:t xml:space="preserve"> [accessed 23 April 2026]</w:t>
      </w:r>
      <w:r>
        <w:t xml:space="preserve">; Alain Presencer, </w:t>
      </w:r>
      <w:r w:rsidRPr="0044453B">
        <w:rPr>
          <w:i/>
          <w:iCs/>
        </w:rPr>
        <w:t>Tibetan Buddhist Art: A Spectacular Illustrated Introduction to the History of Tibetan Buddhist Art</w:t>
      </w:r>
      <w:r>
        <w:t xml:space="preserve"> (Dublin &amp; London: Quartet Books, 2019). </w:t>
      </w:r>
      <w:r w:rsidRPr="00476FD1">
        <w:t xml:space="preserve">  </w:t>
      </w:r>
    </w:p>
  </w:footnote>
  <w:footnote w:id="18">
    <w:p w14:paraId="2EE69DDA" w14:textId="51345B7E" w:rsidR="00427E29" w:rsidRDefault="00427E29" w:rsidP="00427E29">
      <w:pPr>
        <w:pStyle w:val="FootnoteText"/>
      </w:pPr>
      <w:r>
        <w:rPr>
          <w:rStyle w:val="FootnoteReference"/>
        </w:rPr>
        <w:footnoteRef/>
      </w:r>
      <w:r>
        <w:t xml:space="preserve"> Perry, </w:t>
      </w:r>
      <w:r w:rsidRPr="00DD2D75">
        <w:rPr>
          <w:i/>
          <w:iCs/>
        </w:rPr>
        <w:t>Himalayan Sound Revelations: The Complete Singing Bowl Book</w:t>
      </w:r>
      <w:r>
        <w:t xml:space="preserve">, (London: Polair Publishing, 2022), pp. 54-86. </w:t>
      </w:r>
    </w:p>
  </w:footnote>
  <w:footnote w:id="19">
    <w:p w14:paraId="60428B8F" w14:textId="77777777" w:rsidR="00427E29" w:rsidRDefault="00427E29" w:rsidP="00427E29">
      <w:pPr>
        <w:pStyle w:val="FootnoteText"/>
      </w:pPr>
      <w:r>
        <w:rPr>
          <w:rStyle w:val="FootnoteReference"/>
        </w:rPr>
        <w:footnoteRef/>
      </w:r>
      <w:r>
        <w:t xml:space="preserve"> Chandra L. Reedy, A Tibetan Text on Metalworking from the Collected Writing of ‘Ju Mi-Pham, Historical Metallurgy, Vol. 25 No. 1 (2022), pp. 37-46. </w:t>
      </w:r>
    </w:p>
  </w:footnote>
  <w:footnote w:id="20">
    <w:p w14:paraId="73F0E535" w14:textId="77777777" w:rsidR="00427E29" w:rsidRDefault="00427E29" w:rsidP="00427E29">
      <w:pPr>
        <w:pStyle w:val="FootnoteText"/>
      </w:pPr>
      <w:r>
        <w:rPr>
          <w:rStyle w:val="FootnoteReference"/>
        </w:rPr>
        <w:footnoteRef/>
      </w:r>
      <w:r>
        <w:t xml:space="preserve"> </w:t>
      </w:r>
      <w:r w:rsidRPr="008864E5">
        <w:t xml:space="preserve">M. L. Gaynor, </w:t>
      </w:r>
      <w:r w:rsidRPr="008864E5">
        <w:rPr>
          <w:i/>
          <w:iCs/>
        </w:rPr>
        <w:t>The Healing Power of Sound: Recovery from Life-threatening Illness Using Sound, Voice and Music</w:t>
      </w:r>
      <w:r w:rsidRPr="008864E5">
        <w:t xml:space="preserve">, </w:t>
      </w:r>
      <w:r>
        <w:t xml:space="preserve">(Boston: </w:t>
      </w:r>
      <w:r w:rsidRPr="008864E5">
        <w:t>Shambhala Publications</w:t>
      </w:r>
      <w:r>
        <w:t xml:space="preserve">, </w:t>
      </w:r>
      <w:r w:rsidRPr="008864E5">
        <w:t>2002)</w:t>
      </w:r>
      <w:r>
        <w:t xml:space="preserve">, pp. 1-23; Rain Gray, Tibetan Singing Bowl History: An Interview with Lama Lobsang Leshe (1989): </w:t>
      </w:r>
      <w:hyperlink r:id="rId7" w:history="1">
        <w:r w:rsidRPr="000556EA">
          <w:rPr>
            <w:rStyle w:val="Hyperlink"/>
          </w:rPr>
          <w:t>https://www.isingingbowls.com/tibetan-singing-bowl-history/</w:t>
        </w:r>
      </w:hyperlink>
      <w:r>
        <w:t xml:space="preserve"> [accessed 23 April 2026]  </w:t>
      </w:r>
    </w:p>
  </w:footnote>
  <w:footnote w:id="21">
    <w:p w14:paraId="7B96108C" w14:textId="77777777" w:rsidR="00427E29" w:rsidRDefault="00427E29" w:rsidP="00427E29">
      <w:pPr>
        <w:pStyle w:val="FootnoteText"/>
        <w:jc w:val="both"/>
      </w:pPr>
      <w:r>
        <w:rPr>
          <w:rStyle w:val="FootnoteReference"/>
        </w:rPr>
        <w:footnoteRef/>
      </w:r>
      <w:r>
        <w:t xml:space="preserve"> Nick Campion, </w:t>
      </w:r>
      <w:r w:rsidRPr="00EE74C4">
        <w:t xml:space="preserve">‘The Importance of Cosmology in Culture: Contexts and Consequences’, in </w:t>
      </w:r>
      <w:r w:rsidRPr="00EE74C4">
        <w:rPr>
          <w:i/>
          <w:iCs/>
        </w:rPr>
        <w:t>Trends in Modern Cosmology</w:t>
      </w:r>
      <w:r w:rsidRPr="00EE74C4">
        <w:t xml:space="preserve">. (Intech, 2017). </w:t>
      </w:r>
      <w:r>
        <w:t>pp</w:t>
      </w:r>
      <w:r w:rsidRPr="00EE74C4">
        <w:t>.3-17.</w:t>
      </w:r>
      <w:r>
        <w:t xml:space="preserve"> </w:t>
      </w:r>
    </w:p>
  </w:footnote>
  <w:footnote w:id="22">
    <w:p w14:paraId="4705B316" w14:textId="77777777" w:rsidR="00427E29" w:rsidRDefault="00427E29" w:rsidP="00427E29">
      <w:pPr>
        <w:pStyle w:val="FootnoteText"/>
      </w:pPr>
      <w:r>
        <w:rPr>
          <w:rStyle w:val="FootnoteReference"/>
        </w:rPr>
        <w:footnoteRef/>
      </w:r>
      <w:r w:rsidRPr="00A33411">
        <w:t>Nicholas Campion, ‘Cosmos and Cosmology’</w:t>
      </w:r>
      <w:r>
        <w:t>,</w:t>
      </w:r>
      <w:r w:rsidRPr="00A33411">
        <w:t xml:space="preserve"> in </w:t>
      </w:r>
      <w:r w:rsidRPr="004B55F9">
        <w:rPr>
          <w:i/>
          <w:iCs/>
        </w:rPr>
        <w:t>Vocabulary for the Study of Religion</w:t>
      </w:r>
      <w:r w:rsidRPr="00A33411">
        <w:t xml:space="preserve"> (Leiden: Brill,</w:t>
      </w:r>
      <w:r>
        <w:t xml:space="preserve"> </w:t>
      </w:r>
      <w:r w:rsidRPr="00A33411">
        <w:t>2015), pp. 359-64</w:t>
      </w:r>
      <w:r>
        <w:t xml:space="preserve">. </w:t>
      </w:r>
    </w:p>
  </w:footnote>
  <w:footnote w:id="23">
    <w:p w14:paraId="40B41FF2" w14:textId="77777777" w:rsidR="00427E29" w:rsidRDefault="00427E29" w:rsidP="00427E29">
      <w:pPr>
        <w:pStyle w:val="FootnoteText"/>
      </w:pPr>
      <w:r>
        <w:rPr>
          <w:rStyle w:val="FootnoteReference"/>
        </w:rPr>
        <w:footnoteRef/>
      </w:r>
      <w:r>
        <w:t xml:space="preserve"> </w:t>
      </w:r>
      <w:r w:rsidRPr="00791C60">
        <w:t xml:space="preserve">Stephen F. Teiser, ‘Religions of China in Practice’, in </w:t>
      </w:r>
      <w:r w:rsidRPr="00791C60">
        <w:rPr>
          <w:i/>
          <w:iCs/>
        </w:rPr>
        <w:t>Asian Religions in Practice</w:t>
      </w:r>
      <w:r w:rsidRPr="00791C60">
        <w:t xml:space="preserve">, ed. by D.S. Lopez (Princeton: Princeton University Press, 1999), pp.88–122; A.Leo Oppenheim, </w:t>
      </w:r>
      <w:r w:rsidRPr="00791C60">
        <w:rPr>
          <w:i/>
          <w:iCs/>
        </w:rPr>
        <w:t>Ancient Mesopotamia: Portrait of a Dead Civilisation</w:t>
      </w:r>
      <w:r w:rsidRPr="00791C60">
        <w:t xml:space="preserve">. Revised edition. (Chicago: University of Chicago Press, 1977). pp. 172-182.  </w:t>
      </w:r>
    </w:p>
  </w:footnote>
  <w:footnote w:id="24">
    <w:p w14:paraId="182F9F42" w14:textId="33095B39" w:rsidR="008731E7" w:rsidRDefault="008731E7">
      <w:pPr>
        <w:pStyle w:val="FootnoteText"/>
      </w:pPr>
      <w:r>
        <w:rPr>
          <w:rStyle w:val="FootnoteReference"/>
        </w:rPr>
        <w:footnoteRef/>
      </w:r>
      <w:r>
        <w:t xml:space="preserve"> </w:t>
      </w:r>
      <w:r w:rsidR="00CB07A8">
        <w:t xml:space="preserve">Nicholas Campion, </w:t>
      </w:r>
      <w:r w:rsidR="00CB07A8" w:rsidRPr="00103644">
        <w:rPr>
          <w:i/>
          <w:iCs/>
        </w:rPr>
        <w:t>Astrology and Cosmology in the World’s Religions</w:t>
      </w:r>
      <w:r w:rsidR="00CB07A8">
        <w:t>, (New York: New York University Press, 2012), p. 10</w:t>
      </w:r>
      <w:r w:rsidR="00532C98">
        <w:t xml:space="preserve">; </w:t>
      </w:r>
      <w:r w:rsidR="00532C98" w:rsidRPr="00695D8D">
        <w:t xml:space="preserve">Fiona Bowie, </w:t>
      </w:r>
      <w:r w:rsidR="00532C98" w:rsidRPr="00695D8D">
        <w:rPr>
          <w:i/>
          <w:iCs/>
        </w:rPr>
        <w:t>The Anthropology of Religion</w:t>
      </w:r>
      <w:r w:rsidR="00532C98" w:rsidRPr="00695D8D">
        <w:t xml:space="preserve">. (Oxford: Blackwell, 2002); A. Dundes, ‘Folk Ideas as Units of Worldview’, </w:t>
      </w:r>
      <w:r w:rsidR="00532C98" w:rsidRPr="00695D8D">
        <w:rPr>
          <w:i/>
          <w:iCs/>
        </w:rPr>
        <w:t>Journal of American Folklore</w:t>
      </w:r>
      <w:r w:rsidR="00532C98" w:rsidRPr="00695D8D">
        <w:t xml:space="preserve">, Vol. 84, No. 331, (1971), pp. 93-103; D. Hay, &amp; R. Nye, </w:t>
      </w:r>
      <w:r w:rsidR="00532C98" w:rsidRPr="00695D8D">
        <w:rPr>
          <w:i/>
          <w:iCs/>
        </w:rPr>
        <w:t>The Spirit of the Child</w:t>
      </w:r>
      <w:r w:rsidR="00532C98" w:rsidRPr="00695D8D">
        <w:t>, (London: Jessica Kingsley Publishing, 2006)</w:t>
      </w:r>
      <w:r w:rsidR="00532C98">
        <w:t>, p.22.</w:t>
      </w:r>
    </w:p>
  </w:footnote>
  <w:footnote w:id="25">
    <w:p w14:paraId="593A4F4B" w14:textId="12899396" w:rsidR="00427E29" w:rsidRDefault="00427E29" w:rsidP="00427E29">
      <w:pPr>
        <w:pStyle w:val="FootnoteText"/>
      </w:pPr>
      <w:r>
        <w:rPr>
          <w:rStyle w:val="FootnoteReference"/>
        </w:rPr>
        <w:footnoteRef/>
      </w:r>
      <w:r>
        <w:t xml:space="preserve"> </w:t>
      </w:r>
      <w:r w:rsidRPr="008F78DE">
        <w:t>Freya Mathews, </w:t>
      </w:r>
      <w:r w:rsidRPr="008F78DE">
        <w:rPr>
          <w:i/>
          <w:iCs/>
        </w:rPr>
        <w:t>The Ecological Self</w:t>
      </w:r>
      <w:r w:rsidRPr="008F78DE">
        <w:t> (London: Routledge, 1991), p. 13</w:t>
      </w:r>
      <w:r w:rsidR="0070403D">
        <w:t xml:space="preserve">. </w:t>
      </w:r>
    </w:p>
  </w:footnote>
  <w:footnote w:id="26">
    <w:p w14:paraId="7B0E8460" w14:textId="77777777" w:rsidR="007A3E28" w:rsidRDefault="007A3E28" w:rsidP="007A3E28">
      <w:pPr>
        <w:pStyle w:val="FootnoteText"/>
      </w:pPr>
      <w:r w:rsidRPr="0094567F">
        <w:rPr>
          <w:rStyle w:val="FootnoteReference"/>
        </w:rPr>
        <w:footnoteRef/>
      </w:r>
      <w:r w:rsidRPr="0094567F">
        <w:t xml:space="preserve"> King-Ho Leung, </w:t>
      </w:r>
      <w:r w:rsidRPr="0094567F">
        <w:rPr>
          <w:i/>
          <w:iCs/>
        </w:rPr>
        <w:t>Spiritual Life and Secular Thought: A Phenomenology</w:t>
      </w:r>
      <w:r w:rsidRPr="0094567F">
        <w:t xml:space="preserve"> (Oxford: Oxford University Press, 2025), p.204; M. D. Litonjua, ‘Spiritual, But Not Religious: Untangling A Seeming Paradox’, </w:t>
      </w:r>
      <w:r w:rsidRPr="0094567F">
        <w:rPr>
          <w:i/>
          <w:iCs/>
        </w:rPr>
        <w:t>International Review of Modern Sociology</w:t>
      </w:r>
      <w:r w:rsidRPr="0094567F">
        <w:t>, Vol. 42, No. 1 (2016), pp. 21-55.</w:t>
      </w:r>
    </w:p>
  </w:footnote>
  <w:footnote w:id="27">
    <w:p w14:paraId="2D00DBEB" w14:textId="77777777" w:rsidR="00427E29" w:rsidRDefault="00427E29" w:rsidP="00427E29">
      <w:pPr>
        <w:pStyle w:val="FootnoteText"/>
      </w:pPr>
      <w:r>
        <w:rPr>
          <w:rStyle w:val="FootnoteReference"/>
        </w:rPr>
        <w:footnoteRef/>
      </w:r>
      <w:r>
        <w:t xml:space="preserve"> M. Wilcox, </w:t>
      </w:r>
      <w:r w:rsidRPr="00B1141D">
        <w:rPr>
          <w:i/>
          <w:iCs/>
        </w:rPr>
        <w:t>Queer Women and Religious Individualism</w:t>
      </w:r>
      <w:r>
        <w:t xml:space="preserve">, (Bloomington: Indiana University Press, 2009). </w:t>
      </w:r>
    </w:p>
  </w:footnote>
  <w:footnote w:id="28">
    <w:p w14:paraId="7A85E81F" w14:textId="77777777" w:rsidR="00427E29" w:rsidRDefault="00427E29" w:rsidP="00427E29">
      <w:pPr>
        <w:pStyle w:val="FootnoteText"/>
      </w:pPr>
      <w:r>
        <w:rPr>
          <w:rStyle w:val="FootnoteReference"/>
        </w:rPr>
        <w:footnoteRef/>
      </w:r>
      <w:r>
        <w:t xml:space="preserve"> Paul Heelas, Linda Woodhead, Benjamin Seel, Karin Tusting and Bron Szersynski, </w:t>
      </w:r>
      <w:r w:rsidRPr="00AC5C41">
        <w:rPr>
          <w:i/>
          <w:iCs/>
        </w:rPr>
        <w:t>The Spiritual Revolution: Why Religion Is Giving Way to Spirituality</w:t>
      </w:r>
      <w:r>
        <w:t xml:space="preserve">. (Oxford: Blackwell, 2005), p.5. </w:t>
      </w:r>
    </w:p>
  </w:footnote>
  <w:footnote w:id="29">
    <w:p w14:paraId="42E50DEE" w14:textId="77777777" w:rsidR="009D19BE" w:rsidRDefault="009D19BE" w:rsidP="009D19BE">
      <w:pPr>
        <w:pStyle w:val="FootnoteText"/>
      </w:pPr>
      <w:r>
        <w:rPr>
          <w:rStyle w:val="FootnoteReference"/>
        </w:rPr>
        <w:footnoteRef/>
      </w:r>
      <w:r>
        <w:t xml:space="preserve"> </w:t>
      </w:r>
      <w:r w:rsidRPr="005964BE">
        <w:t>Lois</w:t>
      </w:r>
      <w:r>
        <w:t xml:space="preserve"> Lee</w:t>
      </w:r>
      <w:r w:rsidRPr="005964BE">
        <w:t>, 'Beyond Unbelief: Non-Religion and Existential Culture', </w:t>
      </w:r>
      <w:r w:rsidRPr="005964BE">
        <w:rPr>
          <w:i/>
          <w:iCs/>
        </w:rPr>
        <w:t>Recognizing the Non-religious: Reimagining the Secular</w:t>
      </w:r>
      <w:r w:rsidRPr="005964BE">
        <w:t> (Oxford, 2015; online edn, Oxford Academic,</w:t>
      </w:r>
      <w:r>
        <w:t xml:space="preserve"> </w:t>
      </w:r>
      <w:r w:rsidRPr="005964BE">
        <w:t>2015)</w:t>
      </w:r>
    </w:p>
    <w:p w14:paraId="68544B29" w14:textId="77777777" w:rsidR="009D19BE" w:rsidRDefault="009D19BE" w:rsidP="009D19BE">
      <w:pPr>
        <w:pStyle w:val="FootnoteText"/>
      </w:pPr>
      <w:hyperlink r:id="rId8" w:history="1">
        <w:r w:rsidRPr="00563DC3">
          <w:rPr>
            <w:rStyle w:val="Hyperlink"/>
          </w:rPr>
          <w:t>https://doi.org/10.1093/acprof:oso/9780198736844.003.0008</w:t>
        </w:r>
      </w:hyperlink>
      <w:r w:rsidRPr="005964BE">
        <w:t>, </w:t>
      </w:r>
      <w:r>
        <w:t>[</w:t>
      </w:r>
      <w:r w:rsidRPr="005964BE">
        <w:t>accessed 4 Apr</w:t>
      </w:r>
      <w:r>
        <w:t>il</w:t>
      </w:r>
      <w:r w:rsidRPr="005964BE">
        <w:t xml:space="preserve"> 2026</w:t>
      </w:r>
      <w:r>
        <w:t>]</w:t>
      </w:r>
    </w:p>
  </w:footnote>
  <w:footnote w:id="30">
    <w:p w14:paraId="36905EA1" w14:textId="3C245E62" w:rsidR="00427E29" w:rsidRDefault="00427E29" w:rsidP="00427E29">
      <w:pPr>
        <w:pStyle w:val="FootnoteText"/>
      </w:pPr>
      <w:r>
        <w:rPr>
          <w:rStyle w:val="FootnoteReference"/>
        </w:rPr>
        <w:footnoteRef/>
      </w:r>
      <w:r>
        <w:t xml:space="preserve"> Jack Hunter, </w:t>
      </w:r>
      <w:r w:rsidRPr="000F681B">
        <w:rPr>
          <w:i/>
          <w:iCs/>
        </w:rPr>
        <w:t>Ecology and Spirituality: A Brief Introduction</w:t>
      </w:r>
      <w:r>
        <w:t>, (Wales: Sophia Centre Press, 2023), pp. 26-27; 30-32</w:t>
      </w:r>
      <w:r w:rsidR="00D04CC0">
        <w:t xml:space="preserve">. </w:t>
      </w:r>
    </w:p>
  </w:footnote>
  <w:footnote w:id="31">
    <w:p w14:paraId="5B8B26EB" w14:textId="77777777" w:rsidR="00427E29" w:rsidRDefault="00427E29" w:rsidP="00427E29">
      <w:pPr>
        <w:pStyle w:val="FootnoteText"/>
      </w:pPr>
      <w:r>
        <w:rPr>
          <w:rStyle w:val="FootnoteReference"/>
        </w:rPr>
        <w:footnoteRef/>
      </w:r>
      <w:r>
        <w:t xml:space="preserve"> Jack Hunter, </w:t>
      </w:r>
      <w:r w:rsidRPr="000F681B">
        <w:rPr>
          <w:i/>
          <w:iCs/>
        </w:rPr>
        <w:t>Ecology and Spirituality: A Brief Introduction</w:t>
      </w:r>
      <w:r>
        <w:t xml:space="preserve">, (Wales: Sophia Centre Press, 2023), pp. 34-35. </w:t>
      </w:r>
    </w:p>
  </w:footnote>
  <w:footnote w:id="32">
    <w:p w14:paraId="58F79B98" w14:textId="77777777" w:rsidR="00D42DF2" w:rsidRDefault="00D42DF2" w:rsidP="00D42DF2">
      <w:pPr>
        <w:pStyle w:val="FootnoteText"/>
      </w:pPr>
      <w:r>
        <w:rPr>
          <w:rStyle w:val="FootnoteReference"/>
        </w:rPr>
        <w:footnoteRef/>
      </w:r>
      <w:r>
        <w:t xml:space="preserve"> </w:t>
      </w:r>
      <w:r w:rsidRPr="007069EC">
        <w:t xml:space="preserve">Monique Hennink, Inge Hutter and Ajay Bailey, </w:t>
      </w:r>
      <w:r w:rsidRPr="007069EC">
        <w:rPr>
          <w:i/>
          <w:iCs/>
        </w:rPr>
        <w:t>Qualitative Research Methods</w:t>
      </w:r>
      <w:r w:rsidRPr="007069EC">
        <w:t xml:space="preserve"> (London: SAGE Publications, 2011),</w:t>
      </w:r>
      <w:r>
        <w:t xml:space="preserve"> p.53. </w:t>
      </w:r>
    </w:p>
  </w:footnote>
  <w:footnote w:id="33">
    <w:p w14:paraId="4E7AA3D1" w14:textId="702E3C62" w:rsidR="00102A7F" w:rsidRDefault="00102A7F">
      <w:pPr>
        <w:pStyle w:val="FootnoteText"/>
      </w:pPr>
      <w:r>
        <w:rPr>
          <w:rStyle w:val="FootnoteReference"/>
        </w:rPr>
        <w:footnoteRef/>
      </w:r>
      <w:r>
        <w:t xml:space="preserve"> </w:t>
      </w:r>
      <w:r>
        <w:t xml:space="preserve">Alan Bryman, </w:t>
      </w:r>
      <w:r w:rsidRPr="00EB7E7F">
        <w:rPr>
          <w:i/>
          <w:iCs/>
        </w:rPr>
        <w:t>Quantity and Quality in Social Research</w:t>
      </w:r>
      <w:r>
        <w:t>. (London and New York: Routledge, 2001),</w:t>
      </w:r>
      <w:r>
        <w:t xml:space="preserve"> pp. 127-156. </w:t>
      </w:r>
    </w:p>
  </w:footnote>
  <w:footnote w:id="34">
    <w:p w14:paraId="384C5EC4" w14:textId="0A0A3B48" w:rsidR="00E21D0C" w:rsidRDefault="00E21D0C" w:rsidP="00E21D0C">
      <w:pPr>
        <w:pStyle w:val="FootnoteText"/>
      </w:pPr>
      <w:r>
        <w:rPr>
          <w:rStyle w:val="FootnoteReference"/>
        </w:rPr>
        <w:footnoteRef/>
      </w:r>
      <w:r>
        <w:t xml:space="preserve"> </w:t>
      </w:r>
      <w:r w:rsidRPr="001679BC">
        <w:t xml:space="preserve">Claude Lévi-Strauss, </w:t>
      </w:r>
      <w:r w:rsidRPr="001679BC">
        <w:rPr>
          <w:i/>
          <w:iCs/>
        </w:rPr>
        <w:t>Structural Anthropology Volume II</w:t>
      </w:r>
      <w:r w:rsidRPr="001679BC">
        <w:t xml:space="preserve"> (London: Penguin Books, 1977)</w:t>
      </w:r>
      <w:r>
        <w:t>, pp</w:t>
      </w:r>
      <w:r w:rsidRPr="001679BC">
        <w:t>. 6-32</w:t>
      </w:r>
      <w:r w:rsidR="00D04CC0">
        <w:t xml:space="preserve">; </w:t>
      </w:r>
      <w:r w:rsidR="00D04CC0" w:rsidRPr="00ED0C92">
        <w:t xml:space="preserve">Clifford Geertz, </w:t>
      </w:r>
      <w:r w:rsidR="00D04CC0" w:rsidRPr="00ED0C92">
        <w:rPr>
          <w:i/>
          <w:iCs/>
        </w:rPr>
        <w:t>The Interpretation of Cultures: Selected Essays by Clifford Geertz</w:t>
      </w:r>
      <w:r w:rsidR="00D04CC0">
        <w:t xml:space="preserve">, </w:t>
      </w:r>
      <w:r w:rsidR="00D04CC0" w:rsidRPr="00ED0C92">
        <w:t>(New York: Basic Books, 1973)</w:t>
      </w:r>
      <w:r w:rsidR="00D04CC0">
        <w:t>, pp</w:t>
      </w:r>
      <w:r w:rsidR="00D04CC0" w:rsidRPr="00ED0C92">
        <w:t>. 3-32</w:t>
      </w:r>
      <w:r w:rsidR="00D04CC0">
        <w:t>.</w:t>
      </w:r>
    </w:p>
  </w:footnote>
  <w:footnote w:id="35">
    <w:p w14:paraId="583DBDEF" w14:textId="7C23D24D" w:rsidR="007C01B0" w:rsidRDefault="007C01B0" w:rsidP="007C01B0">
      <w:pPr>
        <w:pStyle w:val="FootnoteText"/>
      </w:pPr>
      <w:r>
        <w:rPr>
          <w:rStyle w:val="FootnoteReference"/>
        </w:rPr>
        <w:footnoteRef/>
      </w:r>
      <w:r>
        <w:t xml:space="preserve"> C. Hughes and R. Cohen, ‘Feminists Really Do Count: the Complexity of Feminist Methodologies’,</w:t>
      </w:r>
      <w:r>
        <w:t xml:space="preserve"> </w:t>
      </w:r>
      <w:r w:rsidRPr="00373A79">
        <w:rPr>
          <w:i/>
          <w:iCs/>
        </w:rPr>
        <w:t>International Journal of Social Research Methodology</w:t>
      </w:r>
      <w:r>
        <w:t xml:space="preserve">, Vol. 13, No. 3, (2010), pp.189-196; Linda Tuhiwai Smith, </w:t>
      </w:r>
      <w:r w:rsidRPr="00305CA3">
        <w:rPr>
          <w:i/>
          <w:iCs/>
        </w:rPr>
        <w:t>Decolonizing Methodologies: Research and Indigenous Peoples</w:t>
      </w:r>
      <w:r>
        <w:t>, (London: Bloomsbury Publishing, 2021), 3</w:t>
      </w:r>
      <w:r w:rsidRPr="00305CA3">
        <w:rPr>
          <w:vertAlign w:val="superscript"/>
        </w:rPr>
        <w:t>rd</w:t>
      </w:r>
      <w:r>
        <w:t xml:space="preserve"> edition, pp.49-66. </w:t>
      </w:r>
    </w:p>
  </w:footnote>
  <w:footnote w:id="36">
    <w:p w14:paraId="17349511" w14:textId="77777777" w:rsidR="00E61A76" w:rsidRDefault="00E61A76" w:rsidP="00E61A76">
      <w:pPr>
        <w:pStyle w:val="FootnoteText"/>
      </w:pPr>
      <w:r>
        <w:rPr>
          <w:rStyle w:val="FootnoteReference"/>
        </w:rPr>
        <w:footnoteRef/>
      </w:r>
      <w:r>
        <w:t xml:space="preserve"> Bristol City Council, Census 2021 (2021): </w:t>
      </w:r>
      <w:hyperlink r:id="rId9" w:history="1">
        <w:r w:rsidRPr="00A75C80">
          <w:rPr>
            <w:rStyle w:val="Hyperlink"/>
          </w:rPr>
          <w:t>https://www.bristol.gov.uk/council/statistics-census-information/census-2021</w:t>
        </w:r>
      </w:hyperlink>
      <w:r>
        <w:t xml:space="preserve"> [accessed 20 March 2026] </w:t>
      </w:r>
    </w:p>
  </w:footnote>
  <w:footnote w:id="37">
    <w:p w14:paraId="6EC24A68" w14:textId="6384C6CF" w:rsidR="00E6663F" w:rsidRDefault="00E6663F">
      <w:pPr>
        <w:pStyle w:val="FootnoteText"/>
      </w:pPr>
      <w:r>
        <w:rPr>
          <w:rStyle w:val="FootnoteReference"/>
        </w:rPr>
        <w:footnoteRef/>
      </w:r>
      <w:r>
        <w:t xml:space="preserve"> BBC, ‘Paganism is Second Most Popular Faith in South-West England’ (2017): </w:t>
      </w:r>
      <w:hyperlink r:id="rId10" w:history="1">
        <w:r w:rsidRPr="00B97DFC">
          <w:rPr>
            <w:rStyle w:val="Hyperlink"/>
          </w:rPr>
          <w:t>https://www.bbc.co.uk/news/av/uk-england-devon-40948532</w:t>
        </w:r>
      </w:hyperlink>
      <w:r>
        <w:t xml:space="preserve"> </w:t>
      </w:r>
      <w:r w:rsidR="00C766B2">
        <w:t xml:space="preserve">   </w:t>
      </w:r>
      <w:r>
        <w:t>[</w:t>
      </w:r>
      <w:r w:rsidR="00C766B2">
        <w:t>15 April 2026</w:t>
      </w:r>
      <w:r>
        <w:t>]</w:t>
      </w:r>
      <w:r w:rsidR="00CA7F56">
        <w:t xml:space="preserve">; </w:t>
      </w:r>
      <w:r w:rsidR="00CA7F56" w:rsidRPr="00CA7EE9">
        <w:rPr>
          <w:rFonts w:ascii="Times New Roman" w:hAnsi="Times New Roman" w:cs="Times New Roman"/>
          <w:sz w:val="22"/>
          <w:szCs w:val="22"/>
        </w:rPr>
        <w:t xml:space="preserve">Office for National Statistics, Religion in England and Wales, Census 2021 (2023): </w:t>
      </w:r>
      <w:hyperlink r:id="rId11" w:history="1">
        <w:r w:rsidR="00CA7F56" w:rsidRPr="00B97DFC">
          <w:rPr>
            <w:rStyle w:val="Hyperlink"/>
          </w:rPr>
          <w:t>https://www.ons.gov.uk/peoplepopulationandcommunity/culturalidentity/religion/bulletins/religionenglandandwales/census2021#religion-england-and-wales-data</w:t>
        </w:r>
      </w:hyperlink>
      <w:r w:rsidR="00CA7F56">
        <w:t xml:space="preserve">  </w:t>
      </w:r>
      <w:r w:rsidR="00CA7F56" w:rsidRPr="00CA7EE9">
        <w:rPr>
          <w:rFonts w:ascii="Times New Roman" w:hAnsi="Times New Roman" w:cs="Times New Roman"/>
          <w:sz w:val="22"/>
          <w:szCs w:val="22"/>
        </w:rPr>
        <w:t>[accessed on 17 March 2026]</w:t>
      </w:r>
      <w:r w:rsidR="00CA7F56">
        <w:rPr>
          <w:rFonts w:ascii="Times New Roman" w:hAnsi="Times New Roman" w:cs="Times New Roman"/>
          <w:sz w:val="22"/>
          <w:szCs w:val="22"/>
        </w:rPr>
        <w:t xml:space="preserve">. </w:t>
      </w:r>
    </w:p>
  </w:footnote>
  <w:footnote w:id="38">
    <w:p w14:paraId="57475B2E" w14:textId="6D7AC41A" w:rsidR="00E61A76" w:rsidRDefault="00E61A76" w:rsidP="00E61A76">
      <w:pPr>
        <w:pStyle w:val="FootnoteText"/>
      </w:pPr>
      <w:r>
        <w:rPr>
          <w:rStyle w:val="FootnoteReference"/>
        </w:rPr>
        <w:footnoteRef/>
      </w:r>
      <w:r>
        <w:t xml:space="preserve"> </w:t>
      </w:r>
      <w:r w:rsidR="007A54F7" w:rsidRPr="007A54F7">
        <w:t xml:space="preserve">Hennink, Monique, Inge Hutter and Ajay Bailey, </w:t>
      </w:r>
      <w:r w:rsidR="007A54F7" w:rsidRPr="007A54F7">
        <w:rPr>
          <w:i/>
          <w:iCs/>
        </w:rPr>
        <w:t>Qualitative Research Methods</w:t>
      </w:r>
      <w:r w:rsidR="007A54F7" w:rsidRPr="007A54F7">
        <w:t xml:space="preserve"> (London: SAGE Publications, 2011)</w:t>
      </w:r>
      <w:r>
        <w:rPr>
          <w:i/>
          <w:iCs/>
        </w:rPr>
        <w:t xml:space="preserve">, </w:t>
      </w:r>
      <w:r>
        <w:t xml:space="preserve">p.92-96. </w:t>
      </w:r>
    </w:p>
  </w:footnote>
  <w:footnote w:id="39">
    <w:p w14:paraId="48195B72" w14:textId="29797A16" w:rsidR="00A0740C" w:rsidRDefault="00A0740C" w:rsidP="00A0740C">
      <w:pPr>
        <w:pStyle w:val="FootnoteText"/>
      </w:pPr>
      <w:r>
        <w:rPr>
          <w:rStyle w:val="FootnoteReference"/>
        </w:rPr>
        <w:footnoteRef/>
      </w:r>
      <w:r>
        <w:t xml:space="preserve"> Ilkka </w:t>
      </w:r>
      <w:r w:rsidRPr="00BD169F">
        <w:t>Pyysiäinen, </w:t>
      </w:r>
      <w:r w:rsidRPr="00BD169F">
        <w:rPr>
          <w:i/>
          <w:iCs/>
        </w:rPr>
        <w:t xml:space="preserve"> Supernatural Agents: Why We Believe in Souls, Gods, and Buddhas</w:t>
      </w:r>
      <w:r w:rsidRPr="00BD169F">
        <w:t> (New York</w:t>
      </w:r>
      <w:r>
        <w:t>: Oxford Academic Books</w:t>
      </w:r>
      <w:r w:rsidRPr="00BD169F">
        <w:t>, 2009; online ed</w:t>
      </w:r>
      <w:r>
        <w:t>itio</w:t>
      </w:r>
      <w:r w:rsidRPr="00BD169F">
        <w:t>n, Oxford Academic, 2009),</w:t>
      </w:r>
      <w:r>
        <w:t xml:space="preserve"> pp.173-188</w:t>
      </w:r>
      <w:r w:rsidR="00DE6472">
        <w:t>.</w:t>
      </w:r>
    </w:p>
  </w:footnote>
  <w:footnote w:id="40">
    <w:p w14:paraId="564F4A4F" w14:textId="77777777" w:rsidR="00462AB3" w:rsidRDefault="00462AB3" w:rsidP="00462AB3">
      <w:pPr>
        <w:pStyle w:val="FootnoteText"/>
      </w:pPr>
      <w:r>
        <w:rPr>
          <w:rStyle w:val="FootnoteReference"/>
        </w:rPr>
        <w:footnoteRef/>
      </w:r>
      <w:r>
        <w:t xml:space="preserve"> Kathryn </w:t>
      </w:r>
      <w:r w:rsidRPr="005002B3">
        <w:t xml:space="preserve">Haynes, </w:t>
      </w:r>
      <w:r>
        <w:t>‘</w:t>
      </w:r>
      <w:r w:rsidRPr="005002B3">
        <w:t>Reflexivity in qualitative research</w:t>
      </w:r>
      <w:r>
        <w:t>’</w:t>
      </w:r>
      <w:r w:rsidRPr="005002B3">
        <w:t xml:space="preserve">. In C. Cassell, &amp; G. Symon (Eds.), </w:t>
      </w:r>
      <w:r w:rsidRPr="005002B3">
        <w:rPr>
          <w:i/>
          <w:iCs/>
        </w:rPr>
        <w:t>The Practice of Qualitative Organizational Research: Core Methods and Current Challenges</w:t>
      </w:r>
      <w:r>
        <w:t>,</w:t>
      </w:r>
      <w:r w:rsidRPr="005002B3">
        <w:t xml:space="preserve"> </w:t>
      </w:r>
      <w:r>
        <w:t>(</w:t>
      </w:r>
      <w:r w:rsidRPr="005002B3">
        <w:t>SAGE</w:t>
      </w:r>
      <w:r>
        <w:t>, 2012), p.72.</w:t>
      </w:r>
    </w:p>
  </w:footnote>
  <w:footnote w:id="41">
    <w:p w14:paraId="55A46F3C" w14:textId="77777777" w:rsidR="002D6976" w:rsidRDefault="002D6976" w:rsidP="002D6976">
      <w:pPr>
        <w:pStyle w:val="FootnoteText"/>
      </w:pPr>
      <w:r>
        <w:rPr>
          <w:rStyle w:val="FootnoteReference"/>
        </w:rPr>
        <w:footnoteRef/>
      </w:r>
      <w:r>
        <w:t xml:space="preserve"> </w:t>
      </w:r>
      <w:r w:rsidRPr="006C619D">
        <w:t>Jennifer Lane, Megan White, Neil Forbes, Neda Alizadeh, Helen Wong, Holly McCulloch, Emily K. Drake, S. M. Kawser Zafor Prince, Tatianna Bolton, Kris Lane, Courtney Pennell, Lori Wozney</w:t>
      </w:r>
      <w:r>
        <w:t xml:space="preserve">, ‘Integrating Equity, Diversity, and Inclusion Principles Into Qualitative Research Design’, </w:t>
      </w:r>
      <w:r w:rsidRPr="006C619D">
        <w:rPr>
          <w:i/>
          <w:iCs/>
        </w:rPr>
        <w:t>Qualitative Health Research</w:t>
      </w:r>
      <w:r>
        <w:rPr>
          <w:i/>
          <w:iCs/>
        </w:rPr>
        <w:t>,</w:t>
      </w:r>
      <w:r>
        <w:t xml:space="preserve"> (SAGE, 2025): </w:t>
      </w:r>
      <w:hyperlink r:id="rId12" w:history="1">
        <w:r w:rsidRPr="00A75C80">
          <w:rPr>
            <w:rStyle w:val="Hyperlink"/>
          </w:rPr>
          <w:t>https://doi.org/10.1177/10497323251376238</w:t>
        </w:r>
      </w:hyperlink>
      <w:r>
        <w:t xml:space="preserve"> [accessed 13 March 2026]; Newcastle University, EDI Toolkit for Researchers (2026): </w:t>
      </w:r>
      <w:hyperlink r:id="rId13" w:history="1">
        <w:r w:rsidRPr="00A75C80">
          <w:rPr>
            <w:rStyle w:val="Hyperlink"/>
          </w:rPr>
          <w:t>https://www.ncl.ac.uk/research/culture/edi-toolkit/</w:t>
        </w:r>
      </w:hyperlink>
      <w:r>
        <w:t xml:space="preserve">  [accessed 13 March 2026]</w:t>
      </w:r>
    </w:p>
  </w:footnote>
  <w:footnote w:id="42">
    <w:p w14:paraId="3633A7FF" w14:textId="77777777" w:rsidR="00D8042D" w:rsidRDefault="00D8042D" w:rsidP="00D8042D">
      <w:pPr>
        <w:pStyle w:val="FootnoteText"/>
      </w:pPr>
      <w:r>
        <w:rPr>
          <w:rStyle w:val="FootnoteReference"/>
        </w:rPr>
        <w:footnoteRef/>
      </w:r>
      <w:r>
        <w:t xml:space="preserve"> </w:t>
      </w:r>
      <w:r w:rsidRPr="006E2462">
        <w:t xml:space="preserve">Bristol City Council, Census 2021 (2021): </w:t>
      </w:r>
      <w:hyperlink r:id="rId14" w:history="1">
        <w:r w:rsidRPr="006E2462">
          <w:rPr>
            <w:rStyle w:val="Hyperlink"/>
          </w:rPr>
          <w:t>https://www.bristol.gov.uk/council/statistics-census-information/census-2021</w:t>
        </w:r>
      </w:hyperlink>
      <w:r w:rsidRPr="006E2462">
        <w:t xml:space="preserve"> [accessed 20 March 2026]</w:t>
      </w:r>
    </w:p>
  </w:footnote>
  <w:footnote w:id="43">
    <w:p w14:paraId="31A91097" w14:textId="77777777" w:rsidR="00C52636" w:rsidRDefault="00C52636" w:rsidP="00C52636">
      <w:pPr>
        <w:pStyle w:val="FootnoteText"/>
      </w:pPr>
      <w:r>
        <w:rPr>
          <w:rStyle w:val="FootnoteReference"/>
        </w:rPr>
        <w:footnoteRef/>
      </w:r>
      <w:r>
        <w:t xml:space="preserve"> </w:t>
      </w:r>
      <w:r w:rsidRPr="00AC5E5C">
        <w:t>Steven J.</w:t>
      </w:r>
      <w:r>
        <w:t xml:space="preserve"> </w:t>
      </w:r>
      <w:r w:rsidRPr="00AC5E5C">
        <w:t>Sutcliffe, ' The Dynamics of Alternative Spirituality: Seekers, Networks, and “New Age”', in James R. Lewis (ed.), </w:t>
      </w:r>
      <w:r w:rsidRPr="00AC5E5C">
        <w:rPr>
          <w:i/>
          <w:iCs/>
        </w:rPr>
        <w:t>The Oxford Handbook of New Religious Movements</w:t>
      </w:r>
      <w:r w:rsidRPr="00AC5E5C">
        <w:t>, Oxford Handbooks (2008; online edn, Oxford Academic, 2 Sept. 2009), </w:t>
      </w:r>
      <w:hyperlink r:id="rId15" w:history="1">
        <w:r w:rsidRPr="00AC5E5C">
          <w:rPr>
            <w:rStyle w:val="Hyperlink"/>
          </w:rPr>
          <w:t>https://doi.org/10.1093/oxfordhb/9780195369649.003.0021</w:t>
        </w:r>
      </w:hyperlink>
      <w:r w:rsidRPr="00AC5E5C">
        <w:t>, </w:t>
      </w:r>
      <w:r>
        <w:t>[</w:t>
      </w:r>
      <w:r w:rsidRPr="00AC5E5C">
        <w:t>accessed 6</w:t>
      </w:r>
      <w:r>
        <w:t xml:space="preserve"> April</w:t>
      </w:r>
      <w:r w:rsidRPr="00AC5E5C">
        <w:t xml:space="preserve"> 2026</w:t>
      </w:r>
      <w:r>
        <w:t xml:space="preserve">]; L. Woodhead, ‘ “Because I’m Worth It”: Religion and Women’s Changing Lives in the West’, in K. Aune, S. Sharma and G. Vincett (ed.), </w:t>
      </w:r>
      <w:r w:rsidRPr="00496D15">
        <w:rPr>
          <w:i/>
          <w:iCs/>
        </w:rPr>
        <w:t>Women and Religion in the West: Challenging Secularization</w:t>
      </w:r>
      <w:r>
        <w:t xml:space="preserve">, (Aldershot: Ashgate, 2008). </w:t>
      </w:r>
    </w:p>
  </w:footnote>
  <w:footnote w:id="44">
    <w:p w14:paraId="3DEE4D18" w14:textId="77777777" w:rsidR="00C52636" w:rsidRDefault="00C52636" w:rsidP="00C52636">
      <w:pPr>
        <w:pStyle w:val="FootnoteText"/>
      </w:pPr>
      <w:r>
        <w:rPr>
          <w:rStyle w:val="FootnoteReference"/>
        </w:rPr>
        <w:footnoteRef/>
      </w:r>
      <w:r>
        <w:t xml:space="preserve"> </w:t>
      </w:r>
      <w:r w:rsidRPr="00FE3E24">
        <w:t>Aune, ‘Much Less Religious</w:t>
      </w:r>
      <w:r>
        <w:t>’</w:t>
      </w:r>
      <w:r w:rsidRPr="00FE3E24">
        <w:t>, pp. 32-55.</w:t>
      </w:r>
    </w:p>
  </w:footnote>
  <w:footnote w:id="45">
    <w:p w14:paraId="791C0238" w14:textId="77777777" w:rsidR="00080FE8" w:rsidRDefault="00080FE8" w:rsidP="00080FE8">
      <w:pPr>
        <w:pStyle w:val="FootnoteText"/>
      </w:pPr>
      <w:r>
        <w:rPr>
          <w:rStyle w:val="FootnoteReference"/>
        </w:rPr>
        <w:footnoteRef/>
      </w:r>
      <w:r>
        <w:t xml:space="preserve"> Office for National Statistics, Detailed Religion by Age and Sex in England and Wales, Census 2021 (2023): </w:t>
      </w:r>
      <w:hyperlink r:id="rId16" w:history="1">
        <w:r w:rsidRPr="000556EA">
          <w:rPr>
            <w:rStyle w:val="Hyperlink"/>
          </w:rPr>
          <w:t>https://www.ons.gov.uk/peoplepopulationandcommunity/culturalidentity/religion/datasets/detailedreligionbyageandsexinenglandandwales</w:t>
        </w:r>
      </w:hyperlink>
      <w:r>
        <w:t xml:space="preserve"> [accessed on 17 March 2026]; Bristol City Council, Census 2021 (2021): </w:t>
      </w:r>
      <w:hyperlink r:id="rId17" w:history="1">
        <w:r w:rsidRPr="00A75C80">
          <w:rPr>
            <w:rStyle w:val="Hyperlink"/>
          </w:rPr>
          <w:t>https://www.bristol.gov.uk/council/statistics-census-information/census-2021</w:t>
        </w:r>
      </w:hyperlink>
      <w:r>
        <w:t xml:space="preserve"> [accessed 20 March 2026]</w:t>
      </w:r>
    </w:p>
  </w:footnote>
  <w:footnote w:id="46">
    <w:p w14:paraId="652C2DBC" w14:textId="77777777" w:rsidR="00AE4D76" w:rsidRDefault="00AE4D76" w:rsidP="00AE4D76">
      <w:pPr>
        <w:pStyle w:val="FootnoteText"/>
      </w:pPr>
      <w:r>
        <w:rPr>
          <w:rStyle w:val="FootnoteReference"/>
        </w:rPr>
        <w:footnoteRef/>
      </w:r>
      <w:r>
        <w:t xml:space="preserve"> </w:t>
      </w:r>
      <w:r w:rsidRPr="00CC362A">
        <w:t xml:space="preserve">Santa Ratna Shakya-Kasa, </w:t>
      </w:r>
      <w:r w:rsidRPr="00CC362A">
        <w:rPr>
          <w:i/>
          <w:iCs/>
        </w:rPr>
        <w:t>Himalayan Singing Bowl: Tuning the Mind, Healing the Body</w:t>
      </w:r>
      <w:r w:rsidRPr="00CC362A">
        <w:t>, (Nepal: The Shakya Kasa Research Centre, 2024),</w:t>
      </w:r>
      <w:r>
        <w:t xml:space="preserve">pp. 47-50. </w:t>
      </w:r>
    </w:p>
  </w:footnote>
  <w:footnote w:id="47">
    <w:p w14:paraId="49FF2AB5" w14:textId="77777777" w:rsidR="00CA09C0" w:rsidRDefault="00CA09C0" w:rsidP="00CA09C0">
      <w:pPr>
        <w:pStyle w:val="FootnoteText"/>
      </w:pPr>
      <w:r>
        <w:rPr>
          <w:rStyle w:val="FootnoteReference"/>
        </w:rPr>
        <w:footnoteRef/>
      </w:r>
      <w:r>
        <w:t xml:space="preserve"> Sound Planetarium, ‘Approach’: </w:t>
      </w:r>
      <w:hyperlink r:id="rId18" w:history="1">
        <w:r w:rsidRPr="00B97DFC">
          <w:rPr>
            <w:rStyle w:val="Hyperlink"/>
          </w:rPr>
          <w:t>https://www.soundplanetarium.com/approach/</w:t>
        </w:r>
      </w:hyperlink>
      <w:r>
        <w:t xml:space="preserve">  [accessed 30 March 2026] </w:t>
      </w:r>
    </w:p>
  </w:footnote>
  <w:footnote w:id="48">
    <w:p w14:paraId="6AE36E58" w14:textId="77777777" w:rsidR="00AE4D76" w:rsidRDefault="00AE4D76" w:rsidP="00AE4D76">
      <w:pPr>
        <w:pStyle w:val="FootnoteText"/>
      </w:pPr>
      <w:r>
        <w:rPr>
          <w:rStyle w:val="FootnoteReference"/>
        </w:rPr>
        <w:footnoteRef/>
      </w:r>
      <w:r>
        <w:t xml:space="preserve"> </w:t>
      </w:r>
      <w:r w:rsidRPr="003E4F87">
        <w:t xml:space="preserve">Frank Perry, </w:t>
      </w:r>
      <w:r w:rsidRPr="003E4F87">
        <w:rPr>
          <w:i/>
          <w:iCs/>
        </w:rPr>
        <w:t>Himalayan Sound Revelations: The Complete Singing Bowl Book</w:t>
      </w:r>
      <w:r w:rsidRPr="003E4F87">
        <w:t>, (London: Polair Publishing, 2022),</w:t>
      </w:r>
      <w:r>
        <w:t xml:space="preserve"> pp. 149-152. </w:t>
      </w:r>
    </w:p>
  </w:footnote>
  <w:footnote w:id="49">
    <w:p w14:paraId="320D1922" w14:textId="77777777" w:rsidR="00AE4D76" w:rsidRPr="002C4E62" w:rsidRDefault="00AE4D76" w:rsidP="00AE4D76">
      <w:pPr>
        <w:pStyle w:val="FootnoteText"/>
      </w:pPr>
      <w:r>
        <w:rPr>
          <w:rStyle w:val="FootnoteReference"/>
        </w:rPr>
        <w:footnoteRef/>
      </w:r>
      <w:r w:rsidRPr="002C4E62">
        <w:t xml:space="preserve"> </w:t>
      </w:r>
      <w:r w:rsidRPr="00EF47B9">
        <w:t xml:space="preserve">Peter Hess, </w:t>
      </w:r>
      <w:r>
        <w:t xml:space="preserve">‘Singing Bowl Types – Which Singing Bowl is the Right One for Me?’: </w:t>
      </w:r>
      <w:hyperlink r:id="rId19" w:anchor="section-4" w:history="1">
        <w:r w:rsidRPr="000556EA">
          <w:rPr>
            <w:rStyle w:val="Hyperlink"/>
          </w:rPr>
          <w:t>https://www.hess-sound.de/en/blogs/guide/singing-bowls-types#section-4</w:t>
        </w:r>
      </w:hyperlink>
      <w:r>
        <w:t xml:space="preserve"> [accessed 12 April 2026]</w:t>
      </w:r>
    </w:p>
  </w:footnote>
  <w:footnote w:id="50">
    <w:p w14:paraId="3B8A0E3C" w14:textId="77777777" w:rsidR="00AE4D76" w:rsidRDefault="00AE4D76" w:rsidP="00AE4D76">
      <w:pPr>
        <w:pStyle w:val="FootnoteText"/>
      </w:pPr>
      <w:r>
        <w:rPr>
          <w:rStyle w:val="FootnoteReference"/>
        </w:rPr>
        <w:footnoteRef/>
      </w:r>
      <w:r>
        <w:t xml:space="preserve"> </w:t>
      </w:r>
      <w:r w:rsidRPr="00504D28">
        <w:t>M.S.</w:t>
      </w:r>
      <w:r>
        <w:t xml:space="preserve"> </w:t>
      </w:r>
      <w:r w:rsidRPr="00504D28">
        <w:t>Swapna, Sankararaman, S. Comprehensive analysis of singing bowl vibrations: nonlinear time series, network, and spectral approaches. </w:t>
      </w:r>
      <w:r w:rsidRPr="00504D28">
        <w:rPr>
          <w:i/>
          <w:iCs/>
        </w:rPr>
        <w:t>Indian J</w:t>
      </w:r>
      <w:r>
        <w:rPr>
          <w:i/>
          <w:iCs/>
        </w:rPr>
        <w:t>ournal of</w:t>
      </w:r>
      <w:r w:rsidRPr="00504D28">
        <w:rPr>
          <w:i/>
          <w:iCs/>
        </w:rPr>
        <w:t xml:space="preserve"> Phys</w:t>
      </w:r>
      <w:r>
        <w:rPr>
          <w:i/>
          <w:iCs/>
        </w:rPr>
        <w:t>ics</w:t>
      </w:r>
      <w:r w:rsidRPr="00504D28">
        <w:t> </w:t>
      </w:r>
      <w:r w:rsidRPr="00504D28">
        <w:rPr>
          <w:b/>
          <w:bCs/>
        </w:rPr>
        <w:t>99</w:t>
      </w:r>
      <w:r w:rsidRPr="00504D28">
        <w:t xml:space="preserve">, </w:t>
      </w:r>
      <w:r>
        <w:t xml:space="preserve">(2025), pp. </w:t>
      </w:r>
      <w:r w:rsidRPr="00504D28">
        <w:t>4715–4724. </w:t>
      </w:r>
    </w:p>
  </w:footnote>
  <w:footnote w:id="51">
    <w:p w14:paraId="1D47F570" w14:textId="77777777" w:rsidR="00AE4D76" w:rsidRPr="00DA04DF" w:rsidRDefault="00AE4D76" w:rsidP="00AE4D76">
      <w:pPr>
        <w:pStyle w:val="FootnoteText"/>
      </w:pPr>
      <w:r>
        <w:rPr>
          <w:rStyle w:val="FootnoteReference"/>
        </w:rPr>
        <w:footnoteRef/>
      </w:r>
      <w:r>
        <w:t xml:space="preserve"> Pasang, </w:t>
      </w:r>
      <w:r w:rsidRPr="003838D2">
        <w:rPr>
          <w:i/>
          <w:iCs/>
        </w:rPr>
        <w:t>The Tibetan Singing Bowl</w:t>
      </w:r>
      <w:r>
        <w:t xml:space="preserve">, pp.15-16. </w:t>
      </w:r>
    </w:p>
  </w:footnote>
  <w:footnote w:id="52">
    <w:p w14:paraId="6C9F9523" w14:textId="77777777" w:rsidR="00AE4D76" w:rsidRDefault="00AE4D76" w:rsidP="00AE4D76">
      <w:pPr>
        <w:pStyle w:val="FootnoteText"/>
      </w:pPr>
      <w:r>
        <w:rPr>
          <w:rStyle w:val="FootnoteReference"/>
        </w:rPr>
        <w:footnoteRef/>
      </w:r>
      <w:r>
        <w:t xml:space="preserve"> </w:t>
      </w:r>
      <w:r w:rsidRPr="0014329E">
        <w:t>Isaac R. Settle</w:t>
      </w:r>
      <w:r>
        <w:t>,</w:t>
      </w:r>
      <w:r w:rsidRPr="0014329E">
        <w:t xml:space="preserve"> Kathryn Dispennette</w:t>
      </w:r>
      <w:r>
        <w:t>,</w:t>
      </w:r>
      <w:r w:rsidRPr="0014329E">
        <w:t xml:space="preserve"> </w:t>
      </w:r>
      <w:r>
        <w:t xml:space="preserve">&amp; </w:t>
      </w:r>
      <w:r w:rsidRPr="0014329E">
        <w:t>Brian D. Patchett</w:t>
      </w:r>
      <w:r>
        <w:t>, ‘</w:t>
      </w:r>
      <w:r w:rsidRPr="0014329E">
        <w:t xml:space="preserve">Empirical </w:t>
      </w:r>
      <w:r>
        <w:t>A</w:t>
      </w:r>
      <w:r w:rsidRPr="0014329E">
        <w:t xml:space="preserve">nalysis of </w:t>
      </w:r>
      <w:r>
        <w:t>M</w:t>
      </w:r>
      <w:r w:rsidRPr="0014329E">
        <w:t xml:space="preserve">odal </w:t>
      </w:r>
      <w:r>
        <w:t>P</w:t>
      </w:r>
      <w:r w:rsidRPr="0014329E">
        <w:t>recession in</w:t>
      </w:r>
      <w:r>
        <w:t xml:space="preserve"> C</w:t>
      </w:r>
      <w:r w:rsidRPr="0014329E">
        <w:t xml:space="preserve">rystalline Himalayan </w:t>
      </w:r>
      <w:r>
        <w:t>S</w:t>
      </w:r>
      <w:r w:rsidRPr="0014329E">
        <w:t xml:space="preserve">inging </w:t>
      </w:r>
      <w:r>
        <w:t>B</w:t>
      </w:r>
      <w:r w:rsidRPr="0014329E">
        <w:t>owls</w:t>
      </w:r>
      <w:r>
        <w:t xml:space="preserve">’, </w:t>
      </w:r>
      <w:r w:rsidRPr="007A3416">
        <w:rPr>
          <w:i/>
          <w:iCs/>
        </w:rPr>
        <w:t>Journal of Acoustic</w:t>
      </w:r>
      <w:r>
        <w:rPr>
          <w:i/>
          <w:iCs/>
        </w:rPr>
        <w:t>al</w:t>
      </w:r>
      <w:r w:rsidRPr="007A3416">
        <w:rPr>
          <w:i/>
          <w:iCs/>
        </w:rPr>
        <w:t xml:space="preserve"> Society of America</w:t>
      </w:r>
      <w:r>
        <w:t xml:space="preserve">, 157, (2025), A26. </w:t>
      </w:r>
    </w:p>
  </w:footnote>
  <w:footnote w:id="53">
    <w:p w14:paraId="41295C8C" w14:textId="77777777" w:rsidR="00AE4D76" w:rsidRPr="00581037" w:rsidRDefault="00AE4D76" w:rsidP="00AE4D76">
      <w:pPr>
        <w:pStyle w:val="FootnoteText"/>
      </w:pPr>
      <w:r>
        <w:rPr>
          <w:rStyle w:val="FootnoteReference"/>
        </w:rPr>
        <w:footnoteRef/>
      </w:r>
      <w:r w:rsidRPr="00581037">
        <w:t xml:space="preserve"> F. Wepner, J. Hahne, A. Teichmann, G. Bera-Schmid, A. Hördinger, M. Friedrich, ‘</w:t>
      </w:r>
      <w:r w:rsidRPr="001D2A2C">
        <w:t>Quarzklangschalentherapie bei wirbelsäulenbeschwerden und chronobiologische vorgänge - Eine randomisierte kontrollierte studie</w:t>
      </w:r>
      <w:r>
        <w:t xml:space="preserve">’, </w:t>
      </w:r>
      <w:r w:rsidRPr="00581037">
        <w:rPr>
          <w:i/>
          <w:iCs/>
        </w:rPr>
        <w:t>Forsch Komplementmed</w:t>
      </w:r>
      <w:r>
        <w:t xml:space="preserve">, 15, (2008), pp. 130-137; Alexander Matthews, Matthew CL Phillips, Lindsay R. Matthews, Shailesh Kumar, Avinesch Pillar, and Michael B. Jameson, ‘A Pilot Study Evaluating the Effects of Relaxation Music Played on Quartz Crystal Singing Bowls on Moond in Teenage Males’, </w:t>
      </w:r>
      <w:r w:rsidRPr="00A0434F">
        <w:rPr>
          <w:i/>
          <w:iCs/>
        </w:rPr>
        <w:t>Journal of Psychiatry and Behavioural Sciences</w:t>
      </w:r>
      <w:r>
        <w:t xml:space="preserve">, 6(2), (2023), p. 1085. </w:t>
      </w:r>
    </w:p>
  </w:footnote>
  <w:footnote w:id="54">
    <w:p w14:paraId="086506F1" w14:textId="1E3F0E45" w:rsidR="005E10A2" w:rsidRPr="00CF2194" w:rsidRDefault="005E10A2" w:rsidP="005E10A2">
      <w:pPr>
        <w:pStyle w:val="FootnoteText"/>
      </w:pPr>
      <w:r>
        <w:rPr>
          <w:rStyle w:val="FootnoteReference"/>
        </w:rPr>
        <w:footnoteRef/>
      </w:r>
      <w:r>
        <w:t xml:space="preserve"> Shalila Sharamon &amp; Bodo J. Baginski, </w:t>
      </w:r>
      <w:r w:rsidRPr="00437653">
        <w:rPr>
          <w:i/>
          <w:iCs/>
        </w:rPr>
        <w:t>The Chakra-Handbook: From Basic Understanding to Practical Application</w:t>
      </w:r>
      <w:r>
        <w:t>, (Delhi: Motilal Banarsidass Publishers, 2003), p. 21</w:t>
      </w:r>
      <w:r w:rsidR="00CF2194">
        <w:t xml:space="preserve">; </w:t>
      </w:r>
      <w:r w:rsidR="00CF2194" w:rsidRPr="00CF2194">
        <w:t xml:space="preserve">Shakya-Kasa, </w:t>
      </w:r>
      <w:r w:rsidR="00CF2194" w:rsidRPr="00CF2194">
        <w:rPr>
          <w:i/>
          <w:iCs/>
        </w:rPr>
        <w:t>Himalayan Singing Bowl</w:t>
      </w:r>
      <w:r w:rsidR="00CF2194" w:rsidRPr="00CF2194">
        <w:t>,</w:t>
      </w:r>
      <w:r w:rsidR="00CF2194">
        <w:t xml:space="preserve"> </w:t>
      </w:r>
      <w:r w:rsidR="00CF2194" w:rsidRPr="00CF2194">
        <w:t>pp. 47-50</w:t>
      </w:r>
      <w:r w:rsidR="00CF2194">
        <w:t xml:space="preserve">; </w:t>
      </w:r>
      <w:r w:rsidR="00CF2194" w:rsidRPr="00CF2194">
        <w:t xml:space="preserve">Perry, </w:t>
      </w:r>
      <w:r w:rsidR="00CF2194" w:rsidRPr="00CF2194">
        <w:rPr>
          <w:i/>
          <w:iCs/>
        </w:rPr>
        <w:t>Himalayan Sound Revelations</w:t>
      </w:r>
      <w:r w:rsidR="00CF2194">
        <w:t xml:space="preserve">, pp. 334-336; </w:t>
      </w:r>
      <w:r w:rsidR="00CF2194" w:rsidRPr="00CF2194">
        <w:t xml:space="preserve">Pasang, </w:t>
      </w:r>
      <w:r w:rsidR="00CF2194" w:rsidRPr="00CF2194">
        <w:rPr>
          <w:i/>
          <w:iCs/>
        </w:rPr>
        <w:t>The Tibetan Singing Bowl</w:t>
      </w:r>
      <w:r w:rsidR="00CF2194" w:rsidRPr="00CF2194">
        <w:t>, p</w:t>
      </w:r>
      <w:r w:rsidR="00CF2194">
        <w:t>p</w:t>
      </w:r>
      <w:r w:rsidR="00CF2194" w:rsidRPr="00CF2194">
        <w:t xml:space="preserve">. </w:t>
      </w:r>
      <w:r w:rsidR="00CF2194">
        <w:t xml:space="preserve">43-49. </w:t>
      </w:r>
    </w:p>
  </w:footnote>
  <w:footnote w:id="55">
    <w:p w14:paraId="26C7FAC2" w14:textId="7D19E99E" w:rsidR="005E10A2" w:rsidRDefault="005E10A2" w:rsidP="005E10A2">
      <w:pPr>
        <w:pStyle w:val="FootnoteText"/>
      </w:pPr>
      <w:r>
        <w:rPr>
          <w:rStyle w:val="FootnoteReference"/>
        </w:rPr>
        <w:footnoteRef/>
      </w:r>
      <w:r>
        <w:t xml:space="preserve"> </w:t>
      </w:r>
      <w:r w:rsidRPr="00F923C8">
        <w:t>Yang &amp; Zhang/</w:t>
      </w:r>
      <w:r w:rsidRPr="00F923C8">
        <w:rPr>
          <w:rFonts w:hint="eastAsia"/>
        </w:rPr>
        <w:t>杨</w:t>
      </w:r>
      <w:r w:rsidRPr="00F923C8">
        <w:t xml:space="preserve">&amp; </w:t>
      </w:r>
      <w:r w:rsidRPr="00F923C8">
        <w:rPr>
          <w:rFonts w:hint="eastAsia"/>
        </w:rPr>
        <w:t>张，</w:t>
      </w:r>
      <w:r w:rsidRPr="00F923C8">
        <w:rPr>
          <w:rFonts w:hint="eastAsia"/>
        </w:rPr>
        <w:t>S</w:t>
      </w:r>
      <w:r w:rsidRPr="00F923C8">
        <w:t>inging Bowls and Life Integration</w:t>
      </w:r>
      <w:r w:rsidRPr="00F923C8">
        <w:rPr>
          <w:rFonts w:hint="eastAsia"/>
        </w:rPr>
        <w:t>颂钵与生命整合</w:t>
      </w:r>
      <w:r w:rsidRPr="00F923C8">
        <w:t>, pp</w:t>
      </w:r>
      <w:r>
        <w:t xml:space="preserve">. 14-15; Pasang, </w:t>
      </w:r>
      <w:r w:rsidRPr="003838D2">
        <w:rPr>
          <w:i/>
          <w:iCs/>
        </w:rPr>
        <w:t>The Tibetan Singing Bowl</w:t>
      </w:r>
      <w:r>
        <w:t xml:space="preserve">, p. 15. </w:t>
      </w:r>
    </w:p>
  </w:footnote>
  <w:footnote w:id="56">
    <w:p w14:paraId="72EEC5DA" w14:textId="77777777" w:rsidR="00C602A8" w:rsidRDefault="00C602A8" w:rsidP="00C602A8">
      <w:pPr>
        <w:pStyle w:val="FootnoteText"/>
      </w:pPr>
      <w:r>
        <w:rPr>
          <w:rStyle w:val="FootnoteReference"/>
        </w:rPr>
        <w:footnoteRef/>
      </w:r>
      <w:r>
        <w:t xml:space="preserve"> E. </w:t>
      </w:r>
      <w:r w:rsidRPr="007F16BF">
        <w:t>Sheppard,</w:t>
      </w:r>
      <w:r>
        <w:t xml:space="preserve"> ‘</w:t>
      </w:r>
      <w:r w:rsidRPr="007F16BF">
        <w:t>The Therapeutic Power of Altered States of Consciousness</w:t>
      </w:r>
      <w:r>
        <w:t xml:space="preserve">’, in </w:t>
      </w:r>
      <w:r w:rsidRPr="007F16BF">
        <w:rPr>
          <w:i/>
          <w:iCs/>
        </w:rPr>
        <w:t>Mild Altered States of Consciousness</w:t>
      </w:r>
      <w:r>
        <w:t>,</w:t>
      </w:r>
      <w:r w:rsidRPr="007F16BF">
        <w:t xml:space="preserve"> </w:t>
      </w:r>
      <w:r>
        <w:t xml:space="preserve">(London: </w:t>
      </w:r>
      <w:r w:rsidRPr="007F16BF">
        <w:t>Palgrave Macmillan,</w:t>
      </w:r>
      <w:r>
        <w:t xml:space="preserve"> 2024), pp. 277-294. </w:t>
      </w:r>
    </w:p>
  </w:footnote>
  <w:footnote w:id="57">
    <w:p w14:paraId="04E84858" w14:textId="592AC7C9" w:rsidR="00A621FE" w:rsidRDefault="00A621FE">
      <w:pPr>
        <w:pStyle w:val="FootnoteText"/>
      </w:pPr>
      <w:r>
        <w:rPr>
          <w:rStyle w:val="FootnoteReference"/>
        </w:rPr>
        <w:footnoteRef/>
      </w:r>
      <w:r>
        <w:t xml:space="preserve"> </w:t>
      </w:r>
      <w:r w:rsidRPr="00A621FE">
        <w:t xml:space="preserve">Goldman, </w:t>
      </w:r>
      <w:r w:rsidRPr="00A621FE">
        <w:rPr>
          <w:i/>
          <w:iCs/>
        </w:rPr>
        <w:t>Healing Sounds</w:t>
      </w:r>
      <w:r>
        <w:rPr>
          <w:i/>
          <w:iCs/>
        </w:rPr>
        <w:t xml:space="preserve">, </w:t>
      </w:r>
      <w:r w:rsidRPr="00A621FE">
        <w:t xml:space="preserve">pp. 78-81.  </w:t>
      </w:r>
    </w:p>
  </w:footnote>
  <w:footnote w:id="58">
    <w:p w14:paraId="41179556" w14:textId="77777777" w:rsidR="000751E9" w:rsidRDefault="000751E9" w:rsidP="000751E9">
      <w:pPr>
        <w:pStyle w:val="FootnoteText"/>
      </w:pPr>
      <w:r>
        <w:rPr>
          <w:rStyle w:val="FootnoteReference"/>
        </w:rPr>
        <w:footnoteRef/>
      </w:r>
      <w:r>
        <w:t xml:space="preserve"> Halen Mercy, Brown Lizzy, and Peter Hollins, ‘Reality as Resonance: Reframing Existence Through Vibrational Ontology’, (2026): </w:t>
      </w:r>
      <w:hyperlink r:id="rId20" w:history="1">
        <w:r w:rsidRPr="00B97DFC">
          <w:rPr>
            <w:rStyle w:val="Hyperlink"/>
          </w:rPr>
          <w:t>https://www.researchgate.net/publication/400336211_Reality_as_Resonance_Reframing_Existence_Through_Vibrational_Ontology</w:t>
        </w:r>
      </w:hyperlink>
      <w:r>
        <w:t xml:space="preserve">  [accessed 26 April 2026]</w:t>
      </w:r>
    </w:p>
  </w:footnote>
  <w:footnote w:id="59">
    <w:p w14:paraId="40C8E9EC" w14:textId="77777777" w:rsidR="000751E9" w:rsidRDefault="000751E9" w:rsidP="000751E9">
      <w:pPr>
        <w:pStyle w:val="FootnoteText"/>
      </w:pPr>
      <w:r>
        <w:rPr>
          <w:rStyle w:val="FootnoteReference"/>
        </w:rPr>
        <w:footnoteRef/>
      </w:r>
      <w:r>
        <w:t xml:space="preserve"> Hans Jenny, </w:t>
      </w:r>
      <w:r w:rsidRPr="004471A5">
        <w:rPr>
          <w:i/>
          <w:iCs/>
        </w:rPr>
        <w:t>Cymatics: A Study of Wave Phenomenon and Vibration, Volumes I and II</w:t>
      </w:r>
      <w:r>
        <w:t xml:space="preserve">, (California: MACROmedia Publishing, 2024); Masaru Emoto, ‘Healing with Water’, </w:t>
      </w:r>
      <w:r w:rsidRPr="004471A5">
        <w:rPr>
          <w:i/>
          <w:iCs/>
        </w:rPr>
        <w:t>The Journal of Alternative and Complementary Medicine</w:t>
      </w:r>
      <w:r>
        <w:t xml:space="preserve">, Volume 10, (2004), pp. 19-21. </w:t>
      </w:r>
    </w:p>
  </w:footnote>
  <w:footnote w:id="60">
    <w:p w14:paraId="559DDFFE" w14:textId="31CCF6C0" w:rsidR="002F2698" w:rsidRDefault="002F2698">
      <w:pPr>
        <w:pStyle w:val="FootnoteText"/>
      </w:pPr>
      <w:r>
        <w:rPr>
          <w:rStyle w:val="FootnoteReference"/>
        </w:rPr>
        <w:footnoteRef/>
      </w:r>
      <w:r>
        <w:t xml:space="preserve"> J. Briggs and F. D. Peat, </w:t>
      </w:r>
      <w:r w:rsidRPr="002F2698">
        <w:rPr>
          <w:i/>
          <w:iCs/>
        </w:rPr>
        <w:t xml:space="preserve">The Turbulent Mirror: An Illustrated Guide to Chaos Theory and the Science of Wholeness, </w:t>
      </w:r>
      <w:r>
        <w:t xml:space="preserve">(New York: Harper &amp; Row, 1989). </w:t>
      </w:r>
    </w:p>
  </w:footnote>
  <w:footnote w:id="61">
    <w:p w14:paraId="62C69019" w14:textId="47586673" w:rsidR="00956FCB" w:rsidRDefault="00956FCB">
      <w:pPr>
        <w:pStyle w:val="FootnoteText"/>
      </w:pPr>
      <w:r>
        <w:rPr>
          <w:rStyle w:val="FootnoteReference"/>
        </w:rPr>
        <w:footnoteRef/>
      </w:r>
      <w:r>
        <w:t xml:space="preserve"> Candy Gunther Brown, ‘Tibetan Singing Bowls’, </w:t>
      </w:r>
      <w:r w:rsidRPr="00956FCB">
        <w:rPr>
          <w:i/>
          <w:iCs/>
        </w:rPr>
        <w:t>American Religion</w:t>
      </w:r>
      <w:r>
        <w:t xml:space="preserve">, 1, no. 2, (2020), pp. 52-73. </w:t>
      </w:r>
    </w:p>
  </w:footnote>
  <w:footnote w:id="62">
    <w:p w14:paraId="06418CE4" w14:textId="77777777" w:rsidR="001E258A" w:rsidRDefault="001E258A" w:rsidP="001E258A">
      <w:pPr>
        <w:pStyle w:val="FootnoteText"/>
      </w:pPr>
      <w:r>
        <w:rPr>
          <w:rStyle w:val="FootnoteReference"/>
        </w:rPr>
        <w:footnoteRef/>
      </w:r>
      <w:r>
        <w:t xml:space="preserve"> John Gould, ‘On Making Sense of Greek Religion’, in </w:t>
      </w:r>
      <w:r w:rsidRPr="002779FA">
        <w:rPr>
          <w:i/>
          <w:iCs/>
        </w:rPr>
        <w:t>Greek Religion and Society</w:t>
      </w:r>
      <w:r>
        <w:t xml:space="preserve">, ed. by P.E. Easterling &amp; J. V. Muir (Cambridge: Cambridge University Press, 1985), pp.7-8. </w:t>
      </w:r>
    </w:p>
  </w:footnote>
  <w:footnote w:id="63">
    <w:p w14:paraId="4D394B1B" w14:textId="77777777" w:rsidR="00EC4072" w:rsidRDefault="00EC4072" w:rsidP="00EC4072">
      <w:pPr>
        <w:pStyle w:val="FootnoteText"/>
      </w:pPr>
      <w:r>
        <w:rPr>
          <w:rStyle w:val="FootnoteReference"/>
        </w:rPr>
        <w:footnoteRef/>
      </w:r>
      <w:r>
        <w:t xml:space="preserve"> Graham Harvey, ‘If Spiritual But Not Religious’ People Are Not Religious What Difference Do They Make?’, </w:t>
      </w:r>
      <w:r w:rsidRPr="00EF5339">
        <w:rPr>
          <w:i/>
          <w:iCs/>
        </w:rPr>
        <w:t>Journal for the Study of Spirituality</w:t>
      </w:r>
      <w:r>
        <w:t xml:space="preserve">, 6, no. 2 (2016), pp. 128-141. </w:t>
      </w:r>
    </w:p>
  </w:footnote>
  <w:footnote w:id="64">
    <w:p w14:paraId="2A0331E9" w14:textId="77777777" w:rsidR="00EC4072" w:rsidRDefault="00EC4072" w:rsidP="00EC4072">
      <w:pPr>
        <w:pStyle w:val="FootnoteText"/>
      </w:pPr>
      <w:r>
        <w:rPr>
          <w:rStyle w:val="FootnoteReference"/>
        </w:rPr>
        <w:footnoteRef/>
      </w:r>
      <w:r>
        <w:t xml:space="preserve"> David Berliner, ‘Anthropology as the Science of Contradictions’, in </w:t>
      </w:r>
      <w:r w:rsidRPr="00A912D4">
        <w:rPr>
          <w:i/>
          <w:iCs/>
        </w:rPr>
        <w:t>Anthropology and the Study of Contradictions</w:t>
      </w:r>
      <w:r>
        <w:t xml:space="preserve">, ed. by David Berliner, </w:t>
      </w:r>
      <w:r w:rsidRPr="00A912D4">
        <w:rPr>
          <w:i/>
          <w:iCs/>
        </w:rPr>
        <w:t>Hau: Journal of Ethnographic Theory</w:t>
      </w:r>
      <w:r>
        <w:t>,</w:t>
      </w:r>
      <w:r w:rsidRPr="00A912D4">
        <w:t xml:space="preserve"> 6 (1)</w:t>
      </w:r>
      <w:r>
        <w:t xml:space="preserve">, (2016), pp. 1-27. </w:t>
      </w:r>
    </w:p>
  </w:footnote>
  <w:footnote w:id="65">
    <w:p w14:paraId="0EC8C039" w14:textId="63F89B44" w:rsidR="00295907" w:rsidRDefault="00295907">
      <w:pPr>
        <w:pStyle w:val="FootnoteText"/>
      </w:pPr>
      <w:r>
        <w:rPr>
          <w:rStyle w:val="FootnoteReference"/>
        </w:rPr>
        <w:footnoteRef/>
      </w:r>
      <w:r>
        <w:t xml:space="preserve"> Marion Bowman, ‘More of the Same? Christianity, Vernacular Religion and Alternative Spirituality in Glastonbury’, in </w:t>
      </w:r>
      <w:r w:rsidRPr="00295907">
        <w:rPr>
          <w:i/>
          <w:iCs/>
        </w:rPr>
        <w:t>Beyond New Age: Exploring Alternative Spirituality</w:t>
      </w:r>
      <w:r>
        <w:t xml:space="preserve">, ed. Steven Suycliffe and Marion Bowman, (Edinburgh: Edinburgh University Press, 2000), pp.86-93. </w:t>
      </w:r>
    </w:p>
  </w:footnote>
  <w:footnote w:id="66">
    <w:p w14:paraId="375BEA20" w14:textId="77777777" w:rsidR="008F3E51" w:rsidRDefault="008F3E51" w:rsidP="008F3E51">
      <w:pPr>
        <w:pStyle w:val="FootnoteText"/>
      </w:pPr>
      <w:r>
        <w:rPr>
          <w:rStyle w:val="FootnoteReference"/>
        </w:rPr>
        <w:footnoteRef/>
      </w:r>
      <w:r>
        <w:t xml:space="preserve"> Kristin Aune, ‘Much Less Religious, A Little More Spiritual: the Religious and Spiritual Views of Third-Wave Feminists in the UK’, </w:t>
      </w:r>
      <w:r w:rsidRPr="00EA7DF0">
        <w:rPr>
          <w:i/>
          <w:iCs/>
        </w:rPr>
        <w:t>Feminist Review</w:t>
      </w:r>
      <w:r>
        <w:t xml:space="preserve">, No. 97, (2011), pp. 32-55. </w:t>
      </w:r>
    </w:p>
  </w:footnote>
  <w:footnote w:id="67">
    <w:p w14:paraId="49F431FD" w14:textId="7F2E3779" w:rsidR="00E14B91" w:rsidRDefault="00E14B91">
      <w:pPr>
        <w:pStyle w:val="FootnoteText"/>
      </w:pPr>
      <w:r>
        <w:rPr>
          <w:rStyle w:val="FootnoteReference"/>
        </w:rPr>
        <w:footnoteRef/>
      </w:r>
      <w:r>
        <w:t xml:space="preserve"> Jenny Blain, </w:t>
      </w:r>
      <w:r w:rsidRPr="00E14B91">
        <w:t>‘Speaking Shamanistically: Seidr, Academia and Rationality’, DISKUS, Volume 6, (2000).</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E2E63"/>
    <w:multiLevelType w:val="hybridMultilevel"/>
    <w:tmpl w:val="AFAE2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71"/>
    <w:rsid w:val="00010174"/>
    <w:rsid w:val="00012ACD"/>
    <w:rsid w:val="0002232A"/>
    <w:rsid w:val="00023DE7"/>
    <w:rsid w:val="000312CE"/>
    <w:rsid w:val="00034C7D"/>
    <w:rsid w:val="00040F1C"/>
    <w:rsid w:val="0004167A"/>
    <w:rsid w:val="00056158"/>
    <w:rsid w:val="000579EB"/>
    <w:rsid w:val="00060426"/>
    <w:rsid w:val="00060AF5"/>
    <w:rsid w:val="00065DFF"/>
    <w:rsid w:val="0007400B"/>
    <w:rsid w:val="000751E9"/>
    <w:rsid w:val="00075417"/>
    <w:rsid w:val="00080FE8"/>
    <w:rsid w:val="0008649D"/>
    <w:rsid w:val="0009307C"/>
    <w:rsid w:val="00093B95"/>
    <w:rsid w:val="0009439B"/>
    <w:rsid w:val="00094565"/>
    <w:rsid w:val="000A193B"/>
    <w:rsid w:val="000B55AB"/>
    <w:rsid w:val="000C47F9"/>
    <w:rsid w:val="000D2BCF"/>
    <w:rsid w:val="000D4F13"/>
    <w:rsid w:val="000D5CC3"/>
    <w:rsid w:val="000E6270"/>
    <w:rsid w:val="000F35EE"/>
    <w:rsid w:val="000F76B9"/>
    <w:rsid w:val="00102A7F"/>
    <w:rsid w:val="00102E41"/>
    <w:rsid w:val="00103644"/>
    <w:rsid w:val="001064D5"/>
    <w:rsid w:val="00106D0F"/>
    <w:rsid w:val="001111E6"/>
    <w:rsid w:val="001114BC"/>
    <w:rsid w:val="0011623F"/>
    <w:rsid w:val="00122375"/>
    <w:rsid w:val="00134FFD"/>
    <w:rsid w:val="001403C1"/>
    <w:rsid w:val="00147E8C"/>
    <w:rsid w:val="00164DAB"/>
    <w:rsid w:val="001656A7"/>
    <w:rsid w:val="00182247"/>
    <w:rsid w:val="001822E4"/>
    <w:rsid w:val="00185F00"/>
    <w:rsid w:val="001A717B"/>
    <w:rsid w:val="001A7606"/>
    <w:rsid w:val="001B30F4"/>
    <w:rsid w:val="001B48CE"/>
    <w:rsid w:val="001C6E25"/>
    <w:rsid w:val="001D0F55"/>
    <w:rsid w:val="001D43F3"/>
    <w:rsid w:val="001D678D"/>
    <w:rsid w:val="001D6E8B"/>
    <w:rsid w:val="001E14D1"/>
    <w:rsid w:val="001E258A"/>
    <w:rsid w:val="001E5ACB"/>
    <w:rsid w:val="001E6C22"/>
    <w:rsid w:val="001F0D60"/>
    <w:rsid w:val="001F2615"/>
    <w:rsid w:val="001F5E30"/>
    <w:rsid w:val="00205C86"/>
    <w:rsid w:val="00214AC5"/>
    <w:rsid w:val="0022112F"/>
    <w:rsid w:val="00224BAC"/>
    <w:rsid w:val="002301C0"/>
    <w:rsid w:val="00232550"/>
    <w:rsid w:val="00233755"/>
    <w:rsid w:val="00236720"/>
    <w:rsid w:val="00250BF9"/>
    <w:rsid w:val="00250FCF"/>
    <w:rsid w:val="00252F2F"/>
    <w:rsid w:val="00266891"/>
    <w:rsid w:val="00267BA2"/>
    <w:rsid w:val="00270F80"/>
    <w:rsid w:val="00285EE7"/>
    <w:rsid w:val="00286A12"/>
    <w:rsid w:val="0028736E"/>
    <w:rsid w:val="00291083"/>
    <w:rsid w:val="00293384"/>
    <w:rsid w:val="00295907"/>
    <w:rsid w:val="002A56B1"/>
    <w:rsid w:val="002A56FB"/>
    <w:rsid w:val="002B1B63"/>
    <w:rsid w:val="002C396B"/>
    <w:rsid w:val="002C5CA6"/>
    <w:rsid w:val="002D6976"/>
    <w:rsid w:val="002E01A1"/>
    <w:rsid w:val="002E335E"/>
    <w:rsid w:val="002F07FE"/>
    <w:rsid w:val="002F086E"/>
    <w:rsid w:val="002F2698"/>
    <w:rsid w:val="002F623E"/>
    <w:rsid w:val="003223AF"/>
    <w:rsid w:val="00324A2D"/>
    <w:rsid w:val="00340354"/>
    <w:rsid w:val="00344E8C"/>
    <w:rsid w:val="003473F1"/>
    <w:rsid w:val="003511D3"/>
    <w:rsid w:val="003546FB"/>
    <w:rsid w:val="003561CB"/>
    <w:rsid w:val="003563D0"/>
    <w:rsid w:val="0037157A"/>
    <w:rsid w:val="00380404"/>
    <w:rsid w:val="003865E9"/>
    <w:rsid w:val="0039044F"/>
    <w:rsid w:val="00396540"/>
    <w:rsid w:val="003A05D7"/>
    <w:rsid w:val="003B1F6D"/>
    <w:rsid w:val="003B75E2"/>
    <w:rsid w:val="003C53C7"/>
    <w:rsid w:val="003C55D2"/>
    <w:rsid w:val="003C6BED"/>
    <w:rsid w:val="003F3173"/>
    <w:rsid w:val="003F3584"/>
    <w:rsid w:val="003F4064"/>
    <w:rsid w:val="003F488B"/>
    <w:rsid w:val="00403FA8"/>
    <w:rsid w:val="004258A4"/>
    <w:rsid w:val="00427E29"/>
    <w:rsid w:val="00436D91"/>
    <w:rsid w:val="004471A5"/>
    <w:rsid w:val="0044776F"/>
    <w:rsid w:val="00451E21"/>
    <w:rsid w:val="004605AD"/>
    <w:rsid w:val="00462AB3"/>
    <w:rsid w:val="00467928"/>
    <w:rsid w:val="00476142"/>
    <w:rsid w:val="00476522"/>
    <w:rsid w:val="004776F3"/>
    <w:rsid w:val="00480129"/>
    <w:rsid w:val="00482BE2"/>
    <w:rsid w:val="004855C2"/>
    <w:rsid w:val="00490D1E"/>
    <w:rsid w:val="00493EF5"/>
    <w:rsid w:val="00496D15"/>
    <w:rsid w:val="004A022C"/>
    <w:rsid w:val="004A4F70"/>
    <w:rsid w:val="004B0D2E"/>
    <w:rsid w:val="004B712D"/>
    <w:rsid w:val="004C6093"/>
    <w:rsid w:val="004D1FA2"/>
    <w:rsid w:val="004D386D"/>
    <w:rsid w:val="004D3F42"/>
    <w:rsid w:val="004D6384"/>
    <w:rsid w:val="004E42C4"/>
    <w:rsid w:val="004E7203"/>
    <w:rsid w:val="004F0706"/>
    <w:rsid w:val="004F7A77"/>
    <w:rsid w:val="0050562D"/>
    <w:rsid w:val="0051686F"/>
    <w:rsid w:val="00527632"/>
    <w:rsid w:val="005303FC"/>
    <w:rsid w:val="00532C98"/>
    <w:rsid w:val="00532DD3"/>
    <w:rsid w:val="00567412"/>
    <w:rsid w:val="005813EE"/>
    <w:rsid w:val="00585EFD"/>
    <w:rsid w:val="005918E1"/>
    <w:rsid w:val="00597BC6"/>
    <w:rsid w:val="005A638B"/>
    <w:rsid w:val="005D17BA"/>
    <w:rsid w:val="005D3BE1"/>
    <w:rsid w:val="005D5A08"/>
    <w:rsid w:val="005E10A2"/>
    <w:rsid w:val="005E2887"/>
    <w:rsid w:val="005E7261"/>
    <w:rsid w:val="005F034D"/>
    <w:rsid w:val="005F199F"/>
    <w:rsid w:val="005F239B"/>
    <w:rsid w:val="005F61D3"/>
    <w:rsid w:val="005F6DD1"/>
    <w:rsid w:val="006017B6"/>
    <w:rsid w:val="006312D7"/>
    <w:rsid w:val="00631AEE"/>
    <w:rsid w:val="00632133"/>
    <w:rsid w:val="00651256"/>
    <w:rsid w:val="00651F25"/>
    <w:rsid w:val="0065599D"/>
    <w:rsid w:val="00660C25"/>
    <w:rsid w:val="00661F34"/>
    <w:rsid w:val="00662490"/>
    <w:rsid w:val="00665F7A"/>
    <w:rsid w:val="006675D2"/>
    <w:rsid w:val="00680217"/>
    <w:rsid w:val="00682C7F"/>
    <w:rsid w:val="006939CD"/>
    <w:rsid w:val="006A1EDE"/>
    <w:rsid w:val="006C1323"/>
    <w:rsid w:val="006C3955"/>
    <w:rsid w:val="006C5EB6"/>
    <w:rsid w:val="006C7393"/>
    <w:rsid w:val="006D4090"/>
    <w:rsid w:val="006E4F4D"/>
    <w:rsid w:val="0070403D"/>
    <w:rsid w:val="00711E01"/>
    <w:rsid w:val="007144BC"/>
    <w:rsid w:val="00714D65"/>
    <w:rsid w:val="00715CE4"/>
    <w:rsid w:val="007232D8"/>
    <w:rsid w:val="0073732A"/>
    <w:rsid w:val="00750F69"/>
    <w:rsid w:val="00753064"/>
    <w:rsid w:val="007641DC"/>
    <w:rsid w:val="00782E49"/>
    <w:rsid w:val="00783FCB"/>
    <w:rsid w:val="007862EB"/>
    <w:rsid w:val="007A1DA2"/>
    <w:rsid w:val="007A2ADB"/>
    <w:rsid w:val="007A3E28"/>
    <w:rsid w:val="007A54F7"/>
    <w:rsid w:val="007C01B0"/>
    <w:rsid w:val="007C11DE"/>
    <w:rsid w:val="007C6665"/>
    <w:rsid w:val="007D669C"/>
    <w:rsid w:val="007E7FAE"/>
    <w:rsid w:val="00804BCC"/>
    <w:rsid w:val="00805E26"/>
    <w:rsid w:val="008125AD"/>
    <w:rsid w:val="00827C1F"/>
    <w:rsid w:val="00834C8E"/>
    <w:rsid w:val="00837C60"/>
    <w:rsid w:val="008410B4"/>
    <w:rsid w:val="00855E0D"/>
    <w:rsid w:val="00856890"/>
    <w:rsid w:val="00864357"/>
    <w:rsid w:val="008731E7"/>
    <w:rsid w:val="00895D74"/>
    <w:rsid w:val="008A076E"/>
    <w:rsid w:val="008B08CF"/>
    <w:rsid w:val="008D5ED9"/>
    <w:rsid w:val="008E073B"/>
    <w:rsid w:val="008E45B4"/>
    <w:rsid w:val="008F3E51"/>
    <w:rsid w:val="009063C7"/>
    <w:rsid w:val="0091044B"/>
    <w:rsid w:val="00915D49"/>
    <w:rsid w:val="009255E2"/>
    <w:rsid w:val="0093005C"/>
    <w:rsid w:val="00931E6B"/>
    <w:rsid w:val="0093441D"/>
    <w:rsid w:val="009400B9"/>
    <w:rsid w:val="00940541"/>
    <w:rsid w:val="0094567F"/>
    <w:rsid w:val="00946E38"/>
    <w:rsid w:val="00954EDA"/>
    <w:rsid w:val="00956FCB"/>
    <w:rsid w:val="00960044"/>
    <w:rsid w:val="00967400"/>
    <w:rsid w:val="00967612"/>
    <w:rsid w:val="009779E6"/>
    <w:rsid w:val="009817C3"/>
    <w:rsid w:val="009868E6"/>
    <w:rsid w:val="00994411"/>
    <w:rsid w:val="009B4133"/>
    <w:rsid w:val="009B4256"/>
    <w:rsid w:val="009C089D"/>
    <w:rsid w:val="009C140C"/>
    <w:rsid w:val="009D19BE"/>
    <w:rsid w:val="009D59E5"/>
    <w:rsid w:val="009F147E"/>
    <w:rsid w:val="009F6919"/>
    <w:rsid w:val="00A05BB1"/>
    <w:rsid w:val="00A0740C"/>
    <w:rsid w:val="00A23829"/>
    <w:rsid w:val="00A621FE"/>
    <w:rsid w:val="00A72D71"/>
    <w:rsid w:val="00AA5A6F"/>
    <w:rsid w:val="00AA6B8E"/>
    <w:rsid w:val="00AB219C"/>
    <w:rsid w:val="00AB37C7"/>
    <w:rsid w:val="00AB793E"/>
    <w:rsid w:val="00AC266C"/>
    <w:rsid w:val="00AC31B9"/>
    <w:rsid w:val="00AC3C12"/>
    <w:rsid w:val="00AC5E5C"/>
    <w:rsid w:val="00AE36A2"/>
    <w:rsid w:val="00AE4D76"/>
    <w:rsid w:val="00AF5048"/>
    <w:rsid w:val="00AF54E2"/>
    <w:rsid w:val="00AF600B"/>
    <w:rsid w:val="00B02A8F"/>
    <w:rsid w:val="00B02CCB"/>
    <w:rsid w:val="00B03A45"/>
    <w:rsid w:val="00B14F1D"/>
    <w:rsid w:val="00B2273E"/>
    <w:rsid w:val="00B251A3"/>
    <w:rsid w:val="00B43B9F"/>
    <w:rsid w:val="00B47B6E"/>
    <w:rsid w:val="00B47FA9"/>
    <w:rsid w:val="00B54D31"/>
    <w:rsid w:val="00B75B52"/>
    <w:rsid w:val="00B80B10"/>
    <w:rsid w:val="00B82011"/>
    <w:rsid w:val="00B86DCA"/>
    <w:rsid w:val="00B92430"/>
    <w:rsid w:val="00B94342"/>
    <w:rsid w:val="00B9588D"/>
    <w:rsid w:val="00BB1C4B"/>
    <w:rsid w:val="00BB3B71"/>
    <w:rsid w:val="00BB73D3"/>
    <w:rsid w:val="00BC7DAD"/>
    <w:rsid w:val="00BD1DD8"/>
    <w:rsid w:val="00BD270E"/>
    <w:rsid w:val="00BD66F9"/>
    <w:rsid w:val="00BD7C9D"/>
    <w:rsid w:val="00BE2A8C"/>
    <w:rsid w:val="00BF3066"/>
    <w:rsid w:val="00BF3F94"/>
    <w:rsid w:val="00C06B9B"/>
    <w:rsid w:val="00C10465"/>
    <w:rsid w:val="00C27BAD"/>
    <w:rsid w:val="00C52636"/>
    <w:rsid w:val="00C53E9B"/>
    <w:rsid w:val="00C602A8"/>
    <w:rsid w:val="00C61F37"/>
    <w:rsid w:val="00C71A03"/>
    <w:rsid w:val="00C721B0"/>
    <w:rsid w:val="00C766B2"/>
    <w:rsid w:val="00CA09C0"/>
    <w:rsid w:val="00CA7F56"/>
    <w:rsid w:val="00CB07A8"/>
    <w:rsid w:val="00CB1AEE"/>
    <w:rsid w:val="00CC17F4"/>
    <w:rsid w:val="00CC3867"/>
    <w:rsid w:val="00CC6D7B"/>
    <w:rsid w:val="00CE1DDB"/>
    <w:rsid w:val="00CF0E33"/>
    <w:rsid w:val="00CF2194"/>
    <w:rsid w:val="00CF42E9"/>
    <w:rsid w:val="00D02B47"/>
    <w:rsid w:val="00D04CC0"/>
    <w:rsid w:val="00D20BE4"/>
    <w:rsid w:val="00D23074"/>
    <w:rsid w:val="00D26D71"/>
    <w:rsid w:val="00D34F33"/>
    <w:rsid w:val="00D36C83"/>
    <w:rsid w:val="00D42DF2"/>
    <w:rsid w:val="00D4691C"/>
    <w:rsid w:val="00D8042D"/>
    <w:rsid w:val="00D8051C"/>
    <w:rsid w:val="00D869ED"/>
    <w:rsid w:val="00D971B1"/>
    <w:rsid w:val="00DA364B"/>
    <w:rsid w:val="00DC086E"/>
    <w:rsid w:val="00DC247D"/>
    <w:rsid w:val="00DC5320"/>
    <w:rsid w:val="00DC70B9"/>
    <w:rsid w:val="00DD4E48"/>
    <w:rsid w:val="00DD75F1"/>
    <w:rsid w:val="00DE3E1D"/>
    <w:rsid w:val="00DE5BAA"/>
    <w:rsid w:val="00DE6472"/>
    <w:rsid w:val="00DF5A84"/>
    <w:rsid w:val="00E025F9"/>
    <w:rsid w:val="00E063F8"/>
    <w:rsid w:val="00E14B91"/>
    <w:rsid w:val="00E21D0C"/>
    <w:rsid w:val="00E23983"/>
    <w:rsid w:val="00E57B6D"/>
    <w:rsid w:val="00E57BE1"/>
    <w:rsid w:val="00E60B26"/>
    <w:rsid w:val="00E61A76"/>
    <w:rsid w:val="00E6663F"/>
    <w:rsid w:val="00E67428"/>
    <w:rsid w:val="00E75FE9"/>
    <w:rsid w:val="00E8013C"/>
    <w:rsid w:val="00E97357"/>
    <w:rsid w:val="00EB104D"/>
    <w:rsid w:val="00EB12F3"/>
    <w:rsid w:val="00EB29BF"/>
    <w:rsid w:val="00EB2FFC"/>
    <w:rsid w:val="00EB431A"/>
    <w:rsid w:val="00EB5642"/>
    <w:rsid w:val="00EB64FB"/>
    <w:rsid w:val="00EC4072"/>
    <w:rsid w:val="00EC4FC7"/>
    <w:rsid w:val="00EC78C4"/>
    <w:rsid w:val="00ED06BD"/>
    <w:rsid w:val="00EE44EB"/>
    <w:rsid w:val="00F036B2"/>
    <w:rsid w:val="00F056B3"/>
    <w:rsid w:val="00F14DE5"/>
    <w:rsid w:val="00F177A0"/>
    <w:rsid w:val="00F235B8"/>
    <w:rsid w:val="00F24819"/>
    <w:rsid w:val="00F3534A"/>
    <w:rsid w:val="00F40033"/>
    <w:rsid w:val="00F41DD8"/>
    <w:rsid w:val="00F452B5"/>
    <w:rsid w:val="00F65164"/>
    <w:rsid w:val="00F85FC7"/>
    <w:rsid w:val="00F949C6"/>
    <w:rsid w:val="00F95B09"/>
    <w:rsid w:val="00FB2068"/>
    <w:rsid w:val="00FC4111"/>
    <w:rsid w:val="00FC5101"/>
    <w:rsid w:val="00FC732E"/>
    <w:rsid w:val="00FD0E87"/>
    <w:rsid w:val="00FD4910"/>
    <w:rsid w:val="00FD6515"/>
    <w:rsid w:val="00FE3E24"/>
    <w:rsid w:val="00FE46DB"/>
    <w:rsid w:val="00FE5BEC"/>
    <w:rsid w:val="00FE6E06"/>
    <w:rsid w:val="00FE7A31"/>
    <w:rsid w:val="00FF3679"/>
    <w:rsid w:val="00FF54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1D34493"/>
  <w15:chartTrackingRefBased/>
  <w15:docId w15:val="{E23B6A74-8516-0143-B03B-F567B1430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7C7"/>
    <w:rPr>
      <w:rFonts w:ascii="Times New Roman" w:eastAsia="Times New Roman" w:hAnsi="Times New Roman" w:cs="Times New Roman"/>
    </w:rPr>
  </w:style>
  <w:style w:type="paragraph" w:styleId="Heading3">
    <w:name w:val="heading 3"/>
    <w:basedOn w:val="Normal"/>
    <w:link w:val="Heading3Char"/>
    <w:uiPriority w:val="9"/>
    <w:qFormat/>
    <w:rsid w:val="00AB37C7"/>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B37C7"/>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AB37C7"/>
    <w:rPr>
      <w:color w:val="0563C1" w:themeColor="hyperlink"/>
      <w:u w:val="single"/>
    </w:rPr>
  </w:style>
  <w:style w:type="paragraph" w:styleId="NormalWeb">
    <w:name w:val="Normal (Web)"/>
    <w:basedOn w:val="Normal"/>
    <w:uiPriority w:val="99"/>
    <w:unhideWhenUsed/>
    <w:rsid w:val="00AB37C7"/>
    <w:pPr>
      <w:spacing w:before="100" w:beforeAutospacing="1" w:after="100" w:afterAutospacing="1"/>
    </w:pPr>
    <w:rPr>
      <w:rFonts w:ascii="Georgia" w:eastAsia="SimSun" w:hAnsi="Georgia"/>
      <w:color w:val="000000"/>
      <w:sz w:val="21"/>
      <w:szCs w:val="21"/>
    </w:rPr>
  </w:style>
  <w:style w:type="paragraph" w:styleId="FootnoteText">
    <w:name w:val="footnote text"/>
    <w:basedOn w:val="Normal"/>
    <w:link w:val="FootnoteTextChar"/>
    <w:uiPriority w:val="99"/>
    <w:unhideWhenUsed/>
    <w:rsid w:val="0011623F"/>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rsid w:val="0011623F"/>
    <w:rPr>
      <w:sz w:val="20"/>
      <w:szCs w:val="20"/>
    </w:rPr>
  </w:style>
  <w:style w:type="character" w:styleId="FootnoteReference">
    <w:name w:val="footnote reference"/>
    <w:basedOn w:val="DefaultParagraphFont"/>
    <w:uiPriority w:val="99"/>
    <w:semiHidden/>
    <w:unhideWhenUsed/>
    <w:rsid w:val="0011623F"/>
    <w:rPr>
      <w:vertAlign w:val="superscript"/>
    </w:rPr>
  </w:style>
  <w:style w:type="character" w:styleId="UnresolvedMention">
    <w:name w:val="Unresolved Mention"/>
    <w:basedOn w:val="DefaultParagraphFont"/>
    <w:uiPriority w:val="99"/>
    <w:semiHidden/>
    <w:unhideWhenUsed/>
    <w:rsid w:val="00427E29"/>
    <w:rPr>
      <w:color w:val="605E5C"/>
      <w:shd w:val="clear" w:color="auto" w:fill="E1DFDD"/>
    </w:rPr>
  </w:style>
  <w:style w:type="paragraph" w:styleId="Footer">
    <w:name w:val="footer"/>
    <w:basedOn w:val="Normal"/>
    <w:link w:val="FooterChar"/>
    <w:uiPriority w:val="99"/>
    <w:unhideWhenUsed/>
    <w:rsid w:val="003F3584"/>
    <w:pPr>
      <w:tabs>
        <w:tab w:val="center" w:pos="4513"/>
        <w:tab w:val="right" w:pos="9026"/>
      </w:tabs>
    </w:pPr>
  </w:style>
  <w:style w:type="character" w:customStyle="1" w:styleId="FooterChar">
    <w:name w:val="Footer Char"/>
    <w:basedOn w:val="DefaultParagraphFont"/>
    <w:link w:val="Footer"/>
    <w:uiPriority w:val="99"/>
    <w:rsid w:val="003F3584"/>
    <w:rPr>
      <w:rFonts w:ascii="Times New Roman" w:eastAsia="Times New Roman" w:hAnsi="Times New Roman" w:cs="Times New Roman"/>
    </w:rPr>
  </w:style>
  <w:style w:type="character" w:styleId="PageNumber">
    <w:name w:val="page number"/>
    <w:basedOn w:val="DefaultParagraphFont"/>
    <w:uiPriority w:val="99"/>
    <w:semiHidden/>
    <w:unhideWhenUsed/>
    <w:rsid w:val="003F3584"/>
  </w:style>
  <w:style w:type="paragraph" w:styleId="ListParagraph">
    <w:name w:val="List Paragraph"/>
    <w:basedOn w:val="Normal"/>
    <w:uiPriority w:val="34"/>
    <w:qFormat/>
    <w:rsid w:val="004258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0212">
      <w:bodyDiv w:val="1"/>
      <w:marLeft w:val="0"/>
      <w:marRight w:val="0"/>
      <w:marTop w:val="0"/>
      <w:marBottom w:val="0"/>
      <w:divBdr>
        <w:top w:val="none" w:sz="0" w:space="0" w:color="auto"/>
        <w:left w:val="none" w:sz="0" w:space="0" w:color="auto"/>
        <w:bottom w:val="none" w:sz="0" w:space="0" w:color="auto"/>
        <w:right w:val="none" w:sz="0" w:space="0" w:color="auto"/>
      </w:divBdr>
    </w:div>
    <w:div w:id="65883185">
      <w:bodyDiv w:val="1"/>
      <w:marLeft w:val="0"/>
      <w:marRight w:val="0"/>
      <w:marTop w:val="0"/>
      <w:marBottom w:val="0"/>
      <w:divBdr>
        <w:top w:val="none" w:sz="0" w:space="0" w:color="auto"/>
        <w:left w:val="none" w:sz="0" w:space="0" w:color="auto"/>
        <w:bottom w:val="none" w:sz="0" w:space="0" w:color="auto"/>
        <w:right w:val="none" w:sz="0" w:space="0" w:color="auto"/>
      </w:divBdr>
      <w:divsChild>
        <w:div w:id="1101148660">
          <w:marLeft w:val="0"/>
          <w:marRight w:val="0"/>
          <w:marTop w:val="120"/>
          <w:marBottom w:val="120"/>
          <w:divBdr>
            <w:top w:val="none" w:sz="0" w:space="0" w:color="auto"/>
            <w:left w:val="none" w:sz="0" w:space="0" w:color="auto"/>
            <w:bottom w:val="none" w:sz="0" w:space="0" w:color="auto"/>
            <w:right w:val="none" w:sz="0" w:space="0" w:color="auto"/>
          </w:divBdr>
        </w:div>
      </w:divsChild>
    </w:div>
    <w:div w:id="157767761">
      <w:bodyDiv w:val="1"/>
      <w:marLeft w:val="0"/>
      <w:marRight w:val="0"/>
      <w:marTop w:val="0"/>
      <w:marBottom w:val="0"/>
      <w:divBdr>
        <w:top w:val="none" w:sz="0" w:space="0" w:color="auto"/>
        <w:left w:val="none" w:sz="0" w:space="0" w:color="auto"/>
        <w:bottom w:val="none" w:sz="0" w:space="0" w:color="auto"/>
        <w:right w:val="none" w:sz="0" w:space="0" w:color="auto"/>
      </w:divBdr>
      <w:divsChild>
        <w:div w:id="827130920">
          <w:marLeft w:val="0"/>
          <w:marRight w:val="0"/>
          <w:marTop w:val="120"/>
          <w:marBottom w:val="120"/>
          <w:divBdr>
            <w:top w:val="none" w:sz="0" w:space="0" w:color="auto"/>
            <w:left w:val="none" w:sz="0" w:space="0" w:color="auto"/>
            <w:bottom w:val="none" w:sz="0" w:space="0" w:color="auto"/>
            <w:right w:val="none" w:sz="0" w:space="0" w:color="auto"/>
          </w:divBdr>
        </w:div>
      </w:divsChild>
    </w:div>
    <w:div w:id="883448074">
      <w:bodyDiv w:val="1"/>
      <w:marLeft w:val="0"/>
      <w:marRight w:val="0"/>
      <w:marTop w:val="0"/>
      <w:marBottom w:val="0"/>
      <w:divBdr>
        <w:top w:val="none" w:sz="0" w:space="0" w:color="auto"/>
        <w:left w:val="none" w:sz="0" w:space="0" w:color="auto"/>
        <w:bottom w:val="none" w:sz="0" w:space="0" w:color="auto"/>
        <w:right w:val="none" w:sz="0" w:space="0" w:color="auto"/>
      </w:divBdr>
    </w:div>
    <w:div w:id="889653168">
      <w:bodyDiv w:val="1"/>
      <w:marLeft w:val="0"/>
      <w:marRight w:val="0"/>
      <w:marTop w:val="0"/>
      <w:marBottom w:val="0"/>
      <w:divBdr>
        <w:top w:val="none" w:sz="0" w:space="0" w:color="auto"/>
        <w:left w:val="none" w:sz="0" w:space="0" w:color="auto"/>
        <w:bottom w:val="none" w:sz="0" w:space="0" w:color="auto"/>
        <w:right w:val="none" w:sz="0" w:space="0" w:color="auto"/>
      </w:divBdr>
    </w:div>
    <w:div w:id="1328634057">
      <w:bodyDiv w:val="1"/>
      <w:marLeft w:val="0"/>
      <w:marRight w:val="0"/>
      <w:marTop w:val="0"/>
      <w:marBottom w:val="0"/>
      <w:divBdr>
        <w:top w:val="none" w:sz="0" w:space="0" w:color="auto"/>
        <w:left w:val="none" w:sz="0" w:space="0" w:color="auto"/>
        <w:bottom w:val="none" w:sz="0" w:space="0" w:color="auto"/>
        <w:right w:val="none" w:sz="0" w:space="0" w:color="auto"/>
      </w:divBdr>
      <w:divsChild>
        <w:div w:id="1083382144">
          <w:marLeft w:val="0"/>
          <w:marRight w:val="0"/>
          <w:marTop w:val="120"/>
          <w:marBottom w:val="120"/>
          <w:divBdr>
            <w:top w:val="none" w:sz="0" w:space="0" w:color="auto"/>
            <w:left w:val="none" w:sz="0" w:space="0" w:color="auto"/>
            <w:bottom w:val="none" w:sz="0" w:space="0" w:color="auto"/>
            <w:right w:val="none" w:sz="0" w:space="0" w:color="auto"/>
          </w:divBdr>
        </w:div>
      </w:divsChild>
    </w:div>
    <w:div w:id="1531412144">
      <w:bodyDiv w:val="1"/>
      <w:marLeft w:val="0"/>
      <w:marRight w:val="0"/>
      <w:marTop w:val="0"/>
      <w:marBottom w:val="0"/>
      <w:divBdr>
        <w:top w:val="none" w:sz="0" w:space="0" w:color="auto"/>
        <w:left w:val="none" w:sz="0" w:space="0" w:color="auto"/>
        <w:bottom w:val="none" w:sz="0" w:space="0" w:color="auto"/>
        <w:right w:val="none" w:sz="0" w:space="0" w:color="auto"/>
      </w:divBdr>
    </w:div>
    <w:div w:id="1877228651">
      <w:bodyDiv w:val="1"/>
      <w:marLeft w:val="0"/>
      <w:marRight w:val="0"/>
      <w:marTop w:val="0"/>
      <w:marBottom w:val="0"/>
      <w:divBdr>
        <w:top w:val="none" w:sz="0" w:space="0" w:color="auto"/>
        <w:left w:val="none" w:sz="0" w:space="0" w:color="auto"/>
        <w:bottom w:val="none" w:sz="0" w:space="0" w:color="auto"/>
        <w:right w:val="none" w:sz="0" w:space="0" w:color="auto"/>
      </w:divBdr>
      <w:divsChild>
        <w:div w:id="1237975610">
          <w:marLeft w:val="0"/>
          <w:marRight w:val="0"/>
          <w:marTop w:val="120"/>
          <w:marBottom w:val="120"/>
          <w:divBdr>
            <w:top w:val="none" w:sz="0" w:space="0" w:color="auto"/>
            <w:left w:val="none" w:sz="0" w:space="0" w:color="auto"/>
            <w:bottom w:val="none" w:sz="0" w:space="0" w:color="auto"/>
            <w:right w:val="none" w:sz="0" w:space="0" w:color="auto"/>
          </w:divBdr>
        </w:div>
      </w:divsChild>
    </w:div>
    <w:div w:id="1910311921">
      <w:bodyDiv w:val="1"/>
      <w:marLeft w:val="0"/>
      <w:marRight w:val="0"/>
      <w:marTop w:val="0"/>
      <w:marBottom w:val="0"/>
      <w:divBdr>
        <w:top w:val="none" w:sz="0" w:space="0" w:color="auto"/>
        <w:left w:val="none" w:sz="0" w:space="0" w:color="auto"/>
        <w:bottom w:val="none" w:sz="0" w:space="0" w:color="auto"/>
        <w:right w:val="none" w:sz="0" w:space="0" w:color="auto"/>
      </w:divBdr>
      <w:divsChild>
        <w:div w:id="296689332">
          <w:marLeft w:val="0"/>
          <w:marRight w:val="0"/>
          <w:marTop w:val="120"/>
          <w:marBottom w:val="120"/>
          <w:divBdr>
            <w:top w:val="none" w:sz="0" w:space="0" w:color="auto"/>
            <w:left w:val="none" w:sz="0" w:space="0" w:color="auto"/>
            <w:bottom w:val="none" w:sz="0" w:space="0" w:color="auto"/>
            <w:right w:val="none" w:sz="0" w:space="0" w:color="auto"/>
          </w:divBdr>
        </w:div>
      </w:divsChild>
    </w:div>
    <w:div w:id="213243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easternvibration.com/blog/blog-post-brainwaves" TargetMode="External"/><Relationship Id="rId26" Type="http://schemas.openxmlformats.org/officeDocument/2006/relationships/hyperlink" Target="https://www.ons.gov.uk/peoplepopulationandcommunity/culturalidentity/religion/datasets/detailedreligionbyageandsexinenglandandwales" TargetMode="External"/><Relationship Id="rId3" Type="http://schemas.openxmlformats.org/officeDocument/2006/relationships/settings" Target="settings.xml"/><Relationship Id="rId21" Type="http://schemas.openxmlformats.org/officeDocument/2006/relationships/hyperlink" Target="https://doi.org/10.1093/acprof:oso/9780198736844.003.0008"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isingingbowls.com/tibetan-singing-bowl-history/" TargetMode="External"/><Relationship Id="rId25" Type="http://schemas.openxmlformats.org/officeDocument/2006/relationships/hyperlink" Target="https://www.ons.gov.uk/peoplepopulationandcommunity/culturalidentity/religion/bulletins/religionenglandandwales/census2021#religion-england-and-wales-dat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ristol.gov.uk/council/statistics-census-information/census-2021" TargetMode="External"/><Relationship Id="rId20" Type="http://schemas.openxmlformats.org/officeDocument/2006/relationships/hyperlink" Target="https://doi.org/10.1177/10497323251376238" TargetMode="External"/><Relationship Id="rId29" Type="http://schemas.openxmlformats.org/officeDocument/2006/relationships/hyperlink" Target="https://doi.org/10.1093/oxfordhb/9780195369649.003.00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emf"/><Relationship Id="rId24" Type="http://schemas.openxmlformats.org/officeDocument/2006/relationships/hyperlink" Target="https://www.ncl.ac.uk/research/culture/edi-toolki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news/av/uk-england-devon-40948532" TargetMode="External"/><Relationship Id="rId23" Type="http://schemas.openxmlformats.org/officeDocument/2006/relationships/hyperlink" Target="https://nspirement.com/2019/11/10/what-are-tibetan-singing-bowls2.html" TargetMode="External"/><Relationship Id="rId28" Type="http://schemas.openxmlformats.org/officeDocument/2006/relationships/hyperlink" Target="https://www.soundplanetarium.com/approach/" TargetMode="External"/><Relationship Id="rId10" Type="http://schemas.openxmlformats.org/officeDocument/2006/relationships/image" Target="media/image2.png"/><Relationship Id="rId19" Type="http://schemas.openxmlformats.org/officeDocument/2006/relationships/hyperlink" Target="https://www.hess-sound.de/en/blogs/guide/singing-bowls-types"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5.emf"/><Relationship Id="rId22" Type="http://schemas.openxmlformats.org/officeDocument/2006/relationships/hyperlink" Target="https://www.researchgate.net/publication/400336211_Reality_as_Resonance_Reframing_Existence_Through_Vibrational_Ontology" TargetMode="External"/><Relationship Id="rId27" Type="http://schemas.openxmlformats.org/officeDocument/2006/relationships/hyperlink" Target="https://www.shamansmarket.com/en-gb/blogs/musings/tibetan-singing-bowls" TargetMode="External"/><Relationship Id="rId30" Type="http://schemas.openxmlformats.org/officeDocument/2006/relationships/footer" Target="footer1.xml"/><Relationship Id="rId8" Type="http://schemas.openxmlformats.org/officeDocument/2006/relationships/hyperlink" Target="mailto:2404836@student.uwtsd.ac.uk"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93/acprof:oso/9780198736844.003.0008" TargetMode="External"/><Relationship Id="rId13" Type="http://schemas.openxmlformats.org/officeDocument/2006/relationships/hyperlink" Target="https://www.ncl.ac.uk/research/culture/edi-toolkit/" TargetMode="External"/><Relationship Id="rId18" Type="http://schemas.openxmlformats.org/officeDocument/2006/relationships/hyperlink" Target="https://www.soundplanetarium.com/approach/" TargetMode="External"/><Relationship Id="rId3" Type="http://schemas.openxmlformats.org/officeDocument/2006/relationships/hyperlink" Target="https://nspirement.com/2019/11/10/what-are-tibetan-singing-bowls2.html" TargetMode="External"/><Relationship Id="rId7" Type="http://schemas.openxmlformats.org/officeDocument/2006/relationships/hyperlink" Target="https://www.isingingbowls.com/tibetan-singing-bowl-history/" TargetMode="External"/><Relationship Id="rId12" Type="http://schemas.openxmlformats.org/officeDocument/2006/relationships/hyperlink" Target="https://doi.org/10.1177/10497323251376238" TargetMode="External"/><Relationship Id="rId17" Type="http://schemas.openxmlformats.org/officeDocument/2006/relationships/hyperlink" Target="https://www.bristol.gov.uk/council/statistics-census-information/census-2021" TargetMode="External"/><Relationship Id="rId2" Type="http://schemas.openxmlformats.org/officeDocument/2006/relationships/hyperlink" Target="https://www.shamansmarket.com/en-gb/blogs/musings/tibetan-singing-bowls" TargetMode="External"/><Relationship Id="rId16" Type="http://schemas.openxmlformats.org/officeDocument/2006/relationships/hyperlink" Target="https://www.ons.gov.uk/peoplepopulationandcommunity/culturalidentity/religion/datasets/detailedreligionbyageandsexinenglandandwales" TargetMode="External"/><Relationship Id="rId20" Type="http://schemas.openxmlformats.org/officeDocument/2006/relationships/hyperlink" Target="https://www.researchgate.net/publication/400336211_Reality_as_Resonance_Reframing_Existence_Through_Vibrational_Ontology" TargetMode="External"/><Relationship Id="rId1" Type="http://schemas.openxmlformats.org/officeDocument/2006/relationships/hyperlink" Target="https://www.easternvibration.com/blog/blog-post-brainwaves" TargetMode="External"/><Relationship Id="rId6" Type="http://schemas.openxmlformats.org/officeDocument/2006/relationships/hyperlink" Target="https://www.isingingbowls.com/tibetan-singing-bowl-history/" TargetMode="External"/><Relationship Id="rId11" Type="http://schemas.openxmlformats.org/officeDocument/2006/relationships/hyperlink" Target="https://www.ons.gov.uk/peoplepopulationandcommunity/culturalidentity/religion/bulletins/religionenglandandwales/census2021#religion-england-and-wales-data" TargetMode="External"/><Relationship Id="rId5" Type="http://schemas.openxmlformats.org/officeDocument/2006/relationships/hyperlink" Target="https://www.metmuseum.org/art/collection/search/502115" TargetMode="External"/><Relationship Id="rId15" Type="http://schemas.openxmlformats.org/officeDocument/2006/relationships/hyperlink" Target="https://doi.org/10.1093/oxfordhb/9780195369649.003.0021" TargetMode="External"/><Relationship Id="rId10" Type="http://schemas.openxmlformats.org/officeDocument/2006/relationships/hyperlink" Target="https://www.bbc.co.uk/news/av/uk-england-devon-40948532" TargetMode="External"/><Relationship Id="rId19" Type="http://schemas.openxmlformats.org/officeDocument/2006/relationships/hyperlink" Target="https://www.hess-sound.de/en/blogs/guide/singing-bowls-types" TargetMode="External"/><Relationship Id="rId4" Type="http://schemas.openxmlformats.org/officeDocument/2006/relationships/hyperlink" Target="https://www.japanhouselondon.uk/whats-on/the-sound-of-orin-talk-demonstration-by-buddhist-bell-artisan/" TargetMode="External"/><Relationship Id="rId9" Type="http://schemas.openxmlformats.org/officeDocument/2006/relationships/hyperlink" Target="https://www.bristol.gov.uk/council/statistics-census-information/census-2021" TargetMode="External"/><Relationship Id="rId14" Type="http://schemas.openxmlformats.org/officeDocument/2006/relationships/hyperlink" Target="https://www.bristol.gov.uk/council/statistics-census-information/census-202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3T22:37:33.543"/>
    </inkml:context>
    <inkml:brush xml:id="br0">
      <inkml:brushProperty name="width" value="0.05" units="cm"/>
      <inkml:brushProperty name="height" value="0.05" units="cm"/>
    </inkml:brush>
  </inkml:definitions>
  <inkml:trace contextRef="#ctx0" brushRef="#br0">0 644 24575,'28'0'0,"17"-5"0,17-12 0,26-8 0,9-11-697,-41 14 1,1 0 696,1 2 0,-1 0 0,1-2 0,-1 0 0,1 2 0,-3 2 339,23-7-339,5-2 0,-29 11 0,10 0 0,-18 2 0,-2 4 1054,-15 5-1054,-6-2 0,-9 6 0,-4-2 0,-4 3 0,0 0 0,-2-3 0,1-1 0,-1-2 0,2 2 0,0-2 0,1 2 0,-1 0 0,-3-1 0,0 1 0,-9 0 0,-6 1 0,-11 3 0,-6 0 0,-9-4 0,-2-1 0,1-5 0,-5 1 0,10-4 0,-9 3 0,13-6 0,-7 2 0,13 1 0,0-2 0,7 6 0,3-1 0,0 2 0,3 1 0,1 0 0,4 0 0,0 4 0,-1-3 0,1 2 0,0-3 0,-1 1 0,1-1 0,0 0 0,-1 1 0,-2 2 0,2-2 0,-3 5 0,6-5 0,-1 5 0,1-2 0,1 6 0,0 1 0,3 6 0,0 5 0,0 10 0,0 5 0,0 5 0,0 6 0,0-5 0,0 10 0,0-4 0,0 5 0,0 0 0,0-5 0,0 4 0,0-10 0,0 10 0,0-9 0,0 3 0,0-5 0,0 0 0,0-5 0,0 4 0,3-9 0,-2 4 0,2-5 0,-3 0 0,0 5 0,4-4 0,-3 4 0,2-5 0,1 5 0,-3-4 0,2 4 0,1-5 0,-4 0 0,7 0 0,-6-4 0,2-5 0,0-1 0,-2-6 0,2 2 0,-3-4 0,3 1 0,-2 0 0,2-1 0,-3 1 0,0 0 0,0 3 0,0 5 0,0 5 0,0 14 0,0 3 0,0 5 0,0 4 0,0-10 0,0 0 0,0-15 0,0 6 0,0-17 0,0 9 0,0-13 0,0-5 0,0-5 0,0-4 0,0-2 0,0 0 0,0-2 0,0-6 0,0-2 0,0-9 0,0-2 0,0-9 0,0-2 0,0-5 0,0-7 0,0 11 0,0-9 0,0 15 0,0 1 0,0 7 0,0 5 0,0 4 0,0-3 0,-4 3 0,0 0 0,-3 1 0,0 0 0,-1 0 0,1-1 0,-4 1 0,4 4 0,-3 0 0,6 0 0,-2 4 0,2 1 0,1 3 0,-3-2 0,5 1 0,-4-2 0,4 0 0,-5 3 0,6-4 0,-6 5 0,5-1 0,-1 0 0,2 0 0,0 1 0,0-5 0,0 4 0,0-7 0,0 3 0,0 0 0,0 0 0,0 5 0,0-1 0,-3 3 0,-1 1 0,-2 3 0,0 0 0,2-3 0,-2 3 0,3-3 0,-3 3 0,-1 0 0,1 6 0,-6 17 0,3 10 0,-7 8 0,2 5 0,-3-9 0,3 8 0,3-13 0,2 2 0,2-10 0,-1-4 0,4-5 0,1-4 0,0-5 0,2 1 0,-1-1 0,2 1 0,0 0 0,0-1 0,-3 1 0,2 3 0,-2-2 0,3 2 0,0-4 0,0 1 0,3-16 0,5-2 0,9-22 0,4 1 0,1 0 0,3-4 0,-3 4 0,4-1 0,-1 2 0,-4 5 0,2 0 0,-7 6 0,3 0 0,-9 9 0,0 1 0,-4 3 0,0 3 0,1 1 0,-1 3 0,0 0 0,0 0 0,0 0 0,1 0 0,-1 0 0,0 0 0,0 3 0,1 1 0,-1 2 0,0 1 0,0 0 0,1-1 0,-1 1 0,0 3 0,1 1 0,4 8 0,-1-3 0,7 17 0,-3-15 0,7 22 0,-1-18 0,2 8 0,-3-9 0,-5-2 0,-4-8 0,0-1 0,0-3 0,-3-3 0,2-1 0,-2-6 0,-4-4 0,0-1 0,0-2 0,-3 3 0,6 1 0,-5-5 0,4 4 0,-4-3 0,2 3 0,0-8 0,1-1 0,4-8 0,0-17 0,1-3 0,0-18 0,6-5 0,-5 10 0,9-9 0,-9 17 0,3-5 0,-4 7 0,0 5 0,-1 6 0,0 2 0,-3 9 0,2-9 0,-6 9 0,2-4 0,-3 9 0,0-3 0,0 11 0,0-7 0,0 12 0,-2 0 0,-2 4 0,-2 3 0,-1 0 0,4 3 0,0 0 0,3 4 0,0-1 0,-3 1 0,3 0 0,-3-1 0,3 1 0,0 0 0,0-1 0,0 4 0,0 1 0,0 8 0,0 1 0,0 4 0,0 0 0,0 0 0,0 0 0,0 0 0,0 0 0,3 5 0,-2-8 0,3 7 0,-1-8 0,1 0 0,0 3 0,-1-11 0,1 6 0,-4-11 0,3 4 0,0-5 0,-2 1 0,4-4 0,-4-3 0,2-3 0,-3-4 0,0 0 0,0-3 0,0 2 0,0-2 0,0 3 0,0 1 0,0-1 0,0 0 0,0 1 0,3-1 0,-3 0 0,3-3 0,0-1 0,-2-4 0,5-4 0,-5-1 0,6-9 0,-3 4 0,4-4 0,0 5 0,-1-1 0,1 5 0,-1 2 0,-3 3 0,2 4 0,-6 0 0,6 8 0,-5-3 0,1 2 0,1-3 0,-2-3 0,4 2 0,-4-5 0,5 5 0,-6-2 0,6 3 0,-6 0 0,6 1 0,-2 2 0,2 1 0,-3 0 0,3 2 0,-3-2 0,3 3 0,1 0 0,-1 0 0,0 0 0,0 0 0,4 0 0,4 4 0,10 0 0,0 5 0,7-1 0,-2 4 0,4-2 0,-5 6 0,4-7 0,-12 3 0,6-4 0,-14-1 0,5 1 0,-10-2 0,2 1 0,-2 0 0,-4 0 0,0-1 0,-3 1 0,0-1 0,0 1 0,0 0 0,0-1 0,0 1 0,0-1 0,-3-2 0,2 2 0,-2-2 0,1 2 0,1 1 0,-2-1 0,3 5 0,-3 0 0,2 3 0,-2 1 0,3 0 0,0-1 0,0-3 0,0-1 0,0-3 0,0 0 0,0-1 0,0 1 0,0 0 0,-3-4 0,3 3 0,-6-2 0,2 2 0,-5 5 0,2-4 0,-6 7 0,2-3 0,-3 0 0,0 0 0,0-4 0,4 0 0,0-3 0,4-1 0,-4-3 0,3 0 0,-6 0 0,-2 0 0,-4-4 0,-3 0 0,3-4 0,-3 0 0,3 4 0,0-3 0,5 6 0,1-5 0,6 5 0,0-6 0,1 4 0,5-4 0,-1 0 0,2 1 0,0-1 0,0 0 0,0 0 0,2 1 0,9-5 0,1-5 0,10-1 0,-7-2 0,7 3 0,-7 1 0,3 3 0,-5 2 0,-2 3 0,-1 2 0,-4 3 0,0 2 0,-3 2 0,0 2 0,-3 3 0,-3-1 0,0 1 0,-3 0 0,-1-1 0,1 1 0,0-1 0,-1 5 0,-3-4 0,-1 7 0,1-2 0,-8 3 0,7-4 0,-12 9 0,8-7 0,-8 7 0,4-5 0,-4-2 0,5 1 0,0-5 0,7 1 0,-2-3 0,6 0 0,0 0 0,1-3 0,6 2 0,-3-3 0,6 1 0,0-1 0,3-3 0,1 0 0,2 0 0,-2-3 0,6 2 0,-2-2 0,7 3 0,-4 0 0,4 0 0,-4 0 0,-4 0 0,3-3 0,-6 2 0,3-2 0,-4 3 0,0-3 0,1 2 0,-1-2 0,0 0 0,0 2 0,1-2 0,-4 6 0,0 1 0,-3 2 0,-3-2 0,2 2 0,-4-5 0,4 5 0,-5-6 0,3 6 0,-3-2 0,-4 3 0,3 0 0,-3-1 0,0 1 0,0 0 0,-4 1 0,3-1 0,2 0 0,2-1 0,1 1 0,2-1 0,-1-2 0,4 2 0,-2-2 0,6-1 0,0 0 0,4-3 0,-1 0 0,8 0 0,1 0 0,8 4 0,-1-3 0,1 2 0,-4-3 0,-2 0 0,-3 0 0,0 0 0,-3 0 0,-2 0 0,-3 0 0,1 0 0,-1 0 0,-3 3 0,0 1 0,-3 3 0,0-1 0,0 1 0,0-1 0,-3 1 0,0-3 0,-4 2 0,1-6 0,0 6 0,-1-2 0,1 0 0,-4 2 0,0-5 0,-1 5 0,-2-2 0,3 3 0,-4 0 0,0 0 0,0 1 0,0-1 0,0 0 0,0 1 0,0-1 0,1 3 0,-1 2 0,-10 13 0,3-3 0,-8 5 0,4-2 0,1-3 0,-5 5 0,3-1 0,0 1 0,3-6 0,8-2 0,-3-7 0,4 2 0,3-6 0,-2 2 0,6-3 0,-6 3 0,3-2 0,-4 6 0,0-6 0,0 5 0,4-5 0,4 2 0,9-13 0,5 1 0,6-12 0,-1 2 0,1-2 0,0-1 0,9-6 0,-9 5 0,18-15 0,-3 2 0,8-10 0,-1 5 0,3 2 0,-8 4 0,4 1 0,-6 4 0,-5 3 0,-2 3 0,-3 5 0,-1 1 0,-1 7 0,-2-3 0,3 3 0,4-4 0,-2 0 0,8 0 0,-6 0 0,5-5 0,-3 4 0,8-4 0,-8 2 0,3 1 0,-8-1 0,-1 3 0,-4 4 0,-1-2 0,-2 5 0,-2-3 0,-2 4 0,2-3 0,2 2 0,3-5 0,3 1 0,2 1 0,4 1 0,-5-1 0,4 3 0,-3-2 0,0 3 0,2 0 0,-6 0 0,3 0 0,-4 0 0,0 0 0,-4 0 0,0 0 0,-4 0 0,0 0 0,-2 3 0,-2 1 0,-2 2 0,0 1 0,0 3 0,0-2 0,0 2 0,0 0 0,0-2 0,0 5 0,0-2 0,0 8 0,0 1 0,0 9 0,0 1 0,0 5 0,0 5 0,0-3 0,0 3 0,0-10 0,0 4 0,0-4 0,0 0 0,0-1 0,-3-9 0,-1 3 0,-8 7 0,-1 2 0,0 3 0,-2-1 0,6-4 0,-6 0 0,2 4 0,-3-9 0,-5 14 0,4-7 0,-3-1 0,0-2 0,5-9 0,-5 5 0,5-1 0,0-4 0,1-1 0,3-8 0,-2 0 0,6-5 0,-3-2 0,1-1 0,2-3 0,-3 0 0,0 0 0,2-11 0,-5-2 0,4-7 0,-5-3 0,6-2 0,-7 0 0,6-4 0,-5 5 0,6 4 0,-10-14 0,9 11 0,-8-7 0,8 6 0,-1 4 0,-1-4 0,2 0 0,2 0 0,0 0 0,6-5 0,-2 4 0,3-4 0,0 0 0,0 3 0,0-3 0,0 0 0,0 8 0,3-7 0,1 12 0,0 1 0,2 5 0,-5 3 0,4 3 0,-1 1 0,2 3 0,-3-3 0,0 0 0,-9-1 0,-2 1 0,-6 3 0,-3 7 0,-3 6 0,-9 10 0,-6 4 0,-2 6 0,-1-8 0,2 10 0,2-10 0,3 6 0,1-3 0,10-7 0,1-2 0,11-7 0,-4 1 0,8-5 0,-3 2 0,4-3 0,3-1 0,0 1 0,3-4 0,0 0 0,4-9 0,-1 1 0,8-9 0,-3 2 0,8-7 0,8-3 0,6-10 0,14-3 0,7-7 0,-11 11 0,8-3 0,-12 10 0,-4 1 0,2 1 0,-17 10 0,2 0 0,-11 8 0,-2 0 0,-2 4 0,2-3 0,6 2 0,-1-2 0,4 0 0,-7 2 0,-2-2 0,-3 3 0,1 0 0,-1 0 0,0 0 0,-2 2 0,-2 2 0,-4 3 0,-5 0 0,-1-1 0,-5 2 0,6 2 0,-10-2 0,5 6 0,-6-2 0,-5 13 0,-4 2 0,-4 11 0,0 0 0,4 0 0,0 4 0,0-3 0,6-3 0,0-1 0,5-10 0,1 0 0,0-2 0,0 2 0,-1 0 0,-1 14 0,-3-2 0,1 5 0,-6 0 0,7-7 0,-3 1 0,5-6 0,1-5 0,3-6 0,-4-1 0,8-7 0,-2 3 0,4-10 0,2 1 0,-2-4 0,0 5 0,2-8 0,1 1 0,6-3 0,-2-2 0,2 3 0,-1-4 0,-1 3 0,2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959</TotalTime>
  <Pages>24</Pages>
  <Words>7790</Words>
  <Characters>45342</Characters>
  <Application>Microsoft Office Word</Application>
  <DocSecurity>0</DocSecurity>
  <Lines>925</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Eldarin Yeong</dc:creator>
  <cp:keywords/>
  <dc:description/>
  <cp:lastModifiedBy>Eldarin Yeong</cp:lastModifiedBy>
  <cp:revision>262</cp:revision>
  <dcterms:created xsi:type="dcterms:W3CDTF">2026-05-01T15:57:00Z</dcterms:created>
  <dcterms:modified xsi:type="dcterms:W3CDTF">2026-05-07T17:28:00Z</dcterms:modified>
</cp:coreProperties>
</file>