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500" w:rsidRDefault="00B85C17">
      <w:pPr>
        <w:tabs>
          <w:tab w:val="right" w:pos="10563"/>
        </w:tabs>
        <w:spacing w:after="70"/>
      </w:pPr>
      <w:r>
        <w:rPr>
          <w:noProof/>
        </w:rPr>
        <w:drawing>
          <wp:inline distT="0" distB="0" distL="0" distR="0">
            <wp:extent cx="1809750" cy="723900"/>
            <wp:effectExtent l="0" t="0" r="0" b="0"/>
            <wp:docPr id="340" name="Pictu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7"/>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rsidR="00945500" w:rsidRDefault="00B85C17">
      <w:pPr>
        <w:spacing w:after="0"/>
        <w:ind w:right="110"/>
        <w:jc w:val="right"/>
      </w:pPr>
      <w:r>
        <w:rPr>
          <w:rFonts w:ascii="Arial" w:eastAsia="Arial" w:hAnsi="Arial" w:cs="Arial"/>
          <w:b/>
          <w:sz w:val="28"/>
        </w:rPr>
        <w:t xml:space="preserve">APPENDIX GA36a </w:t>
      </w:r>
    </w:p>
    <w:p w:rsidR="00945500" w:rsidRDefault="00B85C17">
      <w:pPr>
        <w:spacing w:after="298"/>
      </w:pPr>
      <w:r>
        <w:rPr>
          <w:rFonts w:ascii="Arial" w:eastAsia="Arial" w:hAnsi="Arial" w:cs="Arial"/>
          <w:sz w:val="20"/>
        </w:rPr>
        <w:t xml:space="preserve"> </w:t>
      </w:r>
    </w:p>
    <w:p w:rsidR="00945500" w:rsidRDefault="00B85C17">
      <w:pPr>
        <w:pStyle w:val="Heading1"/>
      </w:pPr>
      <w:r>
        <w:t xml:space="preserve">LEVEL 4 ASSESSMENT SPECIFICATION – Part B </w:t>
      </w:r>
      <w:r>
        <w:rPr>
          <w:b w:val="0"/>
        </w:rPr>
        <w:t xml:space="preserve"> </w:t>
      </w:r>
    </w:p>
    <w:p w:rsidR="00945500" w:rsidRDefault="00B85C17">
      <w:pPr>
        <w:spacing w:after="0"/>
        <w:ind w:right="21"/>
        <w:jc w:val="center"/>
      </w:pPr>
      <w:r>
        <w:rPr>
          <w:rFonts w:ascii="Arial" w:eastAsia="Arial" w:hAnsi="Arial" w:cs="Arial"/>
          <w:b/>
          <w:i/>
          <w:sz w:val="32"/>
        </w:rPr>
        <w:t xml:space="preserve"> </w:t>
      </w:r>
    </w:p>
    <w:tbl>
      <w:tblPr>
        <w:tblStyle w:val="TableGrid"/>
        <w:tblW w:w="9920" w:type="dxa"/>
        <w:tblInd w:w="284" w:type="dxa"/>
        <w:tblCellMar>
          <w:top w:w="11" w:type="dxa"/>
          <w:left w:w="107" w:type="dxa"/>
          <w:bottom w:w="0" w:type="dxa"/>
          <w:right w:w="39" w:type="dxa"/>
        </w:tblCellMar>
        <w:tblLook w:val="04A0" w:firstRow="1" w:lastRow="0" w:firstColumn="1" w:lastColumn="0" w:noHBand="0" w:noVBand="1"/>
      </w:tblPr>
      <w:tblGrid>
        <w:gridCol w:w="2090"/>
        <w:gridCol w:w="3295"/>
        <w:gridCol w:w="2268"/>
        <w:gridCol w:w="2267"/>
      </w:tblGrid>
      <w:tr w:rsidR="00945500">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500" w:rsidRDefault="00B85C17">
            <w:pPr>
              <w:spacing w:after="0"/>
              <w:ind w:left="2"/>
            </w:pPr>
            <w:r>
              <w:rPr>
                <w:rFonts w:ascii="Arial" w:eastAsia="Arial" w:hAnsi="Arial" w:cs="Arial"/>
                <w:b/>
              </w:rPr>
              <w:t xml:space="preserve">Student name: </w:t>
            </w:r>
          </w:p>
        </w:tc>
        <w:tc>
          <w:tcPr>
            <w:tcW w:w="3295" w:type="dxa"/>
            <w:tcBorders>
              <w:top w:val="single" w:sz="4" w:space="0" w:color="000000"/>
              <w:left w:val="single" w:sz="4" w:space="0" w:color="000000"/>
              <w:bottom w:val="single" w:sz="4" w:space="0" w:color="000000"/>
              <w:right w:val="single" w:sz="4" w:space="0" w:color="000000"/>
            </w:tcBorders>
            <w:vAlign w:val="center"/>
          </w:tcPr>
          <w:p w:rsidR="00945500" w:rsidRDefault="00B85C17" w:rsidP="00B85C17">
            <w:pPr>
              <w:spacing w:after="0"/>
            </w:pPr>
            <w:r>
              <w:rPr>
                <w:rFonts w:ascii="Arial" w:eastAsia="Arial" w:hAnsi="Arial" w:cs="Arial"/>
                <w:b/>
              </w:rPr>
              <w:t>James Anthony Gladwin</w:t>
            </w:r>
            <w:r>
              <w:rPr>
                <w:rFonts w:ascii="Arial" w:eastAsia="Arial" w:hAnsi="Arial" w:cs="Arial"/>
                <w:b/>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500" w:rsidRDefault="00B85C17">
            <w:pPr>
              <w:spacing w:after="0"/>
              <w:ind w:left="2"/>
            </w:pPr>
            <w:r>
              <w:rPr>
                <w:rFonts w:ascii="Arial" w:eastAsia="Arial" w:hAnsi="Arial" w:cs="Arial"/>
                <w:b/>
              </w:rPr>
              <w:t xml:space="preserve">Student ID number: </w:t>
            </w:r>
          </w:p>
        </w:tc>
        <w:tc>
          <w:tcPr>
            <w:tcW w:w="2267" w:type="dxa"/>
            <w:tcBorders>
              <w:top w:val="single" w:sz="4" w:space="0" w:color="000000"/>
              <w:left w:val="single" w:sz="4" w:space="0" w:color="000000"/>
              <w:bottom w:val="single" w:sz="4" w:space="0" w:color="000000"/>
              <w:right w:val="single" w:sz="4" w:space="0" w:color="000000"/>
            </w:tcBorders>
            <w:vAlign w:val="center"/>
          </w:tcPr>
          <w:p w:rsidR="00945500" w:rsidRDefault="00B85C17">
            <w:pPr>
              <w:spacing w:after="0"/>
            </w:pPr>
            <w:r>
              <w:rPr>
                <w:rFonts w:ascii="Arial" w:eastAsia="Arial" w:hAnsi="Arial" w:cs="Arial"/>
                <w:b/>
              </w:rPr>
              <w:t xml:space="preserve"> 1800150</w:t>
            </w:r>
          </w:p>
        </w:tc>
      </w:tr>
      <w:tr w:rsidR="00945500">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500" w:rsidRDefault="00B85C17">
            <w:pPr>
              <w:spacing w:after="0"/>
              <w:ind w:left="2"/>
            </w:pPr>
            <w:r>
              <w:rPr>
                <w:rFonts w:ascii="Arial" w:eastAsia="Arial" w:hAnsi="Arial" w:cs="Arial"/>
                <w:b/>
              </w:rPr>
              <w:t xml:space="preserve">Programme: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rsidR="00945500" w:rsidRDefault="00B85C17">
            <w:pPr>
              <w:spacing w:after="0"/>
              <w:ind w:left="5"/>
            </w:pPr>
            <w:proofErr w:type="spellStart"/>
            <w:r>
              <w:rPr>
                <w:rFonts w:ascii="Arial" w:eastAsia="Arial" w:hAnsi="Arial" w:cs="Arial"/>
                <w:b/>
              </w:rPr>
              <w:t>BAEd</w:t>
            </w:r>
            <w:proofErr w:type="spellEnd"/>
            <w:r>
              <w:rPr>
                <w:rFonts w:ascii="Arial" w:eastAsia="Arial" w:hAnsi="Arial" w:cs="Arial"/>
                <w:b/>
              </w:rPr>
              <w:t xml:space="preserve"> with QTS </w:t>
            </w:r>
          </w:p>
        </w:tc>
      </w:tr>
      <w:tr w:rsidR="00945500">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500" w:rsidRDefault="00B85C17">
            <w:pPr>
              <w:spacing w:after="0"/>
              <w:ind w:left="2"/>
            </w:pPr>
            <w:r>
              <w:rPr>
                <w:rFonts w:ascii="Arial" w:eastAsia="Arial" w:hAnsi="Arial" w:cs="Arial"/>
                <w:b/>
              </w:rPr>
              <w:t xml:space="preserve">Module: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rsidR="00945500" w:rsidRDefault="00B85C17">
            <w:pPr>
              <w:spacing w:after="0"/>
              <w:ind w:left="5"/>
            </w:pPr>
            <w:r>
              <w:rPr>
                <w:rFonts w:ascii="Arial" w:eastAsia="Arial" w:hAnsi="Arial" w:cs="Arial"/>
                <w:b/>
              </w:rPr>
              <w:t xml:space="preserve">Curriculum Matters </w:t>
            </w:r>
          </w:p>
        </w:tc>
      </w:tr>
      <w:tr w:rsidR="00945500">
        <w:trPr>
          <w:trHeight w:val="768"/>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rsidR="00945500" w:rsidRDefault="00B85C17">
            <w:pPr>
              <w:spacing w:after="0"/>
              <w:ind w:left="2"/>
            </w:pPr>
            <w:r>
              <w:rPr>
                <w:rFonts w:ascii="Arial" w:eastAsia="Arial" w:hAnsi="Arial" w:cs="Arial"/>
                <w:b/>
              </w:rPr>
              <w:t xml:space="preserve">Module code: </w:t>
            </w:r>
          </w:p>
        </w:tc>
        <w:tc>
          <w:tcPr>
            <w:tcW w:w="3295" w:type="dxa"/>
            <w:tcBorders>
              <w:top w:val="single" w:sz="4" w:space="0" w:color="000000"/>
              <w:left w:val="single" w:sz="4" w:space="0" w:color="000000"/>
              <w:bottom w:val="single" w:sz="4" w:space="0" w:color="000000"/>
              <w:right w:val="single" w:sz="4" w:space="0" w:color="000000"/>
            </w:tcBorders>
          </w:tcPr>
          <w:p w:rsidR="00945500" w:rsidRDefault="00B85C17">
            <w:pPr>
              <w:spacing w:after="0"/>
              <w:ind w:left="5"/>
            </w:pPr>
            <w:r>
              <w:rPr>
                <w:rFonts w:ascii="Arial" w:eastAsia="Arial" w:hAnsi="Arial" w:cs="Arial"/>
                <w:b/>
              </w:rPr>
              <w:t xml:space="preserve">ECAD4011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rsidR="00945500" w:rsidRDefault="00B85C17">
            <w:pPr>
              <w:spacing w:after="0"/>
              <w:ind w:left="2" w:right="70"/>
              <w:jc w:val="both"/>
            </w:pPr>
            <w:r>
              <w:rPr>
                <w:rFonts w:ascii="Arial" w:eastAsia="Arial" w:hAnsi="Arial" w:cs="Arial"/>
                <w:b/>
              </w:rPr>
              <w:t xml:space="preserve">Contribution to Overall Module Assessment (%): </w:t>
            </w:r>
          </w:p>
        </w:tc>
        <w:tc>
          <w:tcPr>
            <w:tcW w:w="2267" w:type="dxa"/>
            <w:tcBorders>
              <w:top w:val="single" w:sz="4" w:space="0" w:color="000000"/>
              <w:left w:val="single" w:sz="4" w:space="0" w:color="000000"/>
              <w:bottom w:val="single" w:sz="4" w:space="0" w:color="000000"/>
              <w:right w:val="single" w:sz="4" w:space="0" w:color="000000"/>
            </w:tcBorders>
          </w:tcPr>
          <w:p w:rsidR="00945500" w:rsidRDefault="00B85C17">
            <w:pPr>
              <w:spacing w:after="0"/>
            </w:pPr>
            <w:r>
              <w:rPr>
                <w:rFonts w:ascii="Arial" w:eastAsia="Arial" w:hAnsi="Arial" w:cs="Arial"/>
                <w:b/>
              </w:rPr>
              <w:t xml:space="preserve">50% </w:t>
            </w:r>
          </w:p>
        </w:tc>
      </w:tr>
      <w:tr w:rsidR="00945500">
        <w:trPr>
          <w:trHeight w:val="500"/>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500" w:rsidRDefault="00B85C17">
            <w:pPr>
              <w:spacing w:after="0"/>
              <w:ind w:left="2"/>
            </w:pPr>
            <w:r>
              <w:rPr>
                <w:rFonts w:ascii="Arial" w:eastAsia="Arial" w:hAnsi="Arial" w:cs="Arial"/>
                <w:b/>
              </w:rPr>
              <w:t xml:space="preserve">Lecturer: </w:t>
            </w:r>
          </w:p>
        </w:tc>
        <w:tc>
          <w:tcPr>
            <w:tcW w:w="3295" w:type="dxa"/>
            <w:tcBorders>
              <w:top w:val="single" w:sz="4" w:space="0" w:color="000000"/>
              <w:left w:val="single" w:sz="4" w:space="0" w:color="000000"/>
              <w:bottom w:val="single" w:sz="4" w:space="0" w:color="000000"/>
              <w:right w:val="single" w:sz="4" w:space="0" w:color="000000"/>
            </w:tcBorders>
            <w:vAlign w:val="center"/>
          </w:tcPr>
          <w:p w:rsidR="00945500" w:rsidRDefault="00B85C17">
            <w:pPr>
              <w:spacing w:after="0"/>
              <w:ind w:left="5"/>
            </w:pPr>
            <w:r>
              <w:rPr>
                <w:rFonts w:ascii="Arial" w:eastAsia="Arial" w:hAnsi="Arial" w:cs="Arial"/>
                <w:b/>
              </w:rPr>
              <w:t xml:space="preserve">Mathew Jones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500" w:rsidRDefault="00B85C17">
            <w:pPr>
              <w:spacing w:after="0"/>
              <w:ind w:left="2"/>
            </w:pPr>
            <w:r>
              <w:rPr>
                <w:rFonts w:ascii="Arial" w:eastAsia="Arial" w:hAnsi="Arial" w:cs="Arial"/>
                <w:b/>
              </w:rPr>
              <w:t xml:space="preserve">Internal Verifier: </w:t>
            </w:r>
          </w:p>
        </w:tc>
        <w:tc>
          <w:tcPr>
            <w:tcW w:w="2267" w:type="dxa"/>
            <w:tcBorders>
              <w:top w:val="single" w:sz="4" w:space="0" w:color="000000"/>
              <w:left w:val="single" w:sz="4" w:space="0" w:color="000000"/>
              <w:bottom w:val="single" w:sz="4" w:space="0" w:color="000000"/>
              <w:right w:val="single" w:sz="4" w:space="0" w:color="000000"/>
            </w:tcBorders>
            <w:vAlign w:val="center"/>
          </w:tcPr>
          <w:p w:rsidR="00945500" w:rsidRDefault="00B85C17">
            <w:pPr>
              <w:spacing w:after="0"/>
            </w:pPr>
            <w:r>
              <w:rPr>
                <w:rFonts w:ascii="Arial" w:eastAsia="Arial" w:hAnsi="Arial" w:cs="Arial"/>
                <w:b/>
              </w:rPr>
              <w:t xml:space="preserve">Mathew Jones </w:t>
            </w:r>
          </w:p>
        </w:tc>
      </w:tr>
      <w:tr w:rsidR="00945500">
        <w:trPr>
          <w:trHeight w:val="218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rsidR="00945500" w:rsidRDefault="00B85C17">
            <w:pPr>
              <w:spacing w:after="0"/>
              <w:ind w:left="2"/>
            </w:pPr>
            <w:r>
              <w:rPr>
                <w:rFonts w:ascii="Arial" w:eastAsia="Arial" w:hAnsi="Arial" w:cs="Arial"/>
                <w:b/>
              </w:rPr>
              <w:t xml:space="preserve">Assignment Title: </w:t>
            </w:r>
          </w:p>
        </w:tc>
        <w:tc>
          <w:tcPr>
            <w:tcW w:w="3295" w:type="dxa"/>
            <w:tcBorders>
              <w:top w:val="single" w:sz="4" w:space="0" w:color="000000"/>
              <w:left w:val="single" w:sz="4" w:space="0" w:color="000000"/>
              <w:bottom w:val="single" w:sz="4" w:space="0" w:color="000000"/>
              <w:right w:val="single" w:sz="4" w:space="0" w:color="000000"/>
            </w:tcBorders>
            <w:vAlign w:val="center"/>
          </w:tcPr>
          <w:p w:rsidR="00945500" w:rsidRDefault="00B85C17">
            <w:pPr>
              <w:spacing w:after="2" w:line="238" w:lineRule="auto"/>
              <w:ind w:left="5" w:right="46"/>
            </w:pPr>
            <w:r>
              <w:rPr>
                <w:rFonts w:ascii="Times New Roman" w:eastAsia="Times New Roman" w:hAnsi="Times New Roman" w:cs="Times New Roman"/>
                <w:sz w:val="24"/>
              </w:rPr>
              <w:t xml:space="preserve">Using a theme or traditional tale as a stimulus, consider how you might embed the six areas of learning and experience and the four purposes (Donaldson) </w:t>
            </w:r>
          </w:p>
          <w:p w:rsidR="00945500" w:rsidRDefault="00B85C17">
            <w:pPr>
              <w:spacing w:after="0"/>
              <w:ind w:left="5" w:right="27"/>
            </w:pPr>
            <w:proofErr w:type="gramStart"/>
            <w:r>
              <w:rPr>
                <w:rFonts w:ascii="Times New Roman" w:eastAsia="Times New Roman" w:hAnsi="Times New Roman" w:cs="Times New Roman"/>
                <w:sz w:val="24"/>
              </w:rPr>
              <w:t>in</w:t>
            </w:r>
            <w:proofErr w:type="gramEnd"/>
            <w:r>
              <w:rPr>
                <w:rFonts w:ascii="Times New Roman" w:eastAsia="Times New Roman" w:hAnsi="Times New Roman" w:cs="Times New Roman"/>
                <w:sz w:val="24"/>
              </w:rPr>
              <w:t xml:space="preserve"> an integrated, </w:t>
            </w:r>
            <w:proofErr w:type="spellStart"/>
            <w:r>
              <w:rPr>
                <w:rFonts w:ascii="Times New Roman" w:eastAsia="Times New Roman" w:hAnsi="Times New Roman" w:cs="Times New Roman"/>
                <w:sz w:val="24"/>
              </w:rPr>
              <w:t>cross</w:t>
            </w:r>
            <w:r>
              <w:rPr>
                <w:rFonts w:ascii="Times New Roman" w:eastAsia="Times New Roman" w:hAnsi="Times New Roman" w:cs="Times New Roman"/>
                <w:sz w:val="24"/>
              </w:rPr>
              <w:t>curricular</w:t>
            </w:r>
            <w:proofErr w:type="spellEnd"/>
            <w:r>
              <w:rPr>
                <w:rFonts w:ascii="Times New Roman" w:eastAsia="Times New Roman" w:hAnsi="Times New Roman" w:cs="Times New Roman"/>
                <w:sz w:val="24"/>
              </w:rPr>
              <w:t xml:space="preserve"> approach. </w:t>
            </w:r>
            <w:r>
              <w:rPr>
                <w:rFonts w:ascii="Times New Roman" w:eastAsia="Times New Roman" w:hAnsi="Times New Roman" w:cs="Times New Roman"/>
                <w:b/>
                <w:sz w:val="24"/>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rsidR="00945500" w:rsidRDefault="00B85C17">
            <w:pPr>
              <w:spacing w:after="0"/>
              <w:ind w:left="2"/>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67" w:type="dxa"/>
            <w:tcBorders>
              <w:top w:val="single" w:sz="4" w:space="0" w:color="000000"/>
              <w:left w:val="single" w:sz="4" w:space="0" w:color="000000"/>
              <w:bottom w:val="single" w:sz="4" w:space="0" w:color="000000"/>
              <w:right w:val="single" w:sz="4" w:space="0" w:color="000000"/>
            </w:tcBorders>
          </w:tcPr>
          <w:p w:rsidR="00945500" w:rsidRDefault="00B85C17">
            <w:pPr>
              <w:spacing w:after="0"/>
            </w:pPr>
            <w:r>
              <w:rPr>
                <w:rFonts w:ascii="Arial" w:eastAsia="Arial" w:hAnsi="Arial" w:cs="Arial"/>
                <w:b/>
              </w:rPr>
              <w:t xml:space="preserve">2,000 word essay.  </w:t>
            </w:r>
          </w:p>
        </w:tc>
      </w:tr>
      <w:tr w:rsidR="00945500">
        <w:trPr>
          <w:trHeight w:val="101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rsidR="00945500" w:rsidRDefault="00B85C17">
            <w:pPr>
              <w:spacing w:after="0"/>
              <w:ind w:left="2"/>
            </w:pPr>
            <w:r>
              <w:rPr>
                <w:rFonts w:ascii="Arial" w:eastAsia="Arial" w:hAnsi="Arial" w:cs="Arial"/>
                <w:b/>
              </w:rPr>
              <w:t xml:space="preserve">Submission deadline: </w:t>
            </w:r>
          </w:p>
        </w:tc>
        <w:tc>
          <w:tcPr>
            <w:tcW w:w="3295" w:type="dxa"/>
            <w:tcBorders>
              <w:top w:val="single" w:sz="4" w:space="0" w:color="000000"/>
              <w:left w:val="single" w:sz="4" w:space="0" w:color="000000"/>
              <w:bottom w:val="single" w:sz="4" w:space="0" w:color="000000"/>
              <w:right w:val="single" w:sz="4" w:space="0" w:color="000000"/>
            </w:tcBorders>
          </w:tcPr>
          <w:p w:rsidR="00945500" w:rsidRDefault="00B85C17">
            <w:pPr>
              <w:spacing w:after="0"/>
              <w:ind w:left="5"/>
            </w:pPr>
            <w:r>
              <w:rPr>
                <w:rFonts w:ascii="Arial" w:eastAsia="Arial" w:hAnsi="Arial" w:cs="Arial"/>
                <w:b/>
              </w:rPr>
              <w:t>Monday 7</w:t>
            </w:r>
            <w:r>
              <w:rPr>
                <w:rFonts w:ascii="Arial" w:eastAsia="Arial" w:hAnsi="Arial" w:cs="Arial"/>
                <w:b/>
                <w:vertAlign w:val="superscript"/>
              </w:rPr>
              <w:t>th</w:t>
            </w:r>
            <w:r>
              <w:rPr>
                <w:rFonts w:ascii="Arial" w:eastAsia="Arial" w:hAnsi="Arial" w:cs="Arial"/>
                <w:b/>
              </w:rPr>
              <w:t xml:space="preserve">, January, 2019.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45500" w:rsidRDefault="00B85C17">
            <w:pPr>
              <w:spacing w:after="0"/>
              <w:ind w:left="2" w:right="69"/>
              <w:jc w:val="both"/>
            </w:pPr>
            <w:r>
              <w:rPr>
                <w:rFonts w:ascii="Arial" w:eastAsia="Arial" w:hAnsi="Arial" w:cs="Arial"/>
                <w:b/>
              </w:rPr>
              <w:t xml:space="preserve">Return date of provisional marks &amp; written feedback: </w:t>
            </w:r>
          </w:p>
        </w:tc>
        <w:tc>
          <w:tcPr>
            <w:tcW w:w="2267" w:type="dxa"/>
            <w:tcBorders>
              <w:top w:val="single" w:sz="4" w:space="0" w:color="000000"/>
              <w:left w:val="single" w:sz="4" w:space="0" w:color="000000"/>
              <w:bottom w:val="single" w:sz="4" w:space="0" w:color="000000"/>
              <w:right w:val="single" w:sz="4" w:space="0" w:color="000000"/>
            </w:tcBorders>
          </w:tcPr>
          <w:p w:rsidR="00945500" w:rsidRDefault="00B85C17">
            <w:pPr>
              <w:spacing w:after="0"/>
            </w:pPr>
            <w:r>
              <w:rPr>
                <w:rFonts w:ascii="Arial" w:eastAsia="Arial" w:hAnsi="Arial" w:cs="Arial"/>
                <w:b/>
              </w:rPr>
              <w:t>4</w:t>
            </w:r>
            <w:r>
              <w:rPr>
                <w:rFonts w:ascii="Arial" w:eastAsia="Arial" w:hAnsi="Arial" w:cs="Arial"/>
                <w:b/>
                <w:vertAlign w:val="superscript"/>
              </w:rPr>
              <w:t>th</w:t>
            </w:r>
            <w:r>
              <w:rPr>
                <w:rFonts w:ascii="Arial" w:eastAsia="Arial" w:hAnsi="Arial" w:cs="Arial"/>
                <w:b/>
              </w:rPr>
              <w:t xml:space="preserve"> February, 2019. </w:t>
            </w:r>
          </w:p>
        </w:tc>
      </w:tr>
      <w:tr w:rsidR="00945500">
        <w:trPr>
          <w:trHeight w:val="2647"/>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rsidR="00945500" w:rsidRDefault="00B85C17">
            <w:pPr>
              <w:spacing w:after="0"/>
              <w:ind w:left="2"/>
            </w:pPr>
            <w:r>
              <w:rPr>
                <w:rFonts w:ascii="Arial" w:eastAsia="Arial" w:hAnsi="Arial" w:cs="Arial"/>
                <w:b/>
              </w:rPr>
              <w:t xml:space="preserve">Submission method: </w:t>
            </w:r>
          </w:p>
        </w:tc>
        <w:tc>
          <w:tcPr>
            <w:tcW w:w="7830" w:type="dxa"/>
            <w:gridSpan w:val="3"/>
            <w:tcBorders>
              <w:top w:val="single" w:sz="4" w:space="0" w:color="000000"/>
              <w:left w:val="single" w:sz="4" w:space="0" w:color="000000"/>
              <w:bottom w:val="single" w:sz="4" w:space="0" w:color="000000"/>
              <w:right w:val="single" w:sz="4" w:space="0" w:color="000000"/>
            </w:tcBorders>
          </w:tcPr>
          <w:p w:rsidR="00945500" w:rsidRDefault="00B85C17">
            <w:pPr>
              <w:spacing w:after="122" w:line="244" w:lineRule="auto"/>
              <w:ind w:left="5"/>
            </w:pPr>
            <w:r>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w:t>
            </w:r>
            <w:r>
              <w:rPr>
                <w:rFonts w:ascii="Arial" w:eastAsia="Arial" w:hAnsi="Arial" w:cs="Arial"/>
              </w:rPr>
              <w:t xml:space="preserve">sions.) </w:t>
            </w:r>
          </w:p>
          <w:p w:rsidR="00945500" w:rsidRDefault="00B85C17">
            <w:pPr>
              <w:spacing w:after="106"/>
              <w:ind w:left="5"/>
            </w:pPr>
            <w:r>
              <w:rPr>
                <w:rFonts w:ascii="Arial" w:eastAsia="Arial" w:hAnsi="Arial" w:cs="Arial"/>
                <w:b/>
              </w:rPr>
              <w:t xml:space="preserve">Alternative submission method (if applicable):  </w:t>
            </w:r>
          </w:p>
          <w:p w:rsidR="00945500" w:rsidRDefault="00B85C17">
            <w:pPr>
              <w:spacing w:after="0"/>
              <w:ind w:left="5" w:right="67"/>
              <w:jc w:val="both"/>
            </w:pPr>
            <w:r>
              <w:rPr>
                <w:rFonts w:ascii="Arial" w:eastAsia="Arial" w:hAnsi="Arial" w:cs="Arial"/>
                <w:b/>
              </w:rPr>
              <w:t xml:space="preserve">Late submission of the assessment will result in a late penalty mark. </w:t>
            </w:r>
            <w:r>
              <w:rPr>
                <w:rFonts w:ascii="Arial" w:eastAsia="Arial" w:hAnsi="Arial" w:cs="Arial"/>
              </w:rPr>
              <w:t>Penalties for late submission: Up to one week late, maximum mark of 40%. Over one week late, 0%.  Only the Extenuating Circumsta</w:t>
            </w:r>
            <w:r>
              <w:rPr>
                <w:rFonts w:ascii="Arial" w:eastAsia="Arial" w:hAnsi="Arial" w:cs="Arial"/>
              </w:rPr>
              <w:t>nces Panel may approve a change to submission dates.</w:t>
            </w:r>
            <w:r>
              <w:rPr>
                <w:rFonts w:ascii="Arial" w:eastAsia="Arial" w:hAnsi="Arial" w:cs="Arial"/>
                <w:b/>
              </w:rPr>
              <w:t xml:space="preserve"> </w:t>
            </w:r>
          </w:p>
        </w:tc>
      </w:tr>
      <w:tr w:rsidR="00945500">
        <w:trPr>
          <w:trHeight w:val="1264"/>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rsidR="00945500" w:rsidRDefault="00B85C17">
            <w:pPr>
              <w:spacing w:after="0"/>
              <w:ind w:left="2" w:right="2"/>
            </w:pPr>
            <w:r>
              <w:rPr>
                <w:rFonts w:ascii="Arial" w:eastAsia="Arial" w:hAnsi="Arial" w:cs="Arial"/>
                <w:b/>
              </w:rPr>
              <w:t xml:space="preserve">Academic honesty / referencing: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rsidR="00945500" w:rsidRDefault="00B85C17">
            <w:pPr>
              <w:spacing w:after="0"/>
              <w:ind w:left="5" w:right="66"/>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w:t>
            </w:r>
            <w:r>
              <w:rPr>
                <w:rFonts w:ascii="Arial" w:eastAsia="Arial" w:hAnsi="Arial" w:cs="Arial"/>
              </w:rPr>
              <w:t xml:space="preserve">or quoted in order to complete this assessment.  </w:t>
            </w:r>
          </w:p>
        </w:tc>
      </w:tr>
    </w:tbl>
    <w:p w:rsidR="00945500" w:rsidRDefault="00B85C17">
      <w:pPr>
        <w:spacing w:after="0"/>
      </w:pPr>
      <w:r>
        <w:rPr>
          <w:rFonts w:ascii="Arial" w:eastAsia="Arial" w:hAnsi="Arial" w:cs="Arial"/>
          <w:sz w:val="32"/>
        </w:rPr>
        <w:t xml:space="preserve"> </w:t>
      </w:r>
    </w:p>
    <w:p w:rsidR="00945500" w:rsidRDefault="00B85C17">
      <w:pPr>
        <w:spacing w:after="0"/>
      </w:pPr>
      <w:r>
        <w:rPr>
          <w:rFonts w:ascii="Arial" w:eastAsia="Arial" w:hAnsi="Arial" w:cs="Arial"/>
          <w:sz w:val="32"/>
        </w:rPr>
        <w:t xml:space="preserve"> </w:t>
      </w:r>
    </w:p>
    <w:p w:rsidR="00945500" w:rsidRDefault="00B85C17">
      <w:pPr>
        <w:spacing w:after="0"/>
      </w:pPr>
      <w:r>
        <w:rPr>
          <w:rFonts w:ascii="Arial" w:eastAsia="Arial" w:hAnsi="Arial" w:cs="Arial"/>
          <w:sz w:val="32"/>
        </w:rPr>
        <w:t xml:space="preserve"> </w:t>
      </w:r>
    </w:p>
    <w:p w:rsidR="00945500" w:rsidRDefault="00B85C17">
      <w:pPr>
        <w:spacing w:after="0"/>
      </w:pPr>
      <w:r>
        <w:rPr>
          <w:rFonts w:ascii="Arial" w:eastAsia="Arial" w:hAnsi="Arial" w:cs="Arial"/>
          <w:sz w:val="32"/>
        </w:rPr>
        <w:t xml:space="preserve"> </w:t>
      </w:r>
    </w:p>
    <w:p w:rsidR="00945500" w:rsidRDefault="00B85C17">
      <w:pPr>
        <w:spacing w:after="0"/>
      </w:pPr>
      <w:r>
        <w:rPr>
          <w:rFonts w:ascii="Arial" w:eastAsia="Arial" w:hAnsi="Arial" w:cs="Arial"/>
          <w:sz w:val="32"/>
        </w:rPr>
        <w:t xml:space="preserve"> </w:t>
      </w:r>
    </w:p>
    <w:p w:rsidR="00945500" w:rsidRDefault="00B85C17">
      <w:pPr>
        <w:spacing w:after="0"/>
      </w:pPr>
      <w:r>
        <w:rPr>
          <w:rFonts w:ascii="Arial" w:eastAsia="Arial" w:hAnsi="Arial" w:cs="Arial"/>
          <w:sz w:val="32"/>
        </w:rPr>
        <w:t xml:space="preserve"> </w:t>
      </w:r>
    </w:p>
    <w:p w:rsidR="00B85C17" w:rsidRDefault="00B85C17" w:rsidP="00B85C17">
      <w:pPr>
        <w:pStyle w:val="paragraph"/>
        <w:spacing w:before="0" w:beforeAutospacing="0" w:after="0" w:afterAutospacing="0"/>
        <w:textAlignment w:val="baseline"/>
        <w:rPr>
          <w:rFonts w:ascii="Segoe UI" w:hAnsi="Segoe UI" w:cs="Segoe UI"/>
          <w:sz w:val="18"/>
          <w:szCs w:val="18"/>
        </w:rPr>
      </w:pPr>
      <w:r>
        <w:rPr>
          <w:rFonts w:ascii="Arial" w:eastAsia="Arial" w:hAnsi="Arial" w:cs="Arial"/>
          <w:sz w:val="32"/>
        </w:rPr>
        <w:lastRenderedPageBreak/>
        <w:t xml:space="preserve"> </w:t>
      </w:r>
      <w:r>
        <w:rPr>
          <w:rStyle w:val="normaltextrun"/>
          <w:rFonts w:ascii="Calibri" w:eastAsia="Arial" w:hAnsi="Calibri" w:cs="Calibri"/>
          <w:sz w:val="22"/>
          <w:szCs w:val="22"/>
        </w:rPr>
        <w:t>For teaching, a cross curricular approach can have positives and negatives in enabling children to learn. I have chosen to use the theme of Charlie and the chocolate factory because it can be linked to many different areas of learning and Donaldson's’ 4 purposes. This will ensure that the children will get the most out of every lesson and utilise skills learnt previously in all aspects of their learning. This theme would most likely be used in classes of pupils in years 4 and 5 due to the complexity of the book. This would ensure that all pupils understand the source material meaning that there is less chance of pupils becoming disengaged with tasks that they are given. </w:t>
      </w:r>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rPr>
      </w:pP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sz w:val="22"/>
          <w:szCs w:val="22"/>
        </w:rPr>
        <w:t xml:space="preserve">My theme of Charlie and the chocolate factory has a great ability to link </w:t>
      </w:r>
      <w:r>
        <w:rPr>
          <w:rStyle w:val="normaltextrun"/>
          <w:rFonts w:ascii="Calibri" w:eastAsia="Arial" w:hAnsi="Calibri" w:cs="Calibri"/>
          <w:sz w:val="22"/>
          <w:szCs w:val="22"/>
        </w:rPr>
        <w:t>with</w:t>
      </w:r>
      <w:r>
        <w:rPr>
          <w:rStyle w:val="normaltextrun"/>
          <w:rFonts w:ascii="Calibri" w:eastAsia="Arial" w:hAnsi="Calibri" w:cs="Calibri"/>
          <w:sz w:val="22"/>
          <w:szCs w:val="22"/>
        </w:rPr>
        <w:t xml:space="preserve"> many different areas of the curriculum. This theme entails the children knowing about the book that many activities will be focused around which means that during class time the children will need to read this book to allow them to complete the tasks to the best of their abilities. This will help to develop children's reading skills and their confidence in reading aloud to their peers in the class. This also links to one of Donaldson's suggested areas of learning and experience, “Language, literacy and communication”.  For the children’s first activity, after reading the book, they will be given the opportunity to design their very own Willy Wonka chocolate bar including a drawing of what it looks like and a short description of the new Willy Wonka bar. The teacher will provide an ingredients list with prices for each ingredient and it is up to the children how little or much they want to put in to their chocolate bar. The prices are included within this task to link mathematics and numeracy to the theme, making children think about the effects of cost and potential profit they could have when selling their bar in the real world. This notion links to Donaldson’s suggestion that all children should be “enterprising, creative contributors, ready to play a full part in life and work”. This activity can also be linked to the numeracy framework as the children will be given the opportunity to “transfer mathematical skills to a variety of contexts and everyday situations” which will give the children the ability and confidence to fulfil Donaldson’s suggestion. Throughout this session the teacher should at least use incidental welsh to reinforce the use of the language in all aspects of learning</w:t>
      </w:r>
      <w:r>
        <w:rPr>
          <w:rStyle w:val="normaltextrun"/>
          <w:rFonts w:ascii="Calibri" w:eastAsia="Arial" w:hAnsi="Calibri" w:cs="Calibri"/>
          <w:sz w:val="22"/>
          <w:szCs w:val="22"/>
        </w:rPr>
        <w:t>.</w:t>
      </w:r>
      <w:r>
        <w:rPr>
          <w:rStyle w:val="normaltextrun"/>
          <w:rFonts w:ascii="Calibri" w:eastAsia="Arial" w:hAnsi="Calibri" w:cs="Calibri"/>
          <w:sz w:val="22"/>
          <w:szCs w:val="22"/>
        </w:rPr>
        <w:t xml:space="preserve"> </w:t>
      </w:r>
      <w:r>
        <w:rPr>
          <w:rStyle w:val="normaltextrun"/>
          <w:rFonts w:ascii="Calibri" w:eastAsia="Arial" w:hAnsi="Calibri" w:cs="Calibri"/>
          <w:sz w:val="22"/>
          <w:szCs w:val="22"/>
        </w:rPr>
        <w:t>This</w:t>
      </w:r>
      <w:r>
        <w:rPr>
          <w:rStyle w:val="normaltextrun"/>
          <w:rFonts w:ascii="Calibri" w:eastAsia="Arial" w:hAnsi="Calibri" w:cs="Calibri"/>
          <w:sz w:val="22"/>
          <w:szCs w:val="22"/>
        </w:rPr>
        <w:t xml:space="preserve"> activity allows for cross curricular teaching as the children will demonstrate skills associated with expressive arts, languages, literacy and communication and mathematics and numeracy. These three areas covered allow for greater engagement from the children with the set task and shows that previously learnt skills can be used throughout all areas of the curriculum. Barnes reinforces these ideas stating that “cross-curricular pedagogies are best placed to motivate, sustain, </w:t>
      </w:r>
      <w:r>
        <w:rPr>
          <w:rStyle w:val="normaltextrun"/>
          <w:rFonts w:ascii="Calibri" w:eastAsia="Arial" w:hAnsi="Calibri" w:cs="Calibri"/>
          <w:sz w:val="22"/>
          <w:szCs w:val="22"/>
        </w:rPr>
        <w:t>and be</w:t>
      </w:r>
      <w:r>
        <w:rPr>
          <w:rStyle w:val="normaltextrun"/>
          <w:rFonts w:ascii="Calibri" w:eastAsia="Arial" w:hAnsi="Calibri" w:cs="Calibri"/>
          <w:sz w:val="22"/>
          <w:szCs w:val="22"/>
        </w:rPr>
        <w:t xml:space="preserve"> meaningful and socially satisfying than a curriculum purely devoted to separated subject teaching”. This notion is a great advantage of cross- curricular teaching as it stimulates learning among young people when a planned activity becomes a “powerful motivator” for the progression of their educational and personal development. This activity is most likely “interdisciplinary cross-curricular learning” where multiple subjects are put together to create an “original and valued product, presentation or idea”. After the children have designed their own Willy Wonka chocolate bar the children will be asked to present their own creation to the class with reason as to why they designed their bar the way they did. A possible downside to using a cross curricular approach is making sure that the activities are not “tokenistic cross-curricular approaches” and purposefully enhance learning in a subject whilst providing meaningful experiences for children to flourish academically.</w:t>
      </w:r>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rPr>
      </w:pP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sz w:val="22"/>
          <w:szCs w:val="22"/>
        </w:rPr>
        <w:t>The next activity using the Charlie and the Chocolate Factory theme could include a lesson which focuses on the importance of Fairtrade in the chocolate industry and how this scheme helps communities across the globe. This could allow for a trip to see how chocolate is made providing the children with an exciting experience to improve learning. This activity links heavily with humanities, health and well-being and science and technology with the children being able to read about processes in the Charlie and the chocolate factory book and then will be able to compare this to the real experience which should stimulate the children's learning on the various subjects. The focus in this activity should be encouraging the children to think about the differences between the culture in Wales and how this differs from other countries. This type of experience is encouraged in Barnes’ report as he suggests that “the most meaningful experiences for children happen outside the classroom” where a more “casual” and “unplanned” style of learning can be of great benefit to young minds. Once this trip would be finished, the children could be asked to create a short storyboard about their day linking back to Fairtrade and how the scheme benefits farmers. This links to the literacy framework as the children will be expected to “explain main ideas with supporting details, including observations and explanations where relevant”.  This style of activity is being used more often according to ESTYN’s report (2016-2017) as “teachers plan activities that develop a wide range of pupils skills across most subjects and areas of learning” delivering them through “’real’ and relevant first-hand experiences”. Jonathan Barnes encourages the use of theme-based cross curricular approaches with the correct teaching as they “worked well to inform and motivate children”. Also, this activity takes advantage of the use of a change in learning environment to encourage learning outside of the classroom which is becoming more popular as “Nine-in-ten schools make effective use of the physical environment”. This links to Donaldson's’ four purposes of the curriculum as they are being challenged to show that they can be “ethical, informed citizens” that can “consider the impact of their actions when making choices” such as their own decision to buy and consume Fairtrade products and how that can affect other people across the globe. Barnes hints at this when suggesting that teachers “can develop confidence in a range of subjects in order to be able to build upon children’s responses to real experience” which suggests that the role of the teacher and the pedagogical approach taken can influence the way in which students react to situations in the future.   </w:t>
      </w:r>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rPr>
      </w:pP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sz w:val="22"/>
          <w:szCs w:val="22"/>
        </w:rPr>
        <w:t>Another activity the children could partake in is designing a chocolate bar in groups, promoting teamwork and cooperation, and have the groups set up a Willy Wonka market delivering their ideas to the teacher, who could dress up like Willy Wonka, to encourage the children to want to sell their chocolate bar to the best of their ability. This will improve the children’s use of persuasive language as the children will try to entice passers-by to buy their new chocolate bar and will promote Donaldson's purpose of creating “enterprising, creative contributors” focusing on the children's ability to “lead and play different roles in teams effectively and responsibly”. This style of activity promotes “Multidisciplinary cross curricular learning” with an emphasis on expressive arts and languages literacy and communication which involves taking “two sets of disciplines taken from the curriculum” and using them to create a “single experience” to encourage and promote learning within the subjects. The children would also be given the freedom and encouraged to use Welsh language wherever possible and appropriate to help them improve their confidence using Welsh in a variety of situations. This activity can be found in the literacy framework as it provides the children with an opportunity to “explore different situations through role play” and it creates competition between the groups which will hopefully push them to follow Donaldson’s proposal of being “ambitious” and they can “set themselves high standards and seek and enjoy challenge”. A possible disadvantage of this style of activity, according to Barnes, could be that “Innovation does not automatically engage all children”. This suggests that even when implementing a cross-curricular approach to a theme/activity some children may still not be engaged. Barnes says that devising “a range of easily accessible and practical entry points” can help children improve their engagement in an activity which in turn maximises “the chances of mental, sensory and social involvement”.</w:t>
      </w:r>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rPr>
      </w:pP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sz w:val="22"/>
          <w:szCs w:val="22"/>
        </w:rPr>
        <w:t>The final activity could include having the children watch a scene from the Charlie and the chocolate factory movie and in groups create their own piece of background music using a range of musical instruments to reflect upon the action taking place on the screen. This focuses on two areas of learning “languages, literacy and communication” and “expressive arts”.  This also links to Donaldson’s successful futures report as this activity would aid in developing “enterprising, creative contributors” who “think creatively to reframe and solve problems”. Throughout this task, the children will be given key words about music in Welsh to help improve their vocabulary, thus deepening their knowledge of the language. Once the children have performed their pieces, the teacher should ask them why they chose to create their piece in the way that they did and how did the piece of music make them feel. This is seen in the literacy framework as the children are encouraged to “deduce connections between information” where they have taken in the information from a scene in a movie and used this to create a reflective piece of music/sound affects which allows for greater creativity in the classroom. Barnes emphasises the importance of creativity in his first report by outlining that “connections between the exercises and the previous experience of the child are common and frequently lead to original, valuable and imaginative ideas”. This activity uses “hierarchical cross-curricular learning” where one subject, which in this instance is expressive arts, is used to improve learning in another, which is languages, literacy and communication. According to Barnes, this cross curricular approach is “effective in teaching” and helps in “building individual and group motivation, sustaining interest and raising standards” which provides children with a wide variety of skills and Barnes believes this to be “good practice”.</w:t>
      </w:r>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sz w:val="22"/>
          <w:szCs w:val="22"/>
        </w:rPr>
        <w:t>It is clear to see that a cross-curricular approach to teaching can provide both students and teachers with a freedom and creativity to learn new information together. Barnes’ report reveals that he believes in 5 different forms of how cross-curricular activities can be positively implemented into all schools across the UK, while outlining the negative form of a tokenistic cross-curricular approach. This information is very useful for trainee teachers to be made aware of when planning activities around a theme as more caution will be taken when ensuring the links between subjects/areas of learning are tangible. This is paramount to effective teaching allowing the children's education and personal development to flourish while ensuring a greater focus from the children in these activities.                                                                 </w:t>
      </w:r>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u w:val="single"/>
        </w:rPr>
      </w:pP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u w:val="single"/>
        </w:rPr>
      </w:pP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u w:val="single"/>
        </w:rPr>
      </w:pP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u w:val="single"/>
        </w:rPr>
      </w:pP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u w:val="single"/>
        </w:rPr>
      </w:pP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u w:val="single"/>
        </w:rPr>
      </w:pP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u w:val="single"/>
        </w:rPr>
      </w:pP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u w:val="single"/>
        </w:rPr>
      </w:pPr>
    </w:p>
    <w:p w:rsidR="00B85C17" w:rsidRDefault="00B85C17" w:rsidP="00B85C17">
      <w:pPr>
        <w:pStyle w:val="paragraph"/>
        <w:spacing w:before="0" w:beforeAutospacing="0" w:after="0" w:afterAutospacing="0"/>
        <w:textAlignment w:val="baseline"/>
        <w:rPr>
          <w:rStyle w:val="normaltextrun"/>
          <w:rFonts w:ascii="Calibri" w:eastAsia="Arial" w:hAnsi="Calibri" w:cs="Calibri"/>
          <w:sz w:val="22"/>
          <w:szCs w:val="22"/>
          <w:u w:val="single"/>
        </w:rPr>
      </w:pP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sz w:val="22"/>
          <w:szCs w:val="22"/>
          <w:u w:val="single"/>
        </w:rPr>
        <w:t>Reference list</w:t>
      </w:r>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sz w:val="22"/>
          <w:szCs w:val="22"/>
        </w:rPr>
        <w:t>Professor Graham Donaldson CB (2015) </w:t>
      </w:r>
      <w:r>
        <w:rPr>
          <w:rStyle w:val="normaltextrun"/>
          <w:rFonts w:ascii="Calibri" w:eastAsia="Arial" w:hAnsi="Calibri" w:cs="Calibri"/>
          <w:i/>
          <w:iCs/>
          <w:sz w:val="22"/>
          <w:szCs w:val="22"/>
        </w:rPr>
        <w:t>Successful Futures Independent Review of Curriculum and Assessment arrangements in Wales</w:t>
      </w:r>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i/>
          <w:iCs/>
          <w:sz w:val="22"/>
          <w:szCs w:val="22"/>
        </w:rPr>
        <w:t>Jonathan Barnes (2015) A</w:t>
      </w:r>
      <w:bookmarkStart w:id="0" w:name="_GoBack"/>
      <w:bookmarkEnd w:id="0"/>
      <w:r>
        <w:rPr>
          <w:rStyle w:val="normaltextrun"/>
          <w:rFonts w:ascii="Calibri" w:eastAsia="Arial" w:hAnsi="Calibri" w:cs="Calibri"/>
          <w:i/>
          <w:iCs/>
          <w:sz w:val="22"/>
          <w:szCs w:val="22"/>
        </w:rPr>
        <w:t>n Introduction to Cross Curricular Learning</w:t>
      </w:r>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sz w:val="22"/>
          <w:szCs w:val="22"/>
        </w:rPr>
        <w:t>Welsh Government (2014)</w:t>
      </w:r>
      <w:r>
        <w:rPr>
          <w:rStyle w:val="normaltextrun"/>
          <w:rFonts w:ascii="Calibri" w:eastAsia="Arial" w:hAnsi="Calibri" w:cs="Calibri"/>
          <w:i/>
          <w:iCs/>
          <w:sz w:val="22"/>
          <w:szCs w:val="22"/>
        </w:rPr>
        <w:t> National Literacy and Numeracy Framework, Available at:</w:t>
      </w:r>
      <w:r>
        <w:rPr>
          <w:rStyle w:val="normaltextrun"/>
          <w:rFonts w:ascii="Calibri" w:eastAsia="Arial" w:hAnsi="Calibri" w:cs="Calibri"/>
          <w:sz w:val="22"/>
          <w:szCs w:val="22"/>
        </w:rPr>
        <w:t> </w:t>
      </w:r>
      <w:hyperlink r:id="rId8" w:tgtFrame="_blank" w:history="1">
        <w:r>
          <w:rPr>
            <w:rStyle w:val="normaltextrun"/>
            <w:rFonts w:ascii="Calibri" w:eastAsia="Arial" w:hAnsi="Calibri" w:cs="Calibri"/>
            <w:color w:val="0563C1"/>
            <w:sz w:val="22"/>
            <w:szCs w:val="22"/>
            <w:u w:val="single"/>
          </w:rPr>
          <w:t>http://learning.gov.wales/resources/browse-all/nlnf/framework?lang=en</w:t>
        </w:r>
      </w:hyperlink>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sz w:val="22"/>
          <w:szCs w:val="22"/>
        </w:rPr>
        <w:t>ESTYN (2016:2017) </w:t>
      </w:r>
      <w:proofErr w:type="gramStart"/>
      <w:r>
        <w:rPr>
          <w:rStyle w:val="normaltextrun"/>
          <w:rFonts w:ascii="Calibri" w:eastAsia="Arial" w:hAnsi="Calibri" w:cs="Calibri"/>
          <w:i/>
          <w:iCs/>
          <w:sz w:val="22"/>
          <w:szCs w:val="22"/>
        </w:rPr>
        <w:t>The</w:t>
      </w:r>
      <w:proofErr w:type="gramEnd"/>
      <w:r>
        <w:rPr>
          <w:rStyle w:val="normaltextrun"/>
          <w:rFonts w:ascii="Calibri" w:eastAsia="Arial" w:hAnsi="Calibri" w:cs="Calibri"/>
          <w:i/>
          <w:iCs/>
          <w:sz w:val="22"/>
          <w:szCs w:val="22"/>
        </w:rPr>
        <w:t xml:space="preserve"> annual report of Her Majesty’s Chief Inspector of Education and Training in Wales, Available at: </w:t>
      </w:r>
      <w:hyperlink r:id="rId9" w:tgtFrame="_blank" w:history="1">
        <w:r>
          <w:rPr>
            <w:rStyle w:val="normaltextrun"/>
            <w:rFonts w:ascii="Calibri" w:eastAsia="Arial" w:hAnsi="Calibri" w:cs="Calibri"/>
            <w:color w:val="0563C1"/>
            <w:sz w:val="22"/>
            <w:szCs w:val="22"/>
            <w:u w:val="single"/>
          </w:rPr>
          <w:t>https://www.estyn.gov.wales/sites/default/files/documents/Estyn_Annual%20Report_2018_English_Accessible.pdf</w:t>
        </w:r>
      </w:hyperlink>
      <w:r>
        <w:rPr>
          <w:rStyle w:val="eop"/>
          <w:rFonts w:ascii="Calibri" w:hAnsi="Calibri" w:cs="Calibri"/>
          <w:sz w:val="22"/>
          <w:szCs w:val="22"/>
        </w:rPr>
        <w:t> </w:t>
      </w:r>
    </w:p>
    <w:p w:rsidR="00B85C17" w:rsidRDefault="00B85C17" w:rsidP="00B85C17">
      <w:pPr>
        <w:pStyle w:val="paragraph"/>
        <w:spacing w:before="0" w:beforeAutospacing="0" w:after="0" w:afterAutospacing="0"/>
        <w:textAlignment w:val="baseline"/>
        <w:rPr>
          <w:rFonts w:ascii="Segoe UI" w:hAnsi="Segoe UI" w:cs="Segoe UI"/>
          <w:sz w:val="18"/>
          <w:szCs w:val="18"/>
        </w:rPr>
      </w:pPr>
      <w:r>
        <w:rPr>
          <w:rStyle w:val="normaltextrun"/>
          <w:rFonts w:ascii="Calibri" w:eastAsia="Arial" w:hAnsi="Calibri" w:cs="Calibri"/>
          <w:sz w:val="22"/>
          <w:szCs w:val="22"/>
        </w:rPr>
        <w:t>Jonathan Barnes (2015) </w:t>
      </w:r>
      <w:r>
        <w:rPr>
          <w:rStyle w:val="normaltextrun"/>
          <w:rFonts w:ascii="Calibri" w:eastAsia="Arial" w:hAnsi="Calibri" w:cs="Calibri"/>
          <w:i/>
          <w:iCs/>
          <w:sz w:val="22"/>
          <w:szCs w:val="22"/>
        </w:rPr>
        <w:t>Cross-Curricular Learning 3-14 [3</w:t>
      </w:r>
      <w:r>
        <w:rPr>
          <w:rStyle w:val="normaltextrun"/>
          <w:rFonts w:ascii="Calibri" w:eastAsia="Arial" w:hAnsi="Calibri" w:cs="Calibri"/>
          <w:i/>
          <w:iCs/>
          <w:sz w:val="17"/>
          <w:szCs w:val="17"/>
          <w:vertAlign w:val="superscript"/>
        </w:rPr>
        <w:t>rd</w:t>
      </w:r>
      <w:r>
        <w:rPr>
          <w:rStyle w:val="normaltextrun"/>
          <w:rFonts w:ascii="Calibri" w:eastAsia="Arial" w:hAnsi="Calibri" w:cs="Calibri"/>
          <w:i/>
          <w:iCs/>
          <w:sz w:val="22"/>
          <w:szCs w:val="22"/>
        </w:rPr>
        <w:t> edition]</w:t>
      </w:r>
      <w:r>
        <w:rPr>
          <w:rStyle w:val="eop"/>
          <w:rFonts w:ascii="Calibri" w:hAnsi="Calibri" w:cs="Calibri"/>
          <w:sz w:val="22"/>
          <w:szCs w:val="22"/>
        </w:rPr>
        <w:t> </w:t>
      </w:r>
    </w:p>
    <w:p w:rsidR="00945500" w:rsidRDefault="00945500">
      <w:pPr>
        <w:spacing w:after="0"/>
      </w:pPr>
    </w:p>
    <w:p w:rsidR="00945500" w:rsidRDefault="00B85C17">
      <w:pPr>
        <w:spacing w:after="0"/>
      </w:pPr>
      <w:r>
        <w:rPr>
          <w:rFonts w:ascii="Arial" w:eastAsia="Arial" w:hAnsi="Arial" w:cs="Arial"/>
          <w:sz w:val="32"/>
        </w:rPr>
        <w:t xml:space="preserve"> </w:t>
      </w:r>
    </w:p>
    <w:p w:rsidR="00945500" w:rsidRDefault="00B85C17">
      <w:pPr>
        <w:spacing w:after="0"/>
      </w:pPr>
      <w:r>
        <w:rPr>
          <w:rFonts w:ascii="Arial" w:eastAsia="Arial" w:hAnsi="Arial" w:cs="Arial"/>
          <w:sz w:val="32"/>
        </w:rPr>
        <w:t xml:space="preserve"> </w:t>
      </w:r>
    </w:p>
    <w:p w:rsidR="00945500" w:rsidRDefault="00B85C17">
      <w:pPr>
        <w:spacing w:after="0"/>
      </w:pPr>
      <w:r>
        <w:rPr>
          <w:rFonts w:ascii="Times New Roman" w:eastAsia="Times New Roman" w:hAnsi="Times New Roman" w:cs="Times New Roman"/>
          <w:b/>
          <w:sz w:val="24"/>
        </w:rPr>
        <w:t xml:space="preserve"> </w:t>
      </w:r>
    </w:p>
    <w:p w:rsidR="00945500" w:rsidRDefault="00945500">
      <w:pPr>
        <w:spacing w:after="0"/>
      </w:pPr>
    </w:p>
    <w:sectPr w:rsidR="00945500">
      <w:footerReference w:type="even" r:id="rId10"/>
      <w:footerReference w:type="default" r:id="rId11"/>
      <w:footerReference w:type="first" r:id="rId12"/>
      <w:pgSz w:w="11906" w:h="16838"/>
      <w:pgMar w:top="725" w:right="618" w:bottom="868" w:left="725" w:header="720" w:footer="4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5C17">
      <w:pPr>
        <w:spacing w:after="0" w:line="240" w:lineRule="auto"/>
      </w:pPr>
      <w:r>
        <w:separator/>
      </w:r>
    </w:p>
  </w:endnote>
  <w:endnote w:type="continuationSeparator" w:id="0">
    <w:p w:rsidR="00000000" w:rsidRDefault="00B85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500" w:rsidRDefault="00B85C17">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Pr>
        <w:rFonts w:ascii="Times New Roman" w:eastAsia="Times New Roman" w:hAnsi="Times New Roman" w:cs="Times New Roman"/>
        <w:b/>
        <w:sz w:val="20"/>
      </w:rPr>
      <w:t>9</w:t>
    </w:r>
    <w:r>
      <w:rPr>
        <w:rFonts w:ascii="Times New Roman" w:eastAsia="Times New Roman" w:hAnsi="Times New Roman" w:cs="Times New Roman"/>
        <w:sz w:val="20"/>
      </w:rPr>
      <w:t xml:space="preserve"> </w:t>
    </w:r>
  </w:p>
  <w:p w:rsidR="00945500" w:rsidRDefault="00B85C17">
    <w:pPr>
      <w:spacing w:after="0"/>
      <w:ind w:right="69"/>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C17" w:rsidRDefault="00B85C17">
    <w:pPr>
      <w:pStyle w:val="Footer"/>
    </w:pPr>
  </w:p>
  <w:p w:rsidR="00945500" w:rsidRDefault="00945500">
    <w:pPr>
      <w:spacing w:after="0"/>
      <w:ind w:right="69"/>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500" w:rsidRDefault="00B85C17">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Pr>
        <w:rFonts w:ascii="Times New Roman" w:eastAsia="Times New Roman" w:hAnsi="Times New Roman" w:cs="Times New Roman"/>
        <w:b/>
        <w:sz w:val="20"/>
      </w:rPr>
      <w:t>9</w:t>
    </w:r>
    <w:r>
      <w:rPr>
        <w:rFonts w:ascii="Times New Roman" w:eastAsia="Times New Roman" w:hAnsi="Times New Roman" w:cs="Times New Roman"/>
        <w:sz w:val="20"/>
      </w:rPr>
      <w:t xml:space="preserve"> </w:t>
    </w:r>
  </w:p>
  <w:p w:rsidR="00945500" w:rsidRDefault="00B85C17">
    <w:pPr>
      <w:spacing w:after="0"/>
      <w:ind w:right="69"/>
      <w:jc w:val="right"/>
    </w:pPr>
    <w:r>
      <w:rPr>
        <w:rFonts w:ascii="Times New Roman" w:eastAsia="Times New Roman" w:hAnsi="Times New Roman" w:cs="Times New Roman"/>
        <w:sz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5C17">
      <w:pPr>
        <w:spacing w:after="0" w:line="240" w:lineRule="auto"/>
      </w:pPr>
      <w:r>
        <w:separator/>
      </w:r>
    </w:p>
  </w:footnote>
  <w:footnote w:type="continuationSeparator" w:id="0">
    <w:p w:rsidR="00000000" w:rsidRDefault="00B85C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F77023"/>
    <w:multiLevelType w:val="hybridMultilevel"/>
    <w:tmpl w:val="58E60CAA"/>
    <w:lvl w:ilvl="0" w:tplc="49E8A358">
      <w:start w:val="1"/>
      <w:numFmt w:val="bullet"/>
      <w:lvlText w:val="•"/>
      <w:lvlJc w:val="left"/>
      <w:pPr>
        <w:ind w:left="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761816">
      <w:start w:val="1"/>
      <w:numFmt w:val="bullet"/>
      <w:lvlText w:val="o"/>
      <w:lvlJc w:val="left"/>
      <w:pPr>
        <w:ind w:left="16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32523C">
      <w:start w:val="1"/>
      <w:numFmt w:val="bullet"/>
      <w:lvlText w:val="▪"/>
      <w:lvlJc w:val="left"/>
      <w:pPr>
        <w:ind w:left="23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B2DCDA">
      <w:start w:val="1"/>
      <w:numFmt w:val="bullet"/>
      <w:lvlText w:val="•"/>
      <w:lvlJc w:val="left"/>
      <w:pPr>
        <w:ind w:left="3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FA99C4">
      <w:start w:val="1"/>
      <w:numFmt w:val="bullet"/>
      <w:lvlText w:val="o"/>
      <w:lvlJc w:val="left"/>
      <w:pPr>
        <w:ind w:left="37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EA8F50">
      <w:start w:val="1"/>
      <w:numFmt w:val="bullet"/>
      <w:lvlText w:val="▪"/>
      <w:lvlJc w:val="left"/>
      <w:pPr>
        <w:ind w:left="44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96CDCA8">
      <w:start w:val="1"/>
      <w:numFmt w:val="bullet"/>
      <w:lvlText w:val="•"/>
      <w:lvlJc w:val="left"/>
      <w:pPr>
        <w:ind w:left="5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2C6E12">
      <w:start w:val="1"/>
      <w:numFmt w:val="bullet"/>
      <w:lvlText w:val="o"/>
      <w:lvlJc w:val="left"/>
      <w:pPr>
        <w:ind w:left="59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790C5FA">
      <w:start w:val="1"/>
      <w:numFmt w:val="bullet"/>
      <w:lvlText w:val="▪"/>
      <w:lvlJc w:val="left"/>
      <w:pPr>
        <w:ind w:left="66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15939D4"/>
    <w:multiLevelType w:val="hybridMultilevel"/>
    <w:tmpl w:val="76DA0774"/>
    <w:lvl w:ilvl="0" w:tplc="46F6C5D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927E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1666D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6ECA9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0004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C2D3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B2E6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A04F7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D01F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500"/>
    <w:rsid w:val="00945500"/>
    <w:rsid w:val="00B8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62EA2E-531B-4C0F-B72D-2658ECA9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hd w:val="clear" w:color="auto" w:fill="C0C0C0"/>
      <w:spacing w:after="24"/>
      <w:ind w:right="71"/>
      <w:jc w:val="center"/>
      <w:outlineLvl w:val="0"/>
    </w:pPr>
    <w:rPr>
      <w:rFonts w:ascii="Arial" w:eastAsia="Arial" w:hAnsi="Arial" w:cs="Arial"/>
      <w:b/>
      <w:color w:val="000000"/>
      <w:sz w:val="40"/>
      <w:bdr w:val="single" w:sz="8" w:space="0" w:color="000000"/>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D9D9D9"/>
      <w:spacing w:after="0"/>
      <w:ind w:left="125" w:hanging="10"/>
      <w:outlineLvl w:val="1"/>
    </w:pPr>
    <w:rPr>
      <w:rFonts w:ascii="Arial" w:eastAsia="Arial" w:hAnsi="Arial" w:cs="Arial"/>
      <w:b/>
      <w:color w:val="000000"/>
      <w:sz w:val="4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40"/>
    </w:rPr>
  </w:style>
  <w:style w:type="character" w:customStyle="1" w:styleId="Heading1Char">
    <w:name w:val="Heading 1 Char"/>
    <w:link w:val="Heading1"/>
    <w:rPr>
      <w:rFonts w:ascii="Arial" w:eastAsia="Arial" w:hAnsi="Arial" w:cs="Arial"/>
      <w:b/>
      <w:color w:val="000000"/>
      <w:sz w:val="40"/>
      <w:bdr w:val="single" w:sz="8" w:space="0"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85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C17"/>
    <w:rPr>
      <w:rFonts w:ascii="Calibri" w:eastAsia="Calibri" w:hAnsi="Calibri" w:cs="Calibri"/>
      <w:color w:val="000000"/>
    </w:rPr>
  </w:style>
  <w:style w:type="paragraph" w:styleId="Footer">
    <w:name w:val="footer"/>
    <w:basedOn w:val="Normal"/>
    <w:link w:val="FooterChar"/>
    <w:uiPriority w:val="99"/>
    <w:unhideWhenUsed/>
    <w:rsid w:val="00B85C17"/>
    <w:pPr>
      <w:tabs>
        <w:tab w:val="center" w:pos="4680"/>
        <w:tab w:val="right" w:pos="9360"/>
      </w:tabs>
      <w:spacing w:after="0" w:line="240" w:lineRule="auto"/>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B85C17"/>
    <w:rPr>
      <w:rFonts w:cs="Times New Roman"/>
      <w:lang w:val="en-US" w:eastAsia="en-US"/>
    </w:rPr>
  </w:style>
  <w:style w:type="paragraph" w:customStyle="1" w:styleId="paragraph">
    <w:name w:val="paragraph"/>
    <w:basedOn w:val="Normal"/>
    <w:rsid w:val="00B85C1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B85C17"/>
  </w:style>
  <w:style w:type="character" w:customStyle="1" w:styleId="eop">
    <w:name w:val="eop"/>
    <w:basedOn w:val="DefaultParagraphFont"/>
    <w:rsid w:val="00B85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5064502">
      <w:bodyDiv w:val="1"/>
      <w:marLeft w:val="0"/>
      <w:marRight w:val="0"/>
      <w:marTop w:val="0"/>
      <w:marBottom w:val="0"/>
      <w:divBdr>
        <w:top w:val="none" w:sz="0" w:space="0" w:color="auto"/>
        <w:left w:val="none" w:sz="0" w:space="0" w:color="auto"/>
        <w:bottom w:val="none" w:sz="0" w:space="0" w:color="auto"/>
        <w:right w:val="none" w:sz="0" w:space="0" w:color="auto"/>
      </w:divBdr>
      <w:divsChild>
        <w:div w:id="638388062">
          <w:marLeft w:val="0"/>
          <w:marRight w:val="0"/>
          <w:marTop w:val="0"/>
          <w:marBottom w:val="0"/>
          <w:divBdr>
            <w:top w:val="none" w:sz="0" w:space="0" w:color="auto"/>
            <w:left w:val="none" w:sz="0" w:space="0" w:color="auto"/>
            <w:bottom w:val="none" w:sz="0" w:space="0" w:color="auto"/>
            <w:right w:val="none" w:sz="0" w:space="0" w:color="auto"/>
          </w:divBdr>
        </w:div>
        <w:div w:id="513308355">
          <w:marLeft w:val="0"/>
          <w:marRight w:val="0"/>
          <w:marTop w:val="0"/>
          <w:marBottom w:val="0"/>
          <w:divBdr>
            <w:top w:val="none" w:sz="0" w:space="0" w:color="auto"/>
            <w:left w:val="none" w:sz="0" w:space="0" w:color="auto"/>
            <w:bottom w:val="none" w:sz="0" w:space="0" w:color="auto"/>
            <w:right w:val="none" w:sz="0" w:space="0" w:color="auto"/>
          </w:divBdr>
        </w:div>
        <w:div w:id="1055548943">
          <w:marLeft w:val="0"/>
          <w:marRight w:val="0"/>
          <w:marTop w:val="0"/>
          <w:marBottom w:val="0"/>
          <w:divBdr>
            <w:top w:val="none" w:sz="0" w:space="0" w:color="auto"/>
            <w:left w:val="none" w:sz="0" w:space="0" w:color="auto"/>
            <w:bottom w:val="none" w:sz="0" w:space="0" w:color="auto"/>
            <w:right w:val="none" w:sz="0" w:space="0" w:color="auto"/>
          </w:divBdr>
        </w:div>
        <w:div w:id="1788701139">
          <w:marLeft w:val="0"/>
          <w:marRight w:val="0"/>
          <w:marTop w:val="0"/>
          <w:marBottom w:val="0"/>
          <w:divBdr>
            <w:top w:val="none" w:sz="0" w:space="0" w:color="auto"/>
            <w:left w:val="none" w:sz="0" w:space="0" w:color="auto"/>
            <w:bottom w:val="none" w:sz="0" w:space="0" w:color="auto"/>
            <w:right w:val="none" w:sz="0" w:space="0" w:color="auto"/>
          </w:divBdr>
        </w:div>
        <w:div w:id="1644692850">
          <w:marLeft w:val="0"/>
          <w:marRight w:val="0"/>
          <w:marTop w:val="0"/>
          <w:marBottom w:val="0"/>
          <w:divBdr>
            <w:top w:val="none" w:sz="0" w:space="0" w:color="auto"/>
            <w:left w:val="none" w:sz="0" w:space="0" w:color="auto"/>
            <w:bottom w:val="none" w:sz="0" w:space="0" w:color="auto"/>
            <w:right w:val="none" w:sz="0" w:space="0" w:color="auto"/>
          </w:divBdr>
        </w:div>
        <w:div w:id="2083945095">
          <w:marLeft w:val="0"/>
          <w:marRight w:val="0"/>
          <w:marTop w:val="0"/>
          <w:marBottom w:val="0"/>
          <w:divBdr>
            <w:top w:val="none" w:sz="0" w:space="0" w:color="auto"/>
            <w:left w:val="none" w:sz="0" w:space="0" w:color="auto"/>
            <w:bottom w:val="none" w:sz="0" w:space="0" w:color="auto"/>
            <w:right w:val="none" w:sz="0" w:space="0" w:color="auto"/>
          </w:divBdr>
        </w:div>
        <w:div w:id="838931034">
          <w:marLeft w:val="0"/>
          <w:marRight w:val="0"/>
          <w:marTop w:val="0"/>
          <w:marBottom w:val="0"/>
          <w:divBdr>
            <w:top w:val="none" w:sz="0" w:space="0" w:color="auto"/>
            <w:left w:val="none" w:sz="0" w:space="0" w:color="auto"/>
            <w:bottom w:val="none" w:sz="0" w:space="0" w:color="auto"/>
            <w:right w:val="none" w:sz="0" w:space="0" w:color="auto"/>
          </w:divBdr>
        </w:div>
        <w:div w:id="251593699">
          <w:marLeft w:val="0"/>
          <w:marRight w:val="0"/>
          <w:marTop w:val="0"/>
          <w:marBottom w:val="0"/>
          <w:divBdr>
            <w:top w:val="none" w:sz="0" w:space="0" w:color="auto"/>
            <w:left w:val="none" w:sz="0" w:space="0" w:color="auto"/>
            <w:bottom w:val="none" w:sz="0" w:space="0" w:color="auto"/>
            <w:right w:val="none" w:sz="0" w:space="0" w:color="auto"/>
          </w:divBdr>
        </w:div>
        <w:div w:id="751585633">
          <w:marLeft w:val="0"/>
          <w:marRight w:val="0"/>
          <w:marTop w:val="0"/>
          <w:marBottom w:val="0"/>
          <w:divBdr>
            <w:top w:val="none" w:sz="0" w:space="0" w:color="auto"/>
            <w:left w:val="none" w:sz="0" w:space="0" w:color="auto"/>
            <w:bottom w:val="none" w:sz="0" w:space="0" w:color="auto"/>
            <w:right w:val="none" w:sz="0" w:space="0" w:color="auto"/>
          </w:divBdr>
        </w:div>
        <w:div w:id="573467136">
          <w:marLeft w:val="0"/>
          <w:marRight w:val="0"/>
          <w:marTop w:val="0"/>
          <w:marBottom w:val="0"/>
          <w:divBdr>
            <w:top w:val="none" w:sz="0" w:space="0" w:color="auto"/>
            <w:left w:val="none" w:sz="0" w:space="0" w:color="auto"/>
            <w:bottom w:val="none" w:sz="0" w:space="0" w:color="auto"/>
            <w:right w:val="none" w:sz="0" w:space="0" w:color="auto"/>
          </w:divBdr>
        </w:div>
        <w:div w:id="692531528">
          <w:marLeft w:val="0"/>
          <w:marRight w:val="0"/>
          <w:marTop w:val="0"/>
          <w:marBottom w:val="0"/>
          <w:divBdr>
            <w:top w:val="none" w:sz="0" w:space="0" w:color="auto"/>
            <w:left w:val="none" w:sz="0" w:space="0" w:color="auto"/>
            <w:bottom w:val="none" w:sz="0" w:space="0" w:color="auto"/>
            <w:right w:val="none" w:sz="0" w:space="0" w:color="auto"/>
          </w:divBdr>
        </w:div>
        <w:div w:id="53211588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browse-all/nlnf/framework?lang=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styn.gov.wales/sites/default/files/documents/Estyn_Annual%20Report_2018_English_Accessibl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2111</Words>
  <Characters>12036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Microsoft Word - PART B for ECAD4011 Nov 2018 GA36a-Level-4-Assessment-Specification.docx</vt:lpstr>
    </vt:vector>
  </TitlesOfParts>
  <Company/>
  <LinksUpToDate>false</LinksUpToDate>
  <CharactersWithSpaces>14119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PART B for ECAD4011 Nov 2018 GA36a-Level-4-Assessment-Specification.docx</dc:title>
  <dc:subject/>
  <dc:creator>Philip Gladwin</dc:creator>
  <cp:keywords/>
  <cp:lastModifiedBy>Philip Gladwin</cp:lastModifiedBy>
  <cp:revision>2</cp:revision>
  <dcterms:created xsi:type="dcterms:W3CDTF">2019-01-05T12:13:00Z</dcterms:created>
  <dcterms:modified xsi:type="dcterms:W3CDTF">2019-01-05T12:13:00Z</dcterms:modified>
</cp:coreProperties>
</file>