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46022" w14:textId="77777777" w:rsidR="00CA5FE9" w:rsidRDefault="00CA5FE9" w:rsidP="00CA5FE9">
      <w:pPr>
        <w:jc w:val="center"/>
        <w:rPr>
          <w:b/>
          <w:bCs/>
          <w:sz w:val="40"/>
          <w:szCs w:val="40"/>
        </w:rPr>
      </w:pPr>
    </w:p>
    <w:p w14:paraId="6C20D34A" w14:textId="58F8246D" w:rsidR="00CA5FE9" w:rsidRPr="00CA5FE9" w:rsidRDefault="00CA5FE9" w:rsidP="00CA5FE9">
      <w:pPr>
        <w:jc w:val="center"/>
        <w:rPr>
          <w:b/>
          <w:bCs/>
          <w:sz w:val="28"/>
          <w:szCs w:val="28"/>
        </w:rPr>
      </w:pPr>
      <w:r w:rsidRPr="00CA5FE9">
        <w:rPr>
          <w:b/>
          <w:bCs/>
          <w:sz w:val="28"/>
          <w:szCs w:val="28"/>
        </w:rPr>
        <w:t>Programme name: Master of Business Administration</w:t>
      </w:r>
    </w:p>
    <w:p w14:paraId="66A38B3E" w14:textId="15805380" w:rsidR="00FE3351" w:rsidRPr="00CA5FE9" w:rsidRDefault="00FE3351" w:rsidP="00CA5FE9">
      <w:pPr>
        <w:jc w:val="center"/>
        <w:rPr>
          <w:b/>
          <w:bCs/>
          <w:sz w:val="28"/>
          <w:szCs w:val="28"/>
        </w:rPr>
      </w:pPr>
      <w:r w:rsidRPr="00CA5FE9">
        <w:rPr>
          <w:b/>
          <w:bCs/>
          <w:sz w:val="28"/>
          <w:szCs w:val="28"/>
        </w:rPr>
        <w:t>Module name and code: Marketing Management</w:t>
      </w:r>
      <w:r w:rsidR="00CA5FE9" w:rsidRPr="00CA5FE9">
        <w:rPr>
          <w:b/>
          <w:bCs/>
          <w:sz w:val="28"/>
          <w:szCs w:val="28"/>
        </w:rPr>
        <w:t xml:space="preserve"> and</w:t>
      </w:r>
      <w:r w:rsidRPr="00CA5FE9">
        <w:rPr>
          <w:b/>
          <w:bCs/>
          <w:sz w:val="28"/>
          <w:szCs w:val="28"/>
        </w:rPr>
        <w:t xml:space="preserve"> LCMB7024</w:t>
      </w:r>
    </w:p>
    <w:p w14:paraId="2B21A4CA" w14:textId="77100EAB" w:rsidR="00FE3351" w:rsidRPr="00CA5FE9" w:rsidRDefault="00FE3351" w:rsidP="00CA5FE9">
      <w:pPr>
        <w:jc w:val="center"/>
        <w:rPr>
          <w:b/>
          <w:bCs/>
          <w:sz w:val="28"/>
          <w:szCs w:val="28"/>
        </w:rPr>
      </w:pPr>
      <w:r w:rsidRPr="00CA5FE9">
        <w:rPr>
          <w:b/>
          <w:bCs/>
          <w:sz w:val="28"/>
          <w:szCs w:val="28"/>
        </w:rPr>
        <w:t>Title of submission: Assessment component 1: Marketing Environment Analysis</w:t>
      </w:r>
    </w:p>
    <w:p w14:paraId="44BB9600" w14:textId="77777777" w:rsidR="00FE3351" w:rsidRPr="00CA5FE9" w:rsidRDefault="00FE3351" w:rsidP="00CA5FE9">
      <w:pPr>
        <w:jc w:val="center"/>
        <w:rPr>
          <w:b/>
          <w:bCs/>
          <w:sz w:val="28"/>
          <w:szCs w:val="28"/>
        </w:rPr>
      </w:pPr>
      <w:r w:rsidRPr="00CA5FE9">
        <w:rPr>
          <w:b/>
          <w:bCs/>
          <w:sz w:val="28"/>
          <w:szCs w:val="28"/>
        </w:rPr>
        <w:t>Lecturer's name: Laila Maazouz (London) Taonga Kaonga Sobere- Snithers (Birmingham)</w:t>
      </w:r>
    </w:p>
    <w:p w14:paraId="6B7655D0" w14:textId="7ACB5781" w:rsidR="00FE3351" w:rsidRDefault="00FE3351" w:rsidP="00CA5FE9">
      <w:pPr>
        <w:jc w:val="center"/>
        <w:rPr>
          <w:b/>
          <w:bCs/>
          <w:sz w:val="28"/>
          <w:szCs w:val="28"/>
        </w:rPr>
      </w:pPr>
      <w:r w:rsidRPr="00CA5FE9">
        <w:rPr>
          <w:b/>
          <w:bCs/>
          <w:sz w:val="28"/>
          <w:szCs w:val="28"/>
        </w:rPr>
        <w:t>Student’s name and ID:</w:t>
      </w:r>
      <w:r w:rsidR="009D4E06">
        <w:rPr>
          <w:b/>
          <w:bCs/>
          <w:sz w:val="28"/>
          <w:szCs w:val="28"/>
        </w:rPr>
        <w:t>2608440</w:t>
      </w:r>
    </w:p>
    <w:p w14:paraId="0EE2C27B" w14:textId="77777777" w:rsidR="009D4E06" w:rsidRPr="00CA5FE9" w:rsidRDefault="009D4E06" w:rsidP="00CA5FE9">
      <w:pPr>
        <w:jc w:val="center"/>
        <w:rPr>
          <w:b/>
          <w:bCs/>
          <w:sz w:val="28"/>
          <w:szCs w:val="28"/>
        </w:rPr>
      </w:pPr>
    </w:p>
    <w:p w14:paraId="35C70845" w14:textId="70B7FC02" w:rsidR="00FE3351" w:rsidRPr="00CA5FE9" w:rsidRDefault="00FE3351" w:rsidP="00CA5FE9">
      <w:pPr>
        <w:jc w:val="center"/>
        <w:rPr>
          <w:b/>
          <w:bCs/>
          <w:sz w:val="28"/>
          <w:szCs w:val="28"/>
        </w:rPr>
      </w:pPr>
      <w:r w:rsidRPr="00CA5FE9">
        <w:rPr>
          <w:b/>
          <w:bCs/>
          <w:sz w:val="28"/>
          <w:szCs w:val="28"/>
        </w:rPr>
        <w:t>Word count: 2567</w:t>
      </w:r>
    </w:p>
    <w:p w14:paraId="2F9514B6" w14:textId="77777777" w:rsidR="00FE3351" w:rsidRPr="00CA5FE9" w:rsidRDefault="00FE3351" w:rsidP="00CA5FE9">
      <w:pPr>
        <w:jc w:val="center"/>
        <w:rPr>
          <w:b/>
          <w:bCs/>
          <w:sz w:val="28"/>
          <w:szCs w:val="28"/>
        </w:rPr>
      </w:pPr>
      <w:r w:rsidRPr="00CA5FE9">
        <w:rPr>
          <w:b/>
          <w:bCs/>
          <w:sz w:val="28"/>
          <w:szCs w:val="28"/>
        </w:rPr>
        <w:t>Submission date: 13th November 2026</w:t>
      </w:r>
    </w:p>
    <w:p w14:paraId="05485533" w14:textId="77777777" w:rsidR="00FE3351" w:rsidRDefault="00FE3351" w:rsidP="00CA5FE9">
      <w:pPr>
        <w:rPr>
          <w:b/>
          <w:bCs/>
          <w:u w:val="single"/>
        </w:rPr>
      </w:pPr>
      <w:r>
        <w:br w:type="page"/>
      </w:r>
    </w:p>
    <w:p w14:paraId="42F93927" w14:textId="6FB86EA6" w:rsidR="00FE3351" w:rsidRDefault="00FE3351" w:rsidP="00CA5FE9">
      <w:pPr>
        <w:jc w:val="center"/>
        <w:rPr>
          <w:b/>
          <w:bCs/>
        </w:rPr>
      </w:pPr>
      <w:r>
        <w:rPr>
          <w:b/>
          <w:bCs/>
        </w:rPr>
        <w:lastRenderedPageBreak/>
        <w:t xml:space="preserve">Executive Summary </w:t>
      </w:r>
    </w:p>
    <w:p w14:paraId="6E126CC6" w14:textId="77777777" w:rsidR="00FE3351" w:rsidRDefault="00FE3351" w:rsidP="00CA5FE9">
      <w:r>
        <w:t xml:space="preserve">This report critically investigates the ways the natural environment, customer expectations, and government regulations influence the transition of BHP towards practices of lower-carbon business. Opportunities and threats related to regulatory compliance, environmental pressures and stakeholder demands have been determined. The Ansoff Matrix framework has been used to evaluate the best growth approach for the company. Product development strategy involved innovating and launching eco-designed, circular economy and low-emission variants of the company’s existing offerings. Product development strategy has been identified as the most effective to achieve sustainable competitive advantage. The findings showcase the significance of evidence-based environmental communication and further market research to support informed managerial decisions. </w:t>
      </w:r>
      <w:r>
        <w:br w:type="page"/>
      </w:r>
    </w:p>
    <w:bookmarkStart w:id="0" w:name="_bcxib24vwn1k" w:colFirst="0" w:colLast="0" w:displacedByCustomXml="next"/>
    <w:bookmarkEnd w:id="0" w:displacedByCustomXml="next"/>
    <w:sdt>
      <w:sdtPr>
        <w:id w:val="-916243339"/>
        <w:docPartObj>
          <w:docPartGallery w:val="Table of Contents"/>
          <w:docPartUnique/>
        </w:docPartObj>
      </w:sdtPr>
      <w:sdtEndPr>
        <w:rPr>
          <w:b/>
          <w:bCs/>
        </w:rPr>
      </w:sdtEndPr>
      <w:sdtContent>
        <w:p w14:paraId="51C72472" w14:textId="4D4CD93D" w:rsidR="00FE3351" w:rsidRPr="00FE3351" w:rsidRDefault="00FE3351" w:rsidP="00CA5FE9">
          <w:pPr>
            <w:jc w:val="left"/>
            <w:rPr>
              <w:b/>
              <w:sz w:val="28"/>
              <w:szCs w:val="40"/>
            </w:rPr>
          </w:pPr>
          <w:r>
            <w:t>Table of Contents</w:t>
          </w:r>
        </w:p>
        <w:p w14:paraId="48DB1D2D" w14:textId="1358E3D5" w:rsidR="00CA5FE9" w:rsidRDefault="00FE3351">
          <w:pPr>
            <w:pStyle w:val="TOC1"/>
            <w:tabs>
              <w:tab w:val="right" w:leader="dot" w:pos="9350"/>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42896325" w:history="1">
            <w:r w:rsidR="00CA5FE9" w:rsidRPr="004A291D">
              <w:rPr>
                <w:rStyle w:val="Hyperlink"/>
                <w:noProof/>
              </w:rPr>
              <w:t>Introduction</w:t>
            </w:r>
            <w:r w:rsidR="00CA5FE9">
              <w:rPr>
                <w:noProof/>
                <w:webHidden/>
              </w:rPr>
              <w:tab/>
            </w:r>
            <w:r w:rsidR="00CA5FE9">
              <w:rPr>
                <w:noProof/>
                <w:webHidden/>
              </w:rPr>
              <w:fldChar w:fldCharType="begin"/>
            </w:r>
            <w:r w:rsidR="00CA5FE9">
              <w:rPr>
                <w:noProof/>
                <w:webHidden/>
              </w:rPr>
              <w:instrText xml:space="preserve"> PAGEREF _Toc242896325 \h </w:instrText>
            </w:r>
            <w:r w:rsidR="00CA5FE9">
              <w:rPr>
                <w:noProof/>
                <w:webHidden/>
              </w:rPr>
            </w:r>
            <w:r w:rsidR="00CA5FE9">
              <w:rPr>
                <w:noProof/>
                <w:webHidden/>
              </w:rPr>
              <w:fldChar w:fldCharType="separate"/>
            </w:r>
            <w:r w:rsidR="00CA5FE9">
              <w:rPr>
                <w:noProof/>
                <w:webHidden/>
              </w:rPr>
              <w:t>4</w:t>
            </w:r>
            <w:r w:rsidR="00CA5FE9">
              <w:rPr>
                <w:noProof/>
                <w:webHidden/>
              </w:rPr>
              <w:fldChar w:fldCharType="end"/>
            </w:r>
          </w:hyperlink>
        </w:p>
        <w:p w14:paraId="18FB20BD" w14:textId="4757E2CF" w:rsidR="00CA5FE9" w:rsidRDefault="00CA5FE9">
          <w:pPr>
            <w:pStyle w:val="TOC1"/>
            <w:tabs>
              <w:tab w:val="right" w:leader="dot" w:pos="9350"/>
            </w:tabs>
            <w:rPr>
              <w:rFonts w:asciiTheme="minorHAnsi" w:eastAsiaTheme="minorEastAsia" w:hAnsiTheme="minorHAnsi" w:cstheme="minorBidi"/>
              <w:noProof/>
              <w:kern w:val="2"/>
              <w:szCs w:val="24"/>
              <w14:ligatures w14:val="standardContextual"/>
            </w:rPr>
          </w:pPr>
          <w:hyperlink w:anchor="_Toc242896326" w:history="1">
            <w:r w:rsidRPr="004A291D">
              <w:rPr>
                <w:rStyle w:val="Hyperlink"/>
                <w:noProof/>
              </w:rPr>
              <w:t>Task 1: Marketing Environment Analysis</w:t>
            </w:r>
            <w:r>
              <w:rPr>
                <w:noProof/>
                <w:webHidden/>
              </w:rPr>
              <w:tab/>
            </w:r>
            <w:r>
              <w:rPr>
                <w:noProof/>
                <w:webHidden/>
              </w:rPr>
              <w:fldChar w:fldCharType="begin"/>
            </w:r>
            <w:r>
              <w:rPr>
                <w:noProof/>
                <w:webHidden/>
              </w:rPr>
              <w:instrText xml:space="preserve"> PAGEREF _Toc242896326 \h </w:instrText>
            </w:r>
            <w:r>
              <w:rPr>
                <w:noProof/>
                <w:webHidden/>
              </w:rPr>
            </w:r>
            <w:r>
              <w:rPr>
                <w:noProof/>
                <w:webHidden/>
              </w:rPr>
              <w:fldChar w:fldCharType="separate"/>
            </w:r>
            <w:r>
              <w:rPr>
                <w:noProof/>
                <w:webHidden/>
              </w:rPr>
              <w:t>5</w:t>
            </w:r>
            <w:r>
              <w:rPr>
                <w:noProof/>
                <w:webHidden/>
              </w:rPr>
              <w:fldChar w:fldCharType="end"/>
            </w:r>
          </w:hyperlink>
        </w:p>
        <w:p w14:paraId="7523C0E2" w14:textId="7FD6331B" w:rsidR="00CA5FE9" w:rsidRDefault="00CA5FE9">
          <w:pPr>
            <w:pStyle w:val="TOC1"/>
            <w:tabs>
              <w:tab w:val="right" w:leader="dot" w:pos="9350"/>
            </w:tabs>
            <w:rPr>
              <w:rFonts w:asciiTheme="minorHAnsi" w:eastAsiaTheme="minorEastAsia" w:hAnsiTheme="minorHAnsi" w:cstheme="minorBidi"/>
              <w:noProof/>
              <w:kern w:val="2"/>
              <w:szCs w:val="24"/>
              <w14:ligatures w14:val="standardContextual"/>
            </w:rPr>
          </w:pPr>
          <w:hyperlink w:anchor="_Toc242896327" w:history="1">
            <w:r w:rsidRPr="004A291D">
              <w:rPr>
                <w:rStyle w:val="Hyperlink"/>
                <w:noProof/>
              </w:rPr>
              <w:t>Task 2: Strategic Growth and Competitive Positioning</w:t>
            </w:r>
            <w:r>
              <w:rPr>
                <w:noProof/>
                <w:webHidden/>
              </w:rPr>
              <w:tab/>
            </w:r>
            <w:r>
              <w:rPr>
                <w:noProof/>
                <w:webHidden/>
              </w:rPr>
              <w:fldChar w:fldCharType="begin"/>
            </w:r>
            <w:r>
              <w:rPr>
                <w:noProof/>
                <w:webHidden/>
              </w:rPr>
              <w:instrText xml:space="preserve"> PAGEREF _Toc242896327 \h </w:instrText>
            </w:r>
            <w:r>
              <w:rPr>
                <w:noProof/>
                <w:webHidden/>
              </w:rPr>
            </w:r>
            <w:r>
              <w:rPr>
                <w:noProof/>
                <w:webHidden/>
              </w:rPr>
              <w:fldChar w:fldCharType="separate"/>
            </w:r>
            <w:r>
              <w:rPr>
                <w:noProof/>
                <w:webHidden/>
              </w:rPr>
              <w:t>10</w:t>
            </w:r>
            <w:r>
              <w:rPr>
                <w:noProof/>
                <w:webHidden/>
              </w:rPr>
              <w:fldChar w:fldCharType="end"/>
            </w:r>
          </w:hyperlink>
        </w:p>
        <w:p w14:paraId="77AB9037" w14:textId="05B0E4E0" w:rsidR="00CA5FE9" w:rsidRDefault="00CA5FE9">
          <w:pPr>
            <w:pStyle w:val="TOC1"/>
            <w:tabs>
              <w:tab w:val="right" w:leader="dot" w:pos="9350"/>
            </w:tabs>
            <w:rPr>
              <w:rFonts w:asciiTheme="minorHAnsi" w:eastAsiaTheme="minorEastAsia" w:hAnsiTheme="minorHAnsi" w:cstheme="minorBidi"/>
              <w:noProof/>
              <w:kern w:val="2"/>
              <w:szCs w:val="24"/>
              <w14:ligatures w14:val="standardContextual"/>
            </w:rPr>
          </w:pPr>
          <w:hyperlink w:anchor="_Toc242896328" w:history="1">
            <w:r w:rsidRPr="004A291D">
              <w:rPr>
                <w:rStyle w:val="Hyperlink"/>
                <w:noProof/>
              </w:rPr>
              <w:t>Task 3: Managerial and Professional Reflection</w:t>
            </w:r>
            <w:r>
              <w:rPr>
                <w:noProof/>
                <w:webHidden/>
              </w:rPr>
              <w:tab/>
            </w:r>
            <w:r>
              <w:rPr>
                <w:noProof/>
                <w:webHidden/>
              </w:rPr>
              <w:fldChar w:fldCharType="begin"/>
            </w:r>
            <w:r>
              <w:rPr>
                <w:noProof/>
                <w:webHidden/>
              </w:rPr>
              <w:instrText xml:space="preserve"> PAGEREF _Toc242896328 \h </w:instrText>
            </w:r>
            <w:r>
              <w:rPr>
                <w:noProof/>
                <w:webHidden/>
              </w:rPr>
            </w:r>
            <w:r>
              <w:rPr>
                <w:noProof/>
                <w:webHidden/>
              </w:rPr>
              <w:fldChar w:fldCharType="separate"/>
            </w:r>
            <w:r>
              <w:rPr>
                <w:noProof/>
                <w:webHidden/>
              </w:rPr>
              <w:t>13</w:t>
            </w:r>
            <w:r>
              <w:rPr>
                <w:noProof/>
                <w:webHidden/>
              </w:rPr>
              <w:fldChar w:fldCharType="end"/>
            </w:r>
          </w:hyperlink>
        </w:p>
        <w:p w14:paraId="0BC88066" w14:textId="05C6CF4F" w:rsidR="00CA5FE9" w:rsidRDefault="00CA5FE9">
          <w:pPr>
            <w:pStyle w:val="TOC1"/>
            <w:tabs>
              <w:tab w:val="right" w:leader="dot" w:pos="9350"/>
            </w:tabs>
            <w:rPr>
              <w:rFonts w:asciiTheme="minorHAnsi" w:eastAsiaTheme="minorEastAsia" w:hAnsiTheme="minorHAnsi" w:cstheme="minorBidi"/>
              <w:noProof/>
              <w:kern w:val="2"/>
              <w:szCs w:val="24"/>
              <w14:ligatures w14:val="standardContextual"/>
            </w:rPr>
          </w:pPr>
          <w:hyperlink w:anchor="_Toc242896329" w:history="1">
            <w:r w:rsidRPr="004A291D">
              <w:rPr>
                <w:rStyle w:val="Hyperlink"/>
                <w:noProof/>
              </w:rPr>
              <w:t>Conclusion</w:t>
            </w:r>
            <w:r>
              <w:rPr>
                <w:noProof/>
                <w:webHidden/>
              </w:rPr>
              <w:tab/>
            </w:r>
            <w:r>
              <w:rPr>
                <w:noProof/>
                <w:webHidden/>
              </w:rPr>
              <w:fldChar w:fldCharType="begin"/>
            </w:r>
            <w:r>
              <w:rPr>
                <w:noProof/>
                <w:webHidden/>
              </w:rPr>
              <w:instrText xml:space="preserve"> PAGEREF _Toc242896329 \h </w:instrText>
            </w:r>
            <w:r>
              <w:rPr>
                <w:noProof/>
                <w:webHidden/>
              </w:rPr>
            </w:r>
            <w:r>
              <w:rPr>
                <w:noProof/>
                <w:webHidden/>
              </w:rPr>
              <w:fldChar w:fldCharType="separate"/>
            </w:r>
            <w:r>
              <w:rPr>
                <w:noProof/>
                <w:webHidden/>
              </w:rPr>
              <w:t>15</w:t>
            </w:r>
            <w:r>
              <w:rPr>
                <w:noProof/>
                <w:webHidden/>
              </w:rPr>
              <w:fldChar w:fldCharType="end"/>
            </w:r>
          </w:hyperlink>
        </w:p>
        <w:p w14:paraId="25F28A9E" w14:textId="5A876072" w:rsidR="00CA5FE9" w:rsidRDefault="00CA5FE9">
          <w:pPr>
            <w:pStyle w:val="TOC1"/>
            <w:tabs>
              <w:tab w:val="right" w:leader="dot" w:pos="9350"/>
            </w:tabs>
            <w:rPr>
              <w:rFonts w:asciiTheme="minorHAnsi" w:eastAsiaTheme="minorEastAsia" w:hAnsiTheme="minorHAnsi" w:cstheme="minorBidi"/>
              <w:noProof/>
              <w:kern w:val="2"/>
              <w:szCs w:val="24"/>
              <w14:ligatures w14:val="standardContextual"/>
            </w:rPr>
          </w:pPr>
          <w:hyperlink w:anchor="_Toc242896330" w:history="1">
            <w:r w:rsidRPr="004A291D">
              <w:rPr>
                <w:rStyle w:val="Hyperlink"/>
                <w:noProof/>
              </w:rPr>
              <w:t>References</w:t>
            </w:r>
            <w:r>
              <w:rPr>
                <w:noProof/>
                <w:webHidden/>
              </w:rPr>
              <w:tab/>
            </w:r>
            <w:r>
              <w:rPr>
                <w:noProof/>
                <w:webHidden/>
              </w:rPr>
              <w:fldChar w:fldCharType="begin"/>
            </w:r>
            <w:r>
              <w:rPr>
                <w:noProof/>
                <w:webHidden/>
              </w:rPr>
              <w:instrText xml:space="preserve"> PAGEREF _Toc242896330 \h </w:instrText>
            </w:r>
            <w:r>
              <w:rPr>
                <w:noProof/>
                <w:webHidden/>
              </w:rPr>
            </w:r>
            <w:r>
              <w:rPr>
                <w:noProof/>
                <w:webHidden/>
              </w:rPr>
              <w:fldChar w:fldCharType="separate"/>
            </w:r>
            <w:r>
              <w:rPr>
                <w:noProof/>
                <w:webHidden/>
              </w:rPr>
              <w:t>16</w:t>
            </w:r>
            <w:r>
              <w:rPr>
                <w:noProof/>
                <w:webHidden/>
              </w:rPr>
              <w:fldChar w:fldCharType="end"/>
            </w:r>
          </w:hyperlink>
        </w:p>
        <w:p w14:paraId="5FCDF83D" w14:textId="64BCA6C3" w:rsidR="00FE3351" w:rsidRDefault="00FE3351" w:rsidP="00CA5FE9">
          <w:r>
            <w:rPr>
              <w:b/>
              <w:bCs/>
            </w:rPr>
            <w:fldChar w:fldCharType="end"/>
          </w:r>
        </w:p>
      </w:sdtContent>
    </w:sdt>
    <w:p w14:paraId="09E20E15" w14:textId="5F54A7B3" w:rsidR="00FE3351" w:rsidRDefault="00FE3351" w:rsidP="00CA5FE9">
      <w:pPr>
        <w:jc w:val="left"/>
        <w:rPr>
          <w:b/>
          <w:sz w:val="28"/>
          <w:szCs w:val="40"/>
        </w:rPr>
      </w:pPr>
    </w:p>
    <w:p w14:paraId="6A25E551" w14:textId="77777777" w:rsidR="00FE3351" w:rsidRDefault="00FE3351" w:rsidP="00CA5FE9">
      <w:pPr>
        <w:jc w:val="left"/>
        <w:rPr>
          <w:b/>
          <w:sz w:val="28"/>
          <w:szCs w:val="40"/>
        </w:rPr>
      </w:pPr>
      <w:r>
        <w:br w:type="page"/>
      </w:r>
    </w:p>
    <w:p w14:paraId="53E3DF70" w14:textId="56D2A58D" w:rsidR="00FE3351" w:rsidRDefault="00FE3351" w:rsidP="00CA5FE9">
      <w:pPr>
        <w:pStyle w:val="Heading1"/>
        <w:spacing w:before="0" w:after="0"/>
      </w:pPr>
      <w:bookmarkStart w:id="1" w:name="_Toc242896325"/>
      <w:r>
        <w:lastRenderedPageBreak/>
        <w:t>Introduction</w:t>
      </w:r>
      <w:bookmarkEnd w:id="1"/>
      <w:r>
        <w:t xml:space="preserve"> </w:t>
      </w:r>
    </w:p>
    <w:p w14:paraId="67FFC119" w14:textId="77777777" w:rsidR="00FE3351" w:rsidRDefault="00FE3351" w:rsidP="00CA5FE9">
      <w:r>
        <w:t xml:space="preserve">BHP is a global resources company that supplies essential commodities including copper, iron ore and metallurgical coal to global markets (BHP, 2026). The transition towards a lower-carbon economy offers challenges and opportunities for its marketing strategy. This is because steelmaking generates a significant amount of greenhouse gases. In this regard, the following report will evaluate the three external environment actors of marketing critically. These actors influence the </w:t>
      </w:r>
      <w:r w:rsidRPr="00FE3351">
        <w:t>decarbonisation</w:t>
      </w:r>
      <w:r>
        <w:t xml:space="preserve"> transition of BHP. An Ansoff matrix will be used to suggest an accurate strategy for growth. A managerial and professional reflection will be included in this report for the growth strategies of BHP. </w:t>
      </w:r>
      <w:r>
        <w:br w:type="page"/>
      </w:r>
    </w:p>
    <w:p w14:paraId="599FCE1F" w14:textId="77777777" w:rsidR="00FE3351" w:rsidRDefault="00FE3351" w:rsidP="00CA5FE9">
      <w:pPr>
        <w:pStyle w:val="Heading1"/>
        <w:spacing w:before="0" w:after="0"/>
      </w:pPr>
      <w:bookmarkStart w:id="2" w:name="_p0wqk5kels0p" w:colFirst="0" w:colLast="0"/>
      <w:bookmarkStart w:id="3" w:name="_Toc242896326"/>
      <w:bookmarkEnd w:id="2"/>
      <w:r>
        <w:lastRenderedPageBreak/>
        <w:t>Task 1: Marketing Environment Analysis</w:t>
      </w:r>
      <w:bookmarkEnd w:id="3"/>
      <w:r>
        <w:t xml:space="preserve"> </w:t>
      </w:r>
    </w:p>
    <w:p w14:paraId="62B366A2" w14:textId="77777777" w:rsidR="00FE3351" w:rsidRDefault="00FE3351" w:rsidP="00CA5FE9">
      <w:pPr>
        <w:rPr>
          <w:b/>
          <w:bCs/>
          <w:u w:val="single"/>
        </w:rPr>
      </w:pPr>
      <w:r>
        <w:rPr>
          <w:b/>
          <w:bCs/>
          <w:u w:val="single"/>
        </w:rPr>
        <w:t>Marketing Environment of BHP</w:t>
      </w:r>
    </w:p>
    <w:p w14:paraId="177539DC" w14:textId="77777777" w:rsidR="00FE3351" w:rsidRDefault="00FE3351" w:rsidP="00CA5FE9">
      <w:pPr>
        <w:rPr>
          <w:b/>
          <w:bCs/>
          <w:u w:val="single"/>
        </w:rPr>
      </w:pPr>
      <w:r>
        <w:t xml:space="preserve">The marketing environment encompasses external and internal forces.  Marketing strategies help to build customer value, engagement, and relationships (Kotler et al., 2024). This influences the ability of the venture to develop value for customers. It further aims to maintain a competitive advantage in the market. The transition towards lower-carbon production at BHP requires environmental pressures to be considered. It further needs consideration of evolving expectations of customers and regulatory developments. BHP directly offers commodities because its metallurgical coal supply chains and iron ore are connected to the emissions of steelmaking. Similarly, decarbonisation creates strategic issues. This is regarding the ways the venture has positioned its products and collaborates with patrons. Therefore, the function of marketing should integrate research of patrons, environmental evidence and long-term development of industry. </w:t>
      </w:r>
    </w:p>
    <w:p w14:paraId="07395AB5" w14:textId="77777777" w:rsidR="00FE3351" w:rsidRDefault="00FE3351" w:rsidP="00CA5FE9">
      <w:pPr>
        <w:rPr>
          <w:b/>
          <w:bCs/>
          <w:u w:val="single"/>
        </w:rPr>
      </w:pPr>
      <w:r>
        <w:rPr>
          <w:b/>
          <w:bCs/>
          <w:u w:val="single"/>
        </w:rPr>
        <w:t>External Actor One: The Natural Environment</w:t>
      </w:r>
    </w:p>
    <w:p w14:paraId="3E59848E" w14:textId="77777777" w:rsidR="00FE3351" w:rsidRDefault="00FE3351" w:rsidP="00CA5FE9">
      <w:r>
        <w:t xml:space="preserve">The natural environment is a crucial factor because of resource availability, climate change and the reduction of emission impact legitimacy of mining ventures. The operations of mining consume water and energy. It disturbs ecosystems and generates emissions of greenhouse gases (Ivanova et al., 2022). The processing of metallurgical coal and iron ore by BHP through steelmaking contributes to its reported value-chain emissions. The annual report of BHP indicates that iron ore is proceeding into steelmaking coal and crude steel. They are responsible for crucial portions of its inventory of Scope 3 emissions (BHP, 2025). These environmental pressures create opportunities for BHP to differentiate its offering from standard iron ore and operational efficiency.  They can further collaborate to promote lower-emission production of steel. An example is BHP and China Baowu in September 2026 renewed their partnership (BHP, 2026). </w:t>
      </w:r>
      <w:r>
        <w:lastRenderedPageBreak/>
        <w:t xml:space="preserve">This partnership involves trials including electric smelting furnaces and blast furnace technologies. The firm has reported modified pathways of blast furnaces that can target emissions at least 30% below conventional operations (Benedicto, 2026). </w:t>
      </w:r>
    </w:p>
    <w:p w14:paraId="0B3F1B46" w14:textId="77777777" w:rsidR="00FE3351" w:rsidRDefault="00FE3351" w:rsidP="00CA5FE9">
      <w:r>
        <w:t xml:space="preserve">These initiatives, from a marketing perspective, can strengthen the reputation of BHP among steelmakers. These are the patrons that are seeking to enhance their environmental performance. They offer evidence for relationship marketing. They sustain cooperation and shared innovation that creates value beyond the transaction of the individual. However, the lower-carbon steelmaking technologies demand investment. </w:t>
      </w:r>
    </w:p>
    <w:p w14:paraId="0F05FE2F" w14:textId="77777777" w:rsidR="00FE3351" w:rsidRDefault="00FE3351" w:rsidP="00CA5FE9">
      <w:r>
        <w:t xml:space="preserve">They are promoting commodities of BHP as environmentally superior without highlighting measurable lifecycle enhancement that can create risks of greenwashing for BHP. The venture should communicate the verified emissions. Environmental marketing should therefore depend on transparent evidence. This approach would support credibility and would recognise the ability of BHP to diminish value-chain emissions. </w:t>
      </w:r>
    </w:p>
    <w:p w14:paraId="73F51BED" w14:textId="77777777" w:rsidR="00FE3351" w:rsidRDefault="00FE3351" w:rsidP="00CA5FE9">
      <w:pPr>
        <w:rPr>
          <w:b/>
          <w:bCs/>
          <w:u w:val="single"/>
        </w:rPr>
      </w:pPr>
      <w:r>
        <w:rPr>
          <w:b/>
          <w:bCs/>
          <w:u w:val="single"/>
        </w:rPr>
        <w:t>Actor Two: Government and Regulatory Institutions</w:t>
      </w:r>
    </w:p>
    <w:p w14:paraId="1D3D3E8C" w14:textId="77777777" w:rsidR="00FE3351" w:rsidRDefault="00FE3351" w:rsidP="00CA5FE9">
      <w:r>
        <w:t xml:space="preserve">The regulatory institutions and government policies influence the investment decisions of BHP. They further influence environmental communication and product positioning of the venture. Carbon pricing mechanisms, emission standards and climate-related reporting requirements can enhance the cost of compliance (Bauckloh et al., 2023). Meanwhile it encourages investment in cleaner technologies. Policies that support hydrogen, renewable electricity and industrial decarbonisation are effective. It can affect the commercial viability of alternative pathways of steelmaking (Rodriguez Diez et al., 2023). The venture recognises that government and industry collaboration is necessary to achieve the objectives of global decarbonisation. </w:t>
      </w:r>
    </w:p>
    <w:p w14:paraId="5195469E" w14:textId="77777777" w:rsidR="00FE3351" w:rsidRDefault="00FE3351" w:rsidP="00CA5FE9">
      <w:r>
        <w:lastRenderedPageBreak/>
        <w:t xml:space="preserve">The "Climate Transition Action Plan" outlines the approach of the venture to value-chain emissions and engagement with public policy (BHP, 2026). This highlights that developments in regulation influence the markets that are operated by BHP. It also affects the technologies that the customers of BHP might embrace. Regulatory pressure for marketing management creates opportunities for BHP. It can position BHP as a collaborative supplier that motivates the customer's transition plan. The venture can highlight compliance, offer reliable environmental data, and participate in partnerships with industry. This can help to strengthen the relationships with institutional investors and manufacturers. </w:t>
      </w:r>
    </w:p>
    <w:p w14:paraId="66C2F95B" w14:textId="77777777" w:rsidR="00FE3351" w:rsidRDefault="00FE3351" w:rsidP="00CA5FE9">
      <w:pPr>
        <w:rPr>
          <w:b/>
          <w:bCs/>
          <w:u w:val="single"/>
        </w:rPr>
      </w:pPr>
      <w:r>
        <w:t xml:space="preserve">Therefore, BHP should avoid assuming that regulation can create sufficient demand for lower-carbon products. Patrons might remain sensitive to commodity prices. Meanwhile, hurdles in infrastructure and changes in policy can delay investment. The function of marketing is required to regularly monitor the development of regulations across prime markets. It then translates them into realistic demand forecasts. A coordinated approach includes operations, legal, sustainability and marketing teams. This would help to ensure that claims about the environment remain commercially relevant and accurate. </w:t>
      </w:r>
    </w:p>
    <w:p w14:paraId="60E50FB8" w14:textId="77777777" w:rsidR="00FE3351" w:rsidRDefault="00FE3351" w:rsidP="00CA5FE9">
      <w:pPr>
        <w:rPr>
          <w:b/>
          <w:bCs/>
          <w:u w:val="single"/>
        </w:rPr>
      </w:pPr>
      <w:r>
        <w:rPr>
          <w:b/>
          <w:bCs/>
          <w:u w:val="single"/>
        </w:rPr>
        <w:t>Actor Three: Customers and Industry Stakeholders</w:t>
      </w:r>
    </w:p>
    <w:p w14:paraId="4E98E2C1" w14:textId="77777777" w:rsidR="00FE3351" w:rsidRDefault="00FE3351" w:rsidP="00CA5FE9">
      <w:r>
        <w:t xml:space="preserve">The customers of BHP, like the steel producers, are crucial external actors in the venture. They influence the commercial adoption of lower-emission production technologies. Patrons need to comprehend the emissions connected with their supply chains. However, their willingness to pay for lower-carbon inputs differs. It varies according to the condition of the market, investment properties and regulatory obligations. The collaboration of BHP with China Baowu highlights the significance of customer partnership in creating steelmaking processes that are alternative (NOVEXA MINING, 2026). The renewed agreement of the venture concentrates on diminishing </w:t>
      </w:r>
      <w:r>
        <w:lastRenderedPageBreak/>
        <w:t>emissions from current operations of blast furnaces. Meanwhile, it also involves advanced emerging technologies that are created by using Pilbara iron ores from BHP.   These collaborations create opportunities for relationship-based marketing. It further creates opportunities for long-term retention of customers and technical collaboration. BHP can differentiate itself with technical expertise. It can further differentiate through product consistency and participation in decarbonisation programmes of the customers.  The marketing team can communicate these advantages with the help of a few factors. This involves sustainability reporting, customer-specific technical information and collaborative demonstration.</w:t>
      </w:r>
    </w:p>
    <w:p w14:paraId="5A3FE8F1" w14:textId="77777777" w:rsidR="00FE3351" w:rsidRDefault="00FE3351" w:rsidP="00CA5FE9">
      <w:r>
        <w:t>However, the expectations of stakeholders might not be uniform. Few patrons might prefer instant affordability. They can demand dependable supply over the attributes of the environment. This is particularly the period low carbon technologies remain expensive. The environmental organisations and communities might question  It can be regarding the ways climate commitment addresses the impacts connected with the product portfolio of the venture. Therefore, BHP should segment patrons according to their purchasing criteria. It should also segment decarbonisation maturity and willingness to invest in technological change. This would permit targeted marketing for attracting the patrons. Measurable customer outcomes and evidence-based communication are important. It helps to build trust and convert commitment to sustainability into sustainable relationships.</w:t>
      </w:r>
    </w:p>
    <w:p w14:paraId="60D855CB" w14:textId="77777777" w:rsidR="00FE3351" w:rsidRDefault="00FE3351" w:rsidP="00CA5FE9">
      <w:r>
        <w:rPr>
          <w:b/>
          <w:bCs/>
          <w:u w:val="single"/>
        </w:rPr>
        <w:t>Critical Evaluation of Threats and Opportunities</w:t>
      </w:r>
      <w:r>
        <w:t xml:space="preserve"> </w:t>
      </w:r>
    </w:p>
    <w:p w14:paraId="66602A54" w14:textId="77777777" w:rsidR="00FE3351" w:rsidRDefault="00FE3351" w:rsidP="00CA5FE9">
      <w:r>
        <w:t xml:space="preserve">The three actors interact with each other in the market industry. Environmental pressures stimulate technological innovation; government influence and patrons determine new solutions that can acquire commercial adoption. The collaboration of BHP offers a mechanism for responding to various external pressures. The opportunity is differentiated with the help of product quality, </w:t>
      </w:r>
      <w:r>
        <w:lastRenderedPageBreak/>
        <w:t xml:space="preserve">partnership and support for lower-emission steelmaking. BHP can solidify its position by assisting patrons to evaluate alternative technologies. It further helps to enhance the measurement of emissions. However, capital expenditure, technological uncertainty and inconsistent regulatory incentives create threats (Wolf, 2025). BHP cannot control the emissions generated independently.  Meanwhile, customers' processing of its product is a limitation. Environmental marketing, therefore, is required to distinguish between operational improvements and reductions reliant on patron behaviour. This distinction is crucial for the credibility of the venture regarding sustainability. The accurate response for the venture is an integrated approach to marketing. It blends customer-specific solutions, transparent evidence, and claims about progress in technology. This approach can support competitive positioning of the venture in the market. </w:t>
      </w:r>
      <w:r>
        <w:br w:type="page"/>
      </w:r>
    </w:p>
    <w:p w14:paraId="1244D3B3" w14:textId="77777777" w:rsidR="00FE3351" w:rsidRDefault="00FE3351" w:rsidP="00CA5FE9">
      <w:pPr>
        <w:pStyle w:val="Heading1"/>
        <w:spacing w:before="0" w:after="0"/>
      </w:pPr>
      <w:bookmarkStart w:id="4" w:name="_p4hv35tj2lm7" w:colFirst="0" w:colLast="0"/>
      <w:bookmarkStart w:id="5" w:name="_Toc242896327"/>
      <w:bookmarkEnd w:id="4"/>
      <w:r>
        <w:lastRenderedPageBreak/>
        <w:t>Task 2: Strategic Growth and Competitive Positioning</w:t>
      </w:r>
      <w:bookmarkEnd w:id="5"/>
      <w:r>
        <w:t xml:space="preserve"> </w:t>
      </w:r>
    </w:p>
    <w:p w14:paraId="757A452D" w14:textId="77777777" w:rsidR="00FE3351" w:rsidRDefault="00FE3351" w:rsidP="00CA5FE9">
      <w:r>
        <w:t xml:space="preserve">A business aims to stand out in its market by creating unique value to achieve sustainable profitability. Transitioning from a lower-carbon business model to achieving a sustainable competitive advantage, the company must align its expansion path with the three critical environmental actors. The strategic growth approach of a company is a structured and evidence-based plan used to expand a company’s operations and increase revenue alongside strengthening its competitive advantage so that the business remains sustainable.  The strategic growth approach for the company BHP, using the Ansoff Matrix, will be demonstrated below. </w:t>
      </w:r>
    </w:p>
    <w:p w14:paraId="6EBCD6AA" w14:textId="77777777" w:rsidR="00FE3351" w:rsidRDefault="00FE3351" w:rsidP="00CA5FE9">
      <w:pPr>
        <w:rPr>
          <w:b/>
          <w:bCs/>
          <w:u w:val="single"/>
        </w:rPr>
      </w:pPr>
      <w:r>
        <w:rPr>
          <w:b/>
          <w:bCs/>
          <w:u w:val="single"/>
        </w:rPr>
        <w:t xml:space="preserve">Ansoff Matrix </w:t>
      </w:r>
    </w:p>
    <w:p w14:paraId="5D8439C2" w14:textId="77777777" w:rsidR="00FE3351" w:rsidRDefault="00FE3351" w:rsidP="00CA5FE9">
      <w:r>
        <w:t xml:space="preserve">The Ansoff Matrix is a strategic planning tool developed by H.Igor Ansoff </w:t>
      </w:r>
      <w:r>
        <w:rPr>
          <w:color w:val="222222"/>
        </w:rPr>
        <w:t>(Ferreira and de Sá, M.M.B.P., 2024)</w:t>
      </w:r>
      <w:r>
        <w:t xml:space="preserve">. It helps businesses evaluate growth opportunities while managing associated risks. The strategic framework helps organisations to identify growth opportunities and expansion strategies. The four strategies involved in the Ansoff Matrix are Market Penetration, Market Development, Product Development and Diversification (Merkevičius et al., 2024). It guides businesses to choose its expansion path by comparing possible benefits with the threats. An application of the Ansoff Matrix framework on BHP will be demonstrated below. </w:t>
      </w:r>
    </w:p>
    <w:p w14:paraId="34A8A703" w14:textId="77777777" w:rsidR="00FE3351" w:rsidRDefault="00FE3351" w:rsidP="00CA5FE9">
      <w:pPr>
        <w:rPr>
          <w:b/>
          <w:bCs/>
          <w:i/>
          <w:iCs/>
        </w:rPr>
      </w:pPr>
      <w:r>
        <w:rPr>
          <w:b/>
          <w:bCs/>
          <w:i/>
          <w:iCs/>
        </w:rPr>
        <w:t xml:space="preserve">Market Penetration </w:t>
      </w:r>
    </w:p>
    <w:p w14:paraId="451BE845" w14:textId="77777777" w:rsidR="00FE3351" w:rsidRDefault="00FE3351" w:rsidP="00CA5FE9">
      <w:r>
        <w:t xml:space="preserve">Market penetration is a growth approach where a business focuses on increasing sales and market share using its existing products in the existing markets. Optimising its current operations through minimising energy waste and adopting renewable power is beneficial (un.org, 2026). It can optimise operational expenditure and protect the firm from financial impacts of carbon regulations. The company can expand its market share by making eco-friendly improvements to current </w:t>
      </w:r>
      <w:r>
        <w:lastRenderedPageBreak/>
        <w:t xml:space="preserve">products. It can provide a cost leadership advantage through eliminating operational waste and saving energy costs that can not be easily replicated by competitors. </w:t>
      </w:r>
    </w:p>
    <w:p w14:paraId="5AAA7229" w14:textId="77777777" w:rsidR="00FE3351" w:rsidRDefault="00FE3351" w:rsidP="00CA5FE9">
      <w:pPr>
        <w:rPr>
          <w:b/>
          <w:bCs/>
          <w:i/>
          <w:iCs/>
        </w:rPr>
      </w:pPr>
      <w:r>
        <w:rPr>
          <w:b/>
          <w:bCs/>
          <w:i/>
          <w:iCs/>
        </w:rPr>
        <w:t xml:space="preserve">Product Development </w:t>
      </w:r>
    </w:p>
    <w:p w14:paraId="57EA7997" w14:textId="77777777" w:rsidR="00FE3351" w:rsidRDefault="00FE3351" w:rsidP="00CA5FE9">
      <w:r>
        <w:t xml:space="preserve">Product development strategy in the Ansoff Matrix focuses on introducing new products to the existing markets. The organisation can innovate and launch eco-designed, circular economy and low-emission variants of its existing offerings. This strategy can capture premium margins from eco-conscious consumers so that the company can compete with its traditional rivals. </w:t>
      </w:r>
    </w:p>
    <w:p w14:paraId="594788DF" w14:textId="77777777" w:rsidR="00FE3351" w:rsidRDefault="00FE3351" w:rsidP="00CA5FE9">
      <w:pPr>
        <w:rPr>
          <w:b/>
          <w:bCs/>
          <w:i/>
          <w:iCs/>
        </w:rPr>
      </w:pPr>
      <w:r>
        <w:rPr>
          <w:b/>
          <w:bCs/>
          <w:i/>
          <w:iCs/>
        </w:rPr>
        <w:t xml:space="preserve">Market Development </w:t>
      </w:r>
    </w:p>
    <w:p w14:paraId="285AA5E2" w14:textId="77777777" w:rsidR="00FE3351" w:rsidRDefault="00FE3351" w:rsidP="00CA5FE9">
      <w:r>
        <w:t xml:space="preserve">The market development strategy in the Ansoff matrix business focuses on selling its existing products into a new market. The business can export its low-carbon solutions to a new market or sector facing sudden regulatory pressure. It helps to secure a strong first-mover advantage in markets that lack eco-friendly options and regions with limited sustainable choice. Modern consumers are increasingly prioritising sustainability and expect that brands can validate their eco-friendly claims (Statista, 2022). Apart from scaling sustainable alternatives and lower-carbon product lines in entirely new geographic regions, the company can effectively engage with eco-conscious buyers and strengthen its market presence. </w:t>
      </w:r>
    </w:p>
    <w:p w14:paraId="389AA4E5" w14:textId="77777777" w:rsidR="00FE3351" w:rsidRDefault="00FE3351" w:rsidP="00CA5FE9">
      <w:pPr>
        <w:rPr>
          <w:b/>
          <w:bCs/>
          <w:i/>
          <w:iCs/>
        </w:rPr>
      </w:pPr>
      <w:r>
        <w:rPr>
          <w:b/>
          <w:bCs/>
          <w:i/>
          <w:iCs/>
        </w:rPr>
        <w:t xml:space="preserve">Diversification </w:t>
      </w:r>
    </w:p>
    <w:p w14:paraId="1FB4BE35" w14:textId="77777777" w:rsidR="00FE3351" w:rsidRDefault="00FE3351" w:rsidP="00CA5FE9">
      <w:r>
        <w:t xml:space="preserve">Diversification in the Ansoff Matrix is a prominent growth strategy where the business can enter entirely new markets with new products and services. The company can invest in adjacent green tech and renewable infrastructure outside its core operations. It helps the company to build an entirely separate and resilient green revenue stream. </w:t>
      </w:r>
    </w:p>
    <w:p w14:paraId="73F1C8FF" w14:textId="77777777" w:rsidR="00FE3351" w:rsidRDefault="00FE3351" w:rsidP="00CA5FE9">
      <w:pPr>
        <w:rPr>
          <w:b/>
          <w:bCs/>
          <w:u w:val="single"/>
        </w:rPr>
      </w:pPr>
      <w:r>
        <w:rPr>
          <w:b/>
          <w:bCs/>
          <w:u w:val="single"/>
        </w:rPr>
        <w:t>Recommended strategic growth approach</w:t>
      </w:r>
    </w:p>
    <w:p w14:paraId="1DB8E55C" w14:textId="77777777" w:rsidR="00FE3351" w:rsidRDefault="00FE3351" w:rsidP="00CA5FE9">
      <w:r>
        <w:lastRenderedPageBreak/>
        <w:t xml:space="preserve">The product development strategy is recognised as the best strategic approach for the organisation to achieve a sustainable competitive advantage. During the transition to a lower-carbon business model. Beyond innovating and launching eco-designed, circular economy and low-emission variants, BHP can transition from a value-focused company to a leader in sustainable value creation. Governments and policymakers are aggressively targeting environmentally damaging legacy products through strict taxes and tariffs. The strategy aligns with regulatory mandates and provides a unique competitive advantage rather than operational expenses. Alongside this, the strategy enables the company to establish a customer relationship with the people who are already actively looking for environmentally friendly alternatives. Modifying the products helps the company to create a unique value proposition that its competitors cannot easily replicate. Instead of expanding resource-heavy practices, product development approaches enable organisations to incorporate circularity, eco-design and decarbonising supply chains directly through its R&amp;D pipeline. Product development acts as a proactive approach that allows organisations to avoid carbon taxation, unlock financial incentives and position the company for trusted green procurement contracts. </w:t>
      </w:r>
    </w:p>
    <w:p w14:paraId="5943C4AD" w14:textId="77777777" w:rsidR="00FE3351" w:rsidRDefault="00FE3351" w:rsidP="00CA5FE9">
      <w:r>
        <w:br w:type="page"/>
      </w:r>
    </w:p>
    <w:p w14:paraId="17DCFAEA" w14:textId="77777777" w:rsidR="00FE3351" w:rsidRDefault="00FE3351" w:rsidP="00CA5FE9">
      <w:pPr>
        <w:pStyle w:val="Heading1"/>
        <w:spacing w:before="0" w:after="0"/>
      </w:pPr>
      <w:bookmarkStart w:id="6" w:name="_2bs56n96oj55" w:colFirst="0" w:colLast="0"/>
      <w:bookmarkStart w:id="7" w:name="_Toc242896328"/>
      <w:bookmarkEnd w:id="6"/>
      <w:r>
        <w:lastRenderedPageBreak/>
        <w:t>Task 3: Managerial and Professional Reflection</w:t>
      </w:r>
      <w:bookmarkEnd w:id="7"/>
      <w:r>
        <w:t xml:space="preserve"> </w:t>
      </w:r>
    </w:p>
    <w:p w14:paraId="1392A339" w14:textId="77777777" w:rsidR="00FE3351" w:rsidRDefault="00FE3351" w:rsidP="00CA5FE9">
      <w:pPr>
        <w:rPr>
          <w:i/>
          <w:iCs/>
          <w:u w:val="single"/>
        </w:rPr>
      </w:pPr>
      <w:r>
        <w:rPr>
          <w:b/>
          <w:bCs/>
        </w:rPr>
        <w:t>Rationale for Selecting BHP</w:t>
      </w:r>
      <w:r>
        <w:t xml:space="preserve"> </w:t>
      </w:r>
    </w:p>
    <w:p w14:paraId="7B8C8EBB" w14:textId="77777777" w:rsidR="00FE3351" w:rsidRDefault="00FE3351" w:rsidP="00CA5FE9">
      <w:r>
        <w:t xml:space="preserve">BHP is the leading mining company by market capitalisation; it is the largest producer of iron ore, copper and metallurgical coal. The company responsibly manages the most resilient long-term portfolio of assets. BHP serves as an ideal choice for this assignment while investigating the low-carbon business transition. BHP is the largest diversified resource company, and it operates at a critical point where climate risk, changing buyers' expectations and compliance laws all collide. It has systematic importance in the global carbon footprint. Selecting BHP provides deep insights and practical data regarding the importance of reducing carbon emissions, transitioning toward lower-carbon operations and safeguarding the value of stakeholders. </w:t>
      </w:r>
    </w:p>
    <w:p w14:paraId="5A4C91A5" w14:textId="77777777" w:rsidR="00FE3351" w:rsidRDefault="00FE3351" w:rsidP="00CA5FE9">
      <w:pPr>
        <w:rPr>
          <w:b/>
          <w:bCs/>
        </w:rPr>
      </w:pPr>
      <w:r>
        <w:rPr>
          <w:b/>
          <w:bCs/>
        </w:rPr>
        <w:t xml:space="preserve">Reflection on the choice of Environmental Actors </w:t>
      </w:r>
    </w:p>
    <w:p w14:paraId="467C4E91" w14:textId="77777777" w:rsidR="00FE3351" w:rsidRDefault="00FE3351" w:rsidP="00CA5FE9">
      <w:pPr>
        <w:rPr>
          <w:b/>
          <w:bCs/>
          <w:u w:val="single"/>
        </w:rPr>
      </w:pPr>
      <w:r>
        <w:t xml:space="preserve">The natural environment, government and regulatory institutions, alongside the customers and industry stakeholders, are chosen as environmental actors. These three environmental actors establish a comprehensive multi-stakeholder analysis for analysing BHP’s transition to lower-carbon business practice. Properly mapping out the operational capabilities and associated threats. This analysis assesses BHP’s forward-thinking strategy or defensive tactics to maintain competitive advantage and ensure long-term viability in the market.  </w:t>
      </w:r>
    </w:p>
    <w:p w14:paraId="29DEF289" w14:textId="77777777" w:rsidR="00FE3351" w:rsidRDefault="00FE3351" w:rsidP="00CA5FE9">
      <w:pPr>
        <w:rPr>
          <w:b/>
          <w:bCs/>
          <w:u w:val="single"/>
        </w:rPr>
      </w:pPr>
      <w:r>
        <w:rPr>
          <w:b/>
          <w:bCs/>
          <w:u w:val="single"/>
        </w:rPr>
        <w:t xml:space="preserve">Reflection on the Growth Strategy </w:t>
      </w:r>
    </w:p>
    <w:p w14:paraId="690B2DC9" w14:textId="77777777" w:rsidR="00FE3351" w:rsidRDefault="00FE3351" w:rsidP="00CA5FE9">
      <w:r>
        <w:t xml:space="preserve">Product development is recommended as it permits BHP to build on present capabilities and customer relationships. Meanwhile, it responds to the demand for lower-emission steelmaking. The framework of the Ansoff matrix offers a structured method. It has helped in comparing alternative directions of growth. Diversification is considered; however, it is riskier without accurate evidence of commercial readiness. This suggestion also reflects the significance of </w:t>
      </w:r>
      <w:r>
        <w:lastRenderedPageBreak/>
        <w:t xml:space="preserve">technological partnerships for the venture. This is because BHP cannot independently control the emissions produced by steelmaking partners. Senior leadership is required to approve the investment incrementally. It can be done with the help of customer commitments, technical validation and financial appraisal. </w:t>
      </w:r>
    </w:p>
    <w:p w14:paraId="6CE864D0" w14:textId="77777777" w:rsidR="00FE3351" w:rsidRDefault="00FE3351" w:rsidP="00CA5FE9">
      <w:pPr>
        <w:rPr>
          <w:b/>
          <w:bCs/>
          <w:u w:val="single"/>
        </w:rPr>
      </w:pPr>
      <w:r>
        <w:rPr>
          <w:b/>
          <w:bCs/>
          <w:u w:val="single"/>
        </w:rPr>
        <w:t xml:space="preserve">Limitations of the Analysis </w:t>
      </w:r>
    </w:p>
    <w:p w14:paraId="2A7075E0" w14:textId="77777777" w:rsidR="00FE3351" w:rsidRDefault="00FE3351" w:rsidP="00CA5FE9">
      <w:pPr>
        <w:rPr>
          <w:sz w:val="22"/>
        </w:rPr>
      </w:pPr>
      <w:r>
        <w:rPr>
          <w:sz w:val="22"/>
        </w:rPr>
        <w:t xml:space="preserve">The analysis has a few limitations, as it depends on publicly available corporate information. Corporate disclosures offer useful commitment evidence for the investigation. However, the report cannot verify the commercial scalability. This is regarding emerging steelmaking technologies. Similarly, regional policies, commodity prices and technological developments might affect the attractiveness of the proposed strategy. Therefore, the analysis offers a strategic direction. Its suggestions should be tested against detailed financial and market evidence. </w:t>
      </w:r>
    </w:p>
    <w:p w14:paraId="3766E506" w14:textId="77777777" w:rsidR="00FE3351" w:rsidRDefault="00FE3351" w:rsidP="00CA5FE9">
      <w:pPr>
        <w:rPr>
          <w:b/>
          <w:bCs/>
          <w:sz w:val="22"/>
          <w:u w:val="single"/>
        </w:rPr>
      </w:pPr>
      <w:r>
        <w:rPr>
          <w:b/>
          <w:bCs/>
          <w:sz w:val="22"/>
          <w:u w:val="single"/>
        </w:rPr>
        <w:t xml:space="preserve">Further Information and Professional Learning </w:t>
      </w:r>
    </w:p>
    <w:p w14:paraId="016CD812" w14:textId="77777777" w:rsidR="00FE3351" w:rsidRDefault="00FE3351" w:rsidP="00CA5FE9">
      <w:r>
        <w:t xml:space="preserve">It would be necessary to seek interviews with customers, forecasts of market demand, and detailed financial appraisals before finalising the recommendations.  Investigation around supply chain constraints, regional regulatory scenarios and independently verified data on emissions is necessary. Professionally, the assessment has reinforced the significance of integrating marketing decisions. The integration is related to financial, sustainability and technology analysis. Moreover, it has been determined that credible environmental communication needs transparency. This transparency is about limitations and uncertainties. Therefore, it would be recommended to prioritise evidence-based decisions and measurable outcomes for the venture. </w:t>
      </w:r>
      <w:r>
        <w:br w:type="page"/>
      </w:r>
    </w:p>
    <w:p w14:paraId="47A9E98E" w14:textId="77777777" w:rsidR="00FE3351" w:rsidRDefault="00FE3351" w:rsidP="00CA5FE9">
      <w:pPr>
        <w:pStyle w:val="Heading1"/>
        <w:spacing w:before="0" w:after="0"/>
      </w:pPr>
      <w:bookmarkStart w:id="8" w:name="_dum2xuhv20aj" w:colFirst="0" w:colLast="0"/>
      <w:bookmarkStart w:id="9" w:name="_Toc242896329"/>
      <w:bookmarkEnd w:id="8"/>
      <w:r>
        <w:lastRenderedPageBreak/>
        <w:t>Conclusion</w:t>
      </w:r>
      <w:bookmarkEnd w:id="9"/>
      <w:r>
        <w:t xml:space="preserve"> </w:t>
      </w:r>
    </w:p>
    <w:p w14:paraId="3FA60D0A" w14:textId="77777777" w:rsidR="00FE3351" w:rsidRDefault="00FE3351" w:rsidP="00CA5FE9">
      <w:r>
        <w:t xml:space="preserve">The assignment concluded an analysis of the way the natural environment, customer expectations and government regulations influence BHP’s transition toward lower-carbon business practice. BHP, the global resource company, has been selected for this assignment and has the most resilient long-term portfolio of assets. The marketing environment analysis for the assignment was demonstrated. The strategic growth and competitive positioning of BHP was evaluated by the Ansoff Matrix. The market penetration, product development, market development and diversification strategies were discussed. </w:t>
      </w:r>
    </w:p>
    <w:p w14:paraId="5C71BD35" w14:textId="5D4BCA8B" w:rsidR="00FE3351" w:rsidRDefault="00FE3351" w:rsidP="00CA5FE9">
      <w:r>
        <w:t xml:space="preserve">The product development strategy consisted of innovating and launching eco-designed, circular economy and low-emission variants of the company’s existing offerings. This strategy was identified as the best approach to achieve sustainable competitive advantage. This strategy effectively responded to the demand for lower emissions. Furthermore, the analysis has limitations such as dependency on publicly available corporate information. The assignment boosts the significance of integrating marketing decisions. However, customers interview, market demand forecasting necessary before finalise recommendations. </w:t>
      </w:r>
    </w:p>
    <w:p w14:paraId="127490A5" w14:textId="77777777" w:rsidR="00FE3351" w:rsidRDefault="00FE3351" w:rsidP="00CA5FE9"/>
    <w:p w14:paraId="1CDDBD1F" w14:textId="77777777" w:rsidR="00FE3351" w:rsidRDefault="00FE3351" w:rsidP="00CA5FE9">
      <w:r>
        <w:t xml:space="preserve"> </w:t>
      </w:r>
      <w:r>
        <w:br w:type="page"/>
      </w:r>
    </w:p>
    <w:p w14:paraId="79B5C54C" w14:textId="6E33C4F4" w:rsidR="00FE3351" w:rsidRDefault="00FE3351" w:rsidP="00CA5FE9">
      <w:pPr>
        <w:pStyle w:val="Heading1"/>
        <w:spacing w:before="0" w:after="0"/>
      </w:pPr>
      <w:bookmarkStart w:id="10" w:name="_jjncsdinojtj" w:colFirst="0" w:colLast="0"/>
      <w:bookmarkStart w:id="11" w:name="_Toc242896330"/>
      <w:bookmarkEnd w:id="10"/>
      <w:r>
        <w:lastRenderedPageBreak/>
        <w:t>References</w:t>
      </w:r>
      <w:bookmarkEnd w:id="11"/>
    </w:p>
    <w:p w14:paraId="05FAEB06" w14:textId="77777777" w:rsidR="00CA5FE9" w:rsidRDefault="00CA5FE9" w:rsidP="00CA5FE9">
      <w:r>
        <w:t xml:space="preserve">Bauckloh, T., Klein, C., Pioch, T. and Schiemann, F. (2023) Under pressure? The link between mandatory climate reporting and firms’ carbon performance. </w:t>
      </w:r>
      <w:r w:rsidRPr="00CA5FE9">
        <w:rPr>
          <w:i/>
          <w:iCs/>
        </w:rPr>
        <w:t>Organization &amp; Environment</w:t>
      </w:r>
      <w:r>
        <w:t xml:space="preserve">, </w:t>
      </w:r>
      <w:r w:rsidRPr="00CA5FE9">
        <w:rPr>
          <w:i/>
          <w:iCs/>
        </w:rPr>
        <w:t>36</w:t>
      </w:r>
      <w:r>
        <w:t xml:space="preserve">(1), pp.126-149. </w:t>
      </w:r>
    </w:p>
    <w:p w14:paraId="06170326" w14:textId="77777777" w:rsidR="00CA5FE9" w:rsidRDefault="00CA5FE9" w:rsidP="00CA5FE9">
      <w:r>
        <w:t xml:space="preserve">Benedicto, E. (2026) </w:t>
      </w:r>
      <w:r w:rsidRPr="00CA5FE9">
        <w:rPr>
          <w:i/>
          <w:iCs/>
        </w:rPr>
        <w:t xml:space="preserve">BHP and China Baowu renew push for lower-emissions steel. </w:t>
      </w:r>
      <w:r>
        <w:t>[Online] Available at:</w:t>
      </w:r>
      <w:hyperlink r:id="rId11">
        <w:r>
          <w:t xml:space="preserve"> </w:t>
        </w:r>
      </w:hyperlink>
      <w:hyperlink r:id="rId12">
        <w:r w:rsidRPr="00CA5FE9">
          <w:rPr>
            <w:color w:val="1155CC"/>
            <w:u w:val="single"/>
          </w:rPr>
          <w:t>https://www.australianmining.com.au/bhp-and-china-baowu-renew-push-for-lower-emissions-steel/</w:t>
        </w:r>
      </w:hyperlink>
      <w:r>
        <w:t xml:space="preserve"> [Accessed 10 10 2026].</w:t>
      </w:r>
    </w:p>
    <w:p w14:paraId="3BE08499" w14:textId="77777777" w:rsidR="00CA5FE9" w:rsidRDefault="00CA5FE9" w:rsidP="00CA5FE9">
      <w:r>
        <w:t xml:space="preserve">BHP (2025) </w:t>
      </w:r>
      <w:r w:rsidRPr="00CA5FE9">
        <w:rPr>
          <w:i/>
          <w:iCs/>
        </w:rPr>
        <w:t xml:space="preserve">BHP GHG Emissions Calculation Methodology 2025. </w:t>
      </w:r>
      <w:r>
        <w:t>[Online] Available at:</w:t>
      </w:r>
      <w:hyperlink r:id="rId13">
        <w:r>
          <w:t xml:space="preserve"> </w:t>
        </w:r>
      </w:hyperlink>
      <w:hyperlink r:id="rId14">
        <w:r w:rsidRPr="00CA5FE9">
          <w:rPr>
            <w:color w:val="1155CC"/>
            <w:u w:val="single"/>
          </w:rPr>
          <w:t>https://www.bhp.com/-/media/documents/investors/annual-reports/2025/250819_bhpghgemissionscalculationmethodology2025.pdf</w:t>
        </w:r>
      </w:hyperlink>
      <w:r>
        <w:t xml:space="preserve"> [Accessed 10 10 2026].</w:t>
      </w:r>
    </w:p>
    <w:p w14:paraId="2F4BB979" w14:textId="77777777" w:rsidR="00CA5FE9" w:rsidRDefault="00CA5FE9" w:rsidP="00CA5FE9">
      <w:r>
        <w:t xml:space="preserve">BHP (2026) </w:t>
      </w:r>
      <w:r w:rsidRPr="00CA5FE9">
        <w:rPr>
          <w:i/>
          <w:iCs/>
        </w:rPr>
        <w:t xml:space="preserve">BHP and China Baowu renew steel decarbonisation partnership. </w:t>
      </w:r>
      <w:r>
        <w:t>[Online] Available at:</w:t>
      </w:r>
      <w:hyperlink r:id="rId15">
        <w:r>
          <w:t xml:space="preserve"> </w:t>
        </w:r>
      </w:hyperlink>
      <w:hyperlink r:id="rId16">
        <w:r w:rsidRPr="00CA5FE9">
          <w:rPr>
            <w:color w:val="1155CC"/>
            <w:u w:val="single"/>
          </w:rPr>
          <w:t>https://www.bhp.com/news/media-centre/releases/2026/09/bhp-and-china-baowu-renew-steel-decarbonisation-partnership</w:t>
        </w:r>
      </w:hyperlink>
      <w:r>
        <w:t xml:space="preserve"> [Accessed 10 10 2026].</w:t>
      </w:r>
    </w:p>
    <w:p w14:paraId="07173346" w14:textId="77777777" w:rsidR="00CA5FE9" w:rsidRDefault="00CA5FE9" w:rsidP="00CA5FE9">
      <w:r>
        <w:t xml:space="preserve">BHP (2026) </w:t>
      </w:r>
      <w:r w:rsidRPr="00CA5FE9">
        <w:rPr>
          <w:i/>
          <w:iCs/>
        </w:rPr>
        <w:t xml:space="preserve">Our businesses. </w:t>
      </w:r>
      <w:r>
        <w:t>[Online] Available at:</w:t>
      </w:r>
      <w:hyperlink r:id="rId17">
        <w:r>
          <w:t xml:space="preserve"> </w:t>
        </w:r>
      </w:hyperlink>
      <w:hyperlink r:id="rId18">
        <w:r w:rsidRPr="00CA5FE9">
          <w:rPr>
            <w:color w:val="1155CC"/>
            <w:u w:val="single"/>
          </w:rPr>
          <w:t>https://www.bhp.com/about/our-businesses</w:t>
        </w:r>
      </w:hyperlink>
      <w:r>
        <w:t xml:space="preserve"> [Accessed 10 10 2026].</w:t>
      </w:r>
    </w:p>
    <w:p w14:paraId="2016AF84" w14:textId="77777777" w:rsidR="00CA5FE9" w:rsidRDefault="00CA5FE9" w:rsidP="00CA5FE9">
      <w:r>
        <w:t xml:space="preserve">BHP (2026) </w:t>
      </w:r>
      <w:r w:rsidRPr="00CA5FE9">
        <w:rPr>
          <w:i/>
          <w:iCs/>
        </w:rPr>
        <w:t xml:space="preserve">Value chain GHG emissions (Scope 3 emissions). </w:t>
      </w:r>
      <w:r>
        <w:t>[Online] Available at:</w:t>
      </w:r>
      <w:hyperlink r:id="rId19">
        <w:r>
          <w:t xml:space="preserve"> </w:t>
        </w:r>
      </w:hyperlink>
      <w:hyperlink r:id="rId20">
        <w:r w:rsidRPr="00CA5FE9">
          <w:rPr>
            <w:color w:val="1155CC"/>
            <w:u w:val="single"/>
          </w:rPr>
          <w:t>https://www.bhp.com/sustainability/climate-change/value-chain-ghg-emission-reductions</w:t>
        </w:r>
      </w:hyperlink>
      <w:r>
        <w:t xml:space="preserve"> [Accessed 10 10 2026].</w:t>
      </w:r>
    </w:p>
    <w:p w14:paraId="21581F71" w14:textId="77777777" w:rsidR="00CA5FE9" w:rsidRPr="00CA5FE9" w:rsidRDefault="00CA5FE9" w:rsidP="00CA5FE9">
      <w:pPr>
        <w:rPr>
          <w:b/>
          <w:bCs/>
        </w:rPr>
      </w:pPr>
      <w:r w:rsidRPr="00CA5FE9">
        <w:rPr>
          <w:color w:val="222222"/>
        </w:rPr>
        <w:t xml:space="preserve">Ferreira, A.P.P.F.S. and de Sá, M.M.B.P. (2024) The importance of the Ansoff matrix for the study of the information services market. </w:t>
      </w:r>
      <w:r w:rsidRPr="00CA5FE9">
        <w:rPr>
          <w:i/>
          <w:iCs/>
          <w:color w:val="222222"/>
        </w:rPr>
        <w:t>The Canadian Journal of Information and Library Science</w:t>
      </w:r>
      <w:r w:rsidRPr="00CA5FE9">
        <w:rPr>
          <w:color w:val="222222"/>
        </w:rPr>
        <w:t xml:space="preserve">, </w:t>
      </w:r>
      <w:r w:rsidRPr="00CA5FE9">
        <w:rPr>
          <w:i/>
          <w:iCs/>
          <w:color w:val="222222"/>
        </w:rPr>
        <w:t>47</w:t>
      </w:r>
      <w:r w:rsidRPr="00CA5FE9">
        <w:rPr>
          <w:color w:val="222222"/>
        </w:rPr>
        <w:t>(2), pp.78-84.</w:t>
      </w:r>
      <w:r>
        <w:t xml:space="preserve"> </w:t>
      </w:r>
    </w:p>
    <w:p w14:paraId="4CBAE646" w14:textId="77777777" w:rsidR="00CA5FE9" w:rsidRDefault="00CA5FE9" w:rsidP="00CA5FE9">
      <w:r>
        <w:t xml:space="preserve">Ivanova, S., Vesnina, A., Fotina, N. and Prosekov, A. (2022) An overview of carbon footprint of coal mining to curtail greenhouse gas emissions. </w:t>
      </w:r>
      <w:r w:rsidRPr="00CA5FE9">
        <w:rPr>
          <w:i/>
          <w:iCs/>
        </w:rPr>
        <w:t>Sustainability</w:t>
      </w:r>
      <w:r>
        <w:t xml:space="preserve">, </w:t>
      </w:r>
      <w:r w:rsidRPr="00CA5FE9">
        <w:rPr>
          <w:i/>
          <w:iCs/>
        </w:rPr>
        <w:t>14</w:t>
      </w:r>
      <w:r>
        <w:t xml:space="preserve">(22), p.15135. </w:t>
      </w:r>
    </w:p>
    <w:p w14:paraId="3920FC6C" w14:textId="77777777" w:rsidR="00CA5FE9" w:rsidRDefault="00CA5FE9" w:rsidP="00CA5FE9">
      <w:r>
        <w:lastRenderedPageBreak/>
        <w:t>Kotler, P., Armstrong, G., Harris, L.C. and He, H. (2024) Principles of marketing. 19th edn. Harlow: Pearson.</w:t>
      </w:r>
    </w:p>
    <w:p w14:paraId="418091C7" w14:textId="77777777" w:rsidR="00CA5FE9" w:rsidRPr="00CA5FE9" w:rsidRDefault="00CA5FE9" w:rsidP="00CA5FE9">
      <w:pPr>
        <w:rPr>
          <w:b/>
          <w:bCs/>
        </w:rPr>
      </w:pPr>
      <w:r>
        <w:t xml:space="preserve">Merkevičius, J., Nalivaikė, J. and Nalivaika, D., (2024). Expanding internet of things into the new markets. </w:t>
      </w:r>
      <w:r w:rsidRPr="00CA5FE9">
        <w:rPr>
          <w:i/>
          <w:iCs/>
        </w:rPr>
        <w:t>Journal of management changes in the digital era.</w:t>
      </w:r>
      <w:r>
        <w:t xml:space="preserve">, </w:t>
      </w:r>
      <w:r w:rsidRPr="00CA5FE9">
        <w:rPr>
          <w:i/>
          <w:iCs/>
        </w:rPr>
        <w:t>1</w:t>
      </w:r>
      <w:r>
        <w:t>(1), pp.42-59.</w:t>
      </w:r>
      <w:r w:rsidRPr="00CA5FE9">
        <w:rPr>
          <w:b/>
          <w:bCs/>
        </w:rPr>
        <w:t xml:space="preserve"> </w:t>
      </w:r>
    </w:p>
    <w:p w14:paraId="7C655143" w14:textId="77777777" w:rsidR="00CA5FE9" w:rsidRDefault="00CA5FE9" w:rsidP="00CA5FE9">
      <w:r>
        <w:t xml:space="preserve">NOVEXA MINING (2026) </w:t>
      </w:r>
      <w:r w:rsidRPr="00CA5FE9">
        <w:rPr>
          <w:i/>
          <w:iCs/>
        </w:rPr>
        <w:t xml:space="preserve">From Joint Trials to Industrial Progress: What Five Years of BHP–China Baowu Collaboration Has Achieved. </w:t>
      </w:r>
      <w:r>
        <w:t>[Online] Available at:</w:t>
      </w:r>
      <w:hyperlink r:id="rId21">
        <w:r>
          <w:t xml:space="preserve"> </w:t>
        </w:r>
      </w:hyperlink>
      <w:hyperlink r:id="rId22">
        <w:r w:rsidRPr="00CA5FE9">
          <w:rPr>
            <w:color w:val="1155CC"/>
            <w:u w:val="single"/>
          </w:rPr>
          <w:t>https://novexamin.com/en/insights/bhp-baowu-five-year-industrial-collaboration/</w:t>
        </w:r>
      </w:hyperlink>
      <w:r>
        <w:t xml:space="preserve"> [Accessed 10 10 2026].</w:t>
      </w:r>
    </w:p>
    <w:p w14:paraId="55EB6C9A" w14:textId="77777777" w:rsidR="00CA5FE9" w:rsidRDefault="00CA5FE9" w:rsidP="00CA5FE9">
      <w:r>
        <w:t xml:space="preserve">Rodríguez Diez, J., Tomé-Torquemada, S., Vicente, A., Reyes, J. and Orcajo, G.A. (2023) Decarbonization pathways, strategies, and use cases to achieve net-zero CO2 emissions in the steelmaking industry. </w:t>
      </w:r>
      <w:r w:rsidRPr="00CA5FE9">
        <w:rPr>
          <w:i/>
          <w:iCs/>
        </w:rPr>
        <w:t>Energies</w:t>
      </w:r>
      <w:r>
        <w:t xml:space="preserve">, </w:t>
      </w:r>
      <w:r w:rsidRPr="00CA5FE9">
        <w:rPr>
          <w:i/>
          <w:iCs/>
        </w:rPr>
        <w:t>16</w:t>
      </w:r>
      <w:r>
        <w:t xml:space="preserve">(21), p.7360. </w:t>
      </w:r>
    </w:p>
    <w:p w14:paraId="43B23420" w14:textId="77777777" w:rsidR="00CA5FE9" w:rsidRDefault="00CA5FE9" w:rsidP="00CA5FE9">
      <w:r>
        <w:t xml:space="preserve">Statista (2022) </w:t>
      </w:r>
      <w:r w:rsidRPr="00CA5FE9">
        <w:rPr>
          <w:i/>
          <w:iCs/>
        </w:rPr>
        <w:t xml:space="preserve">Consumer trends 2023: Sustainability edition. </w:t>
      </w:r>
      <w:r>
        <w:t>[Online] Available at:</w:t>
      </w:r>
      <w:hyperlink r:id="rId23">
        <w:r>
          <w:t xml:space="preserve"> </w:t>
        </w:r>
      </w:hyperlink>
      <w:hyperlink r:id="rId24">
        <w:r w:rsidRPr="00CA5FE9">
          <w:rPr>
            <w:color w:val="1155CC"/>
            <w:u w:val="single"/>
          </w:rPr>
          <w:t>https://www.statista.com/study/125082/consumer-trends-2023-sustainability-edition/?srsltid=AU7gw4XggLJxAEJr1xzGhB6gT5aPLPdy6MPwWcW79DF316-Mg3dYmnP5</w:t>
        </w:r>
      </w:hyperlink>
      <w:r>
        <w:t xml:space="preserve"> [Accessed 10 12 2026].</w:t>
      </w:r>
    </w:p>
    <w:p w14:paraId="268683D9" w14:textId="77777777" w:rsidR="00CA5FE9" w:rsidRDefault="00CA5FE9" w:rsidP="00CA5FE9">
      <w:r>
        <w:t xml:space="preserve">un.org (2026) </w:t>
      </w:r>
      <w:r w:rsidRPr="00CA5FE9">
        <w:rPr>
          <w:i/>
          <w:iCs/>
        </w:rPr>
        <w:t>Renewable energy – powering a safer and prosperous future.</w:t>
      </w:r>
      <w:r>
        <w:t xml:space="preserve"> [Online] Available at:</w:t>
      </w:r>
      <w:hyperlink r:id="rId25">
        <w:r>
          <w:t xml:space="preserve"> </w:t>
        </w:r>
      </w:hyperlink>
      <w:hyperlink r:id="rId26">
        <w:r w:rsidRPr="00CA5FE9">
          <w:rPr>
            <w:color w:val="1155CC"/>
            <w:u w:val="single"/>
          </w:rPr>
          <w:t>https://www.un.org/en/climatechange/raising-ambition/renewable-energy</w:t>
        </w:r>
      </w:hyperlink>
      <w:r>
        <w:t xml:space="preserve"> [Accessed 12 10 2026].</w:t>
      </w:r>
    </w:p>
    <w:p w14:paraId="117CD59B" w14:textId="77777777" w:rsidR="00CA5FE9" w:rsidRDefault="00CA5FE9" w:rsidP="00CA5FE9">
      <w:r>
        <w:t xml:space="preserve">Wolf, A. (2025) The uncertain costs of decarbonization policies: a risk analysis for the European steel industry. </w:t>
      </w:r>
      <w:r w:rsidRPr="00CA5FE9">
        <w:rPr>
          <w:i/>
          <w:iCs/>
        </w:rPr>
        <w:t>Journal of Industrial and Business Economics</w:t>
      </w:r>
      <w:r>
        <w:t xml:space="preserve">, </w:t>
      </w:r>
      <w:r w:rsidRPr="00CA5FE9">
        <w:rPr>
          <w:i/>
          <w:iCs/>
        </w:rPr>
        <w:t>52</w:t>
      </w:r>
      <w:r>
        <w:t xml:space="preserve">(4), pp.913-934. </w:t>
      </w:r>
    </w:p>
    <w:p w14:paraId="5A985AD1" w14:textId="57F1F699" w:rsidR="008A5543" w:rsidRPr="0009700C" w:rsidRDefault="008A5543" w:rsidP="00CA5FE9">
      <w:pPr>
        <w:pStyle w:val="Heading2"/>
        <w:spacing w:before="0" w:after="0"/>
      </w:pPr>
    </w:p>
    <w:sectPr w:rsidR="008A5543" w:rsidRPr="0009700C" w:rsidSect="00FE3351">
      <w:headerReference w:type="default" r:id="rId27"/>
      <w:footerReference w:type="default" r:id="rId28"/>
      <w:headerReference w:type="first" r:id="rId2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8D769" w14:textId="77777777" w:rsidR="00DC08C5" w:rsidRDefault="00DC08C5" w:rsidP="00FE3351">
      <w:pPr>
        <w:spacing w:line="240" w:lineRule="auto"/>
      </w:pPr>
      <w:r>
        <w:separator/>
      </w:r>
    </w:p>
  </w:endnote>
  <w:endnote w:type="continuationSeparator" w:id="0">
    <w:p w14:paraId="2F046A52" w14:textId="77777777" w:rsidR="00DC08C5" w:rsidRDefault="00DC08C5" w:rsidP="00FE3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C94E285-C156-4571-9A8F-B88D8A0D6EA9}"/>
  </w:font>
  <w:font w:name="Cambria">
    <w:panose1 w:val="02040503050406030204"/>
    <w:charset w:val="00"/>
    <w:family w:val="roman"/>
    <w:pitch w:val="variable"/>
    <w:sig w:usb0="E00006FF" w:usb1="420024FF" w:usb2="02000000" w:usb3="00000000" w:csb0="0000019F" w:csb1="00000000"/>
    <w:embedRegular r:id="rId2" w:fontKey="{6497ECE4-72AE-4CFB-BF3A-D79992CBC4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284506"/>
      <w:docPartObj>
        <w:docPartGallery w:val="Page Numbers (Bottom of Page)"/>
        <w:docPartUnique/>
      </w:docPartObj>
    </w:sdtPr>
    <w:sdtEndPr/>
    <w:sdtContent>
      <w:sdt>
        <w:sdtPr>
          <w:id w:val="-1769616900"/>
          <w:docPartObj>
            <w:docPartGallery w:val="Page Numbers (Top of Page)"/>
            <w:docPartUnique/>
          </w:docPartObj>
        </w:sdtPr>
        <w:sdtEndPr/>
        <w:sdtContent>
          <w:p w14:paraId="603121C8" w14:textId="5C102263" w:rsidR="00FE3351" w:rsidRDefault="00FE3351">
            <w:pPr>
              <w:pStyle w:val="Footer"/>
              <w:jc w:val="right"/>
            </w:pPr>
            <w:r>
              <w:t xml:space="preserve">Page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7F229BEB" w14:textId="77777777" w:rsidR="00FE3351" w:rsidRDefault="00FE3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8CCA9" w14:textId="77777777" w:rsidR="00DC08C5" w:rsidRDefault="00DC08C5" w:rsidP="00FE3351">
      <w:pPr>
        <w:spacing w:line="240" w:lineRule="auto"/>
      </w:pPr>
      <w:r>
        <w:separator/>
      </w:r>
    </w:p>
  </w:footnote>
  <w:footnote w:type="continuationSeparator" w:id="0">
    <w:p w14:paraId="3FD11D69" w14:textId="77777777" w:rsidR="00DC08C5" w:rsidRDefault="00DC08C5" w:rsidP="00FE33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D3F1" w14:textId="565AD4EB" w:rsidR="00FE3351" w:rsidRPr="00FE3351" w:rsidRDefault="00FE3351" w:rsidP="00FE3351">
    <w:pPr>
      <w:jc w:val="right"/>
    </w:pPr>
    <w:r w:rsidRPr="00FE3351">
      <w:t>Marketing Management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DE74" w14:textId="0D29649D" w:rsidR="00CA5FE9" w:rsidRDefault="00CA5FE9">
    <w:pPr>
      <w:pStyle w:val="Header"/>
    </w:pPr>
    <w:r w:rsidRPr="00CA5FE9">
      <w:rPr>
        <w:noProof/>
      </w:rPr>
      <w:drawing>
        <wp:inline distT="0" distB="0" distL="0" distR="0" wp14:anchorId="08059CFA" wp14:editId="5A63D04D">
          <wp:extent cx="1928027" cy="807790"/>
          <wp:effectExtent l="0" t="0" r="0" b="0"/>
          <wp:docPr id="1191527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27690" name=""/>
                  <pic:cNvPicPr/>
                </pic:nvPicPr>
                <pic:blipFill>
                  <a:blip r:embed="rId1"/>
                  <a:stretch>
                    <a:fillRect/>
                  </a:stretch>
                </pic:blipFill>
                <pic:spPr>
                  <a:xfrm>
                    <a:off x="0" y="0"/>
                    <a:ext cx="1928027" cy="8077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E4506"/>
    <w:multiLevelType w:val="hybridMultilevel"/>
    <w:tmpl w:val="88662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6B26CC"/>
    <w:multiLevelType w:val="hybridMultilevel"/>
    <w:tmpl w:val="19FE7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8145DC"/>
    <w:multiLevelType w:val="multilevel"/>
    <w:tmpl w:val="2FA8AB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1829320">
    <w:abstractNumId w:val="2"/>
  </w:num>
  <w:num w:numId="2" w16cid:durableId="1956135146">
    <w:abstractNumId w:val="0"/>
  </w:num>
  <w:num w:numId="3" w16cid:durableId="1554732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543"/>
    <w:rsid w:val="0009700C"/>
    <w:rsid w:val="001B464E"/>
    <w:rsid w:val="002D1980"/>
    <w:rsid w:val="00307597"/>
    <w:rsid w:val="006769AD"/>
    <w:rsid w:val="0087361B"/>
    <w:rsid w:val="008A5543"/>
    <w:rsid w:val="009D4E06"/>
    <w:rsid w:val="00A37CEC"/>
    <w:rsid w:val="00B73493"/>
    <w:rsid w:val="00CA5FE9"/>
    <w:rsid w:val="00CC05D9"/>
    <w:rsid w:val="00DC08C5"/>
    <w:rsid w:val="00F96597"/>
    <w:rsid w:val="00FA7C6B"/>
    <w:rsid w:val="00FE3351"/>
    <w:rsid w:val="00FF2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ADA5"/>
  <w15:docId w15:val="{0B37BB0E-15DD-4157-AA1A-201C9D88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351"/>
    <w:pPr>
      <w:spacing w:line="480" w:lineRule="auto"/>
      <w:jc w:val="both"/>
    </w:pPr>
    <w:rPr>
      <w:rFonts w:ascii="Times New Roman" w:hAnsi="Times New Roman"/>
      <w:sz w:val="24"/>
      <w:lang w:val="en-GB"/>
    </w:rPr>
  </w:style>
  <w:style w:type="paragraph" w:styleId="Heading1">
    <w:name w:val="heading 1"/>
    <w:basedOn w:val="Normal"/>
    <w:next w:val="Normal"/>
    <w:uiPriority w:val="9"/>
    <w:qFormat/>
    <w:rsid w:val="00FE3351"/>
    <w:pPr>
      <w:keepNext/>
      <w:keepLines/>
      <w:spacing w:before="400" w:after="120"/>
      <w:outlineLvl w:val="0"/>
    </w:pPr>
    <w:rPr>
      <w:b/>
      <w:sz w:val="28"/>
      <w:szCs w:val="40"/>
    </w:rPr>
  </w:style>
  <w:style w:type="paragraph" w:styleId="Heading2">
    <w:name w:val="heading 2"/>
    <w:basedOn w:val="Normal"/>
    <w:next w:val="Normal"/>
    <w:uiPriority w:val="9"/>
    <w:unhideWhenUsed/>
    <w:qFormat/>
    <w:rsid w:val="00FE3351"/>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Spacing">
    <w:name w:val="No Spacing"/>
    <w:uiPriority w:val="1"/>
    <w:qFormat/>
    <w:rsid w:val="00FE3351"/>
    <w:pPr>
      <w:spacing w:line="240" w:lineRule="auto"/>
      <w:jc w:val="both"/>
    </w:pPr>
    <w:rPr>
      <w:rFonts w:ascii="Times New Roman" w:hAnsi="Times New Roman"/>
      <w:sz w:val="24"/>
    </w:rPr>
  </w:style>
  <w:style w:type="paragraph" w:styleId="Header">
    <w:name w:val="header"/>
    <w:basedOn w:val="Normal"/>
    <w:link w:val="HeaderChar"/>
    <w:uiPriority w:val="99"/>
    <w:unhideWhenUsed/>
    <w:rsid w:val="00FE3351"/>
    <w:pPr>
      <w:tabs>
        <w:tab w:val="center" w:pos="4513"/>
        <w:tab w:val="right" w:pos="9026"/>
      </w:tabs>
      <w:spacing w:line="240" w:lineRule="auto"/>
    </w:pPr>
  </w:style>
  <w:style w:type="character" w:customStyle="1" w:styleId="HeaderChar">
    <w:name w:val="Header Char"/>
    <w:basedOn w:val="DefaultParagraphFont"/>
    <w:link w:val="Header"/>
    <w:uiPriority w:val="99"/>
    <w:rsid w:val="00FE3351"/>
    <w:rPr>
      <w:rFonts w:ascii="Times New Roman" w:hAnsi="Times New Roman"/>
      <w:sz w:val="24"/>
    </w:rPr>
  </w:style>
  <w:style w:type="paragraph" w:styleId="Footer">
    <w:name w:val="footer"/>
    <w:basedOn w:val="Normal"/>
    <w:link w:val="FooterChar"/>
    <w:uiPriority w:val="99"/>
    <w:unhideWhenUsed/>
    <w:rsid w:val="00FE3351"/>
    <w:pPr>
      <w:tabs>
        <w:tab w:val="center" w:pos="4513"/>
        <w:tab w:val="right" w:pos="9026"/>
      </w:tabs>
      <w:spacing w:line="240" w:lineRule="auto"/>
    </w:pPr>
  </w:style>
  <w:style w:type="character" w:customStyle="1" w:styleId="FooterChar">
    <w:name w:val="Footer Char"/>
    <w:basedOn w:val="DefaultParagraphFont"/>
    <w:link w:val="Footer"/>
    <w:uiPriority w:val="99"/>
    <w:rsid w:val="00FE3351"/>
    <w:rPr>
      <w:rFonts w:ascii="Times New Roman" w:hAnsi="Times New Roman"/>
      <w:sz w:val="24"/>
    </w:rPr>
  </w:style>
  <w:style w:type="paragraph" w:styleId="TOCHeading">
    <w:name w:val="TOC Heading"/>
    <w:basedOn w:val="Heading1"/>
    <w:next w:val="Normal"/>
    <w:uiPriority w:val="39"/>
    <w:unhideWhenUsed/>
    <w:qFormat/>
    <w:rsid w:val="00FE335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E3351"/>
    <w:pPr>
      <w:spacing w:after="100"/>
    </w:pPr>
  </w:style>
  <w:style w:type="character" w:styleId="Hyperlink">
    <w:name w:val="Hyperlink"/>
    <w:basedOn w:val="DefaultParagraphFont"/>
    <w:uiPriority w:val="99"/>
    <w:unhideWhenUsed/>
    <w:rsid w:val="00FE3351"/>
    <w:rPr>
      <w:color w:val="0000FF" w:themeColor="hyperlink"/>
      <w:u w:val="single"/>
    </w:rPr>
  </w:style>
  <w:style w:type="paragraph" w:styleId="ListParagraph">
    <w:name w:val="List Paragraph"/>
    <w:basedOn w:val="Normal"/>
    <w:uiPriority w:val="34"/>
    <w:qFormat/>
    <w:rsid w:val="00FE3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hp.com/-/media/documents/investors/annual-reports/2025/250819_bhpghgemissionscalculationmethodology2025.pdf" TargetMode="External"/><Relationship Id="rId18" Type="http://schemas.openxmlformats.org/officeDocument/2006/relationships/hyperlink" Target="https://www.bhp.com/about/our-businesses" TargetMode="External"/><Relationship Id="rId26" Type="http://schemas.openxmlformats.org/officeDocument/2006/relationships/hyperlink" Target="https://www.un.org/en/climatechange/raising-ambition/renewable-energy" TargetMode="External"/><Relationship Id="rId3" Type="http://schemas.openxmlformats.org/officeDocument/2006/relationships/customXml" Target="../customXml/item3.xml"/><Relationship Id="rId21" Type="http://schemas.openxmlformats.org/officeDocument/2006/relationships/hyperlink" Target="https://novexamin.com/en/insights/bhp-baowu-five-year-industrial-collaboration/" TargetMode="External"/><Relationship Id="rId7" Type="http://schemas.openxmlformats.org/officeDocument/2006/relationships/settings" Target="settings.xml"/><Relationship Id="rId12" Type="http://schemas.openxmlformats.org/officeDocument/2006/relationships/hyperlink" Target="https://www.australianmining.com.au/bhp-and-china-baowu-renew-push-for-lower-emissions-steel/" TargetMode="External"/><Relationship Id="rId17" Type="http://schemas.openxmlformats.org/officeDocument/2006/relationships/hyperlink" Target="https://www.bhp.com/about/our-businesses" TargetMode="External"/><Relationship Id="rId25" Type="http://schemas.openxmlformats.org/officeDocument/2006/relationships/hyperlink" Target="https://www.un.org/en/climatechange/raising-ambition/renewable-energy" TargetMode="External"/><Relationship Id="rId2" Type="http://schemas.openxmlformats.org/officeDocument/2006/relationships/customXml" Target="../customXml/item2.xml"/><Relationship Id="rId16" Type="http://schemas.openxmlformats.org/officeDocument/2006/relationships/hyperlink" Target="https://www.bhp.com/news/media-centre/releases/2026/09/bhp-and-china-baowu-renew-steel-decarbonisation-partnership" TargetMode="External"/><Relationship Id="rId20" Type="http://schemas.openxmlformats.org/officeDocument/2006/relationships/hyperlink" Target="https://www.bhp.com/sustainability/climate-change/value-chain-ghg-emission-reduction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ustralianmining.com.au/bhp-and-china-baowu-renew-push-for-lower-emissions-steel/" TargetMode="External"/><Relationship Id="rId24" Type="http://schemas.openxmlformats.org/officeDocument/2006/relationships/hyperlink" Target="https://www.statista.com/study/125082/consumer-trends-2023-sustainability-edition/?srsltid=AU7gw4XggLJxAEJr1xzGhB6gT5aPLPdy6MPwWcW79DF316-Mg3dYmnP5" TargetMode="External"/><Relationship Id="rId5" Type="http://schemas.openxmlformats.org/officeDocument/2006/relationships/numbering" Target="numbering.xml"/><Relationship Id="rId15" Type="http://schemas.openxmlformats.org/officeDocument/2006/relationships/hyperlink" Target="https://www.bhp.com/news/media-centre/releases/2026/09/bhp-and-china-baowu-renew-steel-decarbonisation-partnership" TargetMode="External"/><Relationship Id="rId23" Type="http://schemas.openxmlformats.org/officeDocument/2006/relationships/hyperlink" Target="https://www.statista.com/study/125082/consumer-trends-2023-sustainability-edition/?srsltid=AU7gw4XggLJxAEJr1xzGhB6gT5aPLPdy6MPwWcW79DF316-Mg3dYmnP5"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hp.com/sustainability/climate-change/value-chain-ghg-emission-reduction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hp.com/-/media/documents/investors/annual-reports/2025/250819_bhpghgemissionscalculationmethodology2025.pdf" TargetMode="External"/><Relationship Id="rId22" Type="http://schemas.openxmlformats.org/officeDocument/2006/relationships/hyperlink" Target="https://novexamin.com/en/insights/bhp-baowu-five-year-industrial-collaboration/" TargetMode="External"/><Relationship Id="rId27" Type="http://schemas.openxmlformats.org/officeDocument/2006/relationships/header" Target="header1.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1" ma:contentTypeDescription="Create a new document." ma:contentTypeScope="" ma:versionID="28a8036e7bae831db22e16b47a6897db">
  <xsd:schema xmlns:xsd="http://www.w3.org/2001/XMLSchema" xmlns:xs="http://www.w3.org/2001/XMLSchema" xmlns:p="http://schemas.microsoft.com/office/2006/metadata/properties" xmlns:ns3="577751d0-6084-4994-a202-0c32fc3287d3" targetNamespace="http://schemas.microsoft.com/office/2006/metadata/properties" ma:root="true" ma:fieldsID="925ac0eb1129daf5281e506df9f2b4c1" ns3:_="">
    <xsd:import namespace="577751d0-6084-4994-a202-0c32fc3287d3"/>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39A30D-153A-4FD9-AA99-306ACD422F94}">
  <ds:schemaRefs>
    <ds:schemaRef ds:uri="http://schemas.openxmlformats.org/officeDocument/2006/bibliography"/>
  </ds:schemaRefs>
</ds:datastoreItem>
</file>

<file path=customXml/itemProps2.xml><?xml version="1.0" encoding="utf-8"?>
<ds:datastoreItem xmlns:ds="http://schemas.openxmlformats.org/officeDocument/2006/customXml" ds:itemID="{A2735D30-6411-4186-89CF-D83F0F5D6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D08679-09FC-40AD-A0CD-24F185A37B70}">
  <ds:schemaRefs>
    <ds:schemaRef ds:uri="http://schemas.microsoft.com/sharepoint/v3/contenttype/forms"/>
  </ds:schemaRefs>
</ds:datastoreItem>
</file>

<file path=customXml/itemProps4.xml><?xml version="1.0" encoding="utf-8"?>
<ds:datastoreItem xmlns:ds="http://schemas.openxmlformats.org/officeDocument/2006/customXml" ds:itemID="{CC82412D-3FD1-4D5E-BDBE-540CFC4A76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3856</Words>
  <Characters>21983</Characters>
  <Application>Microsoft Office Word</Application>
  <DocSecurity>0</DocSecurity>
  <Lines>183</Lines>
  <Paragraphs>51</Paragraphs>
  <ScaleCrop>false</ScaleCrop>
  <Company/>
  <LinksUpToDate>false</LinksUpToDate>
  <CharactersWithSpaces>25788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 Liviu Notar (2608440)</cp:lastModifiedBy>
  <cp:revision>2</cp:revision>
  <cp:lastPrinted>2026-10-18T12:38:00Z</cp:lastPrinted>
  <dcterms:created xsi:type="dcterms:W3CDTF">2026-10-18T12:43:00Z</dcterms:created>
  <dcterms:modified xsi:type="dcterms:W3CDTF">2026-10-18T12:43:00Z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a482bbe90cc19b5ed97b6029a94626a5249ef5300537e4ad0b57f4e3c259d21c</vt:lpwstr>
  </property>
  <property fmtid="{D5CDD505-2E9C-101B-9397-08002B2CF9AE}" pid="3" name="ContentTypeId">
    <vt:lpwstr>0x01010044EB4A572E33BD41B9E3BB45B6C4FE48</vt:lpwstr>
  </property>
</Properties>
</file>