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line="360" w:lineRule="auto" w:after="120"/>
        <w:jc w:val="center"/>
      </w:pPr>
      <w:r>
        <w:rPr>
          <w:rFonts w:ascii="Arial" w:hAnsi="Arial" w:eastAsia="Arial"/>
          <w:b/>
          <w:color w:val="000000"/>
          <w:sz w:val="28"/>
        </w:rPr>
        <w:t>UWTSD – Research Proposal</w:t>
      </w:r>
    </w:p>
    <w:p>
      <w:pPr>
        <w:spacing w:line="360" w:lineRule="auto" w:after="120"/>
        <w:jc w:val="both"/>
      </w:pPr>
      <w:r>
        <w:rPr>
          <w:rFonts w:ascii="Arial" w:hAnsi="Arial" w:eastAsia="Arial"/>
          <w:color w:val="000000"/>
          <w:sz w:val="22"/>
        </w:rPr>
        <w:t>Student Name: Aysha Islam</w:t>
      </w:r>
    </w:p>
    <w:p>
      <w:pPr>
        <w:spacing w:line="360" w:lineRule="auto" w:after="120"/>
        <w:jc w:val="both"/>
      </w:pPr>
      <w:r>
        <w:rPr>
          <w:rFonts w:ascii="Arial" w:hAnsi="Arial" w:eastAsia="Arial"/>
          <w:color w:val="000000"/>
          <w:sz w:val="22"/>
        </w:rPr>
        <w:t>Student Number: 2024 1304 12</w:t>
      </w:r>
    </w:p>
    <w:p>
      <w:pPr>
        <w:spacing w:line="360" w:lineRule="auto" w:after="120"/>
        <w:jc w:val="both"/>
      </w:pPr>
      <w:r>
        <w:rPr>
          <w:rFonts w:ascii="Arial" w:hAnsi="Arial" w:eastAsia="Arial"/>
          <w:color w:val="000000"/>
          <w:sz w:val="22"/>
        </w:rPr>
        <w:t>Module Code: BMHP5019_BIRM</w:t>
      </w:r>
    </w:p>
    <w:p>
      <w:pPr>
        <w:spacing w:line="360" w:lineRule="auto" w:after="120"/>
        <w:jc w:val="both"/>
      </w:pPr>
      <w:r>
        <w:rPr>
          <w:rFonts w:ascii="Arial" w:hAnsi="Arial" w:eastAsia="Arial"/>
          <w:color w:val="000000"/>
          <w:sz w:val="22"/>
        </w:rPr>
        <w:t>Module: Introduction to Research</w:t>
      </w:r>
    </w:p>
    <w:p>
      <w:pPr>
        <w:spacing w:line="360" w:lineRule="auto" w:after="120"/>
        <w:jc w:val="both"/>
      </w:pPr>
      <w:r>
        <w:rPr>
          <w:rFonts w:ascii="Arial" w:hAnsi="Arial" w:eastAsia="Arial"/>
          <w:color w:val="000000"/>
          <w:sz w:val="22"/>
        </w:rPr>
        <w:t>Assessment: Component 1 – Written Assignment</w:t>
      </w:r>
    </w:p>
    <w:p>
      <w:pPr>
        <w:spacing w:line="360" w:lineRule="auto" w:after="120"/>
        <w:jc w:val="center"/>
      </w:pPr>
      <w:r>
        <w:rPr>
          <w:rFonts w:ascii="Arial" w:hAnsi="Arial" w:eastAsia="Arial"/>
          <w:b/>
          <w:color w:val="000000"/>
          <w:sz w:val="26"/>
        </w:rPr>
        <w:t>The Relationship Between Social Media Use and Adolescent Mental Health</w:t>
      </w:r>
    </w:p>
    <w:p>
      <w:pPr>
        <w:pStyle w:val="Heading1"/>
        <w:spacing w:line="360" w:lineRule="auto" w:after="120"/>
        <w:jc w:val="left"/>
      </w:pPr>
      <w:r>
        <w:rPr>
          <w:rFonts w:ascii="Arial" w:hAnsi="Arial" w:eastAsia="Arial"/>
          <w:b/>
          <w:color w:val="000000"/>
          <w:sz w:val="22"/>
        </w:rPr>
        <w:t>Topic and research question</w:t>
      </w:r>
    </w:p>
    <w:p>
      <w:pPr>
        <w:spacing w:line="360" w:lineRule="auto" w:after="120"/>
        <w:jc w:val="both"/>
      </w:pPr>
      <w:r>
        <w:rPr>
          <w:rFonts w:ascii="Arial" w:hAnsi="Arial" w:eastAsia="Arial"/>
          <w:color w:val="000000"/>
          <w:sz w:val="22"/>
        </w:rPr>
        <w:t>This proposal will explore the relationship between social media use and the mental health and wellbeing of adolescents. The research question is: “What does existing research suggest about the relationship between social media use and adolescent mental health and wellbeing?” The review will consider both possible risks and benefits, rather than assuming that social media affects every young person in the same way.</w:t>
      </w:r>
    </w:p>
    <w:p>
      <w:pPr>
        <w:pStyle w:val="Heading1"/>
        <w:spacing w:line="360" w:lineRule="auto" w:after="120"/>
        <w:jc w:val="left"/>
      </w:pPr>
      <w:r>
        <w:rPr>
          <w:rFonts w:ascii="Arial" w:hAnsi="Arial" w:eastAsia="Arial"/>
          <w:b/>
          <w:color w:val="000000"/>
          <w:sz w:val="22"/>
        </w:rPr>
        <w:t>Rationale</w:t>
      </w:r>
    </w:p>
    <w:p>
      <w:pPr>
        <w:spacing w:line="360" w:lineRule="auto" w:after="120"/>
        <w:jc w:val="both"/>
      </w:pPr>
      <w:r>
        <w:t>Social media can help adolescents communicate and maintain social connections, but concerns remain about its association with poorer mental health. Keles, McCrae and Grealish (2020) identified associations with depression, anxiety and psychological distress, although findings varied. Valkenburg, Meier and Beyens (2022) found that associations across reviews were often weak or inconsistent. More recent evidence reported an association with internalising symptoms (Fassi et al., 2024). The relationship is therefore complex and should not be described as straightforward cause and effect. This topic matters to health and social care because practitioners need an evidence-informed understanding of young people’s online experiences when discussing wellbeing and support</w:t>
      </w:r>
      <w:r>
        <w:t xml:space="preserve"> (Shankleman, Hammond and Jones, 2021).</w:t>
      </w:r>
    </w:p>
    <w:p>
      <w:pPr>
        <w:pStyle w:val="Heading1"/>
        <w:spacing w:line="360" w:lineRule="auto" w:after="120"/>
        <w:jc w:val="left"/>
      </w:pPr>
      <w:r>
        <w:rPr>
          <w:rFonts w:ascii="Arial" w:hAnsi="Arial" w:eastAsia="Arial"/>
          <w:b/>
          <w:color w:val="000000"/>
          <w:sz w:val="22"/>
        </w:rPr>
        <w:t>Aim and objectives</w:t>
      </w:r>
    </w:p>
    <w:p>
      <w:pPr>
        <w:spacing w:line="360" w:lineRule="auto" w:after="120"/>
        <w:jc w:val="both"/>
      </w:pPr>
      <w:r>
        <w:rPr>
          <w:rFonts w:ascii="Arial" w:hAnsi="Arial" w:eastAsia="Arial"/>
          <w:color w:val="000000"/>
          <w:sz w:val="22"/>
        </w:rPr>
        <w:t>The aim is to map existing research on the relationship between social media use and adolescent mental health and wellbeing through a scoping review.</w:t>
      </w:r>
    </w:p>
    <w:p>
      <w:pPr>
        <w:spacing w:line="360" w:lineRule="auto" w:after="120"/>
        <w:jc w:val="both"/>
      </w:pPr>
      <w:r>
        <w:rPr>
          <w:rFonts w:ascii="Arial" w:hAnsi="Arial" w:eastAsia="Arial"/>
          <w:color w:val="000000"/>
          <w:sz w:val="22"/>
        </w:rPr>
        <w:t>The objectives are to:</w:t>
      </w:r>
    </w:p>
    <w:p>
      <w:pPr>
        <w:pStyle w:val="ListNumber"/>
        <w:spacing w:line="360" w:lineRule="auto" w:after="120"/>
        <w:jc w:val="both"/>
      </w:pPr>
      <w:r>
        <w:rPr>
          <w:rFonts w:ascii="Arial" w:hAnsi="Arial" w:eastAsia="Arial"/>
          <w:color w:val="000000"/>
          <w:sz w:val="22"/>
        </w:rPr>
        <w:t>Identify research examining social media use and adolescent mental health.</w:t>
      </w:r>
    </w:p>
    <w:p>
      <w:pPr>
        <w:pStyle w:val="ListNumber"/>
        <w:spacing w:line="360" w:lineRule="auto" w:after="120"/>
        <w:jc w:val="both"/>
      </w:pPr>
      <w:r>
        <w:rPr>
          <w:rFonts w:ascii="Arial" w:hAnsi="Arial" w:eastAsia="Arial"/>
          <w:color w:val="000000"/>
          <w:sz w:val="22"/>
        </w:rPr>
        <w:t>Summarise reported associations with anxiety, depression and psychological wellbeing.</w:t>
      </w:r>
    </w:p>
    <w:p>
      <w:pPr>
        <w:pStyle w:val="ListNumber"/>
        <w:spacing w:line="360" w:lineRule="auto" w:after="120"/>
        <w:jc w:val="both"/>
      </w:pPr>
      <w:r>
        <w:rPr>
          <w:rFonts w:ascii="Arial" w:hAnsi="Arial" w:eastAsia="Arial"/>
          <w:color w:val="000000"/>
          <w:sz w:val="22"/>
        </w:rPr>
        <w:t>Explore factors that may shape the relationship, including patterns and types of social media use.</w:t>
      </w:r>
    </w:p>
    <w:p>
      <w:pPr>
        <w:pStyle w:val="ListNumber"/>
        <w:spacing w:line="360" w:lineRule="auto" w:after="120"/>
        <w:jc w:val="both"/>
      </w:pPr>
      <w:r>
        <w:rPr>
          <w:rFonts w:ascii="Arial" w:hAnsi="Arial" w:eastAsia="Arial"/>
          <w:color w:val="000000"/>
          <w:sz w:val="22"/>
        </w:rPr>
        <w:t>Consider implications for health and social care practice and identify gaps in the evidence.</w:t>
      </w:r>
    </w:p>
    <w:p>
      <w:pPr>
        <w:pStyle w:val="Heading1"/>
        <w:spacing w:line="360" w:lineRule="auto" w:after="120"/>
        <w:jc w:val="left"/>
      </w:pPr>
      <w:r>
        <w:rPr>
          <w:rFonts w:ascii="Arial" w:hAnsi="Arial" w:eastAsia="Arial"/>
          <w:b/>
          <w:color w:val="000000"/>
          <w:sz w:val="22"/>
        </w:rPr>
        <w:t>Methods</w:t>
      </w:r>
    </w:p>
    <w:p>
      <w:pPr>
        <w:spacing w:line="360" w:lineRule="auto" w:after="120"/>
        <w:jc w:val="both"/>
      </w:pPr>
      <w:r>
        <w:rPr>
          <w:rFonts w:ascii="Arial" w:hAnsi="Arial" w:eastAsia="Arial"/>
          <w:color w:val="000000"/>
          <w:sz w:val="22"/>
        </w:rPr>
        <w:t>A scoping review is suitable because the question is broad and studies use varied approaches. Searches will be conducted in CINAHL, MEDLINE, PsycINFO and PubMed. Search terms will combine “social media” or “social networking” with “adolescents” or “young people” and “mental health”, “wellbeing”, “anxiety” or “depression”. The review will prioritise peer-reviewed English-language research from 2019–2026 examining adolescents and mental-health or wellbeing outcomes. Studies unrelated to the question or focused exclusively on adults will be excluded. Titles and abstracts will be screened before relevant full texts are checked. Findings will be compared thematically to identify patterns, differences and evidence gaps. Associations will be interpreted cautiously because they do not establish causation (Orben and Przybylski, 2019).</w:t>
      </w:r>
    </w:p>
    <w:p>
      <w:pPr>
        <w:pStyle w:val="Heading1"/>
        <w:spacing w:line="360" w:lineRule="auto" w:after="120"/>
        <w:jc w:val="left"/>
      </w:pPr>
      <w:r>
        <w:rPr>
          <w:rFonts w:ascii="Arial" w:hAnsi="Arial" w:eastAsia="Arial"/>
          <w:b/>
          <w:color w:val="000000"/>
          <w:sz w:val="22"/>
        </w:rPr>
        <w:t>Ethical considerations</w:t>
      </w:r>
    </w:p>
    <w:p>
      <w:pPr>
        <w:spacing w:line="360" w:lineRule="auto" w:after="120"/>
        <w:jc w:val="both"/>
      </w:pPr>
      <w:r>
        <w:rPr>
          <w:rFonts w:ascii="Arial" w:hAnsi="Arial" w:eastAsia="Arial"/>
          <w:color w:val="000000"/>
          <w:sz w:val="22"/>
        </w:rPr>
        <w:t>As the project uses published research, it will not recruit participants or collect personal data. Ethical practice will require accurate reporting, Harvard referencing, avoidance of plagiarism and careful interpretation of study quality. Conclusions will not exaggerate potential harms or present uncertain evidence as fact.</w:t>
      </w:r>
    </w:p>
    <w:p>
      <w:pPr>
        <w:pStyle w:val="Heading1"/>
        <w:spacing w:line="360" w:lineRule="auto" w:after="120"/>
        <w:jc w:val="left"/>
      </w:pPr>
      <w:r>
        <w:rPr>
          <w:rFonts w:ascii="Arial" w:hAnsi="Arial" w:eastAsia="Arial"/>
          <w:b/>
          <w:color w:val="000000"/>
          <w:sz w:val="22"/>
        </w:rPr>
        <w:t>Reference List</w:t>
      </w:r>
    </w:p>
    <w:p>
      <w:pPr>
        <w:pStyle w:val="ListBullet"/>
        <w:spacing w:line="360" w:lineRule="auto" w:after="120"/>
        <w:ind w:left="360" w:hanging="216"/>
        <w:jc w:val="left"/>
      </w:pPr>
      <w:r>
        <w:rPr>
          <w:rFonts w:ascii="Arial" w:hAnsi="Arial" w:eastAsia="Arial"/>
          <w:sz w:val="22"/>
        </w:rPr>
        <w:t xml:space="preserve">Fassi, L., Thomas, K., Parry, D.A., Leyland-Craggs, A., Ford, T.J. and Orben, A. (2024) ‘Social Media Use and Internalizing Symptoms in Clinical and Community Adolescent Samples: A Systematic Review and Meta-Analysis’, </w:t>
      </w:r>
      <w:r>
        <w:rPr>
          <w:rFonts w:ascii="Arial" w:hAnsi="Arial" w:eastAsia="Arial"/>
          <w:i/>
          <w:sz w:val="22"/>
        </w:rPr>
        <w:t>JAMA Pediatrics</w:t>
      </w:r>
      <w:r>
        <w:rPr>
          <w:rFonts w:ascii="Arial" w:hAnsi="Arial" w:eastAsia="Arial"/>
          <w:sz w:val="22"/>
        </w:rPr>
        <w:t xml:space="preserve">, </w:t>
      </w:r>
      <w:r>
        <w:rPr>
          <w:rFonts w:ascii="Arial" w:hAnsi="Arial" w:eastAsia="Arial"/>
          <w:i/>
          <w:sz w:val="22"/>
        </w:rPr>
        <w:t>178</w:t>
      </w:r>
      <w:r>
        <w:rPr>
          <w:rFonts w:ascii="Arial" w:hAnsi="Arial" w:eastAsia="Arial"/>
          <w:sz w:val="22"/>
        </w:rPr>
        <w:t>(8), pp. 814–822.</w:t>
      </w:r>
    </w:p>
    <w:p>
      <w:pPr>
        <w:pStyle w:val="ListBullet"/>
        <w:spacing w:line="360" w:lineRule="auto" w:after="120"/>
        <w:ind w:left="360" w:hanging="216"/>
        <w:jc w:val="left"/>
      </w:pPr>
      <w:r>
        <w:rPr>
          <w:rFonts w:ascii="Arial" w:hAnsi="Arial" w:eastAsia="Arial"/>
          <w:sz w:val="22"/>
        </w:rPr>
        <w:t xml:space="preserve">Keles, B., McCrae, N. and Grealish, A. (2020) ‘A systematic review: the influence of social media on depression, anxiety and psychological distress in adolescents’, </w:t>
      </w:r>
      <w:r>
        <w:rPr>
          <w:rFonts w:ascii="Arial" w:hAnsi="Arial" w:eastAsia="Arial"/>
          <w:i/>
          <w:sz w:val="22"/>
        </w:rPr>
        <w:t>International Journal of Adolescence and Youth</w:t>
      </w:r>
      <w:r>
        <w:rPr>
          <w:rFonts w:ascii="Arial" w:hAnsi="Arial" w:eastAsia="Arial"/>
          <w:sz w:val="22"/>
        </w:rPr>
        <w:t xml:space="preserve">, </w:t>
      </w:r>
      <w:r>
        <w:rPr>
          <w:rFonts w:ascii="Arial" w:hAnsi="Arial" w:eastAsia="Arial"/>
          <w:i/>
          <w:sz w:val="22"/>
        </w:rPr>
        <w:t>25</w:t>
      </w:r>
      <w:r>
        <w:rPr>
          <w:rFonts w:ascii="Arial" w:hAnsi="Arial" w:eastAsia="Arial"/>
          <w:sz w:val="22"/>
        </w:rPr>
        <w:t>(1), pp. 79–93.</w:t>
      </w:r>
    </w:p>
    <w:p>
      <w:pPr>
        <w:pStyle w:val="ListBullet"/>
        <w:spacing w:line="360" w:lineRule="auto" w:after="120"/>
        <w:ind w:left="360" w:hanging="216"/>
        <w:jc w:val="left"/>
      </w:pPr>
      <w:r>
        <w:rPr>
          <w:rFonts w:ascii="Arial" w:hAnsi="Arial" w:eastAsia="Arial"/>
          <w:sz w:val="22"/>
        </w:rPr>
        <w:t xml:space="preserve">Orben, A. and Przybylski, A.K. (2019) ‘The association between adolescent well-being and digital technology use’, </w:t>
      </w:r>
      <w:r>
        <w:rPr>
          <w:rFonts w:ascii="Arial" w:hAnsi="Arial" w:eastAsia="Arial"/>
          <w:i/>
          <w:sz w:val="22"/>
        </w:rPr>
        <w:t>Nature Human Behaviour</w:t>
      </w:r>
      <w:r>
        <w:rPr>
          <w:rFonts w:ascii="Arial" w:hAnsi="Arial" w:eastAsia="Arial"/>
          <w:sz w:val="22"/>
        </w:rPr>
        <w:t xml:space="preserve">, </w:t>
      </w:r>
      <w:r>
        <w:rPr>
          <w:rFonts w:ascii="Arial" w:hAnsi="Arial" w:eastAsia="Arial"/>
          <w:i/>
          <w:sz w:val="22"/>
        </w:rPr>
        <w:t>3</w:t>
      </w:r>
      <w:r>
        <w:rPr>
          <w:rFonts w:ascii="Arial" w:hAnsi="Arial" w:eastAsia="Arial"/>
          <w:sz w:val="22"/>
        </w:rPr>
        <w:t>(2), pp. 173–182.</w:t>
      </w:r>
    </w:p>
    <w:p>
      <w:pPr>
        <w:pStyle w:val="ListBullet"/>
        <w:spacing w:line="360" w:lineRule="auto" w:after="120"/>
        <w:ind w:left="360" w:hanging="216"/>
        <w:jc w:val="left"/>
      </w:pPr>
      <w:r>
        <w:rPr>
          <w:rFonts w:ascii="Arial" w:hAnsi="Arial" w:eastAsia="Arial"/>
          <w:sz w:val="22"/>
        </w:rPr>
        <w:t xml:space="preserve">Shankleman, M., Hammond, L. and Jones, F.W. (2021) ‘Adolescent social media use and well-being: a systematic review and thematic meta-synthesis’, </w:t>
      </w:r>
      <w:r>
        <w:rPr>
          <w:rFonts w:ascii="Arial" w:hAnsi="Arial" w:eastAsia="Arial"/>
          <w:i/>
          <w:sz w:val="22"/>
        </w:rPr>
        <w:t>Adolescent Research Review</w:t>
      </w:r>
      <w:r>
        <w:rPr>
          <w:rFonts w:ascii="Arial" w:hAnsi="Arial" w:eastAsia="Arial"/>
          <w:sz w:val="22"/>
        </w:rPr>
        <w:t xml:space="preserve">, </w:t>
      </w:r>
      <w:r>
        <w:rPr>
          <w:rFonts w:ascii="Arial" w:hAnsi="Arial" w:eastAsia="Arial"/>
          <w:i/>
          <w:sz w:val="22"/>
        </w:rPr>
        <w:t>6</w:t>
      </w:r>
      <w:r>
        <w:rPr>
          <w:rFonts w:ascii="Arial" w:hAnsi="Arial" w:eastAsia="Arial"/>
          <w:sz w:val="22"/>
        </w:rPr>
        <w:t>, pp. 471–492.</w:t>
      </w:r>
    </w:p>
    <w:p>
      <w:pPr>
        <w:pStyle w:val="ListBullet"/>
        <w:spacing w:line="360" w:lineRule="auto" w:after="120"/>
        <w:ind w:left="360" w:hanging="216"/>
        <w:jc w:val="left"/>
      </w:pPr>
      <w:r>
        <w:rPr>
          <w:rFonts w:ascii="Arial" w:hAnsi="Arial" w:eastAsia="Arial"/>
          <w:sz w:val="22"/>
        </w:rPr>
        <w:t>Valkenburg, P.M., Meier, A. and Beyens, I. (2022) ‘Social media use and its impact on adolescent mental health: An umbrella review of the evidence’, Current Opinion in Psychology, 44, pp. 58–68.</w:t>
      </w:r>
    </w:p>
    <w:sectPr w:rsidR="00FC693F" w:rsidRPr="0006063C" w:rsidSect="00034616">
      <w:footerReference w:type="default" r:id="rId9"/>
      <w:pgSz w:w="12240" w:h="15840"/>
      <w:pgMar w:top="1152" w:right="1440" w:bottom="1152"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sz w:val="18"/>
      </w:rPr>
      <w:fldChar w:fldCharType="begin"/>
      <w:instrText xml:space="preserve"> PAGE </w:instrText>
      <w:fldChar w:fldCharType="end"/>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20"/>
    </w:pPr>
    <w:rPr>
      <w:rFonts w:ascii="Arial" w:hAnsi="Arial" w:eastAsia="Arial"/>
      <w:color w:val="000000"/>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rPr>
      <w:color w:val="000000"/>
    </w:rPr>
  </w:style>
  <w:style w:type="character" w:customStyle="1" w:styleId="HeaderChar">
    <w:name w:val="Header Char"/>
    <w:basedOn w:val="DefaultParagraphFont"/>
    <w:link w:val="Header"/>
    <w:uiPriority w:val="99"/>
    <w:rsid w:val="00E618BF"/>
    <w:rPr>
      <w:color w:val="000000"/>
    </w:rPr>
  </w:style>
  <w:style w:type="paragraph" w:styleId="Footer">
    <w:name w:val="footer"/>
    <w:basedOn w:val="Normal"/>
    <w:link w:val="FooterChar"/>
    <w:uiPriority w:val="99"/>
    <w:unhideWhenUsed/>
    <w:rsid w:val="00E618BF"/>
    <w:pPr>
      <w:tabs>
        <w:tab w:val="center" w:pos="4680"/>
        <w:tab w:val="right" w:pos="9360"/>
      </w:tabs>
      <w:spacing w:after="0" w:line="240" w:lineRule="auto"/>
    </w:pPr>
    <w:rPr>
      <w:color w:val="000000"/>
    </w:rPr>
  </w:style>
  <w:style w:type="character" w:customStyle="1" w:styleId="FooterChar">
    <w:name w:val="Footer Char"/>
    <w:basedOn w:val="DefaultParagraphFont"/>
    <w:link w:val="Footer"/>
    <w:uiPriority w:val="99"/>
    <w:rsid w:val="00E618BF"/>
    <w:rPr>
      <w:color w:val="00000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rial" w:hAnsi="Arial"/>
      <w:b/>
      <w:bCs/>
      <w:color w:val="000000"/>
      <w:sz w:val="2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rial" w:hAnsi="Arial"/>
      <w:b/>
      <w:bCs/>
      <w:color w:val="000000"/>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000000"/>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000000"/>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000000"/>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rPr>
      <w:color w:val="000000"/>
    </w:rPr>
  </w:style>
  <w:style w:type="table" w:default="1" w:styleId="TableNormal">
    <w:name w:val="Normal Table"/>
    <w:uiPriority w:val="99"/>
    <w:semiHidden/>
    <w:unhideWhenUsed/>
    <w:rPr>
      <w:color w:val="000000"/>
    </w:rPr>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rPr>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00000"/>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000000"/>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ascii="Arial" w:hAnsi="Arial"/>
      <w:b/>
      <w:color w:val="000000"/>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000000"/>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000000"/>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000000"/>
      <w:spacing w:val="15"/>
      <w:sz w:val="24"/>
      <w:szCs w:val="24"/>
    </w:rPr>
  </w:style>
  <w:style w:type="paragraph" w:styleId="ListParagraph">
    <w:name w:val="List Paragraph"/>
    <w:basedOn w:val="Normal"/>
    <w:uiPriority w:val="34"/>
    <w:qFormat/>
    <w:rsid w:val="00FC693F"/>
    <w:pPr>
      <w:ind w:left="720"/>
      <w:contextualSpacing/>
    </w:pPr>
    <w:rPr>
      <w:color w:val="000000"/>
    </w:rPr>
  </w:style>
  <w:style w:type="paragraph" w:styleId="BodyText">
    <w:name w:val="Body Text"/>
    <w:basedOn w:val="Normal"/>
    <w:link w:val="BodyTextChar"/>
    <w:uiPriority w:val="99"/>
    <w:unhideWhenUsed/>
    <w:rsid w:val="00AA1D8D"/>
    <w:pPr>
      <w:spacing w:after="120"/>
    </w:pPr>
    <w:rPr>
      <w:color w:val="000000"/>
    </w:rPr>
  </w:style>
  <w:style w:type="character" w:customStyle="1" w:styleId="BodyTextChar">
    <w:name w:val="Body Text Char"/>
    <w:basedOn w:val="DefaultParagraphFont"/>
    <w:link w:val="BodyText"/>
    <w:uiPriority w:val="99"/>
    <w:rsid w:val="00AA1D8D"/>
    <w:rPr>
      <w:color w:val="000000"/>
    </w:rPr>
  </w:style>
  <w:style w:type="paragraph" w:styleId="BodyText2">
    <w:name w:val="Body Text 2"/>
    <w:basedOn w:val="Normal"/>
    <w:link w:val="BodyText2Char"/>
    <w:uiPriority w:val="99"/>
    <w:unhideWhenUsed/>
    <w:rsid w:val="00AA1D8D"/>
    <w:pPr>
      <w:spacing w:after="120" w:line="480" w:lineRule="auto"/>
    </w:pPr>
    <w:rPr>
      <w:color w:val="000000"/>
    </w:rPr>
  </w:style>
  <w:style w:type="character" w:customStyle="1" w:styleId="BodyText2Char">
    <w:name w:val="Body Text 2 Char"/>
    <w:basedOn w:val="DefaultParagraphFont"/>
    <w:link w:val="BodyText2"/>
    <w:uiPriority w:val="99"/>
    <w:rsid w:val="00AA1D8D"/>
    <w:rPr>
      <w:color w:val="000000"/>
    </w:rPr>
  </w:style>
  <w:style w:type="paragraph" w:styleId="BodyText3">
    <w:name w:val="Body Text 3"/>
    <w:basedOn w:val="Normal"/>
    <w:link w:val="BodyText3Char"/>
    <w:uiPriority w:val="99"/>
    <w:unhideWhenUsed/>
    <w:rsid w:val="00AA1D8D"/>
    <w:pPr>
      <w:spacing w:after="120"/>
    </w:pPr>
    <w:rPr>
      <w:color w:val="000000"/>
      <w:sz w:val="16"/>
      <w:szCs w:val="16"/>
    </w:rPr>
  </w:style>
  <w:style w:type="character" w:customStyle="1" w:styleId="BodyText3Char">
    <w:name w:val="Body Text 3 Char"/>
    <w:basedOn w:val="DefaultParagraphFont"/>
    <w:link w:val="BodyText3"/>
    <w:uiPriority w:val="99"/>
    <w:rsid w:val="00AA1D8D"/>
    <w:rPr>
      <w:color w:val="000000"/>
      <w:sz w:val="16"/>
      <w:szCs w:val="16"/>
    </w:rPr>
  </w:style>
  <w:style w:type="paragraph" w:styleId="List">
    <w:name w:val="List"/>
    <w:basedOn w:val="Normal"/>
    <w:uiPriority w:val="99"/>
    <w:unhideWhenUsed/>
    <w:rsid w:val="00AA1D8D"/>
    <w:pPr>
      <w:ind w:left="360" w:hanging="360"/>
      <w:contextualSpacing/>
    </w:pPr>
    <w:rPr>
      <w:color w:val="000000"/>
    </w:rPr>
  </w:style>
  <w:style w:type="paragraph" w:styleId="List2">
    <w:name w:val="List 2"/>
    <w:basedOn w:val="Normal"/>
    <w:uiPriority w:val="99"/>
    <w:unhideWhenUsed/>
    <w:rsid w:val="00326F90"/>
    <w:pPr>
      <w:ind w:left="720" w:hanging="360"/>
      <w:contextualSpacing/>
    </w:pPr>
    <w:rPr>
      <w:color w:val="000000"/>
    </w:rPr>
  </w:style>
  <w:style w:type="paragraph" w:styleId="List3">
    <w:name w:val="List 3"/>
    <w:basedOn w:val="Normal"/>
    <w:uiPriority w:val="99"/>
    <w:unhideWhenUsed/>
    <w:rsid w:val="00326F90"/>
    <w:pPr>
      <w:ind w:left="1080" w:hanging="360"/>
      <w:contextualSpacing/>
    </w:pPr>
    <w:rPr>
      <w:color w:val="000000"/>
    </w:rPr>
  </w:style>
  <w:style w:type="paragraph" w:styleId="ListBullet">
    <w:name w:val="List Bullet"/>
    <w:basedOn w:val="Normal"/>
    <w:uiPriority w:val="99"/>
    <w:unhideWhenUsed/>
    <w:rsid w:val="00326F90"/>
    <w:pPr>
      <w:numPr>
        <w:numId w:val="1"/>
      </w:numPr>
      <w:contextualSpacing/>
    </w:pPr>
    <w:rPr>
      <w:color w:val="000000"/>
    </w:rPr>
  </w:style>
  <w:style w:type="paragraph" w:styleId="ListBullet2">
    <w:name w:val="List Bullet 2"/>
    <w:basedOn w:val="Normal"/>
    <w:uiPriority w:val="99"/>
    <w:unhideWhenUsed/>
    <w:rsid w:val="00326F90"/>
    <w:pPr>
      <w:numPr>
        <w:numId w:val="2"/>
      </w:numPr>
      <w:contextualSpacing/>
    </w:pPr>
    <w:rPr>
      <w:color w:val="000000"/>
    </w:rPr>
  </w:style>
  <w:style w:type="paragraph" w:styleId="ListBullet3">
    <w:name w:val="List Bullet 3"/>
    <w:basedOn w:val="Normal"/>
    <w:uiPriority w:val="99"/>
    <w:unhideWhenUsed/>
    <w:rsid w:val="00326F90"/>
    <w:pPr>
      <w:numPr>
        <w:numId w:val="3"/>
      </w:numPr>
      <w:contextualSpacing/>
    </w:pPr>
    <w:rPr>
      <w:color w:val="000000"/>
    </w:rPr>
  </w:style>
  <w:style w:type="paragraph" w:styleId="ListNumber">
    <w:name w:val="List Number"/>
    <w:basedOn w:val="Normal"/>
    <w:uiPriority w:val="99"/>
    <w:unhideWhenUsed/>
    <w:rsid w:val="00326F90"/>
    <w:pPr>
      <w:numPr>
        <w:numId w:val="5"/>
      </w:numPr>
      <w:contextualSpacing/>
    </w:pPr>
    <w:rPr>
      <w:color w:val="000000"/>
    </w:rPr>
  </w:style>
  <w:style w:type="paragraph" w:styleId="ListNumber2">
    <w:name w:val="List Number 2"/>
    <w:basedOn w:val="Normal"/>
    <w:uiPriority w:val="99"/>
    <w:unhideWhenUsed/>
    <w:rsid w:val="0029639D"/>
    <w:pPr>
      <w:numPr>
        <w:numId w:val="6"/>
      </w:numPr>
      <w:contextualSpacing/>
    </w:pPr>
    <w:rPr>
      <w:color w:val="000000"/>
    </w:rPr>
  </w:style>
  <w:style w:type="paragraph" w:styleId="ListNumber3">
    <w:name w:val="List Number 3"/>
    <w:basedOn w:val="Normal"/>
    <w:uiPriority w:val="99"/>
    <w:unhideWhenUsed/>
    <w:rsid w:val="0029639D"/>
    <w:pPr>
      <w:numPr>
        <w:numId w:val="7"/>
      </w:numPr>
      <w:contextualSpacing/>
    </w:pPr>
    <w:rPr>
      <w:color w:val="000000"/>
    </w:rPr>
  </w:style>
  <w:style w:type="paragraph" w:styleId="ListContinue">
    <w:name w:val="List Continue"/>
    <w:basedOn w:val="Normal"/>
    <w:uiPriority w:val="99"/>
    <w:unhideWhenUsed/>
    <w:rsid w:val="0029639D"/>
    <w:pPr>
      <w:spacing w:after="120"/>
      <w:ind w:left="360"/>
      <w:contextualSpacing/>
    </w:pPr>
    <w:rPr>
      <w:color w:val="000000"/>
    </w:rPr>
  </w:style>
  <w:style w:type="paragraph" w:styleId="ListContinue2">
    <w:name w:val="List Continue 2"/>
    <w:basedOn w:val="Normal"/>
    <w:uiPriority w:val="99"/>
    <w:unhideWhenUsed/>
    <w:rsid w:val="0029639D"/>
    <w:pPr>
      <w:spacing w:after="120"/>
      <w:ind w:left="720"/>
      <w:contextualSpacing/>
    </w:pPr>
    <w:rPr>
      <w:color w:val="000000"/>
    </w:rPr>
  </w:style>
  <w:style w:type="paragraph" w:styleId="ListContinue3">
    <w:name w:val="List Continue 3"/>
    <w:basedOn w:val="Normal"/>
    <w:uiPriority w:val="99"/>
    <w:unhideWhenUsed/>
    <w:rsid w:val="0029639D"/>
    <w:pPr>
      <w:spacing w:after="120"/>
      <w:ind w:left="1080"/>
      <w:contextualSpacing/>
    </w:pPr>
    <w:rPr>
      <w:color w:val="000000"/>
    </w:r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color w:val="000000"/>
      <w:sz w:val="20"/>
      <w:szCs w:val="20"/>
    </w:rPr>
  </w:style>
  <w:style w:type="character" w:customStyle="1" w:styleId="MacroTextChar">
    <w:name w:val="Macro Text Char"/>
    <w:basedOn w:val="DefaultParagraphFont"/>
    <w:link w:val="MacroText"/>
    <w:uiPriority w:val="99"/>
    <w:rsid w:val="0029639D"/>
    <w:rPr>
      <w:rFonts w:ascii="Courier" w:hAnsi="Courier"/>
      <w:color w:val="000000"/>
      <w:sz w:val="20"/>
      <w:szCs w:val="20"/>
    </w:rPr>
  </w:style>
  <w:style w:type="paragraph" w:styleId="Quote">
    <w:name w:val="Quote"/>
    <w:basedOn w:val="Normal"/>
    <w:next w:val="Normal"/>
    <w:link w:val="QuoteChar"/>
    <w:uiPriority w:val="29"/>
    <w:qFormat/>
    <w:rsid w:val="00FC693F"/>
    <w:rPr>
      <w:i/>
      <w:iCs/>
      <w:color w:val="000000"/>
    </w:rPr>
  </w:style>
  <w:style w:type="character" w:customStyle="1" w:styleId="QuoteChar">
    <w:name w:val="Quote Char"/>
    <w:basedOn w:val="DefaultParagraphFont"/>
    <w:link w:val="Quote"/>
    <w:uiPriority w:val="29"/>
    <w:rsid w:val="00FC693F"/>
    <w:rPr>
      <w:i/>
      <w:iCs/>
      <w:color w:val="000000"/>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000000"/>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000000"/>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FC693F"/>
    <w:pPr>
      <w:spacing w:line="240" w:lineRule="auto"/>
    </w:pPr>
    <w:rPr>
      <w:b/>
      <w:bCs/>
      <w:color w:val="000000"/>
      <w:sz w:val="18"/>
      <w:szCs w:val="18"/>
    </w:rPr>
  </w:style>
  <w:style w:type="character" w:styleId="Strong">
    <w:name w:val="Strong"/>
    <w:basedOn w:val="DefaultParagraphFont"/>
    <w:uiPriority w:val="22"/>
    <w:qFormat/>
    <w:rsid w:val="00FC693F"/>
    <w:rPr>
      <w:b/>
      <w:bCs/>
      <w:color w:val="000000"/>
    </w:rPr>
  </w:style>
  <w:style w:type="character" w:styleId="Emphasis">
    <w:name w:val="Emphasis"/>
    <w:basedOn w:val="DefaultParagraphFont"/>
    <w:uiPriority w:val="20"/>
    <w:qFormat/>
    <w:rsid w:val="00FC693F"/>
    <w:rPr>
      <w:i/>
      <w:iCs/>
      <w:color w:val="000000"/>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000000"/>
    </w:rPr>
  </w:style>
  <w:style w:type="character" w:customStyle="1" w:styleId="IntenseQuoteChar">
    <w:name w:val="Intense Quote Char"/>
    <w:basedOn w:val="DefaultParagraphFont"/>
    <w:link w:val="IntenseQuote"/>
    <w:uiPriority w:val="30"/>
    <w:rsid w:val="00FC693F"/>
    <w:rPr>
      <w:b/>
      <w:bCs/>
      <w:i/>
      <w:iCs/>
      <w:color w:val="000000"/>
    </w:rPr>
  </w:style>
  <w:style w:type="character" w:styleId="SubtleEmphasis">
    <w:name w:val="Subtle Emphasis"/>
    <w:basedOn w:val="DefaultParagraphFont"/>
    <w:uiPriority w:val="19"/>
    <w:qFormat/>
    <w:rsid w:val="00FC693F"/>
    <w:rPr>
      <w:i/>
      <w:iCs/>
      <w:color w:val="000000"/>
    </w:rPr>
  </w:style>
  <w:style w:type="character" w:styleId="IntenseEmphasis">
    <w:name w:val="Intense Emphasis"/>
    <w:basedOn w:val="DefaultParagraphFont"/>
    <w:uiPriority w:val="21"/>
    <w:qFormat/>
    <w:rsid w:val="00FC693F"/>
    <w:rPr>
      <w:b/>
      <w:bCs/>
      <w:i/>
      <w:iCs/>
      <w:color w:val="000000"/>
    </w:rPr>
  </w:style>
  <w:style w:type="character" w:styleId="SubtleReference">
    <w:name w:val="Subtle Reference"/>
    <w:basedOn w:val="DefaultParagraphFont"/>
    <w:uiPriority w:val="31"/>
    <w:qFormat/>
    <w:rsid w:val="00FC693F"/>
    <w:rPr>
      <w:smallCaps/>
      <w:color w:val="000000"/>
      <w:u w:val="single"/>
    </w:rPr>
  </w:style>
  <w:style w:type="character" w:styleId="IntenseReference">
    <w:name w:val="Intense Reference"/>
    <w:basedOn w:val="DefaultParagraphFont"/>
    <w:uiPriority w:val="32"/>
    <w:qFormat/>
    <w:rsid w:val="00FC693F"/>
    <w:rPr>
      <w:b/>
      <w:bCs/>
      <w:smallCaps/>
      <w:color w:val="000000"/>
      <w:spacing w:val="5"/>
      <w:u w:val="single"/>
    </w:rPr>
  </w:style>
  <w:style w:type="character" w:styleId="BookTitle">
    <w:name w:val="Book Title"/>
    <w:basedOn w:val="DefaultParagraphFont"/>
    <w:uiPriority w:val="33"/>
    <w:qFormat/>
    <w:rsid w:val="00FC693F"/>
    <w:rPr>
      <w:b/>
      <w:bCs/>
      <w:smallCaps/>
      <w:color w:val="000000"/>
      <w:spacing w:val="5"/>
    </w:rPr>
  </w:style>
  <w:style w:type="paragraph" w:styleId="TOCHeading">
    <w:name w:val="TOC Heading"/>
    <w:basedOn w:val="Heading1"/>
    <w:next w:val="Normal"/>
    <w:uiPriority w:val="39"/>
    <w:semiHidden/>
    <w:unhideWhenUsed/>
    <w:qFormat/>
    <w:rsid w:val="00FC693F"/>
    <w:pPr>
      <w:outlineLvl w:val="9"/>
    </w:pPr>
    <w:rPr>
      <w:color w:val="000000"/>
    </w:rPr>
  </w:style>
  <w:style w:type="table" w:styleId="TableGrid">
    <w:name w:val="Table Grid"/>
    <w:basedOn w:val="TableNormal"/>
    <w:uiPriority w:val="59"/>
    <w:rsid w:val="00FC693F"/>
    <w:pPr>
      <w:spacing w:after="0" w:line="240" w:lineRule="auto"/>
    </w:pPr>
    <w:rPr>
      <w:color w:val="00000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000000"/>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000000"/>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000000"/>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000000"/>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000000"/>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000000"/>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rPr>
      <w:color w:val="000000"/>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rPr>
      <w:color w:val="000000"/>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rPr>
      <w:color w:val="000000"/>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rPr>
      <w:color w:val="000000"/>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rPr>
      <w:color w:val="000000"/>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rPr>
      <w:color w:val="000000"/>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rPr>
      <w:color w:val="000000"/>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rPr>
      <w:color w:val="000000"/>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rPr>
      <w:color w:val="000000"/>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rPr>
      <w:color w:val="000000"/>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rPr>
      <w:color w:val="000000"/>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rPr>
      <w:color w:val="000000"/>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rPr>
      <w:color w:val="000000"/>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rPr>
      <w:color w:val="000000"/>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rPr>
      <w:color w:val="000000"/>
    </w:r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rPr>
      <w:color w:val="000000"/>
    </w:r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rPr>
      <w:color w:val="000000"/>
    </w:r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rPr>
      <w:color w:val="000000"/>
    </w:r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rPr>
      <w:color w:val="000000"/>
    </w:r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rPr>
      <w:color w:val="000000"/>
    </w:r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rPr>
      <w:color w:val="000000"/>
    </w:r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rPr>
      <w:color w:val="000000"/>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rPr>
      <w:color w:val="000000"/>
    </w:r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rPr>
      <w:color w:val="000000"/>
    </w:r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rPr>
      <w:color w:val="000000"/>
    </w:r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rPr>
      <w:color w:val="000000"/>
    </w:r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rPr>
      <w:color w:val="000000"/>
    </w:r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rPr>
      <w:color w:val="000000"/>
    </w:r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rPr>
      <w:color w:val="000000"/>
    </w:r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rPr>
      <w:color w:val="000000"/>
    </w:r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