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90CD8" w14:textId="07787CED" w:rsidR="004952E5" w:rsidRPr="000F670C" w:rsidRDefault="004952E5" w:rsidP="004952E5">
      <w:pPr>
        <w:rPr>
          <w:b/>
          <w:bCs/>
        </w:rPr>
      </w:pPr>
      <w:r w:rsidRPr="004952E5">
        <w:rPr>
          <w:b/>
          <w:bCs/>
        </w:rPr>
        <w:t>Assignment 1 –</w:t>
      </w:r>
      <w:r>
        <w:rPr>
          <w:b/>
          <w:bCs/>
        </w:rPr>
        <w:t xml:space="preserve"> Component 2: Essay</w:t>
      </w:r>
      <w:r w:rsidRPr="004952E5">
        <w:rPr>
          <w:b/>
          <w:bCs/>
        </w:rPr>
        <w:t xml:space="preserve"> Example Submission (AI-Writte</w:t>
      </w:r>
      <w:r>
        <w:rPr>
          <w:b/>
          <w:bCs/>
        </w:rPr>
        <w:t>n</w:t>
      </w:r>
      <w:r w:rsidRPr="004952E5">
        <w:rPr>
          <w:b/>
          <w:bCs/>
        </w:rPr>
        <w:t>)</w:t>
      </w:r>
      <w:r w:rsidR="000F670C">
        <w:rPr>
          <w:b/>
          <w:bCs/>
        </w:rPr>
        <w:t xml:space="preserve"> </w:t>
      </w:r>
      <w:r w:rsidRPr="004952E5">
        <w:rPr>
          <w:i/>
          <w:iCs/>
        </w:rPr>
        <w:t>(Student example – do not copy)</w:t>
      </w:r>
    </w:p>
    <w:p w14:paraId="6CD91BEC" w14:textId="77777777" w:rsidR="004952E5" w:rsidRPr="004952E5" w:rsidRDefault="004952E5" w:rsidP="004952E5">
      <w:pPr>
        <w:rPr>
          <w:b/>
          <w:bCs/>
        </w:rPr>
      </w:pPr>
      <w:r w:rsidRPr="004952E5">
        <w:rPr>
          <w:b/>
          <w:bCs/>
        </w:rPr>
        <w:t>Introduction (Approx. 120 words)</w:t>
      </w:r>
    </w:p>
    <w:p w14:paraId="0A389014" w14:textId="799728D4" w:rsidR="004952E5" w:rsidRPr="004952E5" w:rsidRDefault="004952E5" w:rsidP="004952E5">
      <w:r w:rsidRPr="004952E5">
        <w:t>Digital learning has become an integral part of higher education, shaping how students engage with academic content and develop essential skills. Advances in digital technologies have transformed access to information, communication, and learning environments, creating both challenges and opportunities for students. Understanding these challenges and opportunities is important because they directly influence students’ academic success and ability to adapt to modern learning contexts. This essay will examine key challenges faced by students in the digital era, before exploring opportunities created by digital tools. It will then propose strategies students can use to succeed academically by applying skills such as digital literacy, critical evaluation, and time management. The discussion is supported by recent academic literature and draws on academic skills developed in class.</w:t>
      </w:r>
    </w:p>
    <w:p w14:paraId="36FC0776" w14:textId="77777777" w:rsidR="004952E5" w:rsidRPr="004952E5" w:rsidRDefault="004952E5" w:rsidP="004952E5">
      <w:pPr>
        <w:rPr>
          <w:b/>
          <w:bCs/>
        </w:rPr>
      </w:pPr>
      <w:r w:rsidRPr="004952E5">
        <w:rPr>
          <w:b/>
          <w:bCs/>
        </w:rPr>
        <w:t>Challenges for Students in the Digital Era (Approx. 180 words)</w:t>
      </w:r>
    </w:p>
    <w:p w14:paraId="7DB71C8B" w14:textId="77777777" w:rsidR="004952E5" w:rsidRPr="004952E5" w:rsidRDefault="004952E5" w:rsidP="004952E5">
      <w:r w:rsidRPr="004952E5">
        <w:t>One significant challenge for students in the digital era is digital distraction. The widespread availability of smartphones and laptops in learning environments can reduce students’ ability to maintain focus during academic tasks. Recent research suggests that frequent exposure to digital notifications and multitasking can negatively affect concentration and academic performance (Nguyen, 2023). This challenge is particularly relevant in higher education, where students are expected to manage independent learning alongside digital demands.</w:t>
      </w:r>
    </w:p>
    <w:p w14:paraId="459F7616" w14:textId="07A4F0E8" w:rsidR="004952E5" w:rsidRPr="004952E5" w:rsidRDefault="004952E5" w:rsidP="004952E5">
      <w:r w:rsidRPr="004952E5">
        <w:t>Another challenge relates to information overload. Students now have access to vast amounts of digital information, which can make it difficult to identify credible and relevant academic sources. According to Williams and Ahmed (2022), students may struggle to critically evaluate online information, leading to the use of weak or unreliable sources in academic work. These challenges impact academic success because they can reduce the quality of learning and assessment outcomes. Without strong academic skills such as critical evaluation and effective time management, students may find it difficult to engage meaningfully with digital learning environments.</w:t>
      </w:r>
    </w:p>
    <w:p w14:paraId="1181FE24" w14:textId="77777777" w:rsidR="004952E5" w:rsidRPr="004952E5" w:rsidRDefault="004952E5" w:rsidP="004952E5">
      <w:pPr>
        <w:rPr>
          <w:b/>
          <w:bCs/>
        </w:rPr>
      </w:pPr>
      <w:r w:rsidRPr="004952E5">
        <w:rPr>
          <w:b/>
          <w:bCs/>
        </w:rPr>
        <w:t>Opportunities in the Digital Era (Approx. 180 words)</w:t>
      </w:r>
    </w:p>
    <w:p w14:paraId="42FF5DE1" w14:textId="77777777" w:rsidR="004952E5" w:rsidRPr="004952E5" w:rsidRDefault="004952E5" w:rsidP="004952E5">
      <w:r w:rsidRPr="004952E5">
        <w:t>Despite these challenges, the digital era also offers significant opportunities for students. One key opportunity is improved access to academic resources. Digital libraries, online journals, and learning platforms allow students to engage with academic material more efficiently than traditional methods. Research by Patel et al. (2024) highlights that digital access can support independent learning and enhance students’ ability to conduct research.</w:t>
      </w:r>
    </w:p>
    <w:p w14:paraId="6A9CE759" w14:textId="5AE284BF" w:rsidR="004952E5" w:rsidRPr="004952E5" w:rsidRDefault="004952E5" w:rsidP="004952E5">
      <w:r w:rsidRPr="004952E5">
        <w:lastRenderedPageBreak/>
        <w:t>Another opportunity is the use of digital tools to support collaboration and engagement. Online discussion platforms and shared digital spaces can encourage participation and communication among students. Smith and Carter (2023) argue that digital tools can enhance engagement when used effectively within academic contexts. However, the effectiveness of these tools depends on how students apply them. Simply having access to technology does not guarantee academic success. Students must critically evaluate how digital tools support their learning goals rather than relying on technology without reflection.</w:t>
      </w:r>
    </w:p>
    <w:p w14:paraId="2064328D" w14:textId="77777777" w:rsidR="004952E5" w:rsidRPr="004952E5" w:rsidRDefault="004952E5" w:rsidP="004952E5">
      <w:pPr>
        <w:rPr>
          <w:b/>
          <w:bCs/>
        </w:rPr>
      </w:pPr>
      <w:r w:rsidRPr="004952E5">
        <w:rPr>
          <w:b/>
          <w:bCs/>
        </w:rPr>
        <w:t>How Students Can Adapt to Succeed (Approx. 220 words)</w:t>
      </w:r>
    </w:p>
    <w:p w14:paraId="3EF4104F" w14:textId="77777777" w:rsidR="004952E5" w:rsidRPr="004952E5" w:rsidRDefault="004952E5" w:rsidP="004952E5">
      <w:r w:rsidRPr="004952E5">
        <w:t>To succeed in the digital era, students must develop strategies that address both challenges and opportunities. One effective strategy is improving digital literacy skills. Digital literacy enables students to critically evaluate online sources and identify credible academic information. Nguyen (2023) suggests that strong digital literacy skills reduce the risk of misinformation and support higher-quality academic work.</w:t>
      </w:r>
    </w:p>
    <w:p w14:paraId="34226C4F" w14:textId="77777777" w:rsidR="004952E5" w:rsidRPr="004952E5" w:rsidRDefault="004952E5" w:rsidP="004952E5">
      <w:r w:rsidRPr="004952E5">
        <w:t>A second strategy involves developing effective time management practices. Managing digital distractions is essential for academic success. Williams and Ahmed (2022) emphasise that students who plan their study time and limit non-academic digital activity are better able to maintain focus and meet academic deadlines. This strategy directly addresses the challenge of digital distraction while supporting independent learning.</w:t>
      </w:r>
    </w:p>
    <w:p w14:paraId="0883ACC0" w14:textId="33FFC087" w:rsidR="004952E5" w:rsidRPr="004952E5" w:rsidRDefault="004952E5" w:rsidP="004952E5">
      <w:r w:rsidRPr="004952E5">
        <w:t>A third strategy is the purposeful use of digital tools to support engagement. Students should select digital platforms that enhance collaboration and understanding rather than using technology passively. Patel et al. (2024) note that digital tools are most effective when students actively engage with learning materials and peers. By applying academic skills such as critical evaluation and reflection, students can maximise the benefits of digital tools while minimising their limitations.</w:t>
      </w:r>
    </w:p>
    <w:p w14:paraId="3E86F78D" w14:textId="77777777" w:rsidR="004952E5" w:rsidRPr="004952E5" w:rsidRDefault="004952E5" w:rsidP="004952E5">
      <w:pPr>
        <w:rPr>
          <w:b/>
          <w:bCs/>
        </w:rPr>
      </w:pPr>
      <w:r w:rsidRPr="004952E5">
        <w:rPr>
          <w:b/>
          <w:bCs/>
        </w:rPr>
        <w:t>Conclusion (Approx. 120 words)</w:t>
      </w:r>
    </w:p>
    <w:p w14:paraId="03A3BC07" w14:textId="6F2EB8D9" w:rsidR="004952E5" w:rsidRPr="004952E5" w:rsidRDefault="004952E5" w:rsidP="004952E5">
      <w:r w:rsidRPr="004952E5">
        <w:t>In conclusion, the digital era presents both challenges and opportunities for students in higher education. Digital distraction and information overload can negatively impact academic success, while improved access to resources and collaborative tools offer significant benefits. To succeed, students must apply academic skills such as digital literacy, time management, and critical evaluation. By developing strategies that address these challenges and opportunities, students can adapt effectively to digital learning environments. Overall, understanding how to apply academic skills in the digital era is essential for achieving academic success and engaging meaningfully with higher education.</w:t>
      </w:r>
    </w:p>
    <w:p w14:paraId="4382163B" w14:textId="77777777" w:rsidR="000F670C" w:rsidRDefault="000F670C" w:rsidP="004952E5">
      <w:pPr>
        <w:rPr>
          <w:b/>
          <w:bCs/>
        </w:rPr>
      </w:pPr>
    </w:p>
    <w:p w14:paraId="3B710C05" w14:textId="7589D375" w:rsidR="004952E5" w:rsidRPr="004952E5" w:rsidRDefault="004952E5" w:rsidP="004952E5">
      <w:pPr>
        <w:rPr>
          <w:b/>
          <w:bCs/>
        </w:rPr>
      </w:pPr>
      <w:r w:rsidRPr="004952E5">
        <w:rPr>
          <w:b/>
          <w:bCs/>
        </w:rPr>
        <w:lastRenderedPageBreak/>
        <w:t>Reference List</w:t>
      </w:r>
    </w:p>
    <w:p w14:paraId="7AE6ED7C" w14:textId="77777777" w:rsidR="004952E5" w:rsidRPr="004952E5" w:rsidRDefault="004952E5" w:rsidP="004952E5">
      <w:r w:rsidRPr="004952E5">
        <w:t xml:space="preserve">Nguyen, T. (2023) ‘Digital distraction and student focus in higher education’, </w:t>
      </w:r>
      <w:r w:rsidRPr="004952E5">
        <w:rPr>
          <w:i/>
          <w:iCs/>
        </w:rPr>
        <w:t>Journal of Educational Technology</w:t>
      </w:r>
      <w:r w:rsidRPr="004952E5">
        <w:t>, 19(2), pp. 88–102.</w:t>
      </w:r>
    </w:p>
    <w:p w14:paraId="0831ADCE" w14:textId="77777777" w:rsidR="004952E5" w:rsidRPr="004952E5" w:rsidRDefault="004952E5" w:rsidP="004952E5">
      <w:r w:rsidRPr="004952E5">
        <w:t xml:space="preserve">Patel, R., Jones, L. and Green, S. (2024) ‘Digital tools and independent learning in higher education’, </w:t>
      </w:r>
      <w:r w:rsidRPr="004952E5">
        <w:rPr>
          <w:i/>
          <w:iCs/>
        </w:rPr>
        <w:t>International Journal of Learning and Teaching</w:t>
      </w:r>
      <w:r w:rsidRPr="004952E5">
        <w:t>, 12(1), pp. 34–47.</w:t>
      </w:r>
    </w:p>
    <w:p w14:paraId="74E55FC5" w14:textId="77777777" w:rsidR="004952E5" w:rsidRPr="004952E5" w:rsidRDefault="004952E5" w:rsidP="004952E5">
      <w:r w:rsidRPr="004952E5">
        <w:t xml:space="preserve">Smith, A. and Carter, M. (2023) ‘Student engagement in digital learning environments’, </w:t>
      </w:r>
      <w:r w:rsidRPr="004952E5">
        <w:rPr>
          <w:i/>
          <w:iCs/>
        </w:rPr>
        <w:t>Higher Education Studies</w:t>
      </w:r>
      <w:r w:rsidRPr="004952E5">
        <w:t>, 15(3), pp. 56–69.</w:t>
      </w:r>
    </w:p>
    <w:p w14:paraId="709BB078" w14:textId="095ED1A7" w:rsidR="000F670C" w:rsidRDefault="004952E5" w:rsidP="004952E5">
      <w:pPr>
        <w:sectPr w:rsidR="000F670C">
          <w:pgSz w:w="11906" w:h="16838"/>
          <w:pgMar w:top="1440" w:right="1440" w:bottom="1440" w:left="1440" w:header="708" w:footer="708" w:gutter="0"/>
          <w:cols w:space="708"/>
          <w:docGrid w:linePitch="360"/>
        </w:sectPr>
      </w:pPr>
      <w:r w:rsidRPr="004952E5">
        <w:t xml:space="preserve">Williams, D. and Ahmed, K. (2022) ‘Information overload and academic decision-making among university students’, </w:t>
      </w:r>
      <w:r w:rsidRPr="004952E5">
        <w:rPr>
          <w:i/>
          <w:iCs/>
        </w:rPr>
        <w:t>Journal of Academic Skills</w:t>
      </w:r>
      <w:r w:rsidRPr="004952E5">
        <w:t>, 8(4), pp. 112–125.</w:t>
      </w:r>
    </w:p>
    <w:p w14:paraId="5E0FE262" w14:textId="77777777" w:rsidR="003F0402" w:rsidRDefault="003F0402"/>
    <w:sectPr w:rsidR="003F04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817B0"/>
    <w:multiLevelType w:val="multilevel"/>
    <w:tmpl w:val="FBF0D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A753E"/>
    <w:multiLevelType w:val="multilevel"/>
    <w:tmpl w:val="17F47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C926A0"/>
    <w:multiLevelType w:val="multilevel"/>
    <w:tmpl w:val="003A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ED32AD"/>
    <w:multiLevelType w:val="multilevel"/>
    <w:tmpl w:val="BB84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326074"/>
    <w:multiLevelType w:val="multilevel"/>
    <w:tmpl w:val="27AA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A251F8"/>
    <w:multiLevelType w:val="multilevel"/>
    <w:tmpl w:val="D36E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6350326">
    <w:abstractNumId w:val="3"/>
  </w:num>
  <w:num w:numId="2" w16cid:durableId="1136995713">
    <w:abstractNumId w:val="2"/>
  </w:num>
  <w:num w:numId="3" w16cid:durableId="1574317398">
    <w:abstractNumId w:val="4"/>
  </w:num>
  <w:num w:numId="4" w16cid:durableId="198590131">
    <w:abstractNumId w:val="5"/>
  </w:num>
  <w:num w:numId="5" w16cid:durableId="1398164922">
    <w:abstractNumId w:val="0"/>
  </w:num>
  <w:num w:numId="6" w16cid:durableId="1189641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2E5"/>
    <w:rsid w:val="000F670C"/>
    <w:rsid w:val="0023162E"/>
    <w:rsid w:val="003F0402"/>
    <w:rsid w:val="004952E5"/>
    <w:rsid w:val="007B07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49D6C"/>
  <w15:chartTrackingRefBased/>
  <w15:docId w15:val="{8F8C41C7-4DEA-43A7-B823-05F930CB4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2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52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52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52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52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52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2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2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2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2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52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52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52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52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52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2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2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2E5"/>
    <w:rPr>
      <w:rFonts w:eastAsiaTheme="majorEastAsia" w:cstheme="majorBidi"/>
      <w:color w:val="272727" w:themeColor="text1" w:themeTint="D8"/>
    </w:rPr>
  </w:style>
  <w:style w:type="paragraph" w:styleId="Title">
    <w:name w:val="Title"/>
    <w:basedOn w:val="Normal"/>
    <w:next w:val="Normal"/>
    <w:link w:val="TitleChar"/>
    <w:uiPriority w:val="10"/>
    <w:qFormat/>
    <w:rsid w:val="004952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2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2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2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2E5"/>
    <w:pPr>
      <w:spacing w:before="160"/>
      <w:jc w:val="center"/>
    </w:pPr>
    <w:rPr>
      <w:i/>
      <w:iCs/>
      <w:color w:val="404040" w:themeColor="text1" w:themeTint="BF"/>
    </w:rPr>
  </w:style>
  <w:style w:type="character" w:customStyle="1" w:styleId="QuoteChar">
    <w:name w:val="Quote Char"/>
    <w:basedOn w:val="DefaultParagraphFont"/>
    <w:link w:val="Quote"/>
    <w:uiPriority w:val="29"/>
    <w:rsid w:val="004952E5"/>
    <w:rPr>
      <w:i/>
      <w:iCs/>
      <w:color w:val="404040" w:themeColor="text1" w:themeTint="BF"/>
    </w:rPr>
  </w:style>
  <w:style w:type="paragraph" w:styleId="ListParagraph">
    <w:name w:val="List Paragraph"/>
    <w:basedOn w:val="Normal"/>
    <w:uiPriority w:val="34"/>
    <w:qFormat/>
    <w:rsid w:val="004952E5"/>
    <w:pPr>
      <w:ind w:left="720"/>
      <w:contextualSpacing/>
    </w:pPr>
  </w:style>
  <w:style w:type="character" w:styleId="IntenseEmphasis">
    <w:name w:val="Intense Emphasis"/>
    <w:basedOn w:val="DefaultParagraphFont"/>
    <w:uiPriority w:val="21"/>
    <w:qFormat/>
    <w:rsid w:val="004952E5"/>
    <w:rPr>
      <w:i/>
      <w:iCs/>
      <w:color w:val="0F4761" w:themeColor="accent1" w:themeShade="BF"/>
    </w:rPr>
  </w:style>
  <w:style w:type="paragraph" w:styleId="IntenseQuote">
    <w:name w:val="Intense Quote"/>
    <w:basedOn w:val="Normal"/>
    <w:next w:val="Normal"/>
    <w:link w:val="IntenseQuoteChar"/>
    <w:uiPriority w:val="30"/>
    <w:qFormat/>
    <w:rsid w:val="004952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52E5"/>
    <w:rPr>
      <w:i/>
      <w:iCs/>
      <w:color w:val="0F4761" w:themeColor="accent1" w:themeShade="BF"/>
    </w:rPr>
  </w:style>
  <w:style w:type="character" w:styleId="IntenseReference">
    <w:name w:val="Intense Reference"/>
    <w:basedOn w:val="DefaultParagraphFont"/>
    <w:uiPriority w:val="32"/>
    <w:qFormat/>
    <w:rsid w:val="004952E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862</Words>
  <Characters>5286</Characters>
  <Application>Microsoft Office Word</Application>
  <DocSecurity>0</DocSecurity>
  <Lines>107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Ffion Cumberpatch</cp:lastModifiedBy>
  <cp:revision>1</cp:revision>
  <dcterms:created xsi:type="dcterms:W3CDTF">2026-01-01T14:04:00Z</dcterms:created>
  <dcterms:modified xsi:type="dcterms:W3CDTF">2026-01-01T14:18:00Z</dcterms:modified>
</cp:coreProperties>
</file>